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3"/>
        <w:pBdr/>
        <w:spacing/>
        <w:ind/>
        <w:jc w:val="center"/>
        <w:rPr>
          <w:highlight w:val="none"/>
        </w:rPr>
      </w:pPr>
      <w:r>
        <w:t xml:space="preserve">Лаб. Упражнение No: 4</w:t>
      </w:r>
      <w:r>
        <w:rPr>
          <w:highlight w:val="none"/>
        </w:rPr>
      </w:r>
    </w:p>
    <w:p>
      <w:pPr>
        <w:pStyle w:val="623"/>
        <w:pBdr/>
        <w:spacing/>
        <w:ind/>
        <w:jc w:val="center"/>
        <w:rPr>
          <w:highlight w:val="none"/>
        </w:rPr>
      </w:pPr>
      <w:r>
        <w:t xml:space="preserve">Дисциплина: Компютърни Архитектури</w:t>
      </w:r>
      <w:r>
        <w:rPr>
          <w:highlight w:val="none"/>
        </w:rPr>
      </w:r>
    </w:p>
    <w:p>
      <w:pPr>
        <w:pStyle w:val="623"/>
        <w:pBdr/>
        <w:spacing/>
        <w:ind/>
        <w:jc w:val="center"/>
        <w:rPr>
          <w:highlight w:val="none"/>
        </w:rPr>
      </w:pPr>
      <w:r>
        <w:t xml:space="preserve">Асистент: Иван Янчев</w:t>
      </w:r>
      <w:r>
        <w:rPr>
          <w:highlight w:val="none"/>
        </w:rPr>
      </w:r>
    </w:p>
    <w:p>
      <w:pPr>
        <w:pStyle w:val="623"/>
        <w:pBdr/>
        <w:spacing/>
        <w:ind/>
        <w:jc w:val="center"/>
        <w:rPr>
          <w:highlight w:val="none"/>
        </w:rPr>
      </w:pPr>
      <w:r>
        <w:t xml:space="preserve">Тема: </w:t>
      </w:r>
      <w:r>
        <w:t xml:space="preserve">Зависимости между инструкциите</w:t>
      </w:r>
      <w:r>
        <w:rPr>
          <w:highlight w:val="none"/>
        </w:rPr>
      </w:r>
    </w:p>
    <w:p>
      <w:pPr>
        <w:pStyle w:val="623"/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</w:p>
    <w:p>
      <w:pPr>
        <w:pStyle w:val="684"/>
        <w:numPr>
          <w:ilvl w:val="0"/>
          <w:numId w:val="1"/>
        </w:numPr>
        <w:pBdr/>
        <w:spacing/>
        <w:ind/>
        <w:jc w:val="left"/>
        <w:rPr>
          <w:b w:val="0"/>
          <w:bCs w:val="0"/>
        </w:rPr>
      </w:pPr>
      <w:r>
        <w:rPr>
          <w:b/>
          <w:bCs/>
        </w:rPr>
        <w:t xml:space="preserve">Теория: </w:t>
        <w:br/>
      </w:r>
      <w:r>
        <w:rPr>
          <w:b w:val="0"/>
          <w:bCs w:val="0"/>
        </w:rPr>
        <w:t xml:space="preserve">В предходното упражнение беше разгледана конвейерна реализация на процесор(pipeline). При него целта е да се изпълняват множество на брой </w:t>
      </w:r>
      <w:r>
        <w:rPr>
          <w:b w:val="0"/>
          <w:bCs w:val="0"/>
        </w:rPr>
        <w:t xml:space="preserve">независими инструкции едновременно. Това не винаги е възможно и зависиТ от изпълняваната програма.</w:t>
      </w:r>
      <w:r>
        <w:rPr>
          <w:b/>
          <w:bCs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Типове зависимости:</w:t>
      </w:r>
      <w:r>
        <w:rPr>
          <w:b/>
          <w:bCs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/>
          <w:bCs/>
        </w:rPr>
        <w:t xml:space="preserve">1.1 Ресурсни(Структурни) зависимости: </w:t>
      </w:r>
      <w:r>
        <w:rPr>
          <w:b w:val="0"/>
          <w:bCs w:val="0"/>
        </w:rPr>
        <w:t xml:space="preserve">Те са </w:t>
      </w:r>
      <w:r>
        <w:rPr>
          <w:b w:val="0"/>
          <w:bCs w:val="0"/>
        </w:rPr>
        <w:t xml:space="preserve">по-често проблем при суперскаларните реализации, които все още не са били разгледани. Настъпват когато две или повече инструкции искат да използват един ѝ същи хардуерен ресурс </w:t>
      </w:r>
      <w:r>
        <w:rPr>
          <w:b w:val="0"/>
          <w:bCs w:val="0"/>
        </w:rPr>
        <w:t xml:space="preserve">едновременно (шини, функционални у-ва, памети, регистри и т.н.)</w:t>
      </w:r>
      <w:r>
        <w:rPr>
          <w:b/>
          <w:bCs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/>
          <w:bCs/>
        </w:rPr>
        <w:t xml:space="preserve">1.2 Даннови зависимости: </w:t>
      </w:r>
      <w:r>
        <w:rPr>
          <w:b w:val="0"/>
          <w:bCs w:val="0"/>
        </w:rPr>
        <w:t xml:space="preserve">Те настъпват две или повече последващи инструкции използват един и същ операнд, чиято промяна трябва да бъде отчетена. Данновите зависимости са три типа:</w:t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 w:val="0"/>
          <w:bCs w:val="0"/>
          <w:color w:val="ff0000"/>
        </w:rPr>
        <w:t xml:space="preserve">Read After Write(RAW</w:t>
      </w:r>
      <w:r>
        <w:rPr>
          <w:b/>
          <w:bCs/>
          <w:color w:val="ff0000"/>
        </w:rPr>
        <w:t xml:space="preserve">) -</w:t>
      </w:r>
      <w:r>
        <w:rPr>
          <w:b/>
          <w:bCs/>
        </w:rPr>
        <w:t xml:space="preserve"> </w:t>
      </w:r>
      <w:r>
        <w:rPr>
          <w:b/>
          <w:bCs/>
          <w:color w:val="000000" w:themeColor="text1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917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863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391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09.5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 w:val="0"/>
          <w:bCs w:val="0"/>
        </w:rPr>
        <w:t xml:space="preserve">Тук инструкцията </w:t>
      </w:r>
      <w:r>
        <w:rPr>
          <w:b/>
          <w:bCs/>
        </w:rPr>
        <w:t xml:space="preserve">ADD</w:t>
      </w:r>
      <w:r>
        <w:rPr>
          <w:b w:val="0"/>
          <w:bCs w:val="0"/>
        </w:rPr>
        <w:t xml:space="preserve"> записва в </w:t>
      </w:r>
      <w:r>
        <w:rPr>
          <w:b/>
          <w:bCs/>
        </w:rPr>
        <w:t xml:space="preserve">R1</w:t>
      </w:r>
      <w:r>
        <w:rPr>
          <w:b w:val="0"/>
          <w:bCs w:val="0"/>
        </w:rPr>
        <w:t xml:space="preserve"> резултата от сбора на </w:t>
      </w:r>
      <w:r>
        <w:rPr>
          <w:b/>
          <w:bCs/>
        </w:rPr>
        <w:t xml:space="preserve">R2</w:t>
      </w:r>
      <w:r>
        <w:rPr>
          <w:b w:val="0"/>
          <w:bCs w:val="0"/>
        </w:rPr>
        <w:t xml:space="preserve"> и </w:t>
      </w:r>
      <w:r>
        <w:rPr>
          <w:b/>
          <w:bCs/>
        </w:rPr>
        <w:t xml:space="preserve">R3</w:t>
      </w:r>
      <w:r>
        <w:rPr>
          <w:b w:val="0"/>
          <w:bCs w:val="0"/>
        </w:rPr>
        <w:t xml:space="preserve">. Инструкцията </w:t>
      </w:r>
      <w:r>
        <w:rPr>
          <w:b/>
          <w:bCs/>
        </w:rPr>
        <w:t xml:space="preserve">SUB </w:t>
      </w:r>
      <w:r>
        <w:rPr>
          <w:b w:val="0"/>
          <w:bCs w:val="0"/>
        </w:rPr>
        <w:t xml:space="preserve">очаква да използва този сбор като втори операнд, обаче той още не е записан. Записването става във фаза Writeback, резултата от събирането се получава във фаза Execute, а четенето на операндите – във фаза Decode. Вижда се, че за ADD инструкцията фаза Writeback е на 5-тия такт, което означава, че за коректно изпълнение на SUB инструкцията, Decode фазата ѝ трябва да е поне на 5-ия такт (Поради спецификата на регистровия файл - писане в първата половина на такта и четене във втората). Тук фазите Decode на SUB и на AND инструкциите са на трети и четвърти такт, което означава, че ще прочетат старата стойност, преди новата да се е записала. За решаване на този проблем трябва да се поместят две празни инструкции (NOP), между ADD и SUB. Тяхната задача е да осигурят двата нужни такта за коректното изпълнение.</w:t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</w:rPr>
      </w:r>
      <w:r>
        <w:rPr>
          <w:b w:val="0"/>
          <w:bCs w:val="0"/>
          <w:color w:val="0070c0"/>
        </w:rPr>
        <w:t xml:space="preserve">Write After Read(WAR</w:t>
      </w:r>
      <w:r>
        <w:rPr>
          <w:b/>
          <w:bCs/>
          <w:color w:val="0070c0"/>
        </w:rPr>
        <w:t xml:space="preserve">) -</w:t>
      </w:r>
      <w:r>
        <w:rPr>
          <w:b/>
          <w:bCs/>
          <w:color w:val="0070c0"/>
        </w:rPr>
      </w:r>
      <w:r>
        <w:rPr>
          <w:b w:val="0"/>
          <w:bCs w:val="0"/>
          <w:color w:val="0070c0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957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5041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895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70.5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 xml:space="preserve">Подобно на RAW, но тук първо е четенето, след това е записът. </w:t>
      </w:r>
      <w:r>
        <w:rPr>
          <w:b w:val="0"/>
          <w:bCs w:val="0"/>
        </w:rPr>
        <w:t xml:space="preserve">Тук записването в паметта отнема два такта и се получава проблем. Операндът е R2.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Това е само пример, кога може да възникне проблем.</w:t>
      </w:r>
      <w:r>
        <w:rPr>
          <w:b/>
          <w:bCs/>
          <w:highlight w:val="none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</w:rPr>
      </w:r>
      <w:r>
        <w:rPr>
          <w:b w:val="0"/>
          <w:bCs w:val="0"/>
          <w:color w:val="0070c0"/>
        </w:rPr>
        <w:t xml:space="preserve">Write After Write(WAW</w:t>
      </w:r>
      <w:r>
        <w:rPr>
          <w:b/>
          <w:bCs/>
          <w:color w:val="0070c0"/>
        </w:rPr>
        <w:t xml:space="preserve">) -</w:t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8001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757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4074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25pt;height:63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Когато имаме запис след който следва запис (Операндът е R1).</w:t>
      </w:r>
      <w:r>
        <w:rPr>
          <w:b/>
          <w:bCs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 xml:space="preserve">Голяма част от данновите зависимости се преодоляват с т.н. </w:t>
      </w:r>
      <w:r>
        <w:rPr>
          <w:b/>
          <w:bCs/>
        </w:rPr>
        <w:t xml:space="preserve">Forwarding</w:t>
      </w:r>
      <w:r>
        <w:rPr>
          <w:b w:val="0"/>
          <w:bCs w:val="0"/>
        </w:rPr>
        <w:t xml:space="preserve">(стр 313), при който изхода на ALU-то и паметта се свързват с входовете на  ALU-то.</w:t>
      </w:r>
      <w:r>
        <w:rPr>
          <w:b/>
          <w:bCs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 xml:space="preserve">От разглежданите три даннови зависимости, </w:t>
      </w:r>
      <w:r>
        <w:rPr>
          <w:b w:val="0"/>
          <w:bCs w:val="0"/>
          <w:color w:val="0070c0"/>
        </w:rPr>
        <w:t xml:space="preserve">WAR</w:t>
      </w:r>
      <w:r>
        <w:rPr>
          <w:b w:val="0"/>
          <w:bCs w:val="0"/>
        </w:rPr>
        <w:t xml:space="preserve"> и </w:t>
      </w:r>
      <w:r>
        <w:rPr>
          <w:b w:val="0"/>
          <w:bCs w:val="0"/>
          <w:color w:val="0070c0"/>
        </w:rPr>
        <w:t xml:space="preserve">WAW</w:t>
      </w:r>
      <w:r>
        <w:rPr>
          <w:b w:val="0"/>
          <w:bCs w:val="0"/>
        </w:rPr>
        <w:t xml:space="preserve"> са “фалшиви зависимости</w:t>
      </w:r>
      <w:r>
        <w:rPr>
          <w:b w:val="0"/>
          <w:bCs w:val="0"/>
        </w:rPr>
        <w:t xml:space="preserve">(false dependancies)</w:t>
      </w:r>
      <w:r>
        <w:rPr>
          <w:b w:val="0"/>
          <w:bCs w:val="0"/>
        </w:rPr>
        <w:t xml:space="preserve">”, докато </w:t>
      </w:r>
      <w:r>
        <w:rPr>
          <w:b w:val="0"/>
          <w:bCs w:val="0"/>
          <w:color w:val="ff0000"/>
        </w:rPr>
        <w:t xml:space="preserve">RAW</w:t>
      </w:r>
      <w:r>
        <w:rPr>
          <w:b w:val="0"/>
          <w:bCs w:val="0"/>
        </w:rPr>
        <w:t xml:space="preserve"> е “истинска зависимост(true dependancy)”</w:t>
      </w:r>
      <w:r>
        <w:rPr>
          <w:b w:val="0"/>
          <w:bCs w:val="0"/>
        </w:rPr>
        <w:t xml:space="preserve">. Това е защото фалшивите зависимости могат изцяло да се отстранят с </w:t>
      </w:r>
      <w:r>
        <w:rPr>
          <w:b w:val="0"/>
          <w:bCs w:val="0"/>
        </w:rPr>
        <w:t xml:space="preserve">концепцията </w:t>
      </w:r>
      <w:r>
        <w:rPr>
          <w:b/>
          <w:bCs/>
        </w:rPr>
        <w:t xml:space="preserve">register renaming</w:t>
      </w:r>
      <w:r>
        <w:rPr>
          <w:b/>
          <w:bCs/>
        </w:rPr>
        <w:t xml:space="preserve">.</w:t>
      </w:r>
      <w:r>
        <w:rPr>
          <w:b w:val="0"/>
          <w:bCs w:val="0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</w:rPr>
      </w:pPr>
      <w:r>
        <w:rPr>
          <w:b/>
          <w:bCs/>
        </w:rPr>
        <w:t xml:space="preserve">1.3 Процедурни зависимости: </w:t>
      </w:r>
      <w:r>
        <w:rPr>
          <w:b w:val="0"/>
          <w:bCs w:val="0"/>
        </w:rPr>
        <w:t xml:space="preserve">Те сa основно свързани с условните преходи, понеже не се знае дали преходът ще бъде взет или не, няма как да се извлече следващата инструкция.</w:t>
      </w:r>
      <w:r>
        <w:rPr>
          <w:b/>
          <w:bCs/>
        </w:rPr>
        <w:br/>
      </w:r>
      <w:r>
        <w:rPr>
          <w:b w:val="0"/>
          <w:bCs w:val="0"/>
        </w:rPr>
      </w:r>
      <w:r>
        <w:rPr>
          <w:b/>
          <w:bCs/>
        </w:rPr>
      </w:r>
    </w:p>
    <w:p>
      <w:pPr>
        <w:pBdr/>
        <w:spacing/>
        <w:ind w:firstLine="0"/>
        <w:jc w:val="left"/>
        <w:rPr>
          <w:b/>
          <w:bCs/>
        </w:rPr>
      </w:pPr>
      <w:r>
        <w:rPr>
          <w:b w:val="0"/>
          <w:bCs w:val="0"/>
        </w:rPr>
        <w:t xml:space="preserve">Тези зависимости се предотвратяват с ефективен </w:t>
      </w:r>
      <w:r>
        <w:rPr>
          <w:b/>
          <w:bCs/>
        </w:rPr>
        <w:t xml:space="preserve">branch predictor</w:t>
      </w:r>
      <w:r>
        <w:rPr>
          <w:b w:val="0"/>
          <w:bCs w:val="0"/>
        </w:rPr>
        <w:t xml:space="preserve">,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ще бъде взет следващия част, или с разместване на инструкциите, като след инструкцията за преход се поставят допълнително независими от скока инструкции, често взети от кода, който е преди скока (стр. 326).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/>
        <w:jc w:val="left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jc w:val="left"/>
        <w:rPr>
          <w:b/>
          <w:bCs/>
          <w:highlight w:val="none"/>
        </w:rPr>
      </w:pPr>
      <w:r>
        <w:rPr>
          <w:b w:val="0"/>
          <w:bCs w:val="0"/>
        </w:rPr>
        <w:t xml:space="preserve">При откриване на зависимост се активира hazard detection unit-а, който променя всички контролни сигнали на 0-ли (забранява всякакво писане) и </w:t>
      </w:r>
      <w:r>
        <w:rPr>
          <w:b w:val="0"/>
          <w:bCs w:val="0"/>
        </w:rPr>
        <w:t xml:space="preserve">забранява писане в PC, за да не се обнови с нова инструкция. Това е методът за добавяне на празни инструкции (NOP).</w:t>
      </w:r>
      <w:r>
        <w:rPr>
          <w:b/>
          <w:bCs/>
        </w:rPr>
        <w:br/>
      </w:r>
      <w:r>
        <w:rPr>
          <w:b/>
          <w:bCs/>
        </w:rPr>
      </w:r>
      <w:r/>
    </w:p>
    <w:p>
      <w:pPr>
        <w:pStyle w:val="684"/>
        <w:numPr>
          <w:ilvl w:val="0"/>
          <w:numId w:val="2"/>
        </w:numPr>
        <w:pBdr/>
        <w:spacing w:after="0" w:before="0"/>
        <w:ind/>
        <w:contextualSpacing w:val="true"/>
        <w:jc w:val="left"/>
        <w:rPr>
          <w:b w:val="0"/>
          <w:bCs w:val="0"/>
        </w:rPr>
      </w:pPr>
      <w:r>
        <w:rPr>
          <w:b/>
          <w:bCs/>
        </w:rPr>
        <w:t xml:space="preserve">За протокола</w:t>
        <w:br/>
      </w:r>
      <w:r>
        <w:rPr>
          <w:b w:val="0"/>
          <w:bCs w:val="0"/>
        </w:rPr>
        <w:t xml:space="preserve">Намерете зависимостите в :</w:t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  <w:t xml:space="preserve">1)</w:t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 w:val="0"/>
          <w:bCs w:val="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8261" cy="12592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782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718261" cy="1259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35.30pt;height:99.1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  <w:br/>
        <w:t xml:space="preserve">2)</w:t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8261" cy="13596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858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718261" cy="1359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35.30pt;height:107.0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  <w:t xml:space="preserve">3)</w:t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3875" cy="169963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330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613874" cy="1699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27.08pt;height:133.8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</w:rPr>
        <w:br/>
        <w:br/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 w:val="0"/>
          <w:bCs w:val="0"/>
        </w:rPr>
        <w:t xml:space="preserve">Учебник стр.</w:t>
      </w:r>
      <w:r>
        <w:rPr>
          <w:b w:val="0"/>
          <w:bCs w:val="0"/>
        </w:rPr>
        <w:t xml:space="preserve">374 - 4.18, 4.19, 4.20, 4.22, 4.23, 4.24, 4.25, 4.27</w:t>
      </w:r>
      <w:r>
        <w:rPr>
          <w:b/>
          <w:bCs/>
        </w:rPr>
        <w:br/>
      </w:r>
      <w:r/>
      <w:r/>
    </w:p>
    <w:p>
      <w:pPr>
        <w:pStyle w:val="684"/>
        <w:numPr>
          <w:ilvl w:val="0"/>
          <w:numId w:val="4"/>
        </w:numPr>
        <w:pBdr/>
        <w:spacing w:after="200" w:before="0"/>
        <w:ind/>
        <w:contextualSpacing w:val="false"/>
        <w:jc w:val="left"/>
        <w:rPr>
          <w:b/>
          <w:bCs/>
          <w:highlight w:val="none"/>
        </w:rPr>
      </w:pPr>
      <w:r>
        <w:rPr>
          <w:b/>
          <w:bCs/>
        </w:rPr>
        <w:t xml:space="preserve">Линкове</w:t>
      </w:r>
      <w:r>
        <w:rPr>
          <w:b/>
          <w:bCs/>
          <w:highlight w:val="none"/>
        </w:rPr>
      </w:r>
    </w:p>
    <w:p>
      <w:pPr>
        <w:pStyle w:val="623"/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Упражнения</w:t>
      </w:r>
      <w:r>
        <w:rPr>
          <w:b w:val="0"/>
          <w:bCs w:val="0"/>
        </w:rPr>
        <w:t xml:space="preserve">: </w:t>
      </w:r>
      <w:hyperlink r:id="rId15" w:tooltip="./упражнения" w:history="1">
        <w:r>
          <w:rPr>
            <w:rStyle w:val="649"/>
            <w:b w:val="0"/>
            <w:bCs w:val="0"/>
          </w:rPr>
          <w:t xml:space="preserve">https://github.com/tu-iyan/Computer-Architecture-2024</w:t>
        </w:r>
      </w:hyperlink>
      <w:r/>
      <w:r>
        <w:rPr>
          <w:b w:val="0"/>
          <w:bCs w:val="0"/>
          <w:highlight w:val="none"/>
        </w:rPr>
      </w:r>
    </w:p>
    <w:p>
      <w:pPr>
        <w:pStyle w:val="623"/>
        <w:pBdr/>
        <w:spacing w:after="200" w:before="0"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Учебник:</w:t>
      </w:r>
      <w:r>
        <w:rPr>
          <w:b w:val="0"/>
          <w:bCs w:val="0"/>
        </w:rPr>
        <w:t xml:space="preserve"> </w:t>
      </w:r>
      <w:hyperlink r:id="rId16" w:tooltip="./учебник" w:history="1">
        <w:r>
          <w:rPr>
            <w:rStyle w:val="649"/>
            <w:b w:val="0"/>
            <w:bCs w:val="0"/>
          </w:rPr>
          <w:t xml:space="preserve">http://library.lol/main/373C67B0C5E22C9B92B1D8FACDC47E68</w:t>
        </w:r>
      </w:hyperlink>
      <w:r>
        <w:rPr>
          <w:b w:val="0"/>
          <w:bCs w:val="0"/>
        </w:rPr>
        <w:br/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7">
    <w:name w:val="footnote reference"/>
    <w:basedOn w:val="656"/>
    <w:uiPriority w:val="99"/>
    <w:unhideWhenUsed/>
    <w:pPr>
      <w:pBdr/>
      <w:spacing/>
      <w:ind/>
    </w:pPr>
    <w:rPr>
      <w:vertAlign w:val="superscript"/>
    </w:rPr>
  </w:style>
  <w:style w:type="character" w:styleId="180">
    <w:name w:val="endnote reference"/>
    <w:basedOn w:val="656"/>
    <w:uiPriority w:val="99"/>
    <w:semiHidden/>
    <w:unhideWhenUsed/>
    <w:pPr>
      <w:pBdr/>
      <w:spacing/>
      <w:ind/>
    </w:pPr>
    <w:rPr>
      <w:vertAlign w:val="superscript"/>
    </w:rPr>
  </w:style>
  <w:style w:type="paragraph" w:styleId="623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24">
    <w:name w:val="Heading 1"/>
    <w:basedOn w:val="62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25">
    <w:name w:val="Heading 2"/>
    <w:basedOn w:val="6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26">
    <w:name w:val="Heading 3"/>
    <w:basedOn w:val="62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27">
    <w:name w:val="Heading 4"/>
    <w:basedOn w:val="62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28">
    <w:name w:val="Heading 5"/>
    <w:basedOn w:val="62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29">
    <w:name w:val="Heading 6"/>
    <w:basedOn w:val="62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30">
    <w:name w:val="Heading 7"/>
    <w:basedOn w:val="62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31">
    <w:name w:val="Heading 8"/>
    <w:basedOn w:val="62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32">
    <w:name w:val="Heading 9"/>
    <w:basedOn w:val="62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33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34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35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36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37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38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39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0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41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42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643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644">
    <w:name w:val="Quote Char"/>
    <w:uiPriority w:val="29"/>
    <w:qFormat/>
    <w:pPr>
      <w:pBdr/>
      <w:spacing/>
      <w:ind/>
    </w:pPr>
    <w:rPr>
      <w:i/>
    </w:rPr>
  </w:style>
  <w:style w:type="character" w:styleId="645">
    <w:name w:val="Intense Quote Char"/>
    <w:uiPriority w:val="30"/>
    <w:qFormat/>
    <w:pPr>
      <w:pBdr/>
      <w:spacing/>
      <w:ind/>
    </w:pPr>
    <w:rPr>
      <w:i/>
    </w:rPr>
  </w:style>
  <w:style w:type="character" w:styleId="646">
    <w:name w:val="Header Char"/>
    <w:uiPriority w:val="99"/>
    <w:qFormat/>
    <w:pPr>
      <w:pBdr/>
      <w:spacing/>
      <w:ind/>
    </w:pPr>
  </w:style>
  <w:style w:type="character" w:styleId="647">
    <w:name w:val="Footer Char"/>
    <w:uiPriority w:val="99"/>
    <w:qFormat/>
    <w:pPr>
      <w:pBdr/>
      <w:spacing/>
      <w:ind/>
    </w:pPr>
  </w:style>
  <w:style w:type="character" w:styleId="648">
    <w:name w:val="Caption Char"/>
    <w:uiPriority w:val="99"/>
    <w:qFormat/>
    <w:pPr>
      <w:pBdr/>
      <w:spacing/>
      <w:ind/>
    </w:pPr>
  </w:style>
  <w:style w:type="character" w:styleId="64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50">
    <w:name w:val="Footnote Text Char"/>
    <w:uiPriority w:val="99"/>
    <w:qFormat/>
    <w:pPr>
      <w:pBdr/>
      <w:spacing/>
      <w:ind/>
    </w:pPr>
    <w:rPr>
      <w:sz w:val="18"/>
    </w:rPr>
  </w:style>
  <w:style w:type="character" w:styleId="651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652">
    <w:name w:val="Footnote Anchor"/>
    <w:pPr>
      <w:pBdr/>
      <w:spacing/>
      <w:ind/>
    </w:pPr>
    <w:rPr>
      <w:vertAlign w:val="superscript"/>
    </w:rPr>
  </w:style>
  <w:style w:type="character" w:styleId="653">
    <w:name w:val="Endnote Text Char"/>
    <w:uiPriority w:val="99"/>
    <w:qFormat/>
    <w:pPr>
      <w:pBdr/>
      <w:spacing/>
      <w:ind/>
    </w:pPr>
    <w:rPr>
      <w:sz w:val="20"/>
    </w:rPr>
  </w:style>
  <w:style w:type="character" w:styleId="654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55">
    <w:name w:val="Endnote Anchor"/>
    <w:pPr>
      <w:pBdr/>
      <w:spacing/>
      <w:ind/>
    </w:pPr>
    <w:rPr>
      <w:vertAlign w:val="superscript"/>
    </w:rPr>
  </w:style>
  <w:style w:type="character" w:styleId="656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657">
    <w:name w:val="Heading"/>
    <w:basedOn w:val="623"/>
    <w:next w:val="65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658">
    <w:name w:val="Body Text"/>
    <w:basedOn w:val="623"/>
    <w:pPr>
      <w:pBdr/>
      <w:spacing w:after="140" w:before="0" w:line="276" w:lineRule="auto"/>
      <w:ind/>
    </w:pPr>
  </w:style>
  <w:style w:type="paragraph" w:styleId="659">
    <w:name w:val="List"/>
    <w:basedOn w:val="658"/>
    <w:pPr>
      <w:pBdr/>
      <w:spacing/>
      <w:ind/>
    </w:pPr>
    <w:rPr>
      <w:rFonts w:cs="Lohit Devanagari"/>
    </w:rPr>
  </w:style>
  <w:style w:type="paragraph" w:styleId="660">
    <w:name w:val="Caption"/>
    <w:basedOn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661">
    <w:name w:val="Index"/>
    <w:basedOn w:val="623"/>
    <w:qFormat/>
    <w:pPr>
      <w:suppressLineNumbers w:val="true"/>
      <w:pBdr/>
      <w:spacing/>
      <w:ind/>
    </w:pPr>
    <w:rPr>
      <w:rFonts w:cs="Lohit Devanagari"/>
    </w:rPr>
  </w:style>
  <w:style w:type="paragraph" w:styleId="662">
    <w:name w:val="Title"/>
    <w:basedOn w:val="62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63">
    <w:name w:val="Subtitle"/>
    <w:basedOn w:val="623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64">
    <w:name w:val="Quote"/>
    <w:basedOn w:val="623"/>
    <w:uiPriority w:val="29"/>
    <w:qFormat/>
    <w:pPr>
      <w:pBdr/>
      <w:spacing/>
      <w:ind w:right="720" w:firstLine="0" w:left="720"/>
    </w:pPr>
    <w:rPr>
      <w:i/>
    </w:rPr>
  </w:style>
  <w:style w:type="paragraph" w:styleId="665">
    <w:name w:val="Intense Quote"/>
    <w:basedOn w:val="6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666">
    <w:name w:val="Header and Footer"/>
    <w:basedOn w:val="623"/>
    <w:qFormat/>
    <w:pPr>
      <w:pBdr/>
      <w:spacing/>
      <w:ind/>
    </w:pPr>
  </w:style>
  <w:style w:type="paragraph" w:styleId="667">
    <w:name w:val="Header"/>
    <w:basedOn w:val="623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8">
    <w:name w:val="Footer"/>
    <w:basedOn w:val="623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9">
    <w:name w:val="footnote text"/>
    <w:basedOn w:val="623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670">
    <w:name w:val="endnote text"/>
    <w:basedOn w:val="623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671">
    <w:name w:val="toc 1"/>
    <w:basedOn w:val="623"/>
    <w:uiPriority w:val="39"/>
    <w:unhideWhenUsed/>
    <w:pPr>
      <w:pBdr/>
      <w:spacing w:after="57" w:before="0"/>
      <w:ind w:right="0" w:firstLine="0" w:left="0"/>
    </w:pPr>
  </w:style>
  <w:style w:type="paragraph" w:styleId="672">
    <w:name w:val="toc 2"/>
    <w:basedOn w:val="623"/>
    <w:uiPriority w:val="39"/>
    <w:unhideWhenUsed/>
    <w:pPr>
      <w:pBdr/>
      <w:spacing w:after="57" w:before="0"/>
      <w:ind w:right="0" w:firstLine="0" w:left="283"/>
    </w:pPr>
  </w:style>
  <w:style w:type="paragraph" w:styleId="673">
    <w:name w:val="toc 3"/>
    <w:basedOn w:val="623"/>
    <w:uiPriority w:val="39"/>
    <w:unhideWhenUsed/>
    <w:pPr>
      <w:pBdr/>
      <w:spacing w:after="57" w:before="0"/>
      <w:ind w:right="0" w:firstLine="0" w:left="567"/>
    </w:pPr>
  </w:style>
  <w:style w:type="paragraph" w:styleId="674">
    <w:name w:val="toc 4"/>
    <w:basedOn w:val="623"/>
    <w:uiPriority w:val="39"/>
    <w:unhideWhenUsed/>
    <w:pPr>
      <w:pBdr/>
      <w:spacing w:after="57" w:before="0"/>
      <w:ind w:right="0" w:firstLine="0" w:left="850"/>
    </w:pPr>
  </w:style>
  <w:style w:type="paragraph" w:styleId="675">
    <w:name w:val="toc 5"/>
    <w:basedOn w:val="623"/>
    <w:uiPriority w:val="39"/>
    <w:unhideWhenUsed/>
    <w:pPr>
      <w:pBdr/>
      <w:spacing w:after="57" w:before="0"/>
      <w:ind w:right="0" w:firstLine="0" w:left="1134"/>
    </w:pPr>
  </w:style>
  <w:style w:type="paragraph" w:styleId="676">
    <w:name w:val="toc 6"/>
    <w:basedOn w:val="623"/>
    <w:uiPriority w:val="39"/>
    <w:unhideWhenUsed/>
    <w:pPr>
      <w:pBdr/>
      <w:spacing w:after="57" w:before="0"/>
      <w:ind w:right="0" w:firstLine="0" w:left="1417"/>
    </w:pPr>
  </w:style>
  <w:style w:type="paragraph" w:styleId="677">
    <w:name w:val="toc 7"/>
    <w:basedOn w:val="623"/>
    <w:uiPriority w:val="39"/>
    <w:unhideWhenUsed/>
    <w:pPr>
      <w:pBdr/>
      <w:spacing w:after="57" w:before="0"/>
      <w:ind w:right="0" w:firstLine="0" w:left="1701"/>
    </w:pPr>
  </w:style>
  <w:style w:type="paragraph" w:styleId="678">
    <w:name w:val="toc 8"/>
    <w:basedOn w:val="623"/>
    <w:uiPriority w:val="39"/>
    <w:unhideWhenUsed/>
    <w:pPr>
      <w:pBdr/>
      <w:spacing w:after="57" w:before="0"/>
      <w:ind w:right="0" w:firstLine="0" w:left="1984"/>
    </w:pPr>
  </w:style>
  <w:style w:type="paragraph" w:styleId="679">
    <w:name w:val="toc 9"/>
    <w:basedOn w:val="623"/>
    <w:uiPriority w:val="39"/>
    <w:unhideWhenUsed/>
    <w:pPr>
      <w:pBdr/>
      <w:spacing w:after="57" w:before="0"/>
      <w:ind w:right="0" w:firstLine="0" w:left="2268"/>
    </w:pPr>
  </w:style>
  <w:style w:type="paragraph" w:styleId="680">
    <w:name w:val="Index Heading"/>
    <w:basedOn w:val="657"/>
    <w:pPr>
      <w:pBdr/>
      <w:spacing/>
      <w:ind/>
    </w:pPr>
  </w:style>
  <w:style w:type="paragraph" w:styleId="681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82">
    <w:name w:val="table of figures"/>
    <w:basedOn w:val="623"/>
    <w:uiPriority w:val="99"/>
    <w:unhideWhenUsed/>
    <w:qFormat/>
    <w:pPr>
      <w:pBdr/>
      <w:spacing w:after="0" w:afterAutospacing="0" w:before="0"/>
      <w:ind/>
    </w:pPr>
  </w:style>
  <w:style w:type="paragraph" w:styleId="683">
    <w:name w:val="No Spacing"/>
    <w:basedOn w:val="623"/>
    <w:uiPriority w:val="1"/>
    <w:qFormat/>
    <w:pPr>
      <w:pBdr/>
      <w:spacing w:after="0" w:before="0" w:line="240" w:lineRule="auto"/>
      <w:ind/>
    </w:pPr>
  </w:style>
  <w:style w:type="paragraph" w:styleId="684">
    <w:name w:val="List Paragraph"/>
    <w:basedOn w:val="623"/>
    <w:uiPriority w:val="34"/>
    <w:qFormat/>
    <w:pPr>
      <w:pBdr/>
      <w:spacing w:after="200" w:before="0"/>
      <w:ind w:firstLine="0" w:left="720"/>
      <w:contextualSpacing w:val="true"/>
    </w:pPr>
  </w:style>
  <w:style w:type="numbering" w:styleId="685" w:default="1">
    <w:name w:val="No List"/>
    <w:uiPriority w:val="99"/>
    <w:semiHidden/>
    <w:unhideWhenUsed/>
    <w:qFormat/>
    <w:pPr>
      <w:pBdr/>
      <w:spacing/>
      <w:ind/>
    </w:pPr>
  </w:style>
  <w:style w:type="table" w:styleId="73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./&#1091;&#1087;&#1088;&#1072;&#1078;&#1085;&#1077;&#1085;&#1080;&#1103;" TargetMode="External"/><Relationship Id="rId16" Type="http://schemas.openxmlformats.org/officeDocument/2006/relationships/hyperlink" Target="./&#1091;&#1095;&#1077;&#1073;&#1085;&#1080;&#108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12</cp:revision>
  <dcterms:modified xsi:type="dcterms:W3CDTF">2024-03-05T00:02:34Z</dcterms:modified>
</cp:coreProperties>
</file>