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engineering-handbook"/>
    <w:p>
      <w:pPr>
        <w:pStyle w:val="Heading1"/>
      </w:pPr>
      <w:r>
        <w:t xml:space="preserve">Engineering handbook</w:t>
      </w:r>
    </w:p>
    <w:bookmarkStart w:id="9" w:name="api"/>
    <w:p>
      <w:pPr>
        <w:pStyle w:val="Heading2"/>
      </w:pPr>
      <w:r>
        <w:t xml:space="preserve">API</w:t>
      </w:r>
    </w:p>
    <w:p>
      <w:pPr>
        <w:pStyle w:val="FirstParagraph"/>
      </w:pPr>
      <w:r>
        <w:t xml:space="preserve">All public API endpoints must validate their input.</w:t>
      </w:r>
    </w:p>
    <w:bookmarkEnd w:id="9"/>
    <w:bookmarkStart w:id="10" w:name="billing"/>
    <w:p>
      <w:pPr>
        <w:pStyle w:val="Heading2"/>
      </w:pPr>
      <w:r>
        <w:t xml:space="preserve">Billing</w:t>
      </w:r>
    </w:p>
    <w:p>
      <w:pPr>
        <w:pStyle w:val="FirstParagraph"/>
      </w:pPr>
      <w:r>
        <w:t xml:space="preserve">Invoices must be issued within 5 days of delivery.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2026-10-10T12:54:58Z</dcterms:created>
  <dcterms:modified xsi:type="dcterms:W3CDTF">2026-10-10T12:54:58Z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