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ЗАЯВКА НА ЖЕЛЕЗНОДОРОЖНУЮ ПЕРЕВОЗКУ</w:t>
      </w:r>
    </w:p>
    <w:p>
      <w:r>
        <w:t>№ 118 от 29.09.2026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Заказчик</w:t>
            </w:r>
          </w:p>
        </w:tc>
        <w:tc>
          <w:tcPr>
            <w:tcW w:type="dxa" w:w="4320"/>
          </w:tcPr>
          <w:p>
            <w:r>
              <w:t>ПАО «Северхим»</w:t>
            </w:r>
          </w:p>
        </w:tc>
      </w:tr>
      <w:tr>
        <w:tc>
          <w:tcPr>
            <w:tcW w:type="dxa" w:w="4320"/>
          </w:tcPr>
          <w:p>
            <w:r>
              <w:t>Станция отправления</w:t>
            </w:r>
          </w:p>
        </w:tc>
        <w:tc>
          <w:tcPr>
            <w:tcW w:type="dxa" w:w="4320"/>
          </w:tcPr>
          <w:p>
            <w:r>
              <w:t>Череповец-2</w:t>
            </w:r>
          </w:p>
        </w:tc>
      </w:tr>
      <w:tr>
        <w:tc>
          <w:tcPr>
            <w:tcW w:type="dxa" w:w="4320"/>
          </w:tcPr>
          <w:p>
            <w:r>
              <w:t>Станция назначения</w:t>
            </w:r>
          </w:p>
        </w:tc>
        <w:tc>
          <w:tcPr>
            <w:tcW w:type="dxa" w:w="4320"/>
          </w:tcPr>
          <w:p>
            <w:r>
              <w:t>Усть-Луга</w:t>
            </w:r>
          </w:p>
        </w:tc>
      </w:tr>
      <w:tr>
        <w:tc>
          <w:tcPr>
            <w:tcW w:type="dxa" w:w="4320"/>
          </w:tcPr>
          <w:p>
            <w:r>
              <w:t>Груз</w:t>
            </w:r>
          </w:p>
        </w:tc>
        <w:tc>
          <w:tcPr>
            <w:tcW w:type="dxa" w:w="4320"/>
          </w:tcPr>
          <w:p>
            <w:r>
              <w:t>Удобрения минеральные азотные (карбамид)</w:t>
            </w:r>
          </w:p>
        </w:tc>
      </w:tr>
      <w:tr>
        <w:tc>
          <w:tcPr>
            <w:tcW w:type="dxa" w:w="4320"/>
          </w:tcPr>
          <w:p>
            <w:r>
              <w:t>Род подвижного состава</w:t>
            </w:r>
          </w:p>
        </w:tc>
        <w:tc>
          <w:tcPr>
            <w:tcW w:type="dxa" w:w="4320"/>
          </w:tcPr>
          <w:p>
            <w:r>
              <w:t>Хопперы-минераловозы</w:t>
            </w:r>
          </w:p>
        </w:tc>
      </w:tr>
      <w:tr>
        <w:tc>
          <w:tcPr>
            <w:tcW w:type="dxa" w:w="4320"/>
          </w:tcPr>
          <w:p>
            <w:r>
              <w:t>Количество вагонов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Период отгрузки</w:t>
            </w:r>
          </w:p>
        </w:tc>
        <w:tc>
          <w:tcPr>
            <w:tcW w:type="dxa" w:w="4320"/>
          </w:tcPr>
          <w:p>
            <w:r>
              <w:t>01.11.2026 — 30.11.2026</w:t>
            </w:r>
          </w:p>
        </w:tc>
      </w:tr>
      <w:tr>
        <w:tc>
          <w:tcPr>
            <w:tcW w:type="dxa" w:w="4320"/>
          </w:tcPr>
          <w:p>
            <w:r>
              <w:t>Условия погрузки</w:t>
            </w:r>
          </w:p>
        </w:tc>
        <w:tc>
          <w:tcPr>
            <w:tcW w:type="dxa" w:w="4320"/>
          </w:tcPr>
          <w:p>
            <w:r>
              <w:t>Собственный подъездной путь, круглосуточно, норма 3 суток</w:t>
            </w:r>
          </w:p>
        </w:tc>
      </w:tr>
      <w:tr>
        <w:tc>
          <w:tcPr>
            <w:tcW w:type="dxa" w:w="4320"/>
          </w:tcPr>
          <w:p>
            <w:r>
              <w:t>Условия выгрузки</w:t>
            </w:r>
          </w:p>
        </w:tc>
        <w:tc>
          <w:tcPr>
            <w:tcW w:type="dxa" w:w="4320"/>
          </w:tcPr>
          <w:p>
            <w:r>
              <w:t>Терминал порта, выгрузка вагоноопрокидывателем</w:t>
            </w:r>
          </w:p>
        </w:tc>
      </w:tr>
      <w:tr>
        <w:tc>
          <w:tcPr>
            <w:tcW w:type="dxa" w:w="4320"/>
          </w:tcPr>
          <w:p>
            <w:r>
              <w:t>Ставка</w:t>
            </w:r>
          </w:p>
        </w:tc>
        <w:tc>
          <w:tcPr>
            <w:tcW w:type="dxa" w:w="4320"/>
          </w:tcPr>
          <w:p>
            <w:r>
              <w:t>78 000 руб./вагон, без НДС</w:t>
            </w:r>
          </w:p>
        </w:tc>
      </w:tr>
    </w:tbl>
    <w:p/>
    <w:p>
      <w:r>
        <w:t>Примечание: возможно увеличение объёма до 55 вагонов при подтверждении ставки до 25.10.2026.</w:t>
      </w:r>
    </w:p>
    <w:p>
      <w:r>
        <w:t>Контактное лицо: Гордеев М. В., тел. +7 8202 11-22-33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