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0B9" w:rsidRPr="00FB27F6" w:rsidRDefault="00C710B9" w:rsidP="00C710B9">
      <w:pPr>
        <w:pStyle w:val="Heading4"/>
        <w:rPr>
          <w:rFonts w:ascii="Arial" w:hAnsi="Arial" w:cs="Arial"/>
          <w:sz w:val="22"/>
          <w:szCs w:val="22"/>
        </w:rPr>
      </w:pPr>
      <w:r w:rsidRPr="00FB27F6">
        <w:rPr>
          <w:rFonts w:ascii="Arial" w:hAnsi="Arial" w:cs="Arial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2pt;margin-top:23.05pt;width:492.1pt;height:702.4pt;z-index:251660288" strokeweight="4.5pt">
            <v:stroke linestyle="thickThin"/>
            <v:textbox style="mso-next-textbox:#_x0000_s1026">
              <w:txbxContent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  <w:szCs w:val="28"/>
                    </w:rPr>
                  </w:pPr>
                  <w:r w:rsidRPr="007B36CE">
                    <w:rPr>
                      <w:rFonts w:ascii="Times New Roman" w:hAnsi="Times New Roman"/>
                      <w:szCs w:val="28"/>
                    </w:rPr>
                    <w:t>CÔNG TY …………..</w:t>
                  </w: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pStyle w:val="Heading1"/>
                    <w:rPr>
                      <w:b w:val="0"/>
                      <w:i w:val="0"/>
                      <w:color w:val="993300"/>
                      <w:sz w:val="52"/>
                      <w:szCs w:val="52"/>
                    </w:rPr>
                  </w:pPr>
                  <w:r w:rsidRPr="007B36CE">
                    <w:rPr>
                      <w:b w:val="0"/>
                      <w:i w:val="0"/>
                      <w:color w:val="993300"/>
                      <w:sz w:val="52"/>
                      <w:szCs w:val="52"/>
                    </w:rPr>
                    <w:t xml:space="preserve">QUI CHẾ KHEN THƯỞNG </w:t>
                  </w: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  <w:p w:rsidR="00C710B9" w:rsidRPr="007B36CE" w:rsidRDefault="00C710B9" w:rsidP="00C710B9">
                  <w:pPr>
                    <w:spacing w:before="360"/>
                    <w:jc w:val="center"/>
                    <w:rPr>
                      <w:rFonts w:ascii="Times New Roman" w:hAnsi="Times New Roman"/>
                      <w:color w:val="993300"/>
                    </w:rPr>
                  </w:pPr>
                  <w:r w:rsidRPr="007B36CE">
                    <w:rPr>
                      <w:rFonts w:ascii="Times New Roman" w:hAnsi="Times New Roman"/>
                      <w:color w:val="993300"/>
                    </w:rPr>
                    <w:t xml:space="preserve">Mã tài liệu: </w:t>
                  </w:r>
                </w:p>
                <w:p w:rsidR="00C710B9" w:rsidRPr="007B36CE" w:rsidRDefault="00C710B9" w:rsidP="00C710B9">
                  <w:pPr>
                    <w:pStyle w:val="BodyText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  <w:r w:rsidRPr="007B36CE">
                    <w:rPr>
                      <w:rFonts w:ascii="Times New Roman" w:hAnsi="Times New Roman"/>
                      <w:i/>
                    </w:rPr>
                    <w:t>Hà Nội, 15/02/2008</w:t>
                  </w: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710B9" w:rsidRPr="007B36CE" w:rsidRDefault="00C710B9" w:rsidP="00C710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</w:p>
    <w:p w:rsidR="00C710B9" w:rsidRPr="00FB27F6" w:rsidRDefault="00C710B9" w:rsidP="00C710B9">
      <w:pPr>
        <w:pStyle w:val="Heading4"/>
        <w:rPr>
          <w:rFonts w:ascii="Arial" w:hAnsi="Arial" w:cs="Arial"/>
          <w:sz w:val="22"/>
          <w:szCs w:val="22"/>
        </w:rPr>
        <w:sectPr w:rsidR="00C710B9" w:rsidRPr="00FB27F6" w:rsidSect="00583BC1">
          <w:headerReference w:type="default" r:id="rId7"/>
          <w:footerReference w:type="even" r:id="rId8"/>
          <w:footerReference w:type="default" r:id="rId9"/>
          <w:pgSz w:w="11907" w:h="16840" w:code="9"/>
          <w:pgMar w:top="851" w:right="851" w:bottom="851" w:left="1134" w:header="862" w:footer="454" w:gutter="0"/>
          <w:pgNumType w:start="1"/>
          <w:cols w:space="720"/>
          <w:titlePg/>
        </w:sectPr>
      </w:pPr>
    </w:p>
    <w:p w:rsidR="00C710B9" w:rsidRPr="004A4C75" w:rsidRDefault="00C710B9" w:rsidP="00C710B9">
      <w:pPr>
        <w:pStyle w:val="Heading4"/>
        <w:spacing w:after="120"/>
        <w:rPr>
          <w:rFonts w:ascii="Arial" w:hAnsi="Arial" w:cs="Arial"/>
          <w:szCs w:val="24"/>
        </w:rPr>
      </w:pPr>
      <w:r w:rsidRPr="004A4C75">
        <w:rPr>
          <w:rFonts w:ascii="Arial" w:hAnsi="Arial" w:cs="Arial"/>
          <w:szCs w:val="24"/>
        </w:rPr>
        <w:lastRenderedPageBreak/>
        <w:t>Bảng theo dõi sửa đổi tài liệu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993"/>
        <w:gridCol w:w="3402"/>
        <w:gridCol w:w="1488"/>
        <w:gridCol w:w="2055"/>
      </w:tblGrid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1701" w:type="dxa"/>
            <w:shd w:val="clear" w:color="auto" w:fill="33CCCC"/>
            <w:vAlign w:val="center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FB27F6">
              <w:rPr>
                <w:rFonts w:ascii="Arial" w:hAnsi="Arial" w:cs="Arial"/>
                <w:b/>
              </w:rPr>
              <w:t>Ngày sửa đổi</w:t>
            </w:r>
          </w:p>
        </w:tc>
        <w:tc>
          <w:tcPr>
            <w:tcW w:w="993" w:type="dxa"/>
            <w:shd w:val="clear" w:color="auto" w:fill="33CCCC"/>
            <w:vAlign w:val="center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FB27F6">
              <w:rPr>
                <w:rFonts w:ascii="Arial" w:hAnsi="Arial" w:cs="Arial"/>
                <w:b/>
              </w:rPr>
              <w:t xml:space="preserve">Vị trí </w:t>
            </w:r>
          </w:p>
        </w:tc>
        <w:tc>
          <w:tcPr>
            <w:tcW w:w="3402" w:type="dxa"/>
            <w:shd w:val="clear" w:color="auto" w:fill="33CCCC"/>
            <w:vAlign w:val="center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FB27F6">
              <w:rPr>
                <w:rFonts w:ascii="Arial" w:hAnsi="Arial" w:cs="Arial"/>
                <w:b/>
              </w:rPr>
              <w:t>Nội dung sửa đổi</w:t>
            </w:r>
          </w:p>
        </w:tc>
        <w:tc>
          <w:tcPr>
            <w:tcW w:w="1488" w:type="dxa"/>
            <w:shd w:val="clear" w:color="auto" w:fill="33CCCC"/>
            <w:vAlign w:val="center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FB27F6">
              <w:rPr>
                <w:rFonts w:ascii="Arial" w:hAnsi="Arial" w:cs="Arial"/>
                <w:b/>
              </w:rPr>
              <w:t>Lần sửa</w:t>
            </w:r>
          </w:p>
        </w:tc>
        <w:tc>
          <w:tcPr>
            <w:tcW w:w="2055" w:type="dxa"/>
            <w:shd w:val="clear" w:color="auto" w:fill="33CCCC"/>
            <w:vAlign w:val="center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FB27F6">
              <w:rPr>
                <w:rFonts w:ascii="Arial" w:hAnsi="Arial" w:cs="Arial"/>
                <w:b/>
              </w:rPr>
              <w:t xml:space="preserve">Ghi chú </w:t>
            </w: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2C5BC8" w:rsidRDefault="00C710B9" w:rsidP="0047662A">
            <w:pPr>
              <w:spacing w:before="60" w:after="60"/>
              <w:ind w:left="7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2C5BC8" w:rsidRDefault="00C710B9" w:rsidP="0047662A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1701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  <w:tr w:rsidR="00C710B9" w:rsidRPr="00FB27F6" w:rsidTr="0047662A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1701" w:type="dxa"/>
            <w:tcBorders>
              <w:bottom w:val="double" w:sz="4" w:space="0" w:color="auto"/>
            </w:tcBorders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88" w:type="dxa"/>
            <w:tcBorders>
              <w:bottom w:val="double" w:sz="4" w:space="0" w:color="auto"/>
            </w:tcBorders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55" w:type="dxa"/>
            <w:tcBorders>
              <w:bottom w:val="double" w:sz="4" w:space="0" w:color="auto"/>
            </w:tcBorders>
          </w:tcPr>
          <w:p w:rsidR="00C710B9" w:rsidRPr="00FB27F6" w:rsidRDefault="00C710B9" w:rsidP="0047662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C710B9" w:rsidRPr="00FB27F6" w:rsidRDefault="00C710B9" w:rsidP="00C710B9">
      <w:pPr>
        <w:spacing w:before="120" w:after="120"/>
        <w:jc w:val="both"/>
        <w:rPr>
          <w:rFonts w:ascii="Arial" w:hAnsi="Arial" w:cs="Arial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598"/>
        <w:gridCol w:w="2599"/>
        <w:gridCol w:w="3166"/>
      </w:tblGrid>
      <w:tr w:rsidR="00C710B9" w:rsidRPr="00EC0F23" w:rsidTr="0047662A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C710B9" w:rsidRPr="007B36CE" w:rsidRDefault="00C710B9" w:rsidP="0047662A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598" w:type="dxa"/>
            <w:tcBorders>
              <w:bottom w:val="double" w:sz="4" w:space="0" w:color="auto"/>
            </w:tcBorders>
            <w:vAlign w:val="center"/>
          </w:tcPr>
          <w:p w:rsidR="00C710B9" w:rsidRPr="007B36CE" w:rsidRDefault="00C710B9" w:rsidP="0047662A">
            <w:pPr>
              <w:jc w:val="center"/>
              <w:rPr>
                <w:rFonts w:ascii="Times New Roman" w:hAnsi="Times New Roman"/>
                <w:b/>
              </w:rPr>
            </w:pPr>
            <w:r w:rsidRPr="007B36CE">
              <w:rPr>
                <w:rFonts w:ascii="Times New Roman" w:hAnsi="Times New Roman"/>
                <w:b/>
              </w:rPr>
              <w:t>Người biên soạn</w:t>
            </w:r>
          </w:p>
        </w:tc>
        <w:tc>
          <w:tcPr>
            <w:tcW w:w="2599" w:type="dxa"/>
            <w:tcBorders>
              <w:bottom w:val="double" w:sz="4" w:space="0" w:color="auto"/>
            </w:tcBorders>
            <w:vAlign w:val="center"/>
          </w:tcPr>
          <w:p w:rsidR="00C710B9" w:rsidRPr="007B36CE" w:rsidRDefault="00C710B9" w:rsidP="0047662A">
            <w:pPr>
              <w:jc w:val="center"/>
              <w:rPr>
                <w:rFonts w:ascii="Times New Roman" w:hAnsi="Times New Roman"/>
                <w:b/>
              </w:rPr>
            </w:pPr>
            <w:r w:rsidRPr="007B36CE">
              <w:rPr>
                <w:rFonts w:ascii="Times New Roman" w:hAnsi="Times New Roman"/>
                <w:b/>
              </w:rPr>
              <w:t>Phó ban ISO</w:t>
            </w:r>
          </w:p>
        </w:tc>
        <w:tc>
          <w:tcPr>
            <w:tcW w:w="3166" w:type="dxa"/>
            <w:tcBorders>
              <w:bottom w:val="double" w:sz="4" w:space="0" w:color="auto"/>
            </w:tcBorders>
            <w:vAlign w:val="center"/>
          </w:tcPr>
          <w:p w:rsidR="00C710B9" w:rsidRPr="007B36CE" w:rsidRDefault="00C710B9" w:rsidP="0047662A">
            <w:pPr>
              <w:jc w:val="center"/>
              <w:rPr>
                <w:rFonts w:ascii="Times New Roman" w:hAnsi="Times New Roman"/>
                <w:b/>
              </w:rPr>
            </w:pPr>
            <w:r w:rsidRPr="007B36CE">
              <w:rPr>
                <w:rFonts w:ascii="Times New Roman" w:hAnsi="Times New Roman"/>
                <w:b/>
              </w:rPr>
              <w:t>Giám đốc</w:t>
            </w:r>
          </w:p>
        </w:tc>
      </w:tr>
      <w:tr w:rsidR="00C710B9" w:rsidRPr="00EC0F23" w:rsidTr="0047662A">
        <w:tblPrEx>
          <w:tblCellMar>
            <w:top w:w="0" w:type="dxa"/>
            <w:bottom w:w="0" w:type="dxa"/>
          </w:tblCellMar>
        </w:tblPrEx>
        <w:trPr>
          <w:trHeight w:val="852"/>
        </w:trPr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:rsidR="00C710B9" w:rsidRPr="007B36CE" w:rsidRDefault="00C710B9" w:rsidP="0047662A">
            <w:pPr>
              <w:pStyle w:val="Heading8"/>
              <w:spacing w:before="120" w:after="120"/>
              <w:rPr>
                <w:b/>
                <w:szCs w:val="22"/>
              </w:rPr>
            </w:pPr>
            <w:r w:rsidRPr="007B36CE">
              <w:rPr>
                <w:b/>
                <w:szCs w:val="22"/>
              </w:rPr>
              <w:t>Họ và tên</w:t>
            </w:r>
          </w:p>
        </w:tc>
        <w:tc>
          <w:tcPr>
            <w:tcW w:w="2598" w:type="dxa"/>
            <w:tcBorders>
              <w:top w:val="double" w:sz="4" w:space="0" w:color="auto"/>
            </w:tcBorders>
            <w:vAlign w:val="center"/>
          </w:tcPr>
          <w:p w:rsidR="00C710B9" w:rsidRPr="007B36CE" w:rsidRDefault="00C710B9" w:rsidP="0047662A">
            <w:pPr>
              <w:pStyle w:val="Heading8"/>
              <w:spacing w:before="120" w:after="120"/>
              <w:jc w:val="center"/>
              <w:rPr>
                <w:b/>
                <w:szCs w:val="22"/>
                <w:lang w:eastAsia="ja-JP"/>
              </w:rPr>
            </w:pPr>
            <w:r w:rsidRPr="007B36CE">
              <w:rPr>
                <w:b/>
                <w:szCs w:val="22"/>
                <w:lang w:eastAsia="ja-JP"/>
              </w:rPr>
              <w:t>ABC</w:t>
            </w:r>
          </w:p>
        </w:tc>
        <w:tc>
          <w:tcPr>
            <w:tcW w:w="2599" w:type="dxa"/>
            <w:tcBorders>
              <w:top w:val="double" w:sz="4" w:space="0" w:color="auto"/>
            </w:tcBorders>
            <w:vAlign w:val="center"/>
          </w:tcPr>
          <w:p w:rsidR="00C710B9" w:rsidRPr="007B36CE" w:rsidRDefault="00C710B9" w:rsidP="0047662A">
            <w:pPr>
              <w:pStyle w:val="Heading8"/>
              <w:spacing w:before="120" w:after="120"/>
              <w:jc w:val="center"/>
              <w:rPr>
                <w:b/>
                <w:szCs w:val="22"/>
              </w:rPr>
            </w:pPr>
            <w:r w:rsidRPr="007B36CE">
              <w:rPr>
                <w:b/>
                <w:szCs w:val="22"/>
                <w:lang w:eastAsia="ja-JP"/>
              </w:rPr>
              <w:t>ABC</w:t>
            </w:r>
          </w:p>
        </w:tc>
        <w:tc>
          <w:tcPr>
            <w:tcW w:w="3166" w:type="dxa"/>
            <w:tcBorders>
              <w:top w:val="double" w:sz="4" w:space="0" w:color="auto"/>
            </w:tcBorders>
            <w:vAlign w:val="center"/>
          </w:tcPr>
          <w:p w:rsidR="00C710B9" w:rsidRPr="007B36CE" w:rsidRDefault="00C710B9" w:rsidP="0047662A">
            <w:pPr>
              <w:pStyle w:val="Heading8"/>
              <w:spacing w:before="120" w:after="120"/>
              <w:jc w:val="center"/>
              <w:rPr>
                <w:b/>
                <w:szCs w:val="22"/>
              </w:rPr>
            </w:pPr>
            <w:r w:rsidRPr="007B36CE">
              <w:rPr>
                <w:b/>
                <w:szCs w:val="22"/>
              </w:rPr>
              <w:t>ABC</w:t>
            </w:r>
          </w:p>
        </w:tc>
      </w:tr>
      <w:tr w:rsidR="00C710B9" w:rsidRPr="00EC0F23" w:rsidTr="0047662A">
        <w:tblPrEx>
          <w:tblCellMar>
            <w:top w:w="0" w:type="dxa"/>
            <w:bottom w:w="0" w:type="dxa"/>
          </w:tblCellMar>
        </w:tblPrEx>
        <w:trPr>
          <w:trHeight w:val="714"/>
        </w:trPr>
        <w:tc>
          <w:tcPr>
            <w:tcW w:w="1276" w:type="dxa"/>
            <w:vAlign w:val="center"/>
          </w:tcPr>
          <w:p w:rsidR="00C710B9" w:rsidRPr="007B36CE" w:rsidRDefault="00C710B9" w:rsidP="0047662A">
            <w:pPr>
              <w:spacing w:before="360" w:after="360"/>
              <w:rPr>
                <w:rFonts w:ascii="Times New Roman" w:hAnsi="Times New Roman"/>
                <w:b/>
              </w:rPr>
            </w:pPr>
            <w:r w:rsidRPr="007B36CE">
              <w:rPr>
                <w:rFonts w:ascii="Times New Roman" w:hAnsi="Times New Roman"/>
                <w:b/>
              </w:rPr>
              <w:t>Chữ ký</w:t>
            </w:r>
          </w:p>
        </w:tc>
        <w:tc>
          <w:tcPr>
            <w:tcW w:w="2598" w:type="dxa"/>
            <w:vAlign w:val="center"/>
          </w:tcPr>
          <w:p w:rsidR="00C710B9" w:rsidRPr="007B36CE" w:rsidRDefault="00C710B9" w:rsidP="0047662A">
            <w:pPr>
              <w:spacing w:before="360" w:after="3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99" w:type="dxa"/>
            <w:vAlign w:val="center"/>
          </w:tcPr>
          <w:p w:rsidR="00C710B9" w:rsidRPr="007B36CE" w:rsidRDefault="00C710B9" w:rsidP="0047662A">
            <w:pPr>
              <w:spacing w:before="360" w:after="3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:rsidR="00C710B9" w:rsidRPr="007B36CE" w:rsidRDefault="00C710B9" w:rsidP="0047662A">
            <w:pPr>
              <w:spacing w:before="360" w:after="3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C710B9" w:rsidRPr="004B0C3B" w:rsidRDefault="00C710B9" w:rsidP="00C710B9">
      <w:pPr>
        <w:rPr>
          <w:rFonts w:ascii="Times New Roman" w:hAnsi="Times New Roman"/>
          <w:sz w:val="24"/>
          <w:szCs w:val="24"/>
        </w:rPr>
      </w:pPr>
    </w:p>
    <w:p w:rsidR="00C710B9" w:rsidRPr="00866C85" w:rsidRDefault="00C710B9" w:rsidP="00C710B9">
      <w:pPr>
        <w:spacing w:before="60" w:after="6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4B0C3B">
        <w:rPr>
          <w:rFonts w:ascii="Times New Roman" w:hAnsi="Times New Roman"/>
          <w:b/>
          <w:sz w:val="24"/>
          <w:szCs w:val="24"/>
        </w:rPr>
        <w:lastRenderedPageBreak/>
        <w:t>I/ MỤC ĐÍCH, YÊU CẦU:</w:t>
      </w:r>
    </w:p>
    <w:p w:rsidR="00C710B9" w:rsidRPr="004B0C3B" w:rsidRDefault="00C710B9" w:rsidP="00C710B9">
      <w:pPr>
        <w:numPr>
          <w:ilvl w:val="0"/>
          <w:numId w:val="3"/>
        </w:numPr>
        <w:tabs>
          <w:tab w:val="clear" w:pos="720"/>
          <w:tab w:val="num" w:pos="360"/>
        </w:tabs>
        <w:spacing w:before="60" w:after="60" w:line="312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B0C3B">
        <w:rPr>
          <w:rFonts w:ascii="Times New Roman" w:hAnsi="Times New Roman"/>
          <w:sz w:val="24"/>
          <w:szCs w:val="24"/>
        </w:rPr>
        <w:t xml:space="preserve">Xây dựng các </w:t>
      </w:r>
      <w:r>
        <w:rPr>
          <w:rFonts w:ascii="Times New Roman" w:hAnsi="Times New Roman"/>
          <w:sz w:val="24"/>
          <w:szCs w:val="24"/>
        </w:rPr>
        <w:t>bước quy trình nghỉ phép cho CNV công ty.</w:t>
      </w:r>
    </w:p>
    <w:p w:rsidR="00C710B9" w:rsidRPr="00866C85" w:rsidRDefault="00C710B9" w:rsidP="00C710B9">
      <w:pPr>
        <w:spacing w:before="60" w:after="6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4B0C3B">
        <w:rPr>
          <w:rFonts w:ascii="Times New Roman" w:hAnsi="Times New Roman"/>
          <w:b/>
          <w:sz w:val="24"/>
          <w:szCs w:val="24"/>
        </w:rPr>
        <w:t>III/ PHẠM VI:</w:t>
      </w:r>
    </w:p>
    <w:p w:rsidR="00C710B9" w:rsidRPr="004B0C3B" w:rsidRDefault="00C710B9" w:rsidP="00C710B9">
      <w:pPr>
        <w:numPr>
          <w:ilvl w:val="0"/>
          <w:numId w:val="2"/>
        </w:numPr>
        <w:tabs>
          <w:tab w:val="clear" w:pos="720"/>
          <w:tab w:val="num" w:pos="360"/>
        </w:tabs>
        <w:spacing w:before="60" w:after="60" w:line="312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B0C3B">
        <w:rPr>
          <w:rFonts w:ascii="Times New Roman" w:hAnsi="Times New Roman"/>
          <w:sz w:val="24"/>
          <w:szCs w:val="24"/>
        </w:rPr>
        <w:t xml:space="preserve">Áp dụng cho </w:t>
      </w:r>
      <w:r>
        <w:rPr>
          <w:rFonts w:ascii="Times New Roman" w:hAnsi="Times New Roman"/>
          <w:sz w:val="24"/>
          <w:szCs w:val="24"/>
        </w:rPr>
        <w:t>toàn bộ hệ thống của Công ty.</w:t>
      </w:r>
    </w:p>
    <w:p w:rsidR="00C710B9" w:rsidRPr="00866C85" w:rsidRDefault="00C710B9" w:rsidP="00C710B9">
      <w:pPr>
        <w:spacing w:before="60" w:after="6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4B0C3B">
        <w:t xml:space="preserve">II/ </w:t>
      </w:r>
      <w:r w:rsidRPr="00866C85">
        <w:rPr>
          <w:rFonts w:ascii="Times New Roman" w:hAnsi="Times New Roman"/>
          <w:b/>
          <w:sz w:val="24"/>
          <w:szCs w:val="24"/>
        </w:rPr>
        <w:t>ĐỊNH NGHĨA</w:t>
      </w:r>
      <w:r w:rsidRPr="004B0C3B">
        <w:t>:</w:t>
      </w:r>
    </w:p>
    <w:p w:rsidR="00C710B9" w:rsidRPr="004B0C3B" w:rsidRDefault="00C710B9" w:rsidP="00C710B9">
      <w:pPr>
        <w:pStyle w:val="Header"/>
        <w:numPr>
          <w:ilvl w:val="0"/>
          <w:numId w:val="1"/>
        </w:numPr>
        <w:tabs>
          <w:tab w:val="clear" w:pos="4680"/>
          <w:tab w:val="clear" w:pos="9360"/>
          <w:tab w:val="center" w:pos="4153"/>
          <w:tab w:val="right" w:pos="8306"/>
        </w:tabs>
        <w:spacing w:before="60" w:after="60" w:line="312" w:lineRule="auto"/>
        <w:jc w:val="both"/>
        <w:rPr>
          <w:rFonts w:ascii="Times New Roman" w:hAnsi="Times New Roman"/>
          <w:sz w:val="24"/>
          <w:szCs w:val="24"/>
        </w:rPr>
      </w:pPr>
      <w:r w:rsidRPr="004B0C3B">
        <w:rPr>
          <w:rFonts w:ascii="Times New Roman" w:hAnsi="Times New Roman"/>
          <w:sz w:val="24"/>
          <w:szCs w:val="24"/>
        </w:rPr>
        <w:t>Không có.</w:t>
      </w:r>
    </w:p>
    <w:p w:rsidR="00C710B9" w:rsidRPr="00866C85" w:rsidRDefault="00C710B9" w:rsidP="00C710B9">
      <w:pPr>
        <w:spacing w:before="60" w:after="6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4B0C3B">
        <w:rPr>
          <w:rFonts w:ascii="Times New Roman" w:hAnsi="Times New Roman"/>
          <w:b/>
          <w:sz w:val="24"/>
          <w:szCs w:val="24"/>
        </w:rPr>
        <w:t>IV/ NỘI DUNG:</w:t>
      </w:r>
    </w:p>
    <w:p w:rsidR="00C710B9" w:rsidRPr="00792D27" w:rsidRDefault="00C710B9" w:rsidP="00C710B9">
      <w:pPr>
        <w:pStyle w:val="Title"/>
        <w:numPr>
          <w:ilvl w:val="0"/>
          <w:numId w:val="6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i/>
          <w:sz w:val="24"/>
          <w:lang w:val="nl-NL"/>
        </w:rPr>
        <w:t>Các hình thức khen thưởng:</w:t>
      </w:r>
    </w:p>
    <w:p w:rsidR="00C710B9" w:rsidRPr="00792D27" w:rsidRDefault="00C710B9" w:rsidP="00C710B9">
      <w:pPr>
        <w:pStyle w:val="Title"/>
        <w:numPr>
          <w:ilvl w:val="0"/>
          <w:numId w:val="5"/>
        </w:numPr>
        <w:spacing w:after="60" w:line="312" w:lineRule="auto"/>
        <w:jc w:val="both"/>
        <w:rPr>
          <w:b w:val="0"/>
          <w:i/>
          <w:sz w:val="24"/>
          <w:lang w:val="nl-NL"/>
        </w:rPr>
      </w:pPr>
      <w:r w:rsidRPr="00792D27">
        <w:rPr>
          <w:b w:val="0"/>
          <w:i/>
          <w:sz w:val="24"/>
          <w:lang w:val="nl-NL"/>
        </w:rPr>
        <w:t>Thưởng lễ 30/4 &amp; 1/5, Ngày quốc khách, Tết Dương lịch: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Toàn bộ CBCNV được hưởng mức thưởng bằng nhau.</w:t>
      </w:r>
    </w:p>
    <w:p w:rsidR="00C710B9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Số tiền thưởng từ 40.000 đồng đến 200.000 đồng tuỳ thuộc vào kết quả kinh doanh của Công ty.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 xml:space="preserve">Phòng </w:t>
      </w:r>
      <w:r>
        <w:rPr>
          <w:b w:val="0"/>
          <w:sz w:val="24"/>
          <w:lang w:val="nl-NL"/>
        </w:rPr>
        <w:t>nhân sự</w:t>
      </w:r>
      <w:r w:rsidRPr="00792D27">
        <w:rPr>
          <w:b w:val="0"/>
          <w:sz w:val="24"/>
          <w:lang w:val="nl-NL"/>
        </w:rPr>
        <w:t xml:space="preserve"> có trách nhiệm lập tở trình Ban </w:t>
      </w:r>
      <w:r>
        <w:rPr>
          <w:b w:val="0"/>
          <w:sz w:val="24"/>
          <w:lang w:val="nl-NL"/>
        </w:rPr>
        <w:t>GĐ</w:t>
      </w:r>
      <w:r w:rsidRPr="00792D27">
        <w:rPr>
          <w:b w:val="0"/>
          <w:sz w:val="24"/>
          <w:lang w:val="nl-NL"/>
        </w:rPr>
        <w:t xml:space="preserve"> về số tiền thưởng, dự toán tiền thưởng trình Ban </w:t>
      </w:r>
      <w:r>
        <w:rPr>
          <w:b w:val="0"/>
          <w:sz w:val="24"/>
          <w:lang w:val="nl-NL"/>
        </w:rPr>
        <w:t>GĐ</w:t>
      </w:r>
      <w:r w:rsidRPr="00792D27">
        <w:rPr>
          <w:b w:val="0"/>
          <w:sz w:val="24"/>
          <w:lang w:val="nl-NL"/>
        </w:rPr>
        <w:t xml:space="preserve"> trước 15 ngày so với ngày lễ tương ứng, lập danh sách CBCNV được thưởng trước 3 ngày so với ngày lễ tương ứng.</w:t>
      </w:r>
    </w:p>
    <w:p w:rsidR="00C710B9" w:rsidRPr="00792D27" w:rsidRDefault="00C710B9" w:rsidP="00C710B9">
      <w:pPr>
        <w:pStyle w:val="Title"/>
        <w:numPr>
          <w:ilvl w:val="0"/>
          <w:numId w:val="5"/>
        </w:numPr>
        <w:spacing w:after="60" w:line="312" w:lineRule="auto"/>
        <w:jc w:val="both"/>
        <w:rPr>
          <w:b w:val="0"/>
          <w:i/>
          <w:sz w:val="24"/>
          <w:lang w:val="nl-NL"/>
        </w:rPr>
      </w:pPr>
      <w:r w:rsidRPr="00792D27">
        <w:rPr>
          <w:b w:val="0"/>
          <w:i/>
          <w:sz w:val="24"/>
          <w:lang w:val="nl-NL"/>
        </w:rPr>
        <w:t>Thưởng thâm niên: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Thâm niên được tính chi tiết tới từng tháng (nếu từ 15 ngày trở lên thì tính đủ tháng, nếu dưới 15 ngày thì không được tính đủ tháng.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Tiền thâm niên = số tháng thâm niên * số tiền thâm niên 1 tháng.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 xml:space="preserve">Phòng </w:t>
      </w:r>
      <w:r>
        <w:rPr>
          <w:b w:val="0"/>
          <w:sz w:val="24"/>
          <w:lang w:val="nl-NL"/>
        </w:rPr>
        <w:t>nhân sự</w:t>
      </w:r>
      <w:r w:rsidRPr="00792D27">
        <w:rPr>
          <w:b w:val="0"/>
          <w:sz w:val="24"/>
          <w:lang w:val="nl-NL"/>
        </w:rPr>
        <w:t xml:space="preserve"> có trách nhiệm lập tờ trình về số tiền thâm niên của 1 tháng, dự toán tổng tiền thâm niên trước 30 ngày so với ngày bắt đầu nghỉ tết.</w:t>
      </w:r>
    </w:p>
    <w:p w:rsidR="00C710B9" w:rsidRPr="00792D27" w:rsidRDefault="00C710B9" w:rsidP="00C710B9">
      <w:pPr>
        <w:pStyle w:val="Title"/>
        <w:numPr>
          <w:ilvl w:val="0"/>
          <w:numId w:val="5"/>
        </w:numPr>
        <w:spacing w:after="60" w:line="312" w:lineRule="auto"/>
        <w:jc w:val="both"/>
        <w:rPr>
          <w:b w:val="0"/>
          <w:i/>
          <w:sz w:val="24"/>
          <w:lang w:val="nl-NL"/>
        </w:rPr>
      </w:pPr>
      <w:r w:rsidRPr="00792D27">
        <w:rPr>
          <w:b w:val="0"/>
          <w:i/>
          <w:sz w:val="24"/>
          <w:lang w:val="nl-NL"/>
        </w:rPr>
        <w:t>Thưởng tháng lương 13 (tết AL):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Được tính = tỷ lệ % * [tổng lương thực tế trong năm (không phải lương hợp đồng) / 12 tháng].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 xml:space="preserve">Phòng </w:t>
      </w:r>
      <w:r>
        <w:rPr>
          <w:b w:val="0"/>
          <w:sz w:val="24"/>
          <w:lang w:val="nl-NL"/>
        </w:rPr>
        <w:t>nhân sự</w:t>
      </w:r>
      <w:r w:rsidRPr="00792D27">
        <w:rPr>
          <w:b w:val="0"/>
          <w:sz w:val="24"/>
          <w:lang w:val="nl-NL"/>
        </w:rPr>
        <w:t xml:space="preserve"> có trách nhiệm lập tờ trình về tỷ lệ %, dự toán tổng tiền thưởng tháng lương 13 trước 30 ngày so với ngày bắt đầu nghỉ tết.</w:t>
      </w:r>
    </w:p>
    <w:p w:rsidR="00C710B9" w:rsidRPr="00792D27" w:rsidRDefault="00C710B9" w:rsidP="00C710B9">
      <w:pPr>
        <w:pStyle w:val="Title"/>
        <w:numPr>
          <w:ilvl w:val="0"/>
          <w:numId w:val="5"/>
        </w:numPr>
        <w:spacing w:after="60" w:line="312" w:lineRule="auto"/>
        <w:jc w:val="both"/>
        <w:rPr>
          <w:b w:val="0"/>
          <w:i/>
          <w:sz w:val="24"/>
          <w:lang w:val="nl-NL"/>
        </w:rPr>
      </w:pPr>
      <w:r w:rsidRPr="00792D27">
        <w:rPr>
          <w:b w:val="0"/>
          <w:i/>
          <w:sz w:val="24"/>
          <w:lang w:val="nl-NL"/>
        </w:rPr>
        <w:t>Thưởng chuyên cần:</w:t>
      </w:r>
    </w:p>
    <w:p w:rsidR="00C710B9" w:rsidRPr="00482A39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482A39">
        <w:rPr>
          <w:b w:val="0"/>
          <w:sz w:val="24"/>
          <w:szCs w:val="24"/>
          <w:lang w:val="nl-NL"/>
        </w:rPr>
        <w:t>Đối tượng áp dụng là CNV trực tiếp sản xuất trên dây chuyền</w:t>
      </w:r>
      <w:r>
        <w:rPr>
          <w:lang w:val="nl-NL"/>
        </w:rPr>
        <w:t>.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 xml:space="preserve">Điều kiện: Làm đủ số ngày theo tổng số ngày chuyền đã thực hiện (không tính những ngày </w:t>
      </w:r>
      <w:r>
        <w:rPr>
          <w:b w:val="0"/>
          <w:sz w:val="24"/>
          <w:lang w:val="nl-NL"/>
        </w:rPr>
        <w:t>phải làm bù hay điều động làm thêm</w:t>
      </w:r>
      <w:r w:rsidRPr="00792D27">
        <w:rPr>
          <w:b w:val="0"/>
          <w:sz w:val="24"/>
          <w:lang w:val="nl-NL"/>
        </w:rPr>
        <w:t>).</w:t>
      </w:r>
    </w:p>
    <w:p w:rsidR="00C710B9" w:rsidRPr="00792D27" w:rsidRDefault="00C710B9" w:rsidP="00C710B9">
      <w:pPr>
        <w:pStyle w:val="Title"/>
        <w:numPr>
          <w:ilvl w:val="0"/>
          <w:numId w:val="5"/>
        </w:numPr>
        <w:spacing w:after="60" w:line="312" w:lineRule="auto"/>
        <w:jc w:val="both"/>
        <w:rPr>
          <w:b w:val="0"/>
          <w:i/>
          <w:sz w:val="24"/>
          <w:lang w:val="nl-NL"/>
        </w:rPr>
      </w:pPr>
      <w:r w:rsidRPr="00792D27">
        <w:rPr>
          <w:b w:val="0"/>
          <w:i/>
          <w:sz w:val="24"/>
          <w:lang w:val="nl-NL"/>
        </w:rPr>
        <w:t>Thưởng tiết kiệm nguyên phụ liệu: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Bộ phận sản xuất mà tiết kiệm được % nguyên phụ liệu tiêu hao thì được thưởng 30 % mức nguyên phụ liệu tiết kiệm được.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 xml:space="preserve">Hàng quí Phòng </w:t>
      </w:r>
      <w:r>
        <w:rPr>
          <w:b w:val="0"/>
          <w:sz w:val="24"/>
          <w:lang w:val="nl-NL"/>
        </w:rPr>
        <w:t>Nh</w:t>
      </w:r>
      <w:r w:rsidRPr="00CB4BD3">
        <w:rPr>
          <w:b w:val="0"/>
          <w:sz w:val="24"/>
          <w:lang w:val="nl-NL"/>
        </w:rPr>
        <w:t>â</w:t>
      </w:r>
      <w:r>
        <w:rPr>
          <w:b w:val="0"/>
          <w:sz w:val="24"/>
          <w:lang w:val="nl-NL"/>
        </w:rPr>
        <w:t>n s</w:t>
      </w:r>
      <w:r w:rsidRPr="00CB4BD3">
        <w:rPr>
          <w:b w:val="0"/>
          <w:sz w:val="24"/>
          <w:lang w:val="nl-NL"/>
        </w:rPr>
        <w:t>ự</w:t>
      </w:r>
      <w:r w:rsidRPr="00792D27">
        <w:rPr>
          <w:b w:val="0"/>
          <w:sz w:val="24"/>
          <w:lang w:val="nl-NL"/>
        </w:rPr>
        <w:t xml:space="preserve"> kết hợp Phòng KHKD và bộ phận sản xuất liên quan lập kế hoạch khen thưởng trình </w:t>
      </w:r>
      <w:r>
        <w:rPr>
          <w:b w:val="0"/>
          <w:sz w:val="24"/>
          <w:lang w:val="nl-NL"/>
        </w:rPr>
        <w:t>GĐ</w:t>
      </w:r>
      <w:r w:rsidRPr="00792D27">
        <w:rPr>
          <w:b w:val="0"/>
          <w:sz w:val="24"/>
          <w:lang w:val="nl-NL"/>
        </w:rPr>
        <w:t xml:space="preserve"> xem xét và phê duyệt.</w:t>
      </w:r>
    </w:p>
    <w:p w:rsidR="00C710B9" w:rsidRPr="00792D27" w:rsidRDefault="00C710B9" w:rsidP="00C710B9">
      <w:pPr>
        <w:pStyle w:val="Title"/>
        <w:numPr>
          <w:ilvl w:val="0"/>
          <w:numId w:val="5"/>
        </w:numPr>
        <w:spacing w:after="60" w:line="312" w:lineRule="auto"/>
        <w:jc w:val="both"/>
        <w:rPr>
          <w:b w:val="0"/>
          <w:i/>
          <w:sz w:val="24"/>
          <w:lang w:val="nl-NL"/>
        </w:rPr>
      </w:pPr>
      <w:r w:rsidRPr="00792D27">
        <w:rPr>
          <w:b w:val="0"/>
          <w:i/>
          <w:sz w:val="24"/>
          <w:lang w:val="nl-NL"/>
        </w:rPr>
        <w:lastRenderedPageBreak/>
        <w:t>Thưởng đạt chất lượng: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Hàng tháng, Xưởng may tổng kết và lựa chọn 1 chuyền đạt chất lượng cao nhất trình Ban Tổng Giám đốc khen thưởng.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Mức thưởng áp dụng là: 500.000 đồng – 1000.000 đồng.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 xml:space="preserve">Phòng </w:t>
      </w:r>
      <w:r>
        <w:rPr>
          <w:b w:val="0"/>
          <w:sz w:val="24"/>
          <w:lang w:val="nl-NL"/>
        </w:rPr>
        <w:t>Nhân sự</w:t>
      </w:r>
      <w:r w:rsidRPr="00792D27">
        <w:rPr>
          <w:b w:val="0"/>
          <w:sz w:val="24"/>
          <w:lang w:val="nl-NL"/>
        </w:rPr>
        <w:t xml:space="preserve"> kết hợp lãnh đạo lập kế hoạch khen thưởng trình </w:t>
      </w:r>
      <w:r>
        <w:rPr>
          <w:b w:val="0"/>
          <w:sz w:val="24"/>
          <w:lang w:val="nl-NL"/>
        </w:rPr>
        <w:t>GĐ</w:t>
      </w:r>
      <w:r w:rsidRPr="00792D27">
        <w:rPr>
          <w:b w:val="0"/>
          <w:sz w:val="24"/>
          <w:lang w:val="nl-NL"/>
        </w:rPr>
        <w:t xml:space="preserve"> xem xét và phê duyệt.</w:t>
      </w:r>
    </w:p>
    <w:p w:rsidR="00C710B9" w:rsidRPr="00792D27" w:rsidRDefault="00C710B9" w:rsidP="00C710B9">
      <w:pPr>
        <w:pStyle w:val="Title"/>
        <w:numPr>
          <w:ilvl w:val="0"/>
          <w:numId w:val="5"/>
        </w:numPr>
        <w:spacing w:after="60" w:line="312" w:lineRule="auto"/>
        <w:jc w:val="both"/>
        <w:rPr>
          <w:b w:val="0"/>
          <w:i/>
          <w:sz w:val="24"/>
          <w:lang w:val="nl-NL"/>
        </w:rPr>
      </w:pPr>
      <w:r w:rsidRPr="00792D27">
        <w:rPr>
          <w:b w:val="0"/>
          <w:i/>
          <w:sz w:val="24"/>
          <w:lang w:val="nl-NL"/>
        </w:rPr>
        <w:t>Thưởng năng xuất: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Năng suất của bộ phận là những sản phẩm đạt chất lượng do bộ phận làm ra (không phải là tổng sản phẩm của bộ phận đó).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Năng xuất của bộ phận được tính chủ yếu trên cơ sở 8 giờ làm việc hành chánh, càng ít thời gian làm tăng ca càng tốt.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Mức thưởng năng xuất là: 300.000 – 600.000 đồng.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 xml:space="preserve">Hàng tháng Phòng </w:t>
      </w:r>
      <w:r>
        <w:rPr>
          <w:b w:val="0"/>
          <w:sz w:val="24"/>
          <w:lang w:val="nl-NL"/>
        </w:rPr>
        <w:t>Nhân sự</w:t>
      </w:r>
      <w:r w:rsidRPr="00792D27">
        <w:rPr>
          <w:b w:val="0"/>
          <w:sz w:val="24"/>
          <w:lang w:val="nl-NL"/>
        </w:rPr>
        <w:t xml:space="preserve"> kết hợp lãnh đạo lập kế hoạch khen thưởng những 1 đơn vị có năng xuất cao trình </w:t>
      </w:r>
      <w:r>
        <w:rPr>
          <w:b w:val="0"/>
          <w:sz w:val="24"/>
          <w:lang w:val="nl-NL"/>
        </w:rPr>
        <w:t>GĐ</w:t>
      </w:r>
      <w:r w:rsidRPr="00792D27">
        <w:rPr>
          <w:b w:val="0"/>
          <w:sz w:val="24"/>
          <w:lang w:val="nl-NL"/>
        </w:rPr>
        <w:t xml:space="preserve"> xem xét và phê duyệt.</w:t>
      </w:r>
    </w:p>
    <w:p w:rsidR="00C710B9" w:rsidRPr="00792D27" w:rsidRDefault="00C710B9" w:rsidP="00C710B9">
      <w:pPr>
        <w:pStyle w:val="Title"/>
        <w:numPr>
          <w:ilvl w:val="0"/>
          <w:numId w:val="5"/>
        </w:numPr>
        <w:spacing w:after="60" w:line="312" w:lineRule="auto"/>
        <w:jc w:val="both"/>
        <w:rPr>
          <w:b w:val="0"/>
          <w:i/>
          <w:sz w:val="24"/>
          <w:lang w:val="nl-NL"/>
        </w:rPr>
      </w:pPr>
      <w:r w:rsidRPr="00792D27">
        <w:rPr>
          <w:b w:val="0"/>
          <w:i/>
          <w:sz w:val="24"/>
          <w:lang w:val="nl-NL"/>
        </w:rPr>
        <w:t>Thưởng đạt doanh thu: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Mỗi bộ phận vượt doanh thu sẽ được thưởng 5 % phần doanh thu vượt quá theo khoán doanh thu.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Bộ phận không đạt doanh thu thì bị phạt 5 % phần doanh thu không đạt vào tổng quỹ lương.</w:t>
      </w:r>
    </w:p>
    <w:p w:rsidR="00C710B9" w:rsidRPr="00792D27" w:rsidRDefault="00C710B9" w:rsidP="00C710B9">
      <w:pPr>
        <w:pStyle w:val="Title"/>
        <w:numPr>
          <w:ilvl w:val="0"/>
          <w:numId w:val="5"/>
        </w:numPr>
        <w:spacing w:after="60" w:line="312" w:lineRule="auto"/>
        <w:jc w:val="both"/>
        <w:rPr>
          <w:b w:val="0"/>
          <w:i/>
          <w:sz w:val="24"/>
          <w:lang w:val="nl-NL"/>
        </w:rPr>
      </w:pPr>
      <w:r w:rsidRPr="00792D27">
        <w:rPr>
          <w:b w:val="0"/>
          <w:i/>
          <w:sz w:val="24"/>
          <w:lang w:val="nl-NL"/>
        </w:rPr>
        <w:t>Thưởng sáng kiến: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Bất kỳ CBCNV Công ty có sáng kiến làm lợi cho Công ty đều được khen thưởng.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Mức thưởng áp dụng như sau:</w:t>
      </w:r>
    </w:p>
    <w:p w:rsidR="00C710B9" w:rsidRPr="00792D27" w:rsidRDefault="00C710B9" w:rsidP="00C710B9">
      <w:pPr>
        <w:pStyle w:val="Title"/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+    Làm lợi cho Công ty dưới 1 triệu đồng: 20 % phần lợi đem lại nhưng không thấp hơn 40.000 đồng</w:t>
      </w:r>
    </w:p>
    <w:p w:rsidR="00C710B9" w:rsidRPr="00792D27" w:rsidRDefault="00C710B9" w:rsidP="00C710B9">
      <w:pPr>
        <w:pStyle w:val="Title"/>
        <w:spacing w:after="60" w:line="312" w:lineRule="auto"/>
        <w:ind w:left="360" w:hanging="360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+    Làm lợi cho Công ty từ 1 triệu đồng đến 5 triệu: 15 % phần lợi đem lại nhưng không thấp hơn 200.000  đồng.</w:t>
      </w:r>
    </w:p>
    <w:p w:rsidR="00C710B9" w:rsidRPr="00792D27" w:rsidRDefault="00C710B9" w:rsidP="00C710B9">
      <w:pPr>
        <w:pStyle w:val="Title"/>
        <w:spacing w:after="60" w:line="312" w:lineRule="auto"/>
        <w:ind w:left="360" w:hanging="360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+   Làm lợi cho Công ty từ 5 triệu đồng đến 10 triệu: 10 % phần lợi đem lại nhưng không thấp hơn 700.000 đồng.</w:t>
      </w:r>
    </w:p>
    <w:p w:rsidR="00C710B9" w:rsidRPr="00792D27" w:rsidRDefault="00C710B9" w:rsidP="00C710B9">
      <w:pPr>
        <w:pStyle w:val="Title"/>
        <w:spacing w:after="60" w:line="312" w:lineRule="auto"/>
        <w:ind w:left="360" w:hanging="360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+   Làm lợi cho Công ty từ 10 triệu đồng đến 50 triệu: 5 % phần lợi đem lại nhưng không thấp hơn 1.000.000 đồng.</w:t>
      </w:r>
    </w:p>
    <w:p w:rsidR="00C710B9" w:rsidRPr="00792D27" w:rsidRDefault="00C710B9" w:rsidP="00C710B9">
      <w:pPr>
        <w:pStyle w:val="Title"/>
        <w:spacing w:after="60" w:line="312" w:lineRule="auto"/>
        <w:ind w:left="360" w:hanging="360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+   Làm lợi cho Công ty từ 50 triệu đồng đến 100 triệu: 3 % phần lợi đem lại nhưng không thấp hơn 2.500.000 đồng.</w:t>
      </w:r>
    </w:p>
    <w:p w:rsidR="00C710B9" w:rsidRPr="00792D27" w:rsidRDefault="00C710B9" w:rsidP="00C710B9">
      <w:pPr>
        <w:pStyle w:val="Title"/>
        <w:spacing w:after="60" w:line="312" w:lineRule="auto"/>
        <w:ind w:left="360" w:hanging="360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+    Làm lợi cho Công ty từ 100 triệu đồng đến 500 triệu: 1 % phần lợi đem lại nhưng không thấp hơn 3.000.000 đồng.</w:t>
      </w:r>
    </w:p>
    <w:p w:rsidR="00C710B9" w:rsidRPr="00792D27" w:rsidRDefault="00C710B9" w:rsidP="00C710B9">
      <w:pPr>
        <w:pStyle w:val="Title"/>
        <w:spacing w:after="60" w:line="312" w:lineRule="auto"/>
        <w:ind w:left="360" w:hanging="360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+    Làm lợi cho Công ty trên 500 triệu: 0.5 % phần lợi đem lại nhưng không thấp hơn 5.000.000 đồng.</w:t>
      </w:r>
    </w:p>
    <w:p w:rsidR="00C710B9" w:rsidRPr="00792D27" w:rsidRDefault="00C710B9" w:rsidP="00C710B9">
      <w:pPr>
        <w:pStyle w:val="Title"/>
        <w:spacing w:after="60" w:line="312" w:lineRule="auto"/>
        <w:ind w:left="360" w:hanging="360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+    Các sáng kiến không thể tính được doanh thu thì mức thưởng là 200.000 – 1000.000 đồng tuỳ theo các trường hợp.</w:t>
      </w:r>
    </w:p>
    <w:p w:rsidR="00C710B9" w:rsidRPr="00792D27" w:rsidRDefault="00C710B9" w:rsidP="00C710B9">
      <w:pPr>
        <w:pStyle w:val="Title"/>
        <w:numPr>
          <w:ilvl w:val="0"/>
          <w:numId w:val="5"/>
        </w:numPr>
        <w:spacing w:after="60" w:line="312" w:lineRule="auto"/>
        <w:jc w:val="both"/>
        <w:rPr>
          <w:b w:val="0"/>
          <w:i/>
          <w:sz w:val="24"/>
          <w:lang w:val="nl-NL"/>
        </w:rPr>
      </w:pPr>
      <w:r w:rsidRPr="00792D27">
        <w:rPr>
          <w:b w:val="0"/>
          <w:i/>
          <w:sz w:val="24"/>
          <w:lang w:val="nl-NL"/>
        </w:rPr>
        <w:lastRenderedPageBreak/>
        <w:t>Thưởng dự án: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CBCNV tham gia vào việc xây dựng, quản lý dự án cho Công ty thành công sẽ được Công ty xét thưởng.</w:t>
      </w:r>
    </w:p>
    <w:p w:rsidR="00C710B9" w:rsidRPr="00792D27" w:rsidRDefault="00C710B9" w:rsidP="00C710B9">
      <w:pPr>
        <w:pStyle w:val="Title"/>
        <w:numPr>
          <w:ilvl w:val="0"/>
          <w:numId w:val="4"/>
        </w:numPr>
        <w:spacing w:after="60" w:line="312" w:lineRule="auto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 xml:space="preserve">Mức thưởng áp dụng cho từng trường hợp giá trị dự án như sau: </w:t>
      </w:r>
    </w:p>
    <w:p w:rsidR="00C710B9" w:rsidRPr="00792D27" w:rsidRDefault="00C710B9" w:rsidP="00C710B9">
      <w:pPr>
        <w:pStyle w:val="Title"/>
        <w:spacing w:after="60" w:line="312" w:lineRule="auto"/>
        <w:ind w:left="360" w:hanging="360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+    Dưới 10 triệu: 4 % giá trị dự án  nhưng không thấp hơn 200.000 đồng.</w:t>
      </w:r>
    </w:p>
    <w:p w:rsidR="00C710B9" w:rsidRPr="00792D27" w:rsidRDefault="00C710B9" w:rsidP="00C710B9">
      <w:pPr>
        <w:pStyle w:val="Title"/>
        <w:spacing w:after="60" w:line="312" w:lineRule="auto"/>
        <w:ind w:left="360" w:hanging="360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+   Từ 10 triệu đồng đến 50 triệu: 3 % giá trị dự án nhưng không thấp hơn 5.000.000 đồng.</w:t>
      </w:r>
    </w:p>
    <w:p w:rsidR="00C710B9" w:rsidRPr="00792D27" w:rsidRDefault="00C710B9" w:rsidP="00C710B9">
      <w:pPr>
        <w:pStyle w:val="Title"/>
        <w:spacing w:after="60" w:line="312" w:lineRule="auto"/>
        <w:ind w:left="360" w:hanging="360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+   Từ 50 triệu đồng đến 100 triệu: 2 % giá trị dự án nhưng không thấp hơn 1.500.000 đồng.</w:t>
      </w:r>
    </w:p>
    <w:p w:rsidR="00C710B9" w:rsidRPr="00792D27" w:rsidRDefault="00C710B9" w:rsidP="00C710B9">
      <w:pPr>
        <w:pStyle w:val="Title"/>
        <w:spacing w:after="60" w:line="312" w:lineRule="auto"/>
        <w:ind w:left="360" w:hanging="360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+   Từ 100 triệu đồng đến 500 triệu: 1 % giá trị dự án nhưng không thấp hơn 2.000.000 đồng.</w:t>
      </w:r>
    </w:p>
    <w:p w:rsidR="00C710B9" w:rsidRPr="00792D27" w:rsidRDefault="00C710B9" w:rsidP="00C710B9">
      <w:pPr>
        <w:pStyle w:val="Title"/>
        <w:spacing w:after="60" w:line="312" w:lineRule="auto"/>
        <w:ind w:left="360" w:hanging="360"/>
        <w:jc w:val="both"/>
        <w:rPr>
          <w:b w:val="0"/>
          <w:sz w:val="24"/>
          <w:lang w:val="nl-NL"/>
        </w:rPr>
      </w:pPr>
      <w:r w:rsidRPr="00792D27">
        <w:rPr>
          <w:b w:val="0"/>
          <w:sz w:val="24"/>
          <w:lang w:val="nl-NL"/>
        </w:rPr>
        <w:t>+   Trên 500 triệu: 0.5 % phần lợi đem lại nhưng không thấp hơn 5.000.000 đồng.</w:t>
      </w:r>
    </w:p>
    <w:p w:rsidR="00C710B9" w:rsidRPr="0015209F" w:rsidRDefault="00C710B9" w:rsidP="00C710B9">
      <w:pPr>
        <w:pStyle w:val="Title"/>
        <w:spacing w:after="60" w:line="312" w:lineRule="auto"/>
        <w:jc w:val="both"/>
        <w:rPr>
          <w:b w:val="0"/>
          <w:sz w:val="24"/>
          <w:szCs w:val="24"/>
          <w:lang w:val="nl-NL"/>
        </w:rPr>
      </w:pPr>
      <w:r w:rsidRPr="0015209F">
        <w:rPr>
          <w:b w:val="0"/>
          <w:sz w:val="24"/>
          <w:szCs w:val="24"/>
          <w:lang w:val="nl-NL"/>
        </w:rPr>
        <w:t>+</w:t>
      </w:r>
      <w:r>
        <w:rPr>
          <w:lang w:val="nl-NL"/>
        </w:rPr>
        <w:t xml:space="preserve"> </w:t>
      </w:r>
      <w:r w:rsidRPr="0015209F">
        <w:rPr>
          <w:b w:val="0"/>
          <w:sz w:val="24"/>
          <w:szCs w:val="24"/>
          <w:lang w:val="nl-NL"/>
        </w:rPr>
        <w:t>Các dự án không thể tính được doanh thu thì mức thưởng là 200.000 – 1000.000 đồng tuỳ theo các trường hợp.</w:t>
      </w:r>
    </w:p>
    <w:p w:rsidR="00C710B9" w:rsidRPr="0015209F" w:rsidRDefault="00C710B9" w:rsidP="00C710B9">
      <w:pPr>
        <w:numPr>
          <w:ilvl w:val="0"/>
          <w:numId w:val="6"/>
        </w:numPr>
        <w:spacing w:before="60" w:after="6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C8601F">
        <w:rPr>
          <w:rFonts w:ascii="Times New Roman" w:hAnsi="Times New Roman"/>
          <w:b/>
          <w:sz w:val="24"/>
          <w:szCs w:val="24"/>
        </w:rPr>
        <w:t>Quy trình xét thưởng</w:t>
      </w:r>
    </w:p>
    <w:p w:rsidR="00C710B9" w:rsidRDefault="00C710B9" w:rsidP="00C710B9">
      <w:pPr>
        <w:numPr>
          <w:ilvl w:val="0"/>
          <w:numId w:val="7"/>
        </w:numPr>
        <w:tabs>
          <w:tab w:val="clear" w:pos="720"/>
          <w:tab w:val="num" w:pos="360"/>
        </w:tabs>
        <w:spacing w:before="60" w:after="60" w:line="312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Đề nghị xét thưởng:</w:t>
      </w:r>
    </w:p>
    <w:p w:rsidR="00C710B9" w:rsidRDefault="00C710B9" w:rsidP="00C710B9">
      <w:pPr>
        <w:numPr>
          <w:ilvl w:val="0"/>
          <w:numId w:val="4"/>
        </w:numPr>
        <w:spacing w:before="60" w:after="6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Người đề nghị xét thưởng có thể là quản lý, nhân viên các bộ phận, phòng nhân sự hoặc chỉ định của ban giám đốc.</w:t>
      </w:r>
    </w:p>
    <w:p w:rsidR="00C710B9" w:rsidRDefault="00C710B9" w:rsidP="00C710B9">
      <w:pPr>
        <w:numPr>
          <w:ilvl w:val="0"/>
          <w:numId w:val="4"/>
        </w:numPr>
        <w:spacing w:before="60" w:after="6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Căn cứ xét thưởng bao gồm các căn cứ trên đây hoặc không được quy định như trên đây nhưng </w:t>
      </w:r>
    </w:p>
    <w:p w:rsidR="00C710B9" w:rsidRDefault="00C710B9" w:rsidP="00C710B9">
      <w:pPr>
        <w:numPr>
          <w:ilvl w:val="0"/>
          <w:numId w:val="4"/>
        </w:numPr>
        <w:spacing w:before="60" w:after="6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Người đề nghị ghi thông tin theo biểu mẫu: NS – 11 – BM01, đối với trường hợp BGD chỉ định thì do phòng nhân sự ghi.</w:t>
      </w:r>
    </w:p>
    <w:p w:rsidR="00C710B9" w:rsidRDefault="00C710B9" w:rsidP="00C710B9">
      <w:pPr>
        <w:numPr>
          <w:ilvl w:val="0"/>
          <w:numId w:val="4"/>
        </w:numPr>
        <w:spacing w:before="60" w:after="6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Giấy đề nghị khen thưởng phải được quản lý trực tiếp, quản lý gián tiếp cấp phòng xác nhận và ghi ý kiến, sau đó chuyển về phòng nhân sự xem xét.</w:t>
      </w:r>
    </w:p>
    <w:p w:rsidR="00C710B9" w:rsidRDefault="00C710B9" w:rsidP="00C710B9">
      <w:pPr>
        <w:numPr>
          <w:ilvl w:val="0"/>
          <w:numId w:val="7"/>
        </w:numPr>
        <w:tabs>
          <w:tab w:val="clear" w:pos="720"/>
          <w:tab w:val="num" w:pos="360"/>
        </w:tabs>
        <w:spacing w:before="60" w:after="60" w:line="312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Phê duyệt</w:t>
      </w:r>
    </w:p>
    <w:p w:rsidR="00C710B9" w:rsidRPr="004B0C3B" w:rsidRDefault="00C710B9" w:rsidP="00C710B9">
      <w:pPr>
        <w:numPr>
          <w:ilvl w:val="0"/>
          <w:numId w:val="7"/>
        </w:numPr>
        <w:tabs>
          <w:tab w:val="clear" w:pos="720"/>
          <w:tab w:val="num" w:pos="360"/>
        </w:tabs>
        <w:spacing w:before="60" w:after="60" w:line="312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Tổ chức xét thưởng</w:t>
      </w:r>
    </w:p>
    <w:p w:rsidR="00C710B9" w:rsidRPr="00866C85" w:rsidRDefault="00C710B9" w:rsidP="00C710B9">
      <w:pPr>
        <w:spacing w:before="60" w:after="6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4B0C3B">
        <w:rPr>
          <w:rFonts w:ascii="Times New Roman" w:hAnsi="Times New Roman"/>
          <w:b/>
          <w:sz w:val="24"/>
          <w:szCs w:val="24"/>
        </w:rPr>
        <w:t>V/ BIỂU MẪU KÈM THEO:</w:t>
      </w:r>
    </w:p>
    <w:p w:rsidR="00C710B9" w:rsidRDefault="00C710B9" w:rsidP="00C710B9">
      <w:pPr>
        <w:numPr>
          <w:ilvl w:val="0"/>
          <w:numId w:val="8"/>
        </w:numPr>
        <w:tabs>
          <w:tab w:val="clear" w:pos="720"/>
          <w:tab w:val="num" w:pos="360"/>
        </w:tabs>
        <w:spacing w:before="60" w:after="60" w:line="312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Giấy đề nghị khen thưởng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710B9" w:rsidRDefault="00C710B9" w:rsidP="00C710B9">
      <w:pPr>
        <w:numPr>
          <w:ilvl w:val="0"/>
          <w:numId w:val="8"/>
        </w:numPr>
        <w:tabs>
          <w:tab w:val="clear" w:pos="720"/>
          <w:tab w:val="num" w:pos="360"/>
        </w:tabs>
        <w:spacing w:before="60" w:after="60" w:line="312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Quyết định khen thưởng</w:t>
      </w:r>
      <w:r w:rsidRPr="006F07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710B9" w:rsidRDefault="00C710B9" w:rsidP="00C710B9">
      <w:pPr>
        <w:numPr>
          <w:ilvl w:val="0"/>
          <w:numId w:val="8"/>
        </w:numPr>
        <w:tabs>
          <w:tab w:val="clear" w:pos="720"/>
          <w:tab w:val="num" w:pos="360"/>
        </w:tabs>
        <w:spacing w:before="60" w:after="60" w:line="312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Sổ theo dõi khen thưởng.</w:t>
      </w:r>
      <w:r w:rsidRPr="006F07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710B9" w:rsidRPr="0079381F" w:rsidRDefault="00C710B9" w:rsidP="00C710B9">
      <w:pPr>
        <w:spacing w:before="60" w:after="60" w:line="312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710B9" w:rsidRDefault="00C710B9" w:rsidP="00C710B9">
      <w:pPr>
        <w:tabs>
          <w:tab w:val="num" w:pos="567"/>
        </w:tabs>
        <w:spacing w:before="40" w:after="40"/>
        <w:jc w:val="center"/>
      </w:pPr>
    </w:p>
    <w:p w:rsidR="00C710B9" w:rsidRDefault="00C710B9" w:rsidP="00C710B9">
      <w:pPr>
        <w:jc w:val="center"/>
      </w:pPr>
    </w:p>
    <w:p w:rsidR="00C710B9" w:rsidRPr="00022892" w:rsidRDefault="00C710B9" w:rsidP="00C710B9">
      <w:pPr>
        <w:jc w:val="center"/>
        <w:rPr>
          <w:rFonts w:ascii="Times New Roman" w:hAnsi="Times New Roman"/>
          <w:szCs w:val="28"/>
        </w:rPr>
      </w:pPr>
      <w:r>
        <w:t xml:space="preserve">----------------------- </w:t>
      </w:r>
      <w:r>
        <w:sym w:font="Wingdings" w:char="F09B"/>
      </w:r>
      <w:r>
        <w:t xml:space="preserve"> </w:t>
      </w:r>
      <w:r>
        <w:sym w:font="Wingdings" w:char="F026"/>
      </w:r>
      <w:r>
        <w:t xml:space="preserve"> </w:t>
      </w:r>
      <w:r>
        <w:sym w:font="Wingdings" w:char="F09A"/>
      </w:r>
      <w:r>
        <w:t xml:space="preserve"> --------------------------</w:t>
      </w:r>
    </w:p>
    <w:p w:rsidR="00B20C16" w:rsidRDefault="00B20C16"/>
    <w:sectPr w:rsidR="00B20C16" w:rsidSect="00E452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584" w:right="1080" w:bottom="1008" w:left="1440" w:header="346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F05" w:rsidRDefault="00125F05" w:rsidP="00C710B9">
      <w:pPr>
        <w:spacing w:after="0" w:line="240" w:lineRule="auto"/>
      </w:pPr>
      <w:r>
        <w:separator/>
      </w:r>
    </w:p>
  </w:endnote>
  <w:endnote w:type="continuationSeparator" w:id="1">
    <w:p w:rsidR="00125F05" w:rsidRDefault="00125F05" w:rsidP="00C7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8F" w:rsidRDefault="00125F05" w:rsidP="00583B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6C8F" w:rsidRDefault="00125F05" w:rsidP="00583BC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8F" w:rsidRPr="003D097E" w:rsidRDefault="00125F05" w:rsidP="00583BC1">
    <w:pPr>
      <w:pStyle w:val="Footer"/>
      <w:ind w:right="360"/>
      <w:jc w:val="center"/>
      <w:rPr>
        <w:rFonts w:ascii="Arial" w:hAnsi="Arial" w:cs="Arial"/>
        <w:i/>
        <w:sz w:val="20"/>
      </w:rPr>
    </w:pPr>
    <w:r w:rsidRPr="003D097E">
      <w:rPr>
        <w:rStyle w:val="PageNumber"/>
        <w:rFonts w:ascii="Arial" w:hAnsi="Arial" w:cs="Arial"/>
        <w:i/>
        <w:sz w:val="20"/>
      </w:rPr>
      <w:fldChar w:fldCharType="begin"/>
    </w:r>
    <w:r w:rsidRPr="003D097E">
      <w:rPr>
        <w:rStyle w:val="PageNumber"/>
        <w:rFonts w:ascii="Arial" w:hAnsi="Arial" w:cs="Arial"/>
        <w:i/>
        <w:sz w:val="20"/>
      </w:rPr>
      <w:instrText xml:space="preserve"> PAGE </w:instrText>
    </w:r>
    <w:r w:rsidRPr="003D097E">
      <w:rPr>
        <w:rStyle w:val="PageNumber"/>
        <w:rFonts w:ascii="Arial" w:hAnsi="Arial" w:cs="Arial"/>
        <w:i/>
        <w:sz w:val="20"/>
      </w:rPr>
      <w:fldChar w:fldCharType="separate"/>
    </w:r>
    <w:r>
      <w:rPr>
        <w:rStyle w:val="PageNumber"/>
        <w:rFonts w:ascii="Arial" w:hAnsi="Arial" w:cs="Arial"/>
        <w:i/>
        <w:noProof/>
        <w:sz w:val="20"/>
      </w:rPr>
      <w:t>5</w:t>
    </w:r>
    <w:r w:rsidRPr="003D097E">
      <w:rPr>
        <w:rStyle w:val="PageNumber"/>
        <w:rFonts w:ascii="Arial" w:hAnsi="Arial" w:cs="Arial"/>
        <w:i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125F05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125F05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C710B9">
      <w:rPr>
        <w:rFonts w:ascii="Times New Roman" w:hAnsi="Times New Roman"/>
        <w:noProof/>
        <w:sz w:val="16"/>
        <w:szCs w:val="16"/>
      </w:rPr>
      <w:t>2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125F05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125F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F05" w:rsidRDefault="00125F05" w:rsidP="00C710B9">
      <w:pPr>
        <w:spacing w:after="0" w:line="240" w:lineRule="auto"/>
      </w:pPr>
      <w:r>
        <w:separator/>
      </w:r>
    </w:p>
  </w:footnote>
  <w:footnote w:type="continuationSeparator" w:id="1">
    <w:p w:rsidR="00125F05" w:rsidRDefault="00125F05" w:rsidP="00C71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694"/>
      <w:gridCol w:w="3426"/>
      <w:gridCol w:w="2952"/>
    </w:tblGrid>
    <w:tr w:rsidR="00F66C8F" w:rsidRPr="00D1641C">
      <w:tblPrEx>
        <w:tblCellMar>
          <w:top w:w="0" w:type="dxa"/>
          <w:bottom w:w="0" w:type="dxa"/>
        </w:tblCellMar>
      </w:tblPrEx>
      <w:trPr>
        <w:cantSplit/>
        <w:trHeight w:val="353"/>
      </w:trPr>
      <w:tc>
        <w:tcPr>
          <w:tcW w:w="2694" w:type="dxa"/>
          <w:vMerge w:val="restart"/>
          <w:tcBorders>
            <w:bottom w:val="nil"/>
          </w:tcBorders>
          <w:vAlign w:val="center"/>
        </w:tcPr>
        <w:p w:rsidR="00F66C8F" w:rsidRPr="00D1641C" w:rsidRDefault="00125F05" w:rsidP="00583BC1">
          <w:pPr>
            <w:spacing w:before="60" w:after="60"/>
            <w:ind w:right="187"/>
            <w:jc w:val="center"/>
            <w:rPr>
              <w:rFonts w:ascii="Arial" w:hAnsi="Arial" w:cs="Arial"/>
              <w:b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0pt;height:43.5pt">
                <v:imagedata r:id="rId1" o:title="Technologies Final"/>
              </v:shape>
            </w:pict>
          </w:r>
        </w:p>
      </w:tc>
      <w:tc>
        <w:tcPr>
          <w:tcW w:w="3426" w:type="dxa"/>
          <w:vMerge w:val="restart"/>
          <w:vAlign w:val="center"/>
        </w:tcPr>
        <w:p w:rsidR="00F66C8F" w:rsidRPr="00000F30" w:rsidRDefault="00125F05" w:rsidP="00583BC1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QUI CH</w:t>
          </w:r>
          <w:r>
            <w:rPr>
              <w:rFonts w:ascii="Arial" w:hAnsi="Arial" w:cs="Arial"/>
              <w:b/>
              <w:sz w:val="24"/>
              <w:szCs w:val="24"/>
            </w:rPr>
            <w:t>Ế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EC0F23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MUA S</w:t>
          </w:r>
          <w:r w:rsidRPr="00EC0F23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Ắ</w:t>
          </w:r>
          <w:r w:rsidRPr="00EC0F23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M VÀ QU</w:t>
          </w:r>
          <w:r w:rsidRPr="00EC0F23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Ả</w:t>
          </w:r>
          <w:r w:rsidRPr="00EC0F23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N LÝ</w:t>
          </w:r>
          <w:r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 xml:space="preserve"> TÀI S</w:t>
          </w:r>
          <w:r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Ả</w:t>
          </w:r>
          <w:r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N</w:t>
          </w:r>
        </w:p>
      </w:tc>
      <w:tc>
        <w:tcPr>
          <w:tcW w:w="2952" w:type="dxa"/>
          <w:vAlign w:val="center"/>
        </w:tcPr>
        <w:p w:rsidR="00F66C8F" w:rsidRPr="00D1641C" w:rsidRDefault="00125F05">
          <w:pPr>
            <w:pStyle w:val="Header"/>
            <w:rPr>
              <w:rFonts w:ascii="Arial" w:hAnsi="Arial" w:cs="Arial"/>
              <w:lang w:eastAsia="ja-JP"/>
            </w:rPr>
          </w:pPr>
          <w:r w:rsidRPr="00D1641C">
            <w:rPr>
              <w:rFonts w:ascii="Arial" w:hAnsi="Arial" w:cs="Arial"/>
            </w:rPr>
            <w:t>Mã s</w:t>
          </w:r>
          <w:r w:rsidRPr="00D1641C">
            <w:rPr>
              <w:rFonts w:ascii="Arial" w:hAnsi="Arial" w:cs="Arial"/>
            </w:rPr>
            <w:t>ố</w:t>
          </w:r>
          <w:r w:rsidRPr="00D1641C">
            <w:rPr>
              <w:rFonts w:ascii="Arial" w:hAnsi="Arial" w:cs="Arial"/>
            </w:rPr>
            <w:t xml:space="preserve">          : </w:t>
          </w:r>
          <w:r>
            <w:rPr>
              <w:rFonts w:ascii="Arial" w:hAnsi="Arial" w:cs="Arial"/>
            </w:rPr>
            <w:t>QC/QLTS/07</w:t>
          </w:r>
        </w:p>
      </w:tc>
    </w:tr>
    <w:tr w:rsidR="00F66C8F" w:rsidRPr="00D1641C">
      <w:tblPrEx>
        <w:tblCellMar>
          <w:top w:w="0" w:type="dxa"/>
          <w:bottom w:w="0" w:type="dxa"/>
        </w:tblCellMar>
      </w:tblPrEx>
      <w:trPr>
        <w:cantSplit/>
        <w:trHeight w:val="353"/>
      </w:trPr>
      <w:tc>
        <w:tcPr>
          <w:tcW w:w="2694" w:type="dxa"/>
          <w:vMerge/>
          <w:tcBorders>
            <w:top w:val="nil"/>
            <w:bottom w:val="nil"/>
          </w:tcBorders>
        </w:tcPr>
        <w:p w:rsidR="00F66C8F" w:rsidRPr="00D1641C" w:rsidRDefault="00125F05">
          <w:pPr>
            <w:jc w:val="center"/>
            <w:rPr>
              <w:rFonts w:ascii="Arial" w:hAnsi="Arial" w:cs="Arial"/>
            </w:rPr>
          </w:pPr>
        </w:p>
      </w:tc>
      <w:tc>
        <w:tcPr>
          <w:tcW w:w="3426" w:type="dxa"/>
          <w:vMerge/>
        </w:tcPr>
        <w:p w:rsidR="00F66C8F" w:rsidRPr="00D1641C" w:rsidRDefault="00125F05">
          <w:pPr>
            <w:jc w:val="center"/>
            <w:rPr>
              <w:rFonts w:ascii="Arial" w:hAnsi="Arial" w:cs="Arial"/>
            </w:rPr>
          </w:pPr>
        </w:p>
      </w:tc>
      <w:tc>
        <w:tcPr>
          <w:tcW w:w="2952" w:type="dxa"/>
          <w:vAlign w:val="center"/>
        </w:tcPr>
        <w:p w:rsidR="00F66C8F" w:rsidRPr="00D1641C" w:rsidRDefault="00125F05">
          <w:pPr>
            <w:pStyle w:val="Header"/>
            <w:rPr>
              <w:rFonts w:ascii="Arial" w:hAnsi="Arial" w:cs="Arial"/>
            </w:rPr>
          </w:pPr>
          <w:r w:rsidRPr="00D1641C">
            <w:rPr>
              <w:rFonts w:ascii="Arial" w:hAnsi="Arial" w:cs="Arial"/>
            </w:rPr>
            <w:t>Phiên b</w:t>
          </w:r>
          <w:r w:rsidRPr="00D1641C">
            <w:rPr>
              <w:rFonts w:ascii="Arial" w:hAnsi="Arial" w:cs="Arial"/>
            </w:rPr>
            <w:t>ả</w:t>
          </w:r>
          <w:r>
            <w:rPr>
              <w:rFonts w:ascii="Arial" w:hAnsi="Arial" w:cs="Arial"/>
            </w:rPr>
            <w:t>n    : Ver 1.0</w:t>
          </w:r>
        </w:p>
      </w:tc>
    </w:tr>
    <w:tr w:rsidR="00F66C8F" w:rsidRPr="00D1641C">
      <w:tblPrEx>
        <w:tblCellMar>
          <w:top w:w="0" w:type="dxa"/>
          <w:bottom w:w="0" w:type="dxa"/>
        </w:tblCellMar>
      </w:tblPrEx>
      <w:trPr>
        <w:cantSplit/>
        <w:trHeight w:val="350"/>
      </w:trPr>
      <w:tc>
        <w:tcPr>
          <w:tcW w:w="2694" w:type="dxa"/>
          <w:vMerge/>
          <w:tcBorders>
            <w:top w:val="nil"/>
          </w:tcBorders>
        </w:tcPr>
        <w:p w:rsidR="00F66C8F" w:rsidRPr="00D1641C" w:rsidRDefault="00125F05">
          <w:pPr>
            <w:jc w:val="center"/>
            <w:rPr>
              <w:rFonts w:ascii="Arial" w:hAnsi="Arial" w:cs="Arial"/>
            </w:rPr>
          </w:pPr>
        </w:p>
      </w:tc>
      <w:tc>
        <w:tcPr>
          <w:tcW w:w="3426" w:type="dxa"/>
          <w:vMerge/>
        </w:tcPr>
        <w:p w:rsidR="00F66C8F" w:rsidRPr="00D1641C" w:rsidRDefault="00125F05">
          <w:pPr>
            <w:rPr>
              <w:rFonts w:ascii="Arial" w:hAnsi="Arial" w:cs="Arial"/>
            </w:rPr>
          </w:pPr>
        </w:p>
      </w:tc>
      <w:tc>
        <w:tcPr>
          <w:tcW w:w="2952" w:type="dxa"/>
          <w:vAlign w:val="center"/>
        </w:tcPr>
        <w:p w:rsidR="00F66C8F" w:rsidRPr="00D1641C" w:rsidRDefault="00125F05">
          <w:pPr>
            <w:rPr>
              <w:rFonts w:ascii="Arial" w:hAnsi="Arial" w:cs="Arial"/>
            </w:rPr>
          </w:pPr>
          <w:r w:rsidRPr="00D1641C">
            <w:rPr>
              <w:rFonts w:ascii="Arial" w:hAnsi="Arial" w:cs="Arial"/>
            </w:rPr>
            <w:t xml:space="preserve">Ngày ban hành: </w:t>
          </w:r>
          <w:smartTag w:uri="urn:schemas-microsoft-com:office:smarttags" w:element="date">
            <w:smartTagPr>
              <w:attr w:name="Month" w:val="2"/>
              <w:attr w:name="Day" w:val="5"/>
              <w:attr w:name="Year" w:val="2007"/>
            </w:smartTagPr>
            <w:r>
              <w:rPr>
                <w:rFonts w:ascii="Arial" w:hAnsi="Arial" w:cs="Arial"/>
              </w:rPr>
              <w:t>02/05/2007</w:t>
            </w:r>
          </w:smartTag>
        </w:p>
      </w:tc>
    </w:tr>
  </w:tbl>
  <w:p w:rsidR="00F66C8F" w:rsidRDefault="00125F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125F05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2.65pt;margin-top:-2.55pt;width:386.95pt;height:45.75pt;z-index:251660288" strokecolor="white">
          <v:textbox style="mso-next-textbox:#_x0000_s2049">
            <w:txbxContent>
              <w:p w:rsidR="00BD6438" w:rsidRPr="00C710B9" w:rsidRDefault="00C710B9" w:rsidP="00C710B9">
                <w:pPr>
                  <w:rPr>
                    <w:szCs w:val="15"/>
                  </w:rPr>
                </w:pPr>
                <w:r>
                  <w:rPr>
                    <w:szCs w:val="15"/>
                  </w:rPr>
                  <w:t>TÊN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2050" style="position:absolute;z-index:251661312" from="111pt,17.3pt" to="468.85pt,17.3pt" strokecolor="navy" strokeweight="3pt">
          <v:stroke linestyle="thinThin"/>
        </v:line>
      </w:pict>
    </w:r>
    <w:r w:rsidR="00C710B9">
      <w:rPr>
        <w:rFonts w:ascii="Times New Roman" w:eastAsia="Times New Roman" w:hAnsi="Times New Roman"/>
        <w:sz w:val="32"/>
        <w:szCs w:val="32"/>
      </w:rPr>
      <w:t>LOGO CTY</w:t>
    </w:r>
    <w:r w:rsidR="00C710B9">
      <w:rPr>
        <w:rFonts w:ascii="Times New Roman" w:eastAsia="Times New Roman" w:hAnsi="Times New Roman"/>
        <w:sz w:val="32"/>
        <w:szCs w:val="32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125F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77D64"/>
    <w:multiLevelType w:val="hybridMultilevel"/>
    <w:tmpl w:val="73EED214"/>
    <w:lvl w:ilvl="0" w:tplc="312E19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DA242A"/>
    <w:multiLevelType w:val="hybridMultilevel"/>
    <w:tmpl w:val="9ABC91E8"/>
    <w:lvl w:ilvl="0" w:tplc="D78221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A3318B"/>
    <w:multiLevelType w:val="hybridMultilevel"/>
    <w:tmpl w:val="E29C0B12"/>
    <w:lvl w:ilvl="0" w:tplc="B4385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847331"/>
    <w:multiLevelType w:val="singleLevel"/>
    <w:tmpl w:val="D6B8DD36"/>
    <w:lvl w:ilvl="0">
      <w:start w:val="1"/>
      <w:numFmt w:val="lowerLetter"/>
      <w:lvlText w:val="%1&gt;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8210D63"/>
    <w:multiLevelType w:val="hybridMultilevel"/>
    <w:tmpl w:val="9CDE6940"/>
    <w:lvl w:ilvl="0" w:tplc="7C368B4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1F0937"/>
    <w:multiLevelType w:val="singleLevel"/>
    <w:tmpl w:val="8DA479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7E310309"/>
    <w:multiLevelType w:val="hybridMultilevel"/>
    <w:tmpl w:val="9D8C7CD2"/>
    <w:lvl w:ilvl="0" w:tplc="6810C0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6B12C1"/>
    <w:multiLevelType w:val="hybridMultilevel"/>
    <w:tmpl w:val="CA584658"/>
    <w:lvl w:ilvl="0" w:tplc="ADBA456C">
      <w:start w:val="1"/>
      <w:numFmt w:val="lowerLetter"/>
      <w:lvlText w:val="%1&gt;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710B9"/>
    <w:rsid w:val="00125F05"/>
    <w:rsid w:val="00B20C16"/>
    <w:rsid w:val="00C7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0B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710B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i/>
      <w:sz w:val="28"/>
      <w:szCs w:val="28"/>
      <w:lang w:val="nl-NL"/>
    </w:rPr>
  </w:style>
  <w:style w:type="paragraph" w:styleId="Heading4">
    <w:name w:val="heading 4"/>
    <w:basedOn w:val="Normal"/>
    <w:next w:val="Normal"/>
    <w:link w:val="Heading4Char"/>
    <w:qFormat/>
    <w:rsid w:val="00C710B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C710B9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B9"/>
    <w:rPr>
      <w:rFonts w:ascii="Times New Roman" w:eastAsia="Times New Roman" w:hAnsi="Times New Roman" w:cs="Times New Roman"/>
      <w:b/>
      <w:i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rsid w:val="00C710B9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C710B9"/>
    <w:rPr>
      <w:rFonts w:ascii="Times New Roman" w:eastAsia="Calibri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nhideWhenUsed/>
    <w:rsid w:val="00C71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710B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71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0B9"/>
    <w:rPr>
      <w:rFonts w:ascii="Calibri" w:eastAsia="Calibri" w:hAnsi="Calibri" w:cs="Times New Roman"/>
    </w:rPr>
  </w:style>
  <w:style w:type="character" w:customStyle="1" w:styleId="shorttext1">
    <w:name w:val="short_text1"/>
    <w:rsid w:val="00C710B9"/>
    <w:rPr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C710B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710B9"/>
    <w:pPr>
      <w:spacing w:before="60" w:after="0" w:line="360" w:lineRule="exact"/>
      <w:jc w:val="center"/>
    </w:pPr>
    <w:rPr>
      <w:rFonts w:ascii="Times New Roman" w:eastAsia="Times New Roman" w:hAnsi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710B9"/>
    <w:rPr>
      <w:rFonts w:ascii="Times New Roman" w:eastAsia="Times New Roman" w:hAnsi="Times New Roman" w:cs="Times New Roman"/>
      <w:b/>
      <w:sz w:val="32"/>
      <w:szCs w:val="32"/>
    </w:rPr>
  </w:style>
  <w:style w:type="paragraph" w:styleId="BodyText">
    <w:name w:val="Body Text"/>
    <w:basedOn w:val="Normal"/>
    <w:link w:val="BodyTextChar"/>
    <w:rsid w:val="00C710B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710B9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C710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799</Words>
  <Characters>4555</Characters>
  <Application>Microsoft Office Word</Application>
  <DocSecurity>0</DocSecurity>
  <Lines>37</Lines>
  <Paragraphs>10</Paragraphs>
  <ScaleCrop>false</ScaleCrop>
  <Company>THS</Company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2013-09-13T07:56:00Z</dcterms:created>
  <dcterms:modified xsi:type="dcterms:W3CDTF">2013-09-13T07:56:00Z</dcterms:modified>
</cp:coreProperties>
</file>