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2F7D1" w14:textId="77777777" w:rsidR="00870FE6" w:rsidRDefault="00FE4AA4">
      <w:pPr>
        <w:spacing w:before="1440" w:after="200"/>
        <w:jc w:val="center"/>
      </w:pPr>
      <w:r>
        <w:rPr>
          <w:b/>
          <w:bCs/>
          <w:color w:val="1F4E79"/>
          <w:sz w:val="52"/>
          <w:szCs w:val="52"/>
        </w:rPr>
        <w:t>Práctica 4</w:t>
      </w:r>
    </w:p>
    <w:p w14:paraId="2CB9B2FE" w14:textId="77777777" w:rsidR="00870FE6" w:rsidRDefault="00FE4AA4">
      <w:pPr>
        <w:spacing w:after="160"/>
        <w:jc w:val="center"/>
      </w:pPr>
      <w:r>
        <w:rPr>
          <w:b/>
          <w:bCs/>
          <w:color w:val="000000"/>
          <w:sz w:val="36"/>
          <w:szCs w:val="36"/>
        </w:rPr>
        <w:t>Interoperabilidad con CORBA</w:t>
      </w:r>
    </w:p>
    <w:p w14:paraId="6B14783D" w14:textId="77777777" w:rsidR="00870FE6" w:rsidRDefault="00FE4AA4">
      <w:pPr>
        <w:pBdr>
          <w:bottom w:val="single" w:sz="6" w:space="8" w:color="1F4E79"/>
        </w:pBdr>
        <w:spacing w:after="600"/>
        <w:jc w:val="center"/>
      </w:pPr>
      <w:r>
        <w:rPr>
          <w:i/>
          <w:iCs/>
          <w:color w:val="555555"/>
          <w:sz w:val="24"/>
          <w:szCs w:val="24"/>
        </w:rPr>
        <w:t>Common Object Request Broker Architecture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870FE6" w14:paraId="64C119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B553" w14:textId="77777777" w:rsidR="00870FE6" w:rsidRDefault="00FE4AA4">
            <w:r>
              <w:rPr>
                <w:b/>
                <w:bCs/>
                <w:color w:val="1F4E79"/>
                <w:sz w:val="20"/>
                <w:szCs w:val="20"/>
              </w:rPr>
              <w:t>Materia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D9B0" w14:textId="77777777" w:rsidR="00870FE6" w:rsidRDefault="00FE4AA4">
            <w:r>
              <w:rPr>
                <w:sz w:val="20"/>
                <w:szCs w:val="20"/>
              </w:rPr>
              <w:t>Sistemas Distribuidos</w:t>
            </w:r>
          </w:p>
        </w:tc>
      </w:tr>
      <w:tr w:rsidR="00870FE6" w14:paraId="6759E9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A883F" w14:textId="77777777" w:rsidR="00870FE6" w:rsidRDefault="00FE4AA4">
            <w:r>
              <w:rPr>
                <w:b/>
                <w:bCs/>
                <w:color w:val="1F4E79"/>
                <w:sz w:val="20"/>
                <w:szCs w:val="20"/>
              </w:rPr>
              <w:t>Práctica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BD24" w14:textId="77777777" w:rsidR="00870FE6" w:rsidRDefault="00FE4AA4">
            <w:r>
              <w:rPr>
                <w:sz w:val="20"/>
                <w:szCs w:val="20"/>
              </w:rPr>
              <w:t>4 – CORBA</w:t>
            </w:r>
          </w:p>
        </w:tc>
      </w:tr>
      <w:tr w:rsidR="00870FE6" w14:paraId="7E2CFE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6B1B6" w14:textId="77777777" w:rsidR="00870FE6" w:rsidRDefault="00FE4AA4">
            <w:r>
              <w:rPr>
                <w:b/>
                <w:bCs/>
                <w:color w:val="1F4E79"/>
                <w:sz w:val="20"/>
                <w:szCs w:val="20"/>
              </w:rPr>
              <w:t>Lenguajes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956B" w14:textId="77777777" w:rsidR="00870FE6" w:rsidRDefault="00FE4AA4">
            <w:r>
              <w:rPr>
                <w:sz w:val="20"/>
                <w:szCs w:val="20"/>
              </w:rPr>
              <w:t>Java (servidor + cliente)</w:t>
            </w:r>
          </w:p>
        </w:tc>
      </w:tr>
    </w:tbl>
    <w:p w14:paraId="65A7F011" w14:textId="77777777" w:rsidR="00870FE6" w:rsidRDefault="00FE4AA4">
      <w:r>
        <w:t xml:space="preserve"> </w:t>
      </w:r>
    </w:p>
    <w:p w14:paraId="76B1B721" w14:textId="77777777" w:rsidR="00870FE6" w:rsidRDefault="00FE4AA4">
      <w:r>
        <w:t xml:space="preserve"> </w:t>
      </w:r>
    </w:p>
    <w:p w14:paraId="1ACB6FF7" w14:textId="77777777" w:rsidR="00870FE6" w:rsidRDefault="00FE4AA4">
      <w:pPr>
        <w:pStyle w:val="Ttulo1"/>
        <w:pBdr>
          <w:bottom w:val="single" w:sz="6" w:space="4" w:color="1F4E79"/>
        </w:pBdr>
      </w:pPr>
      <w:r>
        <w:t>1. Introducción</w:t>
      </w:r>
    </w:p>
    <w:p w14:paraId="09931DB1" w14:textId="77777777" w:rsidR="00870FE6" w:rsidRDefault="00FE4AA4">
      <w:pPr>
        <w:spacing w:before="80" w:after="100"/>
        <w:jc w:val="both"/>
      </w:pPr>
      <w:r>
        <w:rPr>
          <w:color w:val="000000"/>
        </w:rPr>
        <w:t xml:space="preserve">CORBA (Common Object Request Broker Architecture) es un estándar definido por el OMG (Object Management Group) que permite la comunicación entre objetos distribuidos </w:t>
      </w:r>
      <w:r>
        <w:rPr>
          <w:b/>
          <w:bCs/>
          <w:color w:val="000000"/>
        </w:rPr>
        <w:t>independientemente del lenguaje de programación, s</w:t>
      </w:r>
      <w:r>
        <w:rPr>
          <w:b/>
          <w:bCs/>
          <w:color w:val="000000"/>
        </w:rPr>
        <w:t>istema operativo o arquitectura de hardware</w:t>
      </w:r>
      <w:r>
        <w:rPr>
          <w:color w:val="000000"/>
        </w:rPr>
        <w:t xml:space="preserve"> en que se ejecutan. Esta característica lo distingue de tecnologías como Java RMI, que están limitadas a un solo lenguaje.</w:t>
      </w:r>
    </w:p>
    <w:p w14:paraId="6BE6C34C" w14:textId="77777777" w:rsidR="00870FE6" w:rsidRDefault="00FE4AA4">
      <w:pPr>
        <w:spacing w:before="80" w:after="100"/>
        <w:jc w:val="both"/>
      </w:pPr>
      <w:r>
        <w:rPr>
          <w:color w:val="000000"/>
        </w:rPr>
        <w:t xml:space="preserve">El mecanismo central de CORBA es el </w:t>
      </w:r>
      <w:r>
        <w:rPr>
          <w:b/>
          <w:bCs/>
          <w:color w:val="000000"/>
        </w:rPr>
        <w:t>IDL (Interface Definition Language)</w:t>
      </w:r>
      <w:r>
        <w:rPr>
          <w:color w:val="000000"/>
        </w:rPr>
        <w:t>, un lenguaje neut</w:t>
      </w:r>
      <w:r>
        <w:rPr>
          <w:color w:val="000000"/>
        </w:rPr>
        <w:t xml:space="preserve">ro que actúa como contrato universal. El compilador IDL genera los </w:t>
      </w:r>
      <w:r>
        <w:rPr>
          <w:b/>
          <w:bCs/>
          <w:color w:val="000000"/>
        </w:rPr>
        <w:t>Stubs</w:t>
      </w:r>
      <w:r>
        <w:rPr>
          <w:color w:val="000000"/>
        </w:rPr>
        <w:t xml:space="preserve"> (código del cliente) y los </w:t>
      </w:r>
      <w:r>
        <w:rPr>
          <w:b/>
          <w:bCs/>
          <w:color w:val="000000"/>
        </w:rPr>
        <w:t>Skeletons</w:t>
      </w:r>
      <w:r>
        <w:rPr>
          <w:color w:val="000000"/>
        </w:rPr>
        <w:t xml:space="preserve"> (código del servidor) en el lenguaje de destino. El </w:t>
      </w:r>
      <w:r>
        <w:rPr>
          <w:b/>
          <w:bCs/>
          <w:color w:val="000000"/>
        </w:rPr>
        <w:t>ORB (Object Request Broker)</w:t>
      </w:r>
      <w:r>
        <w:rPr>
          <w:color w:val="000000"/>
        </w:rPr>
        <w:t xml:space="preserve"> gestiona toda la comunicación usando el protocolo IIOP.</w:t>
      </w:r>
    </w:p>
    <w:p w14:paraId="0EDF3D10" w14:textId="77777777" w:rsidR="00870FE6" w:rsidRDefault="00FE4AA4">
      <w:r>
        <w:t xml:space="preserve"> </w:t>
      </w:r>
    </w:p>
    <w:p w14:paraId="25364B6E" w14:textId="77777777" w:rsidR="00870FE6" w:rsidRDefault="00FE4AA4">
      <w:pPr>
        <w:pStyle w:val="Ttulo1"/>
        <w:pBdr>
          <w:bottom w:val="single" w:sz="6" w:space="4" w:color="1F4E79"/>
        </w:pBdr>
      </w:pPr>
      <w:r>
        <w:t>2. Objetivo</w:t>
      </w:r>
    </w:p>
    <w:p w14:paraId="2EF892C7" w14:textId="77777777" w:rsidR="00870FE6" w:rsidRDefault="00FE4AA4">
      <w:pPr>
        <w:spacing w:before="80" w:after="100"/>
        <w:jc w:val="both"/>
      </w:pPr>
      <w:r>
        <w:rPr>
          <w:color w:val="000000"/>
        </w:rPr>
        <w:t>Diseñar e implementar un servicio de mensajería básica distribuida utilizando el estándar CORBA, comprendiendo el ciclo completo: definición del IDL, generación de artefactos, implement</w:t>
      </w:r>
      <w:r>
        <w:rPr>
          <w:color w:val="000000"/>
        </w:rPr>
        <w:t>ación del servidor en Java, implementación del cliente en Python, y resolución de nombres a través del Naming Service.</w:t>
      </w:r>
    </w:p>
    <w:p w14:paraId="1B7B2C30" w14:textId="77777777" w:rsidR="006153A2" w:rsidRDefault="00FE4AA4" w:rsidP="006153A2">
      <w:r>
        <w:t xml:space="preserve"> </w:t>
      </w:r>
      <w:r w:rsidR="006153A2" w:rsidRPr="006153A2">
        <w:drawing>
          <wp:inline distT="0" distB="0" distL="0" distR="0" wp14:anchorId="1B35664F" wp14:editId="6AA2AECD">
            <wp:extent cx="3734321" cy="106694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2F265" w14:textId="77777777" w:rsidR="006153A2" w:rsidRDefault="006153A2" w:rsidP="006153A2">
      <w:r w:rsidRPr="006153A2">
        <w:lastRenderedPageBreak/>
        <w:drawing>
          <wp:inline distT="0" distB="0" distL="0" distR="0" wp14:anchorId="33CBAC78" wp14:editId="27A444D9">
            <wp:extent cx="5172797" cy="924054"/>
            <wp:effectExtent l="0" t="0" r="889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335D" w14:textId="77777777" w:rsidR="006153A2" w:rsidRDefault="006153A2" w:rsidP="006153A2">
      <w:r w:rsidRPr="006153A2">
        <w:drawing>
          <wp:inline distT="0" distB="0" distL="0" distR="0" wp14:anchorId="0EF58819" wp14:editId="7C72CEDE">
            <wp:extent cx="3810532" cy="1095528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87A59" w14:textId="7F2D3B07" w:rsidR="00870FE6" w:rsidRDefault="006153A2" w:rsidP="006153A2">
      <w:r w:rsidRPr="006153A2">
        <w:drawing>
          <wp:inline distT="0" distB="0" distL="0" distR="0" wp14:anchorId="053E692B" wp14:editId="46554035">
            <wp:extent cx="5106113" cy="127652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4AA4">
        <w:t xml:space="preserve"> </w:t>
      </w:r>
    </w:p>
    <w:p w14:paraId="6EAA6C4A" w14:textId="77777777" w:rsidR="00870FE6" w:rsidRDefault="00FE4AA4">
      <w:pPr>
        <w:pStyle w:val="Ttulo1"/>
        <w:pBdr>
          <w:bottom w:val="single" w:sz="6" w:space="4" w:color="1F4E79"/>
        </w:pBdr>
      </w:pPr>
      <w:r>
        <w:t>1</w:t>
      </w:r>
      <w:r>
        <w:t>0. Preguntas de Reflexión</w:t>
      </w:r>
    </w:p>
    <w:p w14:paraId="1B09496C" w14:textId="77777777" w:rsidR="00870FE6" w:rsidRDefault="00FE4AA4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0FE6" w14:paraId="4C726A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52757F" w14:textId="77777777" w:rsidR="00870FE6" w:rsidRDefault="00FE4AA4">
            <w:r>
              <w:rPr>
                <w:b/>
                <w:bCs/>
                <w:color w:val="FFFFFF"/>
                <w:sz w:val="21"/>
                <w:szCs w:val="21"/>
              </w:rPr>
              <w:t>Pregunta 1: ¿Qué ventajas ofrece el IDL sobre el paso de objetos nativos en RMI?</w:t>
            </w:r>
          </w:p>
        </w:tc>
      </w:tr>
      <w:tr w:rsidR="00870FE6" w14:paraId="526AB8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7F74A7" w14:textId="77777777" w:rsidR="00870FE6" w:rsidRDefault="00FE4AA4">
            <w:pPr>
              <w:spacing w:before="80" w:after="100"/>
              <w:jc w:val="both"/>
            </w:pPr>
            <w:r>
              <w:rPr>
                <w:color w:val="000000"/>
              </w:rPr>
              <w:t xml:space="preserve">El IDL (Interface Definition Language) es un lenguaje de descripción de interfaces completamente </w:t>
            </w:r>
            <w:r>
              <w:rPr>
                <w:b/>
                <w:bCs/>
                <w:color w:val="000000"/>
              </w:rPr>
              <w:t>neutro respecto al lenguaje de implementación</w:t>
            </w:r>
            <w:r>
              <w:rPr>
                <w:color w:val="000000"/>
              </w:rPr>
              <w:t>. A diferencia de RMI, donde la interfaz es código Java y solo puede ser implementada o consumida por clientes Jav</w:t>
            </w:r>
            <w:r>
              <w:rPr>
                <w:color w:val="000000"/>
              </w:rPr>
              <w:t>a, el IDL puede compilarse para Java, Python, C++, C#, Ada, o cualquier lenguaje con un compilador IDL disponible.</w:t>
            </w:r>
          </w:p>
          <w:p w14:paraId="20AB1777" w14:textId="77777777" w:rsidR="00870FE6" w:rsidRDefault="00FE4AA4">
            <w:pPr>
              <w:spacing w:before="80" w:after="100"/>
            </w:pPr>
            <w:r>
              <w:rPr>
                <w:color w:val="000000"/>
              </w:rPr>
              <w:t>Las ventajas concretas son:</w:t>
            </w:r>
          </w:p>
          <w:p w14:paraId="5EB0002D" w14:textId="77777777" w:rsidR="00870FE6" w:rsidRDefault="00FE4AA4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rPr>
                <w:color w:val="000000"/>
              </w:rPr>
              <w:t>Interoperabilidad real: un servidor en Java puede atender a clientes en Python, C++ o cualquier otro lenguaje sin</w:t>
            </w:r>
            <w:r>
              <w:rPr>
                <w:color w:val="000000"/>
              </w:rPr>
              <w:t xml:space="preserve"> cambios.</w:t>
            </w:r>
          </w:p>
          <w:p w14:paraId="2103B749" w14:textId="77777777" w:rsidR="00870FE6" w:rsidRDefault="00FE4AA4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rPr>
                <w:color w:val="000000"/>
              </w:rPr>
              <w:t>Separación de responsabilidades: el contrato (IDL) es independiente de la implementación. Se puede cambiar el lenguaje del servidor sin afectar a los clientes.</w:t>
            </w:r>
          </w:p>
          <w:p w14:paraId="269B2571" w14:textId="77777777" w:rsidR="00870FE6" w:rsidRDefault="00FE4AA4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rPr>
                <w:color w:val="000000"/>
              </w:rPr>
              <w:t>Estandarización: el IDL es un estándar OMG, no una especificación propietaria de Sun/O</w:t>
            </w:r>
            <w:r>
              <w:rPr>
                <w:color w:val="000000"/>
              </w:rPr>
              <w:t>racle como RMI.</w:t>
            </w:r>
          </w:p>
          <w:p w14:paraId="28F82330" w14:textId="77777777" w:rsidR="00870FE6" w:rsidRDefault="00FE4AA4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rPr>
                <w:color w:val="000000"/>
              </w:rPr>
              <w:t>Tipado estricto y portable: los tipos IDL (string, long, sequence, etc.) tienen representaciones bien definidas en todos los lenguajes destino.</w:t>
            </w:r>
          </w:p>
        </w:tc>
      </w:tr>
    </w:tbl>
    <w:p w14:paraId="633C0004" w14:textId="77777777" w:rsidR="00870FE6" w:rsidRDefault="00FE4AA4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0FE6" w14:paraId="286765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D98F9E" w14:textId="77777777" w:rsidR="00870FE6" w:rsidRDefault="00FE4AA4">
            <w:r>
              <w:rPr>
                <w:b/>
                <w:bCs/>
                <w:color w:val="FFFFFF"/>
                <w:sz w:val="21"/>
                <w:szCs w:val="21"/>
              </w:rPr>
              <w:t>Pregunta 2: ¿Cuál es la función del Naming Service en esta arquitectura?</w:t>
            </w:r>
          </w:p>
        </w:tc>
      </w:tr>
      <w:tr w:rsidR="00870FE6" w14:paraId="73E498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9BCC6F" w14:textId="77777777" w:rsidR="00870FE6" w:rsidRDefault="00FE4AA4">
            <w:pPr>
              <w:spacing w:before="80" w:after="100"/>
              <w:jc w:val="both"/>
            </w:pPr>
            <w:r>
              <w:rPr>
                <w:color w:val="000000"/>
              </w:rPr>
              <w:t xml:space="preserve">El Naming Service (implementado por </w:t>
            </w:r>
            <w:r>
              <w:rPr>
                <w:b/>
                <w:bCs/>
                <w:color w:val="000000"/>
              </w:rPr>
              <w:t>orbd</w:t>
            </w:r>
            <w:r>
              <w:rPr>
                <w:color w:val="000000"/>
              </w:rPr>
              <w:t xml:space="preserve"> en Java o </w:t>
            </w:r>
            <w:r>
              <w:rPr>
                <w:b/>
                <w:bCs/>
                <w:color w:val="000000"/>
              </w:rPr>
              <w:t>omniNames</w:t>
            </w:r>
            <w:r>
              <w:rPr>
                <w:color w:val="000000"/>
              </w:rPr>
              <w:t xml:space="preserve"> en omniORB) es un </w:t>
            </w:r>
            <w:r>
              <w:rPr>
                <w:b/>
                <w:bCs/>
                <w:color w:val="000000"/>
              </w:rPr>
              <w:t>directorio de objetos distribuidos</w:t>
            </w:r>
            <w:r>
              <w:rPr>
                <w:color w:val="000000"/>
              </w:rPr>
              <w:t xml:space="preserve">. Funciona como un DNS para objetos CORBA: asocia </w:t>
            </w:r>
            <w:r>
              <w:rPr>
                <w:color w:val="000000"/>
              </w:rPr>
              <w:lastRenderedPageBreak/>
              <w:t xml:space="preserve">un nombre legible (como </w:t>
            </w:r>
            <w:r>
              <w:rPr>
                <w:b/>
                <w:bCs/>
                <w:color w:val="000000"/>
              </w:rPr>
              <w:t>SalaChat</w:t>
            </w:r>
            <w:r>
              <w:rPr>
                <w:color w:val="000000"/>
              </w:rPr>
              <w:t>) con una referencia IOR (Interoperable Object Reference) que contiene la dirección de red real del objeto.</w:t>
            </w:r>
          </w:p>
          <w:p w14:paraId="70FE80B5" w14:textId="77777777" w:rsidR="00870FE6" w:rsidRDefault="00FE4AA4">
            <w:pPr>
              <w:spacing w:before="80" w:after="100"/>
            </w:pPr>
            <w:r>
              <w:rPr>
                <w:color w:val="000000"/>
              </w:rPr>
              <w:t>Su función en el ciclo de vida es:</w:t>
            </w:r>
          </w:p>
          <w:p w14:paraId="6E9C9D68" w14:textId="77777777" w:rsidR="00870FE6" w:rsidRDefault="00FE4AA4">
            <w:pPr>
              <w:pStyle w:val="Prrafodelista"/>
              <w:numPr>
                <w:ilvl w:val="0"/>
                <w:numId w:val="3"/>
              </w:numPr>
              <w:spacing w:before="60" w:after="60"/>
            </w:pPr>
            <w:r>
              <w:rPr>
                <w:color w:val="000000"/>
              </w:rPr>
              <w:t xml:space="preserve">El servidor registra su objeto </w:t>
            </w:r>
            <w:r>
              <w:rPr>
                <w:color w:val="000000"/>
              </w:rPr>
              <w:t>bajo un nombre conocido: ncRef.rebind(path, salaRef).</w:t>
            </w:r>
          </w:p>
          <w:p w14:paraId="094F9027" w14:textId="77777777" w:rsidR="00870FE6" w:rsidRDefault="00FE4AA4">
            <w:pPr>
              <w:pStyle w:val="Prrafodelista"/>
              <w:numPr>
                <w:ilvl w:val="0"/>
                <w:numId w:val="3"/>
              </w:numPr>
              <w:spacing w:before="60" w:after="60"/>
            </w:pPr>
            <w:r>
              <w:rPr>
                <w:color w:val="000000"/>
              </w:rPr>
              <w:t>El cliente resuelve ese nombre para obtener la referencia del objeto remoto.</w:t>
            </w:r>
          </w:p>
          <w:p w14:paraId="4C59D4E6" w14:textId="77777777" w:rsidR="00870FE6" w:rsidRDefault="00FE4AA4">
            <w:pPr>
              <w:pStyle w:val="Prrafodelista"/>
              <w:numPr>
                <w:ilvl w:val="0"/>
                <w:numId w:val="3"/>
              </w:numPr>
              <w:spacing w:before="60" w:after="60"/>
            </w:pPr>
            <w:r>
              <w:rPr>
                <w:color w:val="000000"/>
              </w:rPr>
              <w:t>El ORB del cliente usa esa referencia para enrutar las llamadas al servidor correcto.</w:t>
            </w:r>
          </w:p>
          <w:p w14:paraId="2D496641" w14:textId="77777777" w:rsidR="00870FE6" w:rsidRDefault="00FE4AA4">
            <w:pPr>
              <w:spacing w:before="80" w:after="100"/>
            </w:pPr>
            <w:r>
              <w:rPr>
                <w:color w:val="000000"/>
              </w:rPr>
              <w:t>Sin el Naming Service, el cliente neces</w:t>
            </w:r>
            <w:r>
              <w:rPr>
                <w:color w:val="000000"/>
              </w:rPr>
              <w:t>itaría conocer de antemano el IOR completo del objeto (una cadena larga y no portable), lo que haría el sistema inviable en entornos dinámicos.</w:t>
            </w:r>
          </w:p>
        </w:tc>
      </w:tr>
    </w:tbl>
    <w:p w14:paraId="23B23B93" w14:textId="77777777" w:rsidR="00870FE6" w:rsidRDefault="00FE4AA4">
      <w:r>
        <w:lastRenderedPageBreak/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0FE6" w14:paraId="4511B2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A44C59" w14:textId="77777777" w:rsidR="00870FE6" w:rsidRDefault="00FE4AA4">
            <w:r>
              <w:rPr>
                <w:b/>
                <w:bCs/>
                <w:color w:val="FFFFFF"/>
                <w:sz w:val="21"/>
                <w:szCs w:val="21"/>
              </w:rPr>
              <w:t>Pregunta 3: Si cambiamos el tipo string por wstring en el IDL, ¿qué impacto tiene en los clientes existentes?</w:t>
            </w:r>
          </w:p>
        </w:tc>
      </w:tr>
      <w:tr w:rsidR="00870FE6" w14:paraId="1F82CA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09D13D" w14:textId="77777777" w:rsidR="00870FE6" w:rsidRDefault="00FE4AA4">
            <w:pPr>
              <w:spacing w:before="80" w:after="100"/>
              <w:jc w:val="both"/>
            </w:pPr>
            <w:r>
              <w:rPr>
                <w:color w:val="000000"/>
              </w:rPr>
              <w:t xml:space="preserve">El cambio de </w:t>
            </w:r>
            <w:r>
              <w:rPr>
                <w:b/>
                <w:bCs/>
                <w:color w:val="000000"/>
              </w:rPr>
              <w:t>string</w:t>
            </w:r>
            <w:r>
              <w:rPr>
                <w:color w:val="000000"/>
              </w:rPr>
              <w:t xml:space="preserve"> a </w:t>
            </w:r>
            <w:r>
              <w:rPr>
                <w:b/>
                <w:bCs/>
                <w:color w:val="000000"/>
              </w:rPr>
              <w:t>wstring</w:t>
            </w:r>
            <w:r>
              <w:rPr>
                <w:color w:val="000000"/>
              </w:rPr>
              <w:t xml:space="preserve"> en el IDL es un </w:t>
            </w:r>
            <w:r>
              <w:rPr>
                <w:b/>
                <w:bCs/>
                <w:color w:val="000000"/>
              </w:rPr>
              <w:t>cambio incompatible hacia atrás (breaking change)</w:t>
            </w:r>
            <w:r>
              <w:rPr>
                <w:color w:val="000000"/>
              </w:rPr>
              <w:t xml:space="preserve">. En IDL, </w:t>
            </w:r>
            <w:r>
              <w:rPr>
                <w:b/>
                <w:bCs/>
                <w:color w:val="000000"/>
              </w:rPr>
              <w:t>string</w:t>
            </w:r>
            <w:r>
              <w:rPr>
                <w:color w:val="000000"/>
              </w:rPr>
              <w:t xml:space="preserve"> representa cadenas de 8 bits (Latin-1 / ASCII), mientras que </w:t>
            </w:r>
            <w:r>
              <w:rPr>
                <w:b/>
                <w:bCs/>
                <w:color w:val="000000"/>
              </w:rPr>
              <w:t>wstring</w:t>
            </w:r>
            <w:r>
              <w:rPr>
                <w:color w:val="000000"/>
              </w:rPr>
              <w:t xml:space="preserve"> representa cadenas Unicode de 16 bits (similar a wchar_t en C++).</w:t>
            </w:r>
          </w:p>
          <w:p w14:paraId="3AACF245" w14:textId="77777777" w:rsidR="00870FE6" w:rsidRDefault="00FE4AA4">
            <w:pPr>
              <w:spacing w:before="80" w:after="100"/>
            </w:pPr>
            <w:r>
              <w:rPr>
                <w:color w:val="000000"/>
              </w:rPr>
              <w:t>El impacto en los clientes existentes es:</w:t>
            </w:r>
          </w:p>
          <w:p w14:paraId="17D70421" w14:textId="77777777" w:rsidR="00870FE6" w:rsidRDefault="00FE4AA4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rPr>
                <w:color w:val="000000"/>
              </w:rPr>
              <w:t>Todos los clientes deben recompilar su IDL y regenerar sus stubs, ya que el tipo de dato en la serialización IIOP cambia.</w:t>
            </w:r>
          </w:p>
          <w:p w14:paraId="2EC62F45" w14:textId="77777777" w:rsidR="00870FE6" w:rsidRDefault="00FE4AA4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rPr>
                <w:color w:val="000000"/>
              </w:rPr>
              <w:t>Clientes que no se recomp</w:t>
            </w:r>
            <w:r>
              <w:rPr>
                <w:color w:val="000000"/>
              </w:rPr>
              <w:t>ilen enviarán datos con la codificación incorrecta, causando errores de deserialización o datos corruptos en el servidor.</w:t>
            </w:r>
          </w:p>
          <w:p w14:paraId="04103646" w14:textId="77777777" w:rsidR="00870FE6" w:rsidRDefault="00FE4AA4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rPr>
                <w:color w:val="000000"/>
              </w:rPr>
              <w:t>En Python/omniORB, el manejo de wstring puede requerir ajustes adicionales en la codificación de cadenas Unicode.</w:t>
            </w:r>
          </w:p>
          <w:p w14:paraId="7CFEC47D" w14:textId="77777777" w:rsidR="00870FE6" w:rsidRDefault="00FE4AA4">
            <w:pPr>
              <w:pStyle w:val="Prrafodelista"/>
              <w:numPr>
                <w:ilvl w:val="0"/>
                <w:numId w:val="2"/>
              </w:numPr>
              <w:spacing w:before="60" w:after="60"/>
            </w:pPr>
            <w:r>
              <w:rPr>
                <w:color w:val="000000"/>
              </w:rPr>
              <w:t>Es necesario version</w:t>
            </w:r>
            <w:r>
              <w:rPr>
                <w:color w:val="000000"/>
              </w:rPr>
              <w:t>ar la interfaz o aplicar un proceso de migración controlado para no romper clientes en producción.</w:t>
            </w:r>
          </w:p>
          <w:p w14:paraId="54C4DDEE" w14:textId="77777777" w:rsidR="00870FE6" w:rsidRDefault="00FE4AA4">
            <w:pPr>
              <w:spacing w:before="80" w:after="100"/>
            </w:pPr>
            <w:r>
              <w:rPr>
                <w:color w:val="000000"/>
              </w:rPr>
              <w:t>La conclusión es que cualquier cambio en el IDL debe tratarse con la misma rigurosidad que un cambio en una API pública: se deben notificar a todos los consu</w:t>
            </w:r>
            <w:r>
              <w:rPr>
                <w:color w:val="000000"/>
              </w:rPr>
              <w:t>midores y coordinar la actualización simultánea.</w:t>
            </w:r>
          </w:p>
        </w:tc>
      </w:tr>
    </w:tbl>
    <w:p w14:paraId="7797D9D1" w14:textId="77777777" w:rsidR="00870FE6" w:rsidRDefault="00FE4AA4">
      <w: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70FE6" w14:paraId="72A9DE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8C0BB5" w14:textId="77777777" w:rsidR="00870FE6" w:rsidRDefault="00FE4AA4">
            <w:r>
              <w:rPr>
                <w:b/>
                <w:bCs/>
                <w:color w:val="FFFFFF"/>
                <w:sz w:val="21"/>
                <w:szCs w:val="21"/>
              </w:rPr>
              <w:t>Pregunta 4: ¿El IDL del archivo Chat.idl está vacío o incompleto?</w:t>
            </w:r>
          </w:p>
        </w:tc>
      </w:tr>
      <w:tr w:rsidR="00870FE6" w14:paraId="7462F6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9B91EAB" w14:textId="77777777" w:rsidR="00870FE6" w:rsidRDefault="00FE4AA4">
            <w:pPr>
              <w:spacing w:before="80" w:after="100"/>
              <w:jc w:val="both"/>
            </w:pPr>
            <w:r>
              <w:rPr>
                <w:color w:val="000000"/>
              </w:rPr>
              <w:t xml:space="preserve">No, el archivo </w:t>
            </w:r>
            <w:r>
              <w:rPr>
                <w:b/>
                <w:bCs/>
                <w:color w:val="000000"/>
              </w:rPr>
              <w:t>Chat.idl</w:t>
            </w:r>
            <w:r>
              <w:rPr>
                <w:color w:val="000000"/>
              </w:rPr>
              <w:t xml:space="preserve"> </w:t>
            </w:r>
            <w:r>
              <w:rPr>
                <w:b/>
                <w:bCs/>
                <w:color w:val="1A6B2A"/>
              </w:rPr>
              <w:t>no está vacío ni incompleto</w:t>
            </w:r>
            <w:r>
              <w:rPr>
                <w:color w:val="000000"/>
              </w:rPr>
              <w:t xml:space="preserve">. Define correctamente la interfaz </w:t>
            </w:r>
            <w:r>
              <w:rPr>
                <w:b/>
                <w:bCs/>
                <w:color w:val="000000"/>
              </w:rPr>
              <w:t>Sala</w:t>
            </w:r>
            <w:r>
              <w:rPr>
                <w:color w:val="000000"/>
              </w:rPr>
              <w:t xml:space="preserve"> dentro del módulo </w:t>
            </w:r>
            <w:r>
              <w:rPr>
                <w:b/>
                <w:bCs/>
                <w:color w:val="000000"/>
              </w:rPr>
              <w:t>ChatApp</w:t>
            </w:r>
            <w:r>
              <w:rPr>
                <w:color w:val="000000"/>
              </w:rPr>
              <w:t>, con dos métodos completamente especificados:</w:t>
            </w:r>
          </w:p>
          <w:p w14:paraId="4DDA86EC" w14:textId="77777777" w:rsidR="00870FE6" w:rsidRDefault="00FE4AA4">
            <w:pPr>
              <w:shd w:val="clear" w:color="auto" w:fill="1E1E1E"/>
              <w:ind w:left="36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module ChatApp {</w:t>
            </w:r>
          </w:p>
          <w:p w14:paraId="5376EEDD" w14:textId="77777777" w:rsidR="00870FE6" w:rsidRDefault="00FE4AA4">
            <w:pPr>
              <w:shd w:val="clear" w:color="auto" w:fill="1E1E1E"/>
              <w:ind w:left="36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interface Sala {</w:t>
            </w:r>
          </w:p>
          <w:p w14:paraId="14B67A0A" w14:textId="77777777" w:rsidR="00870FE6" w:rsidRDefault="00FE4AA4">
            <w:pPr>
              <w:shd w:val="clear" w:color="auto" w:fill="1E1E1E"/>
              <w:ind w:left="36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void enviarMensaje(in string usuario, in string contenido);</w:t>
            </w:r>
          </w:p>
          <w:p w14:paraId="37749EBC" w14:textId="77777777" w:rsidR="00870FE6" w:rsidRDefault="00FE4AA4">
            <w:pPr>
              <w:shd w:val="clear" w:color="auto" w:fill="1E1E1E"/>
              <w:ind w:left="36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string leerUltimo();</w:t>
            </w:r>
          </w:p>
          <w:p w14:paraId="0FFA689E" w14:textId="77777777" w:rsidR="00870FE6" w:rsidRDefault="00FE4AA4">
            <w:pPr>
              <w:shd w:val="clear" w:color="auto" w:fill="1E1E1E"/>
              <w:ind w:left="36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};</w:t>
            </w:r>
          </w:p>
          <w:p w14:paraId="148C3278" w14:textId="77777777" w:rsidR="00870FE6" w:rsidRDefault="00FE4AA4">
            <w:pPr>
              <w:shd w:val="clear" w:color="auto" w:fill="1E1E1E"/>
              <w:ind w:left="36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};</w:t>
            </w:r>
          </w:p>
          <w:p w14:paraId="6178DA7E" w14:textId="77777777" w:rsidR="00870FE6" w:rsidRDefault="00FE4AA4">
            <w:pPr>
              <w:spacing w:before="80" w:after="100"/>
            </w:pPr>
            <w:r>
              <w:rPr>
                <w:color w:val="000000"/>
              </w:rPr>
              <w:t>Ambos métodos tienen firma completa con tipos de retorno, nombres de parámetros y modos de paso (in). Esto es suficiente para que idlj y omniidl generen todos los artefactos necesarios. El IDL podría extenderse en el futuro (por ejemplo, agregando historia</w:t>
            </w:r>
            <w:r>
              <w:rPr>
                <w:color w:val="000000"/>
              </w:rPr>
              <w:t>l de mensajes, autenticación o salas múltiples), pero para el alcance de esta práctica está completo y funcional.</w:t>
            </w:r>
          </w:p>
        </w:tc>
      </w:tr>
    </w:tbl>
    <w:p w14:paraId="13A121EF" w14:textId="77777777" w:rsidR="00870FE6" w:rsidRDefault="00FE4AA4">
      <w:r>
        <w:lastRenderedPageBreak/>
        <w:t xml:space="preserve"> </w:t>
      </w:r>
    </w:p>
    <w:p w14:paraId="279F7CCE" w14:textId="77777777" w:rsidR="00870FE6" w:rsidRDefault="00FE4AA4">
      <w:pPr>
        <w:pStyle w:val="Ttulo1"/>
        <w:pBdr>
          <w:bottom w:val="single" w:sz="6" w:space="4" w:color="1F4E79"/>
        </w:pBdr>
      </w:pPr>
      <w:r>
        <w:t>11. Conclusiones</w:t>
      </w:r>
    </w:p>
    <w:p w14:paraId="2C83C068" w14:textId="77777777" w:rsidR="00870FE6" w:rsidRDefault="00FE4AA4">
      <w:pPr>
        <w:spacing w:before="80" w:after="100"/>
        <w:jc w:val="both"/>
      </w:pPr>
      <w:r>
        <w:rPr>
          <w:color w:val="000000"/>
        </w:rPr>
        <w:t xml:space="preserve">La práctica demostró el ciclo completo de CORBA en Java: definición del contrato en </w:t>
      </w:r>
      <w:r>
        <w:rPr>
          <w:b/>
          <w:bCs/>
          <w:color w:val="000000"/>
        </w:rPr>
        <w:t>IDL</w:t>
      </w:r>
      <w:r>
        <w:rPr>
          <w:color w:val="000000"/>
        </w:rPr>
        <w:t xml:space="preserve">, generación automática de artefactos con </w:t>
      </w:r>
      <w:r>
        <w:rPr>
          <w:b/>
          <w:bCs/>
          <w:color w:val="000000"/>
        </w:rPr>
        <w:t>idlj</w:t>
      </w:r>
      <w:r>
        <w:rPr>
          <w:color w:val="000000"/>
        </w:rPr>
        <w:t xml:space="preserve">, registro en el </w:t>
      </w:r>
      <w:r>
        <w:rPr>
          <w:b/>
          <w:bCs/>
          <w:color w:val="000000"/>
        </w:rPr>
        <w:t>Naming Service</w:t>
      </w:r>
      <w:r>
        <w:rPr>
          <w:color w:val="000000"/>
        </w:rPr>
        <w:t xml:space="preserve"> y comunicación transparente entre servidor y cliente. Ambos procesos corrieron en la Raspbe</w:t>
      </w:r>
      <w:r>
        <w:rPr>
          <w:color w:val="000000"/>
        </w:rPr>
        <w:t>rry Pi desde dos terminales SSH independientes, simulando nodos distribuidos.</w:t>
      </w:r>
    </w:p>
    <w:p w14:paraId="557919E4" w14:textId="77777777" w:rsidR="00870FE6" w:rsidRDefault="00FE4AA4">
      <w:pPr>
        <w:spacing w:before="80" w:after="100"/>
        <w:jc w:val="both"/>
      </w:pPr>
      <w:r>
        <w:rPr>
          <w:color w:val="000000"/>
        </w:rPr>
        <w:t>En comparación con Java RMI (practicado anteriormente), CORBA introduce mayor complejidad de configuración (gestión del orbd, archivos IDL, compilación separada), pero ofrece una</w:t>
      </w:r>
      <w:r>
        <w:rPr>
          <w:color w:val="000000"/>
        </w:rPr>
        <w:t xml:space="preserve"> arquitectura más robusta y estandarizada, diseñada para sistemas distribuidos heterogéneos en entornos empresariales donde la interoperabilidad entre lenguajes y plataformas es un requisito.</w:t>
      </w:r>
    </w:p>
    <w:sectPr w:rsidR="00870FE6">
      <w:footerReference w:type="default" r:id="rId11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70BD9A" w14:textId="77777777" w:rsidR="00FE4AA4" w:rsidRDefault="00FE4AA4">
      <w:r>
        <w:separator/>
      </w:r>
    </w:p>
  </w:endnote>
  <w:endnote w:type="continuationSeparator" w:id="0">
    <w:p w14:paraId="37226FC9" w14:textId="77777777" w:rsidR="00FE4AA4" w:rsidRDefault="00FE4A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1B2F" w14:textId="77777777" w:rsidR="00870FE6" w:rsidRDefault="00FE4AA4">
    <w:pPr>
      <w:pBdr>
        <w:top w:val="single" w:sz="4" w:space="4" w:color="1F4E79"/>
      </w:pBdr>
      <w:jc w:val="right"/>
    </w:pPr>
    <w:r>
      <w:rPr>
        <w:color w:val="555555"/>
        <w:sz w:val="18"/>
        <w:szCs w:val="18"/>
      </w:rPr>
      <w:t xml:space="preserve">Práctica CORBA  |  Licenciatura en Informática </w:t>
    </w:r>
    <w:r>
      <w:rPr>
        <w:color w:val="555555"/>
        <w:sz w:val="18"/>
        <w:szCs w:val="18"/>
      </w:rPr>
      <w:t xml:space="preserve">2026  |  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6153A2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37CEAE" w14:textId="77777777" w:rsidR="00FE4AA4" w:rsidRDefault="00FE4AA4">
      <w:r>
        <w:separator/>
      </w:r>
    </w:p>
  </w:footnote>
  <w:footnote w:type="continuationSeparator" w:id="0">
    <w:p w14:paraId="6D865604" w14:textId="77777777" w:rsidR="00FE4AA4" w:rsidRDefault="00FE4A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6710E"/>
    <w:multiLevelType w:val="hybridMultilevel"/>
    <w:tmpl w:val="FF12D8D0"/>
    <w:lvl w:ilvl="0" w:tplc="1D7EB0A4">
      <w:start w:val="1"/>
      <w:numFmt w:val="bullet"/>
      <w:lvlText w:val="●"/>
      <w:lvlJc w:val="left"/>
      <w:pPr>
        <w:ind w:left="720" w:hanging="360"/>
      </w:pPr>
    </w:lvl>
    <w:lvl w:ilvl="1" w:tplc="13368484">
      <w:start w:val="1"/>
      <w:numFmt w:val="bullet"/>
      <w:lvlText w:val="○"/>
      <w:lvlJc w:val="left"/>
      <w:pPr>
        <w:ind w:left="1440" w:hanging="360"/>
      </w:pPr>
    </w:lvl>
    <w:lvl w:ilvl="2" w:tplc="4190A192">
      <w:start w:val="1"/>
      <w:numFmt w:val="bullet"/>
      <w:lvlText w:val="■"/>
      <w:lvlJc w:val="left"/>
      <w:pPr>
        <w:ind w:left="2160" w:hanging="360"/>
      </w:pPr>
    </w:lvl>
    <w:lvl w:ilvl="3" w:tplc="CBC6F1BE">
      <w:start w:val="1"/>
      <w:numFmt w:val="bullet"/>
      <w:lvlText w:val="●"/>
      <w:lvlJc w:val="left"/>
      <w:pPr>
        <w:ind w:left="2880" w:hanging="360"/>
      </w:pPr>
    </w:lvl>
    <w:lvl w:ilvl="4" w:tplc="B798DE2C">
      <w:start w:val="1"/>
      <w:numFmt w:val="bullet"/>
      <w:lvlText w:val="○"/>
      <w:lvlJc w:val="left"/>
      <w:pPr>
        <w:ind w:left="3600" w:hanging="360"/>
      </w:pPr>
    </w:lvl>
    <w:lvl w:ilvl="5" w:tplc="C5E8FC3E">
      <w:start w:val="1"/>
      <w:numFmt w:val="bullet"/>
      <w:lvlText w:val="■"/>
      <w:lvlJc w:val="left"/>
      <w:pPr>
        <w:ind w:left="4320" w:hanging="360"/>
      </w:pPr>
    </w:lvl>
    <w:lvl w:ilvl="6" w:tplc="9A982452">
      <w:start w:val="1"/>
      <w:numFmt w:val="bullet"/>
      <w:lvlText w:val="●"/>
      <w:lvlJc w:val="left"/>
      <w:pPr>
        <w:ind w:left="5040" w:hanging="360"/>
      </w:pPr>
    </w:lvl>
    <w:lvl w:ilvl="7" w:tplc="A7C60120">
      <w:start w:val="1"/>
      <w:numFmt w:val="bullet"/>
      <w:lvlText w:val="●"/>
      <w:lvlJc w:val="left"/>
      <w:pPr>
        <w:ind w:left="5760" w:hanging="360"/>
      </w:pPr>
    </w:lvl>
    <w:lvl w:ilvl="8" w:tplc="82A43E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6C4198F"/>
    <w:multiLevelType w:val="hybridMultilevel"/>
    <w:tmpl w:val="95487E94"/>
    <w:lvl w:ilvl="0" w:tplc="7D6AAF34">
      <w:start w:val="1"/>
      <w:numFmt w:val="bullet"/>
      <w:lvlText w:val="•"/>
      <w:lvlJc w:val="left"/>
      <w:pPr>
        <w:ind w:left="720" w:hanging="360"/>
      </w:pPr>
    </w:lvl>
    <w:lvl w:ilvl="1" w:tplc="D0D86E3C">
      <w:numFmt w:val="decimal"/>
      <w:lvlText w:val=""/>
      <w:lvlJc w:val="left"/>
    </w:lvl>
    <w:lvl w:ilvl="2" w:tplc="711A7370">
      <w:numFmt w:val="decimal"/>
      <w:lvlText w:val=""/>
      <w:lvlJc w:val="left"/>
    </w:lvl>
    <w:lvl w:ilvl="3" w:tplc="FC02654A">
      <w:numFmt w:val="decimal"/>
      <w:lvlText w:val=""/>
      <w:lvlJc w:val="left"/>
    </w:lvl>
    <w:lvl w:ilvl="4" w:tplc="25220D78">
      <w:numFmt w:val="decimal"/>
      <w:lvlText w:val=""/>
      <w:lvlJc w:val="left"/>
    </w:lvl>
    <w:lvl w:ilvl="5" w:tplc="2F60F14A">
      <w:numFmt w:val="decimal"/>
      <w:lvlText w:val=""/>
      <w:lvlJc w:val="left"/>
    </w:lvl>
    <w:lvl w:ilvl="6" w:tplc="53185468">
      <w:numFmt w:val="decimal"/>
      <w:lvlText w:val=""/>
      <w:lvlJc w:val="left"/>
    </w:lvl>
    <w:lvl w:ilvl="7" w:tplc="7E5E5A80">
      <w:numFmt w:val="decimal"/>
      <w:lvlText w:val=""/>
      <w:lvlJc w:val="left"/>
    </w:lvl>
    <w:lvl w:ilvl="8" w:tplc="5EBE0D88">
      <w:numFmt w:val="decimal"/>
      <w:lvlText w:val=""/>
      <w:lvlJc w:val="left"/>
    </w:lvl>
  </w:abstractNum>
  <w:abstractNum w:abstractNumId="2" w15:restartNumberingAfterBreak="0">
    <w:nsid w:val="49F03A30"/>
    <w:multiLevelType w:val="hybridMultilevel"/>
    <w:tmpl w:val="029EDC1A"/>
    <w:lvl w:ilvl="0" w:tplc="7F041AD2">
      <w:start w:val="1"/>
      <w:numFmt w:val="decimal"/>
      <w:lvlText w:val="%1."/>
      <w:lvlJc w:val="left"/>
      <w:pPr>
        <w:ind w:left="720" w:hanging="360"/>
      </w:pPr>
    </w:lvl>
    <w:lvl w:ilvl="1" w:tplc="436E32DA">
      <w:numFmt w:val="decimal"/>
      <w:lvlText w:val=""/>
      <w:lvlJc w:val="left"/>
    </w:lvl>
    <w:lvl w:ilvl="2" w:tplc="41ACAFE2">
      <w:numFmt w:val="decimal"/>
      <w:lvlText w:val=""/>
      <w:lvlJc w:val="left"/>
    </w:lvl>
    <w:lvl w:ilvl="3" w:tplc="F86C070C">
      <w:numFmt w:val="decimal"/>
      <w:lvlText w:val=""/>
      <w:lvlJc w:val="left"/>
    </w:lvl>
    <w:lvl w:ilvl="4" w:tplc="C298C7BE">
      <w:numFmt w:val="decimal"/>
      <w:lvlText w:val=""/>
      <w:lvlJc w:val="left"/>
    </w:lvl>
    <w:lvl w:ilvl="5" w:tplc="71C2C10A">
      <w:numFmt w:val="decimal"/>
      <w:lvlText w:val=""/>
      <w:lvlJc w:val="left"/>
    </w:lvl>
    <w:lvl w:ilvl="6" w:tplc="21B0B16E">
      <w:numFmt w:val="decimal"/>
      <w:lvlText w:val=""/>
      <w:lvlJc w:val="left"/>
    </w:lvl>
    <w:lvl w:ilvl="7" w:tplc="3A2C093C">
      <w:numFmt w:val="decimal"/>
      <w:lvlText w:val=""/>
      <w:lvlJc w:val="left"/>
    </w:lvl>
    <w:lvl w:ilvl="8" w:tplc="906AD35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FE6"/>
    <w:rsid w:val="006153A2"/>
    <w:rsid w:val="00870FE6"/>
    <w:rsid w:val="00FE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69C17"/>
  <w15:docId w15:val="{55097D8E-7CAE-442B-A251-DA5BC7E5F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877</Words>
  <Characters>4826</Characters>
  <Application>Microsoft Office Word</Application>
  <DocSecurity>0</DocSecurity>
  <Lines>40</Lines>
  <Paragraphs>11</Paragraphs>
  <ScaleCrop>false</ScaleCrop>
  <Company/>
  <LinksUpToDate>false</LinksUpToDate>
  <CharactersWithSpaces>5692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</cp:lastModifiedBy>
  <cp:revision>2</cp:revision>
  <dcterms:created xsi:type="dcterms:W3CDTF">2026-04-05T23:02:00Z</dcterms:created>
  <dcterms:modified xsi:type="dcterms:W3CDTF">2026-04-05T23:07:00Z</dcterms:modified>
</cp:coreProperties>
</file>