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Câu 1: D</w:t>
      </w:r>
    </w:p>
    <w:p>
      <w:r>
        <w:t xml:space="preserve">Câu 2: A</w:t>
      </w:r>
    </w:p>
    <w:p>
      <w:r>
        <w:t xml:space="preserve">Câu 1: ĐSSĐ</w:t>
      </w:r>
    </w:p>
    <w:p>
      <w:r>
        <w:t xml:space="preserve">Câu 1: 12,5</w:t>
      </w:r>
    </w:p>
    <w:p>
      <w:r>
        <w:t xml:space="preserve">Câu 2: 32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