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2e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1a3a2e" w:val="clear"/>
        <w:spacing w:after="0" w:before="120"/>
        <w:jc w:val="center"/>
      </w:pPr>
      <w:r>
        <w:rPr>
          <w:rFonts w:ascii="Arial" w:cs="Arial" w:eastAsia="Arial" w:hAnsi="Arial"/>
          <w:b/>
          <w:bCs/>
          <w:caps/>
          <w:color w:val="9CA3AF"/>
          <w:sz w:val="20"/>
          <w:szCs w:val="20"/>
        </w:rPr>
        <w:t xml:space="preserve">PRODUCT REQUIREMENTS DOCUMENT</w:t>
      </w:r>
    </w:p>
    <w:p>
      <w:pPr>
        <w:shd w:fill="1a3a2e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Action Ready — Execution Intelligence Module</w:t>
      </w:r>
    </w:p>
    <w:p>
      <w:pPr>
        <w:shd w:fill="1a3a2e" w:val="clear"/>
        <w:spacing w:after="0" w:before="60"/>
        <w:jc w:val="center"/>
      </w:pPr>
      <w:r>
        <w:rPr>
          <w:rFonts w:ascii="Arial" w:cs="Arial" w:eastAsia="Arial" w:hAnsi="Arial"/>
          <w:color w:val="6EE7B7"/>
          <w:sz w:val="22"/>
          <w:szCs w:val="22"/>
        </w:rPr>
        <w:t xml:space="preserve">v2.0  ·  April 2026  ·  ForSkale</w:t>
      </w:r>
    </w:p>
    <w:p>
      <w:pPr>
        <w:shd w:fill="1a3a2e" w:val="clear"/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Product: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ForSkale — Action Ready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Development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Last Updated: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April 6, 2026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ForSkale Product Team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Scope: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module rewrite + new AI pipeline</w:t>
            </w:r>
          </w:p>
        </w:tc>
      </w:tr>
    </w:tbl>
    <w:p>
      <w:pPr>
        <w:spacing w:after="120" w:before="0"/>
      </w:pP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Product Overview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Action Ready is ForSkale’s AI-driven sales execution module. It presents salespeople with a prioritised queue of action flashcards—one deal, one action, one decision at a time—powered by meeting context, CRM stage, and a three-stage Claude AI pipeline that generates contextually precise, psychologically calibrated outreach.</w:t>
      </w:r>
    </w:p>
    <w:p>
      <w:pPr>
        <w:spacing w:after="80" w:before="0"/>
      </w:pPr>
    </w:p>
    <w:p>
      <w:pPr>
        <w:pBdr>
          <w:left w:val="single" w:color="1D9E75" w:sz="20" w:space="4"/>
        </w:pBdr>
        <w:shd w:fill="E8F5F0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This PRD reflects all changes implemented in the April 2026 sprint and supersedes the previous version. New sections are marked NEW; updated sections are marked UPDATED.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Change Summary — What’s New in v2.0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Previously Shipped (v1.x baseline)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Compact card grid with flip animation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Radix Dialog modal with basic draft editor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Static tone tabs: Formal / Professional / Conversational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Fixed neuroscientific principle chips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Plain top bar with muted ‘Action Ready’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Minimal font options in toolbar (3 fonts, no preview)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New in v2.0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Three-stage Claude API email generation pipeline (tone detection → primary draft → alternate variants)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Enhanced font dropdown: 12 fonts, live typeface preview, gradient-fade scroll hint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Tone tab visibility logic: tabs hide while editing, compact badge replaces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Unsaved changes dialog: frosted-glass popup on navigate-away with Save / Discard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Animated brand header: ForSkale motif background with looping shimmer and wing animations</w:t>
      </w:r>
    </w:p>
    <w:p>
      <w:pPr>
        <w:spacing w:after="100" w:before="0"/>
      </w:pP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Core UX Direction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Action Ready follows a single-focus execution model: one task, one action, next card. The card grid remains compact; all detail lives in a centered Radix Dialog modal with backdrop blur and glass effect.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Modal Behaviour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Opens on card click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Max width 760–900 px, dynamic height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Backdrop: bg-black/40 + backdrop-blur-md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No full-screen scrolling; content density is tight (padding 12–16 px, gaps 10–12 px)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Close (X) and Complete controls are separate; they do not overlap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Modal Content Order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Company Name + Deal Title + Short Objective (italic, muted)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Interaction Summary [AI badge] + See Complete Chronology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Company / Deal metadata row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Draft Ready to Send (tone detection, tabs, editor, action buttons)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Neuroscientific Principles Used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Key Topics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View Other Options (collapsed by default)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Bottom Action Bar — Mark Complete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Draft Ready to Send — Full Specification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5724"/>
          <w:sz w:val="16"/>
          <w:szCs w:val="16"/>
          <w:shd w:fill="D4EDDA" w:val="clear"/>
        </w:rPr>
        <w:t xml:space="preserve"> NEW </w:t>
      </w:r>
      <w:r>
        <w:t xml:space="preserve">  </w:t>
      </w:r>
      <w:r>
        <w:rPr>
          <w:rFonts w:ascii="Arial" w:cs="Arial" w:eastAsia="Arial" w:hAnsi="Arial"/>
          <w:b/>
          <w:bCs/>
          <w:color w:val="1a5e3e"/>
          <w:sz w:val="24"/>
          <w:szCs w:val="24"/>
        </w:rPr>
        <w:t xml:space="preserve">4.1  Three-Stage Claude API Email Generation Pipeline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email system operates as a sequential three-stage pipeline. All stages call POST /v1/messages using claude-sonnet-4-20250514 with max_tokens: 1800.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Stage 1 — Tone Detection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AI acts as a behavioural analyst, not a copywriter. It reads meeting notes, interaction history, deal stage, open objections, and communication signals to determine the single most appropriate tone.</w:t>
      </w:r>
    </w:p>
    <w:p>
      <w:pPr>
        <w:spacing w:after="40" w:before="0"/>
      </w:pPr>
    </w:p>
    <w:p>
      <w:pPr>
        <w:pBdr>
          <w:left w:val="single" w:color="0e3f7a" w:sz="20" w:space="4"/>
        </w:pBdr>
        <w:shd w:fill="E8EFF8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Inputs: companyName, dealStage, dealValue, contactName, lastTouchpointSummary, meetingNotes, interactionHistory, keyTopics, openConcerns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Decision rules (hard-coded in system prompt):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Informal language in past interactions (‘sounds good’, ‘quick call?’) → Conversational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Formal salutations, legal/procurement mentions → Formal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Proposal or Negotiation stage default → Professional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Confidence levels: high / medium / low returned with reasoning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Output schema (raw JSON, no markdown fences):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detectedTone: 'Professional' | 'Formal' | 'Conversational',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confidence: 'high' | 'medium' | 'low',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reasoning: string,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signals: string[] }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Stage 2 — Primary Email Draft (Detected Tone)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Generates a detailed, specific email in the AI-detected tone. Quality constraints enforced by system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Length: 180–320 words (never one-liner)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Every sentence references a concrete deal fact, name, date, or concern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Banned phrases: ‘I hope this email finds you well’, ‘touching base’, ‘circle back’, ‘synergy’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Neuroscientific persuasion principles from the card woven in naturally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Single, frictionless CTA closes the email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Three tone instruction blocks switch the register: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Professional: first name, direct language, specific reference to last interaction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Formal: full name/title salutation, no contractions, structured paragraphs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Conversational: casual open ('Hey Marco —'), contractions, colleague register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Stage 3 — Alternate Tone Variants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dedicated stylist system prompt re-writes the Stage 2 draft in the two other tones. Both variants run in Promise.all for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Preserves every fact, name, date, and ask from the primary draft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Only vocabulary register, salutation, and sentence structure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Output is keyed as: { professional, formal, conversational }</w:t>
      </w:r>
    </w:p>
    <w:p>
      <w:pPr>
        <w:spacing w:after="80" w:before="0"/>
      </w:pPr>
    </w:p>
    <w:p>
      <w:pPr>
        <w:pBdr>
          <w:left w:val="single" w:color="1D9E75" w:sz="20" w:space="4"/>
        </w:pBdr>
        <w:shd w:fill="E8F5F0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orchestrator function generateAllVariants(ctx) returns all three variants and the toneDetection result in a single await. The UI uses this to populate the three tone tabs.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5460"/>
          <w:sz w:val="16"/>
          <w:szCs w:val="16"/>
          <w:shd w:fill="D1ECF1" w:val="clear"/>
        </w:rPr>
        <w:t xml:space="preserve"> UPDATED </w:t>
      </w:r>
      <w:r>
        <w:t xml:space="preserve">  </w:t>
      </w:r>
      <w:r>
        <w:rPr>
          <w:rFonts w:ascii="Arial" w:cs="Arial" w:eastAsia="Arial" w:hAnsi="Arial"/>
          <w:b/>
          <w:bCs/>
          <w:color w:val="0f5e55"/>
          <w:sz w:val="24"/>
          <w:szCs w:val="24"/>
        </w:rPr>
        <w:t xml:space="preserve">4.2  Tone Tabs — Visibility &amp; Interaction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Tone tabs (Formal / Professional / Conversational) are context-sensitive: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Default state: all three tabs visible with AI-detected tab highlighted (dot indicator + underline)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While user is editing: tabs collapse, replaced by a compact inline tone badge (● Professional)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On Save Draft or click outside: tabs re-appear with fade-in transition (animate-in fade-in duration-300)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Editing state is driven by onFocus / onBlur on the contenteditable editor div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Blurring within the card (e.g. to toolbar) does not exit editing mode</w:t>
      </w:r>
    </w:p>
    <w:p>
      <w:pPr>
        <w:spacing w:after="40" w:before="0"/>
      </w:pPr>
    </w:p>
    <w:p>
      <w:pPr>
        <w:pBdr>
          <w:left w:val="single" w:color="D97706" w:sz="20" w:space="4"/>
        </w:pBdr>
        <w:shd w:fill="FFF8E8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Rationale: showing the tone switcher while the user is composing creates cognitive noise. The compact badge conveys current tone without demanding attention.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5724"/>
          <w:sz w:val="16"/>
          <w:szCs w:val="16"/>
          <w:shd w:fill="D4EDDA" w:val="clear"/>
        </w:rPr>
        <w:t xml:space="preserve"> NEW </w:t>
      </w:r>
      <w:r>
        <w:t xml:space="preserve">  </w:t>
      </w:r>
      <w:r>
        <w:rPr>
          <w:rFonts w:ascii="Arial" w:cs="Arial" w:eastAsia="Arial" w:hAnsi="Arial"/>
          <w:b/>
          <w:bCs/>
          <w:color w:val="1a5e3e"/>
          <w:sz w:val="24"/>
          <w:szCs w:val="24"/>
        </w:rPr>
        <w:t xml:space="preserve">4.3  Unsaved Changes Dialog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When the user has made edits (content !== savedContent) and then navigates away without saving: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Trigger: mousedown outside the card container while isEditing === true &amp;&amp; isDirty === 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 frosted-glass overlay appears: backdrop-blur-sm bg-background/80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Animation: animate-in zoom-in-95 duration-200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Title: “Unsaved changes”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Body: “You have unsaved edits to this draft.”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Save Draft button (primary, accent): commits content, closes dialog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Discard button (ghost, muted destructive): reverts innerText to savedContent, closes dialog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SAVE DRAFT button in the toolbar also displays a small amber dot indicator when isDirty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5460"/>
          <w:sz w:val="16"/>
          <w:szCs w:val="16"/>
          <w:shd w:fill="D1ECF1" w:val="clear"/>
        </w:rPr>
        <w:t xml:space="preserve"> UPDATED </w:t>
      </w:r>
      <w:r>
        <w:t xml:space="preserve">  </w:t>
      </w:r>
      <w:r>
        <w:rPr>
          <w:rFonts w:ascii="Arial" w:cs="Arial" w:eastAsia="Arial" w:hAnsi="Arial"/>
          <w:b/>
          <w:bCs/>
          <w:color w:val="0f5e55"/>
          <w:sz w:val="24"/>
          <w:szCs w:val="24"/>
        </w:rPr>
        <w:t xml:space="preserve">4.4  Enhanced Font Dropdown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font selector in the rich text toolbar has been redesigned: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12 font options: Sans Serif, Serif, Monospace, Arial, Helvetica, Times New Roman, Georgia, Trebuchet MS, Comic Sans MS, Courier New, Verdana, Impact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Each option rendered in its own typeface — live preview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Active font: left accent border (border-l-2 border-primary) + dot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max-h-48 overflow-y-auto with a bottom gradient fade (gradient-to-t from-popover) as scroll hint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Dropdown entrance animation: fade-in slide-in-from-top-1 duration-150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Chevron rotates 180° on open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Closes on outside click via document mousedown listener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5460"/>
          <w:sz w:val="16"/>
          <w:szCs w:val="16"/>
          <w:shd w:fill="D1ECF1" w:val="clear"/>
        </w:rPr>
        <w:t xml:space="preserve"> UPDATED </w:t>
      </w:r>
      <w:r>
        <w:t xml:space="preserve">  </w:t>
      </w:r>
      <w:r>
        <w:rPr>
          <w:rFonts w:ascii="Arial" w:cs="Arial" w:eastAsia="Arial" w:hAnsi="Arial"/>
          <w:b/>
          <w:bCs/>
          <w:color w:val="0f5e55"/>
          <w:sz w:val="24"/>
          <w:szCs w:val="24"/>
        </w:rPr>
        <w:t xml:space="preserve">4.5  Draft Action Buttons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Button order (left to right):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[Send] — primary, accent gradient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[Save Draft] — secondary border; amber dot shown when isDirty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Buttons are compact and inline. Send fires immediately; Save Draft commits the current editor content to savedContent state.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Animated Brand Header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5724"/>
          <w:sz w:val="16"/>
          <w:szCs w:val="16"/>
          <w:shd w:fill="D4EDDA" w:val="clear"/>
        </w:rPr>
        <w:t xml:space="preserve"> NEW </w:t>
      </w:r>
      <w:r>
        <w:t xml:space="preserve">  </w:t>
      </w:r>
      <w:r>
        <w:rPr>
          <w:rFonts w:ascii="Arial" w:cs="Arial" w:eastAsia="Arial" w:hAnsi="Arial"/>
          <w:b/>
          <w:bCs/>
          <w:color w:val="1a5e3e"/>
          <w:sz w:val="24"/>
          <w:szCs w:val="24"/>
        </w:rPr>
        <w:t xml:space="preserve">5.1  Header Background Design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top bar has been redesigned from a flat bg-card surface to an animated brand expression: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Background Gradient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Direction: 108° diagonal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Stops: #1a5e3e (dark forest green) → #0f5e55 (deep teal) → #0e3f7a (navy)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Matches and extends the sidebar’s active gradient (--forskale-green → --forskale-teal → --forskale-blue)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Darkened by ~30% so it reads as a premium dark header, not a bright banner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Wing / Flame Motif Layers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Four SVG wing shapes derived from the ForSkale logo silhouette are layered as background texture: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White-filled at 6–13% opacity — subliminal, not logo-visible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Three path shapes per wing: outer sweep, inner flame column, second flame column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Each wing independently animates on translateY + rotate + scale keyframes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wings loop every 4 seconds with staggered animation-delay (0s, 0.4s, 0.8s, 1.6s)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No ForSkale wordmark or logo image appears in the header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Shimmer Sweeps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Two translateX bars: primary at 13% white opacity, secondary at 7%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Both skewed at -18° and animated left→right across full width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Second sweep offset by 2s to create staggered rhythm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Micro Particles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5 circular particles (2–3 px) scattered across the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Each runs a translate + scale drift animation on the 4s loop with staggered delays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ACTION READY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Font: Inter, 11px, weight 800, letter-spacing 0.18em, uppercase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Color: rgba(255, 255, 255, 0.95)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Prefix: 4×20 px vertical accent pill (green→blue gradient), itself glow-pulsing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Text-shadow animation pulses between faint and bright teal glow every 4s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Language Switcher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Pill container: border rgba(255,255,255,0.20), bg rgba(0,0,0,0.15)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Active language: green→teal gradient fill, white text, shadow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Inactive language: transparent bg, 50% white text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TypeScript Data Models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DealContext (email generation input)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DealContext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companyName: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dealName: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dealStage: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dealValue?: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contactName: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contactRole: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senderName: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senderRole: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actionType: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dueInDays: number;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lastTouchpointSummary: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meetingNotes?: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interactionHistory?: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keyTopics?: string[];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neuroscientificPrinciples?: string[];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openConcerns?: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nextMilestone?: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ToneDetectionResult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ToneDetectionResult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detectedTone: 'Professional' | 'Formal' | 'Conversational';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confidence: 'high' | 'medium' | 'low';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reasoning: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signals: string[];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EmailDraftResult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EmailDraftResult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tone: 'Professional' | 'Formal' | 'Conversational';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AllEmailVariants (orchestrator output)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AllEmailVariants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toneDetection: ToneDetectionResult;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professional: EmailDraftResult;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formal: EmailDraftResult;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conversational: EmailDraftResult;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ActionCardData (unchanged from v1, extended)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ActionCardData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type: ActionType;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prospect: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objective?: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interactionSummary?: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companyName?: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dealName?: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draftContent: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toneOptions?: ('formal'|'professional'|'conversational')[];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detectedTone?: 'formal'|'professional'|'conversational';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neurosciencePrinciples?: NeurosciencePrinciple[];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keyTopics?: string[];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alternativeOptions?: AlternativeOption[];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hoverHint?: { en: string; it: string; };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interestContext?: InterestContext;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NeurosciencePrinciple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NeurosciencePrinciple {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explanation: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reasonUsed: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highlightedPhrase: string;</w:t>
      </w:r>
    </w:p>
    <w:p>
      <w:pPr>
        <w:shd w:fill="F3F4F6" w:val="clear"/>
        <w:spacing w:after="8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Neuroscientific Principles Section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5460"/>
          <w:sz w:val="16"/>
          <w:szCs w:val="16"/>
          <w:shd w:fill="D1ECF1" w:val="clear"/>
        </w:rPr>
        <w:t xml:space="preserve"> UPDATED </w:t>
      </w:r>
      <w:r>
        <w:t xml:space="preserve">  </w:t>
      </w:r>
      <w:r>
        <w:rPr>
          <w:rFonts w:ascii="Arial" w:cs="Arial" w:eastAsia="Arial" w:hAnsi="Arial"/>
          <w:b/>
          <w:bCs/>
          <w:color w:val="0f5e55"/>
          <w:sz w:val="24"/>
          <w:szCs w:val="24"/>
        </w:rPr>
        <w:t xml:space="preserve">7.1  Dynamic Context-Driven Principles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Principles are no longer static. They are generated dynamically by the AI pipeline based 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Meeting context and tone of past interactions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Deal stage and negotiation phase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Prospect objections and open concerns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Tone of the generated email draft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Each principle chip is expandable and includes: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Principle title (e.g. Loss Aversion)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Short explanation of the principle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Why it is being applied to this specific deal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The highlighted phrase in the draft that activates it</w:t>
      </w:r>
    </w:p>
    <w:p>
      <w:pPr>
        <w:spacing w:after="80" w:before="0"/>
      </w:pPr>
    </w:p>
    <w:p>
      <w:pPr>
        <w:pBdr>
          <w:left w:val="single" w:color="D97706" w:sz="20" w:space="4"/>
        </w:pBdr>
        <w:shd w:fill="FFF8E8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Example: Loss Aversion → Why used: Prospect is delaying decision → Phrase: ‘Avoid losing momentum before Q2’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Retained Specifications (Unchanged from v1)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8.1  Compact Card Structure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[Action Type Badge] [Due Status Badge] — COMPANY NAME — Card Title — Short objective (italic) — Due label — Channel badge — [Complete]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8.2  Modal 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Hover tooltip: EN ‘Click to see’ / IT ‘Clicca per vedere’ — glass effect, fade-in, top-right corner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No flip animation; full modal-based interaction via Radix Dialog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8.3  Key Topics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Short keywords only: ROI, Budget, Timeline, Pricing, Urgency, Stakeholders, Procurement,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Compact pills in single line or wrapped grid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Sentence-style topics (e.g. ‘Current priorities’) are not permitted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8.4  View Other 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Collapsed by default; 2–3 alternatives on expand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Each option: icon/emoji + action label + confidence % + short explanation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8.5  Card Priority Sort Order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Follow-up Email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Email Response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Send Resources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Proposal Email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Reminder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Task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Stakeholder Involvement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Proposal Prep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Meeting Scheduling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Other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Within same priority: sort by due date, closest first.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8.6  Filter Pills (Due Date)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Today / Tomorrow / In 2 Days / In 3 Days / In 4 Days / Overdue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8.7  Category Sidebar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Keep: All, Interested, Not Interested, Meeting Intent, Not Now, Forwarded, Personal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Remove permanently: Non in target, Do not contact, No categories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Show only categories where count &gt; 0 (except All)</w:t>
      </w:r>
    </w:p>
    <w:p>
      <w:pPr>
        <w:spacing w:after="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5e55"/>
          <w:sz w:val="22"/>
          <w:szCs w:val="22"/>
        </w:rPr>
        <w:t xml:space="preserve">8.8  Neuro Insights Terminology (Stage-Sensitive)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First meetings: show only Interest % or basic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Later stages: show Cognitive Profile, Communication Style, Watchouts, Opening 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Labels: Prospect Intelligence / Cognitive Profile / Communication Style / Approach Notes / Watchouts / Decision Pattern / Cognitive Alert</w:t>
      </w: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Deliverables in This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1D9E75" w:sz="4"/>
              <w:right w:val="single" w:color="E5E7EB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1D9E75" w:sz="4"/>
              <w:right w:val="single" w:color="E5E7EB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1D9E75" w:sz="4"/>
              <w:right w:val="single" w:color="E5E7EB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DraftEmailEditor.tsx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Tone tabs, font dropdown, unsaved dialog, editor state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claudeEmailPrompts.ts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3-stage Claude API pipeline: detectTone, generatePrimaryDraft, generateToneVariant, generateAllVariants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ActionReadyHeader.tsx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Animated brand header with wing motifs, shimmer, particles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Delivered</w:t>
            </w:r>
          </w:p>
        </w:tc>
      </w:tr>
    </w:tbl>
    <w:p>
      <w:pPr>
        <w:spacing w:after="120" w:before="0"/>
      </w:pPr>
    </w:p>
    <w:p>
      <w:pPr>
        <w:pStyle w:val="Heading1"/>
        <w:pBdr>
          <w:left w:val="single" w:color="1D9E75" w:sz="24" w:space="4"/>
        </w:pBdr>
        <w:shd w:fill="1a3a2e" w:val="clear"/>
        <w:spacing w:after="12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Open Items &amp; Next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Integrate claudeEmailPrompts.ts with the existing card data fetch layer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Wire DealContext fields to live CRM data (meeting notes, interaction history)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Add streaming support to Stage 2 so draft appears token-by-token in the editor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Implement per-principle highlight overlay in the draft body (highlightedPhrase field)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preference memory: remember last-used font and tone per contact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Mobile responsive pass for the header animations</w:t>
      </w:r>
    </w:p>
    <w:p>
      <w:pPr>
        <w:spacing w:after="60" w:before="0"/>
      </w:pPr>
    </w:p>
    <w:p>
      <w:pPr>
        <w:pBdr>
          <w:left w:val="single" w:color="D97706" w:sz="20" w:space="4"/>
        </w:pBdr>
        <w:shd w:fill="FFF8E8" w:val="clear"/>
        <w:spacing w:after="100" w:before="60"/>
        <w:ind w:left="280" w:right="1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Assigned to marketing@forskale.com: review Neuroscientific Principles section for copy and taxonomy before engineering implements the dynamic generation prompt.</w:t>
      </w:r>
    </w:p>
    <w:p>
      <w:pPr>
        <w:spacing w:after="200" w:before="0"/>
      </w:pPr>
    </w:p>
    <w:p>
      <w:pPr>
        <w:pBdr>
          <w:bottom w:val="single" w:color="1D9E75" w:sz="6" w:space="1"/>
        </w:pBdr>
        <w:spacing w:after="12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ForSkale · Action Ready PRD v2.0 · April 2026  ·  Confidential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2e" w:val="clear"/>
      <w:tabs>
        <w:tab w:val="center" w:pos="4680"/>
        <w:tab w:val="right" w:pos="9360"/>
      </w:tabs>
      <w:spacing w:after="60" w:before="6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ForSkale  —  Action Ready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PRODUCT REQUIREMENTS DOCUMENT  v2.0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Updated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e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f5e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2026-04-06T14:09:52.497Z</dcterms:created>
  <dcterms:modified xsi:type="dcterms:W3CDTF">2026-04-06T14:09:52.498Z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