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>Patient</w:t>
      </w:r>
    </w:p>
    <w:p>
      <w:pPr>
        <w:keepNext w:val="0"/>
        <w:keepLines w:val="0"/>
        <w:widowControl/>
        <w:suppressLineNumbers w:val="0"/>
        <w:jc w:val="left"/>
        <w:rPr>
          <w:rFonts w:ascii="Helvetica Oblique" w:hAnsi="Helvetica Oblique" w:eastAsia="Helvetica Oblique" w:cs="Helvetica Oblique"/>
          <w:i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>Birth Date</w:t>
      </w: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ascii="Helvetica Oblique" w:hAnsi="Helvetica Oblique" w:eastAsia="Helvetica Oblique" w:cs="Helvetica Oblique"/>
          <w:i/>
          <w:color w:val="000000"/>
          <w:kern w:val="0"/>
          <w:sz w:val="20"/>
          <w:szCs w:val="20"/>
          <w:lang w:val="en-US" w:eastAsia="zh-CN" w:bidi="ar"/>
        </w:rPr>
        <w:t>25/02/1953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 Oblique" w:cs="Helvetica Oblique"/>
          <w:i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 xml:space="preserve">Sex </w:t>
      </w:r>
      <w:r>
        <w:rPr>
          <w:rFonts w:hint="default" w:ascii="Helvetica Oblique" w:hAnsi="Helvetica Oblique" w:eastAsia="Helvetica Oblique" w:cs="Helvetica Oblique"/>
          <w:i/>
          <w:color w:val="000000"/>
          <w:kern w:val="0"/>
          <w:sz w:val="20"/>
          <w:szCs w:val="20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 xml:space="preserve">Date </w:t>
      </w:r>
      <w:r>
        <w:rPr>
          <w:rFonts w:hint="default" w:ascii="Helvetica Oblique" w:hAnsi="Helvetica Oblique" w:eastAsia="Helvetica Oblique" w:cs="Helvetica Oblique"/>
          <w:i/>
          <w:color w:val="000000"/>
          <w:kern w:val="0"/>
          <w:sz w:val="20"/>
          <w:szCs w:val="20"/>
          <w:lang w:val="en-US" w:eastAsia="zh-CN" w:bidi="ar"/>
        </w:rPr>
        <w:t xml:space="preserve">25/05/2022 14:22 PM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>CPTS:</w:t>
      </w: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CY054, CY076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 Oblique" w:cs="Helvetica Oblique"/>
          <w:i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>Identity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>MRN:</w:t>
      </w: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133241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>Ref. Physician</w:t>
      </w: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Dr.CHARALAMPOUS STAVROS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>Referral Number</w:t>
      </w: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23518646 </w:t>
      </w:r>
    </w:p>
    <w:p>
      <w:pPr>
        <w:keepNext w:val="0"/>
        <w:keepLines w:val="0"/>
        <w:widowControl/>
        <w:suppressLineNumbers w:val="0"/>
        <w:jc w:val="left"/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  <w:t>GHS Number</w:t>
      </w:r>
    </w:p>
    <w:p>
      <w:pPr>
        <w:keepNext w:val="0"/>
        <w:keepLines w:val="0"/>
        <w:widowControl/>
        <w:suppressLineNumbers w:val="0"/>
        <w:jc w:val="left"/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" w:hAnsi="Helvetica Bold" w:eastAsia="Helvetica Bold" w:cs="Helvetica Bold"/>
          <w:b/>
          <w:color w:val="000000"/>
          <w:kern w:val="0"/>
          <w:sz w:val="28"/>
          <w:szCs w:val="28"/>
          <w:lang w:val="en-US" w:eastAsia="zh-CN" w:bidi="ar"/>
        </w:rPr>
        <w:t>MRI PELVIS PROSTATE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 Oblique" w:hAnsi="Helvetica Bold Oblique" w:eastAsia="Helvetica Bold Oblique" w:cs="Helvetica Bold Oblique"/>
          <w:b/>
          <w:i/>
          <w:color w:val="000000"/>
          <w:kern w:val="0"/>
          <w:sz w:val="22"/>
          <w:szCs w:val="22"/>
          <w:lang w:val="en-US" w:eastAsia="zh-CN" w:bidi="ar"/>
        </w:rPr>
        <w:t xml:space="preserve">Technique: 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The examination was performed on 3T Phillips Ingenia using the following sequences: STIR coronal 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T2/TSE axial sagitt</w:t>
      </w:r>
      <w:bookmarkStart w:id="0" w:name="_GoBack"/>
      <w:bookmarkEnd w:id="0"/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al &amp; coronal of the prostate gland &amp; diffusion &amp; T1/TSE axial &amp; dynamic thrive contrast </w:t>
      </w:r>
    </w:p>
    <w:p>
      <w:pPr>
        <w:keepNext w:val="0"/>
        <w:keepLines w:val="0"/>
        <w:widowControl/>
        <w:suppressLineNumbers w:val="0"/>
        <w:jc w:val="left"/>
        <w:rPr>
          <w:rFonts w:ascii="Helvetica Bold Oblique" w:hAnsi="Helvetica Bold Oblique" w:eastAsia="Helvetica Bold Oblique" w:cs="Helvetica Bold Oblique"/>
          <w:b/>
          <w:i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images of the prostate gland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 Oblique" w:hAnsi="Helvetica Bold Oblique" w:eastAsia="Helvetica Bold Oblique" w:cs="Helvetica Bold Oblique"/>
          <w:b/>
          <w:i/>
          <w:color w:val="000000"/>
          <w:kern w:val="0"/>
          <w:sz w:val="22"/>
          <w:szCs w:val="22"/>
          <w:lang w:val="en-US" w:eastAsia="zh-CN" w:bidi="ar"/>
        </w:rPr>
        <w:t xml:space="preserve">Findings: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 prostate gland measures 5cm in RL, 4.1cm in AP and 4.2cm in CC diameters (V=43cc).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There is evidence of a large lesion of low signal intensity seen on the T2 images with restricted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diffusion within the posterior peripheral zone of the prostate gland, extending just above the apex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superiorly in the mid aspect of the gland. The lesion is extending from the level of the 3rd to 7th hour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position and measures approximately 3.6cm in maximum diameter.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There is also evidence of another focus of restricted diffusion within the left anterior lobe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prostate gland in the mid aspect of it and at the level of the 12th to 1st hour position measuring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approximately 8mm.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After IV contrast administration there is evidence of enhancement of these lesions.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 seminal vesicles appear normal.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There is no definite infiltration of the neurovascular bundles.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There has been deterioration of the findings compared to the previous MRI dated 08/11/18, where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 lesions of the prostate gland appear bigger on the current examination.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There is no evidence of free fluid in the pelvis.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No pathological findings from the urinary bladder is seen.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There is evidence of few internal and external iliac lymph nodes measuring the largest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Sans Serif" w:hAnsi="Microsoft Sans Serif" w:eastAsia="Microsoft Sans Serif" w:cs="Microsoft Sans Serif"/>
          <w:color w:val="000000"/>
          <w:kern w:val="0"/>
          <w:sz w:val="24"/>
          <w:szCs w:val="24"/>
          <w:lang w:val="en-US" w:eastAsia="zh-CN" w:bidi="ar"/>
        </w:rPr>
        <w:t xml:space="preserve">approximately 5mm.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No definite pelvic bony lesions are seen.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 Oblique" w:hAnsi="Helvetica Bold Oblique" w:eastAsia="Helvetica Bold Oblique" w:cs="Helvetica Bold Oblique"/>
          <w:b/>
          <w:i/>
          <w:color w:val="000000"/>
          <w:kern w:val="0"/>
          <w:sz w:val="22"/>
          <w:szCs w:val="22"/>
          <w:lang w:val="en-US" w:eastAsia="zh-CN" w:bidi="ar"/>
        </w:rPr>
        <w:t>Impression: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There are large suspicious lesions of the prostate gland with restricted diffusion, as described above. There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is no definite extraprostatic infiltration. The findings however appear to be deteriorated compared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previous MRI dated 08/11/2018. There is also evidence of few small pelvic lymph nodes. Correlation with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biopsy advisable. PI-RADS 5.-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Bold Oblique" w:hAnsi="Helvetica Bold Oblique" w:eastAsia="Helvetica Bold Oblique" w:cs="Helvetica Bold Oblique"/>
          <w:b/>
          <w:i/>
          <w:color w:val="000000"/>
          <w:kern w:val="0"/>
          <w:sz w:val="18"/>
          <w:szCs w:val="18"/>
          <w:lang w:val="en-US" w:eastAsia="zh-CN" w:bidi="ar"/>
        </w:rPr>
        <w:t xml:space="preserve">ICD10: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C61</w:t>
      </w:r>
    </w:p>
    <w:p>
      <w:pPr>
        <w:keepNext w:val="0"/>
        <w:keepLines w:val="0"/>
        <w:widowControl/>
        <w:suppressLineNumbers w:val="0"/>
        <w:jc w:val="left"/>
        <w:rPr>
          <w:rFonts w:ascii="Helvetica Bold" w:hAnsi="Helvetica Bold" w:eastAsia="Helvetica Bold" w:cs="Helvetica Bold"/>
          <w:b/>
          <w:color w:val="000000"/>
          <w:kern w:val="0"/>
          <w:sz w:val="20"/>
          <w:szCs w:val="2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Bold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2318"/>
    <w:rsid w:val="56BF6794"/>
    <w:rsid w:val="6FD9EDA3"/>
    <w:rsid w:val="6FF7E3D6"/>
    <w:rsid w:val="7DFF5D02"/>
    <w:rsid w:val="7FFC2318"/>
    <w:rsid w:val="BFF93982"/>
    <w:rsid w:val="FFD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2024-08-05T13:14:00Z</dcterms:created>
  <dc:creator>will.nguyen</dc:creator>
  <cp:lastModifiedBy>will.nguyen</cp:lastModifiedBy>
  <dcterms:modified xsi:type="dcterms:W3CDTF">2024-08-05T14:23:51Z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