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  <w:t xml:space="preserve">Impression </w:t>
      </w:r>
    </w:p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</w:pPr>
    </w:p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  <w:t>Unter treatment mixed response with:</w:t>
      </w:r>
    </w:p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  <w:t>-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  <w:t>Progress of the intensity and extent of some of the known skeleton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  <w:t>metastases.</w:t>
      </w:r>
    </w:p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  <w:t>-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  <w:t>Partial to complete response of the rest osseous secondaries, of the primary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  <w:t>prostate malignancy extended to seminal vesicle left and of the infra- and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  <w:t xml:space="preserve"> </w:t>
      </w: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  <w:t>supra-diaphragmatic LN spread.</w:t>
      </w:r>
    </w:p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</w:pP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  <w:t>-Νο new PSMA-expressing secondaries.</w:t>
      </w:r>
    </w:p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</w:pPr>
    </w:p>
    <w:p>
      <w:pP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default" w:ascii="Arial Regular" w:hAnsi="Arial Regular" w:eastAsia="*Verdana-Bold-9901" w:cs="Arial Regular"/>
          <w:color w:val="000000"/>
          <w:kern w:val="0"/>
          <w:sz w:val="20"/>
          <w:szCs w:val="20"/>
          <w:lang w:eastAsia="zh-CN" w:bidi="ar"/>
        </w:rPr>
        <w:t>Patient primarily eligible for 177LuPSMA.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*Verdana-Bold-990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Verdana-9899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 Regular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Regular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*Verdana-8543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*Verdana-Bold-8544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BA4FA6"/>
    <w:rsid w:val="29BA4FA6"/>
    <w:rsid w:val="3FB7AD33"/>
    <w:rsid w:val="3FFB5AF3"/>
    <w:rsid w:val="5FEBBC9A"/>
    <w:rsid w:val="6EFF6D33"/>
    <w:rsid w:val="77FF8F6C"/>
    <w:rsid w:val="7B6412AA"/>
    <w:rsid w:val="7F333A83"/>
    <w:rsid w:val="7F3602D2"/>
    <w:rsid w:val="C37AE0D5"/>
    <w:rsid w:val="FB9F8A61"/>
    <w:rsid w:val="FE3F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2024-08-05T16:32:00Z</dcterms:created>
  <dc:creator>will.nguyen</dc:creator>
  <cp:lastModifiedBy>will.nguyen</cp:lastModifiedBy>
  <dcterms:modified xsi:type="dcterms:W3CDTF">2024-08-05T16:38:57Z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