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PUMP-B | PB-MAN-001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Pump-B Teknik Kullanım ve İzleme Kılavuzu</w:t>
      </w:r>
    </w:p>
    <w:p>
      <w:pPr>
        <w:jc w:val="center"/>
      </w:pPr>
      <w:r>
        <w:rPr>
          <w:b/>
          <w:sz w:val="21"/>
        </w:rPr>
        <w:t>Hidrolik sensörler, çalışma aralıkları, veri kalitesi ve istasyon bağlamı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PB-MAN-001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PUMP_B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PUMP-B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Amaç ve kapsam</w:t>
      </w:r>
    </w:p>
    <w:p>
      <w:r>
        <w:t>Bu kılavuz, Pump-B için üretilen sentetik zaman serisi verilerinin yorumlanmasını, normal çalışma sınırlarını ve IoT karar destek sisteminde kullanılacak temel işletim kurallarını tanımlar. Pump-B, STATION_01 içinde MOTOR_A tarafından tahrik edilen pompa varlığı olarak kurgulanmıştır.</w:t>
      </w:r>
    </w:p>
    <w:p>
      <w:pPr>
        <w:pStyle w:val="Heading1"/>
      </w:pPr>
      <w:r>
        <w:t>2. İstasyon ve proses ilişkisi</w:t>
      </w:r>
    </w:p>
    <w:p>
      <w:r>
        <w:t>STATION_01 için sentetik proses zinciri: MOTOR_A → PUMP_B → VALVE_C → proses çıkışı.</w:t>
      </w:r>
    </w:p>
    <w:p>
      <w:pPr>
        <w:pStyle w:val="ListBullet"/>
        <w:spacing w:after="40"/>
      </w:pPr>
      <w:r>
        <w:t>MOTOR_A elektriksel ve mekanik tahrik davranışını temsil eder.</w:t>
      </w:r>
    </w:p>
    <w:p>
      <w:pPr>
        <w:pStyle w:val="ListBullet"/>
        <w:spacing w:after="40"/>
      </w:pPr>
      <w:r>
        <w:t>PUMP_B emiş/basma basıncı, debi, rulman sıcaklığı ve titreşim gibi hidrolik-mekanik belirtileri temsil eder.</w:t>
      </w:r>
    </w:p>
    <w:p>
      <w:pPr>
        <w:pStyle w:val="ListBullet"/>
        <w:spacing w:after="40"/>
      </w:pPr>
      <w:r>
        <w:t>VALVE_C downstream akış kısıtını ve vana/aktüatör davranışını temsil eder.</w:t>
      </w:r>
    </w:p>
    <w:p>
      <w:pPr>
        <w:pStyle w:val="ListBullet"/>
        <w:spacing w:after="40"/>
      </w:pPr>
      <w:r>
        <w:t>Bir ekipmandaki bulgu diğer ekipmanda otomatik kök neden sayılmaz; yalnızca ortak zaman aralığı ve proses ilişkisi kanıt olarak kullanılır.</w:t>
      </w:r>
    </w:p>
    <w:p>
      <w:pPr>
        <w:pStyle w:val="Heading1"/>
      </w:pPr>
      <w:r>
        <w:t>3. Sistem tanımı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Bileşen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Kimlik / Birim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İşlev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Pompa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PUMP_B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İzlenen hidrolik varlık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Rulman sıcaklığı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TEMP_B / °C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Pompa yatak sıcaklığını izler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Titreşim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VIB_B / mm/s 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Pompa gövde/rulman titreşimini izler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Emiş basıncı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SUC_P_B / bar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Kavitasyon ve emiş koşullarını izler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Basma basıncı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DIS_P_B / bar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Pompa çıkış performansını izler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Debi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FLOW_B / m³/h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Proses akışını izler</w:t>
            </w:r>
          </w:p>
        </w:tc>
      </w:tr>
    </w:tbl>
    <w:p>
      <w:pPr>
        <w:pStyle w:val="Heading1"/>
      </w:pPr>
      <w:r>
        <w:t>4. Normal çalışma ve demo alarm eşikleri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Normal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Uyarı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Kritik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Yorum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Rulman sıcaklığı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&lt;68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68-&lt;78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≥78 °C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Titreşimle birlikte artış mekanik risk ihtimalini güçlendirir.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Titreşim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&lt;4,0 mm/s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4,0-&lt;7,0 mm/s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≥7,0 mm/s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Emiş basıncı ve sıcaklıkla birlikte değerlendirilir.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Emiş basıncı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&gt;1,2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0,8-1,2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≤0,8 bar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Düşük değer + titreşim/debi dalgalanması kavitasyon desenidir.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Debi (running)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≥38 m³/h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30-&lt;38 m³/h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≤30 m³/h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Proses talebi ve vana konumuyla birlikte yorumlanır.</w:t>
            </w:r>
          </w:p>
        </w:tc>
      </w:tr>
    </w:tbl>
    <w:p>
      <w:pPr>
        <w:pStyle w:val="Heading1"/>
      </w:pPr>
      <w:r>
        <w:t>5. Sensör ilişkilerinin yorumlanması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Gözlenen desen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Ön değerlendirme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Öncelikli kontrol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Emiş basıncı düşüyor + titreşim yükseliyor + debi dalgalı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Kavitasyon olasılığı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Emiş hattı, sıvı seviyesi, filtre/ön vana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Sıcaklık ve titreşim birlikte yükseliyor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Rulman/yağlama/hizalama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Rulman, yağlama, kaplin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Debi ve basma basıncı birlikte düşüyor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Çark/filtre performans kaybı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Çark, filtre, hidrolik hat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Tek basınç ölçümü aşırı yüksek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Sensör sıçraması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Komşu ölçümler ve transmitter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Debi tam sabit, diğer proses değerleri değişiyor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Debi sensörü stuck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Sensör canlılığı ve gateway</w:t>
            </w:r>
          </w:p>
        </w:tc>
      </w:tr>
    </w:tbl>
    <w:p>
      <w:pPr>
        <w:pStyle w:val="Heading1"/>
      </w:pPr>
      <w:r>
        <w:t>6. Veri kalitesi ve karar destek ilkeleri</w:t>
      </w:r>
    </w:p>
    <w:p>
      <w:pPr>
        <w:pStyle w:val="ListNumber"/>
        <w:spacing w:after="40"/>
      </w:pPr>
      <w:r>
        <w:t>Önce data_quality_flag kontrol edilir.</w:t>
      </w:r>
    </w:p>
    <w:p>
      <w:pPr>
        <w:pStyle w:val="ListNumber"/>
        <w:spacing w:after="40"/>
      </w:pPr>
      <w:r>
        <w:t>Eşikler tek başına kesin kök neden olarak kullanılmaz.</w:t>
      </w:r>
    </w:p>
    <w:p>
      <w:pPr>
        <w:pStyle w:val="ListNumber"/>
        <w:spacing w:after="40"/>
      </w:pPr>
      <w:r>
        <w:t>Son 30-60 dakikalık trend ve sensör birlikteliği değerlendirilir.</w:t>
      </w:r>
    </w:p>
    <w:p>
      <w:pPr>
        <w:pStyle w:val="ListNumber"/>
        <w:spacing w:after="40"/>
      </w:pPr>
      <w:r>
        <w:t>MOTOR_A ve VALVE_C aynı zaman aralığındaki bağlamsal kanıt olarak kullanılabilir.</w:t>
      </w:r>
    </w:p>
    <w:p>
      <w:pPr>
        <w:pStyle w:val="ListNumber"/>
        <w:spacing w:after="40"/>
      </w:pPr>
      <w:r>
        <w:t>Kritik durumda insan onayı olmadan fiziksel kontrol komutu gönderilmez.</w:t>
      </w:r>
    </w:p>
    <w:p>
      <w:pPr>
        <w:pStyle w:val="Heading1"/>
      </w:pPr>
      <w:r>
        <w:t>7. Sınırlamalar</w:t>
      </w:r>
    </w:p>
    <w:p>
      <w:r>
        <w:t>Bu eşikler gerçek üretici sınırı değildir; yalnızca sentetik veri üretimi, RAG testi ve arayüz demonstrasyonu içindir.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