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color w:val="505050"/>
          <w:sz w:val="16"/>
        </w:rPr>
        <w:t>VALVE-C | VC-MAN-001 | Sentetik IoT Demo Dokümantasyonu</w:t>
      </w:r>
    </w:p>
    <w:p>
      <w:pPr>
        <w:jc w:val="center"/>
      </w:pPr>
      <w:r>
        <w:rPr>
          <w:b/>
          <w:color w:val="1F4E78"/>
          <w:sz w:val="40"/>
        </w:rPr>
        <w:t>Valve-C Teknik Kullanım ve İzleme Kılavuzu</w:t>
      </w:r>
    </w:p>
    <w:p>
      <w:pPr>
        <w:jc w:val="center"/>
      </w:pPr>
      <w:r>
        <w:rPr>
          <w:b/>
          <w:sz w:val="21"/>
        </w:rPr>
        <w:t>Vana konumu, aktüatör, basınç/debi ilişkileri ve veri kalitesi kuralları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Doküman Kimliği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VC-MAN-001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Sürüm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1.0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Yayın Tarihi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12 Ağustos 2026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Varlık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VALVE_C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Doküman Sınıfı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Sentetik / Demo / RAG Bilgi Tabanı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  <w:vAlign w:val="center"/>
          </w:tcPr>
          <w:p>
            <w:r/>
            <w:r>
              <w:rPr>
                <w:b/>
                <w:sz w:val="17"/>
              </w:rPr>
              <w:t>UYARI: Bu dokümandaki ekipman, eşikler, olaylar ve prosedürler kurgusaldır. VALVE-C dummy veri setiyle tutarlı bir IoT/RAG demonstrasyonu oluşturmak amacıyla hazırlanmıştır.</w:t>
            </w:r>
          </w:p>
        </w:tc>
      </w:tr>
    </w:tbl>
    <w:p/>
    <w:p>
      <w:pPr>
        <w:pStyle w:val="Heading1"/>
      </w:pPr>
      <w:r>
        <w:t>1. Amaç ve kapsam</w:t>
      </w:r>
    </w:p>
    <w:p>
      <w:r>
        <w:t>Valve-C, STATION_01 proses zincirinde PUMP_B sonrasında yer alan sentetik kontrol vanasıdır. Kılavuz, vana/aktüatör sensörlerinin yorumlanmasını ve RAG tabanlı bakım karar desteğinde kullanılacak demo kuralları tanımlar.</w:t>
      </w:r>
    </w:p>
    <w:p>
      <w:pPr>
        <w:pStyle w:val="Heading1"/>
      </w:pPr>
      <w:r>
        <w:t>2. İstasyon ve proses ilişkisi</w:t>
      </w:r>
    </w:p>
    <w:p>
      <w:r>
        <w:t>MOTOR_A → PUMP_B → VALVE_C → proses çıkışı. Valve-C downstream akış direncini ve debi kontrolünü temsil eder.</w:t>
      </w:r>
    </w:p>
    <w:p>
      <w:pPr>
        <w:pStyle w:val="Heading1"/>
      </w:pPr>
      <w:r>
        <w:t>3. Sistem tanımı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Bileşen</w:t>
            </w:r>
          </w:p>
        </w:tc>
        <w:tc>
          <w:tcPr>
            <w:tcW w:type="dxa" w:w="3456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Kimlik / Birim</w:t>
            </w:r>
          </w:p>
        </w:tc>
        <w:tc>
          <w:tcPr>
            <w:tcW w:type="dxa" w:w="3456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İşlev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Kontrol vanası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VALVE_C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İzlenen proses kontrol varlığı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Aktüatör sıcaklığı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TEMP_C / °C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Aktüatör ısıl yükünü izler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Aktüatör akımı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CUR_C / A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Mekanik direnç/aktüatör yükünü izler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Komut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CMD_C / %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Talep edilen vana açıklığı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Konum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POS_C / %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Ölçülen vana açıklığı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Giriş/çıkış basıncı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P_UP_C / P_DOWN_C / bar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Vana üzerindeki basınç düşümünü izler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Debi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FLOW_C / m³/h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Vana üzerinden proses akışını izler</w:t>
            </w:r>
          </w:p>
        </w:tc>
      </w:tr>
    </w:tbl>
    <w:p>
      <w:pPr>
        <w:pStyle w:val="Heading1"/>
      </w:pPr>
      <w:r>
        <w:t>4. Normal çalışma ve demo alarm eşikleri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Ölçüm</w:t>
            </w:r>
          </w:p>
        </w:tc>
        <w:tc>
          <w:tcPr>
            <w:tcW w:type="dxa" w:w="2074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Normal</w:t>
            </w:r>
          </w:p>
        </w:tc>
        <w:tc>
          <w:tcPr>
            <w:tcW w:type="dxa" w:w="2074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Uyarı</w:t>
            </w:r>
          </w:p>
        </w:tc>
        <w:tc>
          <w:tcPr>
            <w:tcW w:type="dxa" w:w="2074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Kritik</w:t>
            </w:r>
          </w:p>
        </w:tc>
        <w:tc>
          <w:tcPr>
            <w:tcW w:type="dxa" w:w="2074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Yorum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6"/>
              </w:rPr>
              <w:t>Aktüatör sıcaklığı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6"/>
              </w:rPr>
              <w:t>&lt;55 °C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6"/>
              </w:rPr>
              <w:t>55-&lt;65 °C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6"/>
              </w:rPr>
              <w:t>≥65 °C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6"/>
              </w:rPr>
              <w:t>Akım ve konum hatasıyla birlikte yorumlanır.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6"/>
              </w:rPr>
              <w:t>Aktüatör akımı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6"/>
              </w:rPr>
              <w:t>&lt;1,8 A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6"/>
              </w:rPr>
              <w:t>1,8-&lt;2,4 A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6"/>
              </w:rPr>
              <w:t>≥2,4 A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6"/>
              </w:rPr>
              <w:t>Mekanik direnç veya aktüatör yükünü gösterebilir.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6"/>
              </w:rPr>
              <w:t>Konum hatası |cmd-pos|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6"/>
              </w:rPr>
              <w:t>&lt;8 %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6"/>
              </w:rPr>
              <w:t>8-&lt;15 %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6"/>
              </w:rPr>
              <w:t>≥15 %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6"/>
              </w:rPr>
              <w:t>Stiction/actuator problemi için temel kanıt.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6"/>
              </w:rPr>
              <w:t>Diferansiyel basınç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6"/>
              </w:rPr>
              <w:t>&lt;1,8 bar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6"/>
              </w:rPr>
              <w:t>1,8-&lt;2,6 bar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6"/>
              </w:rPr>
              <w:t>≥2,6 bar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6"/>
              </w:rPr>
              <w:t>Debi ve konumla birlikte restriction açısından değerlendirilir.</w:t>
            </w:r>
          </w:p>
        </w:tc>
      </w:tr>
    </w:tbl>
    <w:p>
      <w:pPr>
        <w:pStyle w:val="Heading1"/>
      </w:pPr>
      <w:r>
        <w:t>5. Sensör ilişkilerinin yorumlanması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Gözlenen desen</w:t>
            </w:r>
          </w:p>
        </w:tc>
        <w:tc>
          <w:tcPr>
            <w:tcW w:type="dxa" w:w="3456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Ön değerlendirme</w:t>
            </w:r>
          </w:p>
        </w:tc>
        <w:tc>
          <w:tcPr>
            <w:tcW w:type="dxa" w:w="3456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Öncelikli kontrol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Komut değişiyor, konum gecikiyor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Vana stiction / mekanik sürtünme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Stem, packing, aktüatör ve positioner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Konum izliyor, ΔP artıyor, debi düşüyor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Vana/hat kısıtı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Vana gövdesi ve downstream hat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Akım + sıcaklık artıyor, konum yavaş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Aktüatör aşırı yükü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Aktüatör mekanizması ve besleme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Tek konum ölçümü &gt;100%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Sensör sıçraması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Komşu ölçümler ve transmitter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Konum tam sabit, komut değişiyor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Konum sensörü stuck veya mekanik stiction; data quality bayrağıyla ayır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Positioner/sensör ve komut karşılaştırması</w:t>
            </w:r>
          </w:p>
        </w:tc>
      </w:tr>
    </w:tbl>
    <w:p>
      <w:pPr>
        <w:pStyle w:val="Heading1"/>
      </w:pPr>
      <w:r>
        <w:t>6. Karar destek kullanım ilkeleri</w:t>
      </w:r>
    </w:p>
    <w:p>
      <w:pPr>
        <w:pStyle w:val="ListNumber"/>
        <w:spacing w:after="40"/>
      </w:pPr>
      <w:r>
        <w:t>Data quality bayrağını kontrol et.</w:t>
      </w:r>
    </w:p>
    <w:p>
      <w:pPr>
        <w:pStyle w:val="ListNumber"/>
        <w:spacing w:after="40"/>
      </w:pPr>
      <w:r>
        <w:t>Komut ile gerçek konumu birlikte değerlendir.</w:t>
      </w:r>
    </w:p>
    <w:p>
      <w:pPr>
        <w:pStyle w:val="ListNumber"/>
        <w:spacing w:after="40"/>
      </w:pPr>
      <w:r>
        <w:t>Debi ve diferansiyel basıncı PUMP_B bağlamıyla karşılaştır.</w:t>
      </w:r>
    </w:p>
    <w:p>
      <w:pPr>
        <w:pStyle w:val="ListNumber"/>
        <w:spacing w:after="40"/>
      </w:pPr>
      <w:r>
        <w:t>Yüksek proses talebini arıza ile karıştırmamak için MOTOR_A yükü ve PUMP_B debisini kontrol et.</w:t>
      </w:r>
    </w:p>
    <w:p>
      <w:pPr>
        <w:pStyle w:val="ListNumber"/>
        <w:spacing w:after="40"/>
      </w:pPr>
      <w:r>
        <w:t>Kritik fiziksel müdahalede insan onayı gerektir.</w:t>
      </w:r>
    </w:p>
    <w:p>
      <w:pPr>
        <w:pStyle w:val="Heading1"/>
      </w:pPr>
      <w:r>
        <w:t>7. Sınırlamalar</w:t>
      </w:r>
    </w:p>
    <w:p>
      <w:r>
        <w:t>Tüm eşikler sentetiktir; gerçek vana/aktüatör üretici limitleri yerine kullanılamaz.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5"/>
      </w:rPr>
      <w:t xml:space="preserve">Yalnızca eğitim, staj projesi ve yazılım testi amacıyla hazırlanmıştır. Gerçek ekipman talimatı değildir. | Sayfa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