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05050"/>
          <w:sz w:val="16"/>
        </w:rPr>
        <w:t>VALVE-C | VC-MNT-001 | Sentetik IoT Demo Dokümantasyonu</w:t>
      </w:r>
    </w:p>
    <w:p>
      <w:pPr>
        <w:jc w:val="center"/>
      </w:pPr>
      <w:r>
        <w:rPr>
          <w:b/>
          <w:color w:val="1F4E78"/>
          <w:sz w:val="40"/>
        </w:rPr>
        <w:t>Valve-C Bakım ve İlk Müdahale Prosedürleri</w:t>
      </w:r>
    </w:p>
    <w:p>
      <w:pPr>
        <w:jc w:val="center"/>
      </w:pPr>
      <w:r>
        <w:rPr>
          <w:b/>
          <w:sz w:val="21"/>
        </w:rPr>
        <w:t>Stiction, blockage, aktüatör, sensör ve telemetri olayları için yönlendirmeler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Kimliği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VC-MNT-001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Sürüm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Yayın Tarihi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 Ağustos 2026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Varlık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VALVE_C</w:t>
            </w:r>
          </w:p>
        </w:tc>
      </w:tr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Doküman Sınıfı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Sentetik / Demo / RAG Bilgi Tabanı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/>
            <w:r>
              <w:rPr>
                <w:b/>
                <w:sz w:val="17"/>
              </w:rPr>
              <w:t>UYARI: Bu dokümandaki ekipman, eşikler, olaylar ve prosedürler kurgusaldır. VALVE-C dummy veri setiyle tutarlı bir IoT/RAG demonstrasyonu oluşturmak amacıyla hazırlanmıştır.</w:t>
            </w:r>
          </w:p>
        </w:tc>
      </w:tr>
    </w:tbl>
    <w:p/>
    <w:p>
      <w:pPr>
        <w:pStyle w:val="Heading1"/>
      </w:pPr>
      <w:r>
        <w:t>1. Genel güvenlik ve yetki ilkeleri</w:t>
      </w:r>
    </w:p>
    <w:p>
      <w:pPr>
        <w:pStyle w:val="ListBullet"/>
        <w:spacing w:after="40"/>
      </w:pPr>
      <w:r>
        <w:t>Chatbot fiziksel komut vermez; karar destek sağlar.</w:t>
      </w:r>
    </w:p>
    <w:p>
      <w:pPr>
        <w:pStyle w:val="ListBullet"/>
        <w:spacing w:after="40"/>
      </w:pPr>
      <w:r>
        <w:t>Vana/aktüatör müdahalesi yalnızca yetkili bakım personeli tarafından yapılır.</w:t>
      </w:r>
    </w:p>
    <w:p>
      <w:pPr>
        <w:pStyle w:val="ListBullet"/>
        <w:spacing w:after="40"/>
      </w:pPr>
      <w:r>
        <w:t>Proses basıncı ve enerji izolasyonu gerçek saha prosedürlerine göre uygulanmalıdır.</w:t>
      </w:r>
    </w:p>
    <w:p>
      <w:pPr>
        <w:pStyle w:val="ListBullet"/>
        <w:spacing w:after="40"/>
      </w:pPr>
      <w:r>
        <w:t>Data quality sorunu varsa fiziksel arıza değerlendirmesi önce koşullu tutulur.</w:t>
      </w:r>
    </w:p>
    <w:p>
      <w:pPr>
        <w:pStyle w:val="Heading2"/>
      </w:pPr>
      <w:r>
        <w:t>MNT-VC-001 - Stiction ve konum izleme kontrolü</w:t>
      </w:r>
    </w:p>
    <w:p>
      <w:r>
        <w:t>Tetikleyici durum: Komut değişirken gerçek konum gecikiyor veya position_error yükseliyor.</w:t>
      </w:r>
    </w:p>
    <w:p>
      <w:r>
        <w:t>Uygulama adımları</w:t>
      </w:r>
    </w:p>
    <w:p>
      <w:pPr>
        <w:pStyle w:val="ListNumber"/>
        <w:spacing w:after="40"/>
      </w:pPr>
      <w:r>
        <w:t>Komut ve konum zaman serilerini aynı eksende karşılaştır.</w:t>
      </w:r>
    </w:p>
    <w:p>
      <w:pPr>
        <w:pStyle w:val="ListNumber"/>
        <w:spacing w:after="40"/>
      </w:pPr>
      <w:r>
        <w:t>Konum sensörü data quality bayrağını kontrol et.</w:t>
      </w:r>
    </w:p>
    <w:p>
      <w:pPr>
        <w:pStyle w:val="ListNumber"/>
        <w:spacing w:after="40"/>
      </w:pPr>
      <w:r>
        <w:t>Aktüatör akımının eş zamanlı yükselip yükselmediğini incele.</w:t>
      </w:r>
    </w:p>
    <w:p>
      <w:pPr>
        <w:pStyle w:val="ListNumber"/>
        <w:spacing w:after="40"/>
      </w:pPr>
      <w:r>
        <w:t>Stem/packing ve positioner mekanizması için yetkili kontrol planla.</w:t>
      </w:r>
    </w:p>
    <w:p>
      <w:pPr>
        <w:pStyle w:val="ListNumber"/>
        <w:spacing w:after="40"/>
      </w:pPr>
      <w:r>
        <w:t>Kontrol sonrası konum hatasını birkaç çevrim boyunca izle.</w:t>
      </w:r>
    </w:p>
    <w:p>
      <w:r>
        <w:t>Tamamlanma ölçütü: Konum hatası &lt;8% ve hareket düzgün hale gelir.</w:t>
      </w:r>
    </w:p>
    <w:p>
      <w:r>
        <w:t>Eskalasyon koşulu: Konum hatası ≥15% veya akım ≥2,4 A ise MNT-VC-007.</w:t>
      </w:r>
    </w:p>
    <w:p>
      <w:pPr>
        <w:pStyle w:val="Heading2"/>
      </w:pPr>
      <w:r>
        <w:t>MNT-VC-002 - Vana/hat kısıtı kontrolü</w:t>
      </w:r>
    </w:p>
    <w:p>
      <w:r>
        <w:t>Tetikleyici durum: ΔP yükseliyor, debi düşüyor ve konum komutu izliyor.</w:t>
      </w:r>
    </w:p>
    <w:p>
      <w:r>
        <w:t>Uygulama adımları</w:t>
      </w:r>
    </w:p>
    <w:p>
      <w:pPr>
        <w:pStyle w:val="ListNumber"/>
        <w:spacing w:after="40"/>
      </w:pPr>
      <w:r>
        <w:t>Konum ölçümünün güvenilir olduğunu doğrula.</w:t>
      </w:r>
    </w:p>
    <w:p>
      <w:pPr>
        <w:pStyle w:val="ListNumber"/>
        <w:spacing w:after="40"/>
      </w:pPr>
      <w:r>
        <w:t>Upstream/downstream basıncı ve debi trendini karşılaştır.</w:t>
      </w:r>
    </w:p>
    <w:p>
      <w:pPr>
        <w:pStyle w:val="ListNumber"/>
        <w:spacing w:after="40"/>
      </w:pPr>
      <w:r>
        <w:t>PUMP_B discharge pressure ile birlikte değerlendir.</w:t>
      </w:r>
    </w:p>
    <w:p>
      <w:pPr>
        <w:pStyle w:val="ListNumber"/>
        <w:spacing w:after="40"/>
      </w:pPr>
      <w:r>
        <w:t>Vana gövdesi/downstream hat için tıkanma incelemesi planla.</w:t>
      </w:r>
    </w:p>
    <w:p>
      <w:r>
        <w:t>Tamamlanma ölçütü: ΔP ve debi beklenen proses trendine döner.</w:t>
      </w:r>
    </w:p>
    <w:p>
      <w:r>
        <w:t>Eskalasyon koşulu: ΔP ≥2,6 bar veya akış kritik biçimde düşerse eskale et.</w:t>
      </w:r>
    </w:p>
    <w:p>
      <w:pPr>
        <w:pStyle w:val="Heading2"/>
      </w:pPr>
      <w:r>
        <w:t>MNT-VC-003 - Aktüatör aşırı yük kontrolü</w:t>
      </w:r>
    </w:p>
    <w:p>
      <w:r>
        <w:t>Tetikleyici durum: Aktüatör akımı ve sıcaklığı yükseliyor; konum yanıtı yavaşlıyor.</w:t>
      </w:r>
    </w:p>
    <w:p>
      <w:r>
        <w:t>Uygulama adımları</w:t>
      </w:r>
    </w:p>
    <w:p>
      <w:pPr>
        <w:pStyle w:val="ListNumber"/>
        <w:spacing w:after="40"/>
      </w:pPr>
      <w:r>
        <w:t>Akım ve sıcaklık data quality durumunu doğrula.</w:t>
      </w:r>
    </w:p>
    <w:p>
      <w:pPr>
        <w:pStyle w:val="ListNumber"/>
        <w:spacing w:after="40"/>
      </w:pPr>
      <w:r>
        <w:t>Konum hatasını incele.</w:t>
      </w:r>
    </w:p>
    <w:p>
      <w:pPr>
        <w:pStyle w:val="ListNumber"/>
        <w:spacing w:after="40"/>
      </w:pPr>
      <w:r>
        <w:t>Besleme/drive ve mekanik direnç ihtimalini kontrol et.</w:t>
      </w:r>
    </w:p>
    <w:p>
      <w:pPr>
        <w:pStyle w:val="ListNumber"/>
        <w:spacing w:after="40"/>
      </w:pPr>
      <w:r>
        <w:t>Yetkili aktüatör incelemesi planla.</w:t>
      </w:r>
    </w:p>
    <w:p>
      <w:r>
        <w:t>Tamamlanma ölçütü: Akım &lt;1,8 A, sıcaklık &lt;55 °C ve konum takibi normale döner.</w:t>
      </w:r>
    </w:p>
    <w:p>
      <w:r>
        <w:t>Eskalasyon koşulu: Akım ≥2,4 A veya sıcaklık ≥65 °C ise MNT-VC-007.</w:t>
      </w:r>
    </w:p>
    <w:p>
      <w:pPr>
        <w:pStyle w:val="Heading2"/>
      </w:pPr>
      <w:r>
        <w:t>MNT-VC-004 - Konum sensörü sıçramasını doğrulama</w:t>
      </w:r>
    </w:p>
    <w:p>
      <w:r>
        <w:t>Tetikleyici durum: data_quality_flag=spike.</w:t>
      </w:r>
    </w:p>
    <w:p>
      <w:r>
        <w:t>Uygulama adımları</w:t>
      </w:r>
    </w:p>
    <w:p>
      <w:pPr>
        <w:pStyle w:val="ListNumber"/>
        <w:spacing w:after="40"/>
      </w:pPr>
      <w:r>
        <w:t>Önceki/sonraki konum ölçümlerini karşılaştır.</w:t>
      </w:r>
    </w:p>
    <w:p>
      <w:pPr>
        <w:pStyle w:val="ListNumber"/>
        <w:spacing w:after="40"/>
      </w:pPr>
      <w:r>
        <w:t>Debi ve basıncın fiziksel değişim gösterip göstermediğini kontrol et.</w:t>
      </w:r>
    </w:p>
    <w:p>
      <w:pPr>
        <w:pStyle w:val="ListNumber"/>
        <w:spacing w:after="40"/>
      </w:pPr>
      <w:r>
        <w:t>Position transmitter bağlantısını doğrula.</w:t>
      </w:r>
    </w:p>
    <w:p>
      <w:r>
        <w:t>Tamamlanma ölçütü: Sıçrama tekrarlanmaz ve komut-konum ilişkisi normale döner.</w:t>
      </w:r>
    </w:p>
    <w:p>
      <w:r>
        <w:t>Eskalasyon koşulu: Tekrarlanırsa sensör kalibrasyon incelemesi aç.</w:t>
      </w:r>
    </w:p>
    <w:p>
      <w:pPr>
        <w:pStyle w:val="Heading2"/>
      </w:pPr>
      <w:r>
        <w:t>MNT-VC-005 - Konum sensörü sabitlenmesi kontrolü</w:t>
      </w:r>
    </w:p>
    <w:p>
      <w:r>
        <w:t>Tetikleyici durum: data_quality_flag=stuck.</w:t>
      </w:r>
    </w:p>
    <w:p>
      <w:r>
        <w:t>Uygulama adımları</w:t>
      </w:r>
    </w:p>
    <w:p>
      <w:pPr>
        <w:pStyle w:val="ListNumber"/>
        <w:spacing w:after="40"/>
      </w:pPr>
      <w:r>
        <w:t>Komut değişiminin devam ettiğini doğrula.</w:t>
      </w:r>
    </w:p>
    <w:p>
      <w:pPr>
        <w:pStyle w:val="ListNumber"/>
        <w:spacing w:after="40"/>
      </w:pPr>
      <w:r>
        <w:t>Konumun son değişim zamanını belirle.</w:t>
      </w:r>
    </w:p>
    <w:p>
      <w:pPr>
        <w:pStyle w:val="ListNumber"/>
        <w:spacing w:after="40"/>
      </w:pPr>
      <w:r>
        <w:t>Positioner/transmitter ve gateway hattını kontrol et.</w:t>
      </w:r>
    </w:p>
    <w:p>
      <w:r>
        <w:t>Tamamlanma ölçütü: Sensör yeniden değişken ve tutarlı veri üretir.</w:t>
      </w:r>
    </w:p>
    <w:p>
      <w:r>
        <w:t>Eskalasyon koşulu: Durum sürerse sensörü güvenilmez işaretle.</w:t>
      </w:r>
    </w:p>
    <w:p>
      <w:pPr>
        <w:pStyle w:val="Heading2"/>
      </w:pPr>
      <w:r>
        <w:t>MNT-VC-006 - Eksik telemetri kontrolü</w:t>
      </w:r>
    </w:p>
    <w:p>
      <w:r>
        <w:t>Tetikleyici durum: data_quality_flag=missing.</w:t>
      </w:r>
    </w:p>
    <w:p>
      <w:r>
        <w:t>Uygulama adımları</w:t>
      </w:r>
    </w:p>
    <w:p>
      <w:pPr>
        <w:pStyle w:val="ListNumber"/>
        <w:spacing w:after="40"/>
      </w:pPr>
      <w:r>
        <w:t>Son başarılı konum/basınç/debi ölçümünü belirle.</w:t>
      </w:r>
    </w:p>
    <w:p>
      <w:pPr>
        <w:pStyle w:val="ListNumber"/>
        <w:spacing w:after="40"/>
      </w:pPr>
      <w:r>
        <w:t>Gateway ve transmitter bağlantılarını kontrol et.</w:t>
      </w:r>
    </w:p>
    <w:p>
      <w:pPr>
        <w:pStyle w:val="ListNumber"/>
        <w:spacing w:after="40"/>
      </w:pPr>
      <w:r>
        <w:t>Veri geri geldiğinde zaman damgalarını ve boşluk aralığını doğrula.</w:t>
      </w:r>
    </w:p>
    <w:p>
      <w:r>
        <w:t>Tamamlanma ölçütü: Telemetri normale döner ve kayıp aralığı kaydedilir.</w:t>
      </w:r>
    </w:p>
    <w:p>
      <w:r>
        <w:t>Eskalasyon koşulu: Kayıp 15 dakikadan uzun sürerse operasyonel risk olarak bildir.</w:t>
      </w:r>
    </w:p>
    <w:p>
      <w:pPr>
        <w:pStyle w:val="Heading2"/>
      </w:pPr>
      <w:r>
        <w:t>MNT-VC-007 - Kritik durumda kontrollü güvenli duruma alma</w:t>
      </w:r>
    </w:p>
    <w:p>
      <w:r>
        <w:t>Tetikleyici durum: Kritik konum hatası, aktüatör akımı, sıcaklık veya ΔP.</w:t>
      </w:r>
    </w:p>
    <w:p>
      <w:r>
        <w:t>Uygulama adımları</w:t>
      </w:r>
    </w:p>
    <w:p>
      <w:pPr>
        <w:pStyle w:val="ListNumber"/>
        <w:spacing w:after="40"/>
      </w:pPr>
      <w:r>
        <w:t>Alarmın data quality hatası olmadığını doğrula.</w:t>
      </w:r>
    </w:p>
    <w:p>
      <w:pPr>
        <w:pStyle w:val="ListNumber"/>
        <w:spacing w:after="40"/>
      </w:pPr>
      <w:r>
        <w:t>Yetkili bakım/operasyon rolüne kritik bildirim gönder.</w:t>
      </w:r>
    </w:p>
    <w:p>
      <w:pPr>
        <w:pStyle w:val="ListNumber"/>
        <w:spacing w:after="40"/>
      </w:pPr>
      <w:r>
        <w:t>Gerçek proses prosedürüne göre vana pozisyonu/yük/duruş kararını yetkili kullanıcıya sun.</w:t>
      </w:r>
    </w:p>
    <w:p>
      <w:pPr>
        <w:pStyle w:val="ListNumber"/>
        <w:spacing w:after="40"/>
      </w:pPr>
      <w:r>
        <w:t>En az 60 dakikalık sensör özetini kaydet.</w:t>
      </w:r>
    </w:p>
    <w:p>
      <w:pPr>
        <w:pStyle w:val="ListNumber"/>
        <w:spacing w:after="40"/>
      </w:pPr>
      <w:r>
        <w:t>MOTOR_A ve PUMP_B bağlamını olay kaydına ekle.</w:t>
      </w:r>
    </w:p>
    <w:p>
      <w:r>
        <w:t>Tamamlanma ölçütü: Varlık güvenli durumda ve kritik bakım incelemesi açılmıştır.</w:t>
      </w:r>
    </w:p>
    <w:p>
      <w:r>
        <w:t>Eskalasyon koşulu: Bu prosedür en yüksek demo eskalasyon seviyesidir.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5"/>
      </w:rPr>
      <w:t xml:space="preserve">Yalnızca eğitim, staj projesi ve yazılım testi amacıyla hazırlanmıştır. Gerçek ekipman talimatı değildir. | Sayfa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