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VALVE-C | VC-TRB-001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Valve-C Arıza Teşhis ve Yönlendirme Rehberi</w:t>
      </w:r>
    </w:p>
    <w:p>
      <w:pPr>
        <w:jc w:val="center"/>
      </w:pPr>
      <w:r>
        <w:rPr>
          <w:b/>
          <w:sz w:val="21"/>
        </w:rPr>
        <w:t>Komut-konum ilişkisi, proses bağlamı ve chatbot cevaplama kuralları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VC-TRB-001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VALVE_C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VALVE-C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Teşhis yaklaşımı</w:t>
      </w:r>
    </w:p>
    <w:p>
      <w:r>
        <w:t>Karar sırası: veri kalitesi → eşik → komut-konum karşılaştırması → trend → çoklu sensör deseni → PUMP_B/MOTOR_A bağlamı → doküman/geçmiş olay.</w:t>
      </w:r>
    </w:p>
    <w:p>
      <w:pPr>
        <w:pStyle w:val="Heading1"/>
      </w:pPr>
      <w:r>
        <w:t>2. Hızlı teşhis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Belirti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Destekleyici bulgu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Olası neden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Kaynak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Komut değişiyor, konum gecikiyor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position_error artıyor, akım yükselebilir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Stiction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ALM-VC-COMB-STI-01 / MNT-VC-001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normal izliyor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ΔP artıyor, debi düşüyor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Vana/hat kısıtı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ALM-VC-COMB-BLK-01 / MNT-VC-002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Akım ve sıcaklık artıyor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yanıtı yavaşlıyor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Aktüatör aşırı yükü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ALM-VC-COMB-ACT-01 / MNT-VC-003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&gt;100% tek ölçüm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Akış ve basınç normal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Sensör sıçraması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DQ-VC-SPIKE-01 / MNT-VC-004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tam sabit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Komut değişmeye devam ediyor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 sensörü stuck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DQ-VC-STUCK-01 / MNT-VC-005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Konum/basınç/debi boş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Akım gelebiliyor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Telemetri kaybı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DQ-VC-MISS-01 / MNT-VC-006</w:t>
            </w:r>
          </w:p>
        </w:tc>
      </w:tr>
    </w:tbl>
    <w:p>
      <w:pPr>
        <w:pStyle w:val="Heading1"/>
      </w:pPr>
      <w:r>
        <w:t>3. İstasyon bağlamı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MOTOR_A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PUMP_B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VALVE_C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Yorum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Yük yüksek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yüksek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Komut/konum yüksek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Yüksek proses talebi; arıza değildir, eşik/trend ile doğrula.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Yük artıyor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Basma basıncı artıyor, debi düşüyor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ΔP/konum kısıt gösteriyor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Downstream restriction olasılığı güçlenir.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Motor mekanik alarmı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Hidrolik değerler stabil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Vana değerleri stabil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Motor lokal arıza olasılığı daha güçlüdür.</w:t>
            </w:r>
          </w:p>
        </w:tc>
      </w:tr>
    </w:tbl>
    <w:p>
      <w:pPr>
        <w:pStyle w:val="Heading1"/>
      </w:pPr>
      <w:r>
        <w:t>4. Kanıt seviyeleri ve cevap şablonu</w:t>
      </w:r>
    </w:p>
    <w:p>
      <w:pPr>
        <w:pStyle w:val="ListBullet"/>
        <w:spacing w:after="40"/>
      </w:pPr>
      <w:r>
        <w:t>Düşük: tek sensör/data quality şüphesi.</w:t>
      </w:r>
    </w:p>
    <w:p>
      <w:pPr>
        <w:pStyle w:val="ListBullet"/>
        <w:spacing w:after="40"/>
      </w:pPr>
      <w:r>
        <w:t>Orta: trend + eşik aynı ihtimali destekliyor.</w:t>
      </w:r>
    </w:p>
    <w:p>
      <w:pPr>
        <w:pStyle w:val="ListBullet"/>
        <w:spacing w:after="40"/>
      </w:pPr>
      <w:r>
        <w:t>Yüksek: komut-konum + akım/ΔP/debi veya istasyon bağlamı aynı nedeni destekliyor.</w:t>
      </w:r>
    </w:p>
    <w:p>
      <w:pPr>
        <w:pStyle w:val="ListBullet"/>
        <w:spacing w:after="40"/>
      </w:pPr>
      <w:r>
        <w:t>Kritik: kritik eşik veya hızla kötüleşen ortak desen.</w:t>
      </w:r>
    </w:p>
    <w:p>
      <w:pPr>
        <w:pStyle w:val="ListBullet"/>
        <w:spacing w:after="40"/>
      </w:pPr>
      <w:r>
        <w:t>Cevapta durum özeti, kanıt, olası neden, kontrol adımları, risk ve kaynak kimlikleri bulunur.</w:t>
      </w:r>
    </w:p>
    <w:p>
      <w:pPr>
        <w:pStyle w:val="Heading1"/>
      </w:pPr>
      <w:r>
        <w:t>5. Cevapsız bırakılması gereken durumlar</w:t>
      </w:r>
    </w:p>
    <w:p>
      <w:pPr>
        <w:pStyle w:val="ListBullet"/>
        <w:spacing w:after="40"/>
      </w:pPr>
      <w:r>
        <w:t>Dokümanlarda olmayan gerçek üretici güvenlik limitlerini uydurma.</w:t>
      </w:r>
    </w:p>
    <w:p>
      <w:pPr>
        <w:pStyle w:val="ListBullet"/>
        <w:spacing w:after="40"/>
      </w:pPr>
      <w:r>
        <w:t>Data quality sorunu varken kesin mekanik kök neden üretme.</w:t>
      </w:r>
    </w:p>
    <w:p>
      <w:pPr>
        <w:pStyle w:val="ListBullet"/>
        <w:spacing w:after="40"/>
      </w:pPr>
      <w:r>
        <w:t>İnsan onayı olmadan vana aç/kapat komutu verme.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