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Motor-A Bakım ve İlk Müdahale Prosedürleri</w:t>
      </w:r>
    </w:p>
    <w:p>
      <w:pPr>
        <w:jc w:val="center"/>
      </w:pPr>
      <w:r>
        <w:rPr>
          <w:rFonts w:ascii="Arial" w:hAnsi="Arial"/>
          <w:b/>
          <w:color w:val="404040"/>
          <w:sz w:val="24"/>
        </w:rPr>
        <w:t>Soğutma, rulman, yüklenme, sensör ve telemetri olayları için yönlendirmeler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Doküman Kimliği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MA-MNT-001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Sürüm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Yayın Tarihi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5 Ağustos 2026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Varlık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MOTOR_A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Doküman Sınıfı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Sentetik / Demo / RAG Bilgi Tabanı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UYARI: Bu dokümandaki ekipman, eşikler, olaylar ve prosedürler kurgusaldır. Motor-A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Genel güvenlik ve yetki ilkeleri</w:t>
      </w:r>
    </w:p>
    <w:p>
      <w:pPr>
        <w:pStyle w:val="ListBullet"/>
      </w:pPr>
      <w:r>
        <w:t>Chatbot çıktısı karar destek amaçlıdır; gerçek ekipmanda üretici talimatı ve iş güvenliği prosedürü uygulanmalıdır.</w:t>
      </w:r>
    </w:p>
    <w:p>
      <w:pPr>
        <w:pStyle w:val="ListBullet"/>
      </w:pPr>
      <w:r>
        <w:t>Elektriksel veya mekanik müdahale yalnızca yetkili bakım personeli tarafından yapılmalıdır.</w:t>
      </w:r>
    </w:p>
    <w:p>
      <w:pPr>
        <w:pStyle w:val="ListBullet"/>
      </w:pPr>
      <w:r>
        <w:t>Kritik olaylarda insan onayı olmadan fiziksel kontrol veya durdurma komutu gönderilmez.</w:t>
      </w:r>
    </w:p>
    <w:p>
      <w:pPr>
        <w:pStyle w:val="ListBullet"/>
      </w:pPr>
      <w:r>
        <w:t>Ölçüm güvenilir değilse önce veri kalitesi doğrulanır, ardından arıza değerlendirmesi yapılır.</w:t>
      </w:r>
    </w:p>
    <w:p>
      <w:pPr>
        <w:pStyle w:val="Heading1"/>
      </w:pPr>
      <w:r>
        <w:t>MNT-MA-001 - Soğutma performansı kontrolü</w:t>
      </w:r>
    </w:p>
    <w:p>
      <w:r>
        <w:rPr>
          <w:b/>
        </w:rPr>
        <w:t xml:space="preserve">Tetikleyici durum: </w:t>
      </w:r>
      <w:r>
        <w:t>Sıcaklık yükseliyor; titreşim normal veya sınırlı değişiyor.</w:t>
      </w:r>
    </w:p>
    <w:p>
      <w:r>
        <w:rPr>
          <w:b/>
        </w:rPr>
        <w:t>Uygulama adımları</w:t>
      </w:r>
    </w:p>
    <w:p>
      <w:pPr>
        <w:ind w:left="259" w:hanging="259"/>
      </w:pPr>
      <w:r>
        <w:rPr>
          <w:b/>
        </w:rPr>
        <w:t xml:space="preserve">1. </w:t>
      </w:r>
      <w:r>
        <w:t>Sıcaklık ölçümünün data_quality_flag değerini kontrol et.</w:t>
      </w:r>
    </w:p>
    <w:p>
      <w:pPr>
        <w:ind w:left="259" w:hanging="259"/>
      </w:pPr>
      <w:r>
        <w:rPr>
          <w:b/>
        </w:rPr>
        <w:t xml:space="preserve">2. </w:t>
      </w:r>
      <w:r>
        <w:t>Son 30-60 dakikalık sıcaklık trendini ve yük değişimini incele.</w:t>
      </w:r>
    </w:p>
    <w:p>
      <w:pPr>
        <w:ind w:left="259" w:hanging="259"/>
      </w:pPr>
      <w:r>
        <w:rPr>
          <w:b/>
        </w:rPr>
        <w:t xml:space="preserve">3. </w:t>
      </w:r>
      <w:r>
        <w:t>Soğutma fanının çalıştığını doğrula.</w:t>
      </w:r>
    </w:p>
    <w:p>
      <w:pPr>
        <w:ind w:left="259" w:hanging="259"/>
      </w:pPr>
      <w:r>
        <w:rPr>
          <w:b/>
        </w:rPr>
        <w:t xml:space="preserve">4. </w:t>
      </w:r>
      <w:r>
        <w:t>Hava giriş-çıkış kanallarında engel veya kirlenme olup olmadığını kontrol et.</w:t>
      </w:r>
    </w:p>
    <w:p>
      <w:pPr>
        <w:ind w:left="259" w:hanging="259"/>
      </w:pPr>
      <w:r>
        <w:rPr>
          <w:b/>
        </w:rPr>
        <w:t xml:space="preserve">5. </w:t>
      </w:r>
      <w:r>
        <w:t>Motor yükünü ve akımı normal aralıkla karşılaştır.</w:t>
      </w:r>
    </w:p>
    <w:p>
      <w:pPr>
        <w:ind w:left="259" w:hanging="259"/>
      </w:pPr>
      <w:r>
        <w:rPr>
          <w:b/>
        </w:rPr>
        <w:t xml:space="preserve">6. </w:t>
      </w:r>
      <w:r>
        <w:t>Kontrol sonrası sıcaklık eğilimini en az üç ardışık ölçüm boyunca izle.</w:t>
      </w:r>
    </w:p>
    <w:p>
      <w:r>
        <w:rPr>
          <w:b/>
        </w:rPr>
        <w:t xml:space="preserve">Tamamlanma ölçütü: </w:t>
      </w:r>
      <w:r>
        <w:t>Sıcaklık artışı durur veya düşüş başlar; fan/hava yolu durumu doğrulanır; olay kaydı güncellenir.</w:t>
      </w:r>
    </w:p>
    <w:p>
      <w:r>
        <w:rPr>
          <w:b/>
        </w:rPr>
        <w:t xml:space="preserve">Eskalasyon koşulu: </w:t>
      </w:r>
      <w:r>
        <w:t>Sıcaklık 80 °C üzerine çıkarsa, hızlı artış sürerse veya titreşim de yükselmeye başlarsa MNT-MA-007 uygulanır.</w:t>
      </w:r>
    </w:p>
    <w:p>
      <w:pPr>
        <w:jc w:val="right"/>
      </w:pPr>
      <w:r>
        <w:rPr>
          <w:i/>
          <w:color w:val="404040"/>
          <w:sz w:val="16"/>
        </w:rPr>
        <w:t>Kaynak etiketi: MA-MNT-001 / MNT-MA-001</w:t>
      </w:r>
    </w:p>
    <w:p>
      <w:r>
        <w:br w:type="page"/>
      </w:r>
    </w:p>
    <w:p>
      <w:pPr>
        <w:pStyle w:val="Heading1"/>
      </w:pPr>
      <w:r>
        <w:t>MNT-MA-002 - Rulman, yağlama ve hizalama kontrolü</w:t>
      </w:r>
    </w:p>
    <w:p>
      <w:r>
        <w:rPr>
          <w:b/>
        </w:rPr>
        <w:t xml:space="preserve">Tetikleyici durum: </w:t>
      </w:r>
      <w:r>
        <w:t>Sıcaklık ve titreşim birlikte yükseliyor; ALM-COMB-BRG-01 oluşuyor.</w:t>
      </w:r>
    </w:p>
    <w:p>
      <w:r>
        <w:rPr>
          <w:b/>
        </w:rPr>
        <w:t>Uygulama adımları</w:t>
      </w:r>
    </w:p>
    <w:p>
      <w:pPr>
        <w:ind w:left="259" w:hanging="259"/>
      </w:pPr>
      <w:r>
        <w:rPr>
          <w:b/>
        </w:rPr>
        <w:t xml:space="preserve">1. </w:t>
      </w:r>
      <w:r>
        <w:t>Titreşim ve sıcaklık artışının aynı zaman aralığında gerçekleştiğini doğrula.</w:t>
      </w:r>
    </w:p>
    <w:p>
      <w:pPr>
        <w:ind w:left="259" w:hanging="259"/>
      </w:pPr>
      <w:r>
        <w:rPr>
          <w:b/>
        </w:rPr>
        <w:t xml:space="preserve">2. </w:t>
      </w:r>
      <w:r>
        <w:t>Rulman bölgesinde anormal ses, gevşeklik veya sürtünme belirtisi olup olmadığını yetkili rolle kontrol et.</w:t>
      </w:r>
    </w:p>
    <w:p>
      <w:pPr>
        <w:ind w:left="259" w:hanging="259"/>
      </w:pPr>
      <w:r>
        <w:rPr>
          <w:b/>
        </w:rPr>
        <w:t xml:space="preserve">3. </w:t>
      </w:r>
      <w:r>
        <w:t>Yağlama seviyesini ve bakım kaydını incele.</w:t>
      </w:r>
    </w:p>
    <w:p>
      <w:pPr>
        <w:ind w:left="259" w:hanging="259"/>
      </w:pPr>
      <w:r>
        <w:rPr>
          <w:b/>
        </w:rPr>
        <w:t xml:space="preserve">4. </w:t>
      </w:r>
      <w:r>
        <w:t>Motor-kaplin hizalamasının son kontrol tarihini doğrula.</w:t>
      </w:r>
    </w:p>
    <w:p>
      <w:pPr>
        <w:ind w:left="259" w:hanging="259"/>
      </w:pPr>
      <w:r>
        <w:rPr>
          <w:b/>
        </w:rPr>
        <w:t xml:space="preserve">5. </w:t>
      </w:r>
      <w:r>
        <w:t>Akım ve yük değerlerinin ek mekanik direnç gösterip göstermediğini değerlendir.</w:t>
      </w:r>
    </w:p>
    <w:p>
      <w:pPr>
        <w:ind w:left="259" w:hanging="259"/>
      </w:pPr>
      <w:r>
        <w:rPr>
          <w:b/>
        </w:rPr>
        <w:t xml:space="preserve">6. </w:t>
      </w:r>
      <w:r>
        <w:t>Gerekirse bakım talebi oluştur ve cihazı kontrollü inceleme planına al.</w:t>
      </w:r>
    </w:p>
    <w:p>
      <w:r>
        <w:rPr>
          <w:b/>
        </w:rPr>
        <w:t xml:space="preserve">Tamamlanma ölçütü: </w:t>
      </w:r>
      <w:r>
        <w:t>Titreşim normal aralığa döner, sıcaklık trendi stabil olur ve bakım bulgusu olay kaydına işlenir.</w:t>
      </w:r>
    </w:p>
    <w:p>
      <w:r>
        <w:rPr>
          <w:b/>
        </w:rPr>
        <w:t xml:space="preserve">Eskalasyon koşulu: </w:t>
      </w:r>
      <w:r>
        <w:t>Titreşim 6,0 mm/s üzerine çıkarsa veya sürekli artarsa kritik inceleme ve MNT-MA-007 gerekir.</w:t>
      </w:r>
    </w:p>
    <w:p>
      <w:pPr>
        <w:jc w:val="right"/>
      </w:pPr>
      <w:r>
        <w:rPr>
          <w:i/>
          <w:color w:val="404040"/>
          <w:sz w:val="16"/>
        </w:rPr>
        <w:t>Kaynak etiketi: MA-MNT-001 / MNT-MA-002</w:t>
      </w:r>
    </w:p>
    <w:p>
      <w:pPr>
        <w:pStyle w:val="Heading1"/>
      </w:pPr>
      <w:r>
        <w:t>MNT-MA-003 - Aşırı yük ve yüksek akım kontrolü</w:t>
      </w:r>
    </w:p>
    <w:p>
      <w:r>
        <w:rPr>
          <w:b/>
        </w:rPr>
        <w:t xml:space="preserve">Tetikleyici durum: </w:t>
      </w:r>
      <w:r>
        <w:t>Yük &gt;%92; akım ≥19 A veya güçte eş zamanlı artış.</w:t>
      </w:r>
    </w:p>
    <w:p>
      <w:r>
        <w:rPr>
          <w:b/>
        </w:rPr>
        <w:t>Uygulama adımları</w:t>
      </w:r>
    </w:p>
    <w:p>
      <w:pPr>
        <w:ind w:left="259" w:hanging="259"/>
      </w:pPr>
      <w:r>
        <w:rPr>
          <w:b/>
        </w:rPr>
        <w:t xml:space="preserve">1. </w:t>
      </w:r>
      <w:r>
        <w:t>Mevcut yükü proses hedefiyle karşılaştır.</w:t>
      </w:r>
    </w:p>
    <w:p>
      <w:pPr>
        <w:ind w:left="259" w:hanging="259"/>
      </w:pPr>
      <w:r>
        <w:rPr>
          <w:b/>
        </w:rPr>
        <w:t xml:space="preserve">2. </w:t>
      </w:r>
      <w:r>
        <w:t>Mümkünse proses yükünü kontrollü biçimde azalt.</w:t>
      </w:r>
    </w:p>
    <w:p>
      <w:pPr>
        <w:ind w:left="259" w:hanging="259"/>
      </w:pPr>
      <w:r>
        <w:rPr>
          <w:b/>
        </w:rPr>
        <w:t xml:space="preserve">3. </w:t>
      </w:r>
      <w:r>
        <w:t>Akım ve güç değerlerini yeni yük seviyesinde yeniden izle.</w:t>
      </w:r>
    </w:p>
    <w:p>
      <w:pPr>
        <w:ind w:left="259" w:hanging="259"/>
      </w:pPr>
      <w:r>
        <w:rPr>
          <w:b/>
        </w:rPr>
        <w:t xml:space="preserve">4. </w:t>
      </w:r>
      <w:r>
        <w:t>Mekanik sıkışma veya proses direnci ihtimalini kontrol et.</w:t>
      </w:r>
    </w:p>
    <w:p>
      <w:pPr>
        <w:ind w:left="259" w:hanging="259"/>
      </w:pPr>
      <w:r>
        <w:rPr>
          <w:b/>
        </w:rPr>
        <w:t xml:space="preserve">5. </w:t>
      </w:r>
      <w:r>
        <w:t>Sıcaklık eğilimini takip et; düşmüyorsa soğutma/rulman prosedürüne geç.</w:t>
      </w:r>
    </w:p>
    <w:p>
      <w:r>
        <w:rPr>
          <w:b/>
        </w:rPr>
        <w:t xml:space="preserve">Tamamlanma ölçütü: </w:t>
      </w:r>
      <w:r>
        <w:t>Yük ve akım uyarı sınırının altına iner; sıcaklık eğilimi stabil olur.</w:t>
      </w:r>
    </w:p>
    <w:p>
      <w:r>
        <w:rPr>
          <w:b/>
        </w:rPr>
        <w:t xml:space="preserve">Eskalasyon koşulu: </w:t>
      </w:r>
      <w:r>
        <w:t>Akım ≥22 A veya yük ≥%105 olduğunda kritik olay olarak yetkili kullanıcıya bildirilir.</w:t>
      </w:r>
    </w:p>
    <w:p>
      <w:pPr>
        <w:jc w:val="right"/>
      </w:pPr>
      <w:r>
        <w:rPr>
          <w:i/>
          <w:color w:val="404040"/>
          <w:sz w:val="16"/>
        </w:rPr>
        <w:t>Kaynak etiketi: MA-MNT-001 / MNT-MA-003</w:t>
      </w:r>
    </w:p>
    <w:p>
      <w:pPr>
        <w:pStyle w:val="Heading1"/>
      </w:pPr>
      <w:r>
        <w:t>MNT-MA-004 - Tek ölçümlük sensör sıçramasını doğrulama</w:t>
      </w:r>
    </w:p>
    <w:p>
      <w:r>
        <w:rPr>
          <w:b/>
        </w:rPr>
        <w:t xml:space="preserve">Tetikleyici durum: </w:t>
      </w:r>
      <w:r>
        <w:t>data_quality_flag=spike veya tek bir sıcaklık değeri komşu ölçümlerden aşırı farklı.</w:t>
      </w:r>
    </w:p>
    <w:p>
      <w:r>
        <w:rPr>
          <w:b/>
        </w:rPr>
        <w:t>Uygulama adımları</w:t>
      </w:r>
    </w:p>
    <w:p>
      <w:pPr>
        <w:ind w:left="259" w:hanging="259"/>
      </w:pPr>
      <w:r>
        <w:rPr>
          <w:b/>
        </w:rPr>
        <w:t xml:space="preserve">1. </w:t>
      </w:r>
      <w:r>
        <w:t>Önceki ve sonraki en az iki ölçümü karşılaştır.</w:t>
      </w:r>
    </w:p>
    <w:p>
      <w:pPr>
        <w:ind w:left="259" w:hanging="259"/>
      </w:pPr>
      <w:r>
        <w:rPr>
          <w:b/>
        </w:rPr>
        <w:t xml:space="preserve">2. </w:t>
      </w:r>
      <w:r>
        <w:t>Titreşim, akım, yük ve güçte eş zamanlı değişim olup olmadığını kontrol et.</w:t>
      </w:r>
    </w:p>
    <w:p>
      <w:pPr>
        <w:ind w:left="259" w:hanging="259"/>
      </w:pPr>
      <w:r>
        <w:rPr>
          <w:b/>
        </w:rPr>
        <w:t xml:space="preserve">3. </w:t>
      </w:r>
      <w:r>
        <w:t>Sensör bağlantısı ve veri toplama hattını incele.</w:t>
      </w:r>
    </w:p>
    <w:p>
      <w:pPr>
        <w:ind w:left="259" w:hanging="259"/>
      </w:pPr>
      <w:r>
        <w:rPr>
          <w:b/>
        </w:rPr>
        <w:t xml:space="preserve">4. </w:t>
      </w:r>
      <w:r>
        <w:t>Tekrarlanmayan sıçramayı veri kalitesi olayı olarak kaydet.</w:t>
      </w:r>
    </w:p>
    <w:p>
      <w:r>
        <w:rPr>
          <w:b/>
        </w:rPr>
        <w:t xml:space="preserve">Tamamlanma ölçütü: </w:t>
      </w:r>
      <w:r>
        <w:t>Ardışık ölçümler normaldir ve sıçramanın fiziksel süreçle desteklenmediği doğrulanmıştır.</w:t>
      </w:r>
    </w:p>
    <w:p>
      <w:r>
        <w:rPr>
          <w:b/>
        </w:rPr>
        <w:t xml:space="preserve">Eskalasyon koşulu: </w:t>
      </w:r>
      <w:r>
        <w:t>Sıçrama tekrarlanırsa sensör değişimi/kalibrasyon incelemesi açılır.</w:t>
      </w:r>
    </w:p>
    <w:p>
      <w:pPr>
        <w:jc w:val="right"/>
      </w:pPr>
      <w:r>
        <w:rPr>
          <w:i/>
          <w:color w:val="404040"/>
          <w:sz w:val="16"/>
        </w:rPr>
        <w:t>Kaynak etiketi: MA-MNT-001 / MNT-MA-004</w:t>
      </w:r>
    </w:p>
    <w:p>
      <w:r>
        <w:br w:type="page"/>
      </w:r>
    </w:p>
    <w:p>
      <w:pPr>
        <w:pStyle w:val="Heading1"/>
      </w:pPr>
      <w:r>
        <w:t>MNT-MA-005 - Sabitlenen sensör kontrolü</w:t>
      </w:r>
    </w:p>
    <w:p>
      <w:r>
        <w:rPr>
          <w:b/>
        </w:rPr>
        <w:t xml:space="preserve">Tetikleyici durum: </w:t>
      </w:r>
      <w:r>
        <w:t>data_quality_flag=stuck; yük değişmesine rağmen sıcaklık uzun süre aynı.</w:t>
      </w:r>
    </w:p>
    <w:p>
      <w:r>
        <w:rPr>
          <w:b/>
        </w:rPr>
        <w:t>Uygulama adımları</w:t>
      </w:r>
    </w:p>
    <w:p>
      <w:pPr>
        <w:ind w:left="259" w:hanging="259"/>
      </w:pPr>
      <w:r>
        <w:rPr>
          <w:b/>
        </w:rPr>
        <w:t xml:space="preserve">1. </w:t>
      </w:r>
      <w:r>
        <w:t>Sensörün son değişim zamanını belirle.</w:t>
      </w:r>
    </w:p>
    <w:p>
      <w:pPr>
        <w:ind w:left="259" w:hanging="259"/>
      </w:pPr>
      <w:r>
        <w:rPr>
          <w:b/>
        </w:rPr>
        <w:t xml:space="preserve">2. </w:t>
      </w:r>
      <w:r>
        <w:t>Aynı dönemde yük, akım ve güç değerlerinin değişip değişmediğini kontrol et.</w:t>
      </w:r>
    </w:p>
    <w:p>
      <w:pPr>
        <w:ind w:left="259" w:hanging="259"/>
      </w:pPr>
      <w:r>
        <w:rPr>
          <w:b/>
        </w:rPr>
        <w:t xml:space="preserve">3. </w:t>
      </w:r>
      <w:r>
        <w:t>Gateway/sensör servisini yeniden doğrula.</w:t>
      </w:r>
    </w:p>
    <w:p>
      <w:pPr>
        <w:ind w:left="259" w:hanging="259"/>
      </w:pPr>
      <w:r>
        <w:rPr>
          <w:b/>
        </w:rPr>
        <w:t xml:space="preserve">4. </w:t>
      </w:r>
      <w:r>
        <w:t>Gerekirse sensör verisini geçici olarak güvenilmez işaretle.</w:t>
      </w:r>
    </w:p>
    <w:p>
      <w:r>
        <w:rPr>
          <w:b/>
        </w:rPr>
        <w:t xml:space="preserve">Tamamlanma ölçütü: </w:t>
      </w:r>
      <w:r>
        <w:t>Sensör yeniden değişken veri üretir veya arıza kaydı bakım rolüne aktarılır.</w:t>
      </w:r>
    </w:p>
    <w:p>
      <w:r>
        <w:rPr>
          <w:b/>
        </w:rPr>
        <w:t xml:space="preserve">Eskalasyon koşulu: </w:t>
      </w:r>
      <w:r>
        <w:t>Sabitlik devam eder ve ekipman durumu başka sensörlerden doğrulanamazsa operasyonel risk olarak eskale edilir.</w:t>
      </w:r>
    </w:p>
    <w:p>
      <w:pPr>
        <w:jc w:val="right"/>
      </w:pPr>
      <w:r>
        <w:rPr>
          <w:i/>
          <w:color w:val="404040"/>
          <w:sz w:val="16"/>
        </w:rPr>
        <w:t>Kaynak etiketi: MA-MNT-001 / MNT-MA-005</w:t>
      </w:r>
    </w:p>
    <w:p>
      <w:pPr>
        <w:pStyle w:val="Heading1"/>
      </w:pPr>
      <w:r>
        <w:t>MNT-MA-006 - Eksik telemetri ve gateway kontrolü</w:t>
      </w:r>
    </w:p>
    <w:p>
      <w:r>
        <w:rPr>
          <w:b/>
        </w:rPr>
        <w:t xml:space="preserve">Tetikleyici durum: </w:t>
      </w:r>
      <w:r>
        <w:t>data_quality_flag=missing; sıcaklık ve/veya titreşim alanları boş.</w:t>
      </w:r>
    </w:p>
    <w:p>
      <w:r>
        <w:rPr>
          <w:b/>
        </w:rPr>
        <w:t>Uygulama adımları</w:t>
      </w:r>
    </w:p>
    <w:p>
      <w:pPr>
        <w:ind w:left="259" w:hanging="259"/>
      </w:pPr>
      <w:r>
        <w:rPr>
          <w:b/>
        </w:rPr>
        <w:t xml:space="preserve">1. </w:t>
      </w:r>
      <w:r>
        <w:t>Son başarılı veri zamanını belirle.</w:t>
      </w:r>
    </w:p>
    <w:p>
      <w:pPr>
        <w:ind w:left="259" w:hanging="259"/>
      </w:pPr>
      <w:r>
        <w:rPr>
          <w:b/>
        </w:rPr>
        <w:t xml:space="preserve">2. </w:t>
      </w:r>
      <w:r>
        <w:t>Gateway bağlantı ve servis durumunu kontrol et.</w:t>
      </w:r>
    </w:p>
    <w:p>
      <w:pPr>
        <w:ind w:left="259" w:hanging="259"/>
      </w:pPr>
      <w:r>
        <w:rPr>
          <w:b/>
        </w:rPr>
        <w:t xml:space="preserve">3. </w:t>
      </w:r>
      <w:r>
        <w:t>Sensör kablosu/iletişim bağlantısını doğrula.</w:t>
      </w:r>
    </w:p>
    <w:p>
      <w:pPr>
        <w:ind w:left="259" w:hanging="259"/>
      </w:pPr>
      <w:r>
        <w:rPr>
          <w:b/>
        </w:rPr>
        <w:t xml:space="preserve">4. </w:t>
      </w:r>
      <w:r>
        <w:t>Veri akışı döndüğünde zaman damgalarını ve yinelenen kayıtları kontrol et.</w:t>
      </w:r>
    </w:p>
    <w:p>
      <w:r>
        <w:rPr>
          <w:b/>
        </w:rPr>
        <w:t xml:space="preserve">Tamamlanma ölçütü: </w:t>
      </w:r>
      <w:r>
        <w:t>Veri akışı normale döner ve kayıp aralığı olay kaydına işlenir.</w:t>
      </w:r>
    </w:p>
    <w:p>
      <w:r>
        <w:rPr>
          <w:b/>
        </w:rPr>
        <w:t xml:space="preserve">Eskalasyon koşulu: </w:t>
      </w:r>
      <w:r>
        <w:t>Kayıp 15 dakikadan uzun sürerse saha kullanıcısına ekipman durumunun güvenilir biçimde izlenemediği bildirilir.</w:t>
      </w:r>
    </w:p>
    <w:p>
      <w:pPr>
        <w:jc w:val="right"/>
      </w:pPr>
      <w:r>
        <w:rPr>
          <w:i/>
          <w:color w:val="404040"/>
          <w:sz w:val="16"/>
        </w:rPr>
        <w:t>Kaynak etiketi: MA-MNT-001 / MNT-MA-006</w:t>
      </w:r>
    </w:p>
    <w:p>
      <w:pPr>
        <w:pStyle w:val="Heading1"/>
      </w:pPr>
      <w:r>
        <w:t>MNT-MA-007 - Kritik durumda kontrollü güvenli duruma alma</w:t>
      </w:r>
    </w:p>
    <w:p>
      <w:r>
        <w:rPr>
          <w:b/>
        </w:rPr>
        <w:t xml:space="preserve">Tetikleyici durum: </w:t>
      </w:r>
      <w:r>
        <w:t>Kritik sıcaklık, kritik titreşim, kritik akım veya hızla kötüleşen birleşik desen.</w:t>
      </w:r>
    </w:p>
    <w:p>
      <w:r>
        <w:rPr>
          <w:b/>
        </w:rPr>
        <w:t>Uygulama adımları</w:t>
      </w:r>
    </w:p>
    <w:p>
      <w:pPr>
        <w:ind w:left="259" w:hanging="259"/>
      </w:pPr>
      <w:r>
        <w:rPr>
          <w:b/>
        </w:rPr>
        <w:t xml:space="preserve">1. </w:t>
      </w:r>
      <w:r>
        <w:t>Alarmın veri kalitesi hatası olmadığını doğrula.</w:t>
      </w:r>
    </w:p>
    <w:p>
      <w:pPr>
        <w:ind w:left="259" w:hanging="259"/>
      </w:pPr>
      <w:r>
        <w:rPr>
          <w:b/>
        </w:rPr>
        <w:t xml:space="preserve">2. </w:t>
      </w:r>
      <w:r>
        <w:t>Yetkili saha/bakım rolüne kritik bildirim gönder.</w:t>
      </w:r>
    </w:p>
    <w:p>
      <w:pPr>
        <w:ind w:left="259" w:hanging="259"/>
      </w:pPr>
      <w:r>
        <w:rPr>
          <w:b/>
        </w:rPr>
        <w:t xml:space="preserve">3. </w:t>
      </w:r>
      <w:r>
        <w:t>Gerçek ekipman prosedürüne göre yük azaltma veya kontrollü duruş kararını yetkili kullanıcıya sun.</w:t>
      </w:r>
    </w:p>
    <w:p>
      <w:pPr>
        <w:ind w:left="259" w:hanging="259"/>
      </w:pPr>
      <w:r>
        <w:rPr>
          <w:b/>
        </w:rPr>
        <w:t xml:space="preserve">4. </w:t>
      </w:r>
      <w:r>
        <w:t>Olay öncesi en az 60 dakikalık sensör özetini kaydet.</w:t>
      </w:r>
    </w:p>
    <w:p>
      <w:pPr>
        <w:ind w:left="259" w:hanging="259"/>
      </w:pPr>
      <w:r>
        <w:rPr>
          <w:b/>
        </w:rPr>
        <w:t xml:space="preserve">5. </w:t>
      </w:r>
      <w:r>
        <w:t>İlgili bakım prosedürü ve geçmiş benzer olayları ilişkilendir.</w:t>
      </w:r>
    </w:p>
    <w:p>
      <w:r>
        <w:rPr>
          <w:b/>
        </w:rPr>
        <w:t xml:space="preserve">Tamamlanma ölçütü: </w:t>
      </w:r>
      <w:r>
        <w:t>Ekipman güvenli durumda; sorumlu rol bilgilendirilmiş; olay ve veriler kayıt altına alınmıştır.</w:t>
      </w:r>
    </w:p>
    <w:p>
      <w:r>
        <w:rPr>
          <w:b/>
        </w:rPr>
        <w:t xml:space="preserve">Eskalasyon koşulu: </w:t>
      </w:r>
      <w:r>
        <w:t>Bu prosedür zaten en yüksek demo eskalasyon seviyesidir.</w:t>
      </w:r>
    </w:p>
    <w:p>
      <w:pPr>
        <w:jc w:val="right"/>
      </w:pPr>
      <w:r>
        <w:rPr>
          <w:i/>
          <w:color w:val="404040"/>
          <w:sz w:val="16"/>
        </w:rPr>
        <w:t>Kaynak etiketi: MA-MNT-001 / MNT-MA-007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404040"/>
        <w:sz w:val="15"/>
      </w:rPr>
      <w:t>Yalnızca eğitim, staj projesi ve yazılım testi amacıyla hazırlanmıştır. Gerçek ekipman talimatı değildir.</w:t>
    </w:r>
  </w:p>
  <w:p>
    <w:pPr>
      <w:jc w:val="right"/>
    </w:pPr>
    <w:r>
      <w:rPr>
        <w:rFonts w:ascii="Arial" w:hAnsi="Arial"/>
        <w:sz w:val="16"/>
      </w:rPr>
      <w:t xml:space="preserve">Sayfa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404040"/>
        <w:sz w:val="17"/>
      </w:rPr>
      <w:t>MOTOR-A | MA-MNT-001 | Sentetik IoT Demo Dokümantasyonu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Meta">
    <w:name w:val="Doc Meta"/>
    <w:pPr>
      <w:spacing w:after="40"/>
    </w:pPr>
    <w:rPr>
      <w:rFonts w:ascii="Arial" w:hAnsi="Arial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