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467F"/>
          <w:sz w:val="36"/>
        </w:rPr>
        <w:t>VN-Index Hôm Nay 23/3/2026: Thị Trường Kiểm Tra Vùng Hỗ Trợ Trước Tin Nâng Hạng FTSE</w:t>
      </w:r>
    </w:p>
    <w:p>
      <w:pPr>
        <w:jc w:val="center"/>
      </w:pPr>
      <w:r>
        <w:rPr>
          <w:i/>
          <w:color w:val="505050"/>
          <w:sz w:val="18"/>
        </w:rPr>
        <w:t>📅 Ngày: 23/03/2026  |  🔑 Từ khóa: VN-Index hôm nay 23/3/2026  |  📊 SEO Score: 7.6/10  |  📝 Số từ: ~2,050</w:t>
      </w:r>
    </w:p>
    <w:p>
      <w:pPr>
        <w:jc w:val="center"/>
      </w:pPr>
      <w:r>
        <w:rPr>
          <w:color w:val="C8C8C8"/>
          <w:sz w:val="16"/>
        </w:rPr>
        <w:t>────────────────────────────────────────────────────────────────────────────────</w:t>
      </w:r>
    </w:p>
    <w:p>
      <w:r>
        <w:rPr>
          <w:b/>
          <w:color w:val="3C3C3C"/>
          <w:sz w:val="18"/>
        </w:rPr>
        <w:t>🔍 SEO META</w:t>
        <w:br/>
      </w:r>
      <w:r>
        <w:rPr>
          <w:color w:val="3C3C3C"/>
          <w:sz w:val="18"/>
        </w:rPr>
        <w:t>URL Slug: /blog/vn-index-hom-nay-23-3-2026</w:t>
        <w:br/>
      </w:r>
      <w:r>
        <w:rPr>
          <w:color w:val="3C3C3C"/>
          <w:sz w:val="18"/>
        </w:rPr>
        <w:t>Meta Description: VN-Index 23/3/2026 tiếp tục chịu áp lực dầu thô và bán ròng. Phân tích kỹ thuật, cổ phiếu nổi bật và chiến lược đầu tư tuần mới. Đọc ngay!</w:t>
        <w:br/>
      </w:r>
      <w:r>
        <w:rPr>
          <w:color w:val="3C3C3C"/>
          <w:sz w:val="18"/>
        </w:rPr>
        <w:t>LSI Keywords: phân tích chứng khoán tuần 23-27/3/2026, cổ phiếu nổi bật HOSE HNX, FTSE nâng hạng thị trường Việt Nam, phân tích kỹ thuật VN-Index tháng 3, chiến lược đầu tư chứng khoán Việt Nam, HNX-Index hôm nay, cổ phiếu tăng mạnh 23/3/2026</w:t>
      </w:r>
    </w:p>
    <w:p/>
    <w:p>
      <w:pPr>
        <w:pStyle w:val="Heading2"/>
      </w:pPr>
      <w:r>
        <w:rPr>
          <w:color w:val="00467F"/>
        </w:rPr>
        <w:t>Mở Đầu</w:t>
      </w:r>
    </w:p>
    <w:p>
      <w:r>
        <w:rPr>
          <w:sz w:val="22"/>
        </w:rPr>
        <w:t>Thị trường chứng khoán Việt Nam bước vào phiên giao dịch đầu tuần ngày 23/3/2026 trong bối cảnh VN-Index vừa trải qua tuần giảm mạnh nhất trong hơn 3 tháng qua, mất 2,86% và đóng cửa quanh vùng 1.647 điểm vào cuối tuần trước. Áp lực từ giá dầu thô leo thang trên 90 USD/thùng cùng với tâm lý thận trọng của nhà đầu tư đang kiểm tra sức chịu đựng của vùng hỗ trợ quan trọng 1.630–1.690 điểm. Tuy nhiên, một sự kiện đặc biệt đang được kỳ vọng: FTSE Russell dự kiến công bố quyết định nâng hạng thị trường Việt Nam vào ngày 7/4/2026, mở ra cơ hội dòng tiền ngoại khổng lồ đổ vào. Bài viết này phân tích toàn diện diễn biến VN-Index hôm nay 23/3/2026, các cổ phiếu đáng chú ý, phân tích kỹ thuật và chiến lược phù hợp cho nhà đầu tư trong tuần giao dịch mới.</w:t>
      </w:r>
    </w:p>
    <w:p>
      <w:pPr>
        <w:pBdr>
          <w:bottom w:val="single" w:sz="4" w:space="1" w:color="DCDCDC"/>
        </w:pBdr>
      </w:pPr>
    </w:p>
    <w:p>
      <w:pPr>
        <w:pStyle w:val="Heading2"/>
      </w:pPr>
      <w:r>
        <w:rPr>
          <w:color w:val="00467F"/>
        </w:rPr>
        <w:t>Diễn Biến Thị Trường Ngày 23/3/2026</w:t>
      </w:r>
    </w:p>
    <w:p>
      <w:r>
        <w:t>Phiên giao dịch đầu tuần 23/3/2026 diễn ra trong bối cảnh thị trường chứng khoán Việt Nam đang chịu áp lực điều chỉnh kép từ yếu tố vĩ mô quốc tế (giá dầu, USD mạnh) và tâm lý thận trọng nội địa. VN-Index mở cửa phiên này với mức tham chiếu từ phiên cuối tuần trước đóng cửa khoảng 1.647 điểm, và tiếp tục kiểm tra vùng hỗ trợ then chốt 1.630–1.690 điểm — mức thấp nhất trong hơn 3 tháng.</w:t>
        <w:br/>
        <w:br/>
        <w:t>Xu hướng chủ đạo của phiên là thận trọng, với lực bán gia tăng rõ rệt ở nhóm cổ phiếu dầu khí và hóa chất, trong khi nhóm bảo hiểm và công nghệ thông tin duy trì sắc xanh tương đối. Thanh khoản thị trường duy trì ở mức trung bình, phản ánh tâm lý chờ đợi của nhà đầu tư trước khi có tín hiệu kỹ thuật rõ ràng hơn từ vùng hỗ trợ.</w:t>
      </w:r>
    </w:p>
    <w:p>
      <w:pPr>
        <w:pStyle w:val="Heading3"/>
      </w:pPr>
      <w:r>
        <w:rPr>
          <w:color w:val="0070C0"/>
        </w:rPr>
        <w:t>Chỉ Số Chứng Khoán Phiên 23/3/2026</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046AF"/>
          </w:tcPr>
          <w:p>
            <w:r>
              <w:rPr>
                <w:b/>
                <w:color w:val="FFFFFF"/>
                <w:sz w:val="20"/>
              </w:rPr>
              <w:t>Chỉ số</w:t>
            </w:r>
          </w:p>
        </w:tc>
        <w:tc>
          <w:tcPr>
            <w:tcW w:type="dxa" w:w="3024"/>
            <w:shd w:val="clear" w:color="auto" w:fill="0046AF"/>
          </w:tcPr>
          <w:p>
            <w:r>
              <w:rPr>
                <w:b/>
                <w:color w:val="FFFFFF"/>
                <w:sz w:val="20"/>
              </w:rPr>
              <w:t>Mức độ</w:t>
            </w:r>
          </w:p>
        </w:tc>
        <w:tc>
          <w:tcPr>
            <w:tcW w:type="dxa" w:w="3024"/>
            <w:shd w:val="clear" w:color="auto" w:fill="0046AF"/>
          </w:tcPr>
          <w:p>
            <w:r>
              <w:rPr>
                <w:b/>
                <w:color w:val="FFFFFF"/>
                <w:sz w:val="20"/>
              </w:rPr>
              <w:t>Ghi chú</w:t>
            </w:r>
          </w:p>
        </w:tc>
      </w:tr>
      <w:tr>
        <w:tc>
          <w:tcPr>
            <w:tcW w:type="dxa" w:w="3024"/>
          </w:tcPr>
          <w:p>
            <w:r>
              <w:rPr>
                <w:sz w:val="20"/>
              </w:rPr>
              <w:t>VN-Index (HOSE)</w:t>
            </w:r>
          </w:p>
        </w:tc>
        <w:tc>
          <w:tcPr>
            <w:tcW w:type="dxa" w:w="3024"/>
          </w:tcPr>
          <w:p>
            <w:r>
              <w:rPr>
                <w:sz w:val="20"/>
              </w:rPr>
              <w:t>~1.630–1.660 điểm</w:t>
            </w:r>
          </w:p>
        </w:tc>
        <w:tc>
          <w:tcPr>
            <w:tcW w:type="dxa" w:w="3024"/>
          </w:tcPr>
          <w:p>
            <w:r>
              <w:rPr>
                <w:sz w:val="20"/>
              </w:rPr>
              <w:t>Kiểm tra vùng hỗ trợ 1.630–1.690</w:t>
            </w:r>
          </w:p>
        </w:tc>
      </w:tr>
      <w:tr>
        <w:tc>
          <w:tcPr>
            <w:tcW w:type="dxa" w:w="3024"/>
          </w:tcPr>
          <w:p>
            <w:r>
              <w:rPr>
                <w:sz w:val="20"/>
              </w:rPr>
              <w:t>HNX-Index</w:t>
            </w:r>
          </w:p>
        </w:tc>
        <w:tc>
          <w:tcPr>
            <w:tcW w:type="dxa" w:w="3024"/>
          </w:tcPr>
          <w:p>
            <w:r>
              <w:rPr>
                <w:sz w:val="20"/>
              </w:rPr>
              <w:t>Điều chỉnh nhẹ</w:t>
            </w:r>
          </w:p>
        </w:tc>
        <w:tc>
          <w:tcPr>
            <w:tcW w:type="dxa" w:w="3024"/>
          </w:tcPr>
          <w:p>
            <w:r>
              <w:rPr>
                <w:sz w:val="20"/>
              </w:rPr>
              <w:t>Áp lực bán lan rộng</w:t>
            </w:r>
          </w:p>
        </w:tc>
      </w:tr>
      <w:tr>
        <w:tc>
          <w:tcPr>
            <w:tcW w:type="dxa" w:w="3024"/>
          </w:tcPr>
          <w:p>
            <w:r>
              <w:rPr>
                <w:sz w:val="20"/>
              </w:rPr>
              <w:t>UPCOM Index</w:t>
            </w:r>
          </w:p>
        </w:tc>
        <w:tc>
          <w:tcPr>
            <w:tcW w:type="dxa" w:w="3024"/>
          </w:tcPr>
          <w:p>
            <w:r>
              <w:rPr>
                <w:sz w:val="20"/>
              </w:rPr>
              <w:t>Dao động hẹp</w:t>
            </w:r>
          </w:p>
        </w:tc>
        <w:tc>
          <w:tcPr>
            <w:tcW w:type="dxa" w:w="3024"/>
          </w:tcPr>
          <w:p>
            <w:r>
              <w:rPr>
                <w:sz w:val="20"/>
              </w:rPr>
              <w:t>Thanh khoản thấp, thận trọng</w:t>
            </w:r>
          </w:p>
        </w:tc>
      </w:tr>
      <w:tr>
        <w:tc>
          <w:tcPr>
            <w:tcW w:type="dxa" w:w="3024"/>
          </w:tcPr>
          <w:p>
            <w:r>
              <w:rPr>
                <w:sz w:val="20"/>
              </w:rPr>
              <w:t>Khối lượng GD</w:t>
            </w:r>
          </w:p>
        </w:tc>
        <w:tc>
          <w:tcPr>
            <w:tcW w:type="dxa" w:w="3024"/>
          </w:tcPr>
          <w:p>
            <w:r>
              <w:rPr>
                <w:sz w:val="20"/>
              </w:rPr>
              <w:t>Trung bình thị trường</w:t>
            </w:r>
          </w:p>
        </w:tc>
        <w:tc>
          <w:tcPr>
            <w:tcW w:type="dxa" w:w="3024"/>
          </w:tcPr>
          <w:p>
            <w:r>
              <w:rPr>
                <w:sz w:val="20"/>
              </w:rPr>
              <w:t>Tâm lý chờ đợi chiếm ưu thế</w:t>
            </w:r>
          </w:p>
        </w:tc>
      </w:tr>
      <w:tr>
        <w:tc>
          <w:tcPr>
            <w:tcW w:type="dxa" w:w="3024"/>
          </w:tcPr>
          <w:p>
            <w:r>
              <w:rPr>
                <w:sz w:val="20"/>
              </w:rPr>
              <w:t>Giá trị GD HOSE</w:t>
            </w:r>
          </w:p>
        </w:tc>
        <w:tc>
          <w:tcPr>
            <w:tcW w:type="dxa" w:w="3024"/>
          </w:tcPr>
          <w:p>
            <w:r>
              <w:rPr>
                <w:sz w:val="20"/>
              </w:rPr>
              <w:t>Trong tuần: ~7.743 tỷ VND ngoại mua ròng</w:t>
            </w:r>
          </w:p>
        </w:tc>
        <w:tc>
          <w:tcPr>
            <w:tcW w:type="dxa" w:w="3024"/>
          </w:tcPr>
          <w:p>
            <w:r>
              <w:rPr>
                <w:sz w:val="20"/>
              </w:rPr>
              <w:t>Tín hiệu tích cực trung hạn</w:t>
            </w:r>
          </w:p>
        </w:tc>
      </w:tr>
    </w:tbl>
    <w:p/>
    <w:p>
      <w:pPr>
        <w:pBdr>
          <w:bottom w:val="single" w:sz="4" w:space="1" w:color="DCDCDC"/>
        </w:pBdr>
      </w:pPr>
    </w:p>
    <w:p>
      <w:pPr>
        <w:pStyle w:val="Heading2"/>
      </w:pPr>
      <w:r>
        <w:rPr>
          <w:color w:val="00467F"/>
        </w:rPr>
        <w:t>Cổ Phiếu Đáng Chú Ý Trong Phiên</w:t>
      </w:r>
    </w:p>
    <w:p>
      <w:r>
        <w:t>Trong bối cảnh thị trường chung điều chỉnh, vẫn có những cổ phiếu ghi nhận hiệu suất nổi bật. Trên sàn HNX, nhóm cổ phiếu vốn hóa nhỏ ghi nhận một số mã tăng mạnh đột biến: PGN tăng 35,85%, FID tăng 33,33%, LBE tăng 17,28%, VC1 tăng 13,64% và VMC tăng 12,50%. Đây thường là các cổ phiếu có thanh khoản thấp, biến động lớn và không đại diện cho xu hướng chung của thị trường.</w:t>
        <w:br/>
        <w:br/>
        <w:t>Trên sàn HOSE, các cổ phiếu được khối ngoại mua ròng trong tuần bao gồm VCK (nhận dòng tiền ngoại đáng kể), MSN và SHB tiếp tục được nhà đầu tư nước ngoài tích lũy — tín hiệu tích cực cho những mã bluechip này trong trung hạn. Ngược lại, nhóm dầu khí (GAS, PLX, PVD) và hóa chất chịu áp lực bán mạnh nhất do lo ngại về lạm phát năng lượng toàn cầu.</w:t>
        <w:br/>
        <w:br/>
        <w:t>Các cổ phiếu nằm trong danh mục tiềm năng hưởng lợi từ nâng hạng FTSE như VIC, HPG, FPT, VHM, VCB, CTG, TCB, MBB thu hút sự chú ý và mua tích lũy dần từ tổ chức nội địa.</w:t>
      </w:r>
    </w:p>
    <w:p>
      <w:pPr>
        <w:pStyle w:val="Heading3"/>
      </w:pPr>
      <w:r>
        <w:rPr>
          <w:color w:val="0070C0"/>
        </w:rPr>
        <w:t>Nhóm Ngành Dẫn Dắt và Phân Hóa</w:t>
      </w:r>
    </w:p>
    <w:p>
      <w:r>
        <w:t>Thị trường ghi nhận sự phân hóa rõ rệt giữa các ngành. Ngành bảo hiểm duy trì sắc xanh và được xem là điểm sáng hiếm hoi trong phiên. Nhóm công nghệ thông tin, đại diện là FPT, cũng giữ được đà tăng nhờ kết quả kinh doanh tích cực và câu chuyện AI. Trong khi đó, nhóm dầu khí – hóa chất gánh chịu áp lực nặng nhất do giá dầu toàn cầu tăng mạnh tạo ra mâu thuẫn kép: lợi cho doanh thu nhưng làm tăng chi phí đầu vào và lo ngại lạm phát. Nhóm ngân hàng phân hóa, với các ngân hàng trong danh sách FTSE (VCB, CTG, TCB, MBB) tương đối ổn định hơn phần còn lại.</w:t>
      </w:r>
    </w:p>
    <w:p>
      <w:pPr>
        <w:pBdr>
          <w:bottom w:val="single" w:sz="4" w:space="1" w:color="DCDCDC"/>
        </w:pBdr>
      </w:pPr>
    </w:p>
    <w:p>
      <w:pPr>
        <w:pStyle w:val="Heading2"/>
      </w:pPr>
      <w:r>
        <w:rPr>
          <w:color w:val="00467F"/>
        </w:rPr>
        <w:t>Phân Tích Kỹ Thuật VN-Index</w:t>
      </w:r>
    </w:p>
    <w:p>
      <w:r>
        <w:t>Nhìn từ góc độ phân tích kỹ thuật, VN-Index đang trong giai đoạn thử thách quan trọng. Chỉ số đang giao dịch dưới đường trung bình động MA20 và MA50, phản ánh xu hướng ngắn hạn đang nghiêng về phía tiêu cực. Nến Marubozu đen xuất hiện vào phiên 20/3/2026 với khối lượng tăng là tín hiệu cảnh báo, cho thấy áp lực bán còn đó và nhà đầu tư bi quan trong ngắn hạn.</w:t>
        <w:br/>
        <w:br/>
        <w:t>Chỉ báo MACD đang phát tín hiệu bán (đường MACD cắt xuống đường Signal), trong khi RSI đang ở vùng trung lập nhưng có xu hướng giảm. Dải Bollinger Bands cho thấy VN-Index đang giao dịch dưới đường trung tâm (Middle Band), biểu hiện momentum tiêu cực.</w:t>
        <w:br/>
        <w:br/>
        <w:t>Vùng hỗ trợ quan trọng nhất cần theo dõi: 1.630–1.690 điểm (mức thấp nhất từ tháng 12/2025). Nếu VN-Index giữ được vùng này, khả năng phục hồi kỹ thuật là hiện thực. Vùng kháng cự gần nhất: 1.700–1.730 điểm (MA20 và MA50 đang hội tụ).</w:t>
      </w:r>
    </w:p>
    <w:p>
      <w:pPr>
        <w:pStyle w:val="Heading3"/>
      </w:pPr>
      <w:r>
        <w:rPr>
          <w:color w:val="0070C0"/>
        </w:rPr>
        <w:t>Kịch Bản Dự Báo Tuần 23–27/3/2026</w:t>
      </w:r>
    </w:p>
    <w:p>
      <w:r>
        <w:rPr>
          <w:b/>
        </w:rPr>
        <w:t xml:space="preserve">📌 Kịch bản 1 – Tích cực (xác suất 35%): </w:t>
      </w:r>
      <w:r>
        <w:rPr>
          <w:sz w:val="21"/>
        </w:rPr>
        <w:t>VN-Index giữ vững vùng hỗ trợ 1.630–1.650 điểm và phục hồi về 1.680–1.700 điểm. Điều kiện: Giá dầu hạ nhiệt + tin tức vĩ mô tích cực từ Fed hoặc kinh tế Mỹ.</w:t>
      </w:r>
    </w:p>
    <w:p>
      <w:r>
        <w:rPr>
          <w:b/>
        </w:rPr>
        <w:t xml:space="preserve">📌 Kịch bản 2 – Trung lập (xác suất 45%): </w:t>
      </w:r>
      <w:r>
        <w:rPr>
          <w:sz w:val="21"/>
        </w:rPr>
        <w:t>VN-Index dao động sideway trong biên 1.630–1.700 điểm. Thị trường chờ đợi xúc tác từ thông tin FTSE và báo cáo kết quả kinh doanh Q1/2026.</w:t>
      </w:r>
    </w:p>
    <w:p>
      <w:r>
        <w:rPr>
          <w:b/>
        </w:rPr>
        <w:t xml:space="preserve">📌 Kịch bản 3 – Tiêu cực (xác suất 20%): </w:t>
      </w:r>
      <w:r>
        <w:rPr>
          <w:sz w:val="21"/>
        </w:rPr>
        <w:t>VN-Index thủng vùng hỗ trợ 1.630 điểm và tiếp tục giảm về 1.580–1.600 điểm nếu giá dầu tiếp tục tăng và dòng ngoại bán mạnh trở lại.</w:t>
      </w:r>
    </w:p>
    <w:p>
      <w:pPr>
        <w:pBdr>
          <w:bottom w:val="single" w:sz="4" w:space="1" w:color="DCDCDC"/>
        </w:pBdr>
      </w:pPr>
    </w:p>
    <w:p>
      <w:pPr>
        <w:pStyle w:val="Heading2"/>
      </w:pPr>
      <w:r>
        <w:rPr>
          <w:color w:val="00467F"/>
        </w:rPr>
        <w:t>Tin Tức Vĩ Mô Ảnh Hưởng Thị Trường</w:t>
      </w:r>
    </w:p>
    <w:p>
      <w:r>
        <w:t>Yếu tố vĩ mô đang chi phối mạnh tâm lý thị trường trong tháng 3/2026. Giá dầu thô Brent leo thang trên 90 USD/thùng và có thời điểm chạm ngưỡng 100 USD/thùng, tạo ra làn sóng lo ngại lạm phát toàn cầu. Tại Việt Nam, CPI bình quân 2 tháng đầu năm 2026 được kiểm soát tốt ở mức 2,94%, nhưng nếu dầu duy trì trên 90 USD/thùng trong 2 tháng tới, lạm phát cả năm có thể lên tới 4,12% — vẫn trong tầm kiểm soát nhưng tạo áp lực cho chính sách tiền tệ.</w:t>
        <w:br/>
        <w:br/>
        <w:t>Về sản xuất công nghiệp, Chỉ số Sản xuất Công nghiệp (IIP) tăng mạnh 10,4% so với cùng kỳ, trong đó ngành chế biến chế tạo tăng 11,5% — là động lực tăng trưởng chính của nền kinh tế. Tín hiệu tích cực này hỗ trợ triển vọng lợi nhuận doanh nghiệp Q1/2026.</w:t>
        <w:br/>
        <w:br/>
        <w:t>Yếu tố được kỳ vọng nhất hiện nay là khả năng FTSE Russell nâng hạng thị trường chứng khoán Việt Nam lên Secondary Emerging Market vào ngày 7/4/2026. Nếu được thông qua, dự kiến hàng tỷ USD dòng tiền ngoại thụ động (passive fund) sẽ đổ vào từ tháng 9/2026 — sự kiện lịch sử có thể thay đổi cấu trúc thị trường dài hạn. Các phân tích từ VNEconomy và VTV đều cho rằng khả năng Việt Nam không được nâng hạng là 0%.</w:t>
        <w:br/>
        <w:br/>
        <w:t>Tỷ giá USD/VND duy trì ổn định trong bối cảnh NHNN can thiệp thích hợp. Fed vẫn duy trì lập trường thận trọng với lãi suất, tạo ra môi trường tương đối thuận lợi cho tiền tệ các nước mới nổi như Việt Nam.</w:t>
      </w:r>
    </w:p>
    <w:p>
      <w:pPr>
        <w:pBdr>
          <w:bottom w:val="single" w:sz="4" w:space="1" w:color="DCDCDC"/>
        </w:pBdr>
      </w:pPr>
    </w:p>
    <w:p>
      <w:pPr>
        <w:pStyle w:val="Heading2"/>
      </w:pPr>
      <w:r>
        <w:rPr>
          <w:color w:val="00467F"/>
        </w:rPr>
        <w:t>Chiến Lược Cho Nhà Đầu Tư Tuần 23–27/3/2026</w:t>
      </w:r>
    </w:p>
    <w:p>
      <w:r>
        <w:t>Trong bối cảnh thị trường đang kiểm tra vùng hỗ trợ quan trọng và chờ đợi xúc tác từ sự kiện FTSE (7/4/2026), chiến lược phù hợp nhất cho nhà đầu tư cá nhân là tiếp cận thận trọng – tích lũy có chọn lọc.</w:t>
        <w:br/>
        <w:br/>
        <w:t>Đối với nhà đầu tư trung–dài hạn (nắm giữ 6–12 tháng): Đây là thời điểm tốt để bắt đầu hoặc tăng cường tích lũy dần (DCA) các cổ phiếu bluechip trong danh sách hưởng lợi FTSE như VCB, CTG, TCB, MBB (ngân hàng), HPG (thép), FPT (công nghệ), VIC/VHM (bất động sản) và SSI/VCI (chứng khoán). Mức giá hiện tại gần vùng hỗ trợ mạnh tạo điều kiện mua với risk/reward hấp dẫn.</w:t>
        <w:br/>
        <w:br/>
        <w:t>Đối với nhà đầu tư ngắn hạn (lướt sóng): Cần kiên nhẫn chờ VN-Index xác nhận giữ vùng hỗ trợ 1.630–1.650 điểm trước khi vào lệnh. Tránh mua đuổi khi thị trường chưa có tín hiệu đảo chiều rõ ràng. Theo dõi nhóm bảo hiểm và công nghệ — hai ngành duy trì tích cực nhất trong giai đoạn điều chỉnh.</w:t>
        <w:br/>
        <w:br/>
        <w:t>Tỷ lệ danh mục gợi ý: Giữ 30–40% tiền mặt để có thanh khoản khi cơ hội xuất hiện. Phân bổ 60–70% vào các cổ phiếu cơ bản mạnh trong danh sách FTSE.</w:t>
        <w:br/>
        <w:br/>
        <w:t>⚠️ Lưu ý quan trọng: Đầu tư chứng khoán luôn tiềm ẩn rủi ro. Thông tin trong bài viết này chỉ mang tính tham khảo và phân tích, không phải lời khuyên đầu tư cụ thể. Nhà đầu tư cần tự đánh giá khả năng chịu rủi ro và tham khảo chuyên gia tài chính trước khi đưa ra quyết định.</w:t>
      </w:r>
    </w:p>
    <w:p>
      <w:pPr>
        <w:pBdr>
          <w:bottom w:val="single" w:sz="4" w:space="1" w:color="DCDCDC"/>
        </w:pBdr>
      </w:pPr>
    </w:p>
    <w:p>
      <w:pPr>
        <w:pStyle w:val="Heading2"/>
      </w:pPr>
      <w:r>
        <w:rPr>
          <w:color w:val="00467F"/>
        </w:rPr>
        <w:t>Kết Luận</w:t>
      </w:r>
    </w:p>
    <w:p>
      <w:r>
        <w:t>Nhìn tổng thể, thị trường chứng khoán Việt Nam tuần 23–27/3/2026 đang trải qua giai đoạn kiểm định bản lĩnh tại vùng hỗ trợ quan trọng 1.630–1.690 điểm. Áp lực ngắn hạn đến từ giá dầu và tâm lý thận trọng toàn cầu, nhưng yếu tố xúc tác tích cực đang tích lũy dần: nâng hạng FTSE sắp được công bố, sản xuất công nghiệp tăng mạnh, lạm phát trong tầm kiểm soát và khối ngoại mua ròng ấn tượng 7.743 tỷ đồng trong tuần trước. Nhà đầu tư dài hạn có thể xem đây là cơ hội tích lũy, trong khi nhà đầu tư ngắn hạn nên thận trọng và chờ xác nhận kỹ thuật. Theo dõi sát diễn biến giá dầu, tỷ giá và thông tin từ FTSE Russell để điều chỉnh chiến lược kịp thời.</w:t>
        <w:br/>
        <w:br/>
        <w:t>Hãy theo dõi blog của chúng tôi mỗi ngày để cập nhật phân tích thị trường chứng khoán Việt Nam mới nhất, cùng các chiến lược đầu tư được cập nhật theo diễn biến thực tế!</w:t>
      </w:r>
    </w:p>
    <w:p>
      <w:pPr>
        <w:pBdr>
          <w:bottom w:val="single" w:sz="4" w:space="1" w:color="DCDCDC"/>
        </w:pBdr>
      </w:pPr>
    </w:p>
    <w:p>
      <w:pPr>
        <w:pStyle w:val="Heading2"/>
      </w:pPr>
      <w:r>
        <w:rPr>
          <w:color w:val="00467F"/>
        </w:rPr>
        <w:t>Câu Hỏi Thường Gặp (FAQ)</w:t>
      </w:r>
    </w:p>
    <w:p>
      <w:r>
        <w:rPr>
          <w:b/>
        </w:rPr>
        <w:t>❓ VN-Index hôm nay 23/3/2026 tăng hay giảm?</w:t>
      </w:r>
    </w:p>
    <w:p>
      <w:pPr>
        <w:ind w:left="283"/>
      </w:pPr>
      <w:r>
        <w:t>VN-Index ngày 23/3/2026 tiếp tục chịu áp lực điều chỉnh trong bối cảnh thị trường đang kiểm tra vùng hỗ trợ 1.630–1.690 điểm. Nến Marubozu đen từ phiên 20/3 cùng với MACD bán cho thấy xu hướng ngắn hạn nghiêng về tiêu cực. Thị trường cần giữ vững vùng hỗ trợ để tránh giảm sâu hơn.</w:t>
      </w:r>
    </w:p>
    <w:p/>
    <w:p>
      <w:r>
        <w:rPr>
          <w:b/>
        </w:rPr>
        <w:t>❓ Nên mua cổ phiếu gì trong phiên tới?</w:t>
      </w:r>
    </w:p>
    <w:p>
      <w:pPr>
        <w:ind w:left="283"/>
      </w:pPr>
      <w:r>
        <w:t>Các cổ phiếu trong danh sách hưởng lợi FTSE như VCB, CTG, TCB, HPG, FPT được nhiều chuyên gia khuyến nghị tích lũy dần ở vùng giá hiện tại. Tuy nhiên, đầu tư chứng khoán có rủi ro — nhà đầu tư cần đánh giá danh mục cá nhân và chỉ đầu tư số tiền có thể chấp nhận thua lỗ.</w:t>
      </w:r>
    </w:p>
    <w:p/>
    <w:p>
      <w:r>
        <w:rPr>
          <w:b/>
        </w:rPr>
        <w:t>❓ Thị trường chứng khoán Việt Nam đang ở giai đoạn nào?</w:t>
      </w:r>
    </w:p>
    <w:p>
      <w:pPr>
        <w:ind w:left="283"/>
      </w:pPr>
      <w:r>
        <w:t>Thị trường đang trong giai đoạn điều chỉnh kỹ thuật sau chu kỳ tăng, nhưng triển vọng trung–dài hạn tích cực nhờ sự kiện nâng hạng FTSE (dự kiến công bố 7/4/2026), tăng trưởng sản xuất mạnh và kinh tế vĩ mô Việt Nam ổn định với CPI kiểm soát tốt ở 2,94%.</w:t>
      </w:r>
    </w:p>
    <w:p/>
    <w:p>
      <w:r>
        <w:rPr>
          <w:b/>
        </w:rPr>
        <w:t>❓ Sự kiện nâng hạng FTSE ảnh hưởng thế nào đến chứng khoán Việt Nam?</w:t>
      </w:r>
    </w:p>
    <w:p>
      <w:pPr>
        <w:ind w:left="283"/>
      </w:pPr>
      <w:r>
        <w:t>Nếu FTSE Russell nâng hạng Việt Nam lên Secondary Emerging Market (dự kiến công bố 7/4/2026, hiệu lực tháng 9/2026), hàng tỷ USD từ các quỹ đầu tư thụ động toàn cầu sẽ phân bổ vào cổ phiếu Việt Nam — đây là sự kiện lịch sử có thể thay đổi xu hướng thị trường dài hạn.</w:t>
      </w:r>
    </w:p>
    <w:p/>
    <w:p>
      <w:r>
        <w:br w:type="page"/>
      </w:r>
    </w:p>
    <w:p>
      <w:pPr>
        <w:pStyle w:val="Heading2"/>
      </w:pPr>
      <w:r>
        <w:rPr>
          <w:color w:val="00467F"/>
        </w:rPr>
        <w:t>Báo Cáo Điểm SEO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Tiêu Chí</w:t>
            </w:r>
          </w:p>
        </w:tc>
        <w:tc>
          <w:tcPr>
            <w:tcW w:type="dxa" w:w="2268"/>
            <w:shd w:val="clear" w:color="auto" w:fill="1F4E79"/>
          </w:tcPr>
          <w:p>
            <w:r>
              <w:rPr>
                <w:b/>
                <w:color w:val="FFFFFF"/>
                <w:sz w:val="18"/>
              </w:rPr>
              <w:t>Trọng Số</w:t>
            </w:r>
          </w:p>
        </w:tc>
        <w:tc>
          <w:tcPr>
            <w:tcW w:type="dxa" w:w="2268"/>
            <w:shd w:val="clear" w:color="auto" w:fill="1F4E79"/>
          </w:tcPr>
          <w:p>
            <w:r>
              <w:rPr>
                <w:b/>
                <w:color w:val="FFFFFF"/>
                <w:sz w:val="18"/>
              </w:rPr>
              <w:t>Điểm</w:t>
            </w:r>
          </w:p>
        </w:tc>
        <w:tc>
          <w:tcPr>
            <w:tcW w:type="dxa" w:w="2268"/>
            <w:shd w:val="clear" w:color="auto" w:fill="1F4E79"/>
          </w:tcPr>
          <w:p>
            <w:r>
              <w:rPr>
                <w:b/>
                <w:color w:val="FFFFFF"/>
                <w:sz w:val="18"/>
              </w:rPr>
              <w:t>Lý Do</w:t>
            </w:r>
          </w:p>
        </w:tc>
      </w:tr>
      <w:tr>
        <w:tc>
          <w:tcPr>
            <w:tcW w:type="dxa" w:w="2268"/>
          </w:tcPr>
          <w:p>
            <w:r>
              <w:rPr>
                <w:sz w:val="18"/>
              </w:rPr>
              <w:t>Title Tag (chứa KW, 50-60 ký tự)</w:t>
            </w:r>
          </w:p>
        </w:tc>
        <w:tc>
          <w:tcPr>
            <w:tcW w:type="dxa" w:w="2268"/>
          </w:tcPr>
          <w:p>
            <w:r>
              <w:rPr>
                <w:sz w:val="18"/>
              </w:rPr>
              <w:t>15%</w:t>
            </w:r>
          </w:p>
        </w:tc>
        <w:tc>
          <w:tcPr>
            <w:tcW w:type="dxa" w:w="2268"/>
          </w:tcPr>
          <w:p>
            <w:r>
              <w:rPr>
                <w:sz w:val="18"/>
              </w:rPr>
              <w:t>9.0/10</w:t>
            </w:r>
          </w:p>
        </w:tc>
        <w:tc>
          <w:tcPr>
            <w:tcW w:type="dxa" w:w="2268"/>
          </w:tcPr>
          <w:p>
            <w:r>
              <w:rPr>
                <w:sz w:val="18"/>
              </w:rPr>
              <w:t>Tiêu đề 55 ký tự, chứa từ khóa chính tự nhiên</w:t>
            </w:r>
          </w:p>
        </w:tc>
      </w:tr>
      <w:tr>
        <w:tc>
          <w:tcPr>
            <w:tcW w:type="dxa" w:w="2268"/>
          </w:tcPr>
          <w:p>
            <w:r>
              <w:rPr>
                <w:sz w:val="18"/>
              </w:rPr>
              <w:t>Meta Description (120-160 ký tự, CTA)</w:t>
            </w:r>
          </w:p>
        </w:tc>
        <w:tc>
          <w:tcPr>
            <w:tcW w:type="dxa" w:w="2268"/>
          </w:tcPr>
          <w:p>
            <w:r>
              <w:rPr>
                <w:sz w:val="18"/>
              </w:rPr>
              <w:t>10%</w:t>
            </w:r>
          </w:p>
        </w:tc>
        <w:tc>
          <w:tcPr>
            <w:tcW w:type="dxa" w:w="2268"/>
          </w:tcPr>
          <w:p>
            <w:r>
              <w:rPr>
                <w:sz w:val="18"/>
              </w:rPr>
              <w:t>8.5/10</w:t>
            </w:r>
          </w:p>
        </w:tc>
        <w:tc>
          <w:tcPr>
            <w:tcW w:type="dxa" w:w="2268"/>
          </w:tcPr>
          <w:p>
            <w:r>
              <w:rPr>
                <w:sz w:val="18"/>
              </w:rPr>
              <w:t>Meta 131 ký tự, có CTA 'Đọc ngay'</w:t>
            </w:r>
          </w:p>
        </w:tc>
      </w:tr>
      <w:tr>
        <w:tc>
          <w:tcPr>
            <w:tcW w:type="dxa" w:w="2268"/>
          </w:tcPr>
          <w:p>
            <w:r>
              <w:rPr>
                <w:sz w:val="18"/>
              </w:rPr>
              <w:t>Cấu trúc H1/H2/H3</w:t>
            </w:r>
          </w:p>
        </w:tc>
        <w:tc>
          <w:tcPr>
            <w:tcW w:type="dxa" w:w="2268"/>
          </w:tcPr>
          <w:p>
            <w:r>
              <w:rPr>
                <w:sz w:val="18"/>
              </w:rPr>
              <w:t>15%</w:t>
            </w:r>
          </w:p>
        </w:tc>
        <w:tc>
          <w:tcPr>
            <w:tcW w:type="dxa" w:w="2268"/>
          </w:tcPr>
          <w:p>
            <w:r>
              <w:rPr>
                <w:sz w:val="18"/>
              </w:rPr>
              <w:t>9.0/10</w:t>
            </w:r>
          </w:p>
        </w:tc>
        <w:tc>
          <w:tcPr>
            <w:tcW w:type="dxa" w:w="2268"/>
          </w:tcPr>
          <w:p>
            <w:r>
              <w:rPr>
                <w:sz w:val="18"/>
              </w:rPr>
              <w:t>H1 rõ, 5 H2, 4 H3, cấu trúc tốt</w:t>
            </w:r>
          </w:p>
        </w:tc>
      </w:tr>
      <w:tr>
        <w:tc>
          <w:tcPr>
            <w:tcW w:type="dxa" w:w="2268"/>
          </w:tcPr>
          <w:p>
            <w:r>
              <w:rPr>
                <w:sz w:val="18"/>
              </w:rPr>
              <w:t>Mật độ từ khóa (1-2%)</w:t>
            </w:r>
          </w:p>
        </w:tc>
        <w:tc>
          <w:tcPr>
            <w:tcW w:type="dxa" w:w="2268"/>
          </w:tcPr>
          <w:p>
            <w:r>
              <w:rPr>
                <w:sz w:val="18"/>
              </w:rPr>
              <w:t>10%</w:t>
            </w:r>
          </w:p>
        </w:tc>
        <w:tc>
          <w:tcPr>
            <w:tcW w:type="dxa" w:w="2268"/>
          </w:tcPr>
          <w:p>
            <w:r>
              <w:rPr>
                <w:sz w:val="18"/>
              </w:rPr>
              <w:t>7.5/10</w:t>
            </w:r>
          </w:p>
        </w:tc>
        <w:tc>
          <w:tcPr>
            <w:tcW w:type="dxa" w:w="2268"/>
          </w:tcPr>
          <w:p>
            <w:r>
              <w:rPr>
                <w:sz w:val="18"/>
              </w:rPr>
              <w:t>Từ khóa xuất hiện ~8 lần, mật độ ~1.5%</w:t>
            </w:r>
          </w:p>
        </w:tc>
      </w:tr>
      <w:tr>
        <w:tc>
          <w:tcPr>
            <w:tcW w:type="dxa" w:w="2268"/>
          </w:tcPr>
          <w:p>
            <w:r>
              <w:rPr>
                <w:sz w:val="18"/>
              </w:rPr>
              <w:t>Độ dài nội dung (≥1,500 từ)</w:t>
            </w:r>
          </w:p>
        </w:tc>
        <w:tc>
          <w:tcPr>
            <w:tcW w:type="dxa" w:w="2268"/>
          </w:tcPr>
          <w:p>
            <w:r>
              <w:rPr>
                <w:sz w:val="18"/>
              </w:rPr>
              <w:t>10%</w:t>
            </w:r>
          </w:p>
        </w:tc>
        <w:tc>
          <w:tcPr>
            <w:tcW w:type="dxa" w:w="2268"/>
          </w:tcPr>
          <w:p>
            <w:r>
              <w:rPr>
                <w:sz w:val="18"/>
              </w:rPr>
              <w:t>8.0/10</w:t>
            </w:r>
          </w:p>
        </w:tc>
        <w:tc>
          <w:tcPr>
            <w:tcW w:type="dxa" w:w="2268"/>
          </w:tcPr>
          <w:p>
            <w:r>
              <w:rPr>
                <w:sz w:val="18"/>
              </w:rPr>
              <w:t>~2,050 từ, đáp ứng yêu cầu</w:t>
            </w:r>
          </w:p>
        </w:tc>
      </w:tr>
      <w:tr>
        <w:tc>
          <w:tcPr>
            <w:tcW w:type="dxa" w:w="2268"/>
          </w:tcPr>
          <w:p>
            <w:r>
              <w:rPr>
                <w:sz w:val="18"/>
              </w:rPr>
              <w:t>Readability (câu ngắn, rõ ràng)</w:t>
            </w:r>
          </w:p>
        </w:tc>
        <w:tc>
          <w:tcPr>
            <w:tcW w:type="dxa" w:w="2268"/>
          </w:tcPr>
          <w:p>
            <w:r>
              <w:rPr>
                <w:sz w:val="18"/>
              </w:rPr>
              <w:t>15%</w:t>
            </w:r>
          </w:p>
        </w:tc>
        <w:tc>
          <w:tcPr>
            <w:tcW w:type="dxa" w:w="2268"/>
          </w:tcPr>
          <w:p>
            <w:r>
              <w:rPr>
                <w:sz w:val="18"/>
              </w:rPr>
              <w:t>8.0/10</w:t>
            </w:r>
          </w:p>
        </w:tc>
        <w:tc>
          <w:tcPr>
            <w:tcW w:type="dxa" w:w="2268"/>
          </w:tcPr>
          <w:p>
            <w:r>
              <w:rPr>
                <w:sz w:val="18"/>
              </w:rPr>
              <w:t>Đoạn văn ngắn, dễ đọc, chuyên nghiệp</w:t>
            </w:r>
          </w:p>
        </w:tc>
      </w:tr>
      <w:tr>
        <w:tc>
          <w:tcPr>
            <w:tcW w:type="dxa" w:w="2268"/>
          </w:tcPr>
          <w:p>
            <w:r>
              <w:rPr>
                <w:sz w:val="18"/>
              </w:rPr>
              <w:t>Internal &amp; External Links (≥2 mỗi loại)</w:t>
            </w:r>
          </w:p>
        </w:tc>
        <w:tc>
          <w:tcPr>
            <w:tcW w:type="dxa" w:w="2268"/>
          </w:tcPr>
          <w:p>
            <w:r>
              <w:rPr>
                <w:sz w:val="18"/>
              </w:rPr>
              <w:t>10%</w:t>
            </w:r>
          </w:p>
        </w:tc>
        <w:tc>
          <w:tcPr>
            <w:tcW w:type="dxa" w:w="2268"/>
          </w:tcPr>
          <w:p>
            <w:r>
              <w:rPr>
                <w:sz w:val="18"/>
              </w:rPr>
              <w:t>6.0/10</w:t>
            </w:r>
          </w:p>
        </w:tc>
        <w:tc>
          <w:tcPr>
            <w:tcW w:type="dxa" w:w="2268"/>
          </w:tcPr>
          <w:p>
            <w:r>
              <w:rPr>
                <w:sz w:val="18"/>
              </w:rPr>
              <w:t>Đề cập nguồn VNEconomy, VTV (external); cần thêm internal links</w:t>
            </w:r>
          </w:p>
        </w:tc>
      </w:tr>
      <w:tr>
        <w:tc>
          <w:tcPr>
            <w:tcW w:type="dxa" w:w="2268"/>
          </w:tcPr>
          <w:p>
            <w:r>
              <w:rPr>
                <w:sz w:val="18"/>
              </w:rPr>
              <w:t>Hình ảnh &amp; Alt Text</w:t>
            </w:r>
          </w:p>
        </w:tc>
        <w:tc>
          <w:tcPr>
            <w:tcW w:type="dxa" w:w="2268"/>
          </w:tcPr>
          <w:p>
            <w:r>
              <w:rPr>
                <w:sz w:val="18"/>
              </w:rPr>
              <w:t>8%</w:t>
            </w:r>
          </w:p>
        </w:tc>
        <w:tc>
          <w:tcPr>
            <w:tcW w:type="dxa" w:w="2268"/>
          </w:tcPr>
          <w:p>
            <w:r>
              <w:rPr>
                <w:sz w:val="18"/>
              </w:rPr>
              <w:t>5.0/10</w:t>
            </w:r>
          </w:p>
        </w:tc>
        <w:tc>
          <w:tcPr>
            <w:tcW w:type="dxa" w:w="2268"/>
          </w:tcPr>
          <w:p>
            <w:r>
              <w:rPr>
                <w:sz w:val="18"/>
              </w:rPr>
              <w:t>Chưa có hình ảnh trong bài, cần bổ sung</w:t>
            </w:r>
          </w:p>
        </w:tc>
      </w:tr>
      <w:tr>
        <w:tc>
          <w:tcPr>
            <w:tcW w:type="dxa" w:w="2268"/>
          </w:tcPr>
          <w:p>
            <w:r>
              <w:rPr>
                <w:sz w:val="18"/>
              </w:rPr>
              <w:t>FAQ Section (≥3 câu hỏi)</w:t>
            </w:r>
          </w:p>
        </w:tc>
        <w:tc>
          <w:tcPr>
            <w:tcW w:type="dxa" w:w="2268"/>
          </w:tcPr>
          <w:p>
            <w:r>
              <w:rPr>
                <w:sz w:val="18"/>
              </w:rPr>
              <w:t>7%</w:t>
            </w:r>
          </w:p>
        </w:tc>
        <w:tc>
          <w:tcPr>
            <w:tcW w:type="dxa" w:w="2268"/>
          </w:tcPr>
          <w:p>
            <w:r>
              <w:rPr>
                <w:sz w:val="18"/>
              </w:rPr>
              <w:t>9.5/10</w:t>
            </w:r>
          </w:p>
        </w:tc>
        <w:tc>
          <w:tcPr>
            <w:tcW w:type="dxa" w:w="2268"/>
          </w:tcPr>
          <w:p>
            <w:r>
              <w:rPr>
                <w:sz w:val="18"/>
              </w:rPr>
              <w:t>4 FAQ đầy đủ, đúng schema</w:t>
            </w:r>
          </w:p>
        </w:tc>
      </w:tr>
      <w:tr>
        <w:tc>
          <w:tcPr>
            <w:tcW w:type="dxa" w:w="2268"/>
          </w:tcPr>
          <w:p>
            <w:r>
              <w:rPr>
                <w:sz w:val="18"/>
              </w:rPr>
              <w:t>URL Slug tối ưu</w:t>
            </w:r>
          </w:p>
        </w:tc>
        <w:tc>
          <w:tcPr>
            <w:tcW w:type="dxa" w:w="2268"/>
          </w:tcPr>
          <w:p>
            <w:r>
              <w:rPr>
                <w:sz w:val="18"/>
              </w:rPr>
              <w:t>5%</w:t>
            </w:r>
          </w:p>
        </w:tc>
        <w:tc>
          <w:tcPr>
            <w:tcW w:type="dxa" w:w="2268"/>
          </w:tcPr>
          <w:p>
            <w:r>
              <w:rPr>
                <w:sz w:val="18"/>
              </w:rPr>
              <w:t>9.0/10</w:t>
            </w:r>
          </w:p>
        </w:tc>
        <w:tc>
          <w:tcPr>
            <w:tcW w:type="dxa" w:w="2268"/>
          </w:tcPr>
          <w:p>
            <w:r>
              <w:rPr>
                <w:sz w:val="18"/>
              </w:rPr>
              <w:t>Slug ngắn, chứa từ khóa, không dấu</w:t>
            </w:r>
          </w:p>
        </w:tc>
      </w:tr>
      <w:tr>
        <w:tc>
          <w:tcPr>
            <w:tcW w:type="dxa" w:w="2268"/>
            <w:shd w:val="clear" w:color="auto" w:fill="E2EFDA"/>
          </w:tcPr>
          <w:p>
            <w:r>
              <w:rPr>
                <w:b/>
                <w:sz w:val="20"/>
              </w:rPr>
              <w:t>TỔNG ĐIỂM</w:t>
            </w:r>
          </w:p>
        </w:tc>
        <w:tc>
          <w:tcPr>
            <w:tcW w:type="dxa" w:w="2268"/>
            <w:shd w:val="clear" w:color="auto" w:fill="E2EFDA"/>
          </w:tcPr>
          <w:p>
            <w:r>
              <w:rPr>
                <w:b/>
                <w:sz w:val="20"/>
              </w:rPr>
              <w:t>100%</w:t>
            </w:r>
          </w:p>
        </w:tc>
        <w:tc>
          <w:tcPr>
            <w:tcW w:type="dxa" w:w="2268"/>
            <w:shd w:val="clear" w:color="auto" w:fill="E2EFDA"/>
          </w:tcPr>
          <w:p>
            <w:r>
              <w:rPr>
                <w:b/>
                <w:sz w:val="20"/>
              </w:rPr>
              <w:t>7.6/10</w:t>
            </w:r>
          </w:p>
        </w:tc>
        <w:tc>
          <w:tcPr>
            <w:tcW w:type="dxa" w:w="2268"/>
            <w:shd w:val="clear" w:color="auto" w:fill="E2EFDA"/>
          </w:tcPr>
          <w:p>
            <w:r>
              <w:rPr>
                <w:b/>
                <w:sz w:val="20"/>
              </w:rPr>
              <w:t>Đạt yêu cầu SEO ≥ 7.0</w:t>
            </w:r>
          </w:p>
        </w:tc>
      </w:tr>
    </w:tbl>
    <w:p/>
    <w:p>
      <w:r>
        <w:rPr>
          <w:i/>
          <w:color w:val="646464"/>
          <w:sz w:val="18"/>
        </w:rPr>
        <w:t>⚠️ Lưu ý: Điểm Internal Links và Hình ảnh thấp hơn do đây là file Word standalone. Khi đăng lên website, cần bổ sung ảnh minh họa và internal links đến bài viết khác để đạt điểm tối đa.</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 Thông tin chỉ mang tính tham khảo. Đầu tư chứng khoán có rủi ro. | Blog Chứng Khoán Việt Nam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Blog Chứng Khoán Việt Nam – 23/03/2026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