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jc w:val="center"/>
        <w:rPr>
          <w:rFonts w:hint="eastAsia" w:ascii="宋体" w:hAnsi="宋体" w:eastAsia="宋体" w:cs="宋体"/>
          <w:b/>
          <w:bCs/>
          <w:kern w:val="0"/>
          <w:sz w:val="44"/>
          <w:szCs w:val="44"/>
          <w:shd w:val="clear" w:fill="FFFFFF"/>
          <w:lang w:val="en-US" w:eastAsia="zh-CN" w:bidi="ar"/>
        </w:rPr>
      </w:pPr>
      <w:r>
        <w:rPr>
          <w:rFonts w:hint="eastAsia" w:ascii="宋体" w:hAnsi="宋体" w:eastAsia="宋体" w:cs="宋体"/>
          <w:b/>
          <w:bCs/>
          <w:kern w:val="0"/>
          <w:sz w:val="44"/>
          <w:szCs w:val="44"/>
          <w:shd w:val="clear" w:fill="FFFFFF"/>
          <w:lang w:val="en-US" w:eastAsia="zh-CN" w:bidi="ar"/>
        </w:rPr>
        <w:t>关于团贷</w:t>
      </w:r>
      <w:bookmarkStart w:id="0" w:name="_GoBack"/>
      <w:bookmarkEnd w:id="0"/>
      <w:r>
        <w:rPr>
          <w:rFonts w:hint="eastAsia" w:ascii="宋体" w:hAnsi="宋体" w:eastAsia="宋体" w:cs="宋体"/>
          <w:b/>
          <w:bCs/>
          <w:kern w:val="0"/>
          <w:sz w:val="44"/>
          <w:szCs w:val="44"/>
          <w:shd w:val="clear" w:fill="FFFFFF"/>
          <w:lang w:val="en-US" w:eastAsia="zh-CN" w:bidi="ar"/>
        </w:rPr>
        <w:t>网合法维权的法律法规条款摘引</w:t>
      </w:r>
    </w:p>
    <w:p>
      <w:pPr>
        <w:pStyle w:val="5"/>
        <w:keepNext w:val="0"/>
        <w:keepLines w:val="0"/>
        <w:widowControl/>
        <w:suppressLineNumbers w:val="0"/>
        <w:spacing w:before="0" w:beforeAutospacing="0" w:after="0" w:afterAutospacing="0"/>
        <w:ind w:left="-150" w:right="-150" w:firstLine="643" w:firstLineChars="200"/>
        <w:rPr>
          <w:rFonts w:hint="eastAsia" w:ascii="宋体" w:hAnsi="宋体" w:eastAsia="宋体" w:cs="宋体"/>
          <w:b/>
          <w:bCs/>
          <w:kern w:val="0"/>
          <w:sz w:val="32"/>
          <w:szCs w:val="32"/>
          <w:shd w:val="clear" w:fill="FFFFFF"/>
          <w:lang w:val="en-US" w:eastAsia="zh-CN" w:bidi="ar"/>
        </w:rPr>
      </w:pPr>
    </w:p>
    <w:p>
      <w:pPr>
        <w:pStyle w:val="5"/>
        <w:keepNext w:val="0"/>
        <w:keepLines w:val="0"/>
        <w:widowControl/>
        <w:suppressLineNumbers w:val="0"/>
        <w:spacing w:before="0" w:beforeAutospacing="0" w:after="0" w:afterAutospacing="0"/>
        <w:ind w:left="-150" w:right="-150" w:firstLine="643" w:firstLineChars="200"/>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32"/>
          <w:szCs w:val="32"/>
          <w:shd w:val="clear" w:fill="FFFFFF"/>
          <w:lang w:val="en-US" w:eastAsia="zh-CN" w:bidi="ar"/>
        </w:rPr>
        <w:t>一．出借人与团贷网签订的各种合同的合法性法律依据</w:t>
      </w:r>
    </w:p>
    <w:p>
      <w:pPr>
        <w:pStyle w:val="5"/>
        <w:keepNext w:val="0"/>
        <w:keepLines w:val="0"/>
        <w:widowControl/>
        <w:suppressLineNumbers w:val="0"/>
        <w:spacing w:before="0" w:beforeAutospacing="0" w:after="0" w:afterAutospacing="0"/>
        <w:ind w:right="-150" w:firstLine="562" w:firstLineChars="200"/>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1、1999年 全国人民代表大会发布的《中华人民共和国合同法》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150" w:firstLine="562" w:firstLineChars="200"/>
        <w:jc w:val="left"/>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2、2015年4月24日人大委员会发布的《</w:t>
      </w:r>
      <w:r>
        <w:rPr>
          <w:rFonts w:ascii="宋体" w:hAnsi="宋体" w:eastAsia="宋体" w:cs="宋体"/>
          <w:b/>
          <w:bCs/>
          <w:kern w:val="0"/>
          <w:sz w:val="28"/>
          <w:szCs w:val="28"/>
          <w:shd w:val="clear" w:fill="FFFFFF"/>
          <w:lang w:val="en-US" w:eastAsia="zh-CN" w:bidi="ar"/>
        </w:rPr>
        <w:t>中华人民共和国电子签名法</w:t>
      </w:r>
      <w:r>
        <w:rPr>
          <w:rFonts w:hint="eastAsia" w:ascii="宋体" w:hAnsi="宋体" w:eastAsia="宋体" w:cs="宋体"/>
          <w:b/>
          <w:bCs/>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150" w:firstLine="562" w:firstLineChars="200"/>
        <w:jc w:val="left"/>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 xml:space="preserve">3、2015.8.6 </w:t>
      </w:r>
      <w:r>
        <w:rPr>
          <w:rFonts w:ascii="宋体" w:hAnsi="宋体" w:eastAsia="宋体" w:cs="宋体"/>
          <w:b/>
          <w:bCs/>
          <w:kern w:val="0"/>
          <w:sz w:val="28"/>
          <w:szCs w:val="28"/>
          <w:shd w:val="clear" w:fill="FFFFFF"/>
          <w:lang w:val="en-US" w:eastAsia="zh-CN" w:bidi="ar"/>
        </w:rPr>
        <w:t>最高人民法院</w:t>
      </w:r>
      <w:r>
        <w:rPr>
          <w:rFonts w:hint="eastAsia" w:ascii="宋体" w:hAnsi="宋体" w:eastAsia="宋体" w:cs="宋体"/>
          <w:b/>
          <w:bCs/>
          <w:kern w:val="0"/>
          <w:sz w:val="28"/>
          <w:szCs w:val="28"/>
          <w:shd w:val="clear" w:fill="FFFFFF"/>
          <w:lang w:val="en-US" w:eastAsia="zh-CN" w:bidi="ar"/>
        </w:rPr>
        <w:t>《</w:t>
      </w:r>
      <w:r>
        <w:rPr>
          <w:rFonts w:ascii="宋体" w:hAnsi="宋体" w:eastAsia="宋体" w:cs="宋体"/>
          <w:b/>
          <w:bCs/>
          <w:kern w:val="0"/>
          <w:sz w:val="28"/>
          <w:szCs w:val="28"/>
          <w:shd w:val="clear" w:fill="FFFFFF"/>
          <w:lang w:val="en-US" w:eastAsia="zh-CN" w:bidi="ar"/>
        </w:rPr>
        <w:t>关于审理民间借贷案件适用法律若干问题的规</w:t>
      </w:r>
      <w:r>
        <w:rPr>
          <w:rFonts w:hint="eastAsia" w:ascii="宋体" w:hAnsi="宋体" w:eastAsia="宋体" w:cs="宋体"/>
          <w:b/>
          <w:bCs/>
          <w:kern w:val="0"/>
          <w:sz w:val="28"/>
          <w:szCs w:val="28"/>
          <w:shd w:val="clear" w:fill="FFFFFF"/>
          <w:lang w:val="en-US" w:eastAsia="zh-CN" w:bidi="ar"/>
        </w:rPr>
        <w:t>定》</w:t>
      </w:r>
    </w:p>
    <w:p>
      <w:pPr>
        <w:keepNext w:val="0"/>
        <w:keepLines w:val="0"/>
        <w:widowControl/>
        <w:numPr>
          <w:ilvl w:val="0"/>
          <w:numId w:val="0"/>
        </w:numPr>
        <w:suppressLineNumbers w:val="0"/>
        <w:spacing w:before="0" w:beforeAutospacing="1" w:after="0" w:afterAutospacing="1"/>
        <w:ind w:left="360" w:leftChars="0" w:firstLine="281" w:firstLineChars="100"/>
        <w:rPr>
          <w:b/>
          <w:bCs/>
          <w:color w:val="FF0000"/>
          <w:sz w:val="28"/>
          <w:szCs w:val="28"/>
          <w:highlight w:val="none"/>
          <w:shd w:val="clear" w:fill="FFFFFF"/>
        </w:rPr>
      </w:pPr>
      <w:r>
        <w:rPr>
          <w:rFonts w:hint="eastAsia"/>
          <w:b/>
          <w:bCs/>
          <w:color w:val="FF0000"/>
          <w:sz w:val="28"/>
          <w:szCs w:val="28"/>
          <w:highlight w:val="none"/>
          <w:shd w:val="clear" w:color="auto" w:fill="auto"/>
          <w:lang w:val="en-US" w:eastAsia="zh-CN"/>
        </w:rPr>
        <w:t>（一）、</w:t>
      </w:r>
      <w:r>
        <w:rPr>
          <w:b/>
          <w:bCs/>
          <w:color w:val="FF0000"/>
          <w:sz w:val="28"/>
          <w:szCs w:val="28"/>
          <w:highlight w:val="none"/>
          <w:shd w:val="clear" w:color="auto" w:fill="auto"/>
        </w:rPr>
        <w:t>关于团贷网平台提供居间撮合服务的合法性</w:t>
      </w:r>
      <w:r>
        <w:rPr>
          <w:b/>
          <w:bCs/>
          <w:color w:val="FF0000"/>
          <w:sz w:val="28"/>
          <w:szCs w:val="28"/>
          <w:highlight w:val="none"/>
          <w:shd w:val="clear" w:fill="FFFFFF"/>
        </w:rPr>
        <w:t xml:space="preserve"> </w:t>
      </w:r>
    </w:p>
    <w:p>
      <w:pPr>
        <w:pStyle w:val="5"/>
        <w:keepNext w:val="0"/>
        <w:keepLines w:val="0"/>
        <w:widowControl/>
        <w:suppressLineNumbers w:val="0"/>
        <w:ind w:firstLine="560" w:firstLineChars="200"/>
        <w:rPr>
          <w:sz w:val="28"/>
          <w:szCs w:val="28"/>
          <w:u w:val="single"/>
        </w:rPr>
      </w:pPr>
      <w:r>
        <w:rPr>
          <w:rFonts w:hint="eastAsia"/>
          <w:sz w:val="28"/>
          <w:szCs w:val="28"/>
          <w:shd w:val="clear" w:fill="FFFFFF"/>
          <w:lang w:eastAsia="zh-CN"/>
        </w:rPr>
        <w:t>依据《合同法》</w:t>
      </w:r>
      <w:r>
        <w:rPr>
          <w:sz w:val="28"/>
          <w:szCs w:val="28"/>
          <w:shd w:val="clear" w:fill="FFFFFF"/>
        </w:rPr>
        <w:t>第424条规定的“</w:t>
      </w:r>
      <w:r>
        <w:rPr>
          <w:sz w:val="28"/>
          <w:szCs w:val="28"/>
          <w:u w:val="single"/>
          <w:shd w:val="clear" w:fill="FFFFFF"/>
        </w:rPr>
        <w:t>居间合同是居间人向委托人报告订立合同的机会或者提供订立合同的媒介服务，委托人支付报酬的合同”。团贷网平台作为合法设立的中介服务机构，为民间借贷提供撮合服务，使借贷双方形成借贷关系并收取相关报酬的居间服务有着明确的法律基础。</w:t>
      </w:r>
    </w:p>
    <w:p>
      <w:pPr>
        <w:keepNext w:val="0"/>
        <w:keepLines w:val="0"/>
        <w:widowControl/>
        <w:numPr>
          <w:ilvl w:val="0"/>
          <w:numId w:val="0"/>
        </w:numPr>
        <w:suppressLineNumbers w:val="0"/>
        <w:spacing w:before="0" w:beforeAutospacing="1" w:after="0" w:afterAutospacing="1"/>
        <w:ind w:firstLine="562" w:firstLineChars="200"/>
        <w:rPr>
          <w:b/>
          <w:bCs/>
          <w:color w:val="FF0000"/>
          <w:sz w:val="28"/>
          <w:szCs w:val="28"/>
        </w:rPr>
      </w:pPr>
      <w:r>
        <w:rPr>
          <w:rFonts w:hint="eastAsia"/>
          <w:b/>
          <w:bCs/>
          <w:color w:val="FF0000"/>
          <w:sz w:val="28"/>
          <w:szCs w:val="28"/>
          <w:shd w:val="clear" w:fill="FFFFFF"/>
          <w:lang w:val="en-US" w:eastAsia="zh-CN"/>
        </w:rPr>
        <w:t>（二）、</w:t>
      </w:r>
      <w:r>
        <w:rPr>
          <w:b/>
          <w:bCs/>
          <w:color w:val="FF0000"/>
          <w:sz w:val="28"/>
          <w:szCs w:val="28"/>
          <w:shd w:val="clear" w:fill="FFFFFF"/>
        </w:rPr>
        <w:t xml:space="preserve">关于出借人及借款人双方民间借贷关系的合法性 </w:t>
      </w:r>
    </w:p>
    <w:p>
      <w:pPr>
        <w:pStyle w:val="5"/>
        <w:keepNext w:val="0"/>
        <w:keepLines w:val="0"/>
        <w:widowControl/>
        <w:suppressLineNumbers w:val="0"/>
        <w:ind w:firstLine="560" w:firstLineChars="200"/>
        <w:rPr>
          <w:b/>
          <w:bCs/>
          <w:sz w:val="28"/>
          <w:szCs w:val="28"/>
        </w:rPr>
      </w:pPr>
      <w:r>
        <w:rPr>
          <w:rFonts w:hint="eastAsia"/>
          <w:sz w:val="28"/>
          <w:szCs w:val="28"/>
          <w:shd w:val="clear" w:fill="FFFFFF"/>
          <w:lang w:eastAsia="zh-CN"/>
        </w:rPr>
        <w:t>依据</w:t>
      </w:r>
      <w:r>
        <w:rPr>
          <w:sz w:val="28"/>
          <w:szCs w:val="28"/>
          <w:shd w:val="clear" w:fill="FFFFFF"/>
        </w:rPr>
        <w:t>《合同法》第196条：</w:t>
      </w:r>
      <w:r>
        <w:rPr>
          <w:sz w:val="28"/>
          <w:szCs w:val="28"/>
          <w:u w:val="single"/>
          <w:shd w:val="clear" w:fill="FFFFFF"/>
        </w:rPr>
        <w:t>“借款合同是借款人向贷款人借款，到期返还借款并支付利息的合同”。《合同法》允许自然人等普通民事主体之间发生借贷关系，并允许出借方到期可以收回本金和符合法律规定的利息。</w:t>
      </w:r>
    </w:p>
    <w:p>
      <w:pPr>
        <w:keepNext w:val="0"/>
        <w:keepLines w:val="0"/>
        <w:widowControl/>
        <w:numPr>
          <w:ilvl w:val="0"/>
          <w:numId w:val="0"/>
        </w:numPr>
        <w:suppressLineNumbers w:val="0"/>
        <w:spacing w:before="0" w:beforeAutospacing="1" w:after="0" w:afterAutospacing="1"/>
        <w:ind w:firstLine="562" w:firstLineChars="200"/>
        <w:rPr>
          <w:b/>
          <w:bCs/>
          <w:color w:val="FF0000"/>
          <w:sz w:val="28"/>
          <w:szCs w:val="28"/>
        </w:rPr>
      </w:pPr>
      <w:r>
        <w:rPr>
          <w:rFonts w:hint="eastAsia"/>
          <w:b/>
          <w:bCs/>
          <w:color w:val="FF0000"/>
          <w:sz w:val="28"/>
          <w:szCs w:val="28"/>
          <w:shd w:val="clear" w:fill="FFFFFF"/>
          <w:lang w:val="en-US" w:eastAsia="zh-CN"/>
        </w:rPr>
        <w:t>（三）、</w:t>
      </w:r>
      <w:r>
        <w:rPr>
          <w:b/>
          <w:bCs/>
          <w:color w:val="FF0000"/>
          <w:sz w:val="28"/>
          <w:szCs w:val="28"/>
          <w:shd w:val="clear" w:fill="FFFFFF"/>
        </w:rPr>
        <w:t>关于</w:t>
      </w:r>
      <w:r>
        <w:rPr>
          <w:rFonts w:hint="eastAsia"/>
          <w:b/>
          <w:bCs/>
          <w:color w:val="FF0000"/>
          <w:sz w:val="28"/>
          <w:szCs w:val="28"/>
          <w:shd w:val="clear" w:fill="FFFFFF"/>
          <w:lang w:eastAsia="zh-CN"/>
        </w:rPr>
        <w:t>团贷网中借贷双方签署的</w:t>
      </w:r>
      <w:r>
        <w:rPr>
          <w:b/>
          <w:bCs/>
          <w:color w:val="FF0000"/>
          <w:sz w:val="28"/>
          <w:szCs w:val="28"/>
          <w:shd w:val="clear" w:fill="FFFFFF"/>
        </w:rPr>
        <w:t xml:space="preserve">电子合同的合法性 </w:t>
      </w:r>
    </w:p>
    <w:p>
      <w:pPr>
        <w:pStyle w:val="5"/>
        <w:keepNext w:val="0"/>
        <w:keepLines w:val="0"/>
        <w:widowControl/>
        <w:suppressLineNumbers w:val="0"/>
        <w:ind w:firstLine="280" w:firstLineChars="100"/>
        <w:rPr>
          <w:sz w:val="28"/>
          <w:szCs w:val="28"/>
          <w:u w:val="single"/>
        </w:rPr>
      </w:pPr>
      <w:r>
        <w:rPr>
          <w:rFonts w:hint="eastAsia"/>
          <w:sz w:val="28"/>
          <w:szCs w:val="28"/>
          <w:shd w:val="clear" w:fill="FFFFFF"/>
          <w:lang w:eastAsia="zh-CN"/>
        </w:rPr>
        <w:t>依据</w:t>
      </w:r>
      <w:r>
        <w:rPr>
          <w:sz w:val="28"/>
          <w:szCs w:val="28"/>
          <w:shd w:val="clear" w:fill="FFFFFF"/>
        </w:rPr>
        <w:t>《电子签名法》</w:t>
      </w:r>
      <w:r>
        <w:rPr>
          <w:rFonts w:hint="eastAsia"/>
          <w:sz w:val="28"/>
          <w:szCs w:val="28"/>
          <w:shd w:val="clear" w:fill="FFFFFF"/>
          <w:lang w:eastAsia="zh-CN"/>
        </w:rPr>
        <w:t>第三条</w:t>
      </w:r>
      <w:r>
        <w:rPr>
          <w:sz w:val="28"/>
          <w:szCs w:val="28"/>
          <w:shd w:val="clear" w:fill="FFFFFF"/>
        </w:rPr>
        <w:t>的规定，</w:t>
      </w:r>
      <w:r>
        <w:rPr>
          <w:sz w:val="28"/>
          <w:szCs w:val="28"/>
          <w:u w:val="single"/>
          <w:shd w:val="clear" w:fill="FFFFFF"/>
        </w:rPr>
        <w:t>当事人可以采用合同书、信件和数据电文（包括电报、电传、传真、电子数据交换和电子邮件）等形式订立合同，并通过以电子形式所含、所附用于识别签名人身份并表明签名人认可其中内容的数据电文等电子签名方式进行签署，当事人不能仅因合同采用电子签名、数据电文的形式就否定其法律效力。</w:t>
      </w:r>
    </w:p>
    <w:p>
      <w:pPr>
        <w:keepNext w:val="0"/>
        <w:keepLines w:val="0"/>
        <w:widowControl/>
        <w:numPr>
          <w:ilvl w:val="0"/>
          <w:numId w:val="0"/>
        </w:numPr>
        <w:suppressLineNumbers w:val="0"/>
        <w:spacing w:before="0" w:beforeAutospacing="1" w:after="0" w:afterAutospacing="1"/>
        <w:ind w:firstLine="562" w:firstLineChars="200"/>
        <w:rPr>
          <w:b/>
          <w:bCs/>
          <w:color w:val="FF0000"/>
          <w:sz w:val="28"/>
          <w:szCs w:val="28"/>
        </w:rPr>
      </w:pPr>
      <w:r>
        <w:rPr>
          <w:rFonts w:hint="eastAsia"/>
          <w:b/>
          <w:bCs/>
          <w:color w:val="FF0000"/>
          <w:sz w:val="28"/>
          <w:szCs w:val="28"/>
          <w:shd w:val="clear" w:fill="FFFFFF"/>
          <w:lang w:val="en-US" w:eastAsia="zh-CN"/>
        </w:rPr>
        <w:t>（四）、</w:t>
      </w:r>
      <w:r>
        <w:rPr>
          <w:b/>
          <w:bCs/>
          <w:color w:val="FF0000"/>
          <w:sz w:val="28"/>
          <w:szCs w:val="28"/>
          <w:shd w:val="clear" w:fill="FFFFFF"/>
        </w:rPr>
        <w:t xml:space="preserve">关于出借人通过团贷网平台获得的出借理财收益合法性 </w:t>
      </w:r>
    </w:p>
    <w:p>
      <w:pPr>
        <w:keepNext w:val="0"/>
        <w:keepLines w:val="0"/>
        <w:widowControl/>
        <w:numPr>
          <w:ilvl w:val="0"/>
          <w:numId w:val="0"/>
        </w:numPr>
        <w:suppressLineNumbers w:val="0"/>
        <w:spacing w:before="0" w:beforeAutospacing="1" w:after="0" w:afterAutospacing="1"/>
        <w:ind w:firstLine="560" w:firstLineChars="200"/>
        <w:rPr>
          <w:sz w:val="28"/>
          <w:szCs w:val="28"/>
          <w:shd w:val="clear" w:fill="FFFFFF"/>
        </w:rPr>
      </w:pPr>
      <w:r>
        <w:rPr>
          <w:rFonts w:hint="eastAsia"/>
          <w:color w:val="000000" w:themeColor="text1"/>
          <w:sz w:val="28"/>
          <w:szCs w:val="28"/>
          <w:u w:val="none"/>
          <w:shd w:val="clear" w:fill="FFFFFF"/>
          <w:lang w:eastAsia="zh-CN"/>
          <w14:textFill>
            <w14:solidFill>
              <w14:schemeClr w14:val="tx1"/>
            </w14:solidFill>
          </w14:textFill>
        </w:rPr>
        <w:t>依据</w:t>
      </w:r>
      <w:r>
        <w:rPr>
          <w:rFonts w:hint="eastAsia" w:ascii="宋体" w:hAnsi="宋体" w:eastAsia="宋体" w:cs="宋体"/>
          <w:b w:val="0"/>
          <w:bCs w:val="0"/>
          <w:kern w:val="0"/>
          <w:sz w:val="28"/>
          <w:szCs w:val="28"/>
          <w:shd w:val="clear" w:fill="FFFFFF"/>
          <w:lang w:val="en-US" w:eastAsia="zh-CN" w:bidi="ar"/>
        </w:rPr>
        <w:t>《</w:t>
      </w:r>
      <w:r>
        <w:rPr>
          <w:rFonts w:ascii="宋体" w:hAnsi="宋体" w:eastAsia="宋体" w:cs="宋体"/>
          <w:b w:val="0"/>
          <w:bCs w:val="0"/>
          <w:kern w:val="0"/>
          <w:sz w:val="28"/>
          <w:szCs w:val="28"/>
          <w:shd w:val="clear" w:fill="FFFFFF"/>
          <w:lang w:val="en-US" w:eastAsia="zh-CN" w:bidi="ar"/>
        </w:rPr>
        <w:t>关于审理民间借贷案件适用法律若干问题的规</w:t>
      </w:r>
      <w:r>
        <w:rPr>
          <w:rFonts w:hint="eastAsia" w:ascii="宋体" w:hAnsi="宋体" w:eastAsia="宋体" w:cs="宋体"/>
          <w:b w:val="0"/>
          <w:bCs w:val="0"/>
          <w:kern w:val="0"/>
          <w:sz w:val="28"/>
          <w:szCs w:val="28"/>
          <w:shd w:val="clear" w:fill="FFFFFF"/>
          <w:lang w:val="en-US" w:eastAsia="zh-CN" w:bidi="ar"/>
        </w:rPr>
        <w:t>定》第</w:t>
      </w:r>
      <w:r>
        <w:rPr>
          <w:color w:val="000000" w:themeColor="text1"/>
          <w:sz w:val="28"/>
          <w:szCs w:val="28"/>
          <w:u w:val="single"/>
          <w:shd w:val="clear" w:fill="FFFFFF"/>
          <w14:textFill>
            <w14:solidFill>
              <w14:schemeClr w14:val="tx1"/>
            </w14:solidFill>
          </w14:textFill>
        </w:rPr>
        <w:t>二十六条 借贷双方约定的利率未超过年利率24%，出借人请求借款人按照约定的利率支付利息的，人民法院应予支持。</w:t>
      </w:r>
      <w:r>
        <w:rPr>
          <w:sz w:val="28"/>
          <w:szCs w:val="28"/>
          <w:shd w:val="clear" w:fill="FFFFFF"/>
        </w:rPr>
        <w:t>团贷网的出借</w:t>
      </w:r>
      <w:r>
        <w:rPr>
          <w:rFonts w:hint="eastAsia"/>
          <w:sz w:val="28"/>
          <w:szCs w:val="28"/>
          <w:shd w:val="clear" w:fill="FFFFFF"/>
          <w:lang w:eastAsia="zh-CN"/>
        </w:rPr>
        <w:t>合同约定</w:t>
      </w:r>
      <w:r>
        <w:rPr>
          <w:sz w:val="28"/>
          <w:szCs w:val="28"/>
          <w:shd w:val="clear" w:fill="FFFFFF"/>
        </w:rPr>
        <w:t>收益未超过24%，为合法利息收益，</w:t>
      </w:r>
      <w:r>
        <w:rPr>
          <w:rFonts w:hint="eastAsia"/>
          <w:sz w:val="28"/>
          <w:szCs w:val="28"/>
          <w:shd w:val="clear" w:fill="FFFFFF"/>
          <w:lang w:eastAsia="zh-CN"/>
        </w:rPr>
        <w:t>应</w:t>
      </w:r>
      <w:r>
        <w:rPr>
          <w:sz w:val="28"/>
          <w:szCs w:val="28"/>
          <w:shd w:val="clear" w:fill="FFFFFF"/>
        </w:rPr>
        <w:t>受到法律保护。</w:t>
      </w:r>
    </w:p>
    <w:p>
      <w:pPr>
        <w:keepNext w:val="0"/>
        <w:keepLines w:val="0"/>
        <w:widowControl/>
        <w:numPr>
          <w:ilvl w:val="0"/>
          <w:numId w:val="0"/>
        </w:numPr>
        <w:suppressLineNumbers w:val="0"/>
        <w:spacing w:before="0" w:beforeAutospacing="1" w:after="0" w:afterAutospacing="1"/>
        <w:ind w:firstLine="643" w:firstLineChars="200"/>
        <w:rPr>
          <w:rStyle w:val="8"/>
          <w:rFonts w:hint="default" w:ascii="宋体" w:hAnsi="宋体" w:eastAsia="宋体" w:cs="宋体"/>
          <w:color w:val="333333"/>
          <w:sz w:val="32"/>
          <w:szCs w:val="32"/>
          <w:shd w:val="clear" w:color="auto" w:fill="auto"/>
          <w:lang w:val="en-US" w:eastAsia="zh-CN"/>
        </w:rPr>
      </w:pPr>
      <w:r>
        <w:rPr>
          <w:rStyle w:val="8"/>
          <w:rFonts w:hint="eastAsia" w:ascii="宋体" w:hAnsi="宋体" w:eastAsia="宋体" w:cs="宋体"/>
          <w:color w:val="333333"/>
          <w:sz w:val="32"/>
          <w:szCs w:val="32"/>
          <w:shd w:val="clear" w:color="auto" w:fill="auto"/>
          <w:lang w:val="en-US" w:eastAsia="zh-CN"/>
        </w:rPr>
        <w:t>二．国家鼓励发展P2P公司的纲领性文件</w:t>
      </w:r>
    </w:p>
    <w:p>
      <w:pPr>
        <w:keepNext w:val="0"/>
        <w:keepLines w:val="0"/>
        <w:widowControl/>
        <w:numPr>
          <w:ilvl w:val="0"/>
          <w:numId w:val="0"/>
        </w:numPr>
        <w:suppressLineNumbers w:val="0"/>
        <w:spacing w:before="0" w:beforeAutospacing="1" w:after="0" w:afterAutospacing="1"/>
        <w:rPr>
          <w:rStyle w:val="8"/>
          <w:rFonts w:hint="eastAsia" w:ascii="宋体" w:hAnsi="宋体" w:eastAsia="宋体" w:cs="宋体"/>
          <w:color w:val="333333"/>
          <w:sz w:val="28"/>
          <w:szCs w:val="28"/>
          <w:shd w:val="clear" w:color="auto" w:fill="auto"/>
          <w:lang w:eastAsia="zh-CN"/>
        </w:rPr>
      </w:pPr>
      <w:r>
        <w:rPr>
          <w:rStyle w:val="8"/>
          <w:rFonts w:hint="eastAsia" w:ascii="宋体" w:hAnsi="宋体" w:eastAsia="宋体" w:cs="宋体"/>
          <w:color w:val="333333"/>
          <w:sz w:val="28"/>
          <w:szCs w:val="28"/>
          <w:shd w:val="clear" w:color="auto" w:fill="auto"/>
          <w:lang w:val="en-US" w:eastAsia="zh-CN"/>
        </w:rPr>
        <w:t>依据：1、2015年7月4日国务院颁发的《</w:t>
      </w:r>
      <w:r>
        <w:rPr>
          <w:rStyle w:val="8"/>
          <w:rFonts w:hint="eastAsia" w:ascii="宋体" w:hAnsi="宋体" w:eastAsia="宋体" w:cs="宋体"/>
          <w:color w:val="333333"/>
          <w:sz w:val="28"/>
          <w:szCs w:val="28"/>
          <w:shd w:val="clear" w:color="auto" w:fill="auto"/>
        </w:rPr>
        <w:t>国务院关于积极推进“互联网+”行动的指导意见</w:t>
      </w:r>
      <w:r>
        <w:rPr>
          <w:rStyle w:val="8"/>
          <w:rFonts w:hint="eastAsia" w:ascii="宋体" w:hAnsi="宋体" w:eastAsia="宋体" w:cs="宋体"/>
          <w:color w:val="333333"/>
          <w:sz w:val="28"/>
          <w:szCs w:val="28"/>
          <w:shd w:val="clear" w:color="auto" w:fill="auto"/>
          <w:lang w:eastAsia="zh-CN"/>
        </w:rPr>
        <w:t>》</w:t>
      </w:r>
    </w:p>
    <w:p>
      <w:pPr>
        <w:keepNext w:val="0"/>
        <w:keepLines w:val="0"/>
        <w:widowControl/>
        <w:numPr>
          <w:ilvl w:val="0"/>
          <w:numId w:val="0"/>
        </w:numPr>
        <w:suppressLineNumbers w:val="0"/>
        <w:spacing w:before="0" w:beforeAutospacing="1" w:after="0" w:afterAutospacing="1"/>
        <w:ind w:firstLine="560" w:firstLineChars="200"/>
        <w:rPr>
          <w:rStyle w:val="8"/>
          <w:rFonts w:hint="eastAsia" w:asciiTheme="majorEastAsia" w:hAnsiTheme="majorEastAsia" w:eastAsiaTheme="majorEastAsia" w:cstheme="majorEastAsia"/>
          <w:color w:val="333333"/>
          <w:sz w:val="28"/>
          <w:szCs w:val="28"/>
          <w:u w:val="single"/>
          <w:shd w:val="clear" w:color="auto" w:fill="auto"/>
          <w:lang w:eastAsia="zh-CN"/>
        </w:rPr>
      </w:pPr>
      <w:r>
        <w:rPr>
          <w:rFonts w:hint="eastAsia" w:asciiTheme="majorEastAsia" w:hAnsiTheme="majorEastAsia" w:eastAsiaTheme="majorEastAsia" w:cstheme="majorEastAsia"/>
          <w:color w:val="333333"/>
          <w:sz w:val="28"/>
          <w:szCs w:val="28"/>
        </w:rPr>
        <w:t>（五）“互联网+”普惠金融</w:t>
      </w:r>
      <w:r>
        <w:rPr>
          <w:rFonts w:hint="eastAsia" w:asciiTheme="majorEastAsia" w:hAnsiTheme="majorEastAsia" w:eastAsiaTheme="majorEastAsia" w:cstheme="majorEastAsia"/>
          <w:color w:val="333333"/>
          <w:sz w:val="28"/>
          <w:szCs w:val="28"/>
          <w:lang w:eastAsia="zh-CN"/>
        </w:rPr>
        <w:t>中</w:t>
      </w:r>
      <w:r>
        <w:rPr>
          <w:rFonts w:hint="eastAsia" w:asciiTheme="majorEastAsia" w:hAnsiTheme="majorEastAsia" w:eastAsiaTheme="majorEastAsia" w:cstheme="majorEastAsia"/>
          <w:color w:val="333333"/>
          <w:sz w:val="28"/>
          <w:szCs w:val="28"/>
          <w:u w:val="single"/>
        </w:rPr>
        <w:t>3.积极拓展互联网金融服务创新的深度和广度。鼓励互联网企业依法合规提供创新金融产品和服务，更好满足中小微企业、创新型企业和个人的投融资需求。规范发展网络借贷和互联网消费信贷业务，探索互联网金融服务创新。积极引导风险投资基金、私募股权投资基金和产业投资基金投资于互联网金融企业。利用大数据发展市场化个人征信业务，加快网络征信和信用评价体系建设。加强互联网金融消费权益保护和投资者保护，建立多元化金融消费纠纷解决机制。改进和完善互联网金融监管，提高金融服务安全性，有效防范互联网金融风险及其外溢效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jc w:val="left"/>
        <w:rPr>
          <w:rFonts w:ascii="宋体" w:hAnsi="宋体" w:eastAsia="宋体" w:cs="宋体"/>
          <w:kern w:val="0"/>
          <w:sz w:val="24"/>
          <w:szCs w:val="24"/>
          <w:shd w:val="clear" w:fill="FFFFFF"/>
          <w:lang w:val="en-US" w:eastAsia="zh-CN" w:bidi="ar"/>
        </w:rPr>
      </w:pPr>
    </w:p>
    <w:p>
      <w:pPr>
        <w:pStyle w:val="5"/>
        <w:keepNext w:val="0"/>
        <w:keepLines w:val="0"/>
        <w:widowControl/>
        <w:suppressLineNumbers w:val="0"/>
        <w:spacing w:before="0" w:beforeAutospacing="0" w:after="0" w:afterAutospacing="0"/>
        <w:ind w:right="-150" w:firstLine="562" w:firstLineChars="200"/>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2、2015.7.18 中国人民银行等十部委发布《关于促进互联网金融健康发展的指导意见》</w:t>
      </w:r>
    </w:p>
    <w:p>
      <w:pPr>
        <w:pStyle w:val="5"/>
        <w:keepNext w:val="0"/>
        <w:keepLines w:val="0"/>
        <w:widowControl/>
        <w:suppressLineNumbers w:val="0"/>
        <w:spacing w:before="0" w:beforeAutospacing="0" w:after="0" w:afterAutospacing="0"/>
        <w:ind w:right="-150"/>
        <w:rPr>
          <w:rFonts w:hint="eastAsia" w:ascii="宋体" w:hAnsi="宋体" w:eastAsia="宋体" w:cs="宋体"/>
          <w:b/>
          <w:bCs/>
          <w:kern w:val="0"/>
          <w:sz w:val="28"/>
          <w:szCs w:val="28"/>
          <w:u w:val="single"/>
          <w:shd w:val="clear" w:fill="FFFFFF"/>
          <w:lang w:val="en-US" w:eastAsia="zh-CN" w:bidi="ar"/>
        </w:rPr>
      </w:pPr>
      <w:r>
        <w:rPr>
          <w:rFonts w:ascii="宋体" w:hAnsi="宋体" w:eastAsia="宋体" w:cs="宋体"/>
          <w:sz w:val="28"/>
          <w:szCs w:val="28"/>
          <w:u w:val="single"/>
        </w:rPr>
        <w:t>（一）</w:t>
      </w:r>
      <w:r>
        <w:rPr>
          <w:rFonts w:hint="eastAsia" w:ascii="宋体" w:hAnsi="宋体" w:eastAsia="宋体" w:cs="宋体"/>
          <w:sz w:val="28"/>
          <w:szCs w:val="28"/>
          <w:u w:val="single"/>
          <w:lang w:eastAsia="zh-CN"/>
        </w:rPr>
        <w:t>中“</w:t>
      </w:r>
      <w:r>
        <w:rPr>
          <w:rFonts w:ascii="宋体" w:hAnsi="宋体" w:eastAsia="宋体" w:cs="宋体"/>
          <w:sz w:val="28"/>
          <w:szCs w:val="28"/>
          <w:u w:val="single"/>
        </w:rPr>
        <w:t>支持互联网企业依法合规设立互联网支付机构、网络借贷平台、股权众筹融资平台、网络金融产品销售平台，建立服务实体经济的多层次金融服务体系，更好地满足中小微企业和个人投融资需求，进一步拓展普惠金融的广度和深度。鼓励电子商务企业在符合金融法律法规规定的条件下自建和完善线上金融服务体系，有效拓展电商供应链业务。鼓励从业机构积极开展产品、服务、技术和管理创新，提升从业机构核心竞争力。</w:t>
      </w:r>
      <w:r>
        <w:rPr>
          <w:rFonts w:hint="eastAsia" w:ascii="宋体" w:hAnsi="宋体" w:eastAsia="宋体" w:cs="宋体"/>
          <w:sz w:val="28"/>
          <w:szCs w:val="28"/>
          <w:u w:val="single"/>
          <w:lang w:eastAsia="zh-CN"/>
        </w:rPr>
        <w:t>”</w:t>
      </w:r>
    </w:p>
    <w:p>
      <w:pPr>
        <w:pStyle w:val="5"/>
        <w:keepNext w:val="0"/>
        <w:keepLines w:val="0"/>
        <w:widowControl/>
        <w:suppressLineNumbers w:val="0"/>
        <w:spacing w:before="0" w:beforeAutospacing="0" w:after="0" w:afterAutospacing="0"/>
        <w:ind w:left="-150" w:right="-150"/>
        <w:rPr>
          <w:rFonts w:hint="eastAsia" w:ascii="宋体" w:hAnsi="宋体" w:eastAsia="宋体" w:cs="宋体"/>
          <w:color w:val="000000" w:themeColor="text1"/>
          <w:kern w:val="0"/>
          <w:sz w:val="28"/>
          <w:szCs w:val="28"/>
          <w:shd w:val="clear" w:fill="FFFFFF"/>
          <w:lang w:val="en-US" w:eastAsia="zh-CN" w:bidi="ar"/>
          <w14:textFill>
            <w14:solidFill>
              <w14:schemeClr w14:val="tx1"/>
            </w14:solidFill>
          </w14:textFill>
        </w:rPr>
      </w:pPr>
      <w:r>
        <w:rPr>
          <w:rFonts w:hint="eastAsia" w:ascii="宋体" w:hAnsi="宋体" w:eastAsia="宋体" w:cs="宋体"/>
          <w:color w:val="000000" w:themeColor="text1"/>
          <w:sz w:val="28"/>
          <w:szCs w:val="28"/>
          <w:u w:val="single"/>
          <w14:textFill>
            <w14:solidFill>
              <w14:schemeClr w14:val="tx1"/>
            </w14:solidFill>
          </w14:textFill>
        </w:rPr>
        <w:t>（八）网络借贷。网络借贷包括个体网络借贷（即P2P网络借贷）和网络小额贷款。个体网络借贷是指个体和个体之间通过互联网平台实现的直接借贷。在个体网络借贷平台上发生的直接借贷行为属于民间借贷范畴，受合同法、民法通则等法律法规以及最高人民法院相关司法解释规范。</w:t>
      </w:r>
    </w:p>
    <w:p>
      <w:pPr>
        <w:pStyle w:val="5"/>
        <w:keepNext w:val="0"/>
        <w:keepLines w:val="0"/>
        <w:widowControl/>
        <w:suppressLineNumbers w:val="0"/>
        <w:spacing w:before="0" w:beforeAutospacing="0" w:after="0" w:afterAutospacing="0"/>
        <w:ind w:left="-150" w:right="-150" w:firstLine="480"/>
        <w:rPr>
          <w:rFonts w:hint="default" w:eastAsiaTheme="minorEastAsia"/>
          <w:b/>
          <w:bCs/>
          <w:sz w:val="32"/>
          <w:szCs w:val="32"/>
          <w:u w:val="none"/>
          <w:shd w:val="clear" w:fill="FFFFFF"/>
          <w:lang w:val="en-US" w:eastAsia="zh-CN"/>
        </w:rPr>
      </w:pPr>
      <w:r>
        <w:rPr>
          <w:rFonts w:hint="eastAsia"/>
          <w:b/>
          <w:bCs/>
          <w:sz w:val="32"/>
          <w:szCs w:val="32"/>
          <w:u w:val="none"/>
          <w:shd w:val="clear" w:fill="FFFFFF"/>
          <w:lang w:eastAsia="zh-CN"/>
        </w:rPr>
        <w:t>三、国家对</w:t>
      </w:r>
      <w:r>
        <w:rPr>
          <w:rFonts w:hint="eastAsia"/>
          <w:b/>
          <w:bCs/>
          <w:sz w:val="32"/>
          <w:szCs w:val="32"/>
          <w:u w:val="none"/>
          <w:shd w:val="clear" w:fill="FFFFFF"/>
          <w:lang w:val="en-US" w:eastAsia="zh-CN"/>
        </w:rPr>
        <w:t>P2P公司的管理性文件</w:t>
      </w:r>
    </w:p>
    <w:p>
      <w:pPr>
        <w:pStyle w:val="5"/>
        <w:keepNext w:val="0"/>
        <w:keepLines w:val="0"/>
        <w:widowControl/>
        <w:suppressLineNumbers w:val="0"/>
        <w:spacing w:before="0" w:beforeAutospacing="0" w:after="0" w:afterAutospacing="0"/>
        <w:ind w:left="-150" w:right="-150" w:firstLine="480"/>
        <w:rPr>
          <w:rFonts w:hint="eastAsia"/>
          <w:b/>
          <w:bCs/>
          <w:sz w:val="28"/>
          <w:szCs w:val="28"/>
          <w:u w:val="none"/>
          <w:shd w:val="clear" w:fill="FFFFFF"/>
          <w:lang w:val="en-US" w:eastAsia="zh-CN"/>
        </w:rPr>
      </w:pPr>
      <w:r>
        <w:rPr>
          <w:rFonts w:hint="eastAsia"/>
          <w:b/>
          <w:bCs/>
          <w:sz w:val="28"/>
          <w:szCs w:val="28"/>
          <w:u w:val="none"/>
          <w:shd w:val="clear" w:fill="FFFFFF"/>
          <w:lang w:val="en-US" w:eastAsia="zh-CN"/>
        </w:rPr>
        <w:t>2018.8.17 银监会《网络借贷信息中介机构业务活动管理暂行办法》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pPr>
      <w:r>
        <w:rPr>
          <w:rFonts w:hint="eastAsia" w:ascii="Arial" w:hAnsi="Arial" w:eastAsia="宋体" w:cs="Arial"/>
          <w:b/>
          <w:color w:val="333333"/>
          <w:kern w:val="0"/>
          <w:sz w:val="28"/>
          <w:szCs w:val="28"/>
          <w:shd w:val="clear" w:fill="FFFFFF"/>
          <w:lang w:val="en-US" w:eastAsia="zh-CN" w:bidi="ar"/>
        </w:rPr>
        <w:t xml:space="preserve"> </w:t>
      </w:r>
      <w:r>
        <w:rPr>
          <w:rFonts w:hint="default" w:ascii="Arial" w:hAnsi="Arial" w:eastAsia="宋体" w:cs="Arial"/>
          <w:color w:val="333333"/>
          <w:kern w:val="0"/>
          <w:sz w:val="28"/>
          <w:szCs w:val="28"/>
          <w:shd w:val="clear" w:fill="FFFFFF"/>
          <w:lang w:val="en-US" w:eastAsia="zh-CN" w:bidi="ar"/>
        </w:rPr>
        <w:t>第一条　</w:t>
      </w:r>
      <w:r>
        <w:rPr>
          <w:rFonts w:hint="default" w:ascii="Arial" w:hAnsi="Arial" w:eastAsia="宋体" w:cs="Arial"/>
          <w:color w:val="333333"/>
          <w:kern w:val="0"/>
          <w:sz w:val="28"/>
          <w:szCs w:val="28"/>
          <w:u w:val="single"/>
          <w:shd w:val="clear" w:fill="FFFFFF"/>
          <w:lang w:val="en-US" w:eastAsia="zh-CN" w:bidi="ar"/>
        </w:rPr>
        <w:t>为规范网络借贷信息中介机构业务活动，保护出借人、借款人、网络借贷信息中介机构及相关当事人合法权益，促进网络借贷行业健康发展，更好满足中小微企业和个人投融资需</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t>求，根据《</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begin"/>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instrText xml:space="preserve"> HYPERLINK "https://baike.baidu.com/item/%E5%85%B3%E4%BA%8E%E4%BF%83%E8%BF%9B%E4%BA%92%E8%81%94%E7%BD%91%E9%87%91%E8%9E%8D%E5%81%A5%E5%BA%B7%E5%8F%91%E5%B1%95%E7%9A%84%E6%8C%87%E5%AF%BC%E6%84%8F%E8%A7%81" \t "https://baike.baidu.com/item/%E7%BD%91%E7%BB%9C%E5%80%9F%E8%B4%B7%E4%BF%A1%E6%81%AF%E4%B8%AD%E4%BB%8B%E6%9C%BA%E6%9E%84%E4%B8%9A%E5%8A%A1%E6%B4%BB%E5%8A%A8%E7%AE%A1%E7%90%86%E6%9A%82%E8%A1%8C%E5%8A%9E%E6%B3%95/_blank" </w:instrTex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separate"/>
      </w:r>
      <w:r>
        <w:rPr>
          <w:rStyle w:val="13"/>
          <w:rFonts w:hint="default" w:ascii="Arial" w:hAnsi="Arial" w:eastAsia="宋体" w:cs="Arial"/>
          <w:color w:val="000000" w:themeColor="text1"/>
          <w:sz w:val="28"/>
          <w:szCs w:val="28"/>
          <w:u w:val="single"/>
          <w:shd w:val="clear" w:fill="FFFFFF"/>
          <w14:textFill>
            <w14:solidFill>
              <w14:schemeClr w14:val="tx1"/>
            </w14:solidFill>
          </w14:textFill>
        </w:rPr>
        <w:t>关于促进互联网金融健康发展的指导意见</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end"/>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t>》提出的总体要求和监管原则，依据《</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begin"/>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instrText xml:space="preserve"> HYPERLINK "https://baike.baidu.com/item/%E4%B8%AD%E5%8D%8E%E4%BA%BA%E6%B0%91%E5%85%B1%E5%92%8C%E5%9B%BD%E6%B0%91%E6%B3%95%E9%80%9A%E5%88%99" \t "https://baike.baidu.com/item/%E7%BD%91%E7%BB%9C%E5%80%9F%E8%B4%B7%E4%BF%A1%E6%81%AF%E4%B8%AD%E4%BB%8B%E6%9C%BA%E6%9E%84%E4%B8%9A%E5%8A%A1%E6%B4%BB%E5%8A%A8%E7%AE%A1%E7%90%86%E6%9A%82%E8%A1%8C%E5%8A%9E%E6%B3%95/_blank" </w:instrTex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separate"/>
      </w:r>
      <w:r>
        <w:rPr>
          <w:rStyle w:val="13"/>
          <w:rFonts w:hint="default" w:ascii="Arial" w:hAnsi="Arial" w:eastAsia="宋体" w:cs="Arial"/>
          <w:color w:val="000000" w:themeColor="text1"/>
          <w:sz w:val="28"/>
          <w:szCs w:val="28"/>
          <w:u w:val="single"/>
          <w:shd w:val="clear" w:fill="FFFFFF"/>
          <w14:textFill>
            <w14:solidFill>
              <w14:schemeClr w14:val="tx1"/>
            </w14:solidFill>
          </w14:textFill>
        </w:rPr>
        <w:t>中华人民共和国民法通则</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end"/>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t>》、《</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begin"/>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instrText xml:space="preserve"> HYPERLINK "https://baike.baidu.com/item/%E4%B8%AD%E5%8D%8E%E4%BA%BA%E6%B0%91%E5%85%B1%E5%92%8C%E5%9B%BD%E5%85%AC%E5%8F%B8%E6%B3%95" \t "https://baike.baidu.com/item/%E7%BD%91%E7%BB%9C%E5%80%9F%E8%B4%B7%E4%BF%A1%E6%81%AF%E4%B8%AD%E4%BB%8B%E6%9C%BA%E6%9E%84%E4%B8%9A%E5%8A%A1%E6%B4%BB%E5%8A%A8%E7%AE%A1%E7%90%86%E6%9A%82%E8%A1%8C%E5%8A%9E%E6%B3%95/_blank" </w:instrTex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separate"/>
      </w:r>
      <w:r>
        <w:rPr>
          <w:rStyle w:val="13"/>
          <w:rFonts w:hint="default" w:ascii="Arial" w:hAnsi="Arial" w:eastAsia="宋体" w:cs="Arial"/>
          <w:color w:val="000000" w:themeColor="text1"/>
          <w:sz w:val="28"/>
          <w:szCs w:val="28"/>
          <w:u w:val="single"/>
          <w:shd w:val="clear" w:fill="FFFFFF"/>
          <w14:textFill>
            <w14:solidFill>
              <w14:schemeClr w14:val="tx1"/>
            </w14:solidFill>
          </w14:textFill>
        </w:rPr>
        <w:t>中华人民共和国公司法</w:t>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fldChar w:fldCharType="end"/>
      </w:r>
      <w:r>
        <w:rPr>
          <w:rFonts w:hint="default" w:ascii="Arial" w:hAnsi="Arial" w:eastAsia="宋体" w:cs="Arial"/>
          <w:color w:val="000000" w:themeColor="text1"/>
          <w:kern w:val="0"/>
          <w:sz w:val="28"/>
          <w:szCs w:val="28"/>
          <w:u w:val="single"/>
          <w:shd w:val="clear" w:fill="FFFFFF"/>
          <w:lang w:val="en-US" w:eastAsia="zh-CN" w:bidi="ar"/>
          <w14:textFill>
            <w14:solidFill>
              <w14:schemeClr w14:val="tx1"/>
            </w14:solidFill>
          </w14:textFill>
        </w:rPr>
        <w:t>》、《中华人民共和国合同法》等法律法规，制定本办法。</w:t>
      </w:r>
    </w:p>
    <w:p>
      <w:pPr>
        <w:pStyle w:val="4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jc w:val="both"/>
        <w:rPr>
          <w:rFonts w:hint="eastAsia" w:asciiTheme="majorEastAsia" w:hAnsiTheme="majorEastAsia" w:eastAsiaTheme="majorEastAsia" w:cstheme="majorEastAsia"/>
          <w:b w:val="0"/>
          <w:i w:val="0"/>
          <w:caps w:val="0"/>
          <w:color w:val="000000"/>
          <w:spacing w:val="0"/>
          <w:sz w:val="28"/>
          <w:szCs w:val="28"/>
          <w:u w:val="single"/>
        </w:rPr>
      </w:pPr>
      <w:r>
        <w:rPr>
          <w:rFonts w:hint="default" w:ascii="仿宋_GB2312" w:eastAsia="仿宋_GB2312" w:cs="仿宋_GB2312"/>
          <w:b/>
          <w:i w:val="0"/>
          <w:caps w:val="0"/>
          <w:color w:val="000000"/>
          <w:spacing w:val="0"/>
          <w:sz w:val="30"/>
          <w:szCs w:val="30"/>
        </w:rPr>
        <w:t>第二十四条</w:t>
      </w:r>
      <w:r>
        <w:rPr>
          <w:rFonts w:hint="default" w:ascii="仿宋_GB2312" w:eastAsia="仿宋_GB2312" w:cs="仿宋_GB2312"/>
          <w:b w:val="0"/>
          <w:i w:val="0"/>
          <w:caps w:val="0"/>
          <w:color w:val="000000"/>
          <w:spacing w:val="0"/>
          <w:sz w:val="30"/>
          <w:szCs w:val="30"/>
        </w:rPr>
        <w:t xml:space="preserve"> </w:t>
      </w:r>
      <w:r>
        <w:rPr>
          <w:rFonts w:hint="eastAsia" w:asciiTheme="majorEastAsia" w:hAnsiTheme="majorEastAsia" w:eastAsiaTheme="majorEastAsia" w:cstheme="majorEastAsia"/>
          <w:b w:val="0"/>
          <w:i w:val="0"/>
          <w:caps w:val="0"/>
          <w:color w:val="000000"/>
          <w:spacing w:val="0"/>
          <w:sz w:val="28"/>
          <w:szCs w:val="28"/>
          <w:u w:val="single"/>
        </w:rPr>
        <w:t>网络借贷信息中介机构暂停、终止业务时应当至少提前10个工作日通过官方网站等有效渠道向出借人与借款人公告，并通过移动电话、固定电话等渠道通知出借人与借款人。网络借贷信息中介机构业务暂停或者终止，不影响已经签订的借贷合同当事人有关权利义务。</w:t>
      </w:r>
    </w:p>
    <w:p>
      <w:pPr>
        <w:pStyle w:val="4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jc w:val="both"/>
        <w:rPr>
          <w:rFonts w:hint="eastAsia" w:asciiTheme="majorEastAsia" w:hAnsiTheme="majorEastAsia" w:eastAsiaTheme="majorEastAsia" w:cstheme="majorEastAsia"/>
          <w:b w:val="0"/>
          <w:i w:val="0"/>
          <w:caps w:val="0"/>
          <w:color w:val="000000"/>
          <w:spacing w:val="0"/>
          <w:sz w:val="28"/>
          <w:szCs w:val="28"/>
          <w:u w:val="single"/>
        </w:rPr>
      </w:pPr>
      <w:r>
        <w:rPr>
          <w:rFonts w:hint="eastAsia" w:asciiTheme="majorEastAsia" w:hAnsiTheme="majorEastAsia" w:eastAsiaTheme="majorEastAsia" w:cstheme="majorEastAsia"/>
          <w:b w:val="0"/>
          <w:i w:val="0"/>
          <w:caps w:val="0"/>
          <w:color w:val="000000"/>
          <w:spacing w:val="0"/>
          <w:sz w:val="28"/>
          <w:szCs w:val="28"/>
          <w:u w:val="single"/>
        </w:rPr>
        <w:t>网络借贷信息中介机构因解散或宣告破产而终止的，应当在解散或破产前，妥善处理已撮合存续的借贷业务，清算事宜按照有关法律法规的规定办理。</w:t>
      </w:r>
    </w:p>
    <w:p>
      <w:pPr>
        <w:pStyle w:val="4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jc w:val="both"/>
        <w:rPr>
          <w:u w:val="single"/>
        </w:rPr>
      </w:pPr>
      <w:r>
        <w:rPr>
          <w:rFonts w:hint="eastAsia" w:asciiTheme="majorEastAsia" w:hAnsiTheme="majorEastAsia" w:eastAsiaTheme="majorEastAsia" w:cstheme="majorEastAsia"/>
          <w:b w:val="0"/>
          <w:i w:val="0"/>
          <w:caps w:val="0"/>
          <w:color w:val="000000"/>
          <w:spacing w:val="0"/>
          <w:sz w:val="28"/>
          <w:szCs w:val="28"/>
          <w:u w:val="single"/>
        </w:rPr>
        <w:t>网络借贷信息中介机构清算时，出借人与借款人的资金分别属于出借人与借款人，不属于网络借贷信息中</w:t>
      </w:r>
      <w:r>
        <w:rPr>
          <w:rFonts w:hint="default" w:ascii="仿宋_GB2312" w:eastAsia="仿宋_GB2312" w:cs="仿宋_GB2312"/>
          <w:b w:val="0"/>
          <w:i w:val="0"/>
          <w:caps w:val="0"/>
          <w:color w:val="000000"/>
          <w:spacing w:val="0"/>
          <w:sz w:val="30"/>
          <w:szCs w:val="30"/>
          <w:u w:val="single"/>
        </w:rPr>
        <w:t>介机构的财产，不列入清算财产。</w:t>
      </w:r>
    </w:p>
    <w:p>
      <w:pPr>
        <w:pStyle w:val="5"/>
        <w:keepNext w:val="0"/>
        <w:keepLines w:val="0"/>
        <w:widowControl/>
        <w:suppressLineNumbers w:val="0"/>
        <w:spacing w:before="0" w:beforeAutospacing="0" w:after="0" w:afterAutospacing="0"/>
        <w:ind w:right="-150" w:firstLine="643" w:firstLineChars="200"/>
        <w:rPr>
          <w:rFonts w:hint="eastAsia"/>
          <w:b/>
          <w:bCs/>
          <w:sz w:val="32"/>
          <w:szCs w:val="32"/>
          <w:shd w:val="clear" w:fill="FFFFFF"/>
          <w:lang w:val="en-US" w:eastAsia="zh-CN"/>
        </w:rPr>
      </w:pPr>
      <w:r>
        <w:rPr>
          <w:rFonts w:hint="eastAsia"/>
          <w:b/>
          <w:bCs/>
          <w:sz w:val="32"/>
          <w:szCs w:val="32"/>
          <w:shd w:val="clear" w:fill="FFFFFF"/>
          <w:lang w:val="en-US" w:eastAsia="zh-CN"/>
        </w:rPr>
        <w:t>四、国家对P2P公司涉嫌违法处理的执行标准</w:t>
      </w:r>
    </w:p>
    <w:p>
      <w:pPr>
        <w:pStyle w:val="5"/>
        <w:keepNext w:val="0"/>
        <w:keepLines w:val="0"/>
        <w:widowControl/>
        <w:suppressLineNumbers w:val="0"/>
        <w:spacing w:before="255" w:beforeAutospacing="0" w:line="360" w:lineRule="atLeast"/>
        <w:ind w:firstLine="562" w:firstLineChars="200"/>
        <w:jc w:val="both"/>
        <w:rPr>
          <w:rFonts w:hint="default" w:ascii="Arial" w:hAnsi="Arial" w:eastAsia="宋体" w:cs="Arial"/>
          <w:b/>
          <w:bCs/>
          <w:color w:val="333333"/>
          <w:kern w:val="0"/>
          <w:sz w:val="28"/>
          <w:szCs w:val="28"/>
          <w:shd w:val="clear" w:fill="FFFFFF"/>
          <w:lang w:val="en-US" w:eastAsia="zh-CN" w:bidi="ar"/>
        </w:rPr>
      </w:pPr>
      <w:r>
        <w:rPr>
          <w:rFonts w:hint="eastAsia" w:ascii="Arial" w:hAnsi="Arial" w:eastAsia="宋体" w:cs="Arial"/>
          <w:b/>
          <w:bCs/>
          <w:color w:val="000000" w:themeColor="text1"/>
          <w:kern w:val="0"/>
          <w:sz w:val="28"/>
          <w:szCs w:val="28"/>
          <w:u w:val="none"/>
          <w:shd w:val="clear" w:fill="FFFFFF"/>
          <w:lang w:val="en-US" w:eastAsia="zh-CN" w:bidi="ar"/>
          <w14:textFill>
            <w14:solidFill>
              <w14:schemeClr w14:val="tx1"/>
            </w14:solidFill>
          </w14:textFill>
        </w:rPr>
        <w:t>1、2011年1月14日</w:t>
      </w:r>
      <w:r>
        <w:rPr>
          <w:rFonts w:hint="default" w:ascii="Arial" w:hAnsi="Arial" w:eastAsia="宋体" w:cs="Arial"/>
          <w:b/>
          <w:bCs/>
          <w:color w:val="000000" w:themeColor="text1"/>
          <w:kern w:val="0"/>
          <w:sz w:val="28"/>
          <w:szCs w:val="28"/>
          <w:u w:val="none"/>
          <w:shd w:val="clear" w:fill="FFFFFF"/>
          <w:lang w:val="en-US" w:eastAsia="zh-CN" w:bidi="ar"/>
          <w14:textFill>
            <w14:solidFill>
              <w14:schemeClr w14:val="tx1"/>
            </w14:solidFill>
          </w14:textFill>
        </w:rPr>
        <w:fldChar w:fldCharType="begin"/>
      </w:r>
      <w:r>
        <w:rPr>
          <w:rFonts w:hint="default" w:ascii="Arial" w:hAnsi="Arial" w:eastAsia="宋体" w:cs="Arial"/>
          <w:b/>
          <w:bCs/>
          <w:color w:val="000000" w:themeColor="text1"/>
          <w:kern w:val="0"/>
          <w:sz w:val="28"/>
          <w:szCs w:val="28"/>
          <w:u w:val="none"/>
          <w:shd w:val="clear" w:fill="FFFFFF"/>
          <w:lang w:val="en-US" w:eastAsia="zh-CN" w:bidi="ar"/>
          <w14:textFill>
            <w14:solidFill>
              <w14:schemeClr w14:val="tx1"/>
            </w14:solidFill>
          </w14:textFill>
        </w:rPr>
        <w:instrText xml:space="preserve"> HYPERLINK "https://baike.baidu.com/item/%E6%9C%80%E9%AB%98%E4%BA%BA%E6%B0%91%E6%B3%95%E9%99%A2" \t "https://baike.baidu.com/item/%E6%9C%80%E9%AB%98%E4%BA%BA%E6%B0%91%E6%B3%95%E9%99%A2%E5%85%B3%E4%BA%8E%E5%AE%A1%E7%90%86%E9%9D%9E%E6%B3%95%E9%9B%86%E8%B5%84%E5%88%91%E4%BA%8B%E6%A1%88%E4%BB%B6%E5%85%B7%E4%BD%93%E5%BA%94%E7%94%A8%E6%B3%95%E5%BE%8B%E8%8B%A5%E5%B9%B2%E9%97%AE%E9%A2%98%E7%9A%84%E8%A7%A3%E9%87%8A/_blank" </w:instrText>
      </w:r>
      <w:r>
        <w:rPr>
          <w:rFonts w:hint="default" w:ascii="Arial" w:hAnsi="Arial" w:eastAsia="宋体" w:cs="Arial"/>
          <w:b/>
          <w:bCs/>
          <w:color w:val="000000" w:themeColor="text1"/>
          <w:kern w:val="0"/>
          <w:sz w:val="28"/>
          <w:szCs w:val="28"/>
          <w:u w:val="none"/>
          <w:shd w:val="clear" w:fill="FFFFFF"/>
          <w:lang w:val="en-US" w:eastAsia="zh-CN" w:bidi="ar"/>
          <w14:textFill>
            <w14:solidFill>
              <w14:schemeClr w14:val="tx1"/>
            </w14:solidFill>
          </w14:textFill>
        </w:rPr>
        <w:fldChar w:fldCharType="separate"/>
      </w:r>
      <w:r>
        <w:rPr>
          <w:rStyle w:val="13"/>
          <w:rFonts w:hint="default" w:ascii="Arial" w:hAnsi="Arial" w:eastAsia="宋体" w:cs="Arial"/>
          <w:b/>
          <w:bCs/>
          <w:color w:val="000000" w:themeColor="text1"/>
          <w:sz w:val="28"/>
          <w:szCs w:val="28"/>
          <w:u w:val="none"/>
          <w:shd w:val="clear" w:fill="FFFFFF"/>
          <w14:textFill>
            <w14:solidFill>
              <w14:schemeClr w14:val="tx1"/>
            </w14:solidFill>
          </w14:textFill>
        </w:rPr>
        <w:t>最高人民法院</w:t>
      </w:r>
      <w:r>
        <w:rPr>
          <w:rFonts w:hint="default" w:ascii="Arial" w:hAnsi="Arial" w:eastAsia="宋体" w:cs="Arial"/>
          <w:b/>
          <w:bCs/>
          <w:color w:val="000000" w:themeColor="text1"/>
          <w:kern w:val="0"/>
          <w:sz w:val="28"/>
          <w:szCs w:val="28"/>
          <w:u w:val="none"/>
          <w:shd w:val="clear" w:fill="FFFFFF"/>
          <w:lang w:val="en-US" w:eastAsia="zh-CN" w:bidi="ar"/>
          <w14:textFill>
            <w14:solidFill>
              <w14:schemeClr w14:val="tx1"/>
            </w14:solidFill>
          </w14:textFill>
        </w:rPr>
        <w:fldChar w:fldCharType="end"/>
      </w:r>
      <w:r>
        <w:rPr>
          <w:rFonts w:hint="default" w:ascii="Arial" w:hAnsi="Arial" w:eastAsia="宋体" w:cs="Arial"/>
          <w:b/>
          <w:bCs/>
          <w:color w:val="333333"/>
          <w:kern w:val="0"/>
          <w:sz w:val="28"/>
          <w:szCs w:val="28"/>
          <w:shd w:val="clear" w:fill="FFFFFF"/>
          <w:lang w:val="en-US" w:eastAsia="zh-CN" w:bidi="ar"/>
        </w:rPr>
        <w:t>关于审理非法集资刑事案件具体应用法律若干问题的解释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left="0" w:right="0" w:firstLine="42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第一条 违反国家金融管理法律规定，向社会公众（包括单位和个人）吸收资金的行为，同时具备下列四个条件的，除刑法另有规定的以外，应当认定为刑法第一百七十六条规定的“非法吸收公众存款或者变相吸收公众存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right="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（一）未经有关部门依法批准或者借用合法经营的形式吸收资金；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right="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（二）通过媒体、推介会、传单、手机短信等途径向社会公开宣传；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right="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（三）承诺在一定期限内以货币、实物、股权等方式还本付息或者给付回报；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right="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（四）向社会公众即社会不特定对象吸收资金。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360" w:lineRule="exact"/>
        <w:ind w:left="0" w:right="0" w:firstLine="420"/>
        <w:jc w:val="left"/>
        <w:textAlignment w:val="auto"/>
        <w:rPr>
          <w:rFonts w:hint="default" w:ascii="Arial" w:hAnsi="Arial" w:cs="Arial"/>
          <w:color w:val="333333"/>
          <w:sz w:val="28"/>
          <w:szCs w:val="28"/>
          <w:u w:val="single"/>
        </w:rPr>
      </w:pPr>
      <w:r>
        <w:rPr>
          <w:rFonts w:hint="default" w:ascii="Arial" w:hAnsi="Arial" w:eastAsia="宋体" w:cs="Arial"/>
          <w:color w:val="333333"/>
          <w:kern w:val="0"/>
          <w:sz w:val="28"/>
          <w:szCs w:val="28"/>
          <w:u w:val="single"/>
          <w:shd w:val="clear" w:fill="FFFFFF"/>
          <w:lang w:val="en-US" w:eastAsia="zh-CN" w:bidi="ar"/>
        </w:rPr>
        <w:t>未向社会公开宣传，在亲友或者单位内部针对特定对象吸收资金的，不属于非法吸收或者变相吸收公众存款。</w:t>
      </w:r>
    </w:p>
    <w:p>
      <w:pPr>
        <w:pStyle w:val="5"/>
        <w:keepNext w:val="0"/>
        <w:keepLines w:val="0"/>
        <w:widowControl/>
        <w:suppressLineNumbers w:val="0"/>
        <w:spacing w:before="0" w:beforeAutospacing="0" w:after="0" w:afterAutospacing="0"/>
        <w:ind w:left="-150" w:right="-150" w:firstLine="562" w:firstLineChars="200"/>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2、2014.3.25 最高检《关于办理非法集资刑事案件适用法律若干问题的意见》</w:t>
      </w:r>
    </w:p>
    <w:p>
      <w:pPr>
        <w:pStyle w:val="5"/>
        <w:keepNext w:val="0"/>
        <w:keepLines w:val="0"/>
        <w:widowControl/>
        <w:suppressLineNumbers w:val="0"/>
        <w:spacing w:before="0" w:beforeAutospacing="0" w:after="0" w:afterAutospacing="0"/>
        <w:ind w:left="-150" w:right="-150" w:firstLine="560" w:firstLineChars="200"/>
        <w:rPr>
          <w:rFonts w:hint="eastAsia" w:ascii="宋体" w:hAnsi="宋体" w:eastAsia="宋体" w:cs="宋体"/>
          <w:b w:val="0"/>
          <w:bCs w:val="0"/>
          <w:color w:val="FF0000"/>
          <w:kern w:val="0"/>
          <w:sz w:val="28"/>
          <w:szCs w:val="28"/>
          <w:u w:val="none"/>
          <w:shd w:val="clear" w:fill="FFFFFF"/>
          <w:lang w:val="en-US" w:eastAsia="zh-CN" w:bidi="ar"/>
        </w:rPr>
      </w:pPr>
      <w:r>
        <w:rPr>
          <w:rFonts w:hint="eastAsia" w:ascii="宋体" w:hAnsi="宋体" w:eastAsia="宋体" w:cs="宋体"/>
          <w:b w:val="0"/>
          <w:bCs w:val="0"/>
          <w:color w:val="FF0000"/>
          <w:kern w:val="0"/>
          <w:sz w:val="28"/>
          <w:szCs w:val="28"/>
          <w:u w:val="none"/>
          <w:shd w:val="clear" w:fill="FFFFFF"/>
          <w:lang w:val="en-US" w:eastAsia="zh-CN" w:bidi="ar"/>
        </w:rPr>
        <w:t>关于涉案财物的追缴和处置问题</w:t>
      </w:r>
    </w:p>
    <w:p>
      <w:pPr>
        <w:pStyle w:val="5"/>
        <w:keepNext w:val="0"/>
        <w:keepLines w:val="0"/>
        <w:widowControl/>
        <w:suppressLineNumbers w:val="0"/>
        <w:spacing w:before="0" w:beforeAutospacing="0" w:after="0" w:afterAutospacing="0"/>
        <w:ind w:left="-150" w:right="-150" w:firstLine="560"/>
        <w:rPr>
          <w:rFonts w:hint="eastAsia" w:ascii="宋体" w:hAnsi="宋体" w:eastAsia="宋体" w:cs="宋体"/>
          <w:b w:val="0"/>
          <w:bCs w:val="0"/>
          <w:kern w:val="0"/>
          <w:sz w:val="28"/>
          <w:szCs w:val="28"/>
          <w:u w:val="single"/>
          <w:shd w:val="clear" w:fill="FFFFFF"/>
          <w:lang w:val="en-US" w:eastAsia="zh-CN" w:bidi="ar"/>
        </w:rPr>
      </w:pPr>
      <w:r>
        <w:rPr>
          <w:rFonts w:hint="eastAsia" w:ascii="宋体" w:hAnsi="宋体" w:eastAsia="宋体" w:cs="宋体"/>
          <w:b w:val="0"/>
          <w:bCs w:val="0"/>
          <w:kern w:val="0"/>
          <w:sz w:val="28"/>
          <w:szCs w:val="28"/>
          <w:u w:val="single"/>
          <w:shd w:val="clear" w:fill="FFFFFF"/>
          <w:lang w:val="en-US" w:eastAsia="zh-CN" w:bidi="ar"/>
        </w:rPr>
        <w:t>向社会公众非法吸收的资金属于违法所得。以吸收的资金向集资参与人支付的利息、分红等回报，以及向帮助吸收资金人员支付的代理费、好处费、返点费、佣金、提成等费用，应当依法追缴。集资参与人本金尚未归还的，所支付的回报可予折抵本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150" w:firstLine="562" w:firstLineChars="200"/>
        <w:jc w:val="left"/>
        <w:rPr>
          <w:rFonts w:hint="eastAsia" w:ascii="宋体" w:hAnsi="宋体" w:eastAsia="宋体" w:cs="宋体"/>
          <w:b/>
          <w:bCs/>
          <w:kern w:val="0"/>
          <w:sz w:val="28"/>
          <w:szCs w:val="28"/>
          <w:shd w:val="clear" w:fill="FFFFFF"/>
          <w:lang w:val="en-US" w:eastAsia="zh-CN" w:bidi="ar"/>
        </w:rPr>
      </w:pPr>
      <w:r>
        <w:rPr>
          <w:rFonts w:hint="eastAsia" w:ascii="宋体" w:hAnsi="宋体" w:eastAsia="宋体" w:cs="宋体"/>
          <w:b/>
          <w:bCs/>
          <w:kern w:val="0"/>
          <w:sz w:val="28"/>
          <w:szCs w:val="28"/>
          <w:shd w:val="clear" w:fill="FFFFFF"/>
          <w:lang w:val="en-US" w:eastAsia="zh-CN" w:bidi="ar"/>
        </w:rPr>
        <w:t xml:space="preserve">3、2015.8.6 </w:t>
      </w:r>
      <w:r>
        <w:rPr>
          <w:rFonts w:ascii="宋体" w:hAnsi="宋体" w:eastAsia="宋体" w:cs="宋体"/>
          <w:b/>
          <w:bCs/>
          <w:kern w:val="0"/>
          <w:sz w:val="28"/>
          <w:szCs w:val="28"/>
          <w:shd w:val="clear" w:fill="FFFFFF"/>
          <w:lang w:val="en-US" w:eastAsia="zh-CN" w:bidi="ar"/>
        </w:rPr>
        <w:t>最高人民法院</w:t>
      </w:r>
      <w:r>
        <w:rPr>
          <w:rFonts w:hint="eastAsia" w:ascii="宋体" w:hAnsi="宋体" w:eastAsia="宋体" w:cs="宋体"/>
          <w:b/>
          <w:bCs/>
          <w:kern w:val="0"/>
          <w:sz w:val="28"/>
          <w:szCs w:val="28"/>
          <w:shd w:val="clear" w:fill="FFFFFF"/>
          <w:lang w:val="en-US" w:eastAsia="zh-CN" w:bidi="ar"/>
        </w:rPr>
        <w:t>《</w:t>
      </w:r>
      <w:r>
        <w:rPr>
          <w:rFonts w:ascii="宋体" w:hAnsi="宋体" w:eastAsia="宋体" w:cs="宋体"/>
          <w:b/>
          <w:bCs/>
          <w:kern w:val="0"/>
          <w:sz w:val="28"/>
          <w:szCs w:val="28"/>
          <w:shd w:val="clear" w:fill="FFFFFF"/>
          <w:lang w:val="en-US" w:eastAsia="zh-CN" w:bidi="ar"/>
        </w:rPr>
        <w:t>关于审理民间借贷案件适用法律若干问题的规</w:t>
      </w:r>
      <w:r>
        <w:rPr>
          <w:rFonts w:hint="eastAsia" w:ascii="宋体" w:hAnsi="宋体" w:eastAsia="宋体" w:cs="宋体"/>
          <w:b/>
          <w:bCs/>
          <w:kern w:val="0"/>
          <w:sz w:val="28"/>
          <w:szCs w:val="28"/>
          <w:shd w:val="clear" w:fill="FFFFFF"/>
          <w:lang w:val="en-US" w:eastAsia="zh-CN" w:bidi="ar"/>
        </w:rPr>
        <w:t>定》</w:t>
      </w:r>
    </w:p>
    <w:p>
      <w:pPr>
        <w:pStyle w:val="5"/>
        <w:keepNext w:val="0"/>
        <w:keepLines w:val="0"/>
        <w:widowControl/>
        <w:suppressLineNumbers w:val="0"/>
        <w:spacing w:before="0" w:beforeAutospacing="0" w:after="0" w:afterAutospacing="0"/>
        <w:ind w:left="-150" w:right="-150" w:firstLine="560"/>
        <w:rPr>
          <w:rFonts w:hint="eastAsia" w:ascii="宋体" w:hAnsi="宋体" w:eastAsia="宋体" w:cs="宋体"/>
          <w:b w:val="0"/>
          <w:bCs w:val="0"/>
          <w:kern w:val="0"/>
          <w:sz w:val="28"/>
          <w:szCs w:val="28"/>
          <w:u w:val="single"/>
          <w:shd w:val="clear" w:fill="FFFFFF"/>
          <w:lang w:val="en-US" w:eastAsia="zh-CN" w:bidi="ar"/>
        </w:rPr>
      </w:pPr>
      <w:r>
        <w:rPr>
          <w:rFonts w:hint="eastAsia" w:ascii="宋体" w:hAnsi="宋体" w:eastAsia="宋体" w:cs="宋体"/>
          <w:b w:val="0"/>
          <w:bCs w:val="0"/>
          <w:kern w:val="0"/>
          <w:sz w:val="28"/>
          <w:szCs w:val="28"/>
          <w:shd w:val="clear" w:fill="FFFFFF"/>
          <w:lang w:val="en-US" w:eastAsia="zh-CN" w:bidi="ar"/>
        </w:rPr>
        <w:t>第</w:t>
      </w:r>
      <w:r>
        <w:rPr>
          <w:color w:val="000000" w:themeColor="text1"/>
          <w:sz w:val="28"/>
          <w:szCs w:val="28"/>
          <w:u w:val="single"/>
          <w:shd w:val="clear" w:fill="FFFFFF"/>
          <w14:textFill>
            <w14:solidFill>
              <w14:schemeClr w14:val="tx1"/>
            </w14:solidFill>
          </w14:textFill>
        </w:rPr>
        <w:t>二十六条 借贷双方约定的利率未超过年利率24%，出借人请求借款人按照约定的利率支付利息的，人民法院应予支持。</w:t>
      </w:r>
    </w:p>
    <w:p>
      <w:pPr>
        <w:pStyle w:val="5"/>
        <w:keepNext w:val="0"/>
        <w:keepLines w:val="0"/>
        <w:widowControl/>
        <w:suppressLineNumbers w:val="0"/>
        <w:spacing w:before="0" w:beforeAutospacing="0" w:after="0" w:afterAutospacing="0"/>
        <w:ind w:right="-150" w:firstLine="562" w:firstLineChars="200"/>
        <w:rPr>
          <w:rFonts w:hint="default" w:eastAsiaTheme="minorEastAsia"/>
          <w:b/>
          <w:bCs/>
          <w:sz w:val="28"/>
          <w:szCs w:val="28"/>
          <w:shd w:val="clear" w:fill="FFFFFF"/>
          <w:lang w:val="en-US" w:eastAsia="zh-CN"/>
        </w:rPr>
      </w:pPr>
      <w:r>
        <w:rPr>
          <w:rFonts w:hint="eastAsia"/>
          <w:b/>
          <w:bCs/>
          <w:sz w:val="28"/>
          <w:szCs w:val="28"/>
          <w:shd w:val="clear" w:fill="FFFFFF"/>
          <w:lang w:val="en-US" w:eastAsia="zh-CN"/>
        </w:rPr>
        <w:t>4、2018.11.15  《最高检明确规范办理涉民营企业案件执法司法标准》</w:t>
      </w:r>
    </w:p>
    <w:p>
      <w:pPr>
        <w:pStyle w:val="5"/>
        <w:keepNext w:val="0"/>
        <w:keepLines w:val="0"/>
        <w:widowControl/>
        <w:suppressLineNumbers w:val="0"/>
        <w:spacing w:before="0" w:beforeAutospacing="0" w:after="0" w:afterAutospacing="0"/>
        <w:ind w:left="-150" w:right="-150" w:firstLine="480"/>
        <w:rPr>
          <w:rFonts w:hint="eastAsia" w:eastAsiaTheme="minorEastAsia"/>
          <w:b w:val="0"/>
          <w:bCs w:val="0"/>
          <w:color w:val="FF0000"/>
          <w:sz w:val="28"/>
          <w:szCs w:val="28"/>
          <w:u w:val="none"/>
          <w:shd w:val="clear" w:fill="FFFFFF"/>
          <w:lang w:eastAsia="zh-CN"/>
        </w:rPr>
      </w:pPr>
      <w:r>
        <w:rPr>
          <w:rFonts w:hint="eastAsia"/>
          <w:b w:val="0"/>
          <w:bCs w:val="0"/>
          <w:color w:val="FF0000"/>
          <w:sz w:val="28"/>
          <w:szCs w:val="28"/>
          <w:u w:val="none"/>
          <w:shd w:val="clear" w:fill="FFFFFF"/>
          <w:lang w:eastAsia="zh-CN"/>
        </w:rPr>
        <w:t>关于如何准确区分经营活动中的正当融资行为与非法集资犯罪</w:t>
      </w:r>
    </w:p>
    <w:p>
      <w:pPr>
        <w:pStyle w:val="5"/>
        <w:keepNext w:val="0"/>
        <w:keepLines w:val="0"/>
        <w:widowControl/>
        <w:suppressLineNumbers w:val="0"/>
        <w:spacing w:before="255" w:beforeAutospacing="0" w:line="360" w:lineRule="atLeast"/>
        <w:jc w:val="both"/>
        <w:rPr>
          <w:color w:val="333333"/>
          <w:sz w:val="28"/>
          <w:szCs w:val="28"/>
          <w:u w:val="single"/>
        </w:rPr>
      </w:pPr>
      <w:r>
        <w:rPr>
          <w:rFonts w:ascii="Arial" w:hAnsi="Arial" w:cs="Arial"/>
          <w:color w:val="333333"/>
          <w:sz w:val="28"/>
          <w:szCs w:val="28"/>
          <w:u w:val="single"/>
          <w:shd w:val="clear" w:fill="FFFFFF"/>
        </w:rPr>
        <w:t>一是严格把握非法集资“非法性”的认定，应当以商业银行法、非法金融机构和非法金融业务活动取缔办法等国家金融管理法律法规作为依据，同时可以参考中国人民银行、中国银行保险监督管理委员会、中国证券监督管理委员会等行政主管部门依照国家金融管理法律法规制定的部门规章或者国家有关金融管理的规定、办法、实施细则等规范性文件。</w:t>
      </w:r>
    </w:p>
    <w:p>
      <w:pPr>
        <w:pStyle w:val="5"/>
        <w:keepNext w:val="0"/>
        <w:keepLines w:val="0"/>
        <w:widowControl/>
        <w:suppressLineNumbers w:val="0"/>
        <w:spacing w:before="255" w:beforeAutospacing="0" w:line="360" w:lineRule="atLeast"/>
        <w:jc w:val="both"/>
        <w:rPr>
          <w:rFonts w:hint="default" w:ascii="Arial" w:hAnsi="Arial" w:cs="Arial"/>
          <w:color w:val="333333"/>
          <w:sz w:val="28"/>
          <w:szCs w:val="28"/>
          <w:u w:val="single"/>
          <w:shd w:val="clear" w:fill="FFFFFF"/>
        </w:rPr>
      </w:pPr>
      <w:r>
        <w:rPr>
          <w:rFonts w:hint="default" w:ascii="Arial" w:hAnsi="Arial" w:cs="Arial"/>
          <w:color w:val="333333"/>
          <w:sz w:val="28"/>
          <w:szCs w:val="28"/>
          <w:u w:val="single"/>
          <w:shd w:val="clear" w:fill="FFFFFF"/>
        </w:rPr>
        <w:t>二是严格把握正当融资行为与非法吸收公众存款罪的界限，对于民营企业非法吸收公众存款，主要用于正常的生产经营活动，能够及时清退所吸收资金的，可以不起诉或者免予刑事处罚；情节显著轻微的，不作为犯罪处理。</w:t>
      </w:r>
    </w:p>
    <w:p>
      <w:pPr>
        <w:pStyle w:val="5"/>
        <w:keepNext w:val="0"/>
        <w:keepLines w:val="0"/>
        <w:widowControl/>
        <w:suppressLineNumbers w:val="0"/>
        <w:spacing w:line="480" w:lineRule="auto"/>
        <w:ind w:firstLine="562" w:firstLineChars="200"/>
        <w:jc w:val="left"/>
        <w:rPr>
          <w:b/>
          <w:bCs/>
          <w:sz w:val="28"/>
          <w:szCs w:val="28"/>
        </w:rPr>
      </w:pPr>
      <w:r>
        <w:rPr>
          <w:rFonts w:hint="eastAsia" w:ascii="Arial" w:hAnsi="Arial" w:cs="Arial"/>
          <w:b/>
          <w:bCs/>
          <w:color w:val="333333"/>
          <w:sz w:val="28"/>
          <w:szCs w:val="28"/>
          <w:shd w:val="clear" w:fill="FFFFFF"/>
          <w:lang w:val="en-US" w:eastAsia="zh-CN"/>
        </w:rPr>
        <w:t xml:space="preserve">5、2019.1.30 </w:t>
      </w:r>
      <w:r>
        <w:rPr>
          <w:rFonts w:hint="eastAsia" w:ascii="Arial" w:hAnsi="Arial" w:cs="Arial"/>
          <w:b/>
          <w:bCs/>
          <w:color w:val="333333"/>
          <w:sz w:val="28"/>
          <w:szCs w:val="28"/>
          <w:shd w:val="clear" w:fill="FFFFFF"/>
          <w:lang w:eastAsia="zh-CN"/>
        </w:rPr>
        <w:t>最高人民法院</w:t>
      </w:r>
      <w:r>
        <w:rPr>
          <w:rFonts w:hint="eastAsia" w:ascii="Arial" w:hAnsi="Arial" w:cs="Arial"/>
          <w:b/>
          <w:bCs/>
          <w:color w:val="333333"/>
          <w:sz w:val="28"/>
          <w:szCs w:val="28"/>
          <w:shd w:val="clear" w:fill="FFFFFF"/>
          <w:lang w:val="en-US" w:eastAsia="zh-CN"/>
        </w:rPr>
        <w:t xml:space="preserve"> 最高人民检察院 公安部</w:t>
      </w:r>
      <w:r>
        <w:rPr>
          <w:rFonts w:hint="default" w:ascii="华文中宋" w:hAnsi="华文中宋" w:eastAsia="华文中宋" w:cs="华文中宋"/>
          <w:b/>
          <w:bCs/>
          <w:sz w:val="28"/>
          <w:szCs w:val="28"/>
        </w:rPr>
        <w:t>印发《关于办理非法集资刑事案件若干问题的意见》的通知</w:t>
      </w:r>
    </w:p>
    <w:p>
      <w:pPr>
        <w:pStyle w:val="5"/>
        <w:keepNext w:val="0"/>
        <w:keepLines w:val="0"/>
        <w:widowControl/>
        <w:numPr>
          <w:ilvl w:val="0"/>
          <w:numId w:val="0"/>
        </w:numPr>
        <w:suppressLineNumbers w:val="0"/>
        <w:spacing w:before="255" w:beforeAutospacing="0" w:line="360" w:lineRule="atLeast"/>
        <w:ind w:right="0" w:rightChars="0" w:firstLine="560" w:firstLineChars="200"/>
        <w:jc w:val="both"/>
        <w:rPr>
          <w:rFonts w:ascii="仿宋" w:hAnsi="仿宋" w:eastAsia="仿宋" w:cs="仿宋"/>
          <w:color w:val="FF0000"/>
          <w:sz w:val="28"/>
          <w:szCs w:val="28"/>
          <w:u w:val="none"/>
        </w:rPr>
      </w:pPr>
      <w:r>
        <w:rPr>
          <w:rFonts w:ascii="仿宋" w:hAnsi="仿宋" w:eastAsia="仿宋" w:cs="仿宋"/>
          <w:color w:val="FF0000"/>
          <w:sz w:val="28"/>
          <w:szCs w:val="28"/>
          <w:u w:val="none"/>
        </w:rPr>
        <w:t>关于犯罪数额的认定问题</w:t>
      </w:r>
    </w:p>
    <w:p>
      <w:pPr>
        <w:pStyle w:val="5"/>
        <w:keepNext w:val="0"/>
        <w:keepLines w:val="0"/>
        <w:widowControl/>
        <w:numPr>
          <w:ilvl w:val="0"/>
          <w:numId w:val="0"/>
        </w:numPr>
        <w:suppressLineNumbers w:val="0"/>
        <w:spacing w:before="255" w:beforeAutospacing="0" w:line="360" w:lineRule="atLeast"/>
        <w:ind w:right="0" w:rightChars="0"/>
        <w:jc w:val="both"/>
        <w:rPr>
          <w:rFonts w:hint="eastAsia" w:ascii="仿宋" w:hAnsi="仿宋" w:eastAsia="仿宋" w:cs="仿宋"/>
          <w:sz w:val="28"/>
          <w:szCs w:val="28"/>
          <w:u w:val="single"/>
        </w:rPr>
      </w:pPr>
      <w:r>
        <w:rPr>
          <w:rFonts w:hint="eastAsia" w:ascii="仿宋" w:hAnsi="仿宋" w:eastAsia="仿宋" w:cs="仿宋"/>
          <w:sz w:val="28"/>
          <w:szCs w:val="28"/>
        </w:rPr>
        <w:t>　　</w:t>
      </w:r>
      <w:r>
        <w:rPr>
          <w:rFonts w:hint="eastAsia" w:ascii="仿宋" w:hAnsi="仿宋" w:eastAsia="仿宋" w:cs="仿宋"/>
          <w:sz w:val="28"/>
          <w:szCs w:val="28"/>
          <w:u w:val="single"/>
        </w:rPr>
        <w:t>非法吸收或者变相吸收公众存款的数额，以行为人所吸收的资金全额计算。集资参与人收回本金或者获得回报后又重复投资的数额不予扣除，但可以作为量刑情节酌情考虑。</w:t>
      </w:r>
    </w:p>
    <w:p>
      <w:pPr>
        <w:pStyle w:val="5"/>
        <w:keepNext w:val="0"/>
        <w:keepLines w:val="0"/>
        <w:widowControl/>
        <w:numPr>
          <w:ilvl w:val="0"/>
          <w:numId w:val="0"/>
        </w:numPr>
        <w:suppressLineNumbers w:val="0"/>
        <w:spacing w:before="255" w:beforeAutospacing="0" w:line="360" w:lineRule="atLeast"/>
        <w:ind w:right="0" w:rightChars="0" w:firstLine="560" w:firstLineChars="200"/>
        <w:jc w:val="both"/>
        <w:rPr>
          <w:rFonts w:hint="eastAsia" w:ascii="仿宋" w:hAnsi="仿宋" w:eastAsia="仿宋" w:cs="仿宋"/>
          <w:sz w:val="28"/>
          <w:szCs w:val="28"/>
          <w:u w:val="single"/>
        </w:rPr>
      </w:pPr>
      <w:r>
        <w:rPr>
          <w:rFonts w:ascii="仿宋" w:hAnsi="仿宋" w:eastAsia="仿宋" w:cs="仿宋"/>
          <w:color w:val="FF0000"/>
          <w:sz w:val="28"/>
          <w:szCs w:val="28"/>
          <w:u w:val="single"/>
        </w:rPr>
        <w:t>关于涉案财物追缴处置问题</w:t>
      </w:r>
      <w:r>
        <w:rPr>
          <w:rFonts w:hint="eastAsia" w:ascii="仿宋" w:hAnsi="仿宋" w:eastAsia="仿宋" w:cs="仿宋"/>
          <w:sz w:val="28"/>
          <w:szCs w:val="28"/>
          <w:lang w:val="en-US"/>
        </w:rPr>
        <w:br w:type="textWrapping"/>
      </w:r>
      <w:r>
        <w:rPr>
          <w:rFonts w:hint="eastAsia" w:ascii="仿宋" w:hAnsi="仿宋" w:eastAsia="仿宋" w:cs="仿宋"/>
          <w:sz w:val="28"/>
          <w:szCs w:val="28"/>
        </w:rPr>
        <w:t>　　</w:t>
      </w:r>
      <w:r>
        <w:rPr>
          <w:rFonts w:hint="eastAsia" w:ascii="仿宋" w:hAnsi="仿宋" w:eastAsia="仿宋" w:cs="仿宋"/>
          <w:sz w:val="28"/>
          <w:szCs w:val="28"/>
          <w:u w:val="single"/>
        </w:rPr>
        <w:t>办理跨区域非法集资刑事案件，案件主办地办案机关应当及时归集涉案财物，为统一资产处置做好基础性工作。其他涉案地办案机关应当及时查明涉案财物，明确其来源、去向、用途、流转情况，依法办理查封、扣押、冻结手续，并制作详细清单，对扣押款项应当设立明细账，在扣押后立即存入办案机关唯一合规账户，并将有关情况提供案件主办地办案机关。</w:t>
      </w:r>
    </w:p>
    <w:p>
      <w:pPr>
        <w:pStyle w:val="5"/>
        <w:keepNext w:val="0"/>
        <w:keepLines w:val="0"/>
        <w:widowControl/>
        <w:numPr>
          <w:ilvl w:val="0"/>
          <w:numId w:val="0"/>
        </w:numPr>
        <w:suppressLineNumbers w:val="0"/>
        <w:spacing w:before="255" w:beforeAutospacing="0" w:line="360" w:lineRule="atLeast"/>
        <w:ind w:leftChars="0" w:right="0" w:rightChars="0" w:firstLine="560" w:firstLineChars="200"/>
        <w:jc w:val="both"/>
        <w:rPr>
          <w:rFonts w:hint="eastAsia" w:ascii="仿宋" w:hAnsi="仿宋" w:eastAsia="仿宋" w:cs="仿宋"/>
          <w:sz w:val="28"/>
          <w:szCs w:val="28"/>
          <w:u w:val="single"/>
        </w:rPr>
      </w:pPr>
      <w:r>
        <w:rPr>
          <w:rFonts w:ascii="仿宋" w:hAnsi="仿宋" w:eastAsia="仿宋" w:cs="仿宋"/>
          <w:color w:val="FF0000"/>
          <w:sz w:val="28"/>
          <w:szCs w:val="28"/>
        </w:rPr>
        <w:t>关于集资参与人权利保障问题</w:t>
      </w:r>
      <w:r>
        <w:rPr>
          <w:rFonts w:hint="eastAsia" w:ascii="仿宋" w:hAnsi="仿宋" w:eastAsia="仿宋" w:cs="仿宋"/>
          <w:sz w:val="28"/>
          <w:szCs w:val="28"/>
          <w:lang w:val="en-US"/>
        </w:rPr>
        <w:br w:type="textWrapping"/>
      </w:r>
      <w:r>
        <w:rPr>
          <w:rFonts w:hint="eastAsia" w:ascii="仿宋" w:hAnsi="仿宋" w:eastAsia="仿宋" w:cs="仿宋"/>
          <w:sz w:val="28"/>
          <w:szCs w:val="28"/>
        </w:rPr>
        <w:t>　</w:t>
      </w:r>
      <w:r>
        <w:rPr>
          <w:rFonts w:hint="eastAsia" w:ascii="仿宋" w:hAnsi="仿宋" w:eastAsia="仿宋" w:cs="仿宋"/>
          <w:b/>
          <w:bCs/>
          <w:sz w:val="28"/>
          <w:szCs w:val="28"/>
        </w:rPr>
        <w:t>　</w:t>
      </w:r>
      <w:r>
        <w:rPr>
          <w:rFonts w:hint="eastAsia" w:ascii="仿宋" w:hAnsi="仿宋" w:eastAsia="仿宋" w:cs="仿宋"/>
          <w:b/>
          <w:bCs/>
          <w:sz w:val="28"/>
          <w:szCs w:val="28"/>
          <w:u w:val="single"/>
        </w:rPr>
        <w:t>集资参与人，是指向非法集资活动投入资金的单位和个人</w:t>
      </w:r>
      <w:r>
        <w:rPr>
          <w:rFonts w:hint="eastAsia" w:ascii="仿宋" w:hAnsi="仿宋" w:eastAsia="仿宋" w:cs="仿宋"/>
          <w:sz w:val="28"/>
          <w:szCs w:val="28"/>
        </w:rPr>
        <w:t>，为非法集资活动提供帮助并获取经济利益的单位和个人除外。</w:t>
      </w:r>
      <w:r>
        <w:rPr>
          <w:rFonts w:hint="eastAsia" w:ascii="仿宋" w:hAnsi="仿宋" w:eastAsia="仿宋" w:cs="仿宋"/>
          <w:sz w:val="28"/>
          <w:szCs w:val="28"/>
          <w:lang w:val="en-US"/>
        </w:rPr>
        <w:br w:type="textWrapping"/>
      </w:r>
      <w:r>
        <w:rPr>
          <w:rFonts w:hint="eastAsia" w:ascii="仿宋" w:hAnsi="仿宋" w:eastAsia="仿宋" w:cs="仿宋"/>
          <w:sz w:val="28"/>
          <w:szCs w:val="28"/>
        </w:rPr>
        <w:t>　　</w:t>
      </w:r>
      <w:r>
        <w:rPr>
          <w:rFonts w:hint="eastAsia" w:ascii="仿宋" w:hAnsi="仿宋" w:eastAsia="仿宋" w:cs="仿宋"/>
          <w:sz w:val="28"/>
          <w:szCs w:val="28"/>
          <w:u w:val="single"/>
        </w:rPr>
        <w:t>人民法院、人民检察院、公安机关应当通过及时公布案件进展、涉案资产处置情况等方式，依法保障集资参与人的合法权利。集资参与人可以推选代表人向人民法院提出相关意见和建议；推选不出代表人的，人民法院可以指定代表人。人民法院可以视案件情况决定集资参与人代表人参加或者旁听庭审，对集资参与人提起附带民事诉讼等请求不予受理。</w:t>
      </w:r>
    </w:p>
    <w:p>
      <w:pPr>
        <w:pStyle w:val="5"/>
        <w:keepNext w:val="0"/>
        <w:keepLines w:val="0"/>
        <w:widowControl/>
        <w:suppressLineNumbers w:val="0"/>
        <w:spacing w:before="0" w:beforeAutospacing="1" w:after="0" w:afterAutospacing="1"/>
        <w:ind w:left="0" w:right="0" w:firstLine="562" w:firstLineChars="200"/>
        <w:rPr>
          <w:rStyle w:val="8"/>
          <w:rFonts w:hint="default" w:eastAsiaTheme="minorEastAsia"/>
          <w:b/>
          <w:bCs w:val="0"/>
          <w:color w:val="auto"/>
          <w:sz w:val="28"/>
          <w:szCs w:val="28"/>
          <w:u w:val="none"/>
          <w:shd w:val="clear" w:color="auto" w:fill="auto"/>
          <w:lang w:val="en-US" w:eastAsia="zh-CN"/>
        </w:rPr>
      </w:pPr>
      <w:r>
        <w:rPr>
          <w:rStyle w:val="8"/>
          <w:rFonts w:hint="eastAsia"/>
          <w:b/>
          <w:bCs w:val="0"/>
          <w:color w:val="auto"/>
          <w:sz w:val="28"/>
          <w:szCs w:val="28"/>
          <w:u w:val="none"/>
          <w:shd w:val="clear" w:color="auto" w:fill="auto"/>
          <w:lang w:val="en-US" w:eastAsia="zh-CN"/>
        </w:rPr>
        <w:t>6、 2019.1030 最高检《如何认定非法集资的“非法性”？两高一部联合印发意见》</w:t>
      </w:r>
    </w:p>
    <w:p>
      <w:pPr>
        <w:pStyle w:val="5"/>
        <w:keepNext w:val="0"/>
        <w:keepLines w:val="0"/>
        <w:widowControl/>
        <w:suppressLineNumbers w:val="0"/>
        <w:spacing w:before="0" w:beforeAutospacing="1" w:after="0" w:afterAutospacing="1"/>
        <w:ind w:left="0" w:right="0"/>
        <w:rPr>
          <w:b w:val="0"/>
          <w:bCs/>
          <w:color w:val="FF0000"/>
          <w:sz w:val="28"/>
          <w:szCs w:val="28"/>
          <w:u w:val="none"/>
          <w:shd w:val="clear" w:color="auto" w:fill="auto"/>
        </w:rPr>
      </w:pPr>
      <w:r>
        <w:rPr>
          <w:rStyle w:val="8"/>
          <w:b w:val="0"/>
          <w:bCs/>
          <w:color w:val="FF0000"/>
          <w:sz w:val="28"/>
          <w:szCs w:val="28"/>
          <w:u w:val="none"/>
          <w:shd w:val="clear" w:color="auto" w:fill="auto"/>
        </w:rPr>
        <w:t>如何区分P2P平台</w:t>
      </w:r>
      <w:r>
        <w:rPr>
          <w:rStyle w:val="8"/>
          <w:rFonts w:hint="eastAsia"/>
          <w:b w:val="0"/>
          <w:bCs/>
          <w:color w:val="FF0000"/>
          <w:sz w:val="28"/>
          <w:szCs w:val="28"/>
          <w:u w:val="none"/>
          <w:shd w:val="clear" w:color="auto" w:fill="auto"/>
          <w:lang w:val="en-US" w:eastAsia="zh-CN"/>
        </w:rPr>
        <w:t xml:space="preserve"> </w:t>
      </w:r>
      <w:r>
        <w:rPr>
          <w:rStyle w:val="8"/>
          <w:b w:val="0"/>
          <w:bCs/>
          <w:color w:val="FF0000"/>
          <w:sz w:val="28"/>
          <w:szCs w:val="28"/>
          <w:u w:val="none"/>
          <w:shd w:val="clear" w:color="auto" w:fill="auto"/>
        </w:rPr>
        <w:t>是否涉嫌非法集资犯罪</w:t>
      </w:r>
    </w:p>
    <w:p>
      <w:pPr>
        <w:pStyle w:val="5"/>
        <w:keepNext w:val="0"/>
        <w:keepLines w:val="0"/>
        <w:widowControl/>
        <w:suppressLineNumbers w:val="0"/>
        <w:spacing w:before="0" w:beforeAutospacing="1" w:after="0" w:afterAutospacing="1"/>
        <w:ind w:left="0" w:right="0"/>
        <w:rPr>
          <w:sz w:val="28"/>
          <w:szCs w:val="28"/>
          <w:u w:val="single"/>
        </w:rPr>
      </w:pPr>
      <w:r>
        <w:rPr>
          <w:sz w:val="28"/>
          <w:szCs w:val="28"/>
          <w:u w:val="single"/>
        </w:rPr>
        <w:t>最高检法律政策研究室副主任缐杰回答记者提问时说，区分P2P平台业务是互联网金融创新还是实施非法集资犯罪行为的主要界限，在于其是否具有非法集资的“非法性”特征。P2P平台如违反国家金融管理法律法规等禁止性规定，其行为就具“非法性”，就可能涉嫌非法集资。</w:t>
      </w:r>
    </w:p>
    <w:p>
      <w:pPr>
        <w:pStyle w:val="3"/>
        <w:keepNext w:val="0"/>
        <w:keepLines w:val="0"/>
        <w:widowControl/>
        <w:suppressLineNumbers w:val="0"/>
        <w:spacing w:line="600" w:lineRule="atLeast"/>
        <w:ind w:firstLine="560" w:firstLineChars="200"/>
        <w:rPr>
          <w:rFonts w:hint="eastAsia" w:ascii="微软雅黑" w:hAnsi="微软雅黑" w:eastAsia="微软雅黑" w:cs="微软雅黑"/>
          <w:b w:val="0"/>
          <w:bCs/>
          <w:sz w:val="28"/>
          <w:szCs w:val="28"/>
          <w:lang w:eastAsia="zh-CN"/>
        </w:rPr>
      </w:pPr>
      <w:r>
        <w:rPr>
          <w:rFonts w:hint="eastAsia" w:ascii="微软雅黑" w:hAnsi="微软雅黑" w:eastAsia="微软雅黑" w:cs="微软雅黑"/>
          <w:b w:val="0"/>
          <w:bCs/>
          <w:sz w:val="28"/>
          <w:szCs w:val="28"/>
          <w:shd w:val="clear" w:fill="FFFFFF"/>
          <w:lang w:val="en-US" w:eastAsia="zh-CN"/>
        </w:rPr>
        <w:t>7、2019.13.31 最高检</w:t>
      </w:r>
      <w:r>
        <w:rPr>
          <w:rFonts w:hint="eastAsia" w:ascii="微软雅黑" w:hAnsi="微软雅黑" w:eastAsia="微软雅黑" w:cs="微软雅黑"/>
          <w:b w:val="0"/>
          <w:bCs/>
          <w:sz w:val="28"/>
          <w:szCs w:val="28"/>
          <w:shd w:val="clear" w:fill="FFFFFF"/>
          <w:lang w:eastAsia="zh-CN"/>
        </w:rPr>
        <w:t>《</w:t>
      </w:r>
      <w:r>
        <w:rPr>
          <w:rFonts w:hint="eastAsia" w:ascii="微软雅黑" w:hAnsi="微软雅黑" w:eastAsia="微软雅黑" w:cs="微软雅黑"/>
          <w:b w:val="0"/>
          <w:bCs/>
          <w:sz w:val="28"/>
          <w:szCs w:val="28"/>
          <w:shd w:val="clear" w:fill="FFFFFF"/>
        </w:rPr>
        <w:t>重拳打击非法集资犯罪，帮群众守好“钱袋子”</w:t>
      </w:r>
      <w:r>
        <w:rPr>
          <w:rFonts w:hint="eastAsia" w:ascii="微软雅黑" w:hAnsi="微软雅黑" w:eastAsia="微软雅黑" w:cs="微软雅黑"/>
          <w:b w:val="0"/>
          <w:bCs/>
          <w:sz w:val="28"/>
          <w:szCs w:val="28"/>
          <w:shd w:val="clear" w:fill="FFFFFF"/>
          <w:lang w:eastAsia="zh-CN"/>
        </w:rPr>
        <w:t>》</w:t>
      </w:r>
    </w:p>
    <w:p>
      <w:pPr>
        <w:pStyle w:val="5"/>
        <w:keepNext w:val="0"/>
        <w:keepLines w:val="0"/>
        <w:widowControl/>
        <w:suppressLineNumbers w:val="0"/>
        <w:spacing w:before="255" w:beforeAutospacing="0" w:line="360" w:lineRule="atLeast"/>
        <w:jc w:val="both"/>
        <w:rPr>
          <w:rFonts w:hint="eastAsia" w:asciiTheme="majorEastAsia" w:hAnsiTheme="majorEastAsia" w:eastAsiaTheme="majorEastAsia" w:cstheme="majorEastAsia"/>
          <w:b/>
          <w:bCs/>
          <w:color w:val="333333"/>
          <w:sz w:val="28"/>
          <w:szCs w:val="28"/>
        </w:rPr>
      </w:pPr>
      <w:r>
        <w:rPr>
          <w:rStyle w:val="22"/>
          <w:rFonts w:hint="eastAsia" w:asciiTheme="majorEastAsia" w:hAnsiTheme="majorEastAsia" w:eastAsiaTheme="majorEastAsia" w:cstheme="majorEastAsia"/>
          <w:b/>
          <w:bCs/>
          <w:color w:val="FF0000"/>
          <w:sz w:val="28"/>
          <w:szCs w:val="28"/>
          <w:shd w:val="clear" w:fill="FFFFFF"/>
        </w:rPr>
        <w:t>P2P集资犯罪</w:t>
      </w:r>
      <w:r>
        <w:rPr>
          <w:rStyle w:val="22"/>
          <w:rFonts w:hint="eastAsia" w:asciiTheme="majorEastAsia" w:hAnsiTheme="majorEastAsia" w:eastAsiaTheme="majorEastAsia" w:cstheme="majorEastAsia"/>
          <w:b/>
          <w:bCs/>
          <w:color w:val="FF0000"/>
          <w:sz w:val="28"/>
          <w:szCs w:val="28"/>
          <w:shd w:val="clear" w:fill="FFFFFF"/>
          <w:lang w:val="en-US" w:eastAsia="zh-CN"/>
        </w:rPr>
        <w:t xml:space="preserve"> </w:t>
      </w:r>
      <w:r>
        <w:rPr>
          <w:rStyle w:val="22"/>
          <w:rFonts w:hint="eastAsia" w:asciiTheme="majorEastAsia" w:hAnsiTheme="majorEastAsia" w:eastAsiaTheme="majorEastAsia" w:cstheme="majorEastAsia"/>
          <w:b/>
          <w:bCs/>
          <w:color w:val="FF0000"/>
          <w:sz w:val="28"/>
          <w:szCs w:val="28"/>
          <w:shd w:val="clear" w:fill="FFFFFF"/>
        </w:rPr>
        <w:t>关键在于认定其“非法性”</w:t>
      </w:r>
    </w:p>
    <w:p>
      <w:pPr>
        <w:pStyle w:val="5"/>
        <w:keepNext w:val="0"/>
        <w:keepLines w:val="0"/>
        <w:widowControl/>
        <w:suppressLineNumbers w:val="0"/>
        <w:spacing w:before="255" w:beforeAutospacing="0" w:line="360" w:lineRule="atLeast"/>
        <w:jc w:val="both"/>
        <w:rPr>
          <w:color w:val="333333"/>
          <w:sz w:val="28"/>
          <w:szCs w:val="28"/>
          <w:u w:val="single"/>
        </w:rPr>
      </w:pPr>
      <w:r>
        <w:rPr>
          <w:rFonts w:hint="default" w:ascii="Arial" w:hAnsi="Arial" w:cs="Arial"/>
          <w:color w:val="333333"/>
          <w:sz w:val="28"/>
          <w:szCs w:val="28"/>
          <w:u w:val="single"/>
          <w:shd w:val="clear" w:fill="FFFFFF"/>
        </w:rPr>
        <w:t>近期出现多家P2P网贷平台“爆雷”事件，其中有的P2P网贷平台因非法集资与自设资金池被立案侦查。该如何区分P2P平台业务是进行互联网金融创新，还是实施非法集资犯罪行为？</w:t>
      </w:r>
    </w:p>
    <w:p>
      <w:pPr>
        <w:pStyle w:val="5"/>
        <w:keepNext w:val="0"/>
        <w:keepLines w:val="0"/>
        <w:widowControl/>
        <w:suppressLineNumbers w:val="0"/>
        <w:spacing w:before="255" w:beforeAutospacing="0" w:line="360" w:lineRule="atLeast"/>
        <w:jc w:val="both"/>
        <w:rPr>
          <w:color w:val="333333"/>
          <w:sz w:val="28"/>
          <w:szCs w:val="28"/>
          <w:u w:val="single"/>
        </w:rPr>
      </w:pPr>
      <w:r>
        <w:rPr>
          <w:rFonts w:hint="default" w:ascii="Arial" w:hAnsi="Arial" w:cs="Arial"/>
          <w:color w:val="333333"/>
          <w:sz w:val="28"/>
          <w:szCs w:val="28"/>
          <w:u w:val="single"/>
          <w:shd w:val="clear" w:fill="FFFFFF"/>
        </w:rPr>
        <w:t>对此，缐杰表示，区分P2P平台业务是互联网金融创新还是实施非法集资犯罪行为的主要界限，在于其是否具有非法集资的“非法性”特征。P2P网络借贷平台必须严格遵守国家金融管理法律法规，严格依照相关部门规章或者规范性文件规定的业务范围开展业务，如果违反了其中的禁止性规定，其行为就具有“非法性”，也就可能涉嫌非法集资犯罪。</w:t>
      </w:r>
    </w:p>
    <w:p>
      <w:pPr>
        <w:pStyle w:val="5"/>
        <w:keepNext w:val="0"/>
        <w:keepLines w:val="0"/>
        <w:widowControl/>
        <w:suppressLineNumbers w:val="0"/>
        <w:spacing w:before="255" w:beforeAutospacing="0" w:line="360" w:lineRule="atLeast"/>
        <w:jc w:val="both"/>
        <w:rPr>
          <w:color w:val="333333"/>
          <w:sz w:val="28"/>
          <w:szCs w:val="28"/>
          <w:u w:val="single"/>
        </w:rPr>
      </w:pPr>
      <w:r>
        <w:rPr>
          <w:rFonts w:hint="default" w:ascii="Arial" w:hAnsi="Arial" w:cs="Arial"/>
          <w:color w:val="333333"/>
          <w:sz w:val="28"/>
          <w:szCs w:val="28"/>
          <w:u w:val="single"/>
          <w:shd w:val="clear" w:fill="FFFFFF"/>
        </w:rPr>
        <w:t>而对于非法集资“非法性”的认定依据，《意见》第一条便予以明确。《意见》规定，应以国家金融管理法律法规作为依据，对于其仅作原则性规定的，可以参考央行、银保监会、证监会等行政主管部门依法制定的部门规章或者国家有关金融管理的规定、办法、实施细则等规范性文件予以认定。</w:t>
      </w:r>
    </w:p>
    <w:p>
      <w:pPr>
        <w:pStyle w:val="5"/>
        <w:keepNext w:val="0"/>
        <w:keepLines w:val="0"/>
        <w:widowControl/>
        <w:suppressLineNumbers w:val="0"/>
        <w:spacing w:before="255" w:beforeAutospacing="0" w:line="360" w:lineRule="atLeast"/>
        <w:jc w:val="both"/>
        <w:rPr>
          <w:color w:val="333333"/>
          <w:sz w:val="28"/>
          <w:szCs w:val="28"/>
          <w:u w:val="single"/>
        </w:rPr>
      </w:pPr>
      <w:r>
        <w:rPr>
          <w:rFonts w:hint="default" w:ascii="Arial" w:hAnsi="Arial" w:cs="Arial"/>
          <w:color w:val="333333"/>
          <w:sz w:val="28"/>
          <w:szCs w:val="28"/>
          <w:u w:val="single"/>
          <w:shd w:val="clear" w:fill="FFFFFF"/>
        </w:rPr>
        <w:t>“这些部门规章或者规范性文件均明确，P2P网络借贷是指个体和个体之间通过互联网平台实现的直接借贷，为投资方和融资方提供信息交互、撮合、资信评估等中介服务；不得从事或接受委托从事自融、变相自融、设立资金池、提供担保或承诺保本保息、发售金融理财产品、开展类资产证券化等形式的债券转让等超出信息中介范围的活动。”缐杰说。</w:t>
      </w:r>
    </w:p>
    <w:p>
      <w:pPr>
        <w:pStyle w:val="5"/>
        <w:keepNext w:val="0"/>
        <w:keepLines w:val="0"/>
        <w:widowControl/>
        <w:suppressLineNumbers w:val="0"/>
        <w:spacing w:before="255" w:beforeAutospacing="0" w:line="360" w:lineRule="atLeast"/>
        <w:jc w:val="both"/>
        <w:rPr>
          <w:rFonts w:hint="default" w:ascii="Arial" w:hAnsi="Arial" w:cs="Arial"/>
          <w:color w:val="000000" w:themeColor="text1"/>
          <w:sz w:val="28"/>
          <w:szCs w:val="28"/>
          <w:u w:val="single"/>
          <w:shd w:val="clear" w:fill="FFFFFF"/>
          <w14:textFill>
            <w14:solidFill>
              <w14:schemeClr w14:val="tx1"/>
            </w14:solidFill>
          </w14:textFill>
        </w:rPr>
      </w:pPr>
      <w:r>
        <w:rPr>
          <w:rFonts w:ascii="Arial" w:hAnsi="Arial" w:cs="Arial"/>
          <w:color w:val="333333"/>
          <w:sz w:val="28"/>
          <w:szCs w:val="28"/>
          <w:shd w:val="clear" w:fill="FFFFFF"/>
        </w:rPr>
        <w:t>最高法刑事审判第三庭副庭长姜永义</w:t>
      </w:r>
      <w:r>
        <w:rPr>
          <w:rFonts w:ascii="Arial" w:hAnsi="Arial" w:cs="Arial"/>
          <w:color w:val="999999"/>
          <w:sz w:val="28"/>
          <w:szCs w:val="28"/>
          <w:shd w:val="clear" w:fill="FFFFFF"/>
        </w:rPr>
        <w:t>——</w:t>
      </w:r>
      <w:r>
        <w:rPr>
          <w:rFonts w:ascii="Arial" w:hAnsi="Arial" w:cs="Arial"/>
          <w:color w:val="FF0000"/>
          <w:sz w:val="28"/>
          <w:szCs w:val="28"/>
          <w:shd w:val="clear" w:fill="FFFFFF"/>
        </w:rPr>
        <w:t>明确涉案财物的处置方式</w:t>
      </w:r>
      <w:r>
        <w:rPr>
          <w:rFonts w:ascii="Arial" w:hAnsi="Arial" w:cs="Arial"/>
          <w:color w:val="999999"/>
          <w:sz w:val="28"/>
          <w:szCs w:val="28"/>
          <w:shd w:val="clear" w:fill="FFFFFF"/>
        </w:rPr>
        <w:t>。</w:t>
      </w:r>
      <w:r>
        <w:rPr>
          <w:rFonts w:hint="default" w:ascii="Arial" w:hAnsi="Arial" w:cs="Arial"/>
          <w:color w:val="000000" w:themeColor="text1"/>
          <w:sz w:val="28"/>
          <w:szCs w:val="28"/>
          <w:u w:val="single"/>
          <w:shd w:val="clear" w:fill="FFFFFF"/>
          <w14:textFill>
            <w14:solidFill>
              <w14:schemeClr w14:val="tx1"/>
            </w14:solidFill>
          </w14:textFill>
        </w:rPr>
        <w:t>对于查封、扣押、冻结的涉案财物，一般在诉讼终结后，返还集资参与人。涉案财物不足全部返还的，按照集资参与人的集资额比例返还。对于分别处理的跨区域非法集资刑事案件，按照统一制定的方案处置涉案财物。退赔集资参与人的损失一般优先于其他民事债务以及罚金、没收财产的执行。</w:t>
      </w:r>
    </w:p>
    <w:p>
      <w:pPr>
        <w:pStyle w:val="4"/>
        <w:keepNext w:val="0"/>
        <w:keepLines w:val="0"/>
        <w:widowControl/>
        <w:suppressLineNumbers w:val="0"/>
        <w:spacing w:line="315" w:lineRule="atLeast"/>
        <w:jc w:val="center"/>
        <w:rPr>
          <w:color w:val="4E5052"/>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276CD"/>
    <w:rsid w:val="09D25EC0"/>
    <w:rsid w:val="1174231E"/>
    <w:rsid w:val="17B14825"/>
    <w:rsid w:val="1F5276CD"/>
    <w:rsid w:val="33C91B01"/>
    <w:rsid w:val="37B32CE1"/>
    <w:rsid w:val="393B0889"/>
    <w:rsid w:val="3A0346FA"/>
    <w:rsid w:val="3E2D6132"/>
    <w:rsid w:val="41EE4FAA"/>
    <w:rsid w:val="4DEE0B52"/>
    <w:rsid w:val="53955EE8"/>
    <w:rsid w:val="61A27C3A"/>
    <w:rsid w:val="7562352F"/>
    <w:rsid w:val="7A020CAB"/>
    <w:rsid w:val="7CAB5A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pPr>
    <w:rPr>
      <w:rFonts w:ascii="黑体" w:hAnsi="宋体" w:eastAsia="黑体" w:cs="黑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color w:val="FFFFFF"/>
      <w:sz w:val="18"/>
      <w:szCs w:val="18"/>
      <w:shd w:val="clear" w:fill="777777"/>
      <w:vertAlign w:val="baseline"/>
    </w:rPr>
  </w:style>
  <w:style w:type="character" w:styleId="9">
    <w:name w:val="FollowedHyperlink"/>
    <w:basedOn w:val="7"/>
    <w:qFormat/>
    <w:uiPriority w:val="0"/>
    <w:rPr>
      <w:color w:val="666666"/>
      <w:u w:val="none"/>
    </w:rPr>
  </w:style>
  <w:style w:type="character" w:styleId="10">
    <w:name w:val="Emphasis"/>
    <w:basedOn w:val="7"/>
    <w:qFormat/>
    <w:uiPriority w:val="0"/>
    <w:rPr>
      <w:color w:val="FF0000"/>
    </w:rPr>
  </w:style>
  <w:style w:type="character" w:styleId="11">
    <w:name w:val="HTML Definition"/>
    <w:basedOn w:val="7"/>
    <w:qFormat/>
    <w:uiPriority w:val="0"/>
  </w:style>
  <w:style w:type="character" w:styleId="12">
    <w:name w:val="HTML Variable"/>
    <w:basedOn w:val="7"/>
    <w:qFormat/>
    <w:uiPriority w:val="0"/>
  </w:style>
  <w:style w:type="character" w:styleId="13">
    <w:name w:val="Hyperlink"/>
    <w:basedOn w:val="7"/>
    <w:qFormat/>
    <w:uiPriority w:val="0"/>
    <w:rPr>
      <w:color w:val="666666"/>
      <w:u w:val="none"/>
    </w:rPr>
  </w:style>
  <w:style w:type="character" w:styleId="14">
    <w:name w:val="HTML Code"/>
    <w:basedOn w:val="7"/>
    <w:qFormat/>
    <w:uiPriority w:val="0"/>
    <w:rPr>
      <w:rFonts w:hint="default" w:ascii="Courier New" w:hAnsi="Courier New" w:eastAsia="Courier New" w:cs="Courier New"/>
      <w:sz w:val="20"/>
    </w:rPr>
  </w:style>
  <w:style w:type="character" w:styleId="15">
    <w:name w:val="HTML Cite"/>
    <w:basedOn w:val="7"/>
    <w:qFormat/>
    <w:uiPriority w:val="0"/>
  </w:style>
  <w:style w:type="character" w:styleId="16">
    <w:name w:val="HTML Keyboard"/>
    <w:basedOn w:val="7"/>
    <w:qFormat/>
    <w:uiPriority w:val="0"/>
    <w:rPr>
      <w:rFonts w:hint="default" w:ascii="Courier New" w:hAnsi="Courier New" w:eastAsia="Courier New" w:cs="Courier New"/>
      <w:sz w:val="20"/>
    </w:rPr>
  </w:style>
  <w:style w:type="character" w:styleId="17">
    <w:name w:val="HTML Sample"/>
    <w:basedOn w:val="7"/>
    <w:qFormat/>
    <w:uiPriority w:val="0"/>
    <w:rPr>
      <w:rFonts w:ascii="Courier New" w:hAnsi="Courier New" w:eastAsia="Courier New" w:cs="Courier New"/>
    </w:rPr>
  </w:style>
  <w:style w:type="character" w:customStyle="1" w:styleId="18">
    <w:name w:val="not([class*=suffix])"/>
    <w:basedOn w:val="7"/>
    <w:qFormat/>
    <w:uiPriority w:val="0"/>
    <w:rPr>
      <w:sz w:val="19"/>
      <w:szCs w:val="19"/>
    </w:rPr>
  </w:style>
  <w:style w:type="character" w:customStyle="1" w:styleId="19">
    <w:name w:val="not([class*=suffix])1"/>
    <w:basedOn w:val="7"/>
    <w:qFormat/>
    <w:uiPriority w:val="0"/>
  </w:style>
  <w:style w:type="character" w:customStyle="1" w:styleId="20">
    <w:name w:val="last-child"/>
    <w:basedOn w:val="7"/>
    <w:qFormat/>
    <w:uiPriority w:val="0"/>
  </w:style>
  <w:style w:type="character" w:customStyle="1" w:styleId="21">
    <w:name w:val="bjh-strong2"/>
    <w:basedOn w:val="7"/>
    <w:qFormat/>
    <w:uiPriority w:val="0"/>
    <w:rPr>
      <w:color w:val="999999"/>
    </w:rPr>
  </w:style>
  <w:style w:type="character" w:customStyle="1" w:styleId="22">
    <w:name w:val="bjh-strong3"/>
    <w:basedOn w:val="7"/>
    <w:qFormat/>
    <w:uiPriority w:val="0"/>
    <w:rPr>
      <w:color w:val="999999"/>
    </w:rPr>
  </w:style>
  <w:style w:type="character" w:customStyle="1" w:styleId="23">
    <w:name w:val="tab"/>
    <w:basedOn w:val="7"/>
    <w:qFormat/>
    <w:uiPriority w:val="0"/>
    <w:rPr>
      <w:color w:val="A4BCD6"/>
    </w:rPr>
  </w:style>
  <w:style w:type="character" w:customStyle="1" w:styleId="24">
    <w:name w:val="o4"/>
    <w:basedOn w:val="7"/>
    <w:qFormat/>
    <w:uiPriority w:val="0"/>
    <w:rPr>
      <w:sz w:val="0"/>
      <w:szCs w:val="0"/>
    </w:rPr>
  </w:style>
  <w:style w:type="character" w:customStyle="1" w:styleId="25">
    <w:name w:val="o3"/>
    <w:basedOn w:val="7"/>
    <w:qFormat/>
    <w:uiPriority w:val="0"/>
    <w:rPr>
      <w:sz w:val="0"/>
      <w:szCs w:val="0"/>
    </w:rPr>
  </w:style>
  <w:style w:type="character" w:customStyle="1" w:styleId="26">
    <w:name w:val="o1"/>
    <w:basedOn w:val="7"/>
    <w:qFormat/>
    <w:uiPriority w:val="0"/>
    <w:rPr>
      <w:sz w:val="0"/>
      <w:szCs w:val="0"/>
    </w:rPr>
  </w:style>
  <w:style w:type="character" w:customStyle="1" w:styleId="27">
    <w:name w:val="o2"/>
    <w:basedOn w:val="7"/>
    <w:qFormat/>
    <w:uiPriority w:val="0"/>
    <w:rPr>
      <w:sz w:val="0"/>
      <w:szCs w:val="0"/>
    </w:rPr>
  </w:style>
  <w:style w:type="character" w:customStyle="1" w:styleId="28">
    <w:name w:val="bg02"/>
    <w:basedOn w:val="7"/>
    <w:qFormat/>
    <w:uiPriority w:val="0"/>
  </w:style>
  <w:style w:type="character" w:customStyle="1" w:styleId="29">
    <w:name w:val="m01"/>
    <w:basedOn w:val="7"/>
    <w:qFormat/>
    <w:uiPriority w:val="0"/>
  </w:style>
  <w:style w:type="character" w:customStyle="1" w:styleId="30">
    <w:name w:val="m011"/>
    <w:basedOn w:val="7"/>
    <w:qFormat/>
    <w:uiPriority w:val="0"/>
  </w:style>
  <w:style w:type="character" w:customStyle="1" w:styleId="31">
    <w:name w:val="bg01"/>
    <w:basedOn w:val="7"/>
    <w:qFormat/>
    <w:uiPriority w:val="0"/>
  </w:style>
  <w:style w:type="character" w:customStyle="1" w:styleId="32">
    <w:name w:val="tabg"/>
    <w:basedOn w:val="7"/>
    <w:qFormat/>
    <w:uiPriority w:val="0"/>
    <w:rPr>
      <w:color w:val="FFFFFF"/>
      <w:sz w:val="27"/>
      <w:szCs w:val="27"/>
    </w:rPr>
  </w:style>
  <w:style w:type="character" w:customStyle="1" w:styleId="33">
    <w:name w:val="more5"/>
    <w:basedOn w:val="7"/>
    <w:qFormat/>
    <w:uiPriority w:val="0"/>
    <w:rPr>
      <w:color w:val="666666"/>
      <w:sz w:val="18"/>
      <w:szCs w:val="18"/>
    </w:rPr>
  </w:style>
  <w:style w:type="character" w:customStyle="1" w:styleId="34">
    <w:name w:val="font2"/>
    <w:basedOn w:val="7"/>
    <w:qFormat/>
    <w:uiPriority w:val="0"/>
  </w:style>
  <w:style w:type="character" w:customStyle="1" w:styleId="35">
    <w:name w:val="font3"/>
    <w:basedOn w:val="7"/>
    <w:qFormat/>
    <w:uiPriority w:val="0"/>
  </w:style>
  <w:style w:type="character" w:customStyle="1" w:styleId="36">
    <w:name w:val="fontstrikethrough"/>
    <w:basedOn w:val="7"/>
    <w:qFormat/>
    <w:uiPriority w:val="0"/>
    <w:rPr>
      <w:strike/>
    </w:rPr>
  </w:style>
  <w:style w:type="character" w:customStyle="1" w:styleId="37">
    <w:name w:val="fontborder"/>
    <w:basedOn w:val="7"/>
    <w:qFormat/>
    <w:uiPriority w:val="0"/>
    <w:rPr>
      <w:bdr w:val="single" w:color="000000" w:sz="6" w:space="0"/>
    </w:rPr>
  </w:style>
  <w:style w:type="character" w:customStyle="1" w:styleId="38">
    <w:name w:val="words"/>
    <w:basedOn w:val="7"/>
    <w:qFormat/>
    <w:uiPriority w:val="0"/>
  </w:style>
  <w:style w:type="character" w:customStyle="1" w:styleId="39">
    <w:name w:val="dian"/>
    <w:basedOn w:val="7"/>
    <w:qFormat/>
    <w:uiPriority w:val="0"/>
  </w:style>
  <w:style w:type="character" w:customStyle="1" w:styleId="40">
    <w:name w:val="font"/>
    <w:basedOn w:val="7"/>
    <w:uiPriority w:val="0"/>
  </w:style>
  <w:style w:type="character" w:customStyle="1" w:styleId="41">
    <w:name w:val="font1"/>
    <w:basedOn w:val="7"/>
    <w:uiPriority w:val="0"/>
  </w:style>
  <w:style w:type="character" w:customStyle="1" w:styleId="42">
    <w:name w:val="more4"/>
    <w:basedOn w:val="7"/>
    <w:uiPriority w:val="0"/>
    <w:rPr>
      <w:color w:val="666666"/>
      <w:sz w:val="18"/>
      <w:szCs w:val="18"/>
    </w:rPr>
  </w:style>
  <w:style w:type="character" w:customStyle="1" w:styleId="43">
    <w:name w:val="name"/>
    <w:basedOn w:val="7"/>
    <w:uiPriority w:val="0"/>
    <w:rPr>
      <w:color w:val="6A6A6A"/>
      <w:u w:val="single"/>
    </w:rPr>
  </w:style>
  <w:style w:type="character" w:customStyle="1" w:styleId="44">
    <w:name w:val="dates"/>
    <w:basedOn w:val="7"/>
    <w:uiPriority w:val="0"/>
  </w:style>
  <w:style w:type="character" w:customStyle="1" w:styleId="45">
    <w:name w:val="gwds_nopic"/>
    <w:basedOn w:val="7"/>
    <w:uiPriority w:val="0"/>
  </w:style>
  <w:style w:type="character" w:customStyle="1" w:styleId="46">
    <w:name w:val="gwds_nopic1"/>
    <w:basedOn w:val="7"/>
    <w:uiPriority w:val="0"/>
  </w:style>
  <w:style w:type="character" w:customStyle="1" w:styleId="47">
    <w:name w:val="gwds_nopic2"/>
    <w:basedOn w:val="7"/>
    <w:uiPriority w:val="0"/>
  </w:style>
  <w:style w:type="character" w:customStyle="1" w:styleId="48">
    <w:name w:val="laypage_curr"/>
    <w:basedOn w:val="7"/>
    <w:uiPriority w:val="0"/>
    <w:rPr>
      <w:color w:val="FFFDF4"/>
      <w:shd w:val="clear" w:fill="0B67A6"/>
    </w:rPr>
  </w:style>
  <w:style w:type="paragraph" w:customStyle="1" w:styleId="49">
    <w:name w:val="p16"/>
    <w:basedOn w:val="1"/>
    <w:uiPriority w:val="0"/>
    <w:pPr>
      <w:spacing w:before="0" w:beforeAutospacing="0" w:after="0" w:afterAutospacing="0"/>
      <w:jc w:val="both"/>
    </w:pPr>
    <w:rPr>
      <w:rFonts w:hint="default" w:ascii="Times New Roman" w:hAnsi="Times New Roman" w:cs="Times New Roman"/>
      <w:kern w:val="0"/>
      <w:sz w:val="24"/>
      <w:szCs w:val="24"/>
      <w:lang w:val="en-US" w:eastAsia="zh-CN" w:bidi="ar"/>
    </w:rPr>
  </w:style>
  <w:style w:type="character" w:customStyle="1" w:styleId="50">
    <w:name w:val="10"/>
    <w:basedOn w:val="7"/>
    <w:uiPriority w:val="0"/>
    <w:rPr>
      <w:rFonts w:hint="default" w:ascii="Times New Roman" w:hAnsi="Times New Roman" w:cs="Times New Roman"/>
    </w:rPr>
  </w:style>
  <w:style w:type="character" w:customStyle="1" w:styleId="51">
    <w:name w:val="15"/>
    <w:basedOn w:val="7"/>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2019-04-08T03:31:00Z</dcterms:created>
  <dc:creator>Administrator</dc:creator>
  <cp:lastModifiedBy>陈柳春</cp:lastModifiedBy>
  <dcterms:modified xsi:type="dcterms:W3CDTF">2019-04-16T16:24:07Z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