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2D3436"/>
          <w:sz w:val="44"/>
          <w:szCs w:val="44"/>
        </w:rPr>
        <w:t xml:space="preserve">Career</w:t>
      </w:r>
      <w:r>
        <w:rPr>
          <w:rFonts w:ascii="Arial" w:cs="Arial" w:eastAsia="Arial" w:hAnsi="Arial"/>
          <w:b/>
          <w:bCs/>
          <w:color w:val="C0392B"/>
          <w:sz w:val="44"/>
          <w:szCs w:val="44"/>
        </w:rPr>
        <w:t xml:space="preserve">Arc</w:t>
      </w:r>
      <w:r>
        <w:rPr>
          <w:rFonts w:ascii="Arial" w:cs="Arial" w:eastAsia="Arial" w:hAnsi="Arial"/>
          <w:b/>
          <w:bCs/>
          <w:color w:val="2D3436"/>
          <w:sz w:val="44"/>
          <w:szCs w:val="44"/>
        </w:rPr>
        <w:t xml:space="preserve">  —  Mentor Meeting Prep</w:t>
      </w:r>
    </w:p>
    <w:p>
      <w:pPr>
        <w:pBdr>
          <w:bottom w:val="single" w:color="8A6D1F" w:sz="14" w:space="6"/>
        </w:pBdr>
        <w:spacing w:after="40"/>
      </w:pPr>
      <w:r>
        <w:rPr>
          <w:rFonts w:ascii="Arial" w:cs="Arial" w:eastAsia="Arial" w:hAnsi="Arial"/>
          <w:i/>
          <w:iCs/>
          <w:color w:val="5A6570"/>
          <w:sz w:val="21"/>
          <w:szCs w:val="21"/>
        </w:rPr>
        <w:t xml:space="preserve">A cheat sheet for explaining CareerArc, the SDG page, and the Ministry page. Keep this open (or printed) during the meeting.</w:t>
      </w:r>
    </w:p>
    <w:p>
      <w:pPr>
        <w:spacing w:after="120"/>
      </w:pPr>
    </w:p>
    <w:p>
      <w:pPr>
        <w:pStyle w:val="Heading1"/>
        <w:pBdr>
          <w:bottom w:val="single" w:color="8A6D1F" w:sz="10" w:space="4"/>
        </w:pBdr>
        <w:spacing w:after="140" w:before="320"/>
      </w:pPr>
      <w:r>
        <w:rPr>
          <w:rFonts w:ascii="Arial" w:cs="Arial" w:eastAsia="Arial" w:hAnsi="Arial"/>
          <w:b/>
          <w:bCs/>
          <w:color w:val="2D3436"/>
          <w:sz w:val="30"/>
          <w:szCs w:val="30"/>
        </w:rPr>
        <w:t xml:space="preserve">Part 1 — How to explain CareerArc</w:t>
      </w:r>
    </w:p>
    <w:p>
      <w:pPr>
        <w:spacing w:after="120" w:line="276"/>
      </w:pPr>
      <w:r>
        <w:rPr>
          <w:rFonts w:ascii="Arial" w:cs="Arial" w:eastAsia="Arial" w:hAnsi="Arial"/>
          <w:color w:val="2D3436"/>
          <w:sz w:val="22"/>
          <w:szCs w:val="22"/>
        </w:rPr>
        <w:t xml:space="preserve">Don’t list features. Tell a </w:t>
      </w:r>
      <w:r>
        <w:rPr>
          <w:rFonts w:ascii="Arial" w:cs="Arial" w:eastAsia="Arial" w:hAnsi="Arial"/>
          <w:b/>
          <w:bCs/>
          <w:color w:val="2D3436"/>
          <w:sz w:val="22"/>
          <w:szCs w:val="22"/>
        </w:rPr>
        <w:t xml:space="preserve">story around one idea</w:t>
      </w:r>
      <w:r>
        <w:rPr>
          <w:rFonts w:ascii="Arial" w:cs="Arial" w:eastAsia="Arial" w:hAnsi="Arial"/>
          <w:color w:val="2D3436"/>
          <w:sz w:val="22"/>
          <w:szCs w:val="22"/>
        </w:rPr>
        <w:t xml:space="preserve">, then click through to prove it.</w:t>
      </w:r>
    </w:p>
    <w:p>
      <w:pPr>
        <w:pStyle w:val="Heading2"/>
        <w:spacing w:after="80" w:before="220"/>
      </w:pPr>
      <w:r>
        <w:rPr>
          <w:rFonts w:ascii="Arial" w:cs="Arial" w:eastAsia="Arial" w:hAnsi="Arial"/>
          <w:b/>
          <w:bCs/>
          <w:color w:val="C0392B"/>
          <w:sz w:val="24"/>
          <w:szCs w:val="24"/>
        </w:rPr>
        <w:t xml:space="preserve">The 20-second opener</w:t>
      </w:r>
    </w:p>
    <w:p>
      <w:pPr>
        <w:pBdr>
          <w:left w:val="single" w:color="8A6D1F" w:sz="18" w:space="8"/>
        </w:pBdr>
        <w:shd w:fill="F2EFE6" w:val="clear"/>
        <w:spacing w:after="160" w:before="60" w:line="276"/>
        <w:ind w:left="220" w:right="160"/>
      </w:pPr>
      <w:r>
        <w:rPr>
          <w:rFonts w:ascii="Arial" w:cs="Arial" w:eastAsia="Arial" w:hAnsi="Arial"/>
          <w:i/>
          <w:iCs/>
          <w:color w:val="2D3436"/>
          <w:sz w:val="22"/>
          <w:szCs w:val="22"/>
        </w:rPr>
        <w:t xml:space="preserve">“CareerArc is a Career Operating System for Malaysia. Most job platforms only help you apply. Ours connects three people who never talk to each other today — the job seeker, the employer, and the university — around one single number: the Career Readiness Score.”</w:t>
      </w:r>
    </w:p>
    <w:p>
      <w:pPr>
        <w:pStyle w:val="Heading2"/>
        <w:spacing w:after="80" w:before="220"/>
      </w:pPr>
      <w:r>
        <w:rPr>
          <w:rFonts w:ascii="Arial" w:cs="Arial" w:eastAsia="Arial" w:hAnsi="Arial"/>
          <w:b/>
          <w:bCs/>
          <w:color w:val="C0392B"/>
          <w:sz w:val="24"/>
          <w:szCs w:val="24"/>
        </w:rPr>
        <w:t xml:space="preserve">The problem (say it in plain words)</w:t>
      </w:r>
    </w:p>
    <w:p>
      <w:pPr>
        <w:pBdr>
          <w:left w:val="single" w:color="8A6D1F" w:sz="18" w:space="8"/>
        </w:pBdr>
        <w:shd w:fill="F2EFE6" w:val="clear"/>
        <w:spacing w:after="160" w:before="60" w:line="276"/>
        <w:ind w:left="220" w:right="160"/>
      </w:pPr>
      <w:r>
        <w:rPr>
          <w:rFonts w:ascii="Arial" w:cs="Arial" w:eastAsia="Arial" w:hAnsi="Arial"/>
          <w:i/>
          <w:iCs/>
          <w:color w:val="2D3436"/>
          <w:sz w:val="22"/>
          <w:szCs w:val="22"/>
        </w:rPr>
        <w:t xml:space="preserve">“A fresh graduate sends 80 applications and gets ghosted. They don’t know why. The employer can’t tell who’s actually good. And the university only finds out their students couldn’t get jobs after they graduate — too late to help. It’s not a skills problem, it’s an information problem. Three groups, all blind.”</w:t>
      </w:r>
    </w:p>
    <w:p>
      <w:pPr>
        <w:pStyle w:val="Heading2"/>
        <w:spacing w:after="80" w:before="220"/>
      </w:pPr>
      <w:r>
        <w:rPr>
          <w:rFonts w:ascii="Arial" w:cs="Arial" w:eastAsia="Arial" w:hAnsi="Arial"/>
          <w:b/>
          <w:bCs/>
          <w:color w:val="C0392B"/>
          <w:sz w:val="24"/>
          <w:szCs w:val="24"/>
        </w:rPr>
        <w:t xml:space="preserve">The big idea (emphasise this)</w:t>
      </w:r>
    </w:p>
    <w:p>
      <w:pPr>
        <w:pBdr>
          <w:left w:val="single" w:color="8A6D1F" w:sz="18" w:space="8"/>
        </w:pBdr>
        <w:shd w:fill="F2EFE6" w:val="clear"/>
        <w:spacing w:after="40" w:before="60" w:line="276"/>
        <w:ind w:left="220" w:right="160"/>
      </w:pPr>
      <w:r>
        <w:rPr>
          <w:rFonts w:ascii="Arial" w:cs="Arial" w:eastAsia="Arial" w:hAnsi="Arial"/>
          <w:i/>
          <w:iCs/>
          <w:color w:val="2D3436"/>
          <w:sz w:val="22"/>
          <w:szCs w:val="22"/>
        </w:rPr>
        <w:t xml:space="preserve">“We give every student one Career Readiness Score out of 100, built from 5 things: resume, ATS, skill match, portfolio, and job activity. The clever part is the same score is read three ways:</w:t>
      </w:r>
    </w:p>
    <w:p>
      <w:pPr>
        <w:pBdr>
          <w:left w:val="single" w:color="8A6D1F" w:sz="18" w:space="8"/>
        </w:pBdr>
        <w:shd w:fill="F2EFE6" w:val="clear"/>
        <w:spacing w:after="40" w:before="0" w:line="276"/>
        <w:ind w:left="220" w:right="160"/>
      </w:pPr>
      <w:r>
        <w:rPr>
          <w:rFonts w:ascii="Arial" w:cs="Arial" w:eastAsia="Arial" w:hAnsi="Arial"/>
          <w:i/>
          <w:iCs/>
          <w:color w:val="2D3436"/>
          <w:sz w:val="22"/>
          <w:szCs w:val="22"/>
        </w:rPr>
        <w:t xml:space="preserve">•  The student sees it as ‘how ready am I, what do I fix next?’</w:t>
      </w:r>
    </w:p>
    <w:p>
      <w:pPr>
        <w:pBdr>
          <w:left w:val="single" w:color="8A6D1F" w:sz="18" w:space="8"/>
        </w:pBdr>
        <w:shd w:fill="F2EFE6" w:val="clear"/>
        <w:spacing w:after="40" w:before="0" w:line="276"/>
        <w:ind w:left="220" w:right="160"/>
      </w:pPr>
      <w:r>
        <w:rPr>
          <w:rFonts w:ascii="Arial" w:cs="Arial" w:eastAsia="Arial" w:hAnsi="Arial"/>
          <w:i/>
          <w:iCs/>
          <w:color w:val="2D3436"/>
          <w:sz w:val="22"/>
          <w:szCs w:val="22"/>
        </w:rPr>
        <w:t xml:space="preserve">•  The employer sees it as a hiring signal.</w:t>
      </w:r>
    </w:p>
    <w:p>
      <w:pPr>
        <w:pBdr>
          <w:left w:val="single" w:color="8A6D1F" w:sz="18" w:space="8"/>
        </w:pBdr>
        <w:shd w:fill="F2EFE6" w:val="clear"/>
        <w:spacing w:after="40" w:before="0" w:line="276"/>
        <w:ind w:left="220" w:right="160"/>
      </w:pPr>
      <w:r>
        <w:rPr>
          <w:rFonts w:ascii="Arial" w:cs="Arial" w:eastAsia="Arial" w:hAnsi="Arial"/>
          <w:i/>
          <w:iCs/>
          <w:color w:val="2D3436"/>
          <w:sz w:val="22"/>
          <w:szCs w:val="22"/>
        </w:rPr>
        <w:t xml:space="preserve">•  The university sees it as a warning light to help students early.</w:t>
      </w:r>
    </w:p>
    <w:p>
      <w:pPr>
        <w:pBdr>
          <w:left w:val="single" w:color="8A6D1F" w:sz="18" w:space="8"/>
        </w:pBdr>
        <w:shd w:fill="F2EFE6" w:val="clear"/>
        <w:spacing w:after="160" w:before="0" w:line="276"/>
        <w:ind w:left="220" w:right="160"/>
      </w:pPr>
      <w:r>
        <w:rPr>
          <w:rFonts w:ascii="Arial" w:cs="Arial" w:eastAsia="Arial" w:hAnsi="Arial"/>
          <w:i/>
          <w:iCs/>
          <w:color w:val="2D3436"/>
          <w:sz w:val="22"/>
          <w:szCs w:val="22"/>
        </w:rPr>
        <w:t xml:space="preserve">One number. Three points of view. That’s what makes it one connected system, not three separate tools.”</w:t>
      </w:r>
    </w:p>
    <w:p>
      <w:pPr>
        <w:pStyle w:val="Heading2"/>
        <w:spacing w:after="80" w:before="220"/>
      </w:pPr>
      <w:r>
        <w:rPr>
          <w:rFonts w:ascii="Arial" w:cs="Arial" w:eastAsia="Arial" w:hAnsi="Arial"/>
          <w:b/>
          <w:bCs/>
          <w:color w:val="C0392B"/>
          <w:sz w:val="24"/>
          <w:szCs w:val="24"/>
        </w:rPr>
        <w:t xml:space="preserve">The live demo (click, don’t talk) — the golden path</w:t>
      </w:r>
    </w:p>
    <w:p>
      <w:pPr>
        <w:pStyle w:val="ListParagraph"/>
        <w:numPr>
          <w:ilvl w:val="0"/>
          <w:numId w:val="2"/>
        </w:numPr>
        <w:spacing w:after="70" w:line="264"/>
      </w:pPr>
      <w:r>
        <w:rPr>
          <w:rFonts w:ascii="Arial" w:cs="Arial" w:eastAsia="Arial" w:hAnsi="Arial"/>
          <w:b/>
          <w:bCs/>
          <w:color w:val="2D3436"/>
          <w:sz w:val="22"/>
          <w:szCs w:val="22"/>
        </w:rPr>
        <w:t xml:space="preserve">Login → one-click “Candidate”</w:t>
      </w:r>
      <w:r>
        <w:rPr>
          <w:rFonts w:ascii="Arial" w:cs="Arial" w:eastAsia="Arial" w:hAnsi="Arial"/>
          <w:color w:val="2D3436"/>
          <w:sz w:val="22"/>
          <w:szCs w:val="22"/>
        </w:rPr>
        <w:t xml:space="preserve"> — “No password, judges get straight in.”</w:t>
      </w:r>
    </w:p>
    <w:p>
      <w:pPr>
        <w:pStyle w:val="ListParagraph"/>
        <w:numPr>
          <w:ilvl w:val="0"/>
          <w:numId w:val="2"/>
        </w:numPr>
        <w:spacing w:after="70" w:line="264"/>
      </w:pPr>
      <w:r>
        <w:rPr>
          <w:rFonts w:ascii="Arial" w:cs="Arial" w:eastAsia="Arial" w:hAnsi="Arial"/>
          <w:b/>
          <w:bCs/>
          <w:color w:val="2D3436"/>
          <w:sz w:val="22"/>
          <w:szCs w:val="22"/>
        </w:rPr>
        <w:t xml:space="preserve">Onboarding → Fresh Graduate</w:t>
      </w:r>
      <w:r>
        <w:rPr>
          <w:rFonts w:ascii="Arial" w:cs="Arial" w:eastAsia="Arial" w:hAnsi="Arial"/>
          <w:color w:val="2D3436"/>
          <w:sz w:val="22"/>
          <w:szCs w:val="22"/>
        </w:rPr>
        <w:t xml:space="preserve"> — “Watch the readiness score climb as they fill each step.”</w:t>
      </w:r>
    </w:p>
    <w:p>
      <w:pPr>
        <w:pStyle w:val="ListParagraph"/>
        <w:numPr>
          <w:ilvl w:val="0"/>
          <w:numId w:val="2"/>
        </w:numPr>
        <w:spacing w:after="70" w:line="264"/>
      </w:pPr>
      <w:r>
        <w:rPr>
          <w:rFonts w:ascii="Arial" w:cs="Arial" w:eastAsia="Arial" w:hAnsi="Arial"/>
          <w:b/>
          <w:bCs/>
          <w:color w:val="2D3436"/>
          <w:sz w:val="22"/>
          <w:szCs w:val="22"/>
        </w:rPr>
        <w:t xml:space="preserve">Dashboard</w:t>
      </w:r>
      <w:r>
        <w:rPr>
          <w:rFonts w:ascii="Arial" w:cs="Arial" w:eastAsia="Arial" w:hAnsi="Arial"/>
          <w:color w:val="2D3436"/>
          <w:sz w:val="22"/>
          <w:szCs w:val="22"/>
        </w:rPr>
        <w:t xml:space="preserve"> — “Their score, plus an AI tip on the single best thing to fix next.”</w:t>
      </w:r>
    </w:p>
    <w:p>
      <w:pPr>
        <w:pStyle w:val="ListParagraph"/>
        <w:numPr>
          <w:ilvl w:val="0"/>
          <w:numId w:val="2"/>
        </w:numPr>
        <w:spacing w:after="70" w:line="264"/>
      </w:pPr>
      <w:r>
        <w:rPr>
          <w:rFonts w:ascii="Arial" w:cs="Arial" w:eastAsia="Arial" w:hAnsi="Arial"/>
          <w:b/>
          <w:bCs/>
          <w:color w:val="2D3436"/>
          <w:sz w:val="22"/>
          <w:szCs w:val="22"/>
        </w:rPr>
        <w:t xml:space="preserve">A job → View &amp; Compare</w:t>
      </w:r>
      <w:r>
        <w:rPr>
          <w:rFonts w:ascii="Arial" w:cs="Arial" w:eastAsia="Arial" w:hAnsi="Arial"/>
          <w:color w:val="2D3436"/>
          <w:sz w:val="22"/>
          <w:szCs w:val="22"/>
        </w:rPr>
        <w:t xml:space="preserve"> — “Shows which skills they have/are missing, and a verdict: apply or not.” Then Apply → My Applications to track status.</w:t>
      </w:r>
    </w:p>
    <w:p>
      <w:pPr>
        <w:pStyle w:val="ListParagraph"/>
        <w:numPr>
          <w:ilvl w:val="0"/>
          <w:numId w:val="2"/>
        </w:numPr>
        <w:spacing w:after="70" w:line="264"/>
      </w:pPr>
      <w:r>
        <w:rPr>
          <w:rFonts w:ascii="Arial" w:cs="Arial" w:eastAsia="Arial" w:hAnsi="Arial"/>
          <w:b/>
          <w:bCs/>
          <w:color w:val="2D3436"/>
          <w:sz w:val="22"/>
          <w:szCs w:val="22"/>
        </w:rPr>
        <w:t xml:space="preserve">Switch to Employer → click an applicant</w:t>
      </w:r>
      <w:r>
        <w:rPr>
          <w:rFonts w:ascii="Arial" w:cs="Arial" w:eastAsia="Arial" w:hAnsi="Arial"/>
          <w:color w:val="2D3436"/>
          <w:sz w:val="22"/>
          <w:szCs w:val="22"/>
        </w:rPr>
        <w:t xml:space="preserve"> — “Same student; employer now sees score, personality, full resume.”</w:t>
      </w:r>
    </w:p>
    <w:p>
      <w:pPr>
        <w:pStyle w:val="ListParagraph"/>
        <w:numPr>
          <w:ilvl w:val="0"/>
          <w:numId w:val="2"/>
        </w:numPr>
        <w:spacing w:after="70" w:line="264"/>
      </w:pPr>
      <w:r>
        <w:rPr>
          <w:rFonts w:ascii="Arial" w:cs="Arial" w:eastAsia="Arial" w:hAnsi="Arial"/>
          <w:b/>
          <w:bCs/>
          <w:color w:val="2D3436"/>
          <w:sz w:val="22"/>
          <w:szCs w:val="22"/>
        </w:rPr>
        <w:t xml:space="preserve">Switch to University</w:t>
      </w:r>
      <w:r>
        <w:rPr>
          <w:rFonts w:ascii="Arial" w:cs="Arial" w:eastAsia="Arial" w:hAnsi="Arial"/>
          <w:color w:val="2D3436"/>
          <w:sz w:val="22"/>
          <w:szCs w:val="22"/>
        </w:rPr>
        <w:t xml:space="preserve"> — “Same scores; university sees which students are at risk and what help to give.”</w:t>
      </w:r>
    </w:p>
    <w:p>
      <w:pPr>
        <w:pStyle w:val="ListParagraph"/>
        <w:numPr>
          <w:ilvl w:val="0"/>
          <w:numId w:val="2"/>
        </w:numPr>
        <w:spacing w:after="70" w:line="264"/>
      </w:pPr>
      <w:r>
        <w:rPr>
          <w:rFonts w:ascii="Arial" w:cs="Arial" w:eastAsia="Arial" w:hAnsi="Arial"/>
          <w:b/>
          <w:bCs/>
          <w:color w:val="2D3436"/>
          <w:sz w:val="22"/>
          <w:szCs w:val="22"/>
        </w:rPr>
        <w:t xml:space="preserve">End on Impact &amp; SDG</w:t>
      </w:r>
      <w:r>
        <w:rPr>
          <w:rFonts w:ascii="Arial" w:cs="Arial" w:eastAsia="Arial" w:hAnsi="Arial"/>
          <w:color w:val="2D3436"/>
          <w:sz w:val="22"/>
          <w:szCs w:val="22"/>
        </w:rPr>
        <w:t xml:space="preserve"> — “And it all ties to the UN Global Goals.”</w:t>
      </w:r>
    </w:p>
    <w:p>
      <w:pPr>
        <w:pStyle w:val="Heading2"/>
        <w:spacing w:after="80" w:before="220"/>
      </w:pPr>
      <w:r>
        <w:rPr>
          <w:rFonts w:ascii="Arial" w:cs="Arial" w:eastAsia="Arial" w:hAnsi="Arial"/>
          <w:b/>
          <w:bCs/>
          <w:color w:val="C0392B"/>
          <w:sz w:val="24"/>
          <w:szCs w:val="24"/>
        </w:rPr>
        <w:t xml:space="preserve">Likely mentor questions + answers</w:t>
      </w:r>
    </w:p>
    <w:p>
      <w:pPr>
        <w:pStyle w:val="ListParagraph"/>
        <w:numPr>
          <w:ilvl w:val="0"/>
          <w:numId w:val="3"/>
        </w:numPr>
        <w:spacing w:after="60" w:line="264"/>
      </w:pPr>
      <w:r>
        <w:rPr>
          <w:rFonts w:ascii="Arial" w:cs="Arial" w:eastAsia="Arial" w:hAnsi="Arial"/>
          <w:b/>
          <w:bCs/>
          <w:color w:val="2D3436"/>
          <w:sz w:val="22"/>
          <w:szCs w:val="22"/>
        </w:rPr>
        <w:t xml:space="preserve">“Is the data real?” </w:t>
      </w:r>
      <w:r>
        <w:rPr>
          <w:rFonts w:ascii="Arial" w:cs="Arial" w:eastAsia="Arial" w:hAnsi="Arial"/>
          <w:color w:val="2D3436"/>
          <w:sz w:val="22"/>
          <w:szCs w:val="22"/>
        </w:rPr>
        <w:t xml:space="preserve">→ “Simulated dummy data for the prototype — the hackathon rules ask for that. The logic and workflow are real; only the numbers are seeded.”</w:t>
      </w:r>
    </w:p>
    <w:p>
      <w:pPr>
        <w:pStyle w:val="ListParagraph"/>
        <w:numPr>
          <w:ilvl w:val="0"/>
          <w:numId w:val="3"/>
        </w:numPr>
        <w:spacing w:after="60" w:line="264"/>
      </w:pPr>
      <w:r>
        <w:rPr>
          <w:rFonts w:ascii="Arial" w:cs="Arial" w:eastAsia="Arial" w:hAnsi="Arial"/>
          <w:b/>
          <w:bCs/>
          <w:color w:val="2D3436"/>
          <w:sz w:val="22"/>
          <w:szCs w:val="22"/>
        </w:rPr>
        <w:t xml:space="preserve">“Is the AI real?” </w:t>
      </w:r>
      <w:r>
        <w:rPr>
          <w:rFonts w:ascii="Arial" w:cs="Arial" w:eastAsia="Arial" w:hAnsi="Arial"/>
          <w:color w:val="2D3436"/>
          <w:sz w:val="22"/>
          <w:szCs w:val="22"/>
        </w:rPr>
        <w:t xml:space="preserve">→ “We simulate the AI responses to show the thinking, exactly as the brief allows. Real AI is a bonus for the next stage.”</w:t>
      </w:r>
    </w:p>
    <w:p>
      <w:pPr>
        <w:pStyle w:val="ListParagraph"/>
        <w:numPr>
          <w:ilvl w:val="0"/>
          <w:numId w:val="3"/>
        </w:numPr>
        <w:spacing w:after="60" w:line="264"/>
      </w:pPr>
      <w:r>
        <w:rPr>
          <w:rFonts w:ascii="Arial" w:cs="Arial" w:eastAsia="Arial" w:hAnsi="Arial"/>
          <w:b/>
          <w:bCs/>
          <w:color w:val="2D3436"/>
          <w:sz w:val="22"/>
          <w:szCs w:val="22"/>
        </w:rPr>
        <w:t xml:space="preserve">“How is this different from JobStreet / LinkedIn?” </w:t>
      </w:r>
      <w:r>
        <w:rPr>
          <w:rFonts w:ascii="Arial" w:cs="Arial" w:eastAsia="Arial" w:hAnsi="Arial"/>
          <w:color w:val="2D3436"/>
          <w:sz w:val="22"/>
          <w:szCs w:val="22"/>
        </w:rPr>
        <w:t xml:space="preserve">→ “They connect candidate to employer. We add the university as a third player and give everyone one shared score — nobody else does the early-intervention angle.”</w:t>
      </w:r>
    </w:p>
    <w:p>
      <w:pPr>
        <w:pStyle w:val="Heading2"/>
        <w:spacing w:after="80" w:before="220"/>
      </w:pPr>
      <w:r>
        <w:rPr>
          <w:rFonts w:ascii="Arial" w:cs="Arial" w:eastAsia="Arial" w:hAnsi="Arial"/>
          <w:b/>
          <w:bCs/>
          <w:color w:val="C0392B"/>
          <w:sz w:val="24"/>
          <w:szCs w:val="24"/>
        </w:rPr>
        <w:t xml:space="preserve">Questions to ask your mentor</w:t>
      </w:r>
    </w:p>
    <w:p>
      <w:pPr>
        <w:pStyle w:val="ListParagraph"/>
        <w:numPr>
          <w:ilvl w:val="0"/>
          <w:numId w:val="3"/>
        </w:numPr>
        <w:spacing w:after="60" w:line="264"/>
      </w:pPr>
      <w:r>
        <w:rPr>
          <w:rFonts w:ascii="Arial" w:cs="Arial" w:eastAsia="Arial" w:hAnsi="Arial"/>
          <w:color w:val="2D3436"/>
          <w:sz w:val="22"/>
          <w:szCs w:val="22"/>
        </w:rPr>
        <w:t xml:space="preserve">“Which user should be the star of our final pitch — candidate, employer, or university?”</w:t>
      </w:r>
    </w:p>
    <w:p>
      <w:pPr>
        <w:pStyle w:val="ListParagraph"/>
        <w:numPr>
          <w:ilvl w:val="0"/>
          <w:numId w:val="3"/>
        </w:numPr>
        <w:spacing w:after="60" w:line="264"/>
      </w:pPr>
      <w:r>
        <w:rPr>
          <w:rFonts w:ascii="Arial" w:cs="Arial" w:eastAsia="Arial" w:hAnsi="Arial"/>
          <w:color w:val="2D3436"/>
          <w:sz w:val="22"/>
          <w:szCs w:val="22"/>
        </w:rPr>
        <w:t xml:space="preserve">“Is the ‘one score, three views’ idea clear, or should we make it more obvious?”</w:t>
      </w:r>
    </w:p>
    <w:p>
      <w:pPr>
        <w:pStyle w:val="ListParagraph"/>
        <w:numPr>
          <w:ilvl w:val="0"/>
          <w:numId w:val="3"/>
        </w:numPr>
        <w:spacing w:after="60" w:line="264"/>
      </w:pPr>
      <w:r>
        <w:rPr>
          <w:rFonts w:ascii="Arial" w:cs="Arial" w:eastAsia="Arial" w:hAnsi="Arial"/>
          <w:color w:val="2D3436"/>
          <w:sz w:val="22"/>
          <w:szCs w:val="22"/>
        </w:rPr>
        <w:t xml:space="preserve">“Which SDG angle is strongest for the judges?”</w:t>
      </w:r>
    </w:p>
    <w:p>
      <w:pPr>
        <w:pStyle w:val="Heading1"/>
        <w:pBdr>
          <w:bottom w:val="single" w:color="8A6D1F" w:sz="10" w:space="4"/>
        </w:pBdr>
        <w:spacing w:after="140" w:before="320"/>
      </w:pPr>
      <w:r>
        <w:rPr>
          <w:rFonts w:ascii="Arial" w:cs="Arial" w:eastAsia="Arial" w:hAnsi="Arial"/>
          <w:b/>
          <w:bCs/>
          <w:color w:val="2D3436"/>
          <w:sz w:val="30"/>
          <w:szCs w:val="30"/>
        </w:rPr>
        <w:t xml:space="preserve">Part 2 — The SDG page, explained simply</w:t>
      </w:r>
    </w:p>
    <w:p>
      <w:pPr>
        <w:spacing w:after="120" w:line="276"/>
      </w:pPr>
      <w:r>
        <w:rPr>
          <w:rFonts w:ascii="Arial" w:cs="Arial" w:eastAsia="Arial" w:hAnsi="Arial"/>
          <w:b/>
          <w:bCs/>
          <w:color w:val="2D3436"/>
          <w:sz w:val="22"/>
          <w:szCs w:val="22"/>
        </w:rPr>
        <w:t xml:space="preserve">What is an SDG?  </w:t>
      </w:r>
      <w:r>
        <w:rPr>
          <w:rFonts w:ascii="Arial" w:cs="Arial" w:eastAsia="Arial" w:hAnsi="Arial"/>
          <w:color w:val="2D3436"/>
          <w:sz w:val="22"/>
          <w:szCs w:val="22"/>
        </w:rPr>
        <w:t xml:space="preserve">In 2015, almost every country in the world made a “to-do list to fix the planet by 2030.” That list has 17 goals — things like no poverty, good schools, clean water, decent jobs. Each has a number. They’re the UN Sustainable Development Goals (SDGs) — the world’s homework checklist.</w:t>
      </w:r>
    </w:p>
    <w:p>
      <w:pPr>
        <w:spacing w:after="120" w:line="276"/>
      </w:pPr>
      <w:r>
        <w:rPr>
          <w:rFonts w:ascii="Arial" w:cs="Arial" w:eastAsia="Arial" w:hAnsi="Arial"/>
          <w:b/>
          <w:bCs/>
          <w:color w:val="2D3436"/>
          <w:sz w:val="22"/>
          <w:szCs w:val="22"/>
        </w:rPr>
        <w:t xml:space="preserve">What our SDG page does.  </w:t>
      </w:r>
      <w:r>
        <w:rPr>
          <w:rFonts w:ascii="Arial" w:cs="Arial" w:eastAsia="Arial" w:hAnsi="Arial"/>
          <w:color w:val="2D3436"/>
          <w:sz w:val="22"/>
          <w:szCs w:val="22"/>
        </w:rPr>
        <w:t xml:space="preserve">It’s CareerArc raising its hand and saying: “Out of the world’s 17 goals, we help with THREE.” It’s our report card for doing good.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1900"/>
        <w:gridCol w:w="2900"/>
        <w:gridCol w:w="3226"/>
      </w:tblGrid>
      <w:tr>
        <w:trPr>
          <w:tblHeader/>
        </w:trPr>
        <w:tc>
          <w:tcPr>
            <w:tcW w:type="dxa" w:w="1000"/>
            <w:tcBorders>
              <w:top w:val="single" w:color="D8CDB4" w:sz="1"/>
              <w:left w:val="single" w:color="D8CDB4" w:sz="1"/>
              <w:bottom w:val="single" w:color="D8CDB4" w:sz="1"/>
              <w:right w:val="single" w:color="D8CDB4" w:sz="1"/>
            </w:tcBorders>
            <w:shd w:fill="8A6D1F" w:val="clear"/>
            <w:tcMar>
              <w:top w:type="dxa" w:w="70"/>
              <w:left w:type="dxa" w:w="120"/>
              <w:bottom w:type="dxa" w:w="70"/>
              <w:right w:type="dxa" w:w="120"/>
            </w:tcMar>
          </w:tcPr>
          <w:p>
            <w:pPr>
              <w:spacing w:after="0" w:line="252"/>
            </w:pPr>
            <w:r>
              <w:rPr>
                <w:rFonts w:ascii="Arial" w:cs="Arial" w:eastAsia="Arial" w:hAnsi="Arial"/>
                <w:b/>
                <w:bCs/>
                <w:color w:val="FFFFFF"/>
                <w:sz w:val="20"/>
                <w:szCs w:val="20"/>
              </w:rPr>
              <w:t xml:space="preserve">Goal</w:t>
            </w:r>
          </w:p>
        </w:tc>
        <w:tc>
          <w:tcPr>
            <w:tcW w:type="dxa" w:w="1900"/>
            <w:tcBorders>
              <w:top w:val="single" w:color="D8CDB4" w:sz="1"/>
              <w:left w:val="single" w:color="D8CDB4" w:sz="1"/>
              <w:bottom w:val="single" w:color="D8CDB4" w:sz="1"/>
              <w:right w:val="single" w:color="D8CDB4" w:sz="1"/>
            </w:tcBorders>
            <w:shd w:fill="8A6D1F" w:val="clear"/>
            <w:tcMar>
              <w:top w:type="dxa" w:w="70"/>
              <w:left w:type="dxa" w:w="120"/>
              <w:bottom w:type="dxa" w:w="70"/>
              <w:right w:type="dxa" w:w="120"/>
            </w:tcMar>
          </w:tcPr>
          <w:p>
            <w:pPr>
              <w:spacing w:after="0" w:line="252"/>
            </w:pPr>
            <w:r>
              <w:rPr>
                <w:rFonts w:ascii="Arial" w:cs="Arial" w:eastAsia="Arial" w:hAnsi="Arial"/>
                <w:b/>
                <w:bCs/>
                <w:color w:val="FFFFFF"/>
                <w:sz w:val="20"/>
                <w:szCs w:val="20"/>
              </w:rPr>
              <w:t xml:space="preserve">Real name</w:t>
            </w:r>
          </w:p>
        </w:tc>
        <w:tc>
          <w:tcPr>
            <w:tcW w:type="dxa" w:w="2900"/>
            <w:tcBorders>
              <w:top w:val="single" w:color="D8CDB4" w:sz="1"/>
              <w:left w:val="single" w:color="D8CDB4" w:sz="1"/>
              <w:bottom w:val="single" w:color="D8CDB4" w:sz="1"/>
              <w:right w:val="single" w:color="D8CDB4" w:sz="1"/>
            </w:tcBorders>
            <w:shd w:fill="8A6D1F" w:val="clear"/>
            <w:tcMar>
              <w:top w:type="dxa" w:w="70"/>
              <w:left w:type="dxa" w:w="120"/>
              <w:bottom w:type="dxa" w:w="70"/>
              <w:right w:type="dxa" w:w="120"/>
            </w:tcMar>
          </w:tcPr>
          <w:p>
            <w:pPr>
              <w:spacing w:after="0" w:line="252"/>
            </w:pPr>
            <w:r>
              <w:rPr>
                <w:rFonts w:ascii="Arial" w:cs="Arial" w:eastAsia="Arial" w:hAnsi="Arial"/>
                <w:b/>
                <w:bCs/>
                <w:color w:val="FFFFFF"/>
                <w:sz w:val="20"/>
                <w:szCs w:val="20"/>
              </w:rPr>
              <w:t xml:space="preserve">What it means (simple)</w:t>
            </w:r>
          </w:p>
        </w:tc>
        <w:tc>
          <w:tcPr>
            <w:tcW w:type="dxa" w:w="3226"/>
            <w:tcBorders>
              <w:top w:val="single" w:color="D8CDB4" w:sz="1"/>
              <w:left w:val="single" w:color="D8CDB4" w:sz="1"/>
              <w:bottom w:val="single" w:color="D8CDB4" w:sz="1"/>
              <w:right w:val="single" w:color="D8CDB4" w:sz="1"/>
            </w:tcBorders>
            <w:shd w:fill="8A6D1F" w:val="clear"/>
            <w:tcMar>
              <w:top w:type="dxa" w:w="70"/>
              <w:left w:type="dxa" w:w="120"/>
              <w:bottom w:type="dxa" w:w="70"/>
              <w:right w:type="dxa" w:w="120"/>
            </w:tcMar>
          </w:tcPr>
          <w:p>
            <w:pPr>
              <w:spacing w:after="0" w:line="252"/>
            </w:pPr>
            <w:r>
              <w:rPr>
                <w:rFonts w:ascii="Arial" w:cs="Arial" w:eastAsia="Arial" w:hAnsi="Arial"/>
                <w:b/>
                <w:bCs/>
                <w:color w:val="FFFFFF"/>
                <w:sz w:val="20"/>
                <w:szCs w:val="20"/>
              </w:rPr>
              <w:t xml:space="preserve">How we help</w:t>
            </w:r>
          </w:p>
        </w:tc>
      </w:tr>
      <w:tr>
        <w:tc>
          <w:tcPr>
            <w:tcW w:type="dxa" w:w="1000"/>
            <w:tcBorders>
              <w:top w:val="single" w:color="D8CDB4" w:sz="1"/>
              <w:left w:val="single" w:color="D8CDB4" w:sz="1"/>
              <w:bottom w:val="single" w:color="D8CDB4" w:sz="1"/>
              <w:right w:val="single" w:color="D8CDB4" w:sz="1"/>
            </w:tcBorders>
            <w:shd w:fill="FFFFFF" w:val="clear"/>
            <w:tcMar>
              <w:top w:type="dxa" w:w="70"/>
              <w:left w:type="dxa" w:w="120"/>
              <w:bottom w:type="dxa" w:w="70"/>
              <w:right w:type="dxa" w:w="120"/>
            </w:tcMar>
          </w:tcPr>
          <w:p>
            <w:pPr>
              <w:spacing w:after="0" w:line="252"/>
            </w:pPr>
            <w:r>
              <w:rPr>
                <w:rFonts w:ascii="Arial" w:cs="Arial" w:eastAsia="Arial" w:hAnsi="Arial"/>
                <w:b w:val="false"/>
                <w:bCs w:val="false"/>
                <w:color w:val="2D3436"/>
                <w:sz w:val="20"/>
                <w:szCs w:val="20"/>
              </w:rPr>
              <w:t xml:space="preserve">SDG 4</w:t>
            </w:r>
          </w:p>
        </w:tc>
        <w:tc>
          <w:tcPr>
            <w:tcW w:type="dxa" w:w="1900"/>
            <w:tcBorders>
              <w:top w:val="single" w:color="D8CDB4" w:sz="1"/>
              <w:left w:val="single" w:color="D8CDB4" w:sz="1"/>
              <w:bottom w:val="single" w:color="D8CDB4" w:sz="1"/>
              <w:right w:val="single" w:color="D8CDB4" w:sz="1"/>
            </w:tcBorders>
            <w:shd w:fill="FFFFFF" w:val="clear"/>
            <w:tcMar>
              <w:top w:type="dxa" w:w="70"/>
              <w:left w:type="dxa" w:w="120"/>
              <w:bottom w:type="dxa" w:w="70"/>
              <w:right w:type="dxa" w:w="120"/>
            </w:tcMar>
          </w:tcPr>
          <w:p>
            <w:pPr>
              <w:spacing w:after="0" w:line="252"/>
            </w:pPr>
            <w:r>
              <w:rPr>
                <w:rFonts w:ascii="Arial" w:cs="Arial" w:eastAsia="Arial" w:hAnsi="Arial"/>
                <w:b w:val="false"/>
                <w:bCs w:val="false"/>
                <w:color w:val="2D3436"/>
                <w:sz w:val="20"/>
                <w:szCs w:val="20"/>
              </w:rPr>
              <w:t xml:space="preserve">Quality Education</w:t>
            </w:r>
          </w:p>
        </w:tc>
        <w:tc>
          <w:tcPr>
            <w:tcW w:type="dxa" w:w="2900"/>
            <w:tcBorders>
              <w:top w:val="single" w:color="D8CDB4" w:sz="1"/>
              <w:left w:val="single" w:color="D8CDB4" w:sz="1"/>
              <w:bottom w:val="single" w:color="D8CDB4" w:sz="1"/>
              <w:right w:val="single" w:color="D8CDB4" w:sz="1"/>
            </w:tcBorders>
            <w:shd w:fill="FFFFFF" w:val="clear"/>
            <w:tcMar>
              <w:top w:type="dxa" w:w="70"/>
              <w:left w:type="dxa" w:w="120"/>
              <w:bottom w:type="dxa" w:w="70"/>
              <w:right w:type="dxa" w:w="120"/>
            </w:tcMar>
          </w:tcPr>
          <w:p>
            <w:pPr>
              <w:spacing w:after="0" w:line="252"/>
            </w:pPr>
            <w:r>
              <w:rPr>
                <w:rFonts w:ascii="Arial" w:cs="Arial" w:eastAsia="Arial" w:hAnsi="Arial"/>
                <w:b w:val="false"/>
                <w:bCs w:val="false"/>
                <w:color w:val="2D3436"/>
                <w:sz w:val="20"/>
                <w:szCs w:val="20"/>
              </w:rPr>
              <w:t xml:space="preserve">Good schools that teach useful stuff</w:t>
            </w:r>
          </w:p>
        </w:tc>
        <w:tc>
          <w:tcPr>
            <w:tcW w:type="dxa" w:w="3226"/>
            <w:tcBorders>
              <w:top w:val="single" w:color="D8CDB4" w:sz="1"/>
              <w:left w:val="single" w:color="D8CDB4" w:sz="1"/>
              <w:bottom w:val="single" w:color="D8CDB4" w:sz="1"/>
              <w:right w:val="single" w:color="D8CDB4" w:sz="1"/>
            </w:tcBorders>
            <w:shd w:fill="FFFFFF" w:val="clear"/>
            <w:tcMar>
              <w:top w:type="dxa" w:w="70"/>
              <w:left w:type="dxa" w:w="120"/>
              <w:bottom w:type="dxa" w:w="70"/>
              <w:right w:type="dxa" w:w="120"/>
            </w:tcMar>
          </w:tcPr>
          <w:p>
            <w:pPr>
              <w:spacing w:after="0" w:line="252"/>
            </w:pPr>
            <w:r>
              <w:rPr>
                <w:rFonts w:ascii="Arial" w:cs="Arial" w:eastAsia="Arial" w:hAnsi="Arial"/>
                <w:b w:val="false"/>
                <w:bCs w:val="false"/>
                <w:color w:val="2D3436"/>
                <w:sz w:val="20"/>
                <w:szCs w:val="20"/>
              </w:rPr>
              <w:t xml:space="preserve">We show universities which skills students lack, so they teach the right things</w:t>
            </w:r>
          </w:p>
        </w:tc>
      </w:tr>
      <w:tr>
        <w:tc>
          <w:tcPr>
            <w:tcW w:type="dxa" w:w="1000"/>
            <w:tcBorders>
              <w:top w:val="single" w:color="D8CDB4" w:sz="1"/>
              <w:left w:val="single" w:color="D8CDB4" w:sz="1"/>
              <w:bottom w:val="single" w:color="D8CDB4" w:sz="1"/>
              <w:right w:val="single" w:color="D8CDB4" w:sz="1"/>
            </w:tcBorders>
            <w:shd w:fill="FBF9F3" w:val="clear"/>
            <w:tcMar>
              <w:top w:type="dxa" w:w="70"/>
              <w:left w:type="dxa" w:w="120"/>
              <w:bottom w:type="dxa" w:w="70"/>
              <w:right w:type="dxa" w:w="120"/>
            </w:tcMar>
          </w:tcPr>
          <w:p>
            <w:pPr>
              <w:spacing w:after="0" w:line="252"/>
            </w:pPr>
            <w:r>
              <w:rPr>
                <w:rFonts w:ascii="Arial" w:cs="Arial" w:eastAsia="Arial" w:hAnsi="Arial"/>
                <w:b w:val="false"/>
                <w:bCs w:val="false"/>
                <w:color w:val="2D3436"/>
                <w:sz w:val="20"/>
                <w:szCs w:val="20"/>
              </w:rPr>
              <w:t xml:space="preserve">SDG 8</w:t>
            </w:r>
          </w:p>
        </w:tc>
        <w:tc>
          <w:tcPr>
            <w:tcW w:type="dxa" w:w="1900"/>
            <w:tcBorders>
              <w:top w:val="single" w:color="D8CDB4" w:sz="1"/>
              <w:left w:val="single" w:color="D8CDB4" w:sz="1"/>
              <w:bottom w:val="single" w:color="D8CDB4" w:sz="1"/>
              <w:right w:val="single" w:color="D8CDB4" w:sz="1"/>
            </w:tcBorders>
            <w:shd w:fill="FBF9F3" w:val="clear"/>
            <w:tcMar>
              <w:top w:type="dxa" w:w="70"/>
              <w:left w:type="dxa" w:w="120"/>
              <w:bottom w:type="dxa" w:w="70"/>
              <w:right w:type="dxa" w:w="120"/>
            </w:tcMar>
          </w:tcPr>
          <w:p>
            <w:pPr>
              <w:spacing w:after="0" w:line="252"/>
            </w:pPr>
            <w:r>
              <w:rPr>
                <w:rFonts w:ascii="Arial" w:cs="Arial" w:eastAsia="Arial" w:hAnsi="Arial"/>
                <w:b w:val="false"/>
                <w:bCs w:val="false"/>
                <w:color w:val="2D3436"/>
                <w:sz w:val="20"/>
                <w:szCs w:val="20"/>
              </w:rPr>
              <w:t xml:space="preserve">Decent Work</w:t>
            </w:r>
          </w:p>
        </w:tc>
        <w:tc>
          <w:tcPr>
            <w:tcW w:type="dxa" w:w="2900"/>
            <w:tcBorders>
              <w:top w:val="single" w:color="D8CDB4" w:sz="1"/>
              <w:left w:val="single" w:color="D8CDB4" w:sz="1"/>
              <w:bottom w:val="single" w:color="D8CDB4" w:sz="1"/>
              <w:right w:val="single" w:color="D8CDB4" w:sz="1"/>
            </w:tcBorders>
            <w:shd w:fill="FBF9F3" w:val="clear"/>
            <w:tcMar>
              <w:top w:type="dxa" w:w="70"/>
              <w:left w:type="dxa" w:w="120"/>
              <w:bottom w:type="dxa" w:w="70"/>
              <w:right w:type="dxa" w:w="120"/>
            </w:tcMar>
          </w:tcPr>
          <w:p>
            <w:pPr>
              <w:spacing w:after="0" w:line="252"/>
            </w:pPr>
            <w:r>
              <w:rPr>
                <w:rFonts w:ascii="Arial" w:cs="Arial" w:eastAsia="Arial" w:hAnsi="Arial"/>
                <w:b w:val="false"/>
                <w:bCs w:val="false"/>
                <w:color w:val="2D3436"/>
                <w:sz w:val="20"/>
                <w:szCs w:val="20"/>
              </w:rPr>
              <w:t xml:space="preserve">Fair jobs where people are treated well</w:t>
            </w:r>
          </w:p>
        </w:tc>
        <w:tc>
          <w:tcPr>
            <w:tcW w:type="dxa" w:w="3226"/>
            <w:tcBorders>
              <w:top w:val="single" w:color="D8CDB4" w:sz="1"/>
              <w:left w:val="single" w:color="D8CDB4" w:sz="1"/>
              <w:bottom w:val="single" w:color="D8CDB4" w:sz="1"/>
              <w:right w:val="single" w:color="D8CDB4" w:sz="1"/>
            </w:tcBorders>
            <w:shd w:fill="FBF9F3" w:val="clear"/>
            <w:tcMar>
              <w:top w:type="dxa" w:w="70"/>
              <w:left w:type="dxa" w:w="120"/>
              <w:bottom w:type="dxa" w:w="70"/>
              <w:right w:type="dxa" w:w="120"/>
            </w:tcMar>
          </w:tcPr>
          <w:p>
            <w:pPr>
              <w:spacing w:after="0" w:line="252"/>
            </w:pPr>
            <w:r>
              <w:rPr>
                <w:rFonts w:ascii="Arial" w:cs="Arial" w:eastAsia="Arial" w:hAnsi="Arial"/>
                <w:b w:val="false"/>
                <w:bCs w:val="false"/>
                <w:color w:val="2D3436"/>
                <w:sz w:val="20"/>
                <w:szCs w:val="20"/>
              </w:rPr>
              <w:t xml:space="preserve">We show fair salary info and stop employers ghosting people</w:t>
            </w:r>
          </w:p>
        </w:tc>
      </w:tr>
      <w:tr>
        <w:tc>
          <w:tcPr>
            <w:tcW w:type="dxa" w:w="1000"/>
            <w:tcBorders>
              <w:top w:val="single" w:color="D8CDB4" w:sz="1"/>
              <w:left w:val="single" w:color="D8CDB4" w:sz="1"/>
              <w:bottom w:val="single" w:color="D8CDB4" w:sz="1"/>
              <w:right w:val="single" w:color="D8CDB4" w:sz="1"/>
            </w:tcBorders>
            <w:shd w:fill="FFFFFF" w:val="clear"/>
            <w:tcMar>
              <w:top w:type="dxa" w:w="70"/>
              <w:left w:type="dxa" w:w="120"/>
              <w:bottom w:type="dxa" w:w="70"/>
              <w:right w:type="dxa" w:w="120"/>
            </w:tcMar>
          </w:tcPr>
          <w:p>
            <w:pPr>
              <w:spacing w:after="0" w:line="252"/>
            </w:pPr>
            <w:r>
              <w:rPr>
                <w:rFonts w:ascii="Arial" w:cs="Arial" w:eastAsia="Arial" w:hAnsi="Arial"/>
                <w:b w:val="false"/>
                <w:bCs w:val="false"/>
                <w:color w:val="2D3436"/>
                <w:sz w:val="20"/>
                <w:szCs w:val="20"/>
              </w:rPr>
              <w:t xml:space="preserve">SDG 17</w:t>
            </w:r>
          </w:p>
        </w:tc>
        <w:tc>
          <w:tcPr>
            <w:tcW w:type="dxa" w:w="1900"/>
            <w:tcBorders>
              <w:top w:val="single" w:color="D8CDB4" w:sz="1"/>
              <w:left w:val="single" w:color="D8CDB4" w:sz="1"/>
              <w:bottom w:val="single" w:color="D8CDB4" w:sz="1"/>
              <w:right w:val="single" w:color="D8CDB4" w:sz="1"/>
            </w:tcBorders>
            <w:shd w:fill="FFFFFF" w:val="clear"/>
            <w:tcMar>
              <w:top w:type="dxa" w:w="70"/>
              <w:left w:type="dxa" w:w="120"/>
              <w:bottom w:type="dxa" w:w="70"/>
              <w:right w:type="dxa" w:w="120"/>
            </w:tcMar>
          </w:tcPr>
          <w:p>
            <w:pPr>
              <w:spacing w:after="0" w:line="252"/>
            </w:pPr>
            <w:r>
              <w:rPr>
                <w:rFonts w:ascii="Arial" w:cs="Arial" w:eastAsia="Arial" w:hAnsi="Arial"/>
                <w:b w:val="false"/>
                <w:bCs w:val="false"/>
                <w:color w:val="2D3436"/>
                <w:sz w:val="20"/>
                <w:szCs w:val="20"/>
              </w:rPr>
              <w:t xml:space="preserve">Partnerships</w:t>
            </w:r>
          </w:p>
        </w:tc>
        <w:tc>
          <w:tcPr>
            <w:tcW w:type="dxa" w:w="2900"/>
            <w:tcBorders>
              <w:top w:val="single" w:color="D8CDB4" w:sz="1"/>
              <w:left w:val="single" w:color="D8CDB4" w:sz="1"/>
              <w:bottom w:val="single" w:color="D8CDB4" w:sz="1"/>
              <w:right w:val="single" w:color="D8CDB4" w:sz="1"/>
            </w:tcBorders>
            <w:shd w:fill="FFFFFF" w:val="clear"/>
            <w:tcMar>
              <w:top w:type="dxa" w:w="70"/>
              <w:left w:type="dxa" w:w="120"/>
              <w:bottom w:type="dxa" w:w="70"/>
              <w:right w:type="dxa" w:w="120"/>
            </w:tcMar>
          </w:tcPr>
          <w:p>
            <w:pPr>
              <w:spacing w:after="0" w:line="252"/>
            </w:pPr>
            <w:r>
              <w:rPr>
                <w:rFonts w:ascii="Arial" w:cs="Arial" w:eastAsia="Arial" w:hAnsi="Arial"/>
                <w:b w:val="false"/>
                <w:bCs w:val="false"/>
                <w:color w:val="2D3436"/>
                <w:sz w:val="20"/>
                <w:szCs w:val="20"/>
              </w:rPr>
              <w:t xml:space="preserve">Everyone working together</w:t>
            </w:r>
          </w:p>
        </w:tc>
        <w:tc>
          <w:tcPr>
            <w:tcW w:type="dxa" w:w="3226"/>
            <w:tcBorders>
              <w:top w:val="single" w:color="D8CDB4" w:sz="1"/>
              <w:left w:val="single" w:color="D8CDB4" w:sz="1"/>
              <w:bottom w:val="single" w:color="D8CDB4" w:sz="1"/>
              <w:right w:val="single" w:color="D8CDB4" w:sz="1"/>
            </w:tcBorders>
            <w:shd w:fill="FFFFFF" w:val="clear"/>
            <w:tcMar>
              <w:top w:type="dxa" w:w="70"/>
              <w:left w:type="dxa" w:w="120"/>
              <w:bottom w:type="dxa" w:w="70"/>
              <w:right w:type="dxa" w:w="120"/>
            </w:tcMar>
          </w:tcPr>
          <w:p>
            <w:pPr>
              <w:spacing w:after="0" w:line="252"/>
            </w:pPr>
            <w:r>
              <w:rPr>
                <w:rFonts w:ascii="Arial" w:cs="Arial" w:eastAsia="Arial" w:hAnsi="Arial"/>
                <w:b w:val="false"/>
                <w:bCs w:val="false"/>
                <w:color w:val="2D3436"/>
                <w:sz w:val="20"/>
                <w:szCs w:val="20"/>
              </w:rPr>
              <w:t xml:space="preserve">We put students, employers and universities on ONE platform</w:t>
            </w:r>
          </w:p>
        </w:tc>
      </w:tr>
    </w:tbl>
    <w:p>
      <w:pPr>
        <w:spacing w:after="100"/>
      </w:pPr>
    </w:p>
    <w:p>
      <w:pPr>
        <w:pStyle w:val="ListParagraph"/>
        <w:numPr>
          <w:ilvl w:val="0"/>
          <w:numId w:val="3"/>
        </w:numPr>
        <w:spacing w:after="60" w:line="264"/>
      </w:pPr>
      <w:r>
        <w:rPr>
          <w:rFonts w:ascii="Arial" w:cs="Arial" w:eastAsia="Arial" w:hAnsi="Arial"/>
          <w:b/>
          <w:bCs/>
          <w:color w:val="2D3436"/>
          <w:sz w:val="22"/>
          <w:szCs w:val="22"/>
        </w:rPr>
        <w:t xml:space="preserve">Top numbers </w:t>
      </w:r>
      <w:r>
        <w:rPr>
          <w:rFonts w:ascii="Arial" w:cs="Arial" w:eastAsia="Arial" w:hAnsi="Arial"/>
          <w:color w:val="2D3436"/>
          <w:sz w:val="22"/>
          <w:szCs w:val="22"/>
        </w:rPr>
        <w:t xml:space="preserve">(312K, +9pts, −28%, −61%) = our “look how much good we did” scoreboard.</w:t>
      </w:r>
    </w:p>
    <w:p>
      <w:pPr>
        <w:pStyle w:val="ListParagraph"/>
        <w:numPr>
          <w:ilvl w:val="0"/>
          <w:numId w:val="3"/>
        </w:numPr>
        <w:spacing w:after="60" w:line="264"/>
      </w:pPr>
      <w:r>
        <w:rPr>
          <w:rFonts w:ascii="Arial" w:cs="Arial" w:eastAsia="Arial" w:hAnsi="Arial"/>
          <w:b/>
          <w:bCs/>
          <w:color w:val="2D3436"/>
          <w:sz w:val="22"/>
          <w:szCs w:val="22"/>
        </w:rPr>
        <w:t xml:space="preserve">Bottom row </w:t>
      </w:r>
      <w:r>
        <w:rPr>
          <w:rFonts w:ascii="Arial" w:cs="Arial" w:eastAsia="Arial" w:hAnsi="Arial"/>
          <w:color w:val="2D3436"/>
          <w:sz w:val="22"/>
          <w:szCs w:val="22"/>
        </w:rPr>
        <w:t xml:space="preserve">(Candidates, Employers, Universities, Ministry) = “everyone wins, not just one side.”</w:t>
      </w:r>
    </w:p>
    <w:p>
      <w:pPr>
        <w:spacing w:after="120" w:line="276"/>
      </w:pPr>
      <w:r>
        <w:rPr>
          <w:rFonts w:ascii="Arial" w:cs="Arial" w:eastAsia="Arial" w:hAnsi="Arial"/>
          <w:b/>
          <w:bCs/>
          <w:color w:val="2D3436"/>
          <w:sz w:val="22"/>
          <w:szCs w:val="22"/>
        </w:rPr>
        <w:t xml:space="preserve">Why this page exists.  </w:t>
      </w:r>
      <w:r>
        <w:rPr>
          <w:rFonts w:ascii="Arial" w:cs="Arial" w:eastAsia="Arial" w:hAnsi="Arial"/>
          <w:color w:val="2D3436"/>
          <w:sz w:val="22"/>
          <w:szCs w:val="22"/>
        </w:rPr>
        <w:t xml:space="preserve">Judges care a lot about real impact and sustainability, not just features. This page proves “we’re not just an app — we help the country and match the world’s goals.”</w:t>
      </w:r>
    </w:p>
    <w:p>
      <w:pPr>
        <w:pStyle w:val="Heading1"/>
        <w:pBdr>
          <w:bottom w:val="single" w:color="8A6D1F" w:sz="10" w:space="4"/>
        </w:pBdr>
        <w:spacing w:after="140" w:before="320"/>
      </w:pPr>
      <w:r>
        <w:rPr>
          <w:rFonts w:ascii="Arial" w:cs="Arial" w:eastAsia="Arial" w:hAnsi="Arial"/>
          <w:b/>
          <w:bCs/>
          <w:color w:val="2D3436"/>
          <w:sz w:val="30"/>
          <w:szCs w:val="30"/>
        </w:rPr>
        <w:t xml:space="preserve">Part 3 — The Ministry page, explained simply</w:t>
      </w:r>
    </w:p>
    <w:p>
      <w:pPr>
        <w:spacing w:after="120" w:line="276"/>
      </w:pPr>
      <w:r>
        <w:rPr>
          <w:rFonts w:ascii="Arial" w:cs="Arial" w:eastAsia="Arial" w:hAnsi="Arial"/>
          <w:b/>
          <w:bCs/>
          <w:color w:val="2D3436"/>
          <w:sz w:val="22"/>
          <w:szCs w:val="22"/>
        </w:rPr>
        <w:t xml:space="preserve">Who is “the Ministry”?  </w:t>
      </w:r>
      <w:r>
        <w:rPr>
          <w:rFonts w:ascii="Arial" w:cs="Arial" w:eastAsia="Arial" w:hAnsi="Arial"/>
          <w:color w:val="2D3436"/>
          <w:sz w:val="22"/>
          <w:szCs w:val="22"/>
        </w:rPr>
        <w:t xml:space="preserve">The government office in charge of ALL universities in Malaysia (real name: MOHE — Ministry of Higher Education). Imagine a principal — but for every university in the whole country.</w:t>
      </w:r>
    </w:p>
    <w:p>
      <w:pPr>
        <w:spacing w:after="120" w:line="276"/>
      </w:pPr>
      <w:r>
        <w:rPr>
          <w:rFonts w:ascii="Arial" w:cs="Arial" w:eastAsia="Arial" w:hAnsi="Arial"/>
          <w:b/>
          <w:bCs/>
          <w:color w:val="2D3436"/>
          <w:sz w:val="22"/>
          <w:szCs w:val="22"/>
        </w:rPr>
        <w:t xml:space="preserve">Their problem.  </w:t>
      </w:r>
      <w:r>
        <w:rPr>
          <w:rFonts w:ascii="Arial" w:cs="Arial" w:eastAsia="Arial" w:hAnsi="Arial"/>
          <w:color w:val="2D3436"/>
          <w:sz w:val="22"/>
          <w:szCs w:val="22"/>
        </w:rPr>
        <w:t xml:space="preserve">There are 312,000 fresh graduates every year. They can’t look at students one by one. They need a big screen showing the health of the whole country’s graduates at a glance — like a car dashboard, but for “how are our graduates doing?”</w:t>
      </w:r>
    </w:p>
    <w:p>
      <w:pPr>
        <w:spacing w:after="120" w:line="276"/>
      </w:pPr>
      <w:r>
        <w:rPr>
          <w:rFonts w:ascii="Arial" w:cs="Arial" w:eastAsia="Arial" w:hAnsi="Arial"/>
          <w:b/>
          <w:bCs/>
          <w:color w:val="2D3436"/>
          <w:sz w:val="22"/>
          <w:szCs w:val="22"/>
        </w:rPr>
        <w:t xml:space="preserve">What’s on the screen:</w:t>
      </w:r>
    </w:p>
    <w:p>
      <w:pPr>
        <w:pStyle w:val="ListParagraph"/>
        <w:numPr>
          <w:ilvl w:val="0"/>
          <w:numId w:val="3"/>
        </w:numPr>
        <w:spacing w:after="60" w:line="264"/>
      </w:pPr>
      <w:r>
        <w:rPr>
          <w:rFonts w:ascii="Arial" w:cs="Arial" w:eastAsia="Arial" w:hAnsi="Arial"/>
          <w:b/>
          <w:bCs/>
          <w:color w:val="2D3436"/>
          <w:sz w:val="22"/>
          <w:szCs w:val="22"/>
        </w:rPr>
        <w:t xml:space="preserve">Top 4 numbers </w:t>
      </w:r>
      <w:r>
        <w:rPr>
          <w:rFonts w:ascii="Arial" w:cs="Arial" w:eastAsia="Arial" w:hAnsi="Arial"/>
          <w:color w:val="2D3436"/>
          <w:sz w:val="22"/>
          <w:szCs w:val="22"/>
        </w:rPr>
        <w:t xml:space="preserve">— 312,000 graduates, 84% got jobs, avg 3.8 months to find one, 50 universities tracked.</w:t>
      </w:r>
    </w:p>
    <w:p>
      <w:pPr>
        <w:pStyle w:val="ListParagraph"/>
        <w:numPr>
          <w:ilvl w:val="0"/>
          <w:numId w:val="3"/>
        </w:numPr>
        <w:spacing w:after="60" w:line="264"/>
      </w:pPr>
      <w:r>
        <w:rPr>
          <w:rFonts w:ascii="Arial" w:cs="Arial" w:eastAsia="Arial" w:hAnsi="Arial"/>
          <w:b/>
          <w:bCs/>
          <w:color w:val="2D3436"/>
          <w:sz w:val="22"/>
          <w:szCs w:val="22"/>
        </w:rPr>
        <w:t xml:space="preserve">Employability by Field </w:t>
      </w:r>
      <w:r>
        <w:rPr>
          <w:rFonts w:ascii="Arial" w:cs="Arial" w:eastAsia="Arial" w:hAnsi="Arial"/>
          <w:color w:val="2D3436"/>
          <w:sz w:val="22"/>
          <w:szCs w:val="22"/>
        </w:rPr>
        <w:t xml:space="preserve">— which subjects get jobs easily vs struggle (Computing 89% vs Arts 73%). Tells the Minister where to send help.</w:t>
      </w:r>
    </w:p>
    <w:p>
      <w:pPr>
        <w:pStyle w:val="ListParagraph"/>
        <w:numPr>
          <w:ilvl w:val="0"/>
          <w:numId w:val="3"/>
        </w:numPr>
        <w:spacing w:after="60" w:line="264"/>
      </w:pPr>
      <w:r>
        <w:rPr>
          <w:rFonts w:ascii="Arial" w:cs="Arial" w:eastAsia="Arial" w:hAnsi="Arial"/>
          <w:b/>
          <w:bCs/>
          <w:color w:val="2D3436"/>
          <w:sz w:val="22"/>
          <w:szCs w:val="22"/>
        </w:rPr>
        <w:t xml:space="preserve">National Employment Trend </w:t>
      </w:r>
      <w:r>
        <w:rPr>
          <w:rFonts w:ascii="Arial" w:cs="Arial" w:eastAsia="Arial" w:hAnsi="Arial"/>
          <w:color w:val="2D3436"/>
          <w:sz w:val="22"/>
          <w:szCs w:val="22"/>
        </w:rPr>
        <w:t xml:space="preserve">— is it getting better or worse? Ours climbs 75% → 84% = improving.</w:t>
      </w:r>
    </w:p>
    <w:p>
      <w:pPr>
        <w:pStyle w:val="ListParagraph"/>
        <w:numPr>
          <w:ilvl w:val="0"/>
          <w:numId w:val="3"/>
        </w:numPr>
        <w:spacing w:after="60" w:line="264"/>
      </w:pPr>
      <w:r>
        <w:rPr>
          <w:rFonts w:ascii="Arial" w:cs="Arial" w:eastAsia="Arial" w:hAnsi="Arial"/>
          <w:b/>
          <w:bCs/>
          <w:color w:val="2D3436"/>
          <w:sz w:val="22"/>
          <w:szCs w:val="22"/>
        </w:rPr>
        <w:t xml:space="preserve">Where Graduates Are Hired </w:t>
      </w:r>
      <w:r>
        <w:rPr>
          <w:rFonts w:ascii="Arial" w:cs="Arial" w:eastAsia="Arial" w:hAnsi="Arial"/>
          <w:color w:val="2D3436"/>
          <w:sz w:val="22"/>
          <w:szCs w:val="22"/>
        </w:rPr>
        <w:t xml:space="preserve">— which industries hire most (Technology biggest at 28%).</w:t>
      </w:r>
    </w:p>
    <w:p>
      <w:pPr>
        <w:pStyle w:val="ListParagraph"/>
        <w:numPr>
          <w:ilvl w:val="0"/>
          <w:numId w:val="3"/>
        </w:numPr>
        <w:spacing w:after="60" w:line="264"/>
      </w:pPr>
      <w:r>
        <w:rPr>
          <w:rFonts w:ascii="Arial" w:cs="Arial" w:eastAsia="Arial" w:hAnsi="Arial"/>
          <w:b/>
          <w:bCs/>
          <w:color w:val="2D3436"/>
          <w:sz w:val="22"/>
          <w:szCs w:val="22"/>
        </w:rPr>
        <w:t xml:space="preserve">SDG box </w:t>
      </w:r>
      <w:r>
        <w:rPr>
          <w:rFonts w:ascii="Arial" w:cs="Arial" w:eastAsia="Arial" w:hAnsi="Arial"/>
          <w:color w:val="2D3436"/>
          <w:sz w:val="22"/>
          <w:szCs w:val="22"/>
        </w:rPr>
        <w:t xml:space="preserve">— connects it back to the world’s goals.</w:t>
      </w:r>
    </w:p>
    <w:p>
      <w:pPr>
        <w:pBdr>
          <w:left w:val="single" w:color="8A6D1F" w:sz="18" w:space="8"/>
        </w:pBdr>
        <w:shd w:fill="F2EFE6" w:val="clear"/>
        <w:spacing w:after="160" w:before="60" w:line="276"/>
        <w:ind w:left="220" w:right="160"/>
      </w:pPr>
      <w:r>
        <w:rPr>
          <w:rFonts w:ascii="Arial" w:cs="Arial" w:eastAsia="Arial" w:hAnsi="Arial"/>
          <w:i/>
          <w:iCs/>
          <w:color w:val="2D3436"/>
          <w:sz w:val="22"/>
          <w:szCs w:val="22"/>
        </w:rPr>
        <w:t xml:space="preserve">“The Ministry page is the bird’s-eye view — the government sees the whole country’s graduate situation on one screen, spots which subjects are in trouble, and decides where to send help.”</w:t>
      </w:r>
    </w:p>
    <w:p>
      <w:pPr>
        <w:spacing w:after="120" w:line="276"/>
      </w:pPr>
      <w:r>
        <w:rPr>
          <w:rFonts w:ascii="Arial" w:cs="Arial" w:eastAsia="Arial" w:hAnsi="Arial"/>
          <w:b/>
          <w:bCs/>
          <w:color w:val="2D3436"/>
          <w:sz w:val="22"/>
          <w:szCs w:val="22"/>
        </w:rPr>
        <w:t xml:space="preserve">Why it’s powerful.  </w:t>
      </w:r>
      <w:r>
        <w:rPr>
          <w:rFonts w:ascii="Arial" w:cs="Arial" w:eastAsia="Arial" w:hAnsi="Arial"/>
          <w:color w:val="2D3436"/>
          <w:sz w:val="22"/>
          <w:szCs w:val="22"/>
        </w:rPr>
        <w:t xml:space="preserve">It proves CareerArc isn’t just for one student — the same readiness data scales all the way up to national policy.</w:t>
      </w:r>
    </w:p>
    <w:p>
      <w:pPr>
        <w:pStyle w:val="Heading1"/>
        <w:pBdr>
          <w:bottom w:val="single" w:color="8A6D1F" w:sz="10" w:space="4"/>
        </w:pBdr>
        <w:spacing w:after="140" w:before="320"/>
      </w:pPr>
      <w:r>
        <w:rPr>
          <w:rFonts w:ascii="Arial" w:cs="Arial" w:eastAsia="Arial" w:hAnsi="Arial"/>
          <w:b/>
          <w:bCs/>
          <w:color w:val="2D3436"/>
          <w:sz w:val="30"/>
          <w:szCs w:val="30"/>
        </w:rPr>
        <w:t xml:space="preserve">The 3 things to remember</w:t>
      </w:r>
    </w:p>
    <w:p>
      <w:pPr>
        <w:pStyle w:val="ListParagraph"/>
        <w:numPr>
          <w:ilvl w:val="0"/>
          <w:numId w:val="2"/>
        </w:numPr>
        <w:spacing w:after="70" w:line="264"/>
      </w:pPr>
      <w:r>
        <w:rPr>
          <w:rFonts w:ascii="Arial" w:cs="Arial" w:eastAsia="Arial" w:hAnsi="Arial"/>
          <w:b/>
          <w:bCs/>
          <w:color w:val="2D3436"/>
          <w:sz w:val="22"/>
          <w:szCs w:val="22"/>
        </w:rPr>
        <w:t xml:space="preserve">One score, three views</w:t>
      </w:r>
      <w:r>
        <w:rPr>
          <w:rFonts w:ascii="Arial" w:cs="Arial" w:eastAsia="Arial" w:hAnsi="Arial"/>
          <w:color w:val="2D3436"/>
          <w:sz w:val="22"/>
          <w:szCs w:val="22"/>
        </w:rPr>
        <w:t xml:space="preserve"> — the heart of the whole product.</w:t>
      </w:r>
    </w:p>
    <w:p>
      <w:pPr>
        <w:pStyle w:val="ListParagraph"/>
        <w:numPr>
          <w:ilvl w:val="0"/>
          <w:numId w:val="2"/>
        </w:numPr>
        <w:spacing w:after="70" w:line="264"/>
      </w:pPr>
      <w:r>
        <w:rPr>
          <w:rFonts w:ascii="Arial" w:cs="Arial" w:eastAsia="Arial" w:hAnsi="Arial"/>
          <w:b/>
          <w:bCs/>
          <w:color w:val="2D3436"/>
          <w:sz w:val="22"/>
          <w:szCs w:val="22"/>
        </w:rPr>
        <w:t xml:space="preserve">Impact over features</w:t>
      </w:r>
      <w:r>
        <w:rPr>
          <w:rFonts w:ascii="Arial" w:cs="Arial" w:eastAsia="Arial" w:hAnsi="Arial"/>
          <w:color w:val="2D3436"/>
          <w:sz w:val="22"/>
          <w:szCs w:val="22"/>
        </w:rPr>
        <w:t xml:space="preserve"> — that’s what judges reward.</w:t>
      </w:r>
    </w:p>
    <w:p>
      <w:pPr>
        <w:pStyle w:val="ListParagraph"/>
        <w:numPr>
          <w:ilvl w:val="0"/>
          <w:numId w:val="2"/>
        </w:numPr>
        <w:spacing w:after="70" w:line="264"/>
      </w:pPr>
      <w:r>
        <w:rPr>
          <w:rFonts w:ascii="Arial" w:cs="Arial" w:eastAsia="Arial" w:hAnsi="Arial"/>
          <w:b/>
          <w:bCs/>
          <w:color w:val="2D3436"/>
          <w:sz w:val="22"/>
          <w:szCs w:val="22"/>
        </w:rPr>
        <w:t xml:space="preserve">Show, don’t tell</w:t>
      </w:r>
      <w:r>
        <w:rPr>
          <w:rFonts w:ascii="Arial" w:cs="Arial" w:eastAsia="Arial" w:hAnsi="Arial"/>
          <w:color w:val="2D3436"/>
          <w:sz w:val="22"/>
          <w:szCs w:val="22"/>
        </w:rPr>
        <w:t xml:space="preserve"> — always click through the live demo.</w:t>
      </w:r>
    </w:p>
    <w:sectPr>
      <w:pgSz w:w="11906" w:h="16838"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343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2026-07-14T12:37:39.866Z</dcterms:created>
  <dcterms:modified xsi:type="dcterms:W3CDTF">2026-07-14T12:37:39.866Z</dcterms:modified>
</cp:coreProperties>
</file>

<file path=docProps/custom.xml><?xml version="1.0" encoding="utf-8"?>
<Properties xmlns="http://schemas.openxmlformats.org/officeDocument/2006/custom-properties" xmlns:vt="http://schemas.openxmlformats.org/officeDocument/2006/docPropsVTypes"/>
</file>