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SPRINT PLANNING – SPRINT 5</w:t>
      </w:r>
    </w:p>
    <w:p>
      <w:pPr>
        <w:spacing w:after="240"/>
        <w:jc w:val="center"/>
      </w:pPr>
      <w:r>
        <w:rPr>
          <w:rFonts w:ascii="Arial" w:cs="Arial" w:eastAsia="Arial" w:hAnsi="Arial"/>
          <w:i/>
          <w:iCs/>
          <w:color w:val="595959"/>
          <w:sz w:val="22"/>
          <w:szCs w:val="22"/>
        </w:rPr>
        <w:t xml:space="preserve">Đội RikkeiGo – Đề xuất của Vy (Developer) và Lan (Scrum Master)</w:t>
      </w:r>
    </w:p>
    <w:p>
      <w:pPr>
        <w:pStyle w:val="Heading1"/>
        <w:spacing w:after="160" w:before="300"/>
      </w:pPr>
      <w:r>
        <w:rPr>
          <w:rFonts w:ascii="Arial" w:cs="Arial" w:eastAsia="Arial" w:hAnsi="Arial"/>
          <w:b/>
          <w:bCs/>
          <w:color w:val="1F3864"/>
          <w:sz w:val="30"/>
          <w:szCs w:val="30"/>
        </w:rPr>
        <w:t xml:space="preserve">Phần 1 – Phân tích</w:t>
      </w:r>
    </w:p>
    <w:p>
      <w:pPr>
        <w:pStyle w:val="Heading2"/>
        <w:spacing w:after="120" w:before="200"/>
      </w:pPr>
      <w:r>
        <w:rPr>
          <w:rFonts w:ascii="Arial" w:cs="Arial" w:eastAsia="Arial" w:hAnsi="Arial"/>
          <w:b/>
          <w:bCs/>
          <w:color w:val="2E5597"/>
          <w:sz w:val="26"/>
          <w:szCs w:val="26"/>
        </w:rPr>
        <w:t xml:space="preserve">1.1. Planning Capacity (sau khi Hà nghỉ 2 ngày)</w:t>
      </w:r>
    </w:p>
    <w:p>
      <w:pPr>
        <w:spacing w:after="120"/>
      </w:pPr>
      <w:r>
        <w:rPr>
          <w:rFonts w:ascii="Arial" w:cs="Arial" w:eastAsia="Arial" w:hAnsi="Arial"/>
          <w:sz w:val="22"/>
          <w:szCs w:val="22"/>
        </w:rPr>
        <w:t xml:space="preserve">Capacity cá nhân = Ngày khả dụng × Giờ tập trung/ngày; Planning Capacity = Capacity cá nhân − Việc cố định. Sprint này đội không trừ Buffer.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200"/>
        <w:gridCol w:w="1700"/>
        <w:gridCol w:w="2360"/>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Developer</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Ngày khả dụng</w:t>
            </w:r>
          </w:p>
        </w:tc>
        <w:tc>
          <w:tcPr>
            <w:tcW w:type="dxa" w:w="22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Capacity cá nhân</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Việc cố định</w:t>
            </w:r>
          </w:p>
        </w:tc>
        <w:tc>
          <w:tcPr>
            <w:tcW w:type="dxa" w:w="236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Planning Capacity</w:t>
            </w:r>
          </w:p>
        </w:tc>
      </w:tr>
      <w:tr>
        <w:trPr>
          <w:cantSplit/>
        </w:trP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Tú</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10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10 × 6 = 60 giờ</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6 giờ</w:t>
            </w:r>
          </w:p>
        </w:tc>
        <w:tc>
          <w:tcPr>
            <w:tcW w:type="dxa" w:w="23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60 − 6 = 54 giờ</w:t>
            </w:r>
          </w:p>
        </w:tc>
      </w:tr>
      <w:tr>
        <w:trPr>
          <w:cantSplit/>
        </w:trP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Vy</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10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10 × 6 = 60 giờ</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0 giờ</w:t>
            </w:r>
          </w:p>
        </w:tc>
        <w:tc>
          <w:tcPr>
            <w:tcW w:type="dxa" w:w="23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60 giờ</w:t>
            </w:r>
          </w:p>
        </w:tc>
      </w:tr>
      <w:tr>
        <w:trPr>
          <w:cantSplit/>
        </w:trP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Khoa</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9</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9 × 6 = 54 giờ</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4 giờ</w:t>
            </w:r>
          </w:p>
        </w:tc>
        <w:tc>
          <w:tcPr>
            <w:tcW w:type="dxa" w:w="23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54 − 4 = 50 giờ</w:t>
            </w:r>
          </w:p>
        </w:tc>
      </w:tr>
      <w:tr>
        <w:trPr>
          <w:cantSplit/>
        </w:trP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Hà</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10 − 2 = 8</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8 × 6 = 48 giờ</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0 giờ</w:t>
            </w:r>
          </w:p>
        </w:tc>
        <w:tc>
          <w:tcPr>
            <w:tcW w:type="dxa" w:w="23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48 giờ</w:t>
            </w:r>
          </w:p>
        </w:tc>
      </w:tr>
      <w:tr>
        <w:trPr>
          <w:cantSplit/>
        </w:trPr>
        <w:tc>
          <w:tcPr>
            <w:tcW w:type="dxa" w:w="1400"/>
            <w:tcBorders>
              <w:top w:val="single" w:color="999999" w:sz="4"/>
              <w:left w:val="single" w:color="999999" w:sz="4"/>
              <w:bottom w:val="single" w:color="999999" w:sz="4"/>
              <w:right w:val="single" w:color="999999" w:sz="4"/>
            </w:tcBorders>
            <w:shd w:fill="F2F2F2" w:color="auto" w:val="clear"/>
            <w:tcMar>
              <w:top w:type="dxa" w:w="80"/>
              <w:left w:type="dxa" w:w="100"/>
              <w:bottom w:type="dxa" w:w="80"/>
              <w:right w:type="dxa" w:w="100"/>
            </w:tcMar>
          </w:tcPr>
          <w:p>
            <w:r>
              <w:rPr>
                <w:rFonts w:ascii="Arial" w:cs="Arial" w:eastAsia="Arial" w:hAnsi="Arial"/>
                <w:sz w:val="20"/>
                <w:szCs w:val="20"/>
              </w:rPr>
              <w:t xml:space="preserve">Tổng</w:t>
            </w:r>
          </w:p>
        </w:tc>
        <w:tc>
          <w:tcPr>
            <w:tcW w:type="dxa" w:w="1700"/>
            <w:tcBorders>
              <w:top w:val="single" w:color="999999" w:sz="4"/>
              <w:left w:val="single" w:color="999999" w:sz="4"/>
              <w:bottom w:val="single" w:color="999999" w:sz="4"/>
              <w:right w:val="single" w:color="999999" w:sz="4"/>
            </w:tcBorders>
            <w:shd w:fill="F2F2F2" w:color="auto" w:val="clear"/>
            <w:tcMar>
              <w:top w:type="dxa" w:w="80"/>
              <w:left w:type="dxa" w:w="100"/>
              <w:bottom w:type="dxa" w:w="80"/>
              <w:right w:type="dxa" w:w="100"/>
            </w:tcMar>
          </w:tcPr>
          <w:p>
            <w:r>
              <w:rPr>
                <w:rFonts w:ascii="Arial" w:cs="Arial" w:eastAsia="Arial" w:hAnsi="Arial"/>
                <w:sz w:val="20"/>
                <w:szCs w:val="20"/>
              </w:rPr>
              <w:t xml:space="preserve"/>
            </w:r>
          </w:p>
        </w:tc>
        <w:tc>
          <w:tcPr>
            <w:tcW w:type="dxa" w:w="2200"/>
            <w:tcBorders>
              <w:top w:val="single" w:color="999999" w:sz="4"/>
              <w:left w:val="single" w:color="999999" w:sz="4"/>
              <w:bottom w:val="single" w:color="999999" w:sz="4"/>
              <w:right w:val="single" w:color="999999" w:sz="4"/>
            </w:tcBorders>
            <w:shd w:fill="F2F2F2" w:color="auto" w:val="clear"/>
            <w:tcMar>
              <w:top w:type="dxa" w:w="80"/>
              <w:left w:type="dxa" w:w="100"/>
              <w:bottom w:type="dxa" w:w="80"/>
              <w:right w:type="dxa" w:w="100"/>
            </w:tcMar>
          </w:tcPr>
          <w:p>
            <w:r>
              <w:rPr>
                <w:rFonts w:ascii="Arial" w:cs="Arial" w:eastAsia="Arial" w:hAnsi="Arial"/>
                <w:sz w:val="20"/>
                <w:szCs w:val="20"/>
              </w:rPr>
              <w:t xml:space="preserve"/>
            </w:r>
          </w:p>
        </w:tc>
        <w:tc>
          <w:tcPr>
            <w:tcW w:type="dxa" w:w="1700"/>
            <w:tcBorders>
              <w:top w:val="single" w:color="999999" w:sz="4"/>
              <w:left w:val="single" w:color="999999" w:sz="4"/>
              <w:bottom w:val="single" w:color="999999" w:sz="4"/>
              <w:right w:val="single" w:color="999999" w:sz="4"/>
            </w:tcBorders>
            <w:shd w:fill="F2F2F2" w:color="auto" w:val="clear"/>
            <w:tcMar>
              <w:top w:type="dxa" w:w="80"/>
              <w:left w:type="dxa" w:w="100"/>
              <w:bottom w:type="dxa" w:w="80"/>
              <w:right w:type="dxa" w:w="100"/>
            </w:tcMar>
          </w:tcPr>
          <w:p>
            <w:r>
              <w:rPr>
                <w:rFonts w:ascii="Arial" w:cs="Arial" w:eastAsia="Arial" w:hAnsi="Arial"/>
                <w:sz w:val="20"/>
                <w:szCs w:val="20"/>
              </w:rPr>
              <w:t xml:space="preserve"/>
            </w:r>
          </w:p>
        </w:tc>
        <w:tc>
          <w:tcPr>
            <w:tcW w:type="dxa" w:w="2360"/>
            <w:tcBorders>
              <w:top w:val="single" w:color="999999" w:sz="4"/>
              <w:left w:val="single" w:color="999999" w:sz="4"/>
              <w:bottom w:val="single" w:color="999999" w:sz="4"/>
              <w:right w:val="single" w:color="999999" w:sz="4"/>
            </w:tcBorders>
            <w:shd w:fill="F2F2F2" w:color="auto" w:val="clear"/>
            <w:tcMar>
              <w:top w:type="dxa" w:w="80"/>
              <w:left w:type="dxa" w:w="100"/>
              <w:bottom w:type="dxa" w:w="80"/>
              <w:right w:type="dxa" w:w="100"/>
            </w:tcMar>
          </w:tcPr>
          <w:p>
            <w:r>
              <w:rPr>
                <w:rFonts w:ascii="Arial" w:cs="Arial" w:eastAsia="Arial" w:hAnsi="Arial"/>
                <w:sz w:val="20"/>
                <w:szCs w:val="20"/>
              </w:rPr>
              <w:t xml:space="preserve">54 + 60 + 50 + 48 = 212 giờ</w:t>
            </w:r>
          </w:p>
        </w:tc>
      </w:tr>
    </w:tbl>
    <w:p>
      <w:pPr>
        <w:spacing w:after="120"/>
      </w:pPr>
    </w:p>
    <w:p>
      <w:pPr>
        <w:spacing w:after="120"/>
      </w:pPr>
      <w:r>
        <w:rPr>
          <w:rFonts w:ascii="Arial" w:cs="Arial" w:eastAsia="Arial" w:hAnsi="Arial"/>
          <w:sz w:val="22"/>
          <w:szCs w:val="22"/>
        </w:rPr>
        <w:t xml:space="preserve">Trước khi Hà nghỉ, Capacity là 224 giờ. Việc Hà nghỉ làm giảm 12 giờ (khoảng 5%), một mức giảm nhỏ.</w:t>
      </w:r>
    </w:p>
    <w:p>
      <w:pPr>
        <w:pStyle w:val="Heading2"/>
        <w:spacing w:after="120" w:before="200"/>
      </w:pPr>
      <w:r>
        <w:rPr>
          <w:rFonts w:ascii="Arial" w:cs="Arial" w:eastAsia="Arial" w:hAnsi="Arial"/>
          <w:b/>
          <w:bCs/>
          <w:color w:val="2E5597"/>
          <w:sz w:val="26"/>
          <w:szCs w:val="26"/>
        </w:rPr>
        <w:t xml:space="preserve">1.2. Khoảng Velocity dùng để dự báo</w:t>
      </w:r>
    </w:p>
    <w:p>
      <w:pPr>
        <w:pStyle w:val="ListParagraph"/>
        <w:numPr>
          <w:ilvl w:val="0"/>
          <w:numId w:val="2"/>
        </w:numPr>
        <w:spacing w:after="80"/>
      </w:pPr>
      <w:r>
        <w:rPr>
          <w:rFonts w:ascii="Arial" w:cs="Arial" w:eastAsia="Arial" w:hAnsi="Arial"/>
          <w:sz w:val="22"/>
          <w:szCs w:val="22"/>
        </w:rPr>
        <w:t xml:space="preserve">Velocity 4 Sprint gần nhất: 18, 20, 19, 15 → trung bình = 72 / 4 = 18 SP.</w:t>
      </w:r>
    </w:p>
    <w:p>
      <w:pPr>
        <w:pStyle w:val="ListParagraph"/>
        <w:numPr>
          <w:ilvl w:val="0"/>
          <w:numId w:val="2"/>
        </w:numPr>
        <w:spacing w:after="80"/>
      </w:pPr>
      <w:r>
        <w:rPr>
          <w:rFonts w:ascii="Arial" w:cs="Arial" w:eastAsia="Arial" w:hAnsi="Arial"/>
          <w:sz w:val="22"/>
          <w:szCs w:val="22"/>
        </w:rPr>
        <w:t xml:space="preserve">Khoảng dự báo: 15 – 20 SP, trung bình 18 SP.</w:t>
      </w:r>
    </w:p>
    <w:p>
      <w:pPr>
        <w:pStyle w:val="ListParagraph"/>
        <w:numPr>
          <w:ilvl w:val="0"/>
          <w:numId w:val="2"/>
        </w:numPr>
        <w:spacing w:after="80"/>
      </w:pPr>
      <w:r>
        <w:rPr>
          <w:rFonts w:ascii="Arial" w:cs="Arial" w:eastAsia="Arial" w:hAnsi="Arial"/>
          <w:sz w:val="22"/>
          <w:szCs w:val="22"/>
        </w:rPr>
        <w:t xml:space="preserve">Do Hà nghỉ nên Capacity giảm nhẹ, đội nghiêng về nửa dưới của khoảng, tức khoảng 15 – 18 SP.</w:t>
      </w:r>
    </w:p>
    <w:p>
      <w:pPr>
        <w:spacing w:after="120"/>
      </w:pPr>
      <w:r>
        <w:rPr>
          <w:rFonts w:ascii="Arial" w:cs="Arial" w:eastAsia="Arial" w:hAnsi="Arial"/>
          <w:b/>
          <w:bCs/>
          <w:sz w:val="22"/>
          <w:szCs w:val="22"/>
        </w:rPr>
        <w:t xml:space="preserve">Lưu ý: </w:t>
      </w:r>
      <w:r>
        <w:rPr>
          <w:rFonts w:ascii="Arial" w:cs="Arial" w:eastAsia="Arial" w:hAnsi="Arial"/>
          <w:sz w:val="22"/>
          <w:szCs w:val="22"/>
        </w:rPr>
        <w:t xml:space="preserve">Velocity quá khứ chỉ là dữ liệu tham khảo để dự báo, không phải chỉ tiêu cam kết.</w:t>
      </w:r>
    </w:p>
    <w:p>
      <w:pPr>
        <w:pStyle w:val="Heading1"/>
        <w:spacing w:after="160" w:before="300"/>
      </w:pPr>
      <w:r>
        <w:rPr>
          <w:rFonts w:ascii="Arial" w:cs="Arial" w:eastAsia="Arial" w:hAnsi="Arial"/>
          <w:b/>
          <w:bCs/>
          <w:color w:val="1F3864"/>
          <w:sz w:val="30"/>
          <w:szCs w:val="30"/>
        </w:rPr>
        <w:t xml:space="preserve">Phần 2 – Thiết kế</w:t>
      </w:r>
    </w:p>
    <w:p>
      <w:pPr>
        <w:pStyle w:val="Heading2"/>
        <w:spacing w:after="120" w:before="200"/>
      </w:pPr>
      <w:r>
        <w:rPr>
          <w:rFonts w:ascii="Arial" w:cs="Arial" w:eastAsia="Arial" w:hAnsi="Arial"/>
          <w:b/>
          <w:bCs/>
          <w:color w:val="2E5597"/>
          <w:sz w:val="26"/>
          <w:szCs w:val="26"/>
        </w:rPr>
        <w:t xml:space="preserve">2.1. Sprint Goal</w:t>
      </w:r>
    </w:p>
    <w:p>
      <w:pPr>
        <w:pBdr>
          <w:left w:val="single" w:color="2E5597" w:sz="18" w:space="10"/>
        </w:pBdr>
        <w:spacing w:after="160" w:before="80"/>
        <w:ind w:left="360" w:right="360"/>
      </w:pPr>
      <w:r>
        <w:rPr>
          <w:rFonts w:ascii="Arial" w:cs="Arial" w:eastAsia="Arial" w:hAnsi="Arial"/>
          <w:b/>
          <w:bCs/>
          <w:i/>
          <w:iCs/>
          <w:sz w:val="22"/>
          <w:szCs w:val="22"/>
        </w:rPr>
        <w:t xml:space="preserve">“Người dùng thanh toán chuyến đi bằng ví RikkeiPay ổn định và biết chắc tiền đã được hoàn về ví khi chuyến bị hủy.”</w:t>
      </w:r>
    </w:p>
    <w:p>
      <w:pPr>
        <w:spacing w:after="120"/>
      </w:pPr>
      <w:r>
        <w:rPr>
          <w:rFonts w:ascii="Arial" w:cs="Arial" w:eastAsia="Arial" w:hAnsi="Arial"/>
          <w:sz w:val="22"/>
          <w:szCs w:val="22"/>
        </w:rPr>
        <w:t xml:space="preserve">Sprint Goal nêu giá trị cho người dùng (thanh toán đáng tin cậy, yên tâm về tiền khi hủy chuyến), không nhắc tổng SP hay danh sách việc.</w:t>
      </w:r>
    </w:p>
    <w:p>
      <w:pPr>
        <w:pStyle w:val="Heading2"/>
        <w:spacing w:after="120" w:before="200"/>
      </w:pPr>
      <w:r>
        <w:rPr>
          <w:rFonts w:ascii="Arial" w:cs="Arial" w:eastAsia="Arial" w:hAnsi="Arial"/>
          <w:b/>
          <w:bCs/>
          <w:color w:val="2E5597"/>
          <w:sz w:val="26"/>
          <w:szCs w:val="26"/>
        </w:rPr>
        <w:t xml:space="preserve">2.2. PBI được chọn vào Sprint (16 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700"/>
        <w:gridCol w:w="5060"/>
      </w:tblGrid>
      <w:tr>
        <w:trPr>
          <w:tblHeader/>
        </w:trPr>
        <w:tc>
          <w:tcPr>
            <w:tcW w:type="dxa" w:w="6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w:t>
            </w:r>
          </w:p>
        </w:tc>
        <w:tc>
          <w:tcPr>
            <w:tcW w:type="dxa" w:w="30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PBI</w:t>
            </w:r>
          </w:p>
        </w:tc>
        <w:tc>
          <w:tcPr>
            <w:tcW w:type="dxa" w:w="7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SP</w:t>
            </w:r>
          </w:p>
        </w:tc>
        <w:tc>
          <w:tcPr>
            <w:tcW w:type="dxa" w:w="506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Lý do phục vụ Sprint Goal</w:t>
            </w:r>
          </w:p>
        </w:tc>
      </w:tr>
      <w:tr>
        <w:trPr>
          <w:cantSplit/>
        </w:trP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1</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Thanh toán chuyến đi bằng ví RikkeiPay</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8</w:t>
            </w:r>
          </w:p>
        </w:tc>
        <w:tc>
          <w:tcPr>
            <w:tcW w:type="dxa" w:w="50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Trực tiếp xử lý lỗi thanh toán đang bị khách phàn nàn; bổ sung Integration Test còn thiếu.</w:t>
            </w:r>
          </w:p>
        </w:tc>
      </w:tr>
      <w:tr>
        <w:trPr>
          <w:cantSplit/>
        </w:trP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2</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Hoàn tiền vào ví khi chuyến bị hủy</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5</w:t>
            </w:r>
          </w:p>
        </w:tc>
        <w:tc>
          <w:tcPr>
            <w:tcW w:type="dxa" w:w="50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Giải quyết nỗi lo “tiền đã về ví chưa”; phụ thuộc PBI 1 nên làm sau PBI 1.</w:t>
            </w:r>
          </w:p>
        </w:tc>
      </w:tr>
      <w:tr>
        <w:trPr>
          <w:cantSplit/>
        </w:trP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3</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Xem số dư và lịch sử giao dịch ví</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3</w:t>
            </w:r>
          </w:p>
        </w:tc>
        <w:tc>
          <w:tcPr>
            <w:tcW w:type="dxa" w:w="50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Cho người dùng tự kiểm chứng tiền đã hoàn về ví, bổ sung đúng vào Outcome của Goal.</w:t>
            </w:r>
          </w:p>
        </w:tc>
      </w:tr>
      <w:tr>
        <w:trPr>
          <w:cantSplit/>
        </w:trPr>
        <w:tc>
          <w:tcPr>
            <w:tcW w:type="dxa" w:w="600"/>
            <w:tcBorders>
              <w:top w:val="single" w:color="999999" w:sz="4"/>
              <w:left w:val="single" w:color="999999" w:sz="4"/>
              <w:bottom w:val="single" w:color="999999" w:sz="4"/>
              <w:right w:val="single" w:color="999999" w:sz="4"/>
            </w:tcBorders>
            <w:shd w:fill="F2F2F2" w:color="auto" w:val="clear"/>
            <w:tcMar>
              <w:top w:type="dxa" w:w="80"/>
              <w:left w:type="dxa" w:w="100"/>
              <w:bottom w:type="dxa" w:w="80"/>
              <w:right w:type="dxa" w:w="100"/>
            </w:tcMar>
          </w:tcPr>
          <w:p>
            <w:r>
              <w:rPr>
                <w:rFonts w:ascii="Arial" w:cs="Arial" w:eastAsia="Arial" w:hAnsi="Arial"/>
                <w:sz w:val="20"/>
                <w:szCs w:val="20"/>
              </w:rPr>
              <w:t xml:space="preserve"/>
            </w:r>
          </w:p>
        </w:tc>
        <w:tc>
          <w:tcPr>
            <w:tcW w:type="dxa" w:w="3000"/>
            <w:tcBorders>
              <w:top w:val="single" w:color="999999" w:sz="4"/>
              <w:left w:val="single" w:color="999999" w:sz="4"/>
              <w:bottom w:val="single" w:color="999999" w:sz="4"/>
              <w:right w:val="single" w:color="999999" w:sz="4"/>
            </w:tcBorders>
            <w:shd w:fill="F2F2F2" w:color="auto" w:val="clear"/>
            <w:tcMar>
              <w:top w:type="dxa" w:w="80"/>
              <w:left w:type="dxa" w:w="100"/>
              <w:bottom w:type="dxa" w:w="80"/>
              <w:right w:type="dxa" w:w="100"/>
            </w:tcMar>
          </w:tcPr>
          <w:p>
            <w:r>
              <w:rPr>
                <w:rFonts w:ascii="Arial" w:cs="Arial" w:eastAsia="Arial" w:hAnsi="Arial"/>
                <w:sz w:val="20"/>
                <w:szCs w:val="20"/>
              </w:rPr>
              <w:t xml:space="preserve">Tổng</w:t>
            </w:r>
          </w:p>
        </w:tc>
        <w:tc>
          <w:tcPr>
            <w:tcW w:type="dxa" w:w="700"/>
            <w:tcBorders>
              <w:top w:val="single" w:color="999999" w:sz="4"/>
              <w:left w:val="single" w:color="999999" w:sz="4"/>
              <w:bottom w:val="single" w:color="999999" w:sz="4"/>
              <w:right w:val="single" w:color="999999" w:sz="4"/>
            </w:tcBorders>
            <w:shd w:fill="F2F2F2" w:color="auto" w:val="clear"/>
            <w:tcMar>
              <w:top w:type="dxa" w:w="80"/>
              <w:left w:type="dxa" w:w="100"/>
              <w:bottom w:type="dxa" w:w="80"/>
              <w:right w:type="dxa" w:w="100"/>
            </w:tcMar>
          </w:tcPr>
          <w:p>
            <w:r>
              <w:rPr>
                <w:rFonts w:ascii="Arial" w:cs="Arial" w:eastAsia="Arial" w:hAnsi="Arial"/>
                <w:sz w:val="20"/>
                <w:szCs w:val="20"/>
              </w:rPr>
              <w:t xml:space="preserve">16</w:t>
            </w:r>
          </w:p>
        </w:tc>
        <w:tc>
          <w:tcPr>
            <w:tcW w:type="dxa" w:w="5060"/>
            <w:tcBorders>
              <w:top w:val="single" w:color="999999" w:sz="4"/>
              <w:left w:val="single" w:color="999999" w:sz="4"/>
              <w:bottom w:val="single" w:color="999999" w:sz="4"/>
              <w:right w:val="single" w:color="999999" w:sz="4"/>
            </w:tcBorders>
            <w:shd w:fill="F2F2F2" w:color="auto" w:val="clear"/>
            <w:tcMar>
              <w:top w:type="dxa" w:w="80"/>
              <w:left w:type="dxa" w:w="100"/>
              <w:bottom w:type="dxa" w:w="80"/>
              <w:right w:type="dxa" w:w="100"/>
            </w:tcMar>
          </w:tcPr>
          <w:p>
            <w:r>
              <w:rPr>
                <w:rFonts w:ascii="Arial" w:cs="Arial" w:eastAsia="Arial" w:hAnsi="Arial"/>
                <w:sz w:val="20"/>
                <w:szCs w:val="20"/>
              </w:rPr>
              <w:t xml:space="preserve">Nằm trong khoảng dự báo 15 – 18 SP, thấp hơn trung bình 18 SP, hợp lý khi Hà nghỉ 2 ngày.</w:t>
            </w:r>
          </w:p>
        </w:tc>
      </w:tr>
    </w:tbl>
    <w:p>
      <w:pPr>
        <w:spacing w:after="120"/>
      </w:pPr>
    </w:p>
    <w:p>
      <w:pPr>
        <w:pStyle w:val="Heading2"/>
        <w:spacing w:after="120" w:before="200"/>
      </w:pPr>
      <w:r>
        <w:rPr>
          <w:rFonts w:ascii="Arial" w:cs="Arial" w:eastAsia="Arial" w:hAnsi="Arial"/>
          <w:b/>
          <w:bCs/>
          <w:color w:val="2E5597"/>
          <w:sz w:val="26"/>
          <w:szCs w:val="26"/>
        </w:rPr>
        <w:t xml:space="preserve">2.3. PBI không chọn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700"/>
        <w:gridCol w:w="5060"/>
      </w:tblGrid>
      <w:tr>
        <w:trPr>
          <w:tblHeader/>
        </w:trPr>
        <w:tc>
          <w:tcPr>
            <w:tcW w:type="dxa" w:w="6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w:t>
            </w:r>
          </w:p>
        </w:tc>
        <w:tc>
          <w:tcPr>
            <w:tcW w:type="dxa" w:w="30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PBI</w:t>
            </w:r>
          </w:p>
        </w:tc>
        <w:tc>
          <w:tcPr>
            <w:tcW w:type="dxa" w:w="7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SP</w:t>
            </w:r>
          </w:p>
        </w:tc>
        <w:tc>
          <w:tcPr>
            <w:tcW w:type="dxa" w:w="506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Lý do không chọn</w:t>
            </w:r>
          </w:p>
        </w:tc>
      </w:tr>
      <w:tr>
        <w:trPr>
          <w:cantSplit/>
        </w:trP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4</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Gửi SMS khi tài xế sắp đến</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3</w:t>
            </w:r>
          </w:p>
        </w:tc>
        <w:tc>
          <w:tcPr>
            <w:tcW w:type="dxa" w:w="50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Phụ thuộc bên ngoài (nhà cung cấp SMS chưa ký hợp đồng) nên chưa sẵn sàng, và không phục vụ Sprint Goal.</w:t>
            </w:r>
          </w:p>
        </w:tc>
      </w:tr>
      <w:tr>
        <w:trPr>
          <w:cantSplit/>
        </w:trP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5</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Giao diện chủ đề Tết</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2</w:t>
            </w:r>
          </w:p>
        </w:tc>
        <w:tc>
          <w:tcPr>
            <w:tcW w:type="dxa" w:w="50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Vừa khít chỗ trống (16 + 2 = 18 SP) nhưng không phục vụ Sprint Goal; không lấp đầy Sprint chỉ để cho đủ Velocity.</w:t>
            </w:r>
          </w:p>
        </w:tc>
      </w:tr>
      <w:tr>
        <w:trPr>
          <w:cantSplit/>
        </w:trPr>
        <w:tc>
          <w:tcPr>
            <w:tcW w:type="dxa" w:w="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6</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Chat với tài xế</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5</w:t>
            </w:r>
          </w:p>
        </w:tc>
        <w:tc>
          <w:tcPr>
            <w:tcW w:type="dxa" w:w="50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Không liên quan đến Sprint Goal về ví RikkeiPay và làm vượt khoảng dự báo (16 + 5 = 21 SP).</w:t>
            </w:r>
          </w:p>
        </w:tc>
      </w:tr>
    </w:tbl>
    <w:p>
      <w:pPr>
        <w:spacing w:after="120"/>
      </w:pPr>
    </w:p>
    <w:p>
      <w:pPr>
        <w:spacing w:after="120"/>
      </w:pPr>
      <w:r>
        <w:rPr>
          <w:rFonts w:ascii="Arial" w:cs="Arial" w:eastAsia="Arial" w:hAnsi="Arial"/>
          <w:b/>
          <w:bCs/>
          <w:sz w:val="22"/>
          <w:szCs w:val="22"/>
        </w:rPr>
        <w:t xml:space="preserve">Về các bẫy dữ liệu: </w:t>
      </w:r>
      <w:r>
        <w:rPr>
          <w:rFonts w:ascii="Arial" w:cs="Arial" w:eastAsia="Arial" w:hAnsi="Arial"/>
          <w:sz w:val="22"/>
          <w:szCs w:val="22"/>
        </w:rPr>
        <w:t xml:space="preserve">PBI 5 là bẫy lấp chỗ trống, đội chủ động bỏ qua vì Sprint Goal quan trọng hơn con số Velocity. PBI 4 là bẫy phụ thuộc bên ngoài. Việc Hà nghỉ 2 ngày đã được phản ánh vào Capacity và dự báo.</w:t>
      </w:r>
    </w:p>
    <w:p>
      <w:pPr>
        <w:pStyle w:val="Heading1"/>
        <w:spacing w:after="160" w:before="300"/>
      </w:pPr>
      <w:r>
        <w:rPr>
          <w:rFonts w:ascii="Arial" w:cs="Arial" w:eastAsia="Arial" w:hAnsi="Arial"/>
          <w:b/>
          <w:bCs/>
          <w:color w:val="1F3864"/>
          <w:sz w:val="30"/>
          <w:szCs w:val="30"/>
        </w:rPr>
        <w:t xml:space="preserve">Phần 3 – Phân rã PBI “Hoàn tiền vào ví khi chuyến bị hủy” (5 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Task</w:t>
            </w:r>
          </w:p>
        </w:tc>
        <w:tc>
          <w:tcPr>
            <w:tcW w:type="dxa" w:w="35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Nội dung</w:t>
            </w:r>
          </w:p>
        </w:tc>
        <w:tc>
          <w:tcPr>
            <w:tcW w:type="dxa" w:w="356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rFonts w:ascii="Arial" w:cs="Arial" w:eastAsia="Arial" w:hAnsi="Arial"/>
                <w:b/>
                <w:bCs/>
                <w:sz w:val="20"/>
                <w:szCs w:val="20"/>
              </w:rPr>
              <w:t xml:space="preserve">Đầu ra kiểm chứng được</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Task 1: Xây dựng logic hoàn tiền (Backend)</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Viết API/xử lý nghiệp vụ: khi chuyến chuyển sang trạng thái “Đã hủy” và đã thanh toán bằng ví, hệ thống cộng đúng số tiền vào ví, ghi nhận giao dịch hoàn tiền và chặn hoàn trùng.</w:t>
            </w:r>
          </w:p>
        </w:tc>
        <w:tc>
          <w:tcPr>
            <w:tcW w:type="dxa" w:w="35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Unit Test pass cho các trường hợp: hoàn đúng số tiền, không hoàn lần hai khi gọi lặp, không hoàn khi chuyến chưa thanh toán bằng ví. Code đã qua Code Review.</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Task 2: Thông báo kết quả hoàn tiền cho người dùng (UI/Notification)</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Hiển thị trạng thái hoàn tiền trên chuyến đã hủy và gửi thông báo “Đã hoàn X đồng vào ví RikkeiPay”.</w:t>
            </w:r>
          </w:p>
        </w:tc>
        <w:tc>
          <w:tcPr>
            <w:tcW w:type="dxa" w:w="35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Trên Staging, hủy 1 chuyến thử → màn hình chuyến hiển thị đúng trạng thái và số tiền hoàn; thông báo đến thiết bị trong thời gian chấp nhận được (có ảnh chụp/video làm bằng chứng).</w:t>
            </w:r>
          </w:p>
        </w:tc>
      </w:tr>
      <w:tr>
        <w:trPr>
          <w:cantSplit/>
        </w:trPr>
        <w:tc>
          <w:tcPr>
            <w:tcW w:type="dxa" w:w="2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Task 3: Kiểm thử tích hợp luồng hủy – hoàn tiền</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Viết Integration Test xuyên suốt: thanh toán bằng ví → hủy chuyến → số dư ví tăng đúng → lịch sử giao dịch có bản ghi hoàn tiền.</w:t>
            </w:r>
          </w:p>
        </w:tc>
        <w:tc>
          <w:tcPr>
            <w:tcW w:type="dxa" w:w="35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sz w:val="20"/>
                <w:szCs w:val="20"/>
              </w:rPr>
              <w:t xml:space="preserve">Integration Test chạy tự động và pass trên Staging; số dư ví sau hoàn bằng số dư trước thanh toán; tất cả Acceptance Criteria của PBI được tick xong để đưa vào Definition of Done.</w:t>
            </w:r>
          </w:p>
        </w:tc>
      </w:tr>
    </w:tbl>
    <w:p>
      <w:pPr>
        <w:spacing w:after="120"/>
      </w:pPr>
    </w:p>
    <w:p>
      <w:pPr>
        <w:spacing w:after="120"/>
      </w:pPr>
      <w:r>
        <w:rPr>
          <w:rFonts w:ascii="Arial" w:cs="Arial" w:eastAsia="Arial" w:hAnsi="Arial"/>
          <w:b/>
          <w:bCs/>
          <w:sz w:val="22"/>
          <w:szCs w:val="22"/>
        </w:rPr>
        <w:t xml:space="preserve">Ghi chú: </w:t>
      </w:r>
      <w:r>
        <w:rPr>
          <w:rFonts w:ascii="Arial" w:cs="Arial" w:eastAsia="Arial" w:hAnsi="Arial"/>
          <w:sz w:val="22"/>
          <w:szCs w:val="22"/>
        </w:rPr>
        <w:t xml:space="preserve">Task 1 làm trước; Task 2 và Task 3 bắt đầu sau khi Task 1 chạy được. Toàn bộ PBI này chỉ bắt đầu khi PBI 1 (thanh toán bằng ví) đã chạy được, theo ghi chú phụ thuộc trong Product Backlog.</w:t>
      </w:r>
    </w:p>
    <w:p>
      <w:pPr>
        <w:pStyle w:val="Heading1"/>
        <w:spacing w:after="160" w:before="300"/>
      </w:pPr>
      <w:r>
        <w:rPr>
          <w:rFonts w:ascii="Arial" w:cs="Arial" w:eastAsia="Arial" w:hAnsi="Arial"/>
          <w:b/>
          <w:bCs/>
          <w:color w:val="1F3864"/>
          <w:sz w:val="30"/>
          <w:szCs w:val="30"/>
        </w:rPr>
        <w:t xml:space="preserve">Tóm tắt đề xuất gửi buổi Sprint Planning</w:t>
      </w:r>
    </w:p>
    <w:p>
      <w:pPr>
        <w:pStyle w:val="ListParagraph"/>
        <w:numPr>
          <w:ilvl w:val="0"/>
          <w:numId w:val="2"/>
        </w:numPr>
        <w:spacing w:after="80"/>
      </w:pPr>
      <w:r>
        <w:rPr>
          <w:rFonts w:ascii="Arial" w:cs="Arial" w:eastAsia="Arial" w:hAnsi="Arial"/>
          <w:b/>
          <w:bCs/>
          <w:sz w:val="22"/>
          <w:szCs w:val="22"/>
        </w:rPr>
        <w:t xml:space="preserve">Planning Capacity: </w:t>
      </w:r>
      <w:r>
        <w:rPr>
          <w:rFonts w:ascii="Arial" w:cs="Arial" w:eastAsia="Arial" w:hAnsi="Arial"/>
          <w:sz w:val="22"/>
          <w:szCs w:val="22"/>
        </w:rPr>
        <w:t xml:space="preserve">212 giờ; Velocity dự báo: 15 – 18 SP (trung bình 18).</w:t>
      </w:r>
    </w:p>
    <w:p>
      <w:pPr>
        <w:pStyle w:val="ListParagraph"/>
        <w:numPr>
          <w:ilvl w:val="0"/>
          <w:numId w:val="2"/>
        </w:numPr>
        <w:spacing w:after="80"/>
      </w:pPr>
      <w:r>
        <w:rPr>
          <w:rFonts w:ascii="Arial" w:cs="Arial" w:eastAsia="Arial" w:hAnsi="Arial"/>
          <w:b/>
          <w:bCs/>
          <w:sz w:val="22"/>
          <w:szCs w:val="22"/>
        </w:rPr>
        <w:t xml:space="preserve">Sprint Goal: </w:t>
      </w:r>
      <w:r>
        <w:rPr>
          <w:rFonts w:ascii="Arial" w:cs="Arial" w:eastAsia="Arial" w:hAnsi="Arial"/>
          <w:sz w:val="22"/>
          <w:szCs w:val="22"/>
        </w:rPr>
        <w:t xml:space="preserve">người dùng thanh toán ví ổn định và biết chắc tiền được hoàn khi hủy chuyến.</w:t>
      </w:r>
    </w:p>
    <w:p>
      <w:pPr>
        <w:pStyle w:val="ListParagraph"/>
        <w:numPr>
          <w:ilvl w:val="0"/>
          <w:numId w:val="2"/>
        </w:numPr>
        <w:spacing w:after="80"/>
      </w:pPr>
      <w:r>
        <w:rPr>
          <w:rFonts w:ascii="Arial" w:cs="Arial" w:eastAsia="Arial" w:hAnsi="Arial"/>
          <w:b/>
          <w:bCs/>
          <w:sz w:val="22"/>
          <w:szCs w:val="22"/>
        </w:rPr>
        <w:t xml:space="preserve">Đề xuất chọn: </w:t>
      </w:r>
      <w:r>
        <w:rPr>
          <w:rFonts w:ascii="Arial" w:cs="Arial" w:eastAsia="Arial" w:hAnsi="Arial"/>
          <w:sz w:val="22"/>
          <w:szCs w:val="22"/>
        </w:rPr>
        <w:t xml:space="preserve">PBI 1, 2, 3 (16 SP).</w:t>
      </w:r>
    </w:p>
    <w:p>
      <w:pPr>
        <w:pStyle w:val="ListParagraph"/>
        <w:numPr>
          <w:ilvl w:val="0"/>
          <w:numId w:val="2"/>
        </w:numPr>
        <w:spacing w:after="80"/>
      </w:pPr>
      <w:r>
        <w:rPr>
          <w:rFonts w:ascii="Arial" w:cs="Arial" w:eastAsia="Arial" w:hAnsi="Arial"/>
          <w:b/>
          <w:bCs/>
          <w:sz w:val="22"/>
          <w:szCs w:val="22"/>
        </w:rPr>
        <w:t xml:space="preserve">Không chọn: </w:t>
      </w:r>
      <w:r>
        <w:rPr>
          <w:rFonts w:ascii="Arial" w:cs="Arial" w:eastAsia="Arial" w:hAnsi="Arial"/>
          <w:sz w:val="22"/>
          <w:szCs w:val="22"/>
        </w:rPr>
        <w:t xml:space="preserve">PBI 4 (phụ thuộc bên ngoài), PBI 5 và 6 (không phục vụ Goal).</w:t>
      </w:r>
    </w:p>
    <w:p>
      <w:pPr>
        <w:spacing w:after="120"/>
      </w:pPr>
      <w:r>
        <w:rPr>
          <w:rFonts w:ascii="Arial" w:cs="Arial" w:eastAsia="Arial" w:hAnsi="Arial"/>
          <w:i/>
          <w:iCs/>
          <w:sz w:val="22"/>
          <w:szCs w:val="22"/>
        </w:rPr>
        <w:t xml:space="preserve">Quyết định cuối cùng thuộc về cả đội trong buổi Sprint Planning; đây là đề xuất có căn cứ của Vy và 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2026-10-13T10:09:55.348Z</dcterms:created>
  <dcterms:modified xsi:type="dcterms:W3CDTF">2026-10-13T10:09:55.349Z</dcterms:modified>
</cp:coreProperties>
</file>

<file path=docProps/custom.xml><?xml version="1.0" encoding="utf-8"?>
<Properties xmlns="http://schemas.openxmlformats.org/officeDocument/2006/custom-properties" xmlns:vt="http://schemas.openxmlformats.org/officeDocument/2006/docPropsVTypes"/>
</file>