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0000"/>
          <w:sz w:val="26"/>
        </w:rPr>
        <w:t>BÀI TẬP: THIẾT KẾ ĐÓNG GÓI LỚP HỌC VIÊN (STUDENT)</w:t>
      </w:r>
    </w:p>
    <w:p>
      <w:pPr>
        <w:spacing w:before="0" w:after="240"/>
        <w:jc w:val="center"/>
      </w:pPr>
      <w:r>
        <w:rPr>
          <w:rFonts w:ascii="Arial" w:hAnsi="Arial"/>
          <w:color w:val="000000"/>
          <w:sz w:val="20"/>
        </w:rPr>
        <w:t>Môn học: IT105 - Phân tích &amp; Thiết kế Phần mềm | Bài 1 - Session 07</w:t>
        <w:br/>
        <w:t>Sinh viên: Nguyễn Tuấn Khang</w:t>
      </w:r>
    </w:p>
    <w:p>
      <w:pPr>
        <w:pStyle w:val="Heading1"/>
        <w:keepNext/>
        <w:spacing w:before="240" w:after="80"/>
      </w:pPr>
      <w:r>
        <w:rPr>
          <w:rFonts w:ascii="Arial" w:hAnsi="Arial"/>
          <w:b/>
          <w:color w:val="000000"/>
          <w:sz w:val="24"/>
        </w:rPr>
        <w:t>1. Bối cảnh &amp; Yêu cầu bài toán</w:t>
      </w:r>
    </w:p>
    <w:p>
      <w:pPr>
        <w:spacing w:before="0" w:after="80" w:line="276" w:lineRule="auto"/>
      </w:pPr>
      <w:r>
        <w:rPr>
          <w:rFonts w:ascii="Arial" w:hAnsi="Arial"/>
          <w:color w:val="000000"/>
          <w:sz w:val="20"/>
        </w:rPr>
        <w:t>Hệ thống RikkeiLearn cần quản lý hồ sơ học viên bao gồm mã học viên, họ tên và điểm số trung bình. Bản thiết kế sơ bộ ban đầu đang để trống các bổ từ truy cập và chưa có phương thức cập nhật an toàn, dẫn đến nguy cơ điểm số bị sửa đổi trực tiếp thành các giá trị không hợp lệ (như điểm âm hoặc điểm lớn hơn 10).</w:t>
      </w:r>
    </w:p>
    <w:p>
      <w:pPr>
        <w:spacing w:before="0" w:after="80" w:line="276" w:lineRule="auto"/>
      </w:pPr>
      <w:r>
        <w:rPr>
          <w:rFonts w:ascii="Arial" w:hAnsi="Arial"/>
          <w:color w:val="000000"/>
          <w:sz w:val="20"/>
        </w:rPr>
        <w:t>Quy tắc nghiệp vụ cần áp dụng:</w:t>
      </w:r>
    </w:p>
    <w:p>
      <w:pPr>
        <w:pStyle w:val="ListBullet"/>
        <w:spacing w:before="0" w:after="60" w:line="276" w:lineRule="auto"/>
      </w:pPr>
      <w:r>
        <w:rPr>
          <w:rFonts w:ascii="Arial" w:hAnsi="Arial"/>
          <w:b/>
          <w:color w:val="000000"/>
          <w:sz w:val="20"/>
        </w:rPr>
        <w:t xml:space="preserve">• </w:t>
      </w:r>
      <w:r>
        <w:rPr>
          <w:rFonts w:ascii="Arial" w:hAnsi="Arial"/>
          <w:color w:val="000000"/>
          <w:sz w:val="20"/>
        </w:rPr>
        <w:t>Toàn bộ thuộc tính phải là Private (-) để ngăn các đối tượng ngoài truy cập trực tiếp.</w:t>
      </w:r>
    </w:p>
    <w:p>
      <w:pPr>
        <w:pStyle w:val="ListBullet"/>
        <w:spacing w:before="0" w:after="60" w:line="276" w:lineRule="auto"/>
      </w:pPr>
      <w:r>
        <w:rPr>
          <w:rFonts w:ascii="Arial" w:hAnsi="Arial"/>
          <w:b/>
          <w:color w:val="000000"/>
          <w:sz w:val="20"/>
        </w:rPr>
        <w:t xml:space="preserve">• </w:t>
      </w:r>
      <w:r>
        <w:rPr>
          <w:rFonts w:ascii="Arial" w:hAnsi="Arial"/>
          <w:color w:val="000000"/>
          <w:sz w:val="20"/>
        </w:rPr>
        <w:t>Các phương thức phải là Public (+) để làm kênh giao tiếp hợp lệ.</w:t>
      </w:r>
    </w:p>
    <w:p>
      <w:pPr>
        <w:pStyle w:val="ListBullet"/>
        <w:spacing w:before="0" w:after="60" w:line="276" w:lineRule="auto"/>
      </w:pPr>
      <w:r>
        <w:rPr>
          <w:rFonts w:ascii="Arial" w:hAnsi="Arial"/>
          <w:b/>
          <w:color w:val="000000"/>
          <w:sz w:val="20"/>
        </w:rPr>
        <w:t xml:space="preserve">• </w:t>
      </w:r>
      <w:r>
        <w:rPr>
          <w:rFonts w:ascii="Arial" w:hAnsi="Arial"/>
          <w:color w:val="000000"/>
          <w:sz w:val="20"/>
        </w:rPr>
        <w:t>Điểm trung bình khi cập nhật qua setScore() phải nằm trong khoảng từ 0 đến 10. Nếu ngoài khoảng này, hệ thống phải từ chối.</w:t>
      </w:r>
    </w:p>
    <w:p>
      <w:pPr>
        <w:pStyle w:val="Heading1"/>
        <w:keepNext/>
        <w:spacing w:before="240" w:after="80"/>
      </w:pPr>
      <w:r>
        <w:rPr>
          <w:rFonts w:ascii="Arial" w:hAnsi="Arial"/>
          <w:b/>
          <w:color w:val="000000"/>
          <w:sz w:val="24"/>
        </w:rPr>
        <w:t>2. Phần 1: Vẽ lại sơ đồ Class Diagram chuẩn UML</w:t>
      </w:r>
    </w:p>
    <w:p>
      <w:pPr>
        <w:spacing w:before="0" w:after="80" w:line="276" w:lineRule="auto"/>
      </w:pPr>
      <w:r>
        <w:rPr>
          <w:rFonts w:ascii="Arial" w:hAnsi="Arial"/>
          <w:color w:val="000000"/>
          <w:sz w:val="20"/>
        </w:rPr>
        <w:t>Sơ đồ lớp Student được chuẩn hóa với đầy đủ bổ từ truy cập và ghi chú ràng buộc:</w:t>
      </w:r>
    </w:p>
    <w:p>
      <w:pPr>
        <w:spacing w:before="12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029200" cy="5029200"/>
                    </a:xfrm>
                    <a:prstGeom prst="rect"/>
                  </pic:spPr>
                </pic:pic>
              </a:graphicData>
            </a:graphic>
          </wp:inline>
        </w:drawing>
      </w:r>
    </w:p>
    <w:p>
      <w:pPr>
        <w:spacing w:before="40" w:after="160"/>
        <w:jc w:val="center"/>
      </w:pPr>
      <w:r>
        <w:rPr>
          <w:rFonts w:ascii="Arial" w:hAnsi="Arial"/>
          <w:i/>
          <w:color w:val="000000"/>
          <w:sz w:val="18"/>
        </w:rPr>
        <w:t>Hình 1: Sơ đồ lớp Student chuẩn UML</w:t>
      </w:r>
    </w:p>
    <w:p>
      <w:pPr>
        <w:spacing w:before="0" w:after="80" w:line="276" w:lineRule="auto"/>
      </w:pPr>
      <w:r>
        <w:rPr>
          <w:rFonts w:ascii="Arial" w:hAnsi="Arial"/>
          <w:color w:val="000000"/>
          <w:sz w:val="20"/>
        </w:rPr>
        <w:t>Bảng ký hiệu bổ từ truy cập:</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D1D5DB"/>
          <w:insideV w:val="none"/>
          <w:left w:val="none"/>
          <w:right w:val="none"/>
        </w:tblBorders>
      </w:tblPr>
      <w:tblGrid>
        <w:gridCol w:w="3120"/>
        <w:gridCol w:w="3120"/>
        <w:gridCol w:w="3120"/>
      </w:tblGrid>
      <w:tr>
        <w:tc>
          <w:tcPr>
            <w:tcW w:type="dxa" w:w="1728"/>
            <w:tcMar>
              <w:top w:w="80" w:type="dxa"/>
              <w:bottom w:w="80" w:type="dxa"/>
              <w:left w:w="100" w:type="dxa"/>
              <w:right w:w="100" w:type="dxa"/>
            </w:tcMar>
          </w:tcPr>
          <w:p>
            <w:pPr>
              <w:jc w:val="center"/>
            </w:pPr>
            <w:r>
              <w:rPr>
                <w:rFonts w:ascii="Arial" w:hAnsi="Arial"/>
                <w:b/>
                <w:color w:val="000000"/>
                <w:sz w:val="19"/>
              </w:rPr>
              <w:t>Ký hiệu UML</w:t>
            </w:r>
          </w:p>
        </w:tc>
        <w:tc>
          <w:tcPr>
            <w:tcW w:type="dxa" w:w="2592"/>
            <w:tcMar>
              <w:top w:w="80" w:type="dxa"/>
              <w:bottom w:w="80" w:type="dxa"/>
              <w:left w:w="100" w:type="dxa"/>
              <w:right w:w="100" w:type="dxa"/>
            </w:tcMar>
          </w:tcPr>
          <w:p>
            <w:r>
              <w:rPr>
                <w:rFonts w:ascii="Arial" w:hAnsi="Arial"/>
                <w:b/>
                <w:color w:val="000000"/>
                <w:sz w:val="19"/>
              </w:rPr>
              <w:t>Bổ từ truy cập</w:t>
            </w:r>
          </w:p>
        </w:tc>
        <w:tc>
          <w:tcPr>
            <w:tcW w:type="dxa" w:w="5040"/>
            <w:tcMar>
              <w:top w:w="80" w:type="dxa"/>
              <w:bottom w:w="80" w:type="dxa"/>
              <w:left w:w="100" w:type="dxa"/>
              <w:right w:w="100" w:type="dxa"/>
            </w:tcMar>
          </w:tcPr>
          <w:p>
            <w:r>
              <w:rPr>
                <w:rFonts w:ascii="Arial" w:hAnsi="Arial"/>
                <w:b/>
                <w:color w:val="000000"/>
                <w:sz w:val="19"/>
              </w:rPr>
              <w:t>Ý nghĩa / Phạm vi</w:t>
            </w:r>
          </w:p>
        </w:tc>
      </w:tr>
      <w:tr>
        <w:tc>
          <w:tcPr>
            <w:tcW w:type="dxa" w:w="1728"/>
            <w:tcMar>
              <w:top w:w="60" w:type="dxa"/>
              <w:bottom w:w="60" w:type="dxa"/>
              <w:left w:w="100" w:type="dxa"/>
              <w:right w:w="100" w:type="dxa"/>
            </w:tcMar>
          </w:tcPr>
          <w:p>
            <w:pPr>
              <w:jc w:val="center"/>
            </w:pPr>
            <w:r>
              <w:rPr>
                <w:rFonts w:ascii="Arial" w:hAnsi="Arial"/>
                <w:b/>
                <w:color w:val="000000"/>
                <w:sz w:val="18"/>
              </w:rPr>
              <w:t>-</w:t>
            </w:r>
          </w:p>
        </w:tc>
        <w:tc>
          <w:tcPr>
            <w:tcW w:type="dxa" w:w="2592"/>
            <w:tcMar>
              <w:top w:w="60" w:type="dxa"/>
              <w:bottom w:w="60" w:type="dxa"/>
              <w:left w:w="100" w:type="dxa"/>
              <w:right w:w="100" w:type="dxa"/>
            </w:tcMar>
          </w:tcPr>
          <w:p>
            <w:r>
              <w:rPr>
                <w:rFonts w:ascii="Arial" w:hAnsi="Arial"/>
                <w:color w:val="000000"/>
                <w:sz w:val="18"/>
              </w:rPr>
              <w:t>Private</w:t>
            </w:r>
          </w:p>
        </w:tc>
        <w:tc>
          <w:tcPr>
            <w:tcW w:type="dxa" w:w="5040"/>
            <w:tcMar>
              <w:top w:w="60" w:type="dxa"/>
              <w:bottom w:w="60" w:type="dxa"/>
              <w:left w:w="100" w:type="dxa"/>
              <w:right w:w="100" w:type="dxa"/>
            </w:tcMar>
          </w:tcPr>
          <w:p>
            <w:r>
              <w:rPr>
                <w:rFonts w:ascii="Arial" w:hAnsi="Arial"/>
                <w:color w:val="000000"/>
                <w:sz w:val="18"/>
              </w:rPr>
              <w:t>Chỉ truy cập bên trong lớp Student (áp dụng cho thuộc tính: studentId, name, score)</w:t>
            </w:r>
          </w:p>
        </w:tc>
      </w:tr>
      <w:tr>
        <w:tc>
          <w:tcPr>
            <w:tcW w:type="dxa" w:w="1728"/>
            <w:tcMar>
              <w:top w:w="60" w:type="dxa"/>
              <w:bottom w:w="60" w:type="dxa"/>
              <w:left w:w="100" w:type="dxa"/>
              <w:right w:w="100" w:type="dxa"/>
            </w:tcMar>
          </w:tcPr>
          <w:p>
            <w:pPr>
              <w:jc w:val="center"/>
            </w:pPr>
            <w:r>
              <w:rPr>
                <w:rFonts w:ascii="Arial" w:hAnsi="Arial"/>
                <w:b/>
                <w:color w:val="000000"/>
                <w:sz w:val="18"/>
              </w:rPr>
              <w:t>+</w:t>
            </w:r>
          </w:p>
        </w:tc>
        <w:tc>
          <w:tcPr>
            <w:tcW w:type="dxa" w:w="2592"/>
            <w:tcMar>
              <w:top w:w="60" w:type="dxa"/>
              <w:bottom w:w="60" w:type="dxa"/>
              <w:left w:w="100" w:type="dxa"/>
              <w:right w:w="100" w:type="dxa"/>
            </w:tcMar>
          </w:tcPr>
          <w:p>
            <w:r>
              <w:rPr>
                <w:rFonts w:ascii="Arial" w:hAnsi="Arial"/>
                <w:color w:val="000000"/>
                <w:sz w:val="18"/>
              </w:rPr>
              <w:t>Public</w:t>
            </w:r>
          </w:p>
        </w:tc>
        <w:tc>
          <w:tcPr>
            <w:tcW w:type="dxa" w:w="5040"/>
            <w:tcMar>
              <w:top w:w="60" w:type="dxa"/>
              <w:bottom w:w="60" w:type="dxa"/>
              <w:left w:w="100" w:type="dxa"/>
              <w:right w:w="100" w:type="dxa"/>
            </w:tcMar>
          </w:tcPr>
          <w:p>
            <w:r>
              <w:rPr>
                <w:rFonts w:ascii="Arial" w:hAnsi="Arial"/>
                <w:color w:val="000000"/>
                <w:sz w:val="18"/>
              </w:rPr>
              <w:t>Truy cập từ bên ngoài (áp dụng cho constructor và các phương thức getter/setter)</w:t>
            </w:r>
          </w:p>
        </w:tc>
      </w:tr>
      <w:tr>
        <w:tc>
          <w:tcPr>
            <w:tcW w:type="dxa" w:w="1728"/>
            <w:tcMar>
              <w:top w:w="60" w:type="dxa"/>
              <w:bottom w:w="60" w:type="dxa"/>
              <w:left w:w="100" w:type="dxa"/>
              <w:right w:w="100" w:type="dxa"/>
            </w:tcMar>
          </w:tcPr>
          <w:p>
            <w:pPr>
              <w:jc w:val="center"/>
            </w:pPr>
            <w:r>
              <w:rPr>
                <w:rFonts w:ascii="Arial" w:hAnsi="Arial"/>
                <w:b/>
                <w:color w:val="000000"/>
                <w:sz w:val="18"/>
              </w:rPr>
              <w:t>#</w:t>
            </w:r>
          </w:p>
        </w:tc>
        <w:tc>
          <w:tcPr>
            <w:tcW w:type="dxa" w:w="2592"/>
            <w:tcMar>
              <w:top w:w="60" w:type="dxa"/>
              <w:bottom w:w="60" w:type="dxa"/>
              <w:left w:w="100" w:type="dxa"/>
              <w:right w:w="100" w:type="dxa"/>
            </w:tcMar>
          </w:tcPr>
          <w:p>
            <w:r>
              <w:rPr>
                <w:rFonts w:ascii="Arial" w:hAnsi="Arial"/>
                <w:color w:val="000000"/>
                <w:sz w:val="18"/>
              </w:rPr>
              <w:t>Protected</w:t>
            </w:r>
          </w:p>
        </w:tc>
        <w:tc>
          <w:tcPr>
            <w:tcW w:type="dxa" w:w="5040"/>
            <w:tcMar>
              <w:top w:w="60" w:type="dxa"/>
              <w:bottom w:w="60" w:type="dxa"/>
              <w:left w:w="100" w:type="dxa"/>
              <w:right w:w="100" w:type="dxa"/>
            </w:tcMar>
          </w:tcPr>
          <w:p>
            <w:r>
              <w:rPr>
                <w:rFonts w:ascii="Arial" w:hAnsi="Arial"/>
                <w:color w:val="000000"/>
                <w:sz w:val="18"/>
              </w:rPr>
              <w:t>Truy cập trong lớp và các lớp con kế thừa</w:t>
            </w:r>
          </w:p>
        </w:tc>
      </w:tr>
      <w:tr>
        <w:tc>
          <w:tcPr>
            <w:tcW w:type="dxa" w:w="1728"/>
            <w:tcMar>
              <w:top w:w="60" w:type="dxa"/>
              <w:bottom w:w="60" w:type="dxa"/>
              <w:left w:w="100" w:type="dxa"/>
              <w:right w:w="100" w:type="dxa"/>
            </w:tcMar>
          </w:tcPr>
          <w:p>
            <w:pPr>
              <w:jc w:val="center"/>
            </w:pPr>
            <w:r>
              <w:rPr>
                <w:rFonts w:ascii="Arial" w:hAnsi="Arial"/>
                <w:b/>
                <w:color w:val="000000"/>
                <w:sz w:val="18"/>
              </w:rPr>
              <w:t>~</w:t>
            </w:r>
          </w:p>
        </w:tc>
        <w:tc>
          <w:tcPr>
            <w:tcW w:type="dxa" w:w="2592"/>
            <w:tcMar>
              <w:top w:w="60" w:type="dxa"/>
              <w:bottom w:w="60" w:type="dxa"/>
              <w:left w:w="100" w:type="dxa"/>
              <w:right w:w="100" w:type="dxa"/>
            </w:tcMar>
          </w:tcPr>
          <w:p>
            <w:r>
              <w:rPr>
                <w:rFonts w:ascii="Arial" w:hAnsi="Arial"/>
                <w:color w:val="000000"/>
                <w:sz w:val="18"/>
              </w:rPr>
              <w:t>Package</w:t>
            </w:r>
          </w:p>
        </w:tc>
        <w:tc>
          <w:tcPr>
            <w:tcW w:type="dxa" w:w="5040"/>
            <w:tcMar>
              <w:top w:w="60" w:type="dxa"/>
              <w:bottom w:w="60" w:type="dxa"/>
              <w:left w:w="100" w:type="dxa"/>
              <w:right w:w="100" w:type="dxa"/>
            </w:tcMar>
          </w:tcPr>
          <w:p>
            <w:r>
              <w:rPr>
                <w:rFonts w:ascii="Arial" w:hAnsi="Arial"/>
                <w:color w:val="000000"/>
                <w:sz w:val="18"/>
              </w:rPr>
              <w:t>Truy cập trong cùng gói (mặc định)</w:t>
            </w:r>
          </w:p>
        </w:tc>
      </w:tr>
    </w:tbl>
    <w:p>
      <w:pPr>
        <w:spacing w:after="120"/>
      </w:pPr>
    </w:p>
    <w:p>
      <w:pPr>
        <w:pStyle w:val="Heading1"/>
        <w:keepNext/>
        <w:spacing w:before="240" w:after="80"/>
      </w:pPr>
      <w:r>
        <w:rPr>
          <w:rFonts w:ascii="Arial" w:hAnsi="Arial"/>
          <w:b/>
          <w:color w:val="000000"/>
          <w:sz w:val="24"/>
        </w:rPr>
        <w:t>3. Phần 2: Mô tả logic an toàn cho phương thức setScore()</w:t>
      </w:r>
    </w:p>
    <w:p>
      <w:pPr>
        <w:spacing w:before="0" w:after="80" w:line="276" w:lineRule="auto"/>
      </w:pPr>
      <w:r>
        <w:rPr>
          <w:rFonts w:ascii="Arial" w:hAnsi="Arial"/>
          <w:color w:val="000000"/>
          <w:sz w:val="20"/>
        </w:rPr>
        <w:t>Để ngăn chặn việc gán điểm âm hoặc lớn hơn 10, phương thức setScore() cần kiểm tra giá trị tham số đầu vào trước khi lưu vào biến score.</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tcMar>
              <w:top w:w="120" w:type="dxa"/>
              <w:bottom w:w="120" w:type="dxa"/>
              <w:left w:w="160" w:type="dxa"/>
              <w:right w:w="160" w:type="dxa"/>
            </w:tcMar>
          </w:tcPr>
          <w:p>
            <w:pPr>
              <w:spacing w:before="0" w:after="0" w:line="260" w:lineRule="exact"/>
            </w:pPr>
            <w:r>
              <w:rPr>
                <w:rFonts w:ascii="Courier New" w:hAnsi="Courier New"/>
                <w:color w:val="000000"/>
                <w:sz w:val="19"/>
              </w:rPr>
              <w:t>METHOD setScore(newScore: Real) -&gt; Boolean</w:t>
              <w:br/>
              <w:t xml:space="preserve">    IF newScore &gt;= 0.0 AND newScore &lt;= 10.0 THEN</w:t>
              <w:br/>
              <w:t xml:space="preserve">        this.score = newScore</w:t>
              <w:br/>
              <w:t xml:space="preserve">        RETURN True</w:t>
              <w:br/>
              <w:t xml:space="preserve">    ELSE</w:t>
              <w:br/>
              <w:t xml:space="preserve">        PRINT "Lỗi: Điểm số phải nằm trong khoảng từ 0 đến 10!"</w:t>
              <w:br/>
              <w:t xml:space="preserve">        RETURN False</w:t>
              <w:br/>
              <w:t xml:space="preserve">    END IF</w:t>
              <w:br/>
              <w:t>END METHOD</w:t>
            </w:r>
          </w:p>
        </w:tc>
      </w:tr>
    </w:tbl>
    <w:p>
      <w:pPr>
        <w:spacing w:after="80"/>
      </w:pPr>
    </w:p>
    <w:p>
      <w:pPr>
        <w:spacing w:before="0" w:after="80" w:line="276" w:lineRule="auto"/>
      </w:pPr>
      <w:r>
        <w:rPr>
          <w:rFonts w:ascii="Arial" w:hAnsi="Arial"/>
          <w:color w:val="000000"/>
          <w:sz w:val="20"/>
        </w:rPr>
        <w:t>Giải thích logic:</w:t>
      </w:r>
    </w:p>
    <w:p>
      <w:pPr>
        <w:pStyle w:val="ListBullet"/>
        <w:spacing w:before="0" w:after="60" w:line="276" w:lineRule="auto"/>
      </w:pPr>
      <w:r>
        <w:rPr>
          <w:rFonts w:ascii="Arial" w:hAnsi="Arial"/>
          <w:color w:val="000000"/>
          <w:sz w:val="20"/>
        </w:rPr>
        <w:t>Điều kiện kiểm tra: newScore &gt;= 0.0 AND newScore &lt;= 10.0 đảm bảo điểm số chỉ nằm trong đoạn [0, 10].</w:t>
      </w:r>
    </w:p>
    <w:p>
      <w:pPr>
        <w:pStyle w:val="ListBullet"/>
        <w:spacing w:before="0" w:after="60" w:line="276" w:lineRule="auto"/>
      </w:pPr>
      <w:r>
        <w:rPr>
          <w:rFonts w:ascii="Arial" w:hAnsi="Arial"/>
          <w:color w:val="000000"/>
          <w:sz w:val="20"/>
        </w:rPr>
        <w:t>Nếu thỏa mãn: Gán newScore cho thuộc tính score của học viên.</w:t>
      </w:r>
    </w:p>
    <w:p>
      <w:pPr>
        <w:pStyle w:val="ListBullet"/>
        <w:spacing w:before="0" w:after="60" w:line="276" w:lineRule="auto"/>
      </w:pPr>
      <w:r>
        <w:rPr>
          <w:rFonts w:ascii="Arial" w:hAnsi="Arial"/>
          <w:color w:val="000000"/>
          <w:sz w:val="20"/>
        </w:rPr>
        <w:t>Nếu không thỏa mãn: Bỏ qua lệnh gán (giữ nguyên điểm cũ) và in thông báo lỗi để người dùng biết.</w:t>
      </w:r>
    </w:p>
    <w:p>
      <w:pPr>
        <w:spacing w:before="0" w:after="80" w:line="276" w:lineRule="auto"/>
      </w:pPr>
      <w:r>
        <w:rPr>
          <w:rFonts w:ascii="Arial" w:hAnsi="Arial"/>
          <w:color w:val="000000"/>
          <w:sz w:val="20"/>
        </w:rPr>
        <w:t>Bảng kiểm tra các trường hợp:</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D1D5DB"/>
          <w:insideV w:val="none"/>
          <w:left w:val="none"/>
          <w:right w:val="none"/>
        </w:tblBorders>
      </w:tblPr>
      <w:tblGrid>
        <w:gridCol w:w="2340"/>
        <w:gridCol w:w="2340"/>
        <w:gridCol w:w="2340"/>
        <w:gridCol w:w="2340"/>
      </w:tblGrid>
      <w:tr>
        <w:tc>
          <w:tcPr>
            <w:tcW w:type="dxa" w:w="2160"/>
            <w:tcMar>
              <w:top w:w="80" w:type="dxa"/>
              <w:bottom w:w="80" w:type="dxa"/>
              <w:left w:w="100" w:type="dxa"/>
              <w:right w:w="100" w:type="dxa"/>
            </w:tcMar>
          </w:tcPr>
          <w:p>
            <w:r>
              <w:rPr>
                <w:rFonts w:ascii="Arial" w:hAnsi="Arial"/>
                <w:b/>
                <w:color w:val="000000"/>
                <w:sz w:val="19"/>
              </w:rPr>
              <w:t>Trường hợp</w:t>
            </w:r>
          </w:p>
        </w:tc>
        <w:tc>
          <w:tcPr>
            <w:tcW w:type="dxa" w:w="1872"/>
            <w:tcMar>
              <w:top w:w="80" w:type="dxa"/>
              <w:bottom w:w="80" w:type="dxa"/>
              <w:left w:w="100" w:type="dxa"/>
              <w:right w:w="100" w:type="dxa"/>
            </w:tcMar>
          </w:tcPr>
          <w:p>
            <w:r>
              <w:rPr>
                <w:rFonts w:ascii="Arial" w:hAnsi="Arial"/>
                <w:b/>
                <w:color w:val="000000"/>
                <w:sz w:val="19"/>
              </w:rPr>
              <w:t>Giá trị newScore</w:t>
            </w:r>
          </w:p>
        </w:tc>
        <w:tc>
          <w:tcPr>
            <w:tcW w:type="dxa" w:w="3168"/>
            <w:tcMar>
              <w:top w:w="80" w:type="dxa"/>
              <w:bottom w:w="80" w:type="dxa"/>
              <w:left w:w="100" w:type="dxa"/>
              <w:right w:w="100" w:type="dxa"/>
            </w:tcMar>
          </w:tcPr>
          <w:p>
            <w:r>
              <w:rPr>
                <w:rFonts w:ascii="Arial" w:hAnsi="Arial"/>
                <w:b/>
                <w:color w:val="000000"/>
                <w:sz w:val="19"/>
              </w:rPr>
              <w:t>Xử lý của hệ thống</w:t>
            </w:r>
          </w:p>
        </w:tc>
        <w:tc>
          <w:tcPr>
            <w:tcW w:type="dxa" w:w="2160"/>
            <w:tcMar>
              <w:top w:w="80" w:type="dxa"/>
              <w:bottom w:w="80" w:type="dxa"/>
              <w:left w:w="100" w:type="dxa"/>
              <w:right w:w="100" w:type="dxa"/>
            </w:tcMar>
          </w:tcPr>
          <w:p>
            <w:r>
              <w:rPr>
                <w:rFonts w:ascii="Arial" w:hAnsi="Arial"/>
                <w:b/>
                <w:color w:val="000000"/>
                <w:sz w:val="19"/>
              </w:rPr>
              <w:t>Kết quả thuộc tính score</w:t>
            </w:r>
          </w:p>
        </w:tc>
      </w:tr>
      <w:tr>
        <w:tc>
          <w:tcPr>
            <w:tcW w:type="dxa" w:w="2160"/>
            <w:tcMar>
              <w:top w:w="60" w:type="dxa"/>
              <w:bottom w:w="60" w:type="dxa"/>
              <w:left w:w="100" w:type="dxa"/>
              <w:right w:w="100" w:type="dxa"/>
            </w:tcMar>
          </w:tcPr>
          <w:p>
            <w:r>
              <w:rPr>
                <w:rFonts w:ascii="Arial" w:hAnsi="Arial"/>
                <w:color w:val="000000"/>
                <w:sz w:val="18"/>
              </w:rPr>
              <w:t>Điểm hợp lệ</w:t>
            </w:r>
          </w:p>
        </w:tc>
        <w:tc>
          <w:tcPr>
            <w:tcW w:type="dxa" w:w="1872"/>
            <w:tcMar>
              <w:top w:w="60" w:type="dxa"/>
              <w:bottom w:w="60" w:type="dxa"/>
              <w:left w:w="100" w:type="dxa"/>
              <w:right w:w="100" w:type="dxa"/>
            </w:tcMar>
          </w:tcPr>
          <w:p>
            <w:r>
              <w:rPr>
                <w:rFonts w:ascii="Arial" w:hAnsi="Arial"/>
                <w:color w:val="000000"/>
                <w:sz w:val="18"/>
              </w:rPr>
              <w:t>8.5</w:t>
            </w:r>
          </w:p>
        </w:tc>
        <w:tc>
          <w:tcPr>
            <w:tcW w:type="dxa" w:w="3168"/>
            <w:tcMar>
              <w:top w:w="60" w:type="dxa"/>
              <w:bottom w:w="60" w:type="dxa"/>
              <w:left w:w="100" w:type="dxa"/>
              <w:right w:w="100" w:type="dxa"/>
            </w:tcMar>
          </w:tcPr>
          <w:p>
            <w:r>
              <w:rPr>
                <w:rFonts w:ascii="Arial" w:hAnsi="Arial"/>
                <w:color w:val="000000"/>
                <w:sz w:val="18"/>
              </w:rPr>
              <w:t>Chấp nhận gán</w:t>
            </w:r>
          </w:p>
        </w:tc>
        <w:tc>
          <w:tcPr>
            <w:tcW w:type="dxa" w:w="2160"/>
            <w:tcMar>
              <w:top w:w="60" w:type="dxa"/>
              <w:bottom w:w="60" w:type="dxa"/>
              <w:left w:w="100" w:type="dxa"/>
              <w:right w:w="100" w:type="dxa"/>
            </w:tcMar>
          </w:tcPr>
          <w:p>
            <w:r>
              <w:rPr>
                <w:rFonts w:ascii="Arial" w:hAnsi="Arial"/>
                <w:color w:val="000000"/>
                <w:sz w:val="18"/>
              </w:rPr>
              <w:t>score = 8.5</w:t>
            </w:r>
          </w:p>
        </w:tc>
      </w:tr>
      <w:tr>
        <w:tc>
          <w:tcPr>
            <w:tcW w:type="dxa" w:w="2160"/>
            <w:tcMar>
              <w:top w:w="60" w:type="dxa"/>
              <w:bottom w:w="60" w:type="dxa"/>
              <w:left w:w="100" w:type="dxa"/>
              <w:right w:w="100" w:type="dxa"/>
            </w:tcMar>
          </w:tcPr>
          <w:p>
            <w:r>
              <w:rPr>
                <w:rFonts w:ascii="Arial" w:hAnsi="Arial"/>
                <w:color w:val="000000"/>
                <w:sz w:val="18"/>
              </w:rPr>
              <w:t>Cận biên dưới</w:t>
            </w:r>
          </w:p>
        </w:tc>
        <w:tc>
          <w:tcPr>
            <w:tcW w:type="dxa" w:w="1872"/>
            <w:tcMar>
              <w:top w:w="60" w:type="dxa"/>
              <w:bottom w:w="60" w:type="dxa"/>
              <w:left w:w="100" w:type="dxa"/>
              <w:right w:w="100" w:type="dxa"/>
            </w:tcMar>
          </w:tcPr>
          <w:p>
            <w:r>
              <w:rPr>
                <w:rFonts w:ascii="Arial" w:hAnsi="Arial"/>
                <w:color w:val="000000"/>
                <w:sz w:val="18"/>
              </w:rPr>
              <w:t>0.0</w:t>
            </w:r>
          </w:p>
        </w:tc>
        <w:tc>
          <w:tcPr>
            <w:tcW w:type="dxa" w:w="3168"/>
            <w:tcMar>
              <w:top w:w="60" w:type="dxa"/>
              <w:bottom w:w="60" w:type="dxa"/>
              <w:left w:w="100" w:type="dxa"/>
              <w:right w:w="100" w:type="dxa"/>
            </w:tcMar>
          </w:tcPr>
          <w:p>
            <w:r>
              <w:rPr>
                <w:rFonts w:ascii="Arial" w:hAnsi="Arial"/>
                <w:color w:val="000000"/>
                <w:sz w:val="18"/>
              </w:rPr>
              <w:t>Chấp nhận gán</w:t>
            </w:r>
          </w:p>
        </w:tc>
        <w:tc>
          <w:tcPr>
            <w:tcW w:type="dxa" w:w="2160"/>
            <w:tcMar>
              <w:top w:w="60" w:type="dxa"/>
              <w:bottom w:w="60" w:type="dxa"/>
              <w:left w:w="100" w:type="dxa"/>
              <w:right w:w="100" w:type="dxa"/>
            </w:tcMar>
          </w:tcPr>
          <w:p>
            <w:r>
              <w:rPr>
                <w:rFonts w:ascii="Arial" w:hAnsi="Arial"/>
                <w:color w:val="000000"/>
                <w:sz w:val="18"/>
              </w:rPr>
              <w:t>score = 0.0</w:t>
            </w:r>
          </w:p>
        </w:tc>
      </w:tr>
      <w:tr>
        <w:tc>
          <w:tcPr>
            <w:tcW w:type="dxa" w:w="2160"/>
            <w:tcMar>
              <w:top w:w="60" w:type="dxa"/>
              <w:bottom w:w="60" w:type="dxa"/>
              <w:left w:w="100" w:type="dxa"/>
              <w:right w:w="100" w:type="dxa"/>
            </w:tcMar>
          </w:tcPr>
          <w:p>
            <w:r>
              <w:rPr>
                <w:rFonts w:ascii="Arial" w:hAnsi="Arial"/>
                <w:color w:val="000000"/>
                <w:sz w:val="18"/>
              </w:rPr>
              <w:t>Cận biên trên</w:t>
            </w:r>
          </w:p>
        </w:tc>
        <w:tc>
          <w:tcPr>
            <w:tcW w:type="dxa" w:w="1872"/>
            <w:tcMar>
              <w:top w:w="60" w:type="dxa"/>
              <w:bottom w:w="60" w:type="dxa"/>
              <w:left w:w="100" w:type="dxa"/>
              <w:right w:w="100" w:type="dxa"/>
            </w:tcMar>
          </w:tcPr>
          <w:p>
            <w:r>
              <w:rPr>
                <w:rFonts w:ascii="Arial" w:hAnsi="Arial"/>
                <w:color w:val="000000"/>
                <w:sz w:val="18"/>
              </w:rPr>
              <w:t>10.0</w:t>
            </w:r>
          </w:p>
        </w:tc>
        <w:tc>
          <w:tcPr>
            <w:tcW w:type="dxa" w:w="3168"/>
            <w:tcMar>
              <w:top w:w="60" w:type="dxa"/>
              <w:bottom w:w="60" w:type="dxa"/>
              <w:left w:w="100" w:type="dxa"/>
              <w:right w:w="100" w:type="dxa"/>
            </w:tcMar>
          </w:tcPr>
          <w:p>
            <w:r>
              <w:rPr>
                <w:rFonts w:ascii="Arial" w:hAnsi="Arial"/>
                <w:color w:val="000000"/>
                <w:sz w:val="18"/>
              </w:rPr>
              <w:t>Chấp nhận gán</w:t>
            </w:r>
          </w:p>
        </w:tc>
        <w:tc>
          <w:tcPr>
            <w:tcW w:type="dxa" w:w="2160"/>
            <w:tcMar>
              <w:top w:w="60" w:type="dxa"/>
              <w:bottom w:w="60" w:type="dxa"/>
              <w:left w:w="100" w:type="dxa"/>
              <w:right w:w="100" w:type="dxa"/>
            </w:tcMar>
          </w:tcPr>
          <w:p>
            <w:r>
              <w:rPr>
                <w:rFonts w:ascii="Arial" w:hAnsi="Arial"/>
                <w:color w:val="000000"/>
                <w:sz w:val="18"/>
              </w:rPr>
              <w:t>score = 10.0</w:t>
            </w:r>
          </w:p>
        </w:tc>
      </w:tr>
      <w:tr>
        <w:tc>
          <w:tcPr>
            <w:tcW w:type="dxa" w:w="2160"/>
            <w:tcMar>
              <w:top w:w="60" w:type="dxa"/>
              <w:bottom w:w="60" w:type="dxa"/>
              <w:left w:w="100" w:type="dxa"/>
              <w:right w:w="100" w:type="dxa"/>
            </w:tcMar>
          </w:tcPr>
          <w:p>
            <w:r>
              <w:rPr>
                <w:rFonts w:ascii="Arial" w:hAnsi="Arial"/>
                <w:color w:val="000000"/>
                <w:sz w:val="18"/>
              </w:rPr>
              <w:t>Điểm âm</w:t>
            </w:r>
          </w:p>
        </w:tc>
        <w:tc>
          <w:tcPr>
            <w:tcW w:type="dxa" w:w="1872"/>
            <w:tcMar>
              <w:top w:w="60" w:type="dxa"/>
              <w:bottom w:w="60" w:type="dxa"/>
              <w:left w:w="100" w:type="dxa"/>
              <w:right w:w="100" w:type="dxa"/>
            </w:tcMar>
          </w:tcPr>
          <w:p>
            <w:r>
              <w:rPr>
                <w:rFonts w:ascii="Arial" w:hAnsi="Arial"/>
                <w:color w:val="000000"/>
                <w:sz w:val="18"/>
              </w:rPr>
              <w:t>-1.0</w:t>
            </w:r>
          </w:p>
        </w:tc>
        <w:tc>
          <w:tcPr>
            <w:tcW w:type="dxa" w:w="3168"/>
            <w:tcMar>
              <w:top w:w="60" w:type="dxa"/>
              <w:bottom w:w="60" w:type="dxa"/>
              <w:left w:w="100" w:type="dxa"/>
              <w:right w:w="100" w:type="dxa"/>
            </w:tcMar>
          </w:tcPr>
          <w:p>
            <w:r>
              <w:rPr>
                <w:rFonts w:ascii="Arial" w:hAnsi="Arial"/>
                <w:color w:val="000000"/>
                <w:sz w:val="18"/>
              </w:rPr>
              <w:t>Từ chối, báo lỗi</w:t>
            </w:r>
          </w:p>
        </w:tc>
        <w:tc>
          <w:tcPr>
            <w:tcW w:type="dxa" w:w="2160"/>
            <w:tcMar>
              <w:top w:w="60" w:type="dxa"/>
              <w:bottom w:w="60" w:type="dxa"/>
              <w:left w:w="100" w:type="dxa"/>
              <w:right w:w="100" w:type="dxa"/>
            </w:tcMar>
          </w:tcPr>
          <w:p>
            <w:r>
              <w:rPr>
                <w:rFonts w:ascii="Arial" w:hAnsi="Arial"/>
                <w:color w:val="000000"/>
                <w:sz w:val="18"/>
              </w:rPr>
              <w:t>Giữ điểm cũ</w:t>
            </w:r>
          </w:p>
        </w:tc>
      </w:tr>
      <w:tr>
        <w:tc>
          <w:tcPr>
            <w:tcW w:type="dxa" w:w="2160"/>
            <w:tcMar>
              <w:top w:w="60" w:type="dxa"/>
              <w:bottom w:w="60" w:type="dxa"/>
              <w:left w:w="100" w:type="dxa"/>
              <w:right w:w="100" w:type="dxa"/>
            </w:tcMar>
          </w:tcPr>
          <w:p>
            <w:r>
              <w:rPr>
                <w:rFonts w:ascii="Arial" w:hAnsi="Arial"/>
                <w:color w:val="000000"/>
                <w:sz w:val="18"/>
              </w:rPr>
              <w:t>Điểm lớn hơn 10</w:t>
            </w:r>
          </w:p>
        </w:tc>
        <w:tc>
          <w:tcPr>
            <w:tcW w:type="dxa" w:w="1872"/>
            <w:tcMar>
              <w:top w:w="60" w:type="dxa"/>
              <w:bottom w:w="60" w:type="dxa"/>
              <w:left w:w="100" w:type="dxa"/>
              <w:right w:w="100" w:type="dxa"/>
            </w:tcMar>
          </w:tcPr>
          <w:p>
            <w:r>
              <w:rPr>
                <w:rFonts w:ascii="Arial" w:hAnsi="Arial"/>
                <w:color w:val="000000"/>
                <w:sz w:val="18"/>
              </w:rPr>
              <w:t>11.5</w:t>
            </w:r>
          </w:p>
        </w:tc>
        <w:tc>
          <w:tcPr>
            <w:tcW w:type="dxa" w:w="3168"/>
            <w:tcMar>
              <w:top w:w="60" w:type="dxa"/>
              <w:bottom w:w="60" w:type="dxa"/>
              <w:left w:w="100" w:type="dxa"/>
              <w:right w:w="100" w:type="dxa"/>
            </w:tcMar>
          </w:tcPr>
          <w:p>
            <w:r>
              <w:rPr>
                <w:rFonts w:ascii="Arial" w:hAnsi="Arial"/>
                <w:color w:val="000000"/>
                <w:sz w:val="18"/>
              </w:rPr>
              <w:t>Từ chối, báo lỗi</w:t>
            </w:r>
          </w:p>
        </w:tc>
        <w:tc>
          <w:tcPr>
            <w:tcW w:type="dxa" w:w="2160"/>
            <w:tcMar>
              <w:top w:w="60" w:type="dxa"/>
              <w:bottom w:w="60" w:type="dxa"/>
              <w:left w:w="100" w:type="dxa"/>
              <w:right w:w="100" w:type="dxa"/>
            </w:tcMar>
          </w:tcPr>
          <w:p>
            <w:r>
              <w:rPr>
                <w:rFonts w:ascii="Arial" w:hAnsi="Arial"/>
                <w:color w:val="000000"/>
                <w:sz w:val="18"/>
              </w:rPr>
              <w:t>Giữ điểm cũ</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