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7365D"/>
          <w:sz w:val="60"/>
        </w:rPr>
        <w:t>AI Financial Intelligence Platform</w:t>
      </w:r>
    </w:p>
    <w:p>
      <w:pPr>
        <w:jc w:val="center"/>
      </w:pPr>
      <w:r>
        <w:rPr>
          <w:color w:val="1F4E78"/>
          <w:sz w:val="36"/>
        </w:rPr>
        <w:t>Technical Design Document (TDD)</w:t>
      </w:r>
    </w:p>
    <w:p>
      <w:pPr>
        <w:jc w:val="center"/>
      </w:pPr>
      <w:r>
        <w:rPr>
          <w:i/>
          <w:sz w:val="26"/>
        </w:rPr>
        <w:t>Version 1.3 — Database and Container Foundation</w:t>
      </w:r>
    </w:p>
    <w:p>
      <w:pPr>
        <w:spacing w:before="700"/>
        <w:jc w:val="center"/>
      </w:pPr>
      <w:r>
        <w:rPr>
          <w:sz w:val="22"/>
        </w:rPr>
        <w:t>Updated 26 July 2026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Document property</w:t>
            </w:r>
          </w:p>
        </w:tc>
        <w:tc>
          <w:tcPr>
            <w:tcW w:type="dxa" w:w="705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  <w:t>1.3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  <w:t>Approved for continuation of Epic 1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Last updated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  <w:t>26 July 2026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Architecture style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  <w:t>Modular monolith with explicit API, service, provider and persistence boundaries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Deployment model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  <w:t>Local-first, fully containerised backend using Docker Compose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Current supported instruments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  <w:t>XAUUSD, GOLD_FUTURES, GBPUSD, EURUSD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Current automated tests</w:t>
            </w:r>
          </w:p>
        </w:tc>
        <w:tc>
          <w:tcPr>
            <w:tcW w:type="dxa" w:w="7056"/>
            <w:vAlign w:val="center"/>
          </w:tcPr>
          <w:p>
            <w:r>
              <w:rPr>
                <w:sz w:val="18"/>
              </w:rPr>
              <w:t>84 passing</w:t>
            </w:r>
          </w:p>
        </w:tc>
      </w:tr>
    </w:tbl>
    <w:p/>
    <w:p>
      <w:pPr>
        <w:pStyle w:val="Heading1"/>
        <w:keepNext/>
      </w:pPr>
      <w:r>
        <w:t>1. Document Purpose</w:t>
      </w:r>
    </w:p>
    <w:p>
      <w:r>
        <w:t>This Technical Design Document defines the current engineering architecture and implementation approach for the AI Financial Intelligence Platform. Version 1.3 extends the generic instrument and provider design delivered through US-015 and US-016 with the database and container foundation delivered through US-017.</w:t>
      </w:r>
    </w:p>
    <w:p>
      <w:r>
        <w:t>The platform is evolving from a market-data proxy into a persistent financial intelligence platform. The current release supports instrument discovery, provider-driven live and historical market-data retrieval, database connectivity, migration control, health/readiness checks and a reproducible multi-container local development environment.</w:t>
      </w:r>
    </w:p>
    <w:p>
      <w:pPr>
        <w:pStyle w:val="ListBullet"/>
      </w:pPr>
      <w:r>
        <w:t>Components already implemented and verified.</w:t>
      </w:r>
    </w:p>
    <w:p>
      <w:pPr>
        <w:pStyle w:val="ListBullet"/>
      </w:pPr>
      <w:r>
        <w:t>Current API contracts and supported instruments.</w:t>
      </w:r>
    </w:p>
    <w:p>
      <w:pPr>
        <w:pStyle w:val="ListBullet"/>
      </w:pPr>
      <w:r>
        <w:t>Instrument Registry, InstrumentService and Provider Resolver responsibilities.</w:t>
      </w:r>
    </w:p>
    <w:p>
      <w:pPr>
        <w:pStyle w:val="ListBullet"/>
      </w:pPr>
      <w:r>
        <w:t>Docker Compose, TimescaleDB, SQLAlchemy and Alembic integration.</w:t>
      </w:r>
    </w:p>
    <w:p>
      <w:pPr>
        <w:pStyle w:val="ListBullet"/>
      </w:pPr>
      <w:r>
        <w:t>Local and containerised execution models.</w:t>
      </w:r>
    </w:p>
    <w:p>
      <w:pPr>
        <w:pStyle w:val="ListBullet"/>
      </w:pPr>
      <w:r>
        <w:t>Remaining Epic 1 work: repositories, historical persistence, ingestion and observability.</w:t>
      </w:r>
    </w:p>
    <w:p>
      <w:pPr>
        <w:pStyle w:val="Heading1"/>
        <w:keepNext/>
      </w:pPr>
      <w:r>
        <w:t>2. Product Context and Scope</w:t>
      </w:r>
    </w:p>
    <w:p>
      <w:r>
        <w:t>The platform is a decision-support system for analysing financial markets across London and New York trading sessions. Its current focus is normalised market-data access and platform infrastructure. Later stages will combine stored prices, technical indicators, financial news, FinBERT sentiment, time alignment and AI-generated market interpretation.</w:t>
      </w:r>
    </w:p>
    <w:p>
      <w:pPr>
        <w:pStyle w:val="Heading2"/>
        <w:keepNext/>
      </w:pPr>
      <w:r>
        <w:t>2.1 Current supported instruments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Platform code</w:t>
            </w:r>
          </w:p>
        </w:tc>
        <w:tc>
          <w:tcPr>
            <w:tcW w:type="dxa" w:w="158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Display symbol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Asset type</w:t>
            </w:r>
          </w:p>
        </w:tc>
        <w:tc>
          <w:tcPr>
            <w:tcW w:type="dxa" w:w="180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Provider symbol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8"/>
              </w:rPr>
              <w:t>XAUUSD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XAU/USD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Commodity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  <w:t>Twelve Data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XAU/USD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8"/>
              </w:rPr>
              <w:t>GOLD_FUTURES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GC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Futures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  <w:t>Yahoo Finance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GC=F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8"/>
              </w:rPr>
              <w:t>GBPUSD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GBP/USD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Forex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  <w:t>Twelve Data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GBP/USD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sz w:val="18"/>
              </w:rPr>
              <w:t>EURUSD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EUR/USD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8"/>
              </w:rPr>
              <w:t>Forex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8"/>
              </w:rPr>
              <w:t>Twelve Data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EUR/USD</w:t>
            </w:r>
          </w:p>
        </w:tc>
      </w:tr>
    </w:tbl>
    <w:p/>
    <w:p>
      <w:pPr>
        <w:pStyle w:val="Heading2"/>
        <w:keepNext/>
      </w:pPr>
      <w:r>
        <w:t>2.2 Explicit non-goals for the current stage</w:t>
      </w:r>
    </w:p>
    <w:p>
      <w:pPr>
        <w:pStyle w:val="ListBullet"/>
      </w:pPr>
      <w:r>
        <w:t>Executing trades or connecting to a broker.</w:t>
      </w:r>
    </w:p>
    <w:p>
      <w:pPr>
        <w:pStyle w:val="ListBullet"/>
      </w:pPr>
      <w:r>
        <w:t>Guaranteeing market outcomes or providing regulated financial advice.</w:t>
      </w:r>
    </w:p>
    <w:p>
      <w:pPr>
        <w:pStyle w:val="ListBullet"/>
      </w:pPr>
      <w:r>
        <w:t>Treating free provider feeds as institutional execution-grade data.</w:t>
      </w:r>
    </w:p>
    <w:p>
      <w:pPr>
        <w:pStyle w:val="ListBullet"/>
      </w:pPr>
      <w:r>
        <w:t>Running heavy ingestion or machine-learning workloads inside API request handlers.</w:t>
      </w:r>
    </w:p>
    <w:p>
      <w:pPr>
        <w:pStyle w:val="ListBullet"/>
      </w:pPr>
      <w:r>
        <w:t>Persisting market candles before repository and storage stories are implemented.</w:t>
      </w:r>
    </w:p>
    <w:p>
      <w:pPr>
        <w:pStyle w:val="Heading1"/>
        <w:keepNext/>
      </w:pPr>
      <w:r>
        <w:t>3. Architecture Principles</w:t>
      </w:r>
    </w:p>
    <w:p>
      <w:pPr>
        <w:pStyle w:val="ListBullet"/>
      </w:pPr>
      <w:r>
        <w:t>Separation of concerns: routing, instrument resolution, business logic, provider selection, database connectivity, persistence and machine learning remain separate.</w:t>
      </w:r>
    </w:p>
    <w:p>
      <w:pPr>
        <w:pStyle w:val="ListBullet"/>
      </w:pPr>
      <w:r>
        <w:t>Dependency inversion: MarketDataService depends on the MarketDataProvider contract, not concrete provider classes.</w:t>
      </w:r>
    </w:p>
    <w:p>
      <w:pPr>
        <w:pStyle w:val="ListBullet"/>
      </w:pPr>
      <w:r>
        <w:t>Stable platform identity: public APIs use platform codes such as XAUUSD and GOLD_FUTURES; provider symbols remain internal.</w:t>
      </w:r>
    </w:p>
    <w:p>
      <w:pPr>
        <w:pStyle w:val="ListBullet"/>
      </w:pPr>
      <w:r>
        <w:t>Single source of instrument truth: InstrumentDefinition centralises metadata, provider mapping and capabilities.</w:t>
      </w:r>
    </w:p>
    <w:p>
      <w:pPr>
        <w:pStyle w:val="ListBullet"/>
      </w:pPr>
      <w:r>
        <w:t>Configuration through environment: credentials and environment-specific hostnames are injected rather than hardcoded.</w:t>
      </w:r>
    </w:p>
    <w:p>
      <w:pPr>
        <w:pStyle w:val="ListBullet"/>
      </w:pPr>
      <w:r>
        <w:t>Migration-controlled schema: Alembic owns database schema evolution; manual table creation is avoided.</w:t>
      </w:r>
    </w:p>
    <w:p>
      <w:pPr>
        <w:pStyle w:val="ListBullet"/>
      </w:pPr>
      <w:r>
        <w:t>Health separation: liveness and database readiness are exposed independently.</w:t>
      </w:r>
    </w:p>
    <w:p>
      <w:pPr>
        <w:pStyle w:val="ListBullet"/>
      </w:pPr>
      <w:r>
        <w:t>Container portability: FastAPI and TimescaleDB run together through Docker Compose.</w:t>
      </w:r>
    </w:p>
    <w:p>
      <w:pPr>
        <w:pStyle w:val="ListBullet"/>
      </w:pPr>
      <w:r>
        <w:t>UTC internally: timestamps are timezone-aware and normalised to UTC.</w:t>
      </w:r>
    </w:p>
    <w:p>
      <w:pPr>
        <w:pStyle w:val="ListBullet"/>
      </w:pPr>
      <w:r>
        <w:t>Incremental delivery: architecture evolves through small, testable user stories.</w:t>
      </w:r>
    </w:p>
    <w:p>
      <w:pPr>
        <w:pStyle w:val="Heading1"/>
        <w:keepNext/>
      </w:pPr>
      <w:r>
        <w:t>4. System Architecture</w:t>
      </w:r>
    </w:p>
    <w:p>
      <w:pPr>
        <w:pStyle w:val="Heading2"/>
        <w:keepNext/>
      </w:pPr>
      <w:r>
        <w:t>4.1 Containerised runtime architecture</w:t>
      </w:r>
    </w:p>
    <w:p>
      <w:pPr>
        <w:pStyle w:val="CodeBlock"/>
        <w:spacing w:after="160"/>
      </w:pPr>
      <w:r>
        <w:t>Browser / Swagger / Future Next.js Frontend</w:t>
        <w:br/>
      </w:r>
      <w:r>
        <w:t xml:space="preserve">                    |</w:t>
        <w:br/>
      </w:r>
      <w:r>
        <w:t xml:space="preserve">                    v</w:t>
        <w:br/>
      </w:r>
      <w:r>
        <w:t xml:space="preserve">              localhost:8000</w:t>
        <w:br/>
      </w:r>
      <w:r>
        <w:t xml:space="preserve">                    |</w:t>
        <w:br/>
      </w:r>
      <w:r>
        <w:t xml:space="preserve">                    v</w:t>
        <w:br/>
      </w:r>
      <w:r>
        <w:t xml:space="preserve">        FastAPI Container (Uvicorn)</w:t>
        <w:br/>
      </w:r>
      <w:r>
        <w:t xml:space="preserve">          |        |         |</w:t>
        <w:br/>
      </w:r>
      <w:r>
        <w:t xml:space="preserve">          |        |         +--&gt; Health / Readiness Routes</w:t>
        <w:br/>
      </w:r>
      <w:r>
        <w:t xml:space="preserve">          |        +------------&gt; Instrument and Market Routes</w:t>
        <w:br/>
      </w:r>
      <w:r>
        <w:t xml:space="preserve">          +---------------------&gt; Alembic startup migration</w:t>
        <w:br/>
      </w:r>
      <w:r>
        <w:t xml:space="preserve">                    |</w:t>
        <w:br/>
      </w:r>
      <w:r>
        <w:t xml:space="preserve">                    v</w:t>
        <w:br/>
      </w:r>
      <w:r>
        <w:t xml:space="preserve">             SQLAlchemy Engine</w:t>
        <w:br/>
      </w:r>
      <w:r>
        <w:t xml:space="preserve">                    |</w:t>
        <w:br/>
      </w:r>
      <w:r>
        <w:t xml:space="preserve">                    v</w:t>
        <w:br/>
      </w:r>
      <w:r>
        <w:t xml:space="preserve">                Psycopg 3</w:t>
        <w:br/>
      </w:r>
      <w:r>
        <w:t xml:space="preserve">                    |</w:t>
        <w:br/>
      </w:r>
      <w:r>
        <w:t xml:space="preserve">          Docker internal network</w:t>
        <w:br/>
      </w:r>
      <w:r>
        <w:t xml:space="preserve">                    |</w:t>
        <w:br/>
      </w:r>
      <w:r>
        <w:t xml:space="preserve">                    v</w:t>
        <w:br/>
      </w:r>
      <w:r>
        <w:t xml:space="preserve">          timescaledb:5432 service</w:t>
        <w:br/>
      </w:r>
      <w:r>
        <w:t xml:space="preserve">                    |</w:t>
        <w:br/>
      </w:r>
      <w:r>
        <w:t xml:space="preserve">                    v</w:t>
        <w:br/>
      </w:r>
      <w:r>
        <w:t xml:space="preserve">       PostgreSQL 17 + TimescaleDB</w:t>
        <w:br/>
      </w:r>
      <w:r>
        <w:t xml:space="preserve">                    |</w:t>
        <w:br/>
      </w:r>
      <w:r>
        <w:t xml:space="preserve">                    v</w:t>
        <w:br/>
      </w:r>
      <w:r>
        <w:t xml:space="preserve">          Persistent named volume</w:t>
        <w:br/>
      </w:r>
    </w:p>
    <w:p>
      <w:pPr>
        <w:pStyle w:val="Heading2"/>
        <w:keepNext/>
      </w:pPr>
      <w:r>
        <w:t>4.2 Generic market request flow</w:t>
      </w:r>
    </w:p>
    <w:p>
      <w:pPr>
        <w:pStyle w:val="CodeBlock"/>
        <w:spacing w:after="160"/>
      </w:pPr>
      <w:r>
        <w:t>HTTP Client</w:t>
        <w:br/>
      </w:r>
      <w:r>
        <w:t xml:space="preserve">    |</w:t>
        <w:br/>
      </w:r>
      <w:r>
        <w:t xml:space="preserve">    v</w:t>
        <w:br/>
      </w:r>
      <w:r>
        <w:t>FastAPI Market Route</w:t>
        <w:br/>
      </w:r>
      <w:r>
        <w:t xml:space="preserve">    |</w:t>
        <w:br/>
      </w:r>
      <w:r>
        <w:t xml:space="preserve">    v</w:t>
        <w:br/>
      </w:r>
      <w:r>
        <w:t>Dependency Functions</w:t>
        <w:br/>
      </w:r>
      <w:r>
        <w:t xml:space="preserve">    |</w:t>
        <w:br/>
      </w:r>
      <w:r>
        <w:t xml:space="preserve">    v</w:t>
        <w:br/>
      </w:r>
      <w:r>
        <w:t>InstrumentService -&gt; Instrument Registry</w:t>
        <w:br/>
      </w:r>
      <w:r>
        <w:t xml:space="preserve">    |</w:t>
        <w:br/>
      </w:r>
      <w:r>
        <w:t xml:space="preserve">    v</w:t>
        <w:br/>
      </w:r>
      <w:r>
        <w:t>Provider Resolver</w:t>
        <w:br/>
      </w:r>
      <w:r>
        <w:t xml:space="preserve">    |</w:t>
        <w:br/>
      </w:r>
      <w:r>
        <w:t xml:space="preserve">    v</w:t>
        <w:br/>
      </w:r>
      <w:r>
        <w:t>MarketDataService</w:t>
        <w:br/>
      </w:r>
      <w:r>
        <w:t xml:space="preserve">    |</w:t>
        <w:br/>
      </w:r>
      <w:r>
        <w:t xml:space="preserve">    v</w:t>
        <w:br/>
      </w:r>
      <w:r>
        <w:t>MarketDataProvider Contract</w:t>
        <w:br/>
      </w:r>
      <w:r>
        <w:t xml:space="preserve">    |                         |</w:t>
        <w:br/>
      </w:r>
      <w:r>
        <w:t xml:space="preserve">    v                         v</w:t>
        <w:br/>
      </w:r>
      <w:r>
        <w:t>YahooFinanceProvider   TwelveDataProvider</w:t>
        <w:br/>
      </w:r>
    </w:p>
    <w:p>
      <w:pPr>
        <w:pStyle w:val="Heading2"/>
        <w:keepNext/>
      </w:pPr>
      <w:r>
        <w:t>4.3 Instrument discovery flow</w:t>
      </w:r>
    </w:p>
    <w:p>
      <w:pPr>
        <w:pStyle w:val="CodeBlock"/>
        <w:spacing w:after="160"/>
      </w:pPr>
      <w:r>
        <w:t>GET /instruments or /instruments/{instrument_code}</w:t>
        <w:br/>
      </w:r>
      <w:r>
        <w:t xml:space="preserve">                    |</w:t>
        <w:br/>
      </w:r>
      <w:r>
        <w:t xml:space="preserve">                    v</w:t>
        <w:br/>
      </w:r>
      <w:r>
        <w:t xml:space="preserve">             Instruments Router</w:t>
        <w:br/>
      </w:r>
      <w:r>
        <w:t xml:space="preserve">                    |</w:t>
        <w:br/>
      </w:r>
      <w:r>
        <w:t xml:space="preserve">                    v</w:t>
        <w:br/>
      </w:r>
      <w:r>
        <w:t xml:space="preserve">             InstrumentService</w:t>
        <w:br/>
      </w:r>
      <w:r>
        <w:t xml:space="preserve">                    |</w:t>
        <w:br/>
      </w:r>
      <w:r>
        <w:t xml:space="preserve">                    v</w:t>
        <w:br/>
      </w:r>
      <w:r>
        <w:t xml:space="preserve">            Instrument Registry</w:t>
        <w:br/>
      </w:r>
      <w:r>
        <w:t xml:space="preserve">                    |</w:t>
        <w:br/>
      </w:r>
      <w:r>
        <w:t xml:space="preserve">                    v</w:t>
        <w:br/>
      </w:r>
      <w:r>
        <w:t xml:space="preserve">       InstrumentResponse public mapping</w:t>
        <w:br/>
      </w:r>
    </w:p>
    <w:p>
      <w:pPr>
        <w:pStyle w:val="Heading2"/>
        <w:keepNext/>
      </w:pPr>
      <w:r>
        <w:t>4.4 Target end-of-Epic-1 architecture</w:t>
      </w:r>
    </w:p>
    <w:p>
      <w:pPr>
        <w:pStyle w:val="CodeBlock"/>
        <w:spacing w:after="160"/>
      </w:pPr>
      <w:r>
        <w:t>FastAPI API</w:t>
        <w:br/>
      </w:r>
      <w:r>
        <w:t xml:space="preserve">   |</w:t>
        <w:br/>
      </w:r>
      <w:r>
        <w:t xml:space="preserve">   +--&gt; InstrumentService --&gt; InstrumentRepository --&gt; PostgreSQL</w:t>
        <w:br/>
      </w:r>
      <w:r>
        <w:t xml:space="preserve">   |</w:t>
        <w:br/>
      </w:r>
      <w:r>
        <w:t xml:space="preserve">   +--&gt; MarketDataService --&gt; MarketDataRepository --&gt; TimescaleDB</w:t>
        <w:br/>
      </w:r>
      <w:r>
        <w:t xml:space="preserve">   |            |</w:t>
        <w:br/>
      </w:r>
      <w:r>
        <w:t xml:space="preserve">   |            +--&gt; Provider Resolver --&gt; Yahoo / Twelve Data</w:t>
        <w:br/>
      </w:r>
      <w:r>
        <w:t xml:space="preserve">   |</w:t>
        <w:br/>
      </w:r>
      <w:r>
        <w:t xml:space="preserve">   +--&gt; Scheduled Ingestion Worker</w:t>
        <w:br/>
      </w:r>
      <w:r>
        <w:t xml:space="preserve">   |</w:t>
        <w:br/>
      </w:r>
      <w:r>
        <w:t xml:space="preserve">   +--&gt; Structured Logs / Metrics / Request IDs</w:t>
        <w:br/>
      </w:r>
    </w:p>
    <w:p>
      <w:pPr>
        <w:pStyle w:val="Heading1"/>
        <w:keepNext/>
      </w:pPr>
      <w:r>
        <w:t>5. Instrument Domain, Registry and Provider Resolution</w:t>
      </w:r>
    </w:p>
    <w:p>
      <w:pPr>
        <w:pStyle w:val="Heading2"/>
        <w:keepNext/>
      </w:pPr>
      <w:r>
        <w:t>5.1 Instrument and InstrumentDefinition</w:t>
      </w:r>
    </w:p>
    <w:p>
      <w:r>
        <w:t>Instrument represents platform-owned financial metadata. InstrumentDefinition combines that identity with integration metadata such as provider name, provider symbol and capability flags.</w:t>
      </w:r>
    </w:p>
    <w:p>
      <w:pPr>
        <w:pStyle w:val="CodeBlock"/>
        <w:spacing w:after="160"/>
      </w:pPr>
      <w:r>
        <w:t>GBP_USD = InstrumentDefinition(</w:t>
        <w:br/>
      </w:r>
      <w:r>
        <w:t xml:space="preserve">    instrument=Instrument(</w:t>
        <w:br/>
      </w:r>
      <w:r>
        <w:t xml:space="preserve">        code=InstrumentCode.GBP_USD,</w:t>
        <w:br/>
      </w:r>
      <w:r>
        <w:t xml:space="preserve">        display_symbol="GBP/USD",</w:t>
        <w:br/>
      </w:r>
      <w:r>
        <w:t xml:space="preserve">        name="British Pound / US Dollar",</w:t>
        <w:br/>
      </w:r>
      <w:r>
        <w:t xml:space="preserve">        asset_type=AssetType.FOREX,</w:t>
        <w:br/>
      </w:r>
      <w:r>
        <w:t xml:space="preserve">        base_asset="GBP",</w:t>
        <w:br/>
      </w:r>
      <w:r>
        <w:t xml:space="preserve">        quote_asset="USD",</w:t>
        <w:br/>
      </w:r>
      <w:r>
        <w:t xml:space="preserve">    ),</w:t>
        <w:br/>
      </w:r>
      <w:r>
        <w:t xml:space="preserve">    market_data_provider="twelve_data",</w:t>
        <w:br/>
      </w:r>
      <w:r>
        <w:t xml:space="preserve">    provider_symbol="GBP/USD",</w:t>
        <w:br/>
      </w:r>
      <w:r>
        <w:t xml:space="preserve">    supports_latest=True,</w:t>
        <w:br/>
      </w:r>
      <w:r>
        <w:t xml:space="preserve">    supports_history=True,</w:t>
        <w:br/>
      </w:r>
      <w:r>
        <w:t xml:space="preserve">    supports_sentiment=False,</w:t>
        <w:br/>
      </w:r>
      <w:r>
        <w:t>)</w:t>
        <w:br/>
      </w:r>
    </w:p>
    <w:p>
      <w:pPr>
        <w:pStyle w:val="Heading2"/>
        <w:keepNext/>
      </w:pPr>
      <w:r>
        <w:t>5.2 Instrument Registry</w:t>
      </w:r>
    </w:p>
    <w:p>
      <w:r>
        <w:t>The in-memory Instrument Registry remains the current source of truth. It supports case-insensitive lookup and centralises provider-independent and provider-specific metadata. US-018 will replace direct registry access behind InstrumentService with an InstrumentRepository backed by PostgreSQL.</w:t>
      </w:r>
    </w:p>
    <w:p>
      <w:pPr>
        <w:pStyle w:val="ListBullet"/>
      </w:pPr>
      <w:r>
        <w:t>Validates supported platform codes.</w:t>
      </w:r>
    </w:p>
    <w:p>
      <w:pPr>
        <w:pStyle w:val="ListBullet"/>
      </w:pPr>
      <w:r>
        <w:t>Returns complete InstrumentDefinition objects.</w:t>
      </w:r>
    </w:p>
    <w:p>
      <w:pPr>
        <w:pStyle w:val="ListBullet"/>
      </w:pPr>
      <w:r>
        <w:t>Supports discovery through GET /instruments.</w:t>
      </w:r>
    </w:p>
    <w:p>
      <w:pPr>
        <w:pStyle w:val="ListBullet"/>
      </w:pPr>
      <w:r>
        <w:t>Keeps provider symbols away from public route identity.</w:t>
      </w:r>
    </w:p>
    <w:p>
      <w:pPr>
        <w:pStyle w:val="ListBullet"/>
      </w:pPr>
      <w:r>
        <w:t>Acts as a temporary repository until US-018.</w:t>
      </w:r>
    </w:p>
    <w:p>
      <w:pPr>
        <w:pStyle w:val="Heading2"/>
        <w:keepNext/>
      </w:pPr>
      <w:r>
        <w:t>5.3 InstrumentService</w:t>
      </w:r>
    </w:p>
    <w:p>
      <w:r>
        <w:t>InstrumentService is the application-facing abstraction over instrument lookup. Routes and other services should depend on InstrumentService rather than the registry dictionary. This seam allows the data source to change without redesigning the API.</w:t>
      </w:r>
    </w:p>
    <w:p>
      <w:pPr>
        <w:pStyle w:val="Heading2"/>
        <w:keepNext/>
      </w:pPr>
      <w:r>
        <w:t>5.4 Provider Resolver</w:t>
      </w:r>
    </w:p>
    <w:p>
      <w:pPr>
        <w:pStyle w:val="CodeBlock"/>
        <w:spacing w:after="160"/>
      </w:pPr>
      <w:r>
        <w:t>InstrumentDefinition.market_data_provider</w:t>
        <w:br/>
      </w:r>
      <w:r>
        <w:t xml:space="preserve">        |</w:t>
        <w:br/>
      </w:r>
      <w:r>
        <w:t xml:space="preserve">        +--&gt; yahoo       -&gt; YahooFinanceMarketDataProvider</w:t>
        <w:br/>
      </w:r>
      <w:r>
        <w:t xml:space="preserve">        +--&gt; twelve_data -&gt; TwelveDataMarketDataProvider</w:t>
        <w:br/>
      </w:r>
      <w:r>
        <w:t xml:space="preserve">        +--&gt; mock        -&gt; MockMarketDataProvider</w:t>
        <w:br/>
      </w:r>
    </w:p>
    <w:p>
      <w:pPr>
        <w:pStyle w:val="Heading1"/>
        <w:keepNext/>
      </w:pPr>
      <w:r>
        <w:t>6. Database Architecture</w:t>
      </w:r>
    </w:p>
    <w:p>
      <w:pPr>
        <w:pStyle w:val="Heading2"/>
        <w:keepNext/>
      </w:pPr>
      <w:r>
        <w:t>6.1 Database technology</w:t>
      </w:r>
    </w:p>
    <w:p>
      <w:r>
        <w:t>The local database is PostgreSQL 17 with the TimescaleDB extension. PostgreSQL provides relational integrity and compatibility, while TimescaleDB adds time-series capabilities suitable for market candles, retention, compression and continuous aggregation in later stories.</w:t>
      </w:r>
    </w:p>
    <w:p>
      <w:pPr>
        <w:pStyle w:val="Heading2"/>
        <w:keepNext/>
      </w:pPr>
      <w:r>
        <w:t>6.2 SQLAlchemy engine and sessions</w:t>
      </w:r>
    </w:p>
    <w:p>
      <w:pPr>
        <w:pStyle w:val="CodeBlock"/>
        <w:spacing w:after="160"/>
      </w:pPr>
      <w:r>
        <w:t>FastAPI request</w:t>
        <w:br/>
      </w:r>
      <w:r>
        <w:t xml:space="preserve">      |</w:t>
        <w:br/>
      </w:r>
      <w:r>
        <w:t xml:space="preserve">      v</w:t>
        <w:br/>
      </w:r>
      <w:r>
        <w:t>get_database_session()</w:t>
        <w:br/>
      </w:r>
      <w:r>
        <w:t xml:space="preserve">      |</w:t>
        <w:br/>
      </w:r>
      <w:r>
        <w:t xml:space="preserve">      v</w:t>
        <w:br/>
      </w:r>
      <w:r>
        <w:t>SessionLocal factory</w:t>
        <w:br/>
      </w:r>
      <w:r>
        <w:t xml:space="preserve">      |</w:t>
        <w:br/>
      </w:r>
      <w:r>
        <w:t xml:space="preserve">      v</w:t>
        <w:br/>
      </w:r>
      <w:r>
        <w:t>SQLAlchemy Engine + connection pool</w:t>
        <w:br/>
      </w:r>
      <w:r>
        <w:t xml:space="preserve">      |</w:t>
        <w:br/>
      </w:r>
      <w:r>
        <w:t xml:space="preserve">      v</w:t>
        <w:br/>
      </w:r>
      <w:r>
        <w:t>postgresql+psycopg driver</w:t>
        <w:br/>
      </w:r>
      <w:r>
        <w:t xml:space="preserve">      |</w:t>
        <w:br/>
      </w:r>
      <w:r>
        <w:t xml:space="preserve">      v</w:t>
        <w:br/>
      </w:r>
      <w:r>
        <w:t>TimescaleDB</w:t>
        <w:br/>
      </w:r>
    </w:p>
    <w:p>
      <w:pPr>
        <w:pStyle w:val="ListBullet"/>
      </w:pPr>
      <w:r>
        <w:t>URL.create() builds the connection URL safely, including passwords with reserved characters.</w:t>
      </w:r>
    </w:p>
    <w:p>
      <w:pPr>
        <w:pStyle w:val="ListBullet"/>
      </w:pPr>
      <w:r>
        <w:t>pool_pre_ping=True checks pooled connections before reuse.</w:t>
      </w:r>
    </w:p>
    <w:p>
      <w:pPr>
        <w:pStyle w:val="ListBullet"/>
      </w:pPr>
      <w:r>
        <w:t>One SQLAlchemy Session is yielded per request and closed in a finally block.</w:t>
      </w:r>
    </w:p>
    <w:p>
      <w:pPr>
        <w:pStyle w:val="ListBullet"/>
      </w:pPr>
      <w:r>
        <w:t>DeclarativeBase provides the shared ORM metadata root for future entities.</w:t>
      </w:r>
    </w:p>
    <w:p>
      <w:pPr>
        <w:pStyle w:val="ListBullet"/>
      </w:pPr>
      <w:r>
        <w:t>No application tables are created directly by Base metadata at startup.</w:t>
      </w:r>
    </w:p>
    <w:p>
      <w:pPr>
        <w:pStyle w:val="Heading2"/>
        <w:keepNext/>
      </w:pPr>
      <w:r>
        <w:t>6.3 Environment-specific database host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Execution mode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DATABASE_HOST</w:t>
            </w:r>
          </w:p>
        </w:tc>
        <w:tc>
          <w:tcPr>
            <w:tcW w:type="dxa" w:w="489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Python/Uvicorn running directly on Windows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8"/>
              </w:rPr>
              <w:t>localhost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Port 5432 is published from the database container to the Windows host.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FastAPI running inside Docker Compose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8"/>
              </w:rPr>
              <w:t>timescaledb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Containers communicate through the Docker network using the Compose service name.</w:t>
            </w:r>
          </w:p>
        </w:tc>
      </w:tr>
    </w:tbl>
    <w:p/>
    <w:p>
      <w:r>
        <w:t>Inside the API container, localhost refers to the API container itself, not the database container. Therefore the Compose service name timescaledb is required for container-to-container connectivity.</w:t>
      </w:r>
    </w:p>
    <w:p>
      <w:pPr>
        <w:pStyle w:val="Heading2"/>
        <w:keepNext/>
      </w:pPr>
      <w:r>
        <w:t>6.4 TimescaleDB persistence</w:t>
      </w:r>
    </w:p>
    <w:p>
      <w:r>
        <w:t>PostgreSQL data is stored in a named Docker volume mounted at /var/lib/postgresql/data. docker compose down removes containers and the project network but preserves the volume. docker compose down -v is destructive and removes stored database data.</w:t>
      </w:r>
    </w:p>
    <w:p>
      <w:pPr>
        <w:pStyle w:val="Heading1"/>
        <w:keepNext/>
      </w:pPr>
      <w:r>
        <w:t>7. Docker Architecture</w:t>
      </w:r>
    </w:p>
    <w:p>
      <w:pPr>
        <w:pStyle w:val="Heading2"/>
        <w:keepNext/>
      </w:pPr>
      <w:r>
        <w:t>7.1 Compose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60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Container responsibility</w:t>
            </w:r>
          </w:p>
        </w:tc>
        <w:tc>
          <w:tcPr>
            <w:tcW w:type="dxa" w:w="158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Published port</w:t>
            </w:r>
          </w:p>
        </w:tc>
        <w:tc>
          <w:tcPr>
            <w:tcW w:type="dxa" w:w="244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Health check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8"/>
              </w:rPr>
              <w:t>Runs Alembic upgrade head, then Uvicorn/FastAPI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8000:8000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GET /health through Python urllib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18"/>
              </w:rPr>
              <w:t>timescaledb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8"/>
              </w:rPr>
              <w:t>Runs PostgreSQL 17 and TimescaleDB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5432:5432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8"/>
              </w:rPr>
              <w:t>pg_isready against configured database/user</w:t>
            </w:r>
          </w:p>
        </w:tc>
      </w:tr>
    </w:tbl>
    <w:p/>
    <w:p>
      <w:pPr>
        <w:pStyle w:val="Heading2"/>
        <w:keepNext/>
      </w:pPr>
      <w:r>
        <w:t>7.2 API image</w:t>
      </w:r>
    </w:p>
    <w:p>
      <w:pPr>
        <w:pStyle w:val="ListBullet"/>
      </w:pPr>
      <w:r>
        <w:t>Built from backend/Dockerfile using python:3.14-slim.</w:t>
      </w:r>
    </w:p>
    <w:p>
      <w:pPr>
        <w:pStyle w:val="ListBullet"/>
      </w:pPr>
      <w:r>
        <w:t>Installs requirements into a Linux environment independent of the Windows .venv.</w:t>
      </w:r>
    </w:p>
    <w:p>
      <w:pPr>
        <w:pStyle w:val="ListBullet"/>
      </w:pPr>
      <w:r>
        <w:t>Excludes .env, .venv, caches and tests through backend/.dockerignore.</w:t>
      </w:r>
    </w:p>
    <w:p>
      <w:pPr>
        <w:pStyle w:val="ListBullet"/>
      </w:pPr>
      <w:r>
        <w:t>Binds Uvicorn to 0.0.0.0 so the service is reachable outside the container.</w:t>
      </w:r>
    </w:p>
    <w:p>
      <w:pPr>
        <w:pStyle w:val="ListBullet"/>
      </w:pPr>
      <w:r>
        <w:t>Receives secrets at runtime through Compose environment injection.</w:t>
      </w:r>
    </w:p>
    <w:p>
      <w:pPr>
        <w:pStyle w:val="Heading2"/>
        <w:keepNext/>
      </w:pPr>
      <w:r>
        <w:t>7.3 Service startup order</w:t>
      </w:r>
    </w:p>
    <w:p>
      <w:pPr>
        <w:pStyle w:val="CodeBlock"/>
        <w:spacing w:after="160"/>
      </w:pPr>
      <w:r>
        <w:t>docker compose up --build -d</w:t>
        <w:br/>
      </w:r>
      <w:r>
        <w:t xml:space="preserve">        |</w:t>
        <w:br/>
      </w:r>
      <w:r>
        <w:t xml:space="preserve">        v</w:t>
        <w:br/>
      </w:r>
      <w:r>
        <w:t>Start TimescaleDB</w:t>
        <w:br/>
      </w:r>
      <w:r>
        <w:t xml:space="preserve">        |</w:t>
        <w:br/>
      </w:r>
      <w:r>
        <w:t xml:space="preserve">        v</w:t>
        <w:br/>
      </w:r>
      <w:r>
        <w:t>Wait for pg_isready health check</w:t>
        <w:br/>
      </w:r>
      <w:r>
        <w:t xml:space="preserve">        |</w:t>
        <w:br/>
      </w:r>
      <w:r>
        <w:t xml:space="preserve">        v</w:t>
        <w:br/>
      </w:r>
      <w:r>
        <w:t>Start API container</w:t>
        <w:br/>
      </w:r>
      <w:r>
        <w:t xml:space="preserve">        |</w:t>
        <w:br/>
      </w:r>
      <w:r>
        <w:t xml:space="preserve">        v</w:t>
        <w:br/>
      </w:r>
      <w:r>
        <w:t>alembic upgrade head</w:t>
        <w:br/>
      </w:r>
      <w:r>
        <w:t xml:space="preserve">        |</w:t>
        <w:br/>
      </w:r>
      <w:r>
        <w:t xml:space="preserve">        v</w:t>
        <w:br/>
      </w:r>
      <w:r>
        <w:t>Start Uvicorn</w:t>
        <w:br/>
      </w:r>
      <w:r>
        <w:t xml:space="preserve">        |</w:t>
        <w:br/>
      </w:r>
      <w:r>
        <w:t xml:space="preserve">        v</w:t>
        <w:br/>
      </w:r>
      <w:r>
        <w:t>API /health becomes healthy</w:t>
        <w:br/>
      </w:r>
    </w:p>
    <w:p>
      <w:r>
        <w:t>The startup migration command is appropriate for the current single-instance local environment. In a scaled production environment, migrations should run as a separate deployment job rather than from every API replica.</w:t>
      </w:r>
    </w:p>
    <w:p>
      <w:pPr>
        <w:pStyle w:val="Heading1"/>
        <w:keepNext/>
      </w:pPr>
      <w:r>
        <w:t>8. Alembic Migration Flow</w:t>
      </w:r>
    </w:p>
    <w:p>
      <w:r>
        <w:t>Alembic provides version-controlled schema evolution, serving the same role as Flyway in a Java/Spring application. The migration environment reads the SQLAlchemy URL from application settings and uses Base.metadata for future autogeneration.</w:t>
      </w:r>
    </w:p>
    <w:p>
      <w:pPr>
        <w:pStyle w:val="CodeBlock"/>
        <w:spacing w:after="160"/>
      </w:pPr>
      <w:r>
        <w:t>Developer changes ORM entities</w:t>
        <w:br/>
      </w:r>
      <w:r>
        <w:t xml:space="preserve">        |</w:t>
        <w:br/>
      </w:r>
      <w:r>
        <w:t xml:space="preserve">        v</w:t>
        <w:br/>
      </w:r>
      <w:r>
        <w:t>alembic revision --autogenerate -m "..."</w:t>
        <w:br/>
      </w:r>
      <w:r>
        <w:t xml:space="preserve">        |</w:t>
        <w:br/>
      </w:r>
      <w:r>
        <w:t xml:space="preserve">        v</w:t>
        <w:br/>
      </w:r>
      <w:r>
        <w:t>Review generated upgrade()/downgrade()</w:t>
        <w:br/>
      </w:r>
      <w:r>
        <w:t xml:space="preserve">        |</w:t>
        <w:br/>
      </w:r>
      <w:r>
        <w:t xml:space="preserve">        v</w:t>
        <w:br/>
      </w:r>
      <w:r>
        <w:t>Commit migration to Git</w:t>
        <w:br/>
      </w:r>
      <w:r>
        <w:t xml:space="preserve">        |</w:t>
        <w:br/>
      </w:r>
      <w:r>
        <w:t xml:space="preserve">        v</w:t>
        <w:br/>
      </w:r>
      <w:r>
        <w:t>alembic upgrade head</w:t>
        <w:br/>
      </w:r>
      <w:r>
        <w:t xml:space="preserve">        |</w:t>
        <w:br/>
      </w:r>
      <w:r>
        <w:t xml:space="preserve">        v</w:t>
        <w:br/>
      </w:r>
      <w:r>
        <w:t>PostgreSQL schema updated</w:t>
        <w:br/>
      </w:r>
      <w:r>
        <w:t xml:space="preserve">        |</w:t>
        <w:br/>
      </w:r>
      <w:r>
        <w:t xml:space="preserve">        v</w:t>
        <w:br/>
      </w:r>
      <w:r>
        <w:t>alembic_version records current revision</w:t>
        <w:br/>
      </w:r>
    </w:p>
    <w:p>
      <w:pPr>
        <w:pStyle w:val="Heading2"/>
        <w:keepNext/>
      </w:pPr>
      <w:r>
        <w:t>8.1 Current baseline migration</w:t>
      </w:r>
    </w:p>
    <w:p>
      <w:r>
        <w:t>The initial database baseline migration is intentionally empty. It proves the migration chain, connection and alembic_version tracking work before application tables are introduced.</w:t>
      </w:r>
    </w:p>
    <w:p>
      <w:pPr>
        <w:pStyle w:val="Heading2"/>
        <w:keepNext/>
      </w:pPr>
      <w:r>
        <w:t>8.2 Migration rules</w:t>
      </w:r>
    </w:p>
    <w:p>
      <w:pPr>
        <w:pStyle w:val="ListBullet"/>
      </w:pPr>
      <w:r>
        <w:t>Do not manually create application tables in psql.</w:t>
      </w:r>
    </w:p>
    <w:p>
      <w:pPr>
        <w:pStyle w:val="ListBullet"/>
      </w:pPr>
      <w:r>
        <w:t>Review autogenerated migrations before applying them.</w:t>
      </w:r>
    </w:p>
    <w:p>
      <w:pPr>
        <w:pStyle w:val="ListBullet"/>
      </w:pPr>
      <w:r>
        <w:t>Commit every migration with the code change that requires it.</w:t>
      </w:r>
    </w:p>
    <w:p>
      <w:pPr>
        <w:pStyle w:val="ListBullet"/>
      </w:pPr>
      <w:r>
        <w:t>Use alembic current and alembic history to inspect state.</w:t>
      </w:r>
    </w:p>
    <w:p>
      <w:pPr>
        <w:pStyle w:val="ListBullet"/>
      </w:pPr>
      <w:r>
        <w:t>Do not expose database passwords through alembic.ini or logs.</w:t>
      </w:r>
    </w:p>
    <w:p>
      <w:pPr>
        <w:pStyle w:val="Heading1"/>
        <w:keepNext/>
      </w:pPr>
      <w:r>
        <w:t>9. API Design and Documentation</w:t>
      </w:r>
    </w:p>
    <w:p>
      <w:pPr>
        <w:pStyle w:val="Heading2"/>
        <w:keepNext/>
      </w:pPr>
      <w:r>
        <w:t>9.1 Health and readiness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44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59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Healthy response</w:t>
            </w:r>
          </w:p>
        </w:tc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Failure behaviour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  <w:t>GET /health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Application liveness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200: status and environment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Remains independent of database availability.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  <w:t>GET /health/database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Database readiness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8"/>
              </w:rPr>
              <w:t>200: healthy / available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503: Database unavailable; raw database errors are not exposed.</w:t>
            </w:r>
          </w:p>
        </w:tc>
      </w:tr>
    </w:tbl>
    <w:p/>
    <w:p>
      <w:pPr>
        <w:pStyle w:val="Heading2"/>
        <w:keepNext/>
      </w:pPr>
      <w:r>
        <w:t>9.2 Generic market API</w:t>
      </w:r>
    </w:p>
    <w:p>
      <w:pPr>
        <w:pStyle w:val="CodeBlock"/>
        <w:spacing w:after="160"/>
      </w:pPr>
      <w:r>
        <w:t>GET /market/{instrument_code}/latest</w:t>
        <w:br/>
      </w:r>
      <w:r>
        <w:t>GET /market/{instrument_code}/history</w:t>
        <w:br/>
      </w:r>
      <w:r>
        <w:br/>
      </w:r>
      <w:r>
        <w:t>Examples:</w:t>
        <w:br/>
      </w:r>
      <w:r>
        <w:t>GET /market/XAUUSD/latest</w:t>
        <w:br/>
      </w:r>
      <w:r>
        <w:t>GET /market/GOLD_FUTURES/history?interval=5m&amp;start_time=2026-07-25T09:00:00Z&amp;end_time=2026-07-25T10:00:00Z</w:t>
        <w:br/>
      </w:r>
      <w:r>
        <w:t>GET /market/GBPUSD/latest</w:t>
        <w:br/>
      </w:r>
      <w:r>
        <w:t>GET /market/EURUSD/history?interval=5m&amp;start_time=2026-07-25T09:00:00Z&amp;end_time=2026-07-25T10:00:00Z</w:t>
        <w:br/>
      </w:r>
    </w:p>
    <w:p>
      <w:pPr>
        <w:pStyle w:val="Heading2"/>
        <w:keepNext/>
      </w:pPr>
      <w:r>
        <w:t>9.3 Instrument discovery API</w:t>
      </w:r>
    </w:p>
    <w:p>
      <w:pPr>
        <w:pStyle w:val="CodeBlock"/>
        <w:spacing w:after="160"/>
      </w:pPr>
      <w:r>
        <w:t>GET /instruments</w:t>
        <w:br/>
      </w:r>
      <w:r>
        <w:t>GET /instruments/{instrument_code}</w:t>
        <w:br/>
      </w:r>
    </w:p>
    <w:p>
      <w:r>
        <w:t>Swagger/OpenAPI documentation is available at GET /docs when the API is running.</w:t>
      </w:r>
    </w:p>
    <w:p>
      <w:pPr>
        <w:pStyle w:val="Heading2"/>
        <w:keepNext/>
      </w:pPr>
      <w:r>
        <w:t>9.4 Error behaviour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18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32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HTTP behaviour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  <w:t>Unsupported instrument code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8"/>
              </w:rPr>
              <w:t>404 Not Found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  <w:t>Invalid interval or malformed parameter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8"/>
              </w:rPr>
              <w:t>422 Unprocessable Content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  <w:t>Start time not before end time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8"/>
              </w:rPr>
              <w:t>422 Unprocessable Content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  <w:t>Database unavailable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8"/>
              </w:rPr>
              <w:t>503 Service Unavailable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  <w:t>Provider timeout or unavailable data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8"/>
              </w:rPr>
              <w:t>Target: 503 Service Unavailable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  <w:t>Unexpected internal failure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8"/>
              </w:rPr>
              <w:t>500 Internal Server Error</w:t>
            </w:r>
          </w:p>
        </w:tc>
      </w:tr>
    </w:tbl>
    <w:p/>
    <w:p>
      <w:pPr>
        <w:pStyle w:val="Heading1"/>
        <w:keepNext/>
      </w:pPr>
      <w:r>
        <w:t>10. Adding a New Instrument</w:t>
      </w:r>
    </w:p>
    <w:p>
      <w:r>
        <w:t>Under the current in-memory architecture, adding a supported instrument primarily requires a new InstrumentDefinition and registry registration, assuming an existing provider supports it. No new route or market-data service should be created.</w:t>
      </w:r>
    </w:p>
    <w:p>
      <w:pPr>
        <w:pStyle w:val="ListNumber"/>
      </w:pPr>
      <w:r>
        <w:t>Add an InstrumentCode value.</w:t>
      </w:r>
    </w:p>
    <w:p>
      <w:pPr>
        <w:pStyle w:val="ListNumber"/>
      </w:pPr>
      <w:r>
        <w:t>Create an InstrumentDefinition containing display metadata, asset type, provider name, provider symbol and capability flags.</w:t>
      </w:r>
    </w:p>
    <w:p>
      <w:pPr>
        <w:pStyle w:val="ListNumber"/>
      </w:pPr>
      <w:r>
        <w:t>Register the definition in INSTRUMENT_REGISTRY.</w:t>
      </w:r>
    </w:p>
    <w:p>
      <w:pPr>
        <w:pStyle w:val="ListNumber"/>
      </w:pPr>
      <w:r>
        <w:t>Add registry, provider-resolution and API tests.</w:t>
      </w:r>
    </w:p>
    <w:p>
      <w:pPr>
        <w:pStyle w:val="ListNumber"/>
      </w:pPr>
      <w:r>
        <w:t>Verify the existing latest, history and discovery endpoints.</w:t>
      </w:r>
    </w:p>
    <w:p>
      <w:pPr>
        <w:pStyle w:val="CodeBlock"/>
        <w:spacing w:after="160"/>
      </w:pPr>
      <w:r>
        <w:t>USD_JPY = InstrumentDefinition(</w:t>
        <w:br/>
      </w:r>
      <w:r>
        <w:t xml:space="preserve">    instrument=Instrument(</w:t>
        <w:br/>
      </w:r>
      <w:r>
        <w:t xml:space="preserve">        code=InstrumentCode.USD_JPY,</w:t>
        <w:br/>
      </w:r>
      <w:r>
        <w:t xml:space="preserve">        display_symbol="USD/JPY",</w:t>
        <w:br/>
      </w:r>
      <w:r>
        <w:t xml:space="preserve">        name="US Dollar / Japanese Yen",</w:t>
        <w:br/>
      </w:r>
      <w:r>
        <w:t xml:space="preserve">        asset_type=AssetType.FOREX,</w:t>
        <w:br/>
      </w:r>
      <w:r>
        <w:t xml:space="preserve">        base_asset="USD",</w:t>
        <w:br/>
      </w:r>
      <w:r>
        <w:t xml:space="preserve">        quote_asset="JPY",</w:t>
        <w:br/>
      </w:r>
      <w:r>
        <w:t xml:space="preserve">    ),</w:t>
        <w:br/>
      </w:r>
      <w:r>
        <w:t xml:space="preserve">    market_data_provider="twelve_data",</w:t>
        <w:br/>
      </w:r>
      <w:r>
        <w:t xml:space="preserve">    provider_symbol="USD/JPY",</w:t>
        <w:br/>
      </w:r>
      <w:r>
        <w:t xml:space="preserve">    supports_latest=True,</w:t>
        <w:br/>
      </w:r>
      <w:r>
        <w:t xml:space="preserve">    supports_history=True,</w:t>
        <w:br/>
      </w:r>
      <w:r>
        <w:t xml:space="preserve">    supports_sentiment=False,</w:t>
        <w:br/>
      </w:r>
      <w:r>
        <w:t>)</w:t>
        <w:br/>
      </w:r>
    </w:p>
    <w:p>
      <w:r>
        <w:t>The existing generic endpoints then become available as /market/USDJPY/latest and /market/USDJPY/history. US-018 will evolve this process so instrument records are seeded into PostgreSQL and retrieved through InstrumentRepository.</w:t>
      </w:r>
    </w:p>
    <w:p>
      <w:pPr>
        <w:pStyle w:val="Heading1"/>
        <w:keepNext/>
      </w:pPr>
      <w:r>
        <w:t>11. Backend Package and Test Structure</w:t>
      </w:r>
    </w:p>
    <w:p>
      <w:pPr>
        <w:pStyle w:val="CodeBlock"/>
        <w:spacing w:after="160"/>
      </w:pPr>
      <w:r>
        <w:t>backend/</w:t>
        <w:br/>
      </w:r>
      <w:r>
        <w:t>├── alembic/</w:t>
        <w:br/>
      </w:r>
      <w:r>
        <w:t>│   ├── env.py</w:t>
        <w:br/>
      </w:r>
      <w:r>
        <w:t>│   └── versions/</w:t>
        <w:br/>
      </w:r>
      <w:r>
        <w:t>├── app/</w:t>
        <w:br/>
      </w:r>
      <w:r>
        <w:t>│   ├── api/routes/</w:t>
        <w:br/>
      </w:r>
      <w:r>
        <w:t>│   │   ├── health.py</w:t>
        <w:br/>
      </w:r>
      <w:r>
        <w:t>│   │   ├── instruments.py</w:t>
        <w:br/>
      </w:r>
      <w:r>
        <w:t>│   │   └── market.py</w:t>
        <w:br/>
      </w:r>
      <w:r>
        <w:t>│   ├── core/config.py</w:t>
        <w:br/>
      </w:r>
      <w:r>
        <w:t>│   ├── database/</w:t>
        <w:br/>
      </w:r>
      <w:r>
        <w:t>│   │   ├── base.py</w:t>
        <w:br/>
      </w:r>
      <w:r>
        <w:t>│   │   ├── connection.py</w:t>
        <w:br/>
      </w:r>
      <w:r>
        <w:t>│   │   ├── engine.py</w:t>
        <w:br/>
      </w:r>
      <w:r>
        <w:t>│   │   └── session.py</w:t>
        <w:br/>
      </w:r>
      <w:r>
        <w:t>│   ├── instruments/</w:t>
        <w:br/>
      </w:r>
      <w:r>
        <w:t>│   ├── models/</w:t>
        <w:br/>
      </w:r>
      <w:r>
        <w:t>│   ├── providers/</w:t>
        <w:br/>
      </w:r>
      <w:r>
        <w:t>│   ├── schemas/</w:t>
        <w:br/>
      </w:r>
      <w:r>
        <w:t>│   ├── services/</w:t>
        <w:br/>
      </w:r>
      <w:r>
        <w:t>│   └── main.py</w:t>
        <w:br/>
      </w:r>
      <w:r>
        <w:t>├── tests/</w:t>
        <w:br/>
      </w:r>
      <w:r>
        <w:t>│   ├── api/</w:t>
        <w:br/>
      </w:r>
      <w:r>
        <w:t>│   ├── configuration/</w:t>
        <w:br/>
      </w:r>
      <w:r>
        <w:t>│   ├── database/</w:t>
        <w:br/>
      </w:r>
      <w:r>
        <w:t>│   ├── instruments/</w:t>
        <w:br/>
      </w:r>
      <w:r>
        <w:t>│   ├── models/</w:t>
        <w:br/>
      </w:r>
      <w:r>
        <w:t>│   ├── providers/</w:t>
        <w:br/>
      </w:r>
      <w:r>
        <w:t>│   └── services/</w:t>
        <w:br/>
      </w:r>
      <w:r>
        <w:t>├── Dockerfile</w:t>
        <w:br/>
      </w:r>
      <w:r>
        <w:t>├── .dockerignore</w:t>
        <w:br/>
      </w:r>
      <w:r>
        <w:t>├── alembic.ini</w:t>
        <w:br/>
      </w:r>
      <w:r>
        <w:t>└── requirements.txt</w:t>
        <w:br/>
      </w:r>
    </w:p>
    <w:p>
      <w:pPr>
        <w:pStyle w:val="Heading2"/>
        <w:keepNext/>
      </w:pPr>
      <w:r>
        <w:t>11.1 Testing strategy</w:t>
      </w:r>
    </w:p>
    <w:p>
      <w:r>
        <w:t>The backend currently has 84 passing automated tests. Tests are grouped by application layer. Unit tests mock external providers and database collaborators; live provider and container connectivity are verified manually through Swagger and targeted commands.</w:t>
      </w:r>
    </w:p>
    <w:p>
      <w:pPr>
        <w:pStyle w:val="ListBullet"/>
      </w:pPr>
      <w:r>
        <w:t>Model validation and immutable instrument definitions.</w:t>
      </w:r>
    </w:p>
    <w:p>
      <w:pPr>
        <w:pStyle w:val="ListBullet"/>
      </w:pPr>
      <w:r>
        <w:t>Registry lookup and InstrumentService mapping.</w:t>
      </w:r>
    </w:p>
    <w:p>
      <w:pPr>
        <w:pStyle w:val="ListBullet"/>
      </w:pPr>
      <w:r>
        <w:t>Provider resolver selection and provider normalisation.</w:t>
      </w:r>
    </w:p>
    <w:p>
      <w:pPr>
        <w:pStyle w:val="ListBullet"/>
      </w:pPr>
      <w:r>
        <w:t>Generic latest, history and discovery endpoints.</w:t>
      </w:r>
    </w:p>
    <w:p>
      <w:pPr>
        <w:pStyle w:val="ListBullet"/>
      </w:pPr>
      <w:r>
        <w:t>Database configuration, engine factory, session cleanup and connection helper.</w:t>
      </w:r>
    </w:p>
    <w:p>
      <w:pPr>
        <w:pStyle w:val="ListBullet"/>
      </w:pPr>
      <w:r>
        <w:t>Health and database readiness endpoint behaviour.</w:t>
      </w:r>
    </w:p>
    <w:p>
      <w:pPr>
        <w:pStyle w:val="ListBullet"/>
      </w:pPr>
      <w:r>
        <w:t>Case-insensitive codes and Forex support.</w:t>
      </w:r>
    </w:p>
    <w:p>
      <w:pPr>
        <w:pStyle w:val="ListBullet"/>
      </w:pPr>
      <w:r>
        <w:t>Regression coverage for existing routes.</w:t>
      </w:r>
    </w:p>
    <w:p>
      <w:pPr>
        <w:pStyle w:val="Heading1"/>
        <w:keepNext/>
      </w:pPr>
      <w:r>
        <w:t>12. Configuration and Secrets</w:t>
      </w:r>
    </w:p>
    <w:p>
      <w:pPr>
        <w:pStyle w:val="ListBullet"/>
      </w:pPr>
      <w:r>
        <w:t>Pydantic Settings loads application and database configuration from environment variables.</w:t>
      </w:r>
    </w:p>
    <w:p>
      <w:pPr>
        <w:pStyle w:val="ListBullet"/>
      </w:pPr>
      <w:r>
        <w:t>.env stores local secrets and must not be committed.</w:t>
      </w:r>
    </w:p>
    <w:p>
      <w:pPr>
        <w:pStyle w:val="ListBullet"/>
      </w:pPr>
      <w:r>
        <w:t>.env.example documents required variables without real credentials.</w:t>
      </w:r>
    </w:p>
    <w:p>
      <w:pPr>
        <w:pStyle w:val="ListBullet"/>
      </w:pPr>
      <w:r>
        <w:t>backend/.dockerignore excludes .env from the API image.</w:t>
      </w:r>
    </w:p>
    <w:p>
      <w:pPr>
        <w:pStyle w:val="ListBullet"/>
      </w:pPr>
      <w:r>
        <w:t>Compose injects backend/.env at runtime and overrides DATABASE_HOST to timescaledb for the API container.</w:t>
      </w:r>
    </w:p>
    <w:p>
      <w:pPr>
        <w:pStyle w:val="ListBullet"/>
      </w:pPr>
      <w:r>
        <w:t>Provider credentials and database connection details are never exposed through public APIs.</w:t>
      </w:r>
    </w:p>
    <w:p>
      <w:pPr>
        <w:pStyle w:val="Heading1"/>
        <w:keepNext/>
      </w:pPr>
      <w:r>
        <w:t>13. Local Development Guide</w:t>
      </w:r>
    </w:p>
    <w:p>
      <w:pPr>
        <w:pStyle w:val="Heading2"/>
        <w:keepNext/>
      </w:pPr>
      <w:r>
        <w:t>13.1 Prerequisites</w:t>
      </w:r>
    </w:p>
    <w:p>
      <w:pPr>
        <w:pStyle w:val="ListBullet"/>
      </w:pPr>
      <w:r>
        <w:t>Windows 11 with WSL 2 and Docker Desktop, or an equivalent Docker environment.</w:t>
      </w:r>
    </w:p>
    <w:p>
      <w:pPr>
        <w:pStyle w:val="ListBullet"/>
      </w:pPr>
      <w:r>
        <w:t>Python 3.14 and a local virtual environment for non-container development and tests.</w:t>
      </w:r>
    </w:p>
    <w:p>
      <w:pPr>
        <w:pStyle w:val="ListBullet"/>
      </w:pPr>
      <w:r>
        <w:t>A populated backend/.env based on backend/.env.example.</w:t>
      </w:r>
    </w:p>
    <w:p>
      <w:pPr>
        <w:pStyle w:val="Heading2"/>
        <w:keepNext/>
      </w:pPr>
      <w:r>
        <w:t>13.2 Running the full backend with Docker</w:t>
      </w:r>
    </w:p>
    <w:p>
      <w:pPr>
        <w:pStyle w:val="CodeBlock"/>
        <w:spacing w:after="160"/>
      </w:pPr>
      <w:r>
        <w:t># From the repository root</w:t>
        <w:br/>
      </w:r>
      <w:r>
        <w:t>docker compose --env-file backend/.env up --build -d</w:t>
        <w:br/>
      </w:r>
      <w:r>
        <w:br/>
      </w:r>
      <w:r>
        <w:t>docker compose --env-file backend/.env ps</w:t>
        <w:br/>
      </w:r>
      <w:r>
        <w:t>docker compose --env-file backend/.env logs -f api</w:t>
        <w:br/>
      </w:r>
    </w:p>
    <w:p>
      <w:r>
        <w:t>Once healthy, use http://localhost:8000/health, /health/database and /docs.</w:t>
      </w:r>
    </w:p>
    <w:p>
      <w:pPr>
        <w:pStyle w:val="Heading2"/>
        <w:keepNext/>
      </w:pPr>
      <w:r>
        <w:t>13.3 Safe shutdown and restart</w:t>
      </w:r>
    </w:p>
    <w:p>
      <w:pPr>
        <w:pStyle w:val="CodeBlock"/>
        <w:spacing w:after="160"/>
      </w:pPr>
      <w:r>
        <w:t># Stop containers while preserving database data</w:t>
        <w:br/>
      </w:r>
      <w:r>
        <w:t>docker compose --env-file backend/.env down</w:t>
        <w:br/>
      </w:r>
      <w:r>
        <w:br/>
      </w:r>
      <w:r>
        <w:t># Start existing images again</w:t>
        <w:br/>
      </w:r>
      <w:r>
        <w:t>docker compose --env-file backend/.env up -d</w:t>
        <w:br/>
      </w:r>
      <w:r>
        <w:br/>
      </w:r>
      <w:r>
        <w:t># Rebuild after source, Dockerfile or dependency changes</w:t>
        <w:br/>
      </w:r>
      <w:r>
        <w:t>docker compose --env-file backend/.env up --build -d</w:t>
        <w:br/>
      </w:r>
    </w:p>
    <w:p>
      <w:r>
        <w:t>Do not use docker compose down -v unless the local database volume should be deleted.</w:t>
      </w:r>
    </w:p>
    <w:p>
      <w:pPr>
        <w:pStyle w:val="Heading2"/>
        <w:keepNext/>
      </w:pPr>
      <w:r>
        <w:t>13.4 Running FastAPI directly on Windows</w:t>
      </w:r>
    </w:p>
    <w:p>
      <w:pPr>
        <w:pStyle w:val="CodeBlock"/>
        <w:spacing w:after="160"/>
      </w:pPr>
      <w:r>
        <w:t>cd backend</w:t>
        <w:br/>
      </w:r>
      <w:r>
        <w:t>.\.venv\Scripts\Activate.ps1</w:t>
        <w:br/>
      </w:r>
      <w:r>
        <w:t>python -m uvicorn app.main:app --reload</w:t>
        <w:br/>
      </w:r>
    </w:p>
    <w:p>
      <w:r>
        <w:t>In this mode, DATABASE_HOST must remain localhost because Python is running on the Windows host and connects through the published PostgreSQL port.</w:t>
      </w:r>
    </w:p>
    <w:p>
      <w:pPr>
        <w:pStyle w:val="Heading2"/>
        <w:keepNext/>
      </w:pPr>
      <w:r>
        <w:t>13.5 Running tests</w:t>
      </w:r>
    </w:p>
    <w:p>
      <w:pPr>
        <w:pStyle w:val="CodeBlock"/>
        <w:spacing w:after="160"/>
      </w:pPr>
      <w:r>
        <w:t>cd backend</w:t>
        <w:br/>
      </w:r>
      <w:r>
        <w:t>python -m pytest</w:t>
        <w:br/>
      </w:r>
      <w:r>
        <w:t>python -m pytest --collect-only</w:t>
        <w:br/>
      </w:r>
    </w:p>
    <w:p>
      <w:pPr>
        <w:pStyle w:val="Heading1"/>
        <w:keepNext/>
      </w:pPr>
      <w:r>
        <w:t>14. Remaining Epic 1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Story</w:t>
            </w:r>
          </w:p>
        </w:tc>
        <w:tc>
          <w:tcPr>
            <w:tcW w:type="dxa" w:w="360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32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Target outcome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  <w:t>US-018 — Instrument Repository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8"/>
              </w:rPr>
              <w:t>Move instrument lookup from the in-memory registry to PostgreSQL.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8"/>
              </w:rPr>
              <w:t>InstrumentService depends on InstrumentRepository; current four instruments are seeded.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  <w:t>US-019 — Historical Market Data Storage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8"/>
              </w:rPr>
              <w:t>Persist provider candles in TimescaleDB.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8"/>
              </w:rPr>
              <w:t>Deduplicated historical dataset and database-backed reads/caching.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  <w:t>US-020 — Scheduled Market Data Ingestion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8"/>
              </w:rPr>
              <w:t>Continuously update stored market data.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8"/>
              </w:rPr>
              <w:t>5-minute, hourly and daily ingestion jobs with idempotent writes.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8"/>
              </w:rPr>
              <w:t>US-021 — Observability and Production Readiness</w:t>
            </w:r>
          </w:p>
        </w:tc>
        <w:tc>
          <w:tcPr>
            <w:tcW w:type="dxa" w:w="3600"/>
            <w:vAlign w:val="center"/>
          </w:tcPr>
          <w:p>
            <w:r>
              <w:rPr>
                <w:sz w:val="18"/>
              </w:rPr>
              <w:t>Add operational visibility and resilience.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8"/>
              </w:rPr>
              <w:t>Structured logs, request IDs, latency and ingestion metrics, retries and alerts.</w:t>
            </w:r>
          </w:p>
        </w:tc>
      </w:tr>
    </w:tbl>
    <w:p/>
    <w:p>
      <w:pPr>
        <w:pStyle w:val="Heading1"/>
        <w:keepNext/>
      </w:pPr>
      <w:r>
        <w:t>15. Current Technical Status</w:t>
      </w:r>
    </w:p>
    <w:p>
      <w:pPr>
        <w:pStyle w:val="Heading2"/>
        <w:keepNext/>
      </w:pPr>
      <w:r>
        <w:t>15.1 Implemented</w:t>
      </w:r>
    </w:p>
    <w:p>
      <w:pPr>
        <w:pStyle w:val="ListBullet"/>
      </w:pPr>
      <w:r>
        <w:t>FastAPI modular backend and generic instrument routes.</w:t>
      </w:r>
    </w:p>
    <w:p>
      <w:pPr>
        <w:pStyle w:val="ListBullet"/>
      </w:pPr>
      <w:r>
        <w:t>Instrument Registry, InstrumentService and Provider Resolver.</w:t>
      </w:r>
    </w:p>
    <w:p>
      <w:pPr>
        <w:pStyle w:val="ListBullet"/>
      </w:pPr>
      <w:r>
        <w:t>Yahoo Finance support for COMEX gold futures.</w:t>
      </w:r>
    </w:p>
    <w:p>
      <w:pPr>
        <w:pStyle w:val="ListBullet"/>
      </w:pPr>
      <w:r>
        <w:t>Twelve Data support for gold spot, GBP/USD and EUR/USD.</w:t>
      </w:r>
    </w:p>
    <w:p>
      <w:pPr>
        <w:pStyle w:val="ListBullet"/>
      </w:pPr>
      <w:r>
        <w:t>PostgreSQL 17 and TimescaleDB in Docker Compose.</w:t>
      </w:r>
    </w:p>
    <w:p>
      <w:pPr>
        <w:pStyle w:val="ListBullet"/>
      </w:pPr>
      <w:r>
        <w:t>SQLAlchemy engine, connection pool, sessions and DeclarativeBase.</w:t>
      </w:r>
    </w:p>
    <w:p>
      <w:pPr>
        <w:pStyle w:val="ListBullet"/>
      </w:pPr>
      <w:r>
        <w:t>Alembic configuration and baseline migration.</w:t>
      </w:r>
    </w:p>
    <w:p>
      <w:pPr>
        <w:pStyle w:val="ListBullet"/>
      </w:pPr>
      <w:r>
        <w:t>Liveness and database readiness APIs.</w:t>
      </w:r>
    </w:p>
    <w:p>
      <w:pPr>
        <w:pStyle w:val="ListBullet"/>
      </w:pPr>
      <w:r>
        <w:t>Containerised FastAPI image and multi-container local development.</w:t>
      </w:r>
    </w:p>
    <w:p>
      <w:pPr>
        <w:pStyle w:val="ListBullet"/>
      </w:pPr>
      <w:r>
        <w:t>84 passing automated tests and manual Swagger verification.</w:t>
      </w:r>
    </w:p>
    <w:p>
      <w:pPr>
        <w:pStyle w:val="Heading2"/>
        <w:keepNext/>
      </w:pPr>
      <w:r>
        <w:t>15.2 Not yet implemented</w:t>
      </w:r>
    </w:p>
    <w:p>
      <w:pPr>
        <w:pStyle w:val="ListBullet"/>
      </w:pPr>
      <w:r>
        <w:t>Database-backed InstrumentRepository.</w:t>
      </w:r>
    </w:p>
    <w:p>
      <w:pPr>
        <w:pStyle w:val="ListBullet"/>
      </w:pPr>
      <w:r>
        <w:t>Market-candle ORM model and TimescaleDB hypertable.</w:t>
      </w:r>
    </w:p>
    <w:p>
      <w:pPr>
        <w:pStyle w:val="ListBullet"/>
      </w:pPr>
      <w:r>
        <w:t>Stored market-data read/write flow and caching.</w:t>
      </w:r>
    </w:p>
    <w:p>
      <w:pPr>
        <w:pStyle w:val="ListBullet"/>
      </w:pPr>
      <w:r>
        <w:t>Scheduled ingestion worker.</w:t>
      </w:r>
    </w:p>
    <w:p>
      <w:pPr>
        <w:pStyle w:val="ListBullet"/>
      </w:pPr>
      <w:r>
        <w:t>Structured logging, metrics and retry monitoring.</w:t>
      </w:r>
    </w:p>
    <w:p>
      <w:pPr>
        <w:pStyle w:val="ListBullet"/>
      </w:pPr>
      <w:r>
        <w:t>Technical indicators, news ingestion and FinBERT sentiment.</w:t>
      </w:r>
    </w:p>
    <w:p>
      <w:pPr>
        <w:pStyle w:val="ListBullet"/>
      </w:pPr>
      <w:r>
        <w:t>Next.js frontend and AI research capabilities.</w:t>
      </w:r>
    </w:p>
    <w:p>
      <w:pPr>
        <w:pStyle w:val="Heading1"/>
        <w:keepNext/>
      </w:pPr>
      <w:r>
        <w:t>16. Approval and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15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58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760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14 July 2026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Gold-focused backend and initial provider abstraction.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25 July 2026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Instrument registry, provider resolver, generic APIs and Forex support.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8"/>
              </w:rPr>
              <w:t>26 July 2026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5760"/>
            <w:vAlign w:val="center"/>
          </w:tcPr>
          <w:p>
            <w:r>
              <w:rPr>
                <w:sz w:val="18"/>
              </w:rPr>
              <w:t>Database configuration, Docker/TimescaleDB, SQLAlchemy, Alembic, readiness health and containerised backend.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AI Financial Intelligence Platform | Internal Engineering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AI Financial Intelligence Platform — Technical Design Document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80"/>
      <w:ind w:left="360" w:right="216"/>
      <w:shd w:fill="F3F6F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