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0417D8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5835" type="#_x0000_t75" alt="krut-3-cm" style="position:absolute;margin-left:186.65pt;margin-top:.2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bookmarkStart w:id="0" w:name="_GoBack"/>
      <w:bookmarkEnd w:id="0"/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0417D8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1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0417D8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6" type="#_x0000_t75" alt="krut-3-cm" style="position:absolute;margin-left:178.35pt;margin-top:-17.7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0417D8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2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0417D8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5837" type="#_x0000_t75" alt="krut-3-cm" style="position:absolute;margin-left:179.05pt;margin-top:-17.05pt;width:76.1pt;height:84.9pt;z-index:10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0417D8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3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0417D8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4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E765DD" w:rsidRDefault="000417D8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5838" type="#_x0000_t75" alt="krut-3-cm" style="position:absolute;margin-left:181.85pt;margin-top:-17.05pt;width:76.1pt;height:84.9pt;z-index:11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A52416">
        <w:rPr>
          <w:rFonts w:ascii="TH SarabunIT๙" w:hAnsi="TH SarabunIT๙" w:cs="TH SarabunIT๙"/>
          <w:sz w:val="32"/>
          <w:szCs w:val="32"/>
          <w:cs/>
        </w:rPr>
        <w:t xml:space="preserve">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</w:t>
      </w:r>
      <w:r w:rsidR="00F93F21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0417D8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0417D8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0417D8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39" type="#_x0000_t75" alt="krut-3-cm" style="position:absolute;left:0;text-align:left;margin-left:188.15pt;margin-top:-18.15pt;width:76.1pt;height:84.9pt;z-index:12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0417D8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1003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1003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 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425485" w:rsidRPr="0084709D" w:rsidRDefault="00425485" w:rsidP="001D3969"/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D8" w:rsidRDefault="000417D8" w:rsidP="00C0452F">
      <w:r>
        <w:separator/>
      </w:r>
    </w:p>
  </w:endnote>
  <w:endnote w:type="continuationSeparator" w:id="0">
    <w:p w:rsidR="000417D8" w:rsidRDefault="000417D8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D8" w:rsidRDefault="000417D8" w:rsidP="00C0452F">
      <w:r>
        <w:separator/>
      </w:r>
    </w:p>
  </w:footnote>
  <w:footnote w:type="continuationSeparator" w:id="0">
    <w:p w:rsidR="000417D8" w:rsidRDefault="000417D8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17D8"/>
    <w:rsid w:val="0004748F"/>
    <w:rsid w:val="00047F5A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40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92BB4-94EF-45F7-91CF-AE34151F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2032</Words>
  <Characters>11588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178</cp:revision>
  <cp:lastPrinted>2020-01-07T01:17:00Z</cp:lastPrinted>
  <dcterms:created xsi:type="dcterms:W3CDTF">2021-11-25T01:16:00Z</dcterms:created>
  <dcterms:modified xsi:type="dcterms:W3CDTF">2021-12-23T08:48:00Z</dcterms:modified>
</cp:coreProperties>
</file>