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</w:rPr>
        <w:t>tday</w:t>
      </w:r>
      <w:proofErr w:type="spell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สอบปากคำเหตุเพลิงไหม้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โดยมีสมาชิก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}{name6}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ขอทราบรายละเอียดเหตุเพลิงไหม้เกิด 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  <w:bookmarkStart w:id="0" w:name="_GoBack"/>
      <w:bookmarkEnd w:id="0"/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2.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496B42" w:rsidRP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E71890">
        <w:rPr>
          <w:rFonts w:ascii="TH SarabunIT๙" w:hAnsi="TH SarabunIT๙" w:cs="TH SarabunIT๙" w:hint="cs"/>
          <w:sz w:val="32"/>
          <w:szCs w:val="32"/>
          <w:cs/>
        </w:rPr>
        <w:t>1.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404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A84048"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 w:rsidR="00A8404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404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.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    </w:t>
      </w:r>
    </w:p>
    <w:p w:rsidR="007535CF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</w:t>
      </w: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234AB3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 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Pr="00DF2483">
        <w:rPr>
          <w:rFonts w:ascii="TH SarabunIT๙" w:hAnsi="TH SarabunIT๙" w:cs="TH SarabunIT๙" w:hint="cs"/>
          <w:cs/>
        </w:rPr>
        <w:t xml:space="preserve"> 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Pr="00DF2483">
        <w:rPr>
          <w:rFonts w:ascii="TH SarabunIT๙" w:hAnsi="TH SarabunIT๙" w:cs="TH SarabunIT๙" w:hint="cs"/>
          <w:cs/>
        </w:rPr>
        <w:t>อัคคีภัย 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D15B36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4A324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709"/>
        <w:gridCol w:w="2268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059EA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70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268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059EA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C96634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268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709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268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/หัวหน้าครอบครัวที่2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22437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22437D">
      <w:pPr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22437D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22437D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22437D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22437D">
      <w:pPr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3750CB">
      <w:pPr>
        <w:tabs>
          <w:tab w:val="left" w:pos="2127"/>
        </w:tabs>
        <w:spacing w:after="0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3750CB">
      <w:pPr>
        <w:tabs>
          <w:tab w:val="left" w:pos="2127"/>
        </w:tabs>
        <w:spacing w:after="0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3750CB">
      <w:pPr>
        <w:tabs>
          <w:tab w:val="left" w:pos="3119"/>
        </w:tabs>
        <w:spacing w:after="0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เหตุเพลิงไหม้เกิดจาก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ทำให้ทรัพย์สิน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ตามบันทึกประจำวันสถานีตำรวจนครบาล...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ได้แก่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6C5FC8" w:rsidRPr="006C5FC8">
        <w:rPr>
          <w:rFonts w:ascii="TH SarabunIT๙" w:eastAsia="Cordia New" w:hAnsi="TH SarabunIT๙" w:cs="TH SarabunIT๙"/>
          <w:spacing w:val="-4"/>
          <w:sz w:val="32"/>
          <w:szCs w:val="32"/>
          <w:highlight w:val="yellow"/>
        </w:rPr>
        <w:t>{damage}</w:t>
      </w:r>
      <w:r w:rsidR="006C5FC8">
        <w:rPr>
          <w:rFonts w:ascii="TH SarabunIT๙" w:eastAsia="Cordia New" w:hAnsi="TH SarabunIT๙" w:cs="TH SarabunIT๙"/>
          <w:spacing w:val="-4"/>
          <w:sz w:val="32"/>
          <w:szCs w:val="32"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เป็นต้น 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Pr="004804D0" w:rsidRDefault="00DB2045" w:rsidP="00DB2045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741B10C" wp14:editId="6E31FA64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2122"/>
    <w:rsid w:val="00031C80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A5EA6"/>
    <w:rsid w:val="003B41BA"/>
    <w:rsid w:val="003C686C"/>
    <w:rsid w:val="003C751B"/>
    <w:rsid w:val="003E610E"/>
    <w:rsid w:val="00412ABF"/>
    <w:rsid w:val="004177DB"/>
    <w:rsid w:val="00425975"/>
    <w:rsid w:val="00431572"/>
    <w:rsid w:val="00443F0C"/>
    <w:rsid w:val="00453666"/>
    <w:rsid w:val="0046508B"/>
    <w:rsid w:val="0047075D"/>
    <w:rsid w:val="00476F6E"/>
    <w:rsid w:val="004804D0"/>
    <w:rsid w:val="00496B42"/>
    <w:rsid w:val="004A10B3"/>
    <w:rsid w:val="004A3242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9244D9"/>
    <w:rsid w:val="00932538"/>
    <w:rsid w:val="009453E9"/>
    <w:rsid w:val="009542B0"/>
    <w:rsid w:val="00965315"/>
    <w:rsid w:val="009704C1"/>
    <w:rsid w:val="00982542"/>
    <w:rsid w:val="00985EB4"/>
    <w:rsid w:val="009B0CBA"/>
    <w:rsid w:val="009C2C8C"/>
    <w:rsid w:val="009E325E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A3C70"/>
    <w:rsid w:val="00AA407A"/>
    <w:rsid w:val="00AB5DCF"/>
    <w:rsid w:val="00AC33A1"/>
    <w:rsid w:val="00AC4634"/>
    <w:rsid w:val="00AF09CD"/>
    <w:rsid w:val="00B52182"/>
    <w:rsid w:val="00B70585"/>
    <w:rsid w:val="00BD0061"/>
    <w:rsid w:val="00C15023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7681"/>
    <w:rsid w:val="00CC7896"/>
    <w:rsid w:val="00CD1BC0"/>
    <w:rsid w:val="00D15B36"/>
    <w:rsid w:val="00D20D25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7B27"/>
    <w:rsid w:val="00EA53D9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AC17C-A0D9-441E-8676-E9EEF252C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13</Pages>
  <Words>2576</Words>
  <Characters>14686</Characters>
  <Application>Microsoft Office Word</Application>
  <DocSecurity>0</DocSecurity>
  <Lines>122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189</cp:revision>
  <cp:lastPrinted>2018-01-30T05:02:00Z</cp:lastPrinted>
  <dcterms:created xsi:type="dcterms:W3CDTF">2018-01-30T08:42:00Z</dcterms:created>
  <dcterms:modified xsi:type="dcterms:W3CDTF">2021-06-17T02:43:00Z</dcterms:modified>
</cp:coreProperties>
</file>