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108D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b/>
          <w:bCs/>
          <w:sz w:val="26"/>
          <w:szCs w:val="26"/>
        </w:rPr>
        <w:t>[5 VÍ DỤ SƠ ĐỒ USE CASE MÀ BA CÓ THỂ SỬ DỤNG]</w:t>
      </w:r>
    </w:p>
    <w:p w14:paraId="79E5B135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vướng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7BCC4319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b/>
          <w:bCs/>
          <w:sz w:val="26"/>
          <w:szCs w:val="26"/>
        </w:rPr>
        <w:t>1. Retail use case diagram</w:t>
      </w:r>
    </w:p>
    <w:p w14:paraId="6637183B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6AA97CE7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B2C.</w:t>
      </w:r>
    </w:p>
    <w:p w14:paraId="03299239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b/>
          <w:bCs/>
          <w:sz w:val="26"/>
          <w:szCs w:val="26"/>
        </w:rPr>
        <w:t>2. Restaurant use case diagram</w:t>
      </w:r>
    </w:p>
    <w:p w14:paraId="6CDB4230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32870F18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025AEC9B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b/>
          <w:bCs/>
          <w:sz w:val="26"/>
          <w:szCs w:val="26"/>
        </w:rPr>
        <w:t>3. Travel use case diagram</w:t>
      </w:r>
    </w:p>
    <w:p w14:paraId="7533A476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59393EE0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042DF976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b/>
          <w:bCs/>
          <w:sz w:val="26"/>
          <w:szCs w:val="26"/>
        </w:rPr>
        <w:t>4. Banking use case diagram</w:t>
      </w:r>
    </w:p>
    <w:p w14:paraId="72C7CE6C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(ATM),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76470C07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1EA5600E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b/>
          <w:bCs/>
          <w:sz w:val="26"/>
          <w:szCs w:val="26"/>
        </w:rPr>
        <w:t>5. Consumer electronics store use case diagram</w:t>
      </w:r>
    </w:p>
    <w:p w14:paraId="4962C823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6DA4B264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625C91B3" w14:textId="77777777" w:rsidR="00CD7F58" w:rsidRPr="00CD7F58" w:rsidRDefault="00CD7F58" w:rsidP="00CD7F5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7F5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Các </w:t>
      </w:r>
      <w:proofErr w:type="spellStart"/>
      <w:r w:rsidRPr="00CD7F58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CD7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CD7F58">
        <w:rPr>
          <w:rFonts w:ascii="Times New Roman" w:hAnsi="Times New Roman" w:cs="Times New Roman"/>
          <w:b/>
          <w:bCs/>
          <w:sz w:val="26"/>
          <w:szCs w:val="26"/>
        </w:rPr>
        <w:t xml:space="preserve"> hay </w:t>
      </w:r>
      <w:proofErr w:type="spellStart"/>
      <w:r w:rsidRPr="00CD7F58">
        <w:rPr>
          <w:rFonts w:ascii="Times New Roman" w:hAnsi="Times New Roman" w:cs="Times New Roman"/>
          <w:b/>
          <w:bCs/>
          <w:sz w:val="26"/>
          <w:szCs w:val="26"/>
        </w:rPr>
        <w:t>gặp</w:t>
      </w:r>
      <w:proofErr w:type="spellEnd"/>
    </w:p>
    <w:p w14:paraId="144E651C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?</w:t>
      </w:r>
    </w:p>
    <w:p w14:paraId="1E8997EC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:</w:t>
      </w:r>
    </w:p>
    <w:p w14:paraId="1F960DC8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:</w:t>
      </w:r>
    </w:p>
    <w:p w14:paraId="5A9B6B5A" w14:textId="77777777" w:rsidR="00CD7F58" w:rsidRPr="00CD7F58" w:rsidRDefault="00CD7F58" w:rsidP="00CD7F5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772304B" w14:textId="77777777" w:rsidR="00CD7F58" w:rsidRPr="00CD7F58" w:rsidRDefault="00CD7F58" w:rsidP="00CD7F5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14:paraId="12B3637F" w14:textId="77777777" w:rsidR="00CD7F58" w:rsidRPr="00CD7F58" w:rsidRDefault="00CD7F58" w:rsidP="00CD7F5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14:paraId="06FCC619" w14:textId="77777777" w:rsidR="00CD7F58" w:rsidRPr="00CD7F58" w:rsidRDefault="00CD7F58" w:rsidP="00CD7F5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2A486115" w14:textId="77777777" w:rsidR="00CD7F58" w:rsidRPr="00CD7F58" w:rsidRDefault="00CD7F58" w:rsidP="00CD7F5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35C13EB7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:</w:t>
      </w:r>
    </w:p>
    <w:p w14:paraId="518FD563" w14:textId="77777777" w:rsidR="00CD7F58" w:rsidRPr="00CD7F58" w:rsidRDefault="00CD7F58" w:rsidP="00CD7F5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bước</w:t>
      </w:r>
      <w:proofErr w:type="spellEnd"/>
    </w:p>
    <w:p w14:paraId="15FA07D1" w14:textId="77777777" w:rsidR="00CD7F58" w:rsidRPr="00CD7F58" w:rsidRDefault="00CD7F58" w:rsidP="00CD7F5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7F58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340A9007" w14:textId="77777777" w:rsidR="00CD7F58" w:rsidRPr="00CD7F58" w:rsidRDefault="00CD7F58" w:rsidP="00CD7F5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44431BD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case?</w:t>
      </w:r>
    </w:p>
    <w:p w14:paraId="1734E74B" w14:textId="77777777" w:rsidR="00CD7F58" w:rsidRPr="00CD7F58" w:rsidRDefault="00CD7F58" w:rsidP="00CD7F5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:</w:t>
      </w:r>
    </w:p>
    <w:p w14:paraId="6399F499" w14:textId="77777777" w:rsidR="00CD7F58" w:rsidRPr="00CD7F58" w:rsidRDefault="00CD7F58" w:rsidP="00CD7F5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mang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24496EF2" w14:textId="77777777" w:rsidR="00CD7F58" w:rsidRPr="00CD7F58" w:rsidRDefault="00CD7F58" w:rsidP="00CD7F5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(Actors):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3031F9D4" w14:textId="77777777" w:rsidR="00CD7F58" w:rsidRPr="00CD7F58" w:rsidRDefault="00CD7F58" w:rsidP="00CD7F5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Case: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UML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084A1189" w14:textId="77777777" w:rsidR="00CD7F58" w:rsidRPr="00CD7F58" w:rsidRDefault="00CD7F58" w:rsidP="00CD7F5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Case: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lastRenderedPageBreak/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1C8F6E3E" w14:textId="77777777" w:rsidR="00CD7F58" w:rsidRPr="00CD7F58" w:rsidRDefault="00CD7F58" w:rsidP="00CD7F5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45850036" w14:textId="77777777" w:rsidR="00CD7F58" w:rsidRPr="00CD7F58" w:rsidRDefault="00CD7F58" w:rsidP="00CD7F5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nóViết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7F5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D7F58">
        <w:rPr>
          <w:rFonts w:ascii="Times New Roman" w:hAnsi="Times New Roman" w:cs="Times New Roman"/>
          <w:sz w:val="26"/>
          <w:szCs w:val="26"/>
        </w:rPr>
        <w:t>.</w:t>
      </w:r>
    </w:p>
    <w:p w14:paraId="4F59569D" w14:textId="77777777" w:rsidR="001B0537" w:rsidRDefault="001B0537"/>
    <w:sectPr w:rsidR="001B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A4FF0"/>
    <w:multiLevelType w:val="multilevel"/>
    <w:tmpl w:val="EEC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532267"/>
    <w:multiLevelType w:val="multilevel"/>
    <w:tmpl w:val="26E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2064C"/>
    <w:multiLevelType w:val="multilevel"/>
    <w:tmpl w:val="808A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2652108">
    <w:abstractNumId w:val="1"/>
  </w:num>
  <w:num w:numId="2" w16cid:durableId="1105151665">
    <w:abstractNumId w:val="2"/>
  </w:num>
  <w:num w:numId="3" w16cid:durableId="117391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58"/>
    <w:rsid w:val="00057C80"/>
    <w:rsid w:val="0014693D"/>
    <w:rsid w:val="001B0537"/>
    <w:rsid w:val="002D5C99"/>
    <w:rsid w:val="0079783C"/>
    <w:rsid w:val="00C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1A7E"/>
  <w15:chartTrackingRefBased/>
  <w15:docId w15:val="{191DC216-1F50-49B6-9C23-28F2DE3D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6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4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8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9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4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6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7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4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82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32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5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7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7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6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09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1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4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9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6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4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2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3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05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5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3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2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0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8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2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1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8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1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7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0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6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69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9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24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2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6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4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2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9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6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2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9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0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5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1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6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9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0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0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5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14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2025-03-30T08:21:00Z</dcterms:created>
  <dcterms:modified xsi:type="dcterms:W3CDTF">2025-03-30T08:21:00Z</dcterms:modified>
</cp:coreProperties>
</file>