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16362A"/>
            <w:tcMar>
              <w:top w:w="160" w:type="dxa"/>
              <w:bottom w:w="160" w:type="dxa"/>
              <w:start w:w="240" w:type="dxa"/>
              <w:end w:w="2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aps/>
                <w:color w:val="D8B86A"/>
                <w:sz w:val="18"/>
                <w:spacing w:val="40"/>
              </w:rPr>
              <w:t>PARTICIPANT WORKSHEET  ·  PART FIVE · 30 MINUTES</w:t>
            </w:r>
          </w:p>
          <w:p>
            <w:pPr>
              <w:spacing w:before="80" w:after="80"/>
            </w:pPr>
            <w:r>
              <w:rPr>
                <w:rFonts w:ascii="Cambria" w:hAnsi="Cambria"/>
                <w:b/>
                <w:i w:val="0"/>
                <w:color w:val="FFFFFF"/>
                <w:sz w:val="44"/>
              </w:rPr>
              <w:t>Your Turn: Design a Secure Workflow</w:t>
            </w:r>
          </w:p>
          <w:p>
            <w:pPr>
              <w:spacing w:before="0"/>
            </w:pPr>
            <w:r>
              <w:rPr>
                <w:rFonts w:ascii="Calibri" w:hAnsi="Calibri"/>
                <w:b w:val="0"/>
                <w:i w:val="0"/>
                <w:color w:val="B8C7B9"/>
                <w:sz w:val="21"/>
              </w:rPr>
              <w:t>Secure AI Workshop — Building a Secure Internal AI System for Higher Education</w:t>
            </w:r>
          </w:p>
        </w:tc>
      </w:tr>
    </w:tbl>
    <w:p>
      <w:pPr>
        <w:spacing w:before="200" w:after="40" w:line="254" w:lineRule="auto"/>
      </w:pPr>
      <w:r>
        <w:rPr>
          <w:rFonts w:ascii="Calibri" w:hAnsi="Calibri"/>
          <w:b/>
          <w:i w:val="0"/>
          <w:color w:val="16362A"/>
          <w:sz w:val="21"/>
        </w:rPr>
        <w:t xml:space="preserve">Group / Team:  </w:t>
      </w:r>
      <w:r>
        <w:rPr>
          <w:rFonts w:ascii="Calibri" w:hAnsi="Calibri"/>
          <w:b w:val="0"/>
          <w:i w:val="0"/>
          <w:color w:val="6E7A6B"/>
          <w:sz w:val="21"/>
        </w:rPr>
        <w:t xml:space="preserve">______________________________      </w:t>
      </w:r>
      <w:r>
        <w:rPr>
          <w:rFonts w:ascii="Calibri" w:hAnsi="Calibri"/>
          <w:b/>
          <w:i w:val="0"/>
          <w:color w:val="16362A"/>
          <w:sz w:val="21"/>
        </w:rPr>
        <w:t xml:space="preserve">Members:  </w:t>
      </w:r>
      <w:r>
        <w:rPr>
          <w:rFonts w:ascii="Calibri" w:hAnsi="Calibri"/>
          <w:b w:val="0"/>
          <w:i w:val="0"/>
          <w:color w:val="6E7A6B"/>
          <w:sz w:val="21"/>
        </w:rPr>
        <w:t>__________________________________</w:t>
      </w:r>
    </w:p>
    <w:p>
      <w:pPr>
        <w:spacing w:before="160" w:after="40" w:line="254" w:lineRule="auto"/>
      </w:pPr>
      <w:r>
        <w:rPr>
          <w:rFonts w:ascii="Calibri" w:hAnsi="Calibri"/>
          <w:b/>
          <w:i w:val="0"/>
          <w:color w:val="9A7327"/>
          <w:sz w:val="21"/>
        </w:rPr>
        <w:t xml:space="preserve">How this works.  </w:t>
      </w:r>
      <w:r>
        <w:rPr>
          <w:rFonts w:ascii="Calibri" w:hAnsi="Calibri"/>
          <w:b w:val="0"/>
          <w:i w:val="0"/>
          <w:color w:val="2E382C"/>
          <w:sz w:val="21"/>
        </w:rPr>
        <w:t xml:space="preserve">In your group, apply the seven-layer architecture and the 70% confidence threshold to a real academic scenario. Pick a scenario, assess its risks, configure four key layers, and design the human checkpoint. Aim for </w:t>
      </w:r>
      <w:r>
        <w:rPr>
          <w:rFonts w:ascii="Calibri" w:hAnsi="Calibri"/>
          <w:b/>
          <w:i/>
          <w:color w:val="2E382C"/>
          <w:sz w:val="21"/>
        </w:rPr>
        <w:t>defensible, not perfect</w:t>
      </w:r>
      <w:r>
        <w:rPr>
          <w:rFonts w:ascii="Calibri" w:hAnsi="Calibri"/>
          <w:b w:val="0"/>
          <w:i w:val="0"/>
          <w:color w:val="2E382C"/>
          <w:sz w:val="21"/>
        </w:rPr>
        <w:t xml:space="preserve"> — you will defend your design at the end.</w:t>
      </w:r>
    </w:p>
    <w:p>
      <w:pPr>
        <w:spacing w:before="80" w:after="160"/>
        <w:pBdr>
          <w:bottom w:val="single" w:sz="8" w:space="1" w:color="D8CFB8"/>
        </w:pBdr>
      </w:pPr>
    </w:p>
    <w:p>
      <w:pPr>
        <w:spacing w:before="200" w:after="40" w:line="254" w:lineRule="auto"/>
      </w:pPr>
      <w:r>
        <w:rPr>
          <w:rFonts w:ascii="Calibri" w:hAnsi="Calibri"/>
          <w:b/>
          <w:i w:val="0"/>
          <w:caps/>
          <w:color w:val="9A7327"/>
          <w:sz w:val="18"/>
          <w:spacing w:val="40"/>
        </w:rPr>
        <w:t>Activity · Step Zero</w:t>
      </w:r>
    </w:p>
    <w:p>
      <w:pPr>
        <w:spacing w:before="240" w:after="40" w:line="254" w:lineRule="auto"/>
      </w:pPr>
      <w:r>
        <w:rPr>
          <w:rFonts w:ascii="Cambria" w:hAnsi="Cambria"/>
          <w:b/>
          <w:i w:val="0"/>
          <w:color w:val="16362A"/>
          <w:sz w:val="34"/>
        </w:rPr>
        <w:t>Choose your scenario</w:t>
      </w:r>
    </w:p>
    <w:p>
      <w:pPr>
        <w:spacing w:before="0" w:after="120" w:line="254" w:lineRule="auto"/>
      </w:pPr>
      <w:r>
        <w:rPr>
          <w:rFonts w:ascii="Calibri" w:hAnsi="Calibri"/>
          <w:b w:val="0"/>
          <w:i w:val="0"/>
          <w:color w:val="2E382C"/>
          <w:sz w:val="21"/>
        </w:rPr>
        <w:t xml:space="preserve">Pick </w:t>
      </w:r>
      <w:r>
        <w:rPr>
          <w:rFonts w:ascii="Calibri" w:hAnsi="Calibri"/>
          <w:b/>
          <w:i w:val="0"/>
          <w:color w:val="2E382C"/>
          <w:sz w:val="21"/>
        </w:rPr>
        <w:t>one</w:t>
      </w:r>
      <w:r>
        <w:rPr>
          <w:rFonts w:ascii="Calibri" w:hAnsi="Calibri"/>
          <w:b w:val="0"/>
          <w:i w:val="0"/>
          <w:color w:val="2E382C"/>
          <w:sz w:val="21"/>
        </w:rPr>
        <w:t xml:space="preserve"> as a group — you'll design and defend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F3EDDF"/>
            <w:tcMar>
              <w:top w:w="160" w:type="dxa"/>
              <w:bottom w:w="160" w:type="dxa"/>
              <w:start w:w="18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B6892E"/>
                <w:sz w:val="28"/>
              </w:rPr>
              <w:t xml:space="preserve">☐  </w:t>
            </w:r>
            <w:r>
              <w:rPr>
                <w:rFonts w:ascii="Calibri" w:hAnsi="Calibri"/>
                <w:b/>
                <w:i w:val="0"/>
                <w:color w:val="B6892E"/>
                <w:sz w:val="22"/>
              </w:rPr>
              <w:t>Scenario A</w:t>
            </w:r>
          </w:p>
          <w:p>
            <w:pPr>
              <w:spacing w:after="60"/>
            </w:pPr>
            <w:r>
              <w:rPr>
                <w:rFonts w:ascii="Cambria" w:hAnsi="Cambria"/>
                <w:b/>
                <w:i w:val="0"/>
                <w:color w:val="16362A"/>
                <w:sz w:val="26"/>
              </w:rPr>
              <w:t>AI-Assisted Grading System</w:t>
            </w:r>
          </w:p>
          <w:p>
            <w:r>
              <w:rPr>
                <w:rFonts w:ascii="Calibri" w:hAnsi="Calibri"/>
                <w:b w:val="0"/>
                <w:i w:val="0"/>
                <w:color w:val="2E382C"/>
                <w:sz w:val="20"/>
              </w:rPr>
              <w:t>Generates feedback and suggested scores for student essays.</w:t>
            </w:r>
          </w:p>
        </w:tc>
        <w:tc>
          <w:tcPr>
            <w:tcW w:type="dxa" w:w="4896"/>
            <w:shd w:val="clear" w:color="auto" w:fill="16362A"/>
            <w:tcMar>
              <w:top w:w="160" w:type="dxa"/>
              <w:bottom w:w="160" w:type="dxa"/>
              <w:start w:w="180" w:type="dxa"/>
              <w:end w:w="18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D8B86A"/>
                <w:sz w:val="28"/>
              </w:rPr>
              <w:t xml:space="preserve">☐  </w:t>
            </w:r>
            <w:r>
              <w:rPr>
                <w:rFonts w:ascii="Calibri" w:hAnsi="Calibri"/>
                <w:b/>
                <w:i w:val="0"/>
                <w:color w:val="D8B86A"/>
                <w:sz w:val="22"/>
              </w:rPr>
              <w:t>Scenario B</w:t>
            </w:r>
          </w:p>
          <w:p>
            <w:pPr>
              <w:spacing w:after="60"/>
            </w:pPr>
            <w:r>
              <w:rPr>
                <w:rFonts w:ascii="Cambria" w:hAnsi="Cambria"/>
                <w:b/>
                <w:i w:val="0"/>
                <w:color w:val="F4EFE4"/>
                <w:sz w:val="26"/>
              </w:rPr>
              <w:t>IP-Protected Research Assistant</w:t>
            </w:r>
          </w:p>
          <w:p>
            <w:r>
              <w:rPr>
                <w:rFonts w:ascii="Calibri" w:hAnsi="Calibri"/>
                <w:b w:val="0"/>
                <w:i w:val="0"/>
                <w:color w:val="B8C7B9"/>
                <w:sz w:val="20"/>
              </w:rPr>
              <w:t>Summarizes unpublished manuscripts and identifies research gaps.</w:t>
            </w:r>
          </w:p>
        </w:tc>
      </w:tr>
    </w:tbl>
    <w:p>
      <w:pPr>
        <w:spacing w:after="40"/>
      </w:pPr>
    </w:p>
    <w:p>
      <w:pPr>
        <w:spacing w:before="200" w:after="40" w:line="254" w:lineRule="auto"/>
      </w:pPr>
      <w:r>
        <w:rPr>
          <w:rFonts w:ascii="Calibri" w:hAnsi="Calibri"/>
          <w:b/>
          <w:i w:val="0"/>
          <w:caps/>
          <w:color w:val="9A7327"/>
          <w:sz w:val="18"/>
          <w:spacing w:val="40"/>
        </w:rPr>
        <w:t>Activity · Step 1 · Risk</w:t>
      </w:r>
    </w:p>
    <w:p>
      <w:pPr>
        <w:spacing w:before="240" w:after="40" w:line="254" w:lineRule="auto"/>
      </w:pPr>
      <w:r>
        <w:rPr>
          <w:rFonts w:ascii="Cambria" w:hAnsi="Cambria"/>
          <w:b/>
          <w:i w:val="0"/>
          <w:color w:val="16362A"/>
          <w:sz w:val="34"/>
        </w:rPr>
        <w:t>Name two critical risks of using public AI</w:t>
      </w:r>
      <w:r>
        <w:rPr>
          <w:rFonts w:ascii="Calibri" w:hAnsi="Calibri"/>
          <w:b/>
          <w:i w:val="0"/>
          <w:color w:val="9A7327"/>
          <w:sz w:val="19"/>
        </w:rPr>
        <w:t xml:space="preserve">      5 min</w:t>
      </w:r>
    </w:p>
    <w:p>
      <w:pPr>
        <w:spacing w:before="0" w:after="120" w:line="254" w:lineRule="auto"/>
      </w:pPr>
      <w:r>
        <w:rPr>
          <w:rFonts w:ascii="Calibri" w:hAnsi="Calibri"/>
          <w:b w:val="0"/>
          <w:i w:val="0"/>
          <w:color w:val="2E382C"/>
          <w:sz w:val="21"/>
        </w:rPr>
        <w:t>If your group ran this scenario on public ChatGPT instead of an internal system, what could go wrong? Give a concrete example for each.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2E5240"/>
          <w:sz w:val="21"/>
        </w:rPr>
        <w:t xml:space="preserve">Risk 1 — Data privacy &amp; IP:  </w:t>
      </w:r>
      <w:r>
        <w:rPr>
          <w:rFonts w:ascii="Calibri" w:hAnsi="Calibri"/>
          <w:b w:val="0"/>
          <w:i/>
          <w:color w:val="6E7A6B"/>
          <w:sz w:val="21"/>
        </w:rPr>
        <w:t>what could leak?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2E5240"/>
          <w:sz w:val="21"/>
        </w:rPr>
        <w:t xml:space="preserve">Risk 2 — Integrity &amp; accuracy:  </w:t>
      </w:r>
      <w:r>
        <w:rPr>
          <w:rFonts w:ascii="Calibri" w:hAnsi="Calibri"/>
          <w:b w:val="0"/>
          <w:i/>
          <w:color w:val="6E7A6B"/>
          <w:sz w:val="21"/>
        </w:rPr>
        <w:t>where do hallucinations hurt?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80" w:after="160"/>
        <w:pBdr>
          <w:bottom w:val="single" w:sz="8" w:space="1" w:color="D8CFB8"/>
        </w:pBdr>
      </w:pPr>
    </w:p>
    <w:p>
      <w:pPr>
        <w:spacing w:before="200" w:after="40" w:line="254" w:lineRule="auto"/>
      </w:pPr>
      <w:r>
        <w:rPr>
          <w:rFonts w:ascii="Calibri" w:hAnsi="Calibri"/>
          <w:b/>
          <w:i w:val="0"/>
          <w:caps/>
          <w:color w:val="9A7327"/>
          <w:sz w:val="18"/>
          <w:spacing w:val="40"/>
        </w:rPr>
        <w:t>Activity · Step 2 · Configure four layers</w:t>
      </w:r>
    </w:p>
    <w:p>
      <w:pPr>
        <w:spacing w:before="240" w:after="40" w:line="254" w:lineRule="auto"/>
      </w:pPr>
      <w:r>
        <w:rPr>
          <w:rFonts w:ascii="Cambria" w:hAnsi="Cambria"/>
          <w:b/>
          <w:i w:val="0"/>
          <w:color w:val="16362A"/>
          <w:sz w:val="34"/>
        </w:rPr>
        <w:t>Apply the architecture</w:t>
      </w:r>
      <w:r>
        <w:rPr>
          <w:rFonts w:ascii="Calibri" w:hAnsi="Calibri"/>
          <w:b/>
          <w:i w:val="0"/>
          <w:color w:val="9A7327"/>
          <w:sz w:val="19"/>
        </w:rPr>
        <w:t xml:space="preserve">      15 min</w:t>
      </w:r>
    </w:p>
    <w:p>
      <w:pPr>
        <w:spacing w:before="0" w:after="120" w:line="254" w:lineRule="auto"/>
      </w:pPr>
      <w:r>
        <w:rPr>
          <w:rFonts w:ascii="Calibri" w:hAnsi="Calibri"/>
          <w:b w:val="0"/>
          <w:i/>
          <w:color w:val="6E7A6B"/>
          <w:sz w:val="21"/>
        </w:rPr>
        <w:t>Be concrete — name real systems and real data sources.</w:t>
      </w:r>
    </w:p>
    <w:p>
      <w:pPr>
        <w:spacing w:before="80" w:after="40" w:line="254" w:lineRule="auto"/>
      </w:pPr>
      <w:r>
        <w:rPr>
          <w:rFonts w:ascii="Calibri" w:hAnsi="Calibri"/>
          <w:b/>
          <w:i w:val="0"/>
          <w:color w:val="16362A"/>
          <w:sz w:val="22"/>
        </w:rPr>
        <w:t xml:space="preserve">L1 · Access   </w:t>
      </w:r>
      <w:r>
        <w:rPr>
          <w:rFonts w:ascii="Calibri" w:hAnsi="Calibri"/>
          <w:b w:val="0"/>
          <w:i/>
          <w:color w:val="6E7A6B"/>
          <w:sz w:val="20"/>
        </w:rPr>
        <w:t>Who may use it, and what are their limits?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80" w:after="40" w:line="254" w:lineRule="auto"/>
      </w:pPr>
      <w:r>
        <w:rPr>
          <w:rFonts w:ascii="Calibri" w:hAnsi="Calibri"/>
          <w:b/>
          <w:i w:val="0"/>
          <w:color w:val="16362A"/>
          <w:sz w:val="22"/>
        </w:rPr>
        <w:t xml:space="preserve">L3 · Input Safety   </w:t>
      </w:r>
      <w:r>
        <w:rPr>
          <w:rFonts w:ascii="Calibri" w:hAnsi="Calibri"/>
          <w:b w:val="0"/>
          <w:i/>
          <w:color w:val="6E7A6B"/>
          <w:sz w:val="20"/>
        </w:rPr>
        <w:t>Which PII or keywords must be redacted?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80" w:after="40" w:line="254" w:lineRule="auto"/>
      </w:pPr>
      <w:r>
        <w:rPr>
          <w:rFonts w:ascii="Calibri" w:hAnsi="Calibri"/>
          <w:b/>
          <w:i w:val="0"/>
          <w:color w:val="16362A"/>
          <w:sz w:val="22"/>
        </w:rPr>
        <w:t xml:space="preserve">L4 · RAG   </w:t>
      </w:r>
      <w:r>
        <w:rPr>
          <w:rFonts w:ascii="Calibri" w:hAnsi="Calibri"/>
          <w:b w:val="0"/>
          <w:i/>
          <w:color w:val="6E7A6B"/>
          <w:sz w:val="20"/>
        </w:rPr>
        <w:t>Which institutional sources will ground it?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80" w:after="40" w:line="254" w:lineRule="auto"/>
      </w:pPr>
      <w:r>
        <w:rPr>
          <w:rFonts w:ascii="Calibri" w:hAnsi="Calibri"/>
          <w:b/>
          <w:i w:val="0"/>
          <w:color w:val="16362A"/>
          <w:sz w:val="22"/>
        </w:rPr>
        <w:t xml:space="preserve">L6 · Output Control   </w:t>
      </w:r>
      <w:r>
        <w:rPr>
          <w:rFonts w:ascii="Calibri" w:hAnsi="Calibri"/>
          <w:b w:val="0"/>
          <w:i/>
          <w:color w:val="6E7A6B"/>
          <w:sz w:val="20"/>
        </w:rPr>
        <w:t>How do you verify against the sources?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80" w:after="160"/>
        <w:pBdr>
          <w:bottom w:val="single" w:sz="8" w:space="1" w:color="D8CFB8"/>
        </w:pBdr>
      </w:pPr>
    </w:p>
    <w:p>
      <w:pPr>
        <w:spacing w:before="200" w:after="40" w:line="254" w:lineRule="auto"/>
      </w:pPr>
      <w:r>
        <w:rPr>
          <w:rFonts w:ascii="Calibri" w:hAnsi="Calibri"/>
          <w:b/>
          <w:i w:val="0"/>
          <w:caps/>
          <w:color w:val="9A7327"/>
          <w:sz w:val="18"/>
          <w:spacing w:val="40"/>
        </w:rPr>
        <w:t>Activity · Step 3</w:t>
      </w:r>
    </w:p>
    <w:p>
      <w:pPr>
        <w:spacing w:before="240" w:after="40" w:line="254" w:lineRule="auto"/>
      </w:pPr>
      <w:r>
        <w:rPr>
          <w:rFonts w:ascii="Cambria" w:hAnsi="Cambria"/>
          <w:b/>
          <w:i w:val="0"/>
          <w:color w:val="16362A"/>
          <w:sz w:val="34"/>
        </w:rPr>
        <w:t>Design the human checkpoint</w:t>
      </w:r>
      <w:r>
        <w:rPr>
          <w:rFonts w:ascii="Calibri" w:hAnsi="Calibri"/>
          <w:b/>
          <w:i w:val="0"/>
          <w:color w:val="9A7327"/>
          <w:sz w:val="19"/>
        </w:rPr>
        <w:t xml:space="preserve">      10 min</w:t>
      </w:r>
    </w:p>
    <w:p>
      <w:pPr>
        <w:spacing w:before="0" w:after="120" w:line="254" w:lineRule="auto"/>
      </w:pPr>
      <w:r>
        <w:rPr>
          <w:rFonts w:ascii="Calibri" w:hAnsi="Calibri"/>
          <w:b/>
          <w:i w:val="0"/>
          <w:color w:val="9A7327"/>
          <w:sz w:val="19"/>
        </w:rPr>
        <w:t xml:space="preserve">Note.  </w:t>
      </w:r>
      <w:r>
        <w:rPr>
          <w:rFonts w:ascii="Calibri" w:hAnsi="Calibri"/>
          <w:b w:val="0"/>
          <w:i/>
          <w:color w:val="6E7A6B"/>
          <w:sz w:val="19"/>
        </w:rPr>
        <w:t>The 70% threshold (and the 62% example) is an illustrative default, not a fixed standard — calibrate it per task on your own data. What matters is the principle: route uncertain outputs to a human.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shd w:val="clear" w:color="auto" w:fill="16362A"/>
            <w:tcMar>
              <w:top w:w="150" w:type="dxa"/>
              <w:bottom w:w="15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aps/>
                <w:color w:val="D8B86A"/>
                <w:sz w:val="18"/>
                <w:spacing w:val="30"/>
              </w:rPr>
              <w:t>THE 62% TEST</w:t>
            </w:r>
          </w:p>
          <w:p>
            <w:pPr>
              <w:spacing w:after="60"/>
            </w:pPr>
            <w:r>
              <w:rPr>
                <w:rFonts w:ascii="Cambria" w:hAnsi="Cambria"/>
                <w:b/>
                <w:i w:val="0"/>
                <w:color w:val="F4EFE4"/>
                <w:sz w:val="23"/>
              </w:rPr>
              <w:t>Your AI returns a result at 62% confidence.</w:t>
            </w:r>
          </w:p>
          <w:p>
            <w:r>
              <w:rPr>
                <w:rFonts w:ascii="Calibri" w:hAnsi="Calibri"/>
                <w:b w:val="0"/>
                <w:i w:val="0"/>
                <w:color w:val="B8C7B9"/>
                <w:sz w:val="19"/>
              </w:rPr>
              <w:t>It's below the 70% threshold. Map the exact steps the faculty reviewer takes before it reaches the end user.</w:t>
            </w:r>
          </w:p>
        </w:tc>
        <w:tc>
          <w:tcPr>
            <w:tcW w:type="dxa" w:w="4896"/>
            <w:shd w:val="clear" w:color="auto" w:fill="F3EDDF"/>
            <w:tcMar>
              <w:top w:w="150" w:type="dxa"/>
              <w:bottom w:w="15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i w:val="0"/>
                <w:caps/>
                <w:color w:val="9A7327"/>
                <w:sz w:val="18"/>
                <w:spacing w:val="30"/>
              </w:rPr>
              <w:t>GUARD THE REVIEWER</w:t>
            </w:r>
          </w:p>
          <w:p>
            <w:pPr>
              <w:spacing w:after="60"/>
            </w:pPr>
            <w:r>
              <w:rPr>
                <w:rFonts w:ascii="Cambria" w:hAnsi="Cambria"/>
                <w:b/>
                <w:i w:val="0"/>
                <w:color w:val="16362A"/>
                <w:sz w:val="23"/>
              </w:rPr>
              <w:t>Now keep that reviewer from burning out.</w:t>
            </w:r>
          </w:p>
          <w:p>
            <w:r>
              <w:rPr>
                <w:rFonts w:ascii="Calibri" w:hAnsi="Calibri"/>
                <w:b w:val="0"/>
                <w:i w:val="0"/>
                <w:color w:val="2E382C"/>
                <w:sz w:val="19"/>
              </w:rPr>
              <w:t>Spell out your fatigue strategy — rotation, escalation, and what you deliberately choose not to review.</w:t>
            </w:r>
          </w:p>
        </w:tc>
      </w:tr>
    </w:tbl>
    <w:p>
      <w:pPr>
        <w:spacing w:before="160" w:after="40" w:line="254" w:lineRule="auto"/>
      </w:pPr>
      <w:r>
        <w:rPr>
          <w:rFonts w:ascii="Calibri" w:hAnsi="Calibri"/>
          <w:b/>
          <w:i w:val="0"/>
          <w:color w:val="2E5240"/>
          <w:sz w:val="21"/>
        </w:rPr>
        <w:t>Reviewer's steps for the 62% result: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40" w:line="254" w:lineRule="auto"/>
      </w:pPr>
      <w:r>
        <w:rPr>
          <w:rFonts w:ascii="Calibri" w:hAnsi="Calibri"/>
          <w:b/>
          <w:i w:val="0"/>
          <w:color w:val="2E5240"/>
          <w:sz w:val="21"/>
        </w:rPr>
        <w:t>Fatigue-mitigation strategy: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r>
        <w:br w:type="page"/>
      </w:r>
    </w:p>
    <w:p>
      <w:pPr>
        <w:spacing w:before="200" w:after="40" w:line="254" w:lineRule="auto"/>
      </w:pPr>
      <w:r>
        <w:rPr>
          <w:rFonts w:ascii="Calibri" w:hAnsi="Calibri"/>
          <w:b/>
          <w:i w:val="0"/>
          <w:caps/>
          <w:color w:val="9A7327"/>
          <w:sz w:val="18"/>
          <w:spacing w:val="40"/>
        </w:rPr>
        <w:t>Activity · Evaluation</w:t>
      </w:r>
    </w:p>
    <w:p>
      <w:pPr>
        <w:spacing w:before="40" w:after="40" w:line="254" w:lineRule="auto"/>
      </w:pPr>
      <w:r>
        <w:rPr>
          <w:rFonts w:ascii="Cambria" w:hAnsi="Cambria"/>
          <w:b/>
          <w:i w:val="0"/>
          <w:color w:val="16362A"/>
          <w:sz w:val="34"/>
        </w:rPr>
        <w:t>Evaluate your design</w:t>
      </w:r>
      <w:r>
        <w:rPr>
          <w:rFonts w:ascii="Calibri" w:hAnsi="Calibri"/>
          <w:b/>
          <w:i w:val="0"/>
          <w:color w:val="2E5240"/>
          <w:sz w:val="24"/>
        </w:rPr>
        <w:t xml:space="preserve">        Total ____ / 20</w:t>
      </w:r>
    </w:p>
    <w:p>
      <w:pPr>
        <w:spacing w:before="0" w:after="160" w:line="254" w:lineRule="auto"/>
      </w:pPr>
      <w:r>
        <w:rPr>
          <w:rFonts w:ascii="Calibri" w:hAnsi="Calibri"/>
          <w:b w:val="0"/>
          <w:i/>
          <w:color w:val="6E7A6B"/>
          <w:sz w:val="21"/>
        </w:rPr>
        <w:t>Use these as a checklist while you design — not just at the end. Score each criterion out of 5.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16362A"/>
          <w:left w:val="single" w:sz="4" w:space="0" w:color="16362A"/>
          <w:bottom w:val="single" w:sz="4" w:space="0" w:color="16362A"/>
          <w:right w:val="single" w:sz="4" w:space="0" w:color="16362A"/>
          <w:insideH w:val="single" w:sz="4" w:space="0" w:color="16362A"/>
          <w:insideV w:val="single" w:sz="4" w:space="0" w:color="16362A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shd w:val="clear" w:color="auto" w:fill="16362A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aps/>
                <w:color w:val="F4EFE4"/>
                <w:sz w:val="19"/>
                <w:spacing w:val="10"/>
              </w:rPr>
              <w:t>Criterion</w:t>
            </w:r>
          </w:p>
        </w:tc>
        <w:tc>
          <w:tcPr>
            <w:tcW w:type="dxa" w:w="3600"/>
            <w:shd w:val="clear" w:color="auto" w:fill="16362A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aps/>
                <w:color w:val="F4EFE4"/>
                <w:sz w:val="19"/>
                <w:spacing w:val="10"/>
              </w:rPr>
              <w:t>Proficient · 3–4</w:t>
            </w:r>
          </w:p>
        </w:tc>
        <w:tc>
          <w:tcPr>
            <w:tcW w:type="dxa" w:w="2880"/>
            <w:shd w:val="clear" w:color="auto" w:fill="16362A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aps/>
                <w:color w:val="D8B86A"/>
                <w:sz w:val="19"/>
                <w:spacing w:val="10"/>
              </w:rPr>
              <w:t>Exemplary · 5</w:t>
            </w:r>
          </w:p>
        </w:tc>
        <w:tc>
          <w:tcPr>
            <w:tcW w:type="dxa" w:w="1152"/>
            <w:shd w:val="clear" w:color="auto" w:fill="16362A"/>
            <w:tcMar>
              <w:top w:w="90" w:type="dxa"/>
              <w:bottom w:w="9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aps/>
                <w:color w:val="F4EFE4"/>
                <w:sz w:val="19"/>
                <w:spacing w:val="10"/>
              </w:rPr>
              <w:t>Score</w:t>
            </w:r>
          </w:p>
        </w:tc>
      </w:tr>
      <w:tr>
        <w:tc>
          <w:tcPr>
            <w:tcW w:type="dxa" w:w="2304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6362A"/>
                <w:sz w:val="21"/>
              </w:rPr>
              <w:t>Security &amp; Privacy</w:t>
            </w:r>
          </w:p>
        </w:tc>
        <w:tc>
          <w:tcPr>
            <w:tcW w:type="dxa" w:w="3600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463A"/>
                <w:sz w:val="19"/>
              </w:rPr>
              <w:t>Basic PII filters and user roles identified.</w:t>
            </w:r>
          </w:p>
        </w:tc>
        <w:tc>
          <w:tcPr>
            <w:tcW w:type="dxa" w:w="2880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E382C"/>
                <w:sz w:val="19"/>
              </w:rPr>
              <w:t>Full Layer-3 sanitization and local-first data sovereignty.</w:t>
            </w:r>
          </w:p>
        </w:tc>
        <w:tc>
          <w:tcPr>
            <w:tcW w:type="dxa" w:w="1152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E7A6B"/>
                <w:sz w:val="20"/>
              </w:rPr>
              <w:t>___ / 5</w:t>
            </w:r>
          </w:p>
        </w:tc>
      </w:tr>
      <w:tr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6362A"/>
                <w:sz w:val="21"/>
              </w:rPr>
              <w:t>Grounding &amp; Accuracy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463A"/>
                <w:sz w:val="19"/>
              </w:rPr>
              <w:t>Uses RAG, but sources are loosely defined.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E382C"/>
                <w:sz w:val="19"/>
              </w:rPr>
              <w:t>Layer-4 RAG with citations and Layer-6 consistency checks.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E7A6B"/>
                <w:sz w:val="20"/>
              </w:rPr>
              <w:t>___ / 5</w:t>
            </w:r>
          </w:p>
        </w:tc>
      </w:tr>
      <w:tr>
        <w:tc>
          <w:tcPr>
            <w:tcW w:type="dxa" w:w="2304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6362A"/>
                <w:sz w:val="21"/>
              </w:rPr>
              <w:t>HITL Effectiveness</w:t>
            </w:r>
          </w:p>
        </w:tc>
        <w:tc>
          <w:tcPr>
            <w:tcW w:type="dxa" w:w="3600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463A"/>
                <w:sz w:val="19"/>
              </w:rPr>
              <w:t>A review process exists, but triggers are unclear.</w:t>
            </w:r>
          </w:p>
        </w:tc>
        <w:tc>
          <w:tcPr>
            <w:tcW w:type="dxa" w:w="2880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E382C"/>
                <w:sz w:val="19"/>
              </w:rPr>
              <w:t>Clear 70% threshold with a fatigue-mitigation strategy.</w:t>
            </w:r>
          </w:p>
        </w:tc>
        <w:tc>
          <w:tcPr>
            <w:tcW w:type="dxa" w:w="1152"/>
            <w:shd w:val="clear" w:color="auto" w:fill="F3EDD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E7A6B"/>
                <w:sz w:val="20"/>
              </w:rPr>
              <w:t>___ / 5</w:t>
            </w:r>
          </w:p>
        </w:tc>
      </w:tr>
      <w:tr>
        <w:tc>
          <w:tcPr>
            <w:tcW w:type="dxa" w:w="2304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6362A"/>
                <w:sz w:val="21"/>
              </w:rPr>
              <w:t>Institutional Value</w:t>
            </w:r>
          </w:p>
        </w:tc>
        <w:tc>
          <w:tcPr>
            <w:tcW w:type="dxa" w:w="3600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3C463A"/>
                <w:sz w:val="19"/>
              </w:rPr>
              <w:t>Addresses a need, but ignores infrastructure cost.</w:t>
            </w:r>
          </w:p>
        </w:tc>
        <w:tc>
          <w:tcPr>
            <w:tcW w:type="dxa" w:w="2880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E382C"/>
                <w:sz w:val="19"/>
              </w:rPr>
              <w:t>Balances operational complexity against clear benefits.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start w:w="130" w:type="dxa"/>
              <w:end w:w="13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6E7A6B"/>
                <w:sz w:val="20"/>
              </w:rPr>
              <w:t>___ / 5</w:t>
            </w:r>
          </w:p>
        </w:tc>
      </w:tr>
    </w:tbl>
    <w:p>
      <w:pPr>
        <w:spacing w:before="80" w:after="160"/>
        <w:pBdr>
          <w:bottom w:val="single" w:sz="8" w:space="1" w:color="D8CFB8"/>
        </w:pBdr>
      </w:pPr>
    </w:p>
    <w:p>
      <w:pPr>
        <w:spacing w:before="200" w:after="40" w:line="254" w:lineRule="auto"/>
      </w:pPr>
      <w:r>
        <w:rPr>
          <w:rFonts w:ascii="Calibri" w:hAnsi="Calibri"/>
          <w:b/>
          <w:i w:val="0"/>
          <w:caps/>
          <w:color w:val="9A7327"/>
          <w:sz w:val="18"/>
          <w:spacing w:val="40"/>
        </w:rPr>
        <w:t>Present · Discussion</w:t>
      </w:r>
    </w:p>
    <w:p>
      <w:pPr>
        <w:spacing w:before="240" w:after="40" w:line="254" w:lineRule="auto"/>
      </w:pPr>
      <w:r>
        <w:rPr>
          <w:rFonts w:ascii="Cambria" w:hAnsi="Cambria"/>
          <w:b/>
          <w:i w:val="0"/>
          <w:color w:val="16362A"/>
          <w:sz w:val="34"/>
        </w:rPr>
        <w:t>Defend your design (2 minutes)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B6892E"/>
          <w:sz w:val="21"/>
        </w:rPr>
        <w:t xml:space="preserve">•  </w:t>
      </w:r>
      <w:r>
        <w:rPr>
          <w:rFonts w:ascii="Calibri" w:hAnsi="Calibri"/>
          <w:b w:val="0"/>
          <w:i w:val="0"/>
          <w:color w:val="2E382C"/>
          <w:sz w:val="21"/>
        </w:rPr>
        <w:t>Which scenario did you choose, and what was its single biggest risk?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B6892E"/>
          <w:sz w:val="21"/>
        </w:rPr>
        <w:t xml:space="preserve">•  </w:t>
      </w:r>
      <w:r>
        <w:rPr>
          <w:rFonts w:ascii="Calibri" w:hAnsi="Calibri"/>
          <w:b w:val="0"/>
          <w:i w:val="0"/>
          <w:color w:val="2E382C"/>
          <w:sz w:val="21"/>
        </w:rPr>
        <w:t>Which one layer did the most work to make it safe?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B6892E"/>
          <w:sz w:val="21"/>
        </w:rPr>
        <w:t xml:space="preserve">•  </w:t>
      </w:r>
      <w:r>
        <w:rPr>
          <w:rFonts w:ascii="Calibri" w:hAnsi="Calibri"/>
          <w:b w:val="0"/>
          <w:i w:val="0"/>
          <w:color w:val="2E382C"/>
          <w:sz w:val="21"/>
        </w:rPr>
        <w:t>Walk us through what happens to a 62% result.</w:t>
      </w:r>
    </w:p>
    <w:p>
      <w:pPr>
        <w:spacing w:after="60"/>
        <w:ind w:left="360"/>
      </w:pPr>
      <w:r>
        <w:rPr>
          <w:rFonts w:ascii="Calibri" w:hAnsi="Calibri"/>
          <w:b/>
          <w:i w:val="0"/>
          <w:color w:val="B6892E"/>
          <w:sz w:val="21"/>
        </w:rPr>
        <w:t xml:space="preserve">•  </w:t>
      </w:r>
      <w:r>
        <w:rPr>
          <w:rFonts w:ascii="Calibri" w:hAnsi="Calibri"/>
          <w:b w:val="0"/>
          <w:i w:val="0"/>
          <w:color w:val="2E382C"/>
          <w:sz w:val="21"/>
        </w:rPr>
        <w:t>What did you deliberately choose NOT to review — and why is that safe?</w:t>
      </w:r>
    </w:p>
    <w:p>
      <w:pPr>
        <w:spacing w:before="160" w:after="40" w:line="254" w:lineRule="auto"/>
      </w:pPr>
      <w:r>
        <w:rPr>
          <w:rFonts w:ascii="Calibri" w:hAnsi="Calibri"/>
          <w:b/>
          <w:i w:val="0"/>
          <w:color w:val="2E5240"/>
          <w:sz w:val="21"/>
        </w:rPr>
        <w:t>Notes from discussion:</w:t>
      </w:r>
    </w:p>
    <w:p>
      <w:pPr>
        <w:spacing w:before="40" w:after="16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40" w:after="120"/>
        <w:ind w:left="0"/>
        <w:pBdr>
          <w:bottom w:val="single" w:sz="6" w:space="1" w:color="B8C0B4"/>
        </w:pBdr>
      </w:pPr>
      <w:r>
        <w:rPr>
          <w:rFonts w:ascii="Calibri" w:hAnsi="Calibri"/>
          <w:b w:val="0"/>
          <w:i w:val="0"/>
          <w:color w:val="2E382C"/>
          <w:sz w:val="20"/>
        </w:rPr>
        <w:t xml:space="preserve"> </w:t>
      </w:r>
    </w:p>
    <w:p>
      <w:pPr>
        <w:spacing w:before="120" w:after="0" w:line="254" w:lineRule="auto"/>
      </w:pPr>
      <w:r>
        <w:rPr>
          <w:rFonts w:ascii="Calibri" w:hAnsi="Calibri"/>
          <w:b/>
          <w:i w:val="0"/>
          <w:color w:val="9A7327"/>
          <w:sz w:val="19"/>
        </w:rPr>
        <w:t xml:space="preserve">Optional hands-on lab.  </w:t>
      </w:r>
      <w:r>
        <w:rPr>
          <w:rFonts w:ascii="Calibri" w:hAnsi="Calibri"/>
          <w:b w:val="0"/>
          <w:i w:val="0"/>
          <w:color w:val="2E382C"/>
          <w:sz w:val="19"/>
        </w:rPr>
        <w:t>Want to run this design instead of just sketching it? Open the “Notebooks” folder (00–04) and run the secure pipeline yourself — PII redaction, RAG grounding, and the 70% threshold, all offline with no API key needed.</w:t>
      </w:r>
    </w:p>
    <w:p>
      <w:pPr>
        <w:spacing w:before="80" w:after="160"/>
        <w:pBdr>
          <w:bottom w:val="single" w:sz="8" w:space="1" w:color="D8CFB8"/>
        </w:pBdr>
      </w:pPr>
    </w:p>
    <w:p>
      <w:pPr>
        <w:spacing w:before="80" w:after="40" w:line="254" w:lineRule="auto"/>
      </w:pPr>
      <w:r>
        <w:rPr>
          <w:rFonts w:ascii="Cambria" w:hAnsi="Cambria"/>
          <w:b/>
          <w:i/>
          <w:color w:val="16362A"/>
          <w:sz w:val="22"/>
        </w:rPr>
        <w:t>Bring AI inside the walls — controlled, grounded, and human-supervised.</w:t>
      </w:r>
    </w:p>
    <w:p>
      <w:pPr>
        <w:spacing w:before="0" w:after="0" w:line="254" w:lineRule="auto"/>
      </w:pPr>
      <w:r>
        <w:rPr>
          <w:rFonts w:ascii="Calibri" w:hAnsi="Calibri"/>
          <w:b w:val="0"/>
          <w:i w:val="0"/>
          <w:color w:val="6E7A6B"/>
          <w:sz w:val="17"/>
        </w:rPr>
        <w:t>A conceptual framework, not a finished product — the real test is the pilot.    ·    Nguyen Thanh Tuan · nttuan@vku.udn.vn · Vietnam–Korea University of ICT, University of Danang</w:t>
      </w:r>
    </w:p>
    <w:sectPr w:rsidR="00FC693F" w:rsidRPr="0006063C" w:rsidSect="00034616">
      <w:footerReference w:type="default" r:id="rId9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E7A6B"/>
        <w:sz w:val="16"/>
      </w:rPr>
      <w:t>Secure AI Workshop · Worksheet</w:t>
    </w:r>
    <w:r>
      <w:rPr>
        <w:rFonts w:ascii="Calibri" w:hAnsi="Calibri"/>
        <w:b w:val="0"/>
        <w:i w:val="0"/>
        <w:color w:val="6E7A6B"/>
        <w:sz w:val="16"/>
      </w:rPr>
      <w:t xml:space="preserve">      Page </w:t>
    </w:r>
    <w:r>
      <w:rPr>
        <w:rFonts w:ascii="Calibri" w:hAnsi="Calibri"/>
        <w:color w:val="6E7A6B"/>
        <w:sz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b w:val="0"/>
        <w:i w:val="0"/>
        <w:color w:val="6E7A6B"/>
        <w:sz w:val="16"/>
      </w:rPr>
      <w:t xml:space="preserve"> of </w:t>
    </w:r>
    <w:r>
      <w:rPr>
        <w:rFonts w:ascii="Calibri" w:hAnsi="Calibri"/>
        <w:color w:val="6E7A6B"/>
        <w:sz w:val="16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E38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