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BirdCLEF+ 2026 Project Report</w:t>
      </w:r>
    </w:p>
    <w:p>
      <w:pPr>
        <w:pStyle w:val="Subtitle"/>
        <w:jc w:val="center"/>
      </w:pPr>
      <w:r>
        <w:t>Exploratory analysis, baseline modeling, and submission strategy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E8F3EF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6480"/>
            <w:shd w:fill="E8F3EF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BirdCLEF+ 2026 bioacoustic classification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Repository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birdclef-2026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Primary baseline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EfficientNet-B0 mel-spectrogram classifier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Transfer-learning experiment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Google Perch v2 frozen embedding probe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Report source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reports/PROJECT_REPORT.md and Kaggle EDA artifacts</w:t>
            </w:r>
          </w:p>
        </w:tc>
      </w:tr>
    </w:tbl>
    <w:p>
      <w:pPr>
        <w:spacing w:after="0" w:line="24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3EF"/>
            <w:tcBorders>
              <w:top w:val="single" w:sz="8" w:space="0" w:color="2F7D68"/>
              <w:left w:val="single" w:sz="8" w:space="0" w:color="2F7D68"/>
              <w:bottom w:val="single" w:sz="8" w:space="0" w:color="2F7D68"/>
              <w:right w:val="single" w:sz="8" w:space="0" w:color="2F7D6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4B44"/>
                <w:sz w:val="22"/>
              </w:rPr>
              <w:t>Executive summary: the project establishes a reproducible Kaggle workflow, identifies the major data risks, and compares a reliable EfficientNet-B0 submission path with a stronger but operationally constrained Perch v2 probe.</w:t>
            </w:r>
          </w:p>
        </w:tc>
      </w:tr>
    </w:tbl>
    <w:p/>
    <w:p>
      <w:pPr>
        <w:pStyle w:val="Heading1"/>
      </w:pPr>
      <w:r>
        <w:t>Abstract</w:t>
      </w:r>
    </w:p>
    <w:p>
      <w:r>
        <w:t>This project develops a reproducible Kaggle workflow for the BirdCLEF+ 2026 bioacoustic classification competition. The repository organizes exploratory data analysis, baseline modeling, Perch v2 transfer-learning experiments, and submission notebooks. The analysis shows 35,549 training recordings across 206 primary classes, with substantial class imbalance, uneven metadata quality, source concentration, and a distinct soundscape domain. EfficientNet-B0 reached 0.7318 validation accuracy and remains the dependable submission path. The Perch v2 probe reached 0.8403 validation accuracy, indicating strong representational value, but direct hidden-test inference is constrained by Kaggle runtime and TensorFlow/CUDA compatibility.</w:t>
      </w:r>
    </w:p>
    <w:p>
      <w:pPr>
        <w:pStyle w:val="Heading1"/>
      </w:pPr>
      <w:r>
        <w:t>1. Project Objectives</w:t>
      </w:r>
    </w:p>
    <w:p>
      <w:pPr>
        <w:pStyle w:val="ListNumber"/>
        <w:spacing w:after="120"/>
      </w:pPr>
      <w:r>
        <w:t>Establish a clean and repeatable repository structure for BirdCLEF+ 2026 experimentation.</w:t>
      </w:r>
    </w:p>
    <w:p>
      <w:pPr>
        <w:pStyle w:val="ListNumber"/>
        <w:spacing w:after="120"/>
      </w:pPr>
      <w:r>
        <w:t>Produce exploratory analysis that identifies data quality issues, class imbalance, domain shift, and modeling implications.</w:t>
      </w:r>
    </w:p>
    <w:p>
      <w:pPr>
        <w:pStyle w:val="ListNumber"/>
        <w:spacing w:after="120"/>
      </w:pPr>
      <w:r>
        <w:t>Implement a fast baseline model that can train and submit reliably on Kaggle.</w:t>
      </w:r>
    </w:p>
    <w:p>
      <w:pPr>
        <w:pStyle w:val="ListNumber"/>
        <w:spacing w:after="120"/>
      </w:pPr>
      <w:r>
        <w:t>Evaluate Perch v2 embeddings as a stronger transfer-learning representation while documenting operational limitations.</w:t>
      </w:r>
    </w:p>
    <w:p>
      <w:pPr>
        <w:pStyle w:val="Heading1"/>
      </w:pPr>
      <w:r>
        <w:t>2. Repository Design</w:t>
      </w:r>
    </w:p>
    <w:p>
      <w:r>
        <w:t>The repository separates exploratory notebooks, reusable source code, model artifacts, and written reports. This design keeps Kaggle notebooks usable while avoiding notebook-only experimentation.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888"/>
            <w:shd w:fill="E8F3EF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5472"/>
            <w:shd w:fill="E8F3EF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20"/>
              </w:rPr>
              <w:t>Function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notebooks/01_data_eda.ipynb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Exploratory data analysis and artifact packaging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notebooks/02_effnet_b0_baseline.ipynb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EfficientNet-B0 training workflow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notebooks/03_perch_v2_probe.ipynb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Perch v2 embedding extraction and probe training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notebooks/04_effnet_b0_submission.ipynb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EfficientNet-B0 submission generation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src/birdclef2026/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Reusable package for audio, data, model, and configuration logic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reports/eda/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Lightweight EDA outputs and written insight summary</w:t>
            </w:r>
          </w:p>
        </w:tc>
      </w:tr>
    </w:tbl>
    <w:p>
      <w:pPr>
        <w:spacing w:after="0" w:line="24" w:lineRule="auto"/>
      </w:pPr>
    </w:p>
    <w:p>
      <w:pPr>
        <w:pStyle w:val="Heading1"/>
      </w:pPr>
      <w:r>
        <w:t>3. Dataset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744"/>
            <w:shd w:fill="E8F3EF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5616"/>
            <w:shd w:fill="E8F3EF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Training recordings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35,549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Primary labels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206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Audio paths found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35,549 / 35,549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Taxonomy labels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234 total; all 206 training labels covered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Soundscape labels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1,478 rows, deduplicated to 739 unique segments</w:t>
            </w:r>
          </w:p>
        </w:tc>
      </w:tr>
      <w:tr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Public sample submission</w:t>
            </w:r>
          </w:p>
        </w:tc>
        <w:tc>
          <w:tcPr>
            <w:tcW w:type="dxa" w:w="4680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 rows</w:t>
            </w:r>
          </w:p>
        </w:tc>
      </w:tr>
    </w:tbl>
    <w:p>
      <w:pPr>
        <w:spacing w:after="0" w:line="24" w:lineRule="auto"/>
      </w:pPr>
    </w:p>
    <w:p>
      <w:r>
        <w:t>The soundscape duplication result is operationally important. Clean clip metadata appears structurally safe, but soundscape prevalence and overlap analysis should be performed on deduplicated rows.</w:t>
      </w:r>
    </w:p>
    <w:p>
      <w:pPr>
        <w:pStyle w:val="Heading1"/>
      </w:pPr>
      <w:r>
        <w:t>4. Exploratory Findings</w:t>
      </w:r>
    </w:p>
    <w:p>
      <w:pPr>
        <w:pStyle w:val="Heading2"/>
      </w:pPr>
      <w:r>
        <w:t>4.1 Class Imbalance</w:t>
      </w:r>
    </w:p>
    <w:p>
      <w:pPr>
        <w:pStyle w:val="ListBullet"/>
        <w:spacing w:after="40"/>
      </w:pPr>
      <w:r>
        <w:t>Median recordings per class: 125.</w:t>
      </w:r>
    </w:p>
    <w:p>
      <w:pPr>
        <w:pStyle w:val="ListBullet"/>
        <w:spacing w:after="40"/>
      </w:pPr>
      <w:r>
        <w:t>Minimum and maximum recordings per class: 1 and 499.</w:t>
      </w:r>
    </w:p>
    <w:p>
      <w:pPr>
        <w:pStyle w:val="ListBullet"/>
        <w:spacing w:after="40"/>
      </w:pPr>
      <w:r>
        <w:t>Top 10 labels account for 13.9% of recordings; top 30 account for 40.3%.</w:t>
      </w:r>
    </w:p>
    <w:p>
      <w:pPr>
        <w:pStyle w:val="ListBullet"/>
        <w:spacing w:after="40"/>
      </w:pPr>
      <w:r>
        <w:t>Four classes are singletons.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4743"/>
            <wp:docPr id="1" name="Picture 1" title="Figure 1" descr="Figure 1. Class-count distribution and cumulative share by ranked cla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imbalance_diagno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8"/>
        </w:rPr>
        <w:t>Figure 1. Class-count distribution and cumulative share by ranked class.</w:t>
      </w:r>
    </w:p>
    <w:p>
      <w:pPr>
        <w:pStyle w:val="Heading2"/>
      </w:pPr>
      <w:r>
        <w:t>4.2 Secondary Labels</w:t>
      </w:r>
    </w:p>
    <w:p>
      <w:r>
        <w:t>Secondary labels provide a noisy but useful multi-label signal. The artifacts contain 7,431 secondary-label mentions across 161 distinct labels. They are best reserved for soft-label training, mixup targets, co-occurrence priors, or confusion analysis after the primary-label baseline is stable.</w:t>
      </w:r>
    </w:p>
    <w:p>
      <w:pPr>
        <w:pStyle w:val="Heading2"/>
      </w:pPr>
      <w:r>
        <w:t>4.3 Metadata Quality And Source Bias</w:t>
      </w:r>
    </w:p>
    <w:p>
      <w:pPr>
        <w:pStyle w:val="ListBullet"/>
        <w:spacing w:after="40"/>
      </w:pPr>
      <w:r>
        <w:t>Rating 0.0 appears in 12,849 recordings.</w:t>
      </w:r>
    </w:p>
    <w:p>
      <w:pPr>
        <w:pStyle w:val="ListBullet"/>
        <w:spacing w:after="40"/>
      </w:pPr>
      <w:r>
        <w:t>Ratings 4.0 and 5.0 together account for 14,863 recordings.</w:t>
      </w:r>
    </w:p>
    <w:p>
      <w:pPr>
        <w:pStyle w:val="ListBullet"/>
        <w:spacing w:after="40"/>
      </w:pPr>
      <w:r>
        <w:t>Collection split: XC has 23,043 recordings and iNat has 12,506.</w:t>
      </w:r>
    </w:p>
    <w:p>
      <w:pPr>
        <w:pStyle w:val="ListBullet"/>
        <w:spacing w:after="40"/>
      </w:pPr>
      <w:r>
        <w:t>The type field is empty for 12,975 rows.</w:t>
      </w:r>
    </w:p>
    <w:p>
      <w:pPr>
        <w:pStyle w:val="ListBullet"/>
        <w:spacing w:after="40"/>
      </w:pPr>
      <w:r>
        <w:t>The top author contributes 2,874 recordings.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4743"/>
            <wp:docPr id="2" name="Picture 2" title="Figure 2" descr="Figure 2. Recording rating distribution and class-level rating vari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data_quality_ra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8"/>
        </w:rPr>
        <w:t>Figure 2. Recording rating distribution and class-level rating variation.</w:t>
      </w:r>
    </w:p>
    <w:p>
      <w:pPr>
        <w:pStyle w:val="Heading2"/>
      </w:pPr>
      <w:r>
        <w:t>4.4 Geography And Soundscape Domain</w:t>
      </w:r>
    </w:p>
    <w:p>
      <w:r>
        <w:t>Only 847 recordings, or 2.38%, fall inside the rough Pantanal box used in the EDA, although these rows cover 119 species. The deduplicated soundscape labels are strongly multi-label: the median segment has 4 labels, the 90th percentile has 7, and the maximum has 10. Labeled segments cluster most strongly around evening and night hours, especially 20:00-23:00.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4743"/>
            <wp:docPr id="3" name="Picture 3" title="Figure 3" descr="Figure 3. Soundscape label density and labeled segment distribution by hou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ndscape_overlap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8"/>
        </w:rPr>
        <w:t>Figure 3. Soundscape label density and labeled segment distribution by hour.</w:t>
      </w:r>
    </w:p>
    <w:p>
      <w:pPr>
        <w:pStyle w:val="Heading1"/>
      </w:pPr>
      <w:r>
        <w:t>5. Modeling Methodology</w:t>
      </w:r>
    </w:p>
    <w:p>
      <w:pPr>
        <w:pStyle w:val="Heading2"/>
      </w:pPr>
      <w:r>
        <w:t>5.1 EfficientNet-B0 Baseline</w:t>
      </w:r>
    </w:p>
    <w:p>
      <w:r>
        <w:t>The baseline converts each recording into a 5-second mono mel-spectrogram and trains an EfficientNet-B0 classifier over 206 primary labels. The approach prioritizes fast Kaggle execution, pure PyTorch deployment, straightforward artifact packaging, reproducible fold assignment, and compatibility with competition submission constraints.</w:t>
      </w:r>
    </w:p>
    <w:p>
      <w:pPr>
        <w:pStyle w:val="Heading2"/>
      </w:pPr>
      <w:r>
        <w:t>5.2 Perch v2 Probe</w:t>
      </w:r>
    </w:p>
    <w:p>
      <w:r>
        <w:t>The Perch v2 workflow uses frozen Google Perch embeddings of dimension 1,536 and trains a shallow PyTorch probe. This tests whether a bioacoustic foundation model provides stronger features than the small supervised baseline. The inspected embedding matrix has shape 35,549 x 1,536 and is not committed because it is approximately 202 MB.</w:t>
      </w:r>
    </w:p>
    <w:p>
      <w:r>
        <w:br w:type="page"/>
      </w:r>
    </w:p>
    <w:p>
      <w:pPr>
        <w:pStyle w:val="Heading1"/>
      </w:pPr>
      <w:r>
        <w:t>6. Results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E8F3EF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20"/>
              </w:rPr>
              <w:t>Model</w:t>
            </w:r>
          </w:p>
        </w:tc>
        <w:tc>
          <w:tcPr>
            <w:tcW w:type="dxa" w:w="2520"/>
            <w:shd w:fill="E8F3EF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20"/>
              </w:rPr>
              <w:t>Representation</w:t>
            </w:r>
          </w:p>
        </w:tc>
        <w:tc>
          <w:tcPr>
            <w:tcW w:type="dxa" w:w="1008"/>
            <w:shd w:fill="E8F3EF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20"/>
              </w:rPr>
              <w:t>Epochs</w:t>
            </w:r>
          </w:p>
        </w:tc>
        <w:tc>
          <w:tcPr>
            <w:tcW w:type="dxa" w:w="1728"/>
            <w:shd w:fill="E8F3EF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20"/>
              </w:rPr>
              <w:t>Best validation accuracy</w:t>
            </w:r>
          </w:p>
        </w:tc>
        <w:tc>
          <w:tcPr>
            <w:tcW w:type="dxa" w:w="2304"/>
            <w:shd w:fill="E8F3EF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20"/>
              </w:rPr>
              <w:t>Operational note</w:t>
            </w:r>
          </w:p>
        </w:tc>
      </w:tr>
      <w:tr>
        <w:tc>
          <w:tcPr>
            <w:tcW w:type="dxa" w:w="1872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EfficientNet-B0</w:t>
            </w:r>
          </w:p>
        </w:tc>
        <w:tc>
          <w:tcPr>
            <w:tcW w:type="dxa" w:w="1872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5-second mel-spectrogram</w:t>
            </w:r>
          </w:p>
        </w:tc>
        <w:tc>
          <w:tcPr>
            <w:tcW w:type="dxa" w:w="1872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72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0.7318</w:t>
            </w:r>
          </w:p>
        </w:tc>
        <w:tc>
          <w:tcPr>
            <w:tcW w:type="dxa" w:w="1872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Reliable Kaggle path</w:t>
            </w:r>
          </w:p>
        </w:tc>
      </w:tr>
      <w:tr>
        <w:tc>
          <w:tcPr>
            <w:tcW w:type="dxa" w:w="1872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Perch v2 probe</w:t>
            </w:r>
          </w:p>
        </w:tc>
        <w:tc>
          <w:tcPr>
            <w:tcW w:type="dxa" w:w="1872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Frozen 1,536-d embeddings</w:t>
            </w:r>
          </w:p>
        </w:tc>
        <w:tc>
          <w:tcPr>
            <w:tcW w:type="dxa" w:w="1872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872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0.8403</w:t>
            </w:r>
          </w:p>
        </w:tc>
        <w:tc>
          <w:tcPr>
            <w:tcW w:type="dxa" w:w="1872"/>
            <w:tcBorders>
              <w:top w:val="single" w:sz="6" w:space="0" w:color="C7D6D0"/>
              <w:left w:val="single" w:sz="6" w:space="0" w:color="C7D6D0"/>
              <w:bottom w:val="single" w:sz="6" w:space="0" w:color="C7D6D0"/>
              <w:right w:val="single" w:sz="6" w:space="0" w:color="C7D6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Higher validation; hidden inference constrained</w:t>
            </w:r>
          </w:p>
        </w:tc>
      </w:tr>
    </w:tbl>
    <w:p>
      <w:pPr>
        <w:spacing w:after="0" w:line="24" w:lineRule="auto"/>
      </w:pPr>
    </w:p>
    <w:p>
      <w:r>
        <w:t>The Perch probe outperforms the EfficientNet-B0 baseline by approximately 10.9 percentage points in validation accuracy. However, EfficientNet-B0 remains the primary competition-safe artifact because it avoids TensorFlow installation issues and runs within practical hidden-test limits.</w:t>
      </w:r>
    </w:p>
    <w:p>
      <w:pPr>
        <w:pStyle w:val="Heading1"/>
      </w:pPr>
      <w:r>
        <w:t>7. Submission Considerations</w:t>
      </w:r>
    </w:p>
    <w:p>
      <w:r>
        <w:t>The public sample submission has only 3 rows, so successful public dry-run execution does not guarantee hidden-test feasibility. This is especially important for heavy feature extraction workflows. EfficientNet-B0 is currently preferred for submission; Perch v2 should be used cautiously unless cached embeddings cover the evaluated rows or hidden-test runtime is proven acceptable.</w:t>
      </w:r>
    </w:p>
    <w:p>
      <w:pPr>
        <w:pStyle w:val="Heading1"/>
      </w:pPr>
      <w:r>
        <w:t>8. Limitations</w:t>
      </w:r>
    </w:p>
    <w:p>
      <w:pPr>
        <w:pStyle w:val="ListBullet"/>
        <w:spacing w:after="40"/>
      </w:pPr>
      <w:r>
        <w:t>Validation accuracy is not a complete proxy for competition score under soundscape domain shift.</w:t>
      </w:r>
    </w:p>
    <w:p>
      <w:pPr>
        <w:pStyle w:val="ListBullet"/>
        <w:spacing w:after="40"/>
      </w:pPr>
      <w:r>
        <w:t>The EfficientNet baseline uses primary labels only and does not yet exploit secondary labels.</w:t>
      </w:r>
    </w:p>
    <w:p>
      <w:pPr>
        <w:pStyle w:val="ListBullet"/>
        <w:spacing w:after="40"/>
      </w:pPr>
      <w:r>
        <w:t>Soundscape annotations are diagnostic rather than fully integrated into training.</w:t>
      </w:r>
    </w:p>
    <w:p>
      <w:pPr>
        <w:pStyle w:val="ListBullet"/>
        <w:spacing w:after="40"/>
      </w:pPr>
      <w:r>
        <w:t>Perch v2 direct inference is operationally constrained on Kaggle.</w:t>
      </w:r>
    </w:p>
    <w:p>
      <w:pPr>
        <w:pStyle w:val="ListBullet"/>
        <w:spacing w:after="40"/>
      </w:pPr>
      <w:r>
        <w:t>Metadata confounders are analyzed but not yet fully incorporated into validation or training.</w:t>
      </w:r>
    </w:p>
    <w:p>
      <w:pPr>
        <w:pStyle w:val="Heading1"/>
      </w:pPr>
      <w:r>
        <w:t>9. Recommended Next Steps</w:t>
      </w:r>
    </w:p>
    <w:p>
      <w:pPr>
        <w:pStyle w:val="ListBullet"/>
        <w:spacing w:after="40"/>
      </w:pPr>
      <w:r>
        <w:t>Add per-class validation metrics and confusion analysis.</w:t>
      </w:r>
    </w:p>
    <w:p>
      <w:pPr>
        <w:pStyle w:val="ListBullet"/>
        <w:spacing w:after="40"/>
      </w:pPr>
      <w:r>
        <w:t>Introduce class-aware sampling or rare-class augmentation.</w:t>
      </w:r>
    </w:p>
    <w:p>
      <w:pPr>
        <w:pStyle w:val="ListBullet"/>
        <w:spacing w:after="40"/>
      </w:pPr>
      <w:r>
        <w:t>Add multi-crop inference for EfficientNet-B0.</w:t>
      </w:r>
    </w:p>
    <w:p>
      <w:pPr>
        <w:pStyle w:val="ListBullet"/>
        <w:spacing w:after="40"/>
      </w:pPr>
      <w:r>
        <w:t>Explore secondary-label soft targets after the baseline remains stable.</w:t>
      </w:r>
    </w:p>
    <w:p>
      <w:pPr>
        <w:pStyle w:val="ListBullet"/>
        <w:spacing w:after="40"/>
      </w:pPr>
      <w:r>
        <w:t>Use soundscape hour and label-overlap patterns for threshold calibration.</w:t>
      </w:r>
    </w:p>
    <w:p>
      <w:pPr>
        <w:pStyle w:val="ListBullet"/>
        <w:spacing w:after="40"/>
      </w:pPr>
      <w:r>
        <w:t>Test knowledge distillation from Perch embeddings into a faster PyTorch model.</w:t>
      </w:r>
    </w:p>
    <w:p>
      <w:pPr>
        <w:pStyle w:val="ListBullet"/>
        <w:spacing w:after="40"/>
      </w:pPr>
      <w:r>
        <w:t>Create validation splits that account for source, geography, and recording groups.</w:t>
      </w:r>
    </w:p>
    <w:p>
      <w:pPr>
        <w:pStyle w:val="Heading1"/>
      </w:pPr>
      <w:r>
        <w:t>10. Conclusion</w:t>
      </w:r>
    </w:p>
    <w:p>
      <w:r>
        <w:t>This project establishes a professional, reproducible BirdCLEF+ 2026 workflow with clear separation between data analysis, baseline modeling, transfer-learning experiments, and submission packaging. The EDA identifies the main risks for model generalization: class imbalance, duplicated soundscape labels, metadata quality variation, source concentration, and soundscape domain shift. EfficientNet-B0 provides a dependable submission-ready model, while the Perch v2 probe demonstrates the value of bioacoustic foundation embeddings for future improvement.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5A5A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A5A5A"/>
        <w:sz w:val="18"/>
      </w:rPr>
      <w:t>BirdCLEF+ 2026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C5A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C5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C5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C5A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