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Calibrated Forecast Uncertainty under Regime Change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Proposed doctoral research · Trần Anh Tuân · 7 October 2026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[PhD_Research_Proposal_Tran_Anh_Tuan.docx](PhD_Research_Proposal_Tran_Anh_Tuan.docx).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Numbers below are the committed run; the tables live in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[preliminary results](../preliminary_results.md).</w:t>
      </w:r>
    </w:p>
    <w:p>
      <w:pPr>
        <w:spacing w:before="240" w:after="80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Abstract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A useful forecast states a number and how much trust that number deserves when conditions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change. I propose to study prediction intervals for financial returns under volatility regime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change and, only after that result is stable, whether an evidence-checked report improves a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decision relative to the same numbers in a fixed template. A completed preliminary study on the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VN30 index and BIDV (BID), under a tested rolling-origin protocol, found that ridge regression,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extra-trees and gradient boosting do not beat persistence at a detectable level. Adaptive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conformal intervals kept marginal coverage within about one percentage point of the 80% and 95%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targets. Static calibration over-covered, and volatility-normalised intervals failed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conditionally: they under-covered calm periods and over-covered turbulent ones. The doctoral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project treats that negative point-forecast result as a baseline. The intended contribution is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a calibration method whose coverage holds inside regimes, not only on average, and a later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reporting layer that cannot state a number the evidence packet does not contain.</w:t>
      </w:r>
    </w:p>
    <w:p>
      <w:pPr>
        <w:spacing w:before="240" w:after="80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1. Problem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Inventory, staffing and risk limits depend on forecasts. For daily financial returns the hard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part is often not the point forecast. Persistence, a predicted log return of zero, is already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difficult to beat, and a small error in the price level can look like skill when it only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reflects that level. What remains useful is uncertainty that stays calibrated when volatility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shifts, and a report that does not add claims the numbers do not support.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The first empirical scope is daily VN30 and BID, where a protocol and a negative baseline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already exist. A public demand benchmark is a later domain. Energy, agriculture and weather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are out of scope. Realised trading profit is not an objective.</w:t>
      </w:r>
    </w:p>
    <w:p>
      <w:pPr>
        <w:spacing w:before="240" w:after="80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2. Related work and the gap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Accuracy is judged against a simple benchmark, with a scale-free metric such as MASE [1].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Diebold and Mariano [2], with the correction of Harvey, Leybourne and Newbold [3], test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whether a loss difference exceeds noise when errors are dependent. Rolling-origin evaluation,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not a random split, is the right design [4, 5]. M4 and M5 showed that rankings depend on the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loss, the horizon and the series, and that simple methods remain competitive [6, 7].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Distribution-free intervals need not assume that the whole sample is exchangeable.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Conformalised quantile regression [8], conformal prediction beyond exchangeability [9], EnbPI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[10] and conformal time-series forecasting [11] target marginal coverage under dependence or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weighted exchangeability. Adaptive conformal inference updates the miscoverage level online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when the distribution shifts [12]. Coverage alone is not enough: an interval score penalises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width, so a method cannot win by making every interval arbitrarily wide [13].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Pretrained time-series models transfer across datasets in zero-shot benchmarks [14, 15, 16].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Time-LLM reprograms a frozen language model to emit forecasts [17]. A direct ablation found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that, for point forecasting, removing the language-model component often did not hurt and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sometimes helped [18]. That is why this proposal does not treat a language model as a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forecasting engine. The open question is narrower: once a numerical forecast and an interval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exist, can a constrained report communicate them without unsupported numbers, and does that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communication change a decision [19]?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The gap is conditional coverage. Existing conformal methods are typically judged on marginal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coverage. The preliminary run shows that marginal coverage can sit on the nominal level while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coverage inside volatility regimes does not. The thesis studies horizon-specific sequential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calibration aimed at that failure, and only then a reporting layer whose numerical claims are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checked by code against an evidence packet available at the forecast origin.</w:t>
      </w:r>
    </w:p>
    <w:p>
      <w:pPr>
        <w:spacing w:before="240" w:after="80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3. Research questions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/>
          <w:color w:val="000000"/>
          <w:sz w:val="24"/>
        </w:rPr>
        <w:t>RQ1.</w:t>
      </w:r>
      <w:r>
        <w:rPr>
          <w:rFonts w:ascii="Times New Roman" w:hAnsi="Times New Roman" w:eastAsia="Times New Roman"/>
          <w:i w:val="0"/>
          <w:color w:val="000000"/>
          <w:sz w:val="24"/>
        </w:rPr>
        <w:t xml:space="preserve"> Can sequential, horizon-specific calibration keep both marginal coverage and coverage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inside predefined volatility regimes when those regimes change, at a width that remains useful?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The working hypothesis is that adaptation reduces persistent over- or under-coverage relative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to a static split, but a volatility scale fitted on an earlier regime can over-correct.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Negative results will be reported.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/>
          <w:color w:val="000000"/>
          <w:sz w:val="24"/>
        </w:rPr>
        <w:t>RQ2.</w:t>
      </w:r>
      <w:r>
        <w:rPr>
          <w:rFonts w:ascii="Times New Roman" w:hAnsi="Times New Roman" w:eastAsia="Times New Roman"/>
          <w:i w:val="0"/>
          <w:color w:val="000000"/>
          <w:sz w:val="24"/>
        </w:rPr>
        <w:t xml:space="preserve"> Can a schema, source timestamps and a deterministic numerical check reduce unsupported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statements relative to an unconstrained report, and does a verified report change cost in a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fixed inventory simulation relative to a template that shows the same forecast distribution?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The working hypothesis is that verification will cut unsupported numbers, while decision value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may be small once the numbers are already shown. The language model is not scored as a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forecaster [18].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These two questions are the thesis. Comparing further model families, including models from the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archived notebooks, is supporting work under the same protocol. A human study needs ethics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approval and is not required for the minimum thesis.</w:t>
      </w:r>
    </w:p>
    <w:p>
      <w:pPr>
        <w:spacing w:before="240" w:after="80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4. Preliminary evidence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The public repository implements the protocol and stores a completed run. Result tables are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 xml:space="preserve">those of commit </w:t>
      </w:r>
      <w:r>
        <w:rPr>
          <w:rFonts w:ascii="Times New Roman" w:hAnsi="Times New Roman" w:eastAsia="Times New Roman"/>
          <w:color w:val="000000"/>
          <w:sz w:val="24"/>
        </w:rPr>
        <w:t>7da3eb8</w:t>
      </w:r>
      <w:r>
        <w:rPr>
          <w:rFonts w:ascii="Times New Roman" w:hAnsi="Times New Roman" w:eastAsia="Times New Roman"/>
          <w:i w:val="0"/>
          <w:color w:val="000000"/>
          <w:sz w:val="24"/>
        </w:rPr>
        <w:t xml:space="preserve"> (7 October 2026). Validation dates were fixed before that run. Models refit every 20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 xml:space="preserve">origins. A training label at horizon </w:t>
      </w:r>
      <w:r>
        <w:rPr>
          <w:rFonts w:ascii="Times New Roman" w:hAnsi="Times New Roman" w:eastAsia="Times New Roman"/>
          <w:i/>
          <w:color w:val="000000"/>
          <w:sz w:val="24"/>
        </w:rPr>
        <w:t>h</w:t>
      </w:r>
      <w:r>
        <w:rPr>
          <w:rFonts w:ascii="Times New Roman" w:hAnsi="Times New Roman" w:eastAsia="Times New Roman"/>
          <w:i w:val="0"/>
          <w:color w:val="000000"/>
          <w:sz w:val="24"/>
        </w:rPr>
        <w:t xml:space="preserve"> is used only if it was already observed. Features at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an origin do not change if later prices are replaced. Those properties are unit-tested.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The test segment runs from 3 January 2023 into August 2026 (912 origins on VN30, 905 on BID).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Horizons are 1, 5 and 20 sessions. The table is RMSE of the log-return forecast divided by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persistence. Below 1 would beat "no change".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val="clear" w:color="auto" w:fill="F2F2F2"/>
          </w:tcPr>
          <w:p>
            <w:pPr>
              <w:spacing w:after="0" w:before="0"/>
            </w:pPr>
            <w:r>
              <w:rPr>
                <w:b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Series</w:t>
            </w:r>
          </w:p>
        </w:tc>
        <w:tc>
          <w:tcPr>
            <w:tcW w:type="dxa" w:w="1904"/>
            <w:shd w:val="clear" w:color="auto" w:fill="F2F2F2"/>
          </w:tcPr>
          <w:p>
            <w:pPr>
              <w:spacing w:after="0" w:before="0"/>
            </w:pPr>
            <w:r>
              <w:rPr>
                <w:b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Model</w:t>
            </w:r>
          </w:p>
        </w:tc>
        <w:tc>
          <w:tcPr>
            <w:tcW w:type="dxa" w:w="1904"/>
            <w:shd w:val="clear" w:color="auto" w:fill="F2F2F2"/>
          </w:tcPr>
          <w:p>
            <w:pPr>
              <w:spacing w:after="0" w:before="0"/>
            </w:pPr>
            <w:r>
              <w:rPr>
                <w:b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h = 1</w:t>
            </w:r>
          </w:p>
        </w:tc>
        <w:tc>
          <w:tcPr>
            <w:tcW w:type="dxa" w:w="1904"/>
            <w:shd w:val="clear" w:color="auto" w:fill="F2F2F2"/>
          </w:tcPr>
          <w:p>
            <w:pPr>
              <w:spacing w:after="0" w:before="0"/>
            </w:pPr>
            <w:r>
              <w:rPr>
                <w:b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h = 5</w:t>
            </w:r>
          </w:p>
        </w:tc>
        <w:tc>
          <w:tcPr>
            <w:tcW w:type="dxa" w:w="1904"/>
            <w:shd w:val="clear" w:color="auto" w:fill="F2F2F2"/>
          </w:tcPr>
          <w:p>
            <w:pPr>
              <w:spacing w:after="0" w:before="0"/>
            </w:pPr>
            <w:r>
              <w:rPr>
                <w:b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h = 20</w:t>
            </w:r>
          </w:p>
        </w:tc>
      </w:tr>
      <w:tr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VN30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trailing drift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1.0023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1.0111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1.0415</w:t>
            </w:r>
          </w:p>
        </w:tc>
      </w:tr>
      <w:tr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VN30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ridge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0.9976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0.9969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0.9718</w:t>
            </w:r>
          </w:p>
        </w:tc>
      </w:tr>
      <w:tr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VN30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extra-trees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0.9974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0.9989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0.9736</w:t>
            </w:r>
          </w:p>
        </w:tc>
      </w:tr>
      <w:tr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VN30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gradient boosting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0.9963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0.9965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1.0040</w:t>
            </w:r>
          </w:p>
        </w:tc>
      </w:tr>
      <w:tr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BID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trailing drift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1.0019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1.0084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1.0310</w:t>
            </w:r>
          </w:p>
        </w:tc>
      </w:tr>
      <w:tr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BID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ridge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0.9973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0.9897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0.9768</w:t>
            </w:r>
          </w:p>
        </w:tc>
      </w:tr>
      <w:tr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BID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extra-trees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0.9982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1.0011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1.0065</w:t>
            </w:r>
          </w:p>
        </w:tc>
      </w:tr>
      <w:tr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BID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gradient boosting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0.9961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1.0033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1.0155</w:t>
            </w:r>
          </w:p>
        </w:tc>
      </w:tr>
    </w:tbl>
    <w:p/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No comparison with persistence is significant after a Diebold–Mariano test with HAC variance,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 xml:space="preserve">a block bootstrap, and Holm correction (adjusted </w:t>
      </w:r>
      <w:r>
        <w:rPr>
          <w:rFonts w:ascii="Times New Roman" w:hAnsi="Times New Roman" w:eastAsia="Times New Roman"/>
          <w:i/>
          <w:color w:val="000000"/>
          <w:sz w:val="24"/>
        </w:rPr>
        <w:t>p</w:t>
      </w:r>
      <w:r>
        <w:rPr>
          <w:rFonts w:ascii="Times New Roman" w:hAnsi="Times New Roman" w:eastAsia="Times New Roman"/>
          <w:i w:val="0"/>
          <w:color w:val="000000"/>
          <w:sz w:val="24"/>
        </w:rPr>
        <w:t xml:space="preserve"> = 1 in all 24 tests). A ridge ratio near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0.97 at horizon 20 appears on both series. With overlapping errors and one test window, that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is a lead for more data, not a result.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Empirical coverage at horizon 5: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val="clear" w:color="auto" w:fill="F2F2F2"/>
          </w:tcPr>
          <w:p>
            <w:pPr>
              <w:spacing w:after="0" w:before="0"/>
            </w:pPr>
            <w:r>
              <w:rPr>
                <w:b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Method</w:t>
            </w:r>
          </w:p>
        </w:tc>
        <w:tc>
          <w:tcPr>
            <w:tcW w:type="dxa" w:w="1904"/>
            <w:shd w:val="clear" w:color="auto" w:fill="F2F2F2"/>
          </w:tcPr>
          <w:p>
            <w:pPr>
              <w:spacing w:after="0" w:before="0"/>
            </w:pPr>
            <w:r>
              <w:rPr>
                <w:b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VN30 80%</w:t>
            </w:r>
          </w:p>
        </w:tc>
        <w:tc>
          <w:tcPr>
            <w:tcW w:type="dxa" w:w="1904"/>
            <w:shd w:val="clear" w:color="auto" w:fill="F2F2F2"/>
          </w:tcPr>
          <w:p>
            <w:pPr>
              <w:spacing w:after="0" w:before="0"/>
            </w:pPr>
            <w:r>
              <w:rPr>
                <w:b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VN30 95%</w:t>
            </w:r>
          </w:p>
        </w:tc>
        <w:tc>
          <w:tcPr>
            <w:tcW w:type="dxa" w:w="1904"/>
            <w:shd w:val="clear" w:color="auto" w:fill="F2F2F2"/>
          </w:tcPr>
          <w:p>
            <w:pPr>
              <w:spacing w:after="0" w:before="0"/>
            </w:pPr>
            <w:r>
              <w:rPr>
                <w:b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BID 80%</w:t>
            </w:r>
          </w:p>
        </w:tc>
        <w:tc>
          <w:tcPr>
            <w:tcW w:type="dxa" w:w="1904"/>
            <w:shd w:val="clear" w:color="auto" w:fill="F2F2F2"/>
          </w:tcPr>
          <w:p>
            <w:pPr>
              <w:spacing w:after="0" w:before="0"/>
            </w:pPr>
            <w:r>
              <w:rPr>
                <w:b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BID 95%</w:t>
            </w:r>
          </w:p>
        </w:tc>
      </w:tr>
      <w:tr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Gaussian, EWMA volatility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0.802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0.929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0.824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0.938</w:t>
            </w:r>
          </w:p>
        </w:tc>
      </w:tr>
      <w:tr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Split conformal, static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0.864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0.985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0.910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0.985</w:t>
            </w:r>
          </w:p>
        </w:tc>
      </w:tr>
      <w:tr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Rolling, volatility-normalised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0.808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0.957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0.807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0.943</w:t>
            </w:r>
          </w:p>
        </w:tc>
      </w:tr>
      <w:tr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Adaptive conformal, volatility-normalised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0.799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0.948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0.798</w:t>
            </w:r>
          </w:p>
        </w:tc>
        <w:tc>
          <w:tcPr>
            <w:tcW w:type="dxa" w:w="190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i w:val="0"/>
                <w:color w:val="000000"/>
                <w:sz w:val="20"/>
              </w:rPr>
              <w:t>0.947</w:t>
            </w:r>
          </w:p>
        </w:tc>
      </w:tr>
    </w:tbl>
    <w:p/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Adaptive conformal is closest to the nominal level on average. Static intervals over-cover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because 2018–2022 was more volatile than the test years. Inside volatility terciles defined on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the validation segment, the normalised adaptive intervals at horizon 5 and 80% cover about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0.71–0.74 of calm origins and about 0.87–0.93 of turbulent ones. That conditional failure is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the starting point of RQ1.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Limits, so they are not discovered later: two series, one feature family, one test window,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and overlapping horizons. The delayed-feedback update does not inherit the coverage guarantee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of the original adaptive conformal algorithm. The same history was inspected informally before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the frozen run, so the test segment is not a never-seen sample. Provider, download date and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licence are unrecorded. Four VN30 test rows are dated Saturday or Sunday and must be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reconciled with the exchange calendar before any calendar claim. Market files are not in the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repository ([data card](../data.md), [results note](../preliminary_results.md)).</w:t>
      </w:r>
    </w:p>
    <w:p>
      <w:pPr>
        <w:spacing w:before="240" w:after="80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5. Proposed work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/>
          <w:color w:val="000000"/>
          <w:sz w:val="24"/>
        </w:rPr>
        <w:t>RQ1.</w:t>
      </w:r>
      <w:r>
        <w:rPr>
          <w:rFonts w:ascii="Times New Roman" w:hAnsi="Times New Roman" w:eastAsia="Times New Roman"/>
          <w:i w:val="0"/>
          <w:color w:val="000000"/>
          <w:sz w:val="24"/>
        </w:rPr>
        <w:t xml:space="preserve"> Keep the existing protocol. On the validation segment only, fit a scale for interval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width: a monotone function of trailing EWMA volatility, or a quantile regression of the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absolute residual on volatility and horizon. Compare it with static split conformal, rolling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split conformal, an EnbPI-style ensemble where the compute budget allows, and adaptive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conformal inference [10, 12]. Report marginal coverage, coverage by predeclared volatility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regime, mean width and interval score. Freeze the scale and any step size before the test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segment is opened.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/>
          <w:color w:val="000000"/>
          <w:sz w:val="24"/>
        </w:rPr>
        <w:t>RQ2, after a frozen interval exists.</w:t>
      </w:r>
      <w:r>
        <w:rPr>
          <w:rFonts w:ascii="Times New Roman" w:hAnsi="Times New Roman" w:eastAsia="Times New Roman"/>
          <w:i w:val="0"/>
          <w:color w:val="000000"/>
          <w:sz w:val="24"/>
        </w:rPr>
        <w:t xml:space="preserve"> The report receives an evidence packet: target,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origin time, forecast, interval, past errors, model disagreement, and allowed actions.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Context is admitted only if its timestamp is at or before the origin. Each numerical claim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needs an evidence identifier. Code checks every number against the packet; a failure falls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back to a fixed template. The model may not change the forecast. Scores are consistency,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unsupported-claim rate, abstention, and cost in an inventory simulation with fixed shortage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and holding costs. Hindsight is used only for scoring. A human study needs ethics approval.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Further model families enter only as a check that the interval result does not depend on the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centre. An LLM is not added to that comparison [18].</w:t>
      </w:r>
    </w:p>
    <w:p>
      <w:pPr>
        <w:spacing w:before="240" w:after="80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6. Data and evaluation rules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Before any new test run, the VN30 and BID cards will name the provider, the calendar, the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adjustment policy and the usage rights, or the series will not be used in a submitted result.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A second domain, if reached, will be a public licensed demand benchmark chosen before fitting,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with the series list fixed in advance. Horizons stay in observations, not calendar days.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Fit, selection, calibration and the final window are chronological. Overlapping targets are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separated by a gap at each boundary. A change of rule after the final window opens requires a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new prospective window.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Point metrics are MAE, RMSE and MASE, with the MASE denominator fitted before the test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segment. MAPE is secondary and is not used on returns. Interval metrics are coverage at 80%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and 95%, mean width, interval score, and pinball loss where the model emits a quantile.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Differences use a block bootstrap and a Diebold–Mariano test, with Holm correction inside each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family of tests. Failed fits and runtime are reported with the best cell, not instead of it.</w:t>
      </w:r>
    </w:p>
    <w:p>
      <w:pPr>
        <w:spacing w:before="240" w:after="80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7. Contribution, feasibility and plan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Three contributions are in view. The first is already in hand: an audited protocol and a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public negative result against persistence. The second is a calibration comparison aimed at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conditional coverage under a volatility shift, which marginal adaptive conformal did not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solve. The third is an evidence schema and a checker for forecast reports, scored against a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template that shows the same numbers. A useful outcome may be a boundary: a simpler interval,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or a template, is the better tool.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Preparation is a First Class Honours degree in Computing Science, a final-year project on café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revenue, and the repository above, with tests and continuous integration. Archived notebooks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are exploratory and are not cited as validated accuracy.</w:t>
      </w:r>
    </w:p>
    <w:p>
      <w:pPr>
        <w:spacing w:after="40" w:line="259" w:lineRule="auto"/>
        <w:ind w:left="425"/>
      </w:pPr>
      <w:r>
        <w:rPr>
          <w:rFonts w:ascii="Times New Roman" w:hAnsi="Times New Roman" w:eastAsia="Times New Roman"/>
          <w:i w:val="0"/>
          <w:color w:val="000000"/>
          <w:sz w:val="24"/>
        </w:rPr>
        <w:t>Year 1. Confirm provenance and reconcile the weekend-dated VN30 rows. Complete the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 xml:space="preserve">  literature review against the list below. Run the conditional-coverage experiment on the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 xml:space="preserve">  existing protocol.</w:t>
      </w:r>
    </w:p>
    <w:p>
      <w:pPr>
        <w:spacing w:after="40" w:line="259" w:lineRule="auto"/>
        <w:ind w:left="425"/>
      </w:pPr>
      <w:r>
        <w:rPr>
          <w:rFonts w:ascii="Times New Roman" w:hAnsi="Times New Roman" w:eastAsia="Times New Roman"/>
          <w:i w:val="0"/>
          <w:color w:val="000000"/>
          <w:sz w:val="24"/>
        </w:rPr>
        <w:t>Year 2. Repeat on at least one further asset and one stress window. Compare calibration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 xml:space="preserve">  methods. Keep the failures.</w:t>
      </w:r>
    </w:p>
    <w:p>
      <w:pPr>
        <w:spacing w:after="40" w:line="259" w:lineRule="auto"/>
        <w:ind w:left="425"/>
      </w:pPr>
      <w:r>
        <w:rPr>
          <w:rFonts w:ascii="Times New Roman" w:hAnsi="Times New Roman" w:eastAsia="Times New Roman"/>
          <w:i w:val="0"/>
          <w:color w:val="000000"/>
          <w:sz w:val="24"/>
        </w:rPr>
        <w:t>Year 3. Verified reports, ablations, and the inventory simulation. A human study only if it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 xml:space="preserve">  is approved.</w:t>
      </w:r>
    </w:p>
    <w:p>
      <w:pPr>
        <w:spacing w:after="40" w:line="259" w:lineRule="auto"/>
        <w:ind w:left="425"/>
      </w:pPr>
      <w:r>
        <w:rPr>
          <w:rFonts w:ascii="Times New Roman" w:hAnsi="Times New Roman" w:eastAsia="Times New Roman"/>
          <w:i w:val="0"/>
          <w:color w:val="000000"/>
          <w:sz w:val="24"/>
        </w:rPr>
        <w:t>Year 4. Replication, public artefacts, thesis.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The minimum thesis is RQ1 on the two series already in the protocol, plus the inventory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comparison in RQ2 if the report layer is stable. If conditional coverage does not improve,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that negative result is the finding, and the report layer is evaluated on the best simple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interval rather than dropped.</w:t>
      </w:r>
    </w:p>
    <w:p>
      <w:pPr>
        <w:spacing w:before="240" w:after="80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8. Reproducibility and use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Releases include code, a locked environment, split dates, prompts, schemas and verification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rules. Data are redistributed only if the provider allows; otherwise the card records the hash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and how to obtain the file. A retrospective language-model test can be contaminated by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pretraining, so that check will be prospective or will use a local model with a known cutoff.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This document is proposed work plus one preliminary study. It is not a finished doctorate, a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trading system, or an agreed supervision.</w:t>
      </w:r>
    </w:p>
    <w:p>
      <w:pPr>
        <w:spacing w:before="240" w:after="80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References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 xml:space="preserve">1. Hyndman, R. J., and Koehler, A. B. (2006). Another look at measures of forecast accuracy. </w:t>
      </w:r>
      <w:r>
        <w:rPr>
          <w:rFonts w:ascii="Times New Roman" w:hAnsi="Times New Roman" w:eastAsia="Times New Roman"/>
          <w:i/>
          <w:color w:val="000000"/>
          <w:sz w:val="24"/>
        </w:rPr>
        <w:t>International Journal of Forecasting</w:t>
      </w:r>
      <w:r>
        <w:rPr>
          <w:rFonts w:ascii="Times New Roman" w:hAnsi="Times New Roman" w:eastAsia="Times New Roman"/>
          <w:i w:val="0"/>
          <w:color w:val="000000"/>
          <w:sz w:val="24"/>
        </w:rPr>
        <w:t>, 22(4), 679–688. https://doi.org/10.1016/j.ijforecast.2006.03.001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 xml:space="preserve">2. Diebold, F. X., and Mariano, R. S. (1995). Comparing predictive accuracy. </w:t>
      </w:r>
      <w:r>
        <w:rPr>
          <w:rFonts w:ascii="Times New Roman" w:hAnsi="Times New Roman" w:eastAsia="Times New Roman"/>
          <w:i/>
          <w:color w:val="000000"/>
          <w:sz w:val="24"/>
        </w:rPr>
        <w:t>Journal of Business &amp; Economic Statistics</w:t>
      </w:r>
      <w:r>
        <w:rPr>
          <w:rFonts w:ascii="Times New Roman" w:hAnsi="Times New Roman" w:eastAsia="Times New Roman"/>
          <w:i w:val="0"/>
          <w:color w:val="000000"/>
          <w:sz w:val="24"/>
        </w:rPr>
        <w:t>, 13(3), 253–263. https://doi.org/10.1080/07350015.1995.10524599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 xml:space="preserve">3. Harvey, D., Leybourne, S., and Newbold, P. (1997). Testing the equality of prediction mean squared errors. </w:t>
      </w:r>
      <w:r>
        <w:rPr>
          <w:rFonts w:ascii="Times New Roman" w:hAnsi="Times New Roman" w:eastAsia="Times New Roman"/>
          <w:i/>
          <w:color w:val="000000"/>
          <w:sz w:val="24"/>
        </w:rPr>
        <w:t>International Journal of Forecasting</w:t>
      </w:r>
      <w:r>
        <w:rPr>
          <w:rFonts w:ascii="Times New Roman" w:hAnsi="Times New Roman" w:eastAsia="Times New Roman"/>
          <w:i w:val="0"/>
          <w:color w:val="000000"/>
          <w:sz w:val="24"/>
        </w:rPr>
        <w:t>, 13(2), 281–291. https://doi.org/10.1016/S0169-2070(96)00719-4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 xml:space="preserve">4. Tashman, L. J. (2000). Out-of-sample tests of forecasting accuracy: an analysis and review. </w:t>
      </w:r>
      <w:r>
        <w:rPr>
          <w:rFonts w:ascii="Times New Roman" w:hAnsi="Times New Roman" w:eastAsia="Times New Roman"/>
          <w:i/>
          <w:color w:val="000000"/>
          <w:sz w:val="24"/>
        </w:rPr>
        <w:t>International Journal of Forecasting</w:t>
      </w:r>
      <w:r>
        <w:rPr>
          <w:rFonts w:ascii="Times New Roman" w:hAnsi="Times New Roman" w:eastAsia="Times New Roman"/>
          <w:i w:val="0"/>
          <w:color w:val="000000"/>
          <w:sz w:val="24"/>
        </w:rPr>
        <w:t>, 16(4), 437–450. https://doi.org/10.1016/S0169-2070(00)00065-0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 xml:space="preserve">5. Bergmeir, C., and Benítez, J. M. (2012). On the use of cross-validation for time series predictor evaluation. </w:t>
      </w:r>
      <w:r>
        <w:rPr>
          <w:rFonts w:ascii="Times New Roman" w:hAnsi="Times New Roman" w:eastAsia="Times New Roman"/>
          <w:i/>
          <w:color w:val="000000"/>
          <w:sz w:val="24"/>
        </w:rPr>
        <w:t>Information Sciences</w:t>
      </w:r>
      <w:r>
        <w:rPr>
          <w:rFonts w:ascii="Times New Roman" w:hAnsi="Times New Roman" w:eastAsia="Times New Roman"/>
          <w:i w:val="0"/>
          <w:color w:val="000000"/>
          <w:sz w:val="24"/>
        </w:rPr>
        <w:t>, 191, 192–213. https://doi.org/10.1016/j.ins.2011.12.028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 xml:space="preserve">6. Makridakis, S., Spiliotis, E., and Assimakopoulos, V. (2020). The M4 Competition: 100,000 time series and 61 forecasting methods. </w:t>
      </w:r>
      <w:r>
        <w:rPr>
          <w:rFonts w:ascii="Times New Roman" w:hAnsi="Times New Roman" w:eastAsia="Times New Roman"/>
          <w:i/>
          <w:color w:val="000000"/>
          <w:sz w:val="24"/>
        </w:rPr>
        <w:t>International Journal of Forecasting</w:t>
      </w:r>
      <w:r>
        <w:rPr>
          <w:rFonts w:ascii="Times New Roman" w:hAnsi="Times New Roman" w:eastAsia="Times New Roman"/>
          <w:i w:val="0"/>
          <w:color w:val="000000"/>
          <w:sz w:val="24"/>
        </w:rPr>
        <w:t>, 36(1), 54–74. https://doi.org/10.1016/j.ijforecast.2019.04.014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 xml:space="preserve">7. Makridakis, S., Spiliotis, E., and Assimakopoulos, V. (2022). M5 accuracy competition: Results, findings, and conclusions. </w:t>
      </w:r>
      <w:r>
        <w:rPr>
          <w:rFonts w:ascii="Times New Roman" w:hAnsi="Times New Roman" w:eastAsia="Times New Roman"/>
          <w:i/>
          <w:color w:val="000000"/>
          <w:sz w:val="24"/>
        </w:rPr>
        <w:t>International Journal of Forecasting</w:t>
      </w:r>
      <w:r>
        <w:rPr>
          <w:rFonts w:ascii="Times New Roman" w:hAnsi="Times New Roman" w:eastAsia="Times New Roman"/>
          <w:i w:val="0"/>
          <w:color w:val="000000"/>
          <w:sz w:val="24"/>
        </w:rPr>
        <w:t>, 38(4), 1346–1364. https://doi.org/10.1016/j.ijforecast.2021.11.013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 xml:space="preserve">8. Romano, Y., Patterson, E., and Candès, E. (2019). Conformalized quantile regression. </w:t>
      </w:r>
      <w:r>
        <w:rPr>
          <w:rFonts w:ascii="Times New Roman" w:hAnsi="Times New Roman" w:eastAsia="Times New Roman"/>
          <w:i/>
          <w:color w:val="000000"/>
          <w:sz w:val="24"/>
        </w:rPr>
        <w:t>Advances in Neural Information Processing Systems</w:t>
      </w:r>
      <w:r>
        <w:rPr>
          <w:rFonts w:ascii="Times New Roman" w:hAnsi="Times New Roman" w:eastAsia="Times New Roman"/>
          <w:i w:val="0"/>
          <w:color w:val="000000"/>
          <w:sz w:val="24"/>
        </w:rPr>
        <w:t>, 32. https://arxiv.org/abs/1905.03222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 xml:space="preserve">9. Barber, R. F., Candès, E. J., Ramdas, A., and Tibshirani, R. J. (2023). Conformal prediction beyond exchangeability. </w:t>
      </w:r>
      <w:r>
        <w:rPr>
          <w:rFonts w:ascii="Times New Roman" w:hAnsi="Times New Roman" w:eastAsia="Times New Roman"/>
          <w:i/>
          <w:color w:val="000000"/>
          <w:sz w:val="24"/>
        </w:rPr>
        <w:t>The Annals of Statistics</w:t>
      </w:r>
      <w:r>
        <w:rPr>
          <w:rFonts w:ascii="Times New Roman" w:hAnsi="Times New Roman" w:eastAsia="Times New Roman"/>
          <w:i w:val="0"/>
          <w:color w:val="000000"/>
          <w:sz w:val="24"/>
        </w:rPr>
        <w:t>, 51(2), 816–845. https://arxiv.org/abs/2202.13415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 xml:space="preserve">10. Xu, C., and Xie, Y. (2021). Conformal prediction interval for dynamic time-series. </w:t>
      </w:r>
      <w:r>
        <w:rPr>
          <w:rFonts w:ascii="Times New Roman" w:hAnsi="Times New Roman" w:eastAsia="Times New Roman"/>
          <w:i/>
          <w:color w:val="000000"/>
          <w:sz w:val="24"/>
        </w:rPr>
        <w:t>Proceedings of the 38th International Conference on Machine Learning</w:t>
      </w:r>
      <w:r>
        <w:rPr>
          <w:rFonts w:ascii="Times New Roman" w:hAnsi="Times New Roman" w:eastAsia="Times New Roman"/>
          <w:i w:val="0"/>
          <w:color w:val="000000"/>
          <w:sz w:val="24"/>
        </w:rPr>
        <w:t>, PMLR 139, 11559–11569. https://arxiv.org/abs/2010.09107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 xml:space="preserve">11. Stankevičiūtė, K., Alaa, A. M., and van der Schaar, M. (2021). Conformal time-series forecasting. </w:t>
      </w:r>
      <w:r>
        <w:rPr>
          <w:rFonts w:ascii="Times New Roman" w:hAnsi="Times New Roman" w:eastAsia="Times New Roman"/>
          <w:i/>
          <w:color w:val="000000"/>
          <w:sz w:val="24"/>
        </w:rPr>
        <w:t>Advances in Neural Information Processing Systems</w:t>
      </w:r>
      <w:r>
        <w:rPr>
          <w:rFonts w:ascii="Times New Roman" w:hAnsi="Times New Roman" w:eastAsia="Times New Roman"/>
          <w:i w:val="0"/>
          <w:color w:val="000000"/>
          <w:sz w:val="24"/>
        </w:rPr>
        <w:t>, 34. https://proceedings.neurips.cc/paper/2021/hash/312f1ba2a72318edaaa995a67835fad5-Abstract.html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 xml:space="preserve">12. Gibbs, I., and Candès, E. (2021). Adaptive conformal inference under distribution shift. </w:t>
      </w:r>
      <w:r>
        <w:rPr>
          <w:rFonts w:ascii="Times New Roman" w:hAnsi="Times New Roman" w:eastAsia="Times New Roman"/>
          <w:i/>
          <w:color w:val="000000"/>
          <w:sz w:val="24"/>
        </w:rPr>
        <w:t>Advances in Neural Information Processing Systems</w:t>
      </w:r>
      <w:r>
        <w:rPr>
          <w:rFonts w:ascii="Times New Roman" w:hAnsi="Times New Roman" w:eastAsia="Times New Roman"/>
          <w:i w:val="0"/>
          <w:color w:val="000000"/>
          <w:sz w:val="24"/>
        </w:rPr>
        <w:t>, 34. https://arxiv.org/abs/2106.00170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 xml:space="preserve">13. Gneiting, T., and Raftery, A. E. (2007). Strictly proper scoring rules, prediction, and estimation. </w:t>
      </w:r>
      <w:r>
        <w:rPr>
          <w:rFonts w:ascii="Times New Roman" w:hAnsi="Times New Roman" w:eastAsia="Times New Roman"/>
          <w:i/>
          <w:color w:val="000000"/>
          <w:sz w:val="24"/>
        </w:rPr>
        <w:t>Journal of the American Statistical Association</w:t>
      </w:r>
      <w:r>
        <w:rPr>
          <w:rFonts w:ascii="Times New Roman" w:hAnsi="Times New Roman" w:eastAsia="Times New Roman"/>
          <w:i w:val="0"/>
          <w:color w:val="000000"/>
          <w:sz w:val="24"/>
        </w:rPr>
        <w:t>, 102(477), 359–378. https://doi.org/10.1198/016214506000001437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 xml:space="preserve">14. Ansari, A. F., Stella, L., Turkmen, C., Zhang, X., Mercado, P., Shen, H., Shchur, O., Rangapuram, S. S., Pineda Arango, S., Kapoor, S., Zschiegner, J., Maddix, D. C., Wang, H., Mahoney, M. W., Torkkola, K., Wilson, A. G., Bohlke-Schneider, M., and Wang, Y. (2024). Chronos: Learning the language of time series. </w:t>
      </w:r>
      <w:r>
        <w:rPr>
          <w:rFonts w:ascii="Times New Roman" w:hAnsi="Times New Roman" w:eastAsia="Times New Roman"/>
          <w:i/>
          <w:color w:val="000000"/>
          <w:sz w:val="24"/>
        </w:rPr>
        <w:t>Transactions on Machine Learning Research</w:t>
      </w:r>
      <w:r>
        <w:rPr>
          <w:rFonts w:ascii="Times New Roman" w:hAnsi="Times New Roman" w:eastAsia="Times New Roman"/>
          <w:i w:val="0"/>
          <w:color w:val="000000"/>
          <w:sz w:val="24"/>
        </w:rPr>
        <w:t>. https://arxiv.org/abs/2403.07815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 xml:space="preserve">15. Das, A., Kong, W., Sen, R., and Zhou, Y. (2024). A decoder-only foundation model for time-series forecasting. </w:t>
      </w:r>
      <w:r>
        <w:rPr>
          <w:rFonts w:ascii="Times New Roman" w:hAnsi="Times New Roman" w:eastAsia="Times New Roman"/>
          <w:i/>
          <w:color w:val="000000"/>
          <w:sz w:val="24"/>
        </w:rPr>
        <w:t>Proceedings of the 41st International Conference on Machine Learning</w:t>
      </w:r>
      <w:r>
        <w:rPr>
          <w:rFonts w:ascii="Times New Roman" w:hAnsi="Times New Roman" w:eastAsia="Times New Roman"/>
          <w:i w:val="0"/>
          <w:color w:val="000000"/>
          <w:sz w:val="24"/>
        </w:rPr>
        <w:t>, PMLR 235. https://arxiv.org/abs/2310.10688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 xml:space="preserve">16. Woo, G., Liu, C., Kumar, A., Xiong, C., Savarese, S., and Sahoo, D. (2024). Unified training of universal time series forecasting transformers. </w:t>
      </w:r>
      <w:r>
        <w:rPr>
          <w:rFonts w:ascii="Times New Roman" w:hAnsi="Times New Roman" w:eastAsia="Times New Roman"/>
          <w:i/>
          <w:color w:val="000000"/>
          <w:sz w:val="24"/>
        </w:rPr>
        <w:t>Proceedings of the 41st International Conference on Machine Learning</w:t>
      </w:r>
      <w:r>
        <w:rPr>
          <w:rFonts w:ascii="Times New Roman" w:hAnsi="Times New Roman" w:eastAsia="Times New Roman"/>
          <w:i w:val="0"/>
          <w:color w:val="000000"/>
          <w:sz w:val="24"/>
        </w:rPr>
        <w:t>, PMLR 235. https://arxiv.org/abs/2402.02592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 xml:space="preserve">17. Jin, M., Wang, S., Ma, L., Chu, Z., Zhang, J. Y., Shi, X., Chen, P.-Y., Liang, Y., Li, Y.-F., Pan, S., and Wen, Q. (2024). Time-LLM: Time series forecasting by reprogramming large language models. </w:t>
      </w:r>
      <w:r>
        <w:rPr>
          <w:rFonts w:ascii="Times New Roman" w:hAnsi="Times New Roman" w:eastAsia="Times New Roman"/>
          <w:i/>
          <w:color w:val="000000"/>
          <w:sz w:val="24"/>
        </w:rPr>
        <w:t>International Conference on Learning Representations</w:t>
      </w:r>
      <w:r>
        <w:rPr>
          <w:rFonts w:ascii="Times New Roman" w:hAnsi="Times New Roman" w:eastAsia="Times New Roman"/>
          <w:i w:val="0"/>
          <w:color w:val="000000"/>
          <w:sz w:val="24"/>
        </w:rPr>
        <w:t>. https://arxiv.org/abs/2310.01728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 xml:space="preserve">18. Tan, M., Merrill, M. A., Gupta, V., Althoff, T., and Hartvigsen, T. (2024). Are language models actually useful for time series forecasting? </w:t>
      </w:r>
      <w:r>
        <w:rPr>
          <w:rFonts w:ascii="Times New Roman" w:hAnsi="Times New Roman" w:eastAsia="Times New Roman"/>
          <w:i/>
          <w:color w:val="000000"/>
          <w:sz w:val="24"/>
        </w:rPr>
        <w:t>Advances in Neural Information Processing Systems</w:t>
      </w:r>
      <w:r>
        <w:rPr>
          <w:rFonts w:ascii="Times New Roman" w:hAnsi="Times New Roman" w:eastAsia="Times New Roman"/>
          <w:i w:val="0"/>
          <w:color w:val="000000"/>
          <w:sz w:val="24"/>
        </w:rPr>
        <w:t>, 37. https://arxiv.org/abs/2406.16964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19. Zhao, H., et al. (2025). TimeSeriesScientist: A general-purpose AI agent for time series analysis. arXiv preprint. https://arxiv.org/abs/2510.01538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i w:val="0"/>
          <w:color w:val="000000"/>
          <w:sz w:val="24"/>
        </w:rPr>
        <w:t>Repository: https://github.com/tuanthescientist/Timeseries_Forecasting_Research_and_Build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