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300"/>
        <w:jc w:val="center"/>
      </w:pPr>
      <w:r>
        <w:rPr>
          <w:rFonts w:ascii="Calibri" w:cs="Calibri" w:eastAsia="Calibri" w:hAnsi="Calibri"/>
          <w:color w:val="595959"/>
          <w:spacing w:val="60"/>
          <w:sz w:val="24"/>
          <w:szCs w:val="24"/>
        </w:rPr>
        <w:t xml:space="preserve">RESEARCH NOTES</w:t>
      </w:r>
    </w:p>
    <w:p>
      <w:pPr>
        <w:pBdr>
          <w:bottom w:val="single" w:color="1F3864" w:sz="12" w:space="8"/>
        </w:pBdr>
        <w:spacing w:after="200"/>
        <w:jc w:val="center"/>
      </w:pPr>
      <w:r>
        <w:rPr>
          <w:rFonts w:ascii="Calibri" w:cs="Calibri" w:eastAsia="Calibri" w:hAnsi="Calibri"/>
          <w:b/>
          <w:bCs/>
          <w:color w:val="1F3864"/>
          <w:sz w:val="38"/>
          <w:szCs w:val="38"/>
        </w:rPr>
        <w:t xml:space="preserve">Face Attendance System: Technical Architecture</w:t>
      </w:r>
    </w:p>
    <w:p>
      <w:pPr>
        <w:spacing w:after="120" w:line="276"/>
      </w:pPr>
      <w:r>
        <w:rPr>
          <w:rFonts w:ascii="Calibri" w:cs="Calibri" w:eastAsia="Calibri" w:hAnsi="Calibri"/>
          <w:b/>
          <w:bCs/>
          <w:sz w:val="22"/>
          <w:szCs w:val="22"/>
        </w:rPr>
        <w:t xml:space="preserve">Prepared by: </w:t>
      </w:r>
      <w:r>
        <w:rPr>
          <w:rFonts w:ascii="Calibri" w:cs="Calibri" w:eastAsia="Calibri" w:hAnsi="Calibri"/>
          <w:sz w:val="22"/>
          <w:szCs w:val="22"/>
        </w:rPr>
        <w:t xml:space="preserve">Tuba Rehman &amp; Ayesha Aslam</w:t>
      </w:r>
    </w:p>
    <w:p>
      <w:pPr>
        <w:spacing w:after="120" w:line="276"/>
      </w:pPr>
      <w:r>
        <w:rPr>
          <w:rFonts w:ascii="Calibri" w:cs="Calibri" w:eastAsia="Calibri" w:hAnsi="Calibri"/>
          <w:b/>
          <w:bCs/>
          <w:sz w:val="22"/>
          <w:szCs w:val="22"/>
        </w:rPr>
        <w:t xml:space="preserve">Institution: </w:t>
      </w:r>
      <w:r>
        <w:rPr>
          <w:rFonts w:ascii="Calibri" w:cs="Calibri" w:eastAsia="Calibri" w:hAnsi="Calibri"/>
          <w:sz w:val="22"/>
          <w:szCs w:val="22"/>
        </w:rPr>
        <w:t xml:space="preserve">University of Sargodha</w:t>
      </w:r>
    </w:p>
    <w:p>
      <w:pPr>
        <w:spacing w:after="120" w:line="276"/>
      </w:pPr>
      <w:r>
        <w:rPr>
          <w:rFonts w:ascii="Calibri" w:cs="Calibri" w:eastAsia="Calibri" w:hAnsi="Calibri"/>
          <w:b/>
          <w:bCs/>
          <w:sz w:val="22"/>
          <w:szCs w:val="22"/>
        </w:rPr>
        <w:t xml:space="preserve">Date: </w:t>
      </w:r>
      <w:r>
        <w:rPr>
          <w:rFonts w:ascii="Calibri" w:cs="Calibri" w:eastAsia="Calibri" w:hAnsi="Calibri"/>
          <w:sz w:val="22"/>
          <w:szCs w:val="22"/>
        </w:rPr>
        <w:t xml:space="preserve">October 2026</w:t>
      </w:r>
    </w:p>
    <w:p>
      <w:pPr>
        <w:spacing w:after="120" w:line="276"/>
      </w:pPr>
      <w:r>
        <w:rPr>
          <w:rFonts w:ascii="Calibri" w:cs="Calibri" w:eastAsia="Calibri" w:hAnsi="Calibri"/>
          <w:sz w:val="22"/>
          <w:szCs w:val="22"/>
        </w:rPr>
        <w:t xml:space="preserve">This document studies the technical architecture of an enterprise-grade Face Attendance System. It is intended as background research before the final project proposal is written. Section 9 maps the enterprise options to what is realistic for a webcam-based final year project.</w:t>
      </w:r>
    </w:p>
    <w:p>
      <w:pPr>
        <w:pStyle w:val="Heading1"/>
        <w:keepNext/>
        <w:spacing w:after="120" w:before="320"/>
      </w:pPr>
      <w:r>
        <w:rPr>
          <w:rFonts w:ascii="Calibri" w:cs="Calibri" w:eastAsia="Calibri" w:hAnsi="Calibri"/>
          <w:b/>
          <w:bCs/>
          <w:color w:val="1F3864"/>
          <w:sz w:val="28"/>
          <w:szCs w:val="28"/>
        </w:rPr>
        <w:t xml:space="preserve">1. Layered Architecture</w:t>
      </w:r>
    </w:p>
    <w:p>
      <w:pPr>
        <w:shd w:fill="F2F2F2" w:color="auto" w:val="clear"/>
        <w:spacing w:after="0" w:line="240"/>
      </w:pPr>
      <w:r>
        <w:rPr>
          <w:rFonts w:ascii="Consolas" w:cs="Consolas" w:eastAsia="Consolas" w:hAnsi="Consolas"/>
          <w:sz w:val="17"/>
          <w:szCs w:val="17"/>
        </w:rPr>
        <w:t xml:space="preserve">┌──────────────────────────────────────────────────────────────┐</w:t>
      </w:r>
    </w:p>
    <w:p>
      <w:pPr>
        <w:shd w:fill="F2F2F2" w:color="auto" w:val="clear"/>
        <w:spacing w:after="0" w:line="240"/>
      </w:pPr>
      <w:r>
        <w:rPr>
          <w:rFonts w:ascii="Consolas" w:cs="Consolas" w:eastAsia="Consolas" w:hAnsi="Consolas"/>
          <w:sz w:val="17"/>
          <w:szCs w:val="17"/>
        </w:rPr>
        <w:t xml:space="preserve">│ 1. EDGE / CLIENT   Webcam · CCTV (RTSP) · Mobile · Kiosk     │</w:t>
      </w:r>
    </w:p>
    <w:p>
      <w:pPr>
        <w:shd w:fill="F2F2F2" w:color="auto" w:val="clear"/>
        <w:spacing w:after="0" w:line="240"/>
      </w:pPr>
      <w:r>
        <w:rPr>
          <w:rFonts w:ascii="Consolas" w:cs="Consolas" w:eastAsia="Consolas" w:hAnsi="Consolas"/>
          <w:sz w:val="17"/>
          <w:szCs w:val="17"/>
        </w:rPr>
        <w:t xml:space="preserve">│    Capture &gt; quality gate &gt; (optional) on-device liveness    │</w:t>
      </w:r>
    </w:p>
    <w:p>
      <w:pPr>
        <w:shd w:fill="F2F2F2" w:color="auto" w:val="clear"/>
        <w:spacing w:after="0" w:line="240"/>
      </w:pPr>
      <w:r>
        <w:rPr>
          <w:rFonts w:ascii="Consolas" w:cs="Consolas" w:eastAsia="Consolas" w:hAnsi="Consolas"/>
          <w:sz w:val="17"/>
          <w:szCs w:val="17"/>
        </w:rPr>
        <w:t xml:space="preserve">└──────────────────────────────┬───────────────────────────────┘</w:t>
      </w:r>
    </w:p>
    <w:p>
      <w:pPr>
        <w:shd w:fill="F2F2F2" w:color="auto" w:val="clear"/>
        <w:spacing w:after="0" w:line="240"/>
      </w:pPr>
      <w:r>
        <w:rPr>
          <w:rFonts w:ascii="Consolas" w:cs="Consolas" w:eastAsia="Consolas" w:hAnsi="Consolas"/>
          <w:sz w:val="17"/>
          <w:szCs w:val="17"/>
        </w:rPr>
        <w:t xml:space="preserve">                               │ frames / face crops (TLS 1.3)</w:t>
      </w:r>
    </w:p>
    <w:p>
      <w:pPr>
        <w:shd w:fill="F2F2F2" w:color="auto" w:val="clear"/>
        <w:spacing w:after="0" w:line="240"/>
      </w:pPr>
      <w:r>
        <w:rPr>
          <w:rFonts w:ascii="Consolas" w:cs="Consolas" w:eastAsia="Consolas" w:hAnsi="Consolas"/>
          <w:sz w:val="17"/>
          <w:szCs w:val="17"/>
        </w:rPr>
        <w:t xml:space="preserve">┌──────────────────────────────▼───────────────────────────────┐</w:t>
      </w:r>
    </w:p>
    <w:p>
      <w:pPr>
        <w:shd w:fill="F2F2F2" w:color="auto" w:val="clear"/>
        <w:spacing w:after="0" w:line="240"/>
      </w:pPr>
      <w:r>
        <w:rPr>
          <w:rFonts w:ascii="Consolas" w:cs="Consolas" w:eastAsia="Consolas" w:hAnsi="Consolas"/>
          <w:sz w:val="17"/>
          <w:szCs w:val="17"/>
        </w:rPr>
        <w:t xml:space="preserve">│ 2. INGESTION &amp; PROCESSING   Queue · frame sampling · face    │</w:t>
      </w:r>
    </w:p>
    <w:p>
      <w:pPr>
        <w:shd w:fill="F2F2F2" w:color="auto" w:val="clear"/>
        <w:spacing w:after="0" w:line="240"/>
      </w:pPr>
      <w:r>
        <w:rPr>
          <w:rFonts w:ascii="Consolas" w:cs="Consolas" w:eastAsia="Consolas" w:hAnsi="Consolas"/>
          <w:sz w:val="17"/>
          <w:szCs w:val="17"/>
        </w:rPr>
        <w:t xml:space="preserve">│    detection &gt; tracking &gt; quality filter &gt; alignment 112x112 │</w:t>
      </w:r>
    </w:p>
    <w:p>
      <w:pPr>
        <w:shd w:fill="F2F2F2" w:color="auto" w:val="clear"/>
        <w:spacing w:after="0" w:line="240"/>
      </w:pPr>
      <w:r>
        <w:rPr>
          <w:rFonts w:ascii="Consolas" w:cs="Consolas" w:eastAsia="Consolas" w:hAnsi="Consolas"/>
          <w:sz w:val="17"/>
          <w:szCs w:val="17"/>
        </w:rPr>
        <w:t xml:space="preserve">└──────────────────────────────┬───────────────────────────────┘</w:t>
      </w:r>
    </w:p>
    <w:p>
      <w:pPr>
        <w:shd w:fill="F2F2F2" w:color="auto" w:val="clear"/>
        <w:spacing w:after="0" w:line="240"/>
      </w:pPr>
      <w:r>
        <w:rPr>
          <w:rFonts w:ascii="Consolas" w:cs="Consolas" w:eastAsia="Consolas" w:hAnsi="Consolas"/>
          <w:sz w:val="17"/>
          <w:szCs w:val="17"/>
        </w:rPr>
        <w:t xml:space="preserve">┌──────────────────────────────▼───────────────────────────────┐</w:t>
      </w:r>
    </w:p>
    <w:p>
      <w:pPr>
        <w:shd w:fill="F2F2F2" w:color="auto" w:val="clear"/>
        <w:spacing w:after="0" w:line="240"/>
      </w:pPr>
      <w:r>
        <w:rPr>
          <w:rFonts w:ascii="Consolas" w:cs="Consolas" w:eastAsia="Consolas" w:hAnsi="Consolas"/>
          <w:sz w:val="17"/>
          <w:szCs w:val="17"/>
        </w:rPr>
        <w:t xml:space="preserve">│ 3. CORE AI/ML ENGINE   Liveness (PAD) &gt; embedding (512-D)   │</w:t>
      </w:r>
    </w:p>
    <w:p>
      <w:pPr>
        <w:shd w:fill="F2F2F2" w:color="auto" w:val="clear"/>
        <w:spacing w:after="0" w:line="240"/>
      </w:pPr>
      <w:r>
        <w:rPr>
          <w:rFonts w:ascii="Consolas" w:cs="Consolas" w:eastAsia="Consolas" w:hAnsi="Consolas"/>
          <w:sz w:val="17"/>
          <w:szCs w:val="17"/>
        </w:rPr>
        <w:t xml:space="preserve">│    &gt; 1:N vector search &gt; threshold decision                  │</w:t>
      </w:r>
    </w:p>
    <w:p>
      <w:pPr>
        <w:shd w:fill="F2F2F2" w:color="auto" w:val="clear"/>
        <w:spacing w:after="0" w:line="240"/>
      </w:pPr>
      <w:r>
        <w:rPr>
          <w:rFonts w:ascii="Consolas" w:cs="Consolas" w:eastAsia="Consolas" w:hAnsi="Consolas"/>
          <w:sz w:val="17"/>
          <w:szCs w:val="17"/>
        </w:rPr>
        <w:t xml:space="preserve">└──────────────┬────────────────────────────────┬──────────────┘</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 4. DATA LAYER              │   │ 5. ADMIN &amp; INTEGRATION      │</w:t>
      </w:r>
    </w:p>
    <w:p>
      <w:pPr>
        <w:shd w:fill="F2F2F2" w:color="auto" w:val="clear"/>
        <w:spacing w:after="0" w:line="240"/>
      </w:pPr>
      <w:r>
        <w:rPr>
          <w:rFonts w:ascii="Consolas" w:cs="Consolas" w:eastAsia="Consolas" w:hAnsi="Consolas"/>
          <w:sz w:val="17"/>
          <w:szCs w:val="17"/>
        </w:rPr>
        <w:t xml:space="preserve">│ PostgreSQL (logs, users)   │◄──┤ REST/Webhooks · HRMS/Payroll│</w:t>
      </w:r>
    </w:p>
    <w:p>
      <w:pPr>
        <w:shd w:fill="F2F2F2" w:color="auto" w:val="clear"/>
        <w:spacing w:after="0" w:line="240"/>
      </w:pPr>
      <w:r>
        <w:rPr>
          <w:rFonts w:ascii="Consolas" w:cs="Consolas" w:eastAsia="Consolas" w:hAnsi="Consolas"/>
          <w:sz w:val="17"/>
          <w:szCs w:val="17"/>
        </w:rPr>
        <w:t xml:space="preserve">│ pgvector/Milvus (vectors)  │   │ Dashboard · RBAC · Alerts   │</w:t>
      </w:r>
    </w:p>
    <w:p>
      <w:pPr>
        <w:shd w:fill="F2F2F2" w:color="auto" w:val="clear"/>
        <w:spacing w:after="0" w:line="240"/>
      </w:pPr>
      <w:r>
        <w:rPr>
          <w:rFonts w:ascii="Consolas" w:cs="Consolas" w:eastAsia="Consolas" w:hAnsi="Consolas"/>
          <w:sz w:val="17"/>
          <w:szCs w:val="17"/>
        </w:rPr>
        <w:t xml:space="preserve">│ Redis (cache, dedupe)      │   │ Observability · CI/CD       │</w:t>
      </w:r>
    </w:p>
    <w:p>
      <w:pPr>
        <w:shd w:fill="F2F2F2" w:color="auto" w:val="clear"/>
        <w:spacing w:after="0" w:line="240"/>
      </w:pPr>
      <w:r>
        <w:rPr>
          <w:rFonts w:ascii="Consolas" w:cs="Consolas" w:eastAsia="Consolas" w:hAnsi="Consolas"/>
          <w:sz w:val="17"/>
          <w:szCs w:val="17"/>
        </w:rPr>
        <w:t xml:space="preserve">└────────────────────────────┘   └─────────────────────────────┘</w:t>
      </w:r>
    </w:p>
    <w:p>
      <w:pPr>
        <w:spacing w:after="80"/>
      </w:pPr>
    </w:p>
    <w:p>
      <w:pPr>
        <w:pStyle w:val="Heading1"/>
        <w:keepNext/>
        <w:spacing w:after="120" w:before="320"/>
      </w:pPr>
      <w:r>
        <w:rPr>
          <w:rFonts w:ascii="Calibri" w:cs="Calibri" w:eastAsia="Calibri" w:hAnsi="Calibri"/>
          <w:b/>
          <w:bCs/>
          <w:color w:val="1F3864"/>
          <w:sz w:val="28"/>
          <w:szCs w:val="28"/>
        </w:rPr>
        <w:t xml:space="preserve">2. Edge / Client Layer</w:t>
      </w:r>
    </w:p>
    <w:p>
      <w:pPr>
        <w:pStyle w:val="ListParagraph"/>
        <w:numPr>
          <w:ilvl w:val="0"/>
          <w:numId w:val="2"/>
        </w:numPr>
        <w:spacing w:after="60"/>
      </w:pPr>
      <w:r>
        <w:rPr>
          <w:rFonts w:ascii="Calibri" w:cs="Calibri" w:eastAsia="Calibri" w:hAnsi="Calibri"/>
          <w:b/>
          <w:bCs/>
          <w:sz w:val="22"/>
          <w:szCs w:val="22"/>
        </w:rPr>
        <w:t xml:space="preserve">Devices: </w:t>
      </w:r>
      <w:r>
        <w:rPr>
          <w:rFonts w:ascii="Calibri" w:cs="Calibri" w:eastAsia="Calibri" w:hAnsi="Calibri"/>
          <w:sz w:val="22"/>
          <w:szCs w:val="22"/>
        </w:rPr>
        <w:t xml:space="preserve">USB webcams, IP/CCTV cameras over RTSP, tablets as kiosks, or a mobile app. For fixed entry points, a kiosk with a dedicated camera gives the most controlled capture conditions, which directly improves accuracy.</w:t>
      </w:r>
    </w:p>
    <w:p>
      <w:pPr>
        <w:pStyle w:val="ListParagraph"/>
        <w:numPr>
          <w:ilvl w:val="0"/>
          <w:numId w:val="2"/>
        </w:numPr>
        <w:spacing w:after="60"/>
      </w:pPr>
      <w:r>
        <w:rPr>
          <w:rFonts w:ascii="Calibri" w:cs="Calibri" w:eastAsia="Calibri" w:hAnsi="Calibri"/>
          <w:b/>
          <w:bCs/>
          <w:sz w:val="22"/>
          <w:szCs w:val="22"/>
        </w:rPr>
        <w:t xml:space="preserve">Capture quality gating (on the client): </w:t>
      </w:r>
      <w:r>
        <w:rPr>
          <w:rFonts w:ascii="Calibri" w:cs="Calibri" w:eastAsia="Calibri" w:hAnsi="Calibri"/>
          <w:sz w:val="22"/>
          <w:szCs w:val="22"/>
        </w:rPr>
        <w:t xml:space="preserve">reject frames that are blurry, too dark, or have faces smaller than roughly 80 to 112 px between the eyes. Rejecting a bad frame costs far less than a false match.</w:t>
      </w:r>
    </w:p>
    <w:p>
      <w:pPr>
        <w:pStyle w:val="ListParagraph"/>
        <w:numPr>
          <w:ilvl w:val="0"/>
          <w:numId w:val="2"/>
        </w:numPr>
        <w:spacing w:after="60"/>
      </w:pPr>
      <w:r>
        <w:rPr>
          <w:rFonts w:ascii="Calibri" w:cs="Calibri" w:eastAsia="Calibri" w:hAnsi="Calibri"/>
          <w:b/>
          <w:bCs/>
          <w:sz w:val="22"/>
          <w:szCs w:val="22"/>
        </w:rPr>
        <w:t xml:space="preserve">Edge inference option: </w:t>
      </w:r>
      <w:r>
        <w:rPr>
          <w:rFonts w:ascii="Calibri" w:cs="Calibri" w:eastAsia="Calibri" w:hAnsi="Calibri"/>
          <w:sz w:val="22"/>
          <w:szCs w:val="22"/>
        </w:rPr>
        <w:t xml:space="preserve">run detection and liveness on Jetson-class or similar hardware and send only face crops or embeddings upstream. This cuts bandwidth and keeps raw video on-premises, which also helps compliance.</w:t>
      </w:r>
    </w:p>
    <w:p>
      <w:pPr>
        <w:pStyle w:val="ListParagraph"/>
        <w:numPr>
          <w:ilvl w:val="0"/>
          <w:numId w:val="2"/>
        </w:numPr>
        <w:spacing w:after="60"/>
      </w:pPr>
      <w:r>
        <w:rPr>
          <w:rFonts w:ascii="Calibri" w:cs="Calibri" w:eastAsia="Calibri" w:hAnsi="Calibri"/>
          <w:b/>
          <w:bCs/>
          <w:sz w:val="22"/>
          <w:szCs w:val="22"/>
        </w:rPr>
        <w:t xml:space="preserve">Liveness at the edge: </w:t>
      </w:r>
      <w:r>
        <w:rPr>
          <w:rFonts w:ascii="Calibri" w:cs="Calibri" w:eastAsia="Calibri" w:hAnsi="Calibri"/>
          <w:sz w:val="22"/>
          <w:szCs w:val="22"/>
        </w:rPr>
        <w:t xml:space="preserve">a depth or IR camera is the strongest option when hardware is available. A plain RGB webcam relies on software liveness (see Section 4).</w:t>
      </w:r>
    </w:p>
    <w:p>
      <w:pPr>
        <w:pStyle w:val="Heading1"/>
        <w:keepNext/>
        <w:spacing w:after="120" w:before="320"/>
      </w:pPr>
      <w:r>
        <w:rPr>
          <w:rFonts w:ascii="Calibri" w:cs="Calibri" w:eastAsia="Calibri" w:hAnsi="Calibri"/>
          <w:b/>
          <w:bCs/>
          <w:color w:val="1F3864"/>
          <w:sz w:val="28"/>
          <w:szCs w:val="28"/>
        </w:rPr>
        <w:t xml:space="preserve">3. Ingestion and Processing Pipeline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4726"/>
      </w:tblGrid>
      <w:tr>
        <w:trPr>
          <w:tblHeader/>
        </w:trPr>
        <w:tc>
          <w:tcPr>
            <w:tcW w:type="dxa" w:w="17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Stage</w:t>
            </w:r>
          </w:p>
        </w:tc>
        <w:tc>
          <w:tcPr>
            <w:tcW w:type="dxa" w:w="26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Purpose</w:t>
            </w:r>
          </w:p>
        </w:tc>
        <w:tc>
          <w:tcPr>
            <w:tcW w:type="dxa" w:w="4726"/>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Recommended approach</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sz w:val="20"/>
                <w:szCs w:val="20"/>
              </w:rPr>
              <w:t xml:space="preserve">Transport</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sz w:val="20"/>
                <w:szCs w:val="20"/>
              </w:rPr>
              <w:t xml:space="preserve">Decouple capture from inference</w:t>
            </w:r>
          </w:p>
        </w:tc>
        <w:tc>
          <w:tcPr>
            <w:tcW w:type="dxa" w:w="47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sz w:val="20"/>
                <w:szCs w:val="20"/>
              </w:rPr>
              <w:t xml:space="preserve">Redis Streams or RabbitMQ for small deployments; Kafka for multi-site</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sz w:val="20"/>
                <w:szCs w:val="20"/>
              </w:rPr>
              <w:t xml:space="preserve">Frame sampling</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sz w:val="20"/>
                <w:szCs w:val="20"/>
              </w:rPr>
              <w:t xml:space="preserve">Avoid processing every frame</w:t>
            </w:r>
          </w:p>
        </w:tc>
        <w:tc>
          <w:tcPr>
            <w:tcW w:type="dxa" w:w="47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sz w:val="20"/>
                <w:szCs w:val="20"/>
              </w:rPr>
              <w:t xml:space="preserve">5 to 10 FPS is enough for attendance</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sz w:val="20"/>
                <w:szCs w:val="20"/>
              </w:rPr>
              <w:t xml:space="preserve">Face detection</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sz w:val="20"/>
                <w:szCs w:val="20"/>
              </w:rPr>
              <w:t xml:space="preserve">Locate faces and 5 landmarks</w:t>
            </w:r>
          </w:p>
        </w:tc>
        <w:tc>
          <w:tcPr>
            <w:tcW w:type="dxa" w:w="47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sz w:val="20"/>
                <w:szCs w:val="20"/>
              </w:rPr>
              <w:t xml:space="preserve">RetinaFace or SCRFD (via InsightFace) for accuracy; YuNet (built into OpenCV) for fast CPU use; MTCNN for simple prototypes</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sz w:val="20"/>
                <w:szCs w:val="20"/>
              </w:rPr>
              <w:t xml:space="preserve">Tracking</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sz w:val="20"/>
                <w:szCs w:val="20"/>
              </w:rPr>
              <w:t xml:space="preserve">Do not re-embed the same person every frame</w:t>
            </w:r>
          </w:p>
        </w:tc>
        <w:tc>
          <w:tcPr>
            <w:tcW w:type="dxa" w:w="47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sz w:val="20"/>
                <w:szCs w:val="20"/>
              </w:rPr>
              <w:t xml:space="preserve">ByteTrack or SORT. Embed once per track, or on the best-quality frame</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sz w:val="20"/>
                <w:szCs w:val="20"/>
              </w:rPr>
              <w:t xml:space="preserve">Alignment</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sz w:val="20"/>
                <w:szCs w:val="20"/>
              </w:rPr>
              <w:t xml:space="preserve">Normalize pose for the embedding model</w:t>
            </w:r>
          </w:p>
        </w:tc>
        <w:tc>
          <w:tcPr>
            <w:tcW w:type="dxa" w:w="47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sz w:val="20"/>
                <w:szCs w:val="20"/>
              </w:rPr>
              <w:t xml:space="preserve">Similarity transform from 5 landmarks to 112x112</w:t>
            </w:r>
          </w:p>
        </w:tc>
      </w:tr>
    </w:tbl>
    <w:p>
      <w:pPr>
        <w:spacing w:after="80"/>
      </w:pPr>
    </w:p>
    <w:p>
      <w:pPr>
        <w:spacing w:after="120" w:line="276"/>
      </w:pPr>
      <w:r>
        <w:rPr>
          <w:rFonts w:ascii="Calibri" w:cs="Calibri" w:eastAsia="Calibri" w:hAnsi="Calibri"/>
          <w:b/>
          <w:bCs/>
          <w:sz w:val="22"/>
          <w:szCs w:val="22"/>
        </w:rPr>
        <w:t xml:space="preserve">Why these choices: </w:t>
      </w:r>
      <w:r>
        <w:rPr>
          <w:rFonts w:ascii="Calibri" w:cs="Calibri" w:eastAsia="Calibri" w:hAnsi="Calibri"/>
          <w:sz w:val="22"/>
          <w:szCs w:val="22"/>
        </w:rPr>
        <w:t xml:space="preserve">MTCNN is easy and runs on CPU but is weaker on small, tilted, or occluded faces. RetinaFace and SCRFD are more robust at similar or better speed with proper runtime optimization. Tracking is the biggest practical win, because it reduces embedding calls by an order of magnitude in a crowded entrance.</w:t>
      </w:r>
    </w:p>
    <w:p>
      <w:pPr>
        <w:pStyle w:val="Heading1"/>
        <w:keepNext/>
        <w:spacing w:after="120" w:before="320"/>
      </w:pPr>
      <w:r>
        <w:rPr>
          <w:rFonts w:ascii="Calibri" w:cs="Calibri" w:eastAsia="Calibri" w:hAnsi="Calibri"/>
          <w:b/>
          <w:bCs/>
          <w:color w:val="1F3864"/>
          <w:sz w:val="28"/>
          <w:szCs w:val="28"/>
        </w:rPr>
        <w:t xml:space="preserve">4. Core AI/ML Engine</w:t>
      </w:r>
    </w:p>
    <w:p>
      <w:pPr>
        <w:pStyle w:val="Heading2"/>
        <w:keepNext/>
        <w:spacing w:after="80" w:before="200"/>
      </w:pPr>
      <w:r>
        <w:rPr>
          <w:rFonts w:ascii="Calibri" w:cs="Calibri" w:eastAsia="Calibri" w:hAnsi="Calibri"/>
          <w:b/>
          <w:bCs/>
          <w:color w:val="2E5597"/>
          <w:sz w:val="24"/>
          <w:szCs w:val="24"/>
        </w:rPr>
        <w:t xml:space="preserve">4.1 Recognition model</w:t>
      </w:r>
    </w:p>
    <w:p>
      <w:pPr>
        <w:pStyle w:val="ListParagraph"/>
        <w:numPr>
          <w:ilvl w:val="0"/>
          <w:numId w:val="2"/>
        </w:numPr>
        <w:spacing w:after="60"/>
      </w:pPr>
      <w:r>
        <w:rPr>
          <w:rFonts w:ascii="Calibri" w:cs="Calibri" w:eastAsia="Calibri" w:hAnsi="Calibri"/>
          <w:b/>
          <w:bCs/>
          <w:sz w:val="22"/>
          <w:szCs w:val="22"/>
        </w:rPr>
        <w:t xml:space="preserve">ArcFace (via InsightFace, ResNet-50/100 backbones) </w:t>
      </w:r>
      <w:r>
        <w:rPr>
          <w:rFonts w:ascii="Calibri" w:cs="Calibri" w:eastAsia="Calibri" w:hAnsi="Calibri"/>
          <w:sz w:val="22"/>
          <w:szCs w:val="22"/>
        </w:rPr>
        <w:t xml:space="preserve">is the recommended default. Its angular margin loss gives better separation between similar-looking people than FaceNet's triplet loss.</w:t>
      </w:r>
    </w:p>
    <w:p>
      <w:pPr>
        <w:pStyle w:val="ListParagraph"/>
        <w:numPr>
          <w:ilvl w:val="0"/>
          <w:numId w:val="2"/>
        </w:numPr>
        <w:spacing w:after="60"/>
      </w:pPr>
      <w:r>
        <w:rPr>
          <w:rFonts w:ascii="Calibri" w:cs="Calibri" w:eastAsia="Calibri" w:hAnsi="Calibri"/>
          <w:b/>
          <w:bCs/>
          <w:sz w:val="22"/>
          <w:szCs w:val="22"/>
        </w:rPr>
        <w:t xml:space="preserve">FaceNet </w:t>
      </w:r>
      <w:r>
        <w:rPr>
          <w:rFonts w:ascii="Calibri" w:cs="Calibri" w:eastAsia="Calibri" w:hAnsi="Calibri"/>
          <w:sz w:val="22"/>
          <w:szCs w:val="22"/>
        </w:rPr>
        <w:t xml:space="preserve">is still valid for prototypes and has simple PyTorch implementations.</w:t>
      </w:r>
    </w:p>
    <w:p>
      <w:pPr>
        <w:pStyle w:val="ListParagraph"/>
        <w:numPr>
          <w:ilvl w:val="0"/>
          <w:numId w:val="2"/>
        </w:numPr>
        <w:spacing w:after="60"/>
      </w:pPr>
      <w:r>
        <w:rPr>
          <w:rFonts w:ascii="Calibri" w:cs="Calibri" w:eastAsia="Calibri" w:hAnsi="Calibri"/>
          <w:sz w:val="22"/>
          <w:szCs w:val="22"/>
        </w:rPr>
        <w:t xml:space="preserve">Both reach over 99% on LFW, but LFW is saturated and does not predict real-world performance. Evaluate on your own camera, lighting, and population.</w:t>
      </w:r>
    </w:p>
    <w:p>
      <w:pPr>
        <w:pStyle w:val="Heading2"/>
        <w:keepNext/>
        <w:spacing w:after="80" w:before="200"/>
      </w:pPr>
      <w:r>
        <w:rPr>
          <w:rFonts w:ascii="Calibri" w:cs="Calibri" w:eastAsia="Calibri" w:hAnsi="Calibri"/>
          <w:b/>
          <w:bCs/>
          <w:color w:val="2E5597"/>
          <w:sz w:val="24"/>
          <w:szCs w:val="24"/>
        </w:rPr>
        <w:t xml:space="preserve">4.2 Vector search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3826"/>
      </w:tblGrid>
      <w:tr>
        <w:trPr>
          <w:tblHeader/>
        </w:trPr>
        <w:tc>
          <w:tcPr>
            <w:tcW w:type="dxa" w:w="23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Option</w:t>
            </w:r>
          </w:p>
        </w:tc>
        <w:tc>
          <w:tcPr>
            <w:tcW w:type="dxa" w:w="29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Best for</w:t>
            </w:r>
          </w:p>
        </w:tc>
        <w:tc>
          <w:tcPr>
            <w:tcW w:type="dxa" w:w="3826"/>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Trade-off</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sz w:val="20"/>
                <w:szCs w:val="20"/>
              </w:rPr>
              <w:t xml:space="preserve">NumPy / FAISS in-memory</w:t>
            </w:r>
          </w:p>
        </w:tc>
        <w:tc>
          <w:tcPr>
            <w:tcW w:type="dxa" w:w="29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sz w:val="20"/>
                <w:szCs w:val="20"/>
              </w:rPr>
              <w:t xml:space="preserve">Under about 100k identities</w:t>
            </w:r>
          </w:p>
        </w:tc>
        <w:tc>
          <w:tcPr>
            <w:tcW w:type="dxa" w:w="38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sz w:val="20"/>
                <w:szCs w:val="20"/>
              </w:rPr>
              <w:t xml:space="preserve">Simplest, sub-millisecond</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sz w:val="20"/>
                <w:szCs w:val="20"/>
              </w:rPr>
              <w:t xml:space="preserve">pgvector (HNSW)</w:t>
            </w:r>
          </w:p>
        </w:tc>
        <w:tc>
          <w:tcPr>
            <w:tcW w:type="dxa" w:w="29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sz w:val="20"/>
                <w:szCs w:val="20"/>
              </w:rPr>
              <w:t xml:space="preserve">Up to low millions</w:t>
            </w:r>
          </w:p>
        </w:tc>
        <w:tc>
          <w:tcPr>
            <w:tcW w:type="dxa" w:w="38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sz w:val="20"/>
                <w:szCs w:val="20"/>
              </w:rPr>
              <w:t xml:space="preserve">One database, transactional, easy operations</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sz w:val="20"/>
                <w:szCs w:val="20"/>
              </w:rPr>
              <w:t xml:space="preserve">Milvus</w:t>
            </w:r>
          </w:p>
        </w:tc>
        <w:tc>
          <w:tcPr>
            <w:tcW w:type="dxa" w:w="29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sz w:val="20"/>
                <w:szCs w:val="20"/>
              </w:rPr>
              <w:t xml:space="preserve">Tens of millions or more, multi-tenant</w:t>
            </w:r>
          </w:p>
        </w:tc>
        <w:tc>
          <w:tcPr>
            <w:tcW w:type="dxa" w:w="38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sz w:val="20"/>
                <w:szCs w:val="20"/>
              </w:rPr>
              <w:t xml:space="preserve">Extra infrastructure to run</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sz w:val="20"/>
                <w:szCs w:val="20"/>
              </w:rPr>
              <w:t xml:space="preserve">Pinecone</w:t>
            </w:r>
          </w:p>
        </w:tc>
        <w:tc>
          <w:tcPr>
            <w:tcW w:type="dxa" w:w="29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sz w:val="20"/>
                <w:szCs w:val="20"/>
              </w:rPr>
              <w:t xml:space="preserve">Managed, no operations</w:t>
            </w:r>
          </w:p>
        </w:tc>
        <w:tc>
          <w:tcPr>
            <w:tcW w:type="dxa" w:w="38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sz w:val="20"/>
                <w:szCs w:val="20"/>
              </w:rPr>
              <w:t xml:space="preserve">Cost, and biometric data leaves your infrastructure</w:t>
            </w:r>
          </w:p>
        </w:tc>
      </w:tr>
    </w:tbl>
    <w:p>
      <w:pPr>
        <w:spacing w:after="80"/>
      </w:pPr>
    </w:p>
    <w:p>
      <w:pPr>
        <w:spacing w:after="120" w:line="276"/>
      </w:pPr>
      <w:r>
        <w:rPr>
          <w:rFonts w:ascii="Calibri" w:cs="Calibri" w:eastAsia="Calibri" w:hAnsi="Calibri"/>
          <w:sz w:val="22"/>
          <w:szCs w:val="22"/>
        </w:rPr>
        <w:t xml:space="preserve">A typical campus or company has 500 to 50,000 people, so a dedicated vector database is usually over-engineering. pgvector is the pragmatic choice.</w:t>
      </w:r>
    </w:p>
    <w:p>
      <w:pPr>
        <w:pStyle w:val="Heading2"/>
        <w:keepNext/>
        <w:spacing w:after="80" w:before="200"/>
      </w:pPr>
      <w:r>
        <w:rPr>
          <w:rFonts w:ascii="Calibri" w:cs="Calibri" w:eastAsia="Calibri" w:hAnsi="Calibri"/>
          <w:b/>
          <w:bCs/>
          <w:color w:val="2E5597"/>
          <w:sz w:val="24"/>
          <w:szCs w:val="24"/>
        </w:rPr>
        <w:t xml:space="preserve">4.3 Liveness / Presentation Attack Detection (PAD)</w:t>
      </w:r>
    </w:p>
    <w:p>
      <w:pPr>
        <w:pStyle w:val="ListParagraph"/>
        <w:numPr>
          <w:ilvl w:val="0"/>
          <w:numId w:val="2"/>
        </w:numPr>
        <w:spacing w:after="60"/>
      </w:pPr>
      <w:r>
        <w:rPr>
          <w:rFonts w:ascii="Calibri" w:cs="Calibri" w:eastAsia="Calibri" w:hAnsi="Calibri"/>
          <w:b/>
          <w:bCs/>
          <w:sz w:val="22"/>
          <w:szCs w:val="22"/>
        </w:rPr>
        <w:t xml:space="preserve">Passive: </w:t>
      </w:r>
      <w:r>
        <w:rPr>
          <w:rFonts w:ascii="Calibri" w:cs="Calibri" w:eastAsia="Calibri" w:hAnsi="Calibri"/>
          <w:sz w:val="22"/>
          <w:szCs w:val="22"/>
        </w:rPr>
        <w:t xml:space="preserve">a CNN analyses texture, moiré patterns, reflections, and screen artifacts from a single frame (e.g., MiniFASNet-style models). No user friction, and it works well against printed photos and basic screen replays.</w:t>
      </w:r>
    </w:p>
    <w:p>
      <w:pPr>
        <w:pStyle w:val="ListParagraph"/>
        <w:numPr>
          <w:ilvl w:val="0"/>
          <w:numId w:val="2"/>
        </w:numPr>
        <w:spacing w:after="60"/>
      </w:pPr>
      <w:r>
        <w:rPr>
          <w:rFonts w:ascii="Calibri" w:cs="Calibri" w:eastAsia="Calibri" w:hAnsi="Calibri"/>
          <w:b/>
          <w:bCs/>
          <w:sz w:val="22"/>
          <w:szCs w:val="22"/>
        </w:rPr>
        <w:t xml:space="preserve">Active: </w:t>
      </w:r>
      <w:r>
        <w:rPr>
          <w:rFonts w:ascii="Calibri" w:cs="Calibri" w:eastAsia="Calibri" w:hAnsi="Calibri"/>
          <w:sz w:val="22"/>
          <w:szCs w:val="22"/>
        </w:rPr>
        <w:t xml:space="preserve">challenge-response such as blink, head turn, or smile. Stronger against replays but slower and more intrusive.</w:t>
      </w:r>
    </w:p>
    <w:p>
      <w:pPr>
        <w:pStyle w:val="ListParagraph"/>
        <w:numPr>
          <w:ilvl w:val="0"/>
          <w:numId w:val="2"/>
        </w:numPr>
        <w:spacing w:after="60"/>
      </w:pPr>
      <w:r>
        <w:rPr>
          <w:rFonts w:ascii="Calibri" w:cs="Calibri" w:eastAsia="Calibri" w:hAnsi="Calibri"/>
          <w:b/>
          <w:bCs/>
          <w:sz w:val="22"/>
          <w:szCs w:val="22"/>
        </w:rPr>
        <w:t xml:space="preserve">Recommended: </w:t>
      </w:r>
      <w:r>
        <w:rPr>
          <w:rFonts w:ascii="Calibri" w:cs="Calibri" w:eastAsia="Calibri" w:hAnsi="Calibri"/>
          <w:sz w:val="22"/>
          <w:szCs w:val="22"/>
        </w:rPr>
        <w:t xml:space="preserve">passive by default, escalating to active when the passive score is borderline. Depth or IR hardware gives the best protection against masks and deepfake injection.</w:t>
      </w:r>
    </w:p>
    <w:p>
      <w:pPr>
        <w:pStyle w:val="ListParagraph"/>
        <w:numPr>
          <w:ilvl w:val="0"/>
          <w:numId w:val="2"/>
        </w:numPr>
        <w:spacing w:after="60"/>
      </w:pPr>
      <w:r>
        <w:rPr>
          <w:rFonts w:ascii="Calibri" w:cs="Calibri" w:eastAsia="Calibri" w:hAnsi="Calibri"/>
          <w:b/>
          <w:bCs/>
          <w:sz w:val="22"/>
          <w:szCs w:val="22"/>
        </w:rPr>
        <w:t xml:space="preserve">Evaluation standard: </w:t>
      </w:r>
      <w:r>
        <w:rPr>
          <w:rFonts w:ascii="Calibri" w:cs="Calibri" w:eastAsia="Calibri" w:hAnsi="Calibri"/>
          <w:sz w:val="22"/>
          <w:szCs w:val="22"/>
        </w:rPr>
        <w:t xml:space="preserve">ISO/IEC 30107-3, with APCER (attacks wrongly accepted) and BPCER (genuine users wrongly rejected).</w:t>
      </w:r>
    </w:p>
    <w:p>
      <w:pPr>
        <w:pStyle w:val="Heading2"/>
        <w:keepNext/>
        <w:spacing w:after="80" w:before="200"/>
      </w:pPr>
      <w:r>
        <w:rPr>
          <w:rFonts w:ascii="Calibri" w:cs="Calibri" w:eastAsia="Calibri" w:hAnsi="Calibri"/>
          <w:b/>
          <w:bCs/>
          <w:color w:val="2E5597"/>
          <w:sz w:val="24"/>
          <w:szCs w:val="24"/>
        </w:rPr>
        <w:t xml:space="preserve">4.4 Decision logic</w:t>
      </w:r>
    </w:p>
    <w:p>
      <w:pPr>
        <w:spacing w:after="120" w:line="276"/>
      </w:pPr>
      <w:r>
        <w:rPr>
          <w:rFonts w:ascii="Calibri" w:cs="Calibri" w:eastAsia="Calibri" w:hAnsi="Calibri"/>
          <w:sz w:val="22"/>
          <w:szCs w:val="22"/>
        </w:rPr>
        <w:t xml:space="preserve">Compute the cosine similarity of the query embedding against the top-k candidates. Accept only if the score passes the threshold, and optionally require a margin over the second-best match. Thresholds are model- and data-specific, so calibrate on your own data and do not copy values from blog posts.</w:t>
      </w:r>
    </w:p>
    <w:p>
      <w:pPr>
        <w:pStyle w:val="Heading1"/>
        <w:keepNext/>
        <w:spacing w:after="120" w:before="320"/>
      </w:pPr>
      <w:r>
        <w:rPr>
          <w:rFonts w:ascii="Calibri" w:cs="Calibri" w:eastAsia="Calibri" w:hAnsi="Calibri"/>
          <w:b/>
          <w:bCs/>
          <w:color w:val="1F3864"/>
          <w:sz w:val="28"/>
          <w:szCs w:val="28"/>
        </w:rPr>
        <w:t xml:space="preserve">5. Backend and Data Layer</w:t>
      </w:r>
    </w:p>
    <w:p>
      <w:pPr>
        <w:pStyle w:val="ListParagraph"/>
        <w:numPr>
          <w:ilvl w:val="0"/>
          <w:numId w:val="2"/>
        </w:numPr>
        <w:spacing w:after="60"/>
      </w:pPr>
      <w:r>
        <w:rPr>
          <w:rFonts w:ascii="Calibri" w:cs="Calibri" w:eastAsia="Calibri" w:hAnsi="Calibri"/>
          <w:b/>
          <w:bCs/>
          <w:sz w:val="22"/>
          <w:szCs w:val="22"/>
        </w:rPr>
        <w:t xml:space="preserve">PostgreSQL: </w:t>
      </w:r>
      <w:r>
        <w:rPr>
          <w:rFonts w:ascii="Calibri" w:cs="Calibri" w:eastAsia="Calibri" w:hAnsi="Calibri"/>
          <w:sz w:val="22"/>
          <w:szCs w:val="22"/>
        </w:rPr>
        <w:t xml:space="preserve">users, embeddings, attendance_events, audit_log. Partition attendance_events by month.</w:t>
      </w:r>
    </w:p>
    <w:p>
      <w:pPr>
        <w:pStyle w:val="ListParagraph"/>
        <w:numPr>
          <w:ilvl w:val="0"/>
          <w:numId w:val="2"/>
        </w:numPr>
        <w:spacing w:after="60"/>
      </w:pPr>
      <w:r>
        <w:rPr>
          <w:rFonts w:ascii="Calibri" w:cs="Calibri" w:eastAsia="Calibri" w:hAnsi="Calibri"/>
          <w:b/>
          <w:bCs/>
          <w:sz w:val="22"/>
          <w:szCs w:val="22"/>
        </w:rPr>
        <w:t xml:space="preserve">Redis: </w:t>
      </w:r>
      <w:r>
        <w:rPr>
          <w:rFonts w:ascii="Calibri" w:cs="Calibri" w:eastAsia="Calibri" w:hAnsi="Calibri"/>
          <w:sz w:val="22"/>
          <w:szCs w:val="22"/>
        </w:rPr>
        <w:t xml:space="preserve">dedupe window (do not log the same person twice within N minutes, using a key with TTL), session cache, rate limiting.</w:t>
      </w:r>
    </w:p>
    <w:p>
      <w:pPr>
        <w:pStyle w:val="ListParagraph"/>
        <w:numPr>
          <w:ilvl w:val="0"/>
          <w:numId w:val="2"/>
        </w:numPr>
        <w:spacing w:after="60"/>
      </w:pPr>
      <w:r>
        <w:rPr>
          <w:rFonts w:ascii="Calibri" w:cs="Calibri" w:eastAsia="Calibri" w:hAnsi="Calibri"/>
          <w:b/>
          <w:bCs/>
          <w:sz w:val="22"/>
          <w:szCs w:val="22"/>
        </w:rPr>
        <w:t xml:space="preserve">Model upgrades: </w:t>
      </w:r>
      <w:r>
        <w:rPr>
          <w:rFonts w:ascii="Calibri" w:cs="Calibri" w:eastAsia="Calibri" w:hAnsi="Calibri"/>
          <w:sz w:val="22"/>
          <w:szCs w:val="22"/>
        </w:rPr>
        <w:t xml:space="preserve">embeddings from different models are not comparable, so switching models means re-embedding everyone. Keep enrollment source images (with consent and retention rules) or plan a re-enrollment.</w:t>
      </w:r>
    </w:p>
    <w:p>
      <w:pPr>
        <w:pStyle w:val="ListParagraph"/>
        <w:numPr>
          <w:ilvl w:val="0"/>
          <w:numId w:val="2"/>
        </w:numPr>
        <w:spacing w:after="60"/>
      </w:pPr>
      <w:r>
        <w:rPr>
          <w:rFonts w:ascii="Calibri" w:cs="Calibri" w:eastAsia="Calibri" w:hAnsi="Calibri"/>
          <w:b/>
          <w:bCs/>
          <w:sz w:val="22"/>
          <w:szCs w:val="22"/>
        </w:rPr>
        <w:t xml:space="preserve">Idempotency: </w:t>
      </w:r>
      <w:r>
        <w:rPr>
          <w:rFonts w:ascii="Calibri" w:cs="Calibri" w:eastAsia="Calibri" w:hAnsi="Calibri"/>
          <w:sz w:val="22"/>
          <w:szCs w:val="22"/>
        </w:rPr>
        <w:t xml:space="preserve">attendance writes should be idempotent (unique key on user, date, session) so retries never create duplicates.</w:t>
      </w:r>
    </w:p>
    <w:p>
      <w:pPr>
        <w:pStyle w:val="ListParagraph"/>
        <w:numPr>
          <w:ilvl w:val="0"/>
          <w:numId w:val="2"/>
        </w:numPr>
        <w:spacing w:after="60"/>
      </w:pPr>
      <w:r>
        <w:rPr>
          <w:rFonts w:ascii="Calibri" w:cs="Calibri" w:eastAsia="Calibri" w:hAnsi="Calibri"/>
          <w:b/>
          <w:bCs/>
          <w:sz w:val="22"/>
          <w:szCs w:val="22"/>
        </w:rPr>
        <w:t xml:space="preserve">Backend framework: </w:t>
      </w:r>
      <w:r>
        <w:rPr>
          <w:rFonts w:ascii="Calibri" w:cs="Calibri" w:eastAsia="Calibri" w:hAnsi="Calibri"/>
          <w:sz w:val="22"/>
          <w:szCs w:val="22"/>
        </w:rPr>
        <w:t xml:space="preserve">FastAPI gives async I/O, automatic OpenAPI docs, and a natural fit with the Python ML stack. Node.js makes sense only if the team is JavaScript-first, with inference kept as a separate Python service.</w:t>
      </w:r>
    </w:p>
    <w:p>
      <w:pPr>
        <w:spacing w:after="120" w:line="276"/>
      </w:pPr>
      <w:r>
        <w:rPr>
          <w:rFonts w:ascii="Calibri" w:cs="Calibri" w:eastAsia="Calibri" w:hAnsi="Calibri"/>
          <w:b/>
          <w:bCs/>
          <w:sz w:val="22"/>
          <w:szCs w:val="22"/>
        </w:rPr>
        <w:t xml:space="preserve">Embedding table essentials:</w:t>
      </w:r>
    </w:p>
    <w:p>
      <w:pPr>
        <w:shd w:fill="F2F2F2" w:color="auto" w:val="clear"/>
        <w:spacing w:after="0" w:line="240"/>
      </w:pPr>
      <w:r>
        <w:rPr>
          <w:rFonts w:ascii="Consolas" w:cs="Consolas" w:eastAsia="Consolas" w:hAnsi="Consolas"/>
          <w:sz w:val="18"/>
          <w:szCs w:val="18"/>
        </w:rPr>
        <w:t xml:space="preserve">CREATE TABLE face_embeddings (</w:t>
      </w:r>
    </w:p>
    <w:p>
      <w:pPr>
        <w:shd w:fill="F2F2F2" w:color="auto" w:val="clear"/>
        <w:spacing w:after="0" w:line="240"/>
      </w:pPr>
      <w:r>
        <w:rPr>
          <w:rFonts w:ascii="Consolas" w:cs="Consolas" w:eastAsia="Consolas" w:hAnsi="Consolas"/>
          <w:sz w:val="18"/>
          <w:szCs w:val="18"/>
        </w:rPr>
        <w:t xml:space="preserve">  id          BIGSERIAL PRIMARY KEY,</w:t>
      </w:r>
    </w:p>
    <w:p>
      <w:pPr>
        <w:shd w:fill="F2F2F2" w:color="auto" w:val="clear"/>
        <w:spacing w:after="0" w:line="240"/>
      </w:pPr>
      <w:r>
        <w:rPr>
          <w:rFonts w:ascii="Consolas" w:cs="Consolas" w:eastAsia="Consolas" w:hAnsi="Consolas"/>
          <w:sz w:val="18"/>
          <w:szCs w:val="18"/>
        </w:rPr>
        <w:t xml:space="preserve">  user_id     BIGINT REFERENCES users(id) ON DELETE CASCADE,</w:t>
      </w:r>
    </w:p>
    <w:p>
      <w:pPr>
        <w:shd w:fill="F2F2F2" w:color="auto" w:val="clear"/>
        <w:spacing w:after="0" w:line="240"/>
      </w:pPr>
      <w:r>
        <w:rPr>
          <w:rFonts w:ascii="Consolas" w:cs="Consolas" w:eastAsia="Consolas" w:hAnsi="Consolas"/>
          <w:sz w:val="18"/>
          <w:szCs w:val="18"/>
        </w:rPr>
        <w:t xml:space="preserve">  embedding   VECTOR(512) NOT NULL,</w:t>
      </w:r>
    </w:p>
    <w:p>
      <w:pPr>
        <w:shd w:fill="F2F2F2" w:color="auto" w:val="clear"/>
        <w:spacing w:after="0" w:line="240"/>
      </w:pPr>
      <w:r>
        <w:rPr>
          <w:rFonts w:ascii="Consolas" w:cs="Consolas" w:eastAsia="Consolas" w:hAnsi="Consolas"/>
          <w:sz w:val="18"/>
          <w:szCs w:val="18"/>
        </w:rPr>
        <w:t xml:space="preserve">  model_ver   TEXT NOT NULL,  -- embeddings from different models</w:t>
      </w:r>
    </w:p>
    <w:p>
      <w:pPr>
        <w:shd w:fill="F2F2F2" w:color="auto" w:val="clear"/>
        <w:spacing w:after="0" w:line="240"/>
      </w:pPr>
      <w:r>
        <w:rPr>
          <w:rFonts w:ascii="Consolas" w:cs="Consolas" w:eastAsia="Consolas" w:hAnsi="Consolas"/>
          <w:sz w:val="18"/>
          <w:szCs w:val="18"/>
        </w:rPr>
        <w:t xml:space="preserve">                              -- are NOT comparable</w:t>
      </w:r>
    </w:p>
    <w:p>
      <w:pPr>
        <w:shd w:fill="F2F2F2" w:color="auto" w:val="clear"/>
        <w:spacing w:after="0" w:line="240"/>
      </w:pPr>
      <w:r>
        <w:rPr>
          <w:rFonts w:ascii="Consolas" w:cs="Consolas" w:eastAsia="Consolas" w:hAnsi="Consolas"/>
          <w:sz w:val="18"/>
          <w:szCs w:val="18"/>
        </w:rPr>
        <w:t xml:space="preserve">  quality     REAL,</w:t>
      </w:r>
    </w:p>
    <w:p>
      <w:pPr>
        <w:shd w:fill="F2F2F2" w:color="auto" w:val="clear"/>
        <w:spacing w:after="0" w:line="240"/>
      </w:pPr>
      <w:r>
        <w:rPr>
          <w:rFonts w:ascii="Consolas" w:cs="Consolas" w:eastAsia="Consolas" w:hAnsi="Consolas"/>
          <w:sz w:val="18"/>
          <w:szCs w:val="18"/>
        </w:rPr>
        <w:t xml:space="preserve">  created_at  TIMESTAMPTZ DEFAULT now()</w:t>
      </w:r>
    </w:p>
    <w:p>
      <w:pPr>
        <w:shd w:fill="F2F2F2" w:color="auto" w:val="clear"/>
        <w:spacing w:after="0" w:line="240"/>
      </w:pPr>
      <w:r>
        <w:rPr>
          <w:rFonts w:ascii="Consolas" w:cs="Consolas" w:eastAsia="Consolas" w:hAnsi="Consolas"/>
          <w:sz w:val="18"/>
          <w:szCs w:val="18"/>
        </w:rPr>
        <w:t xml:space="preserve">);</w:t>
      </w:r>
    </w:p>
    <w:p>
      <w:pPr>
        <w:shd w:fill="F2F2F2" w:color="auto" w:val="clear"/>
        <w:spacing w:after="0" w:line="240"/>
      </w:pPr>
      <w:r>
        <w:rPr>
          <w:rFonts w:ascii="Consolas" w:cs="Consolas" w:eastAsia="Consolas" w:hAnsi="Consolas"/>
          <w:sz w:val="18"/>
          <w:szCs w:val="18"/>
        </w:rPr>
        <w:t xml:space="preserve">CREATE INDEX ON face_embeddings</w:t>
      </w:r>
    </w:p>
    <w:p>
      <w:pPr>
        <w:shd w:fill="F2F2F2" w:color="auto" w:val="clear"/>
        <w:spacing w:after="0" w:line="240"/>
      </w:pPr>
      <w:r>
        <w:rPr>
          <w:rFonts w:ascii="Consolas" w:cs="Consolas" w:eastAsia="Consolas" w:hAnsi="Consolas"/>
          <w:sz w:val="18"/>
          <w:szCs w:val="18"/>
        </w:rPr>
        <w:t xml:space="preserve">  USING hnsw (embedding vector_cosine_ops);</w:t>
      </w:r>
    </w:p>
    <w:p>
      <w:pPr>
        <w:spacing w:after="80"/>
      </w:pPr>
    </w:p>
    <w:p>
      <w:pPr>
        <w:pStyle w:val="Heading1"/>
        <w:keepNext/>
        <w:spacing w:after="120" w:before="320"/>
      </w:pPr>
      <w:r>
        <w:rPr>
          <w:rFonts w:ascii="Calibri" w:cs="Calibri" w:eastAsia="Calibri" w:hAnsi="Calibri"/>
          <w:b/>
          <w:bCs/>
          <w:color w:val="1F3864"/>
          <w:sz w:val="28"/>
          <w:szCs w:val="28"/>
        </w:rPr>
        <w:t xml:space="preserve">6. Administration and Integration Layer</w:t>
      </w:r>
    </w:p>
    <w:p>
      <w:pPr>
        <w:pStyle w:val="ListParagraph"/>
        <w:numPr>
          <w:ilvl w:val="0"/>
          <w:numId w:val="2"/>
        </w:numPr>
        <w:spacing w:after="60"/>
      </w:pPr>
      <w:r>
        <w:rPr>
          <w:rFonts w:ascii="Calibri" w:cs="Calibri" w:eastAsia="Calibri" w:hAnsi="Calibri"/>
          <w:b/>
          <w:bCs/>
          <w:sz w:val="22"/>
          <w:szCs w:val="22"/>
        </w:rPr>
        <w:t xml:space="preserve">APIs: </w:t>
      </w:r>
      <w:r>
        <w:rPr>
          <w:rFonts w:ascii="Calibri" w:cs="Calibri" w:eastAsia="Calibri" w:hAnsi="Calibri"/>
          <w:sz w:val="22"/>
          <w:szCs w:val="22"/>
        </w:rPr>
        <w:t xml:space="preserve">REST plus webhooks for events (attendance.marked, unknown_face.detected). Version the API.</w:t>
      </w:r>
    </w:p>
    <w:p>
      <w:pPr>
        <w:pStyle w:val="ListParagraph"/>
        <w:numPr>
          <w:ilvl w:val="0"/>
          <w:numId w:val="2"/>
        </w:numPr>
        <w:spacing w:after="60"/>
      </w:pPr>
      <w:r>
        <w:rPr>
          <w:rFonts w:ascii="Calibri" w:cs="Calibri" w:eastAsia="Calibri" w:hAnsi="Calibri"/>
          <w:b/>
          <w:bCs/>
          <w:sz w:val="22"/>
          <w:szCs w:val="22"/>
        </w:rPr>
        <w:t xml:space="preserve">HRMS/Payroll: </w:t>
      </w:r>
      <w:r>
        <w:rPr>
          <w:rFonts w:ascii="Calibri" w:cs="Calibri" w:eastAsia="Calibri" w:hAnsi="Calibri"/>
          <w:sz w:val="22"/>
          <w:szCs w:val="22"/>
        </w:rPr>
        <w:t xml:space="preserve">a scheduled export or direct API sync with Workday, SAP SuccessFactors, Odoo, or similar, through an adapter layer so the core system stays vendor-neutral.</w:t>
      </w:r>
    </w:p>
    <w:p>
      <w:pPr>
        <w:pStyle w:val="ListParagraph"/>
        <w:numPr>
          <w:ilvl w:val="0"/>
          <w:numId w:val="2"/>
        </w:numPr>
        <w:spacing w:after="60"/>
      </w:pPr>
      <w:r>
        <w:rPr>
          <w:rFonts w:ascii="Calibri" w:cs="Calibri" w:eastAsia="Calibri" w:hAnsi="Calibri"/>
          <w:b/>
          <w:bCs/>
          <w:sz w:val="22"/>
          <w:szCs w:val="22"/>
        </w:rPr>
        <w:t xml:space="preserve">Dashboard: </w:t>
      </w:r>
      <w:r>
        <w:rPr>
          <w:rFonts w:ascii="Calibri" w:cs="Calibri" w:eastAsia="Calibri" w:hAnsi="Calibri"/>
          <w:sz w:val="22"/>
          <w:szCs w:val="22"/>
        </w:rPr>
        <w:t xml:space="preserve">enrollment, daily and monthly reports, unknown-face review queue, threshold tuning, and CSV/PDF export.</w:t>
      </w:r>
    </w:p>
    <w:p>
      <w:pPr>
        <w:pStyle w:val="ListParagraph"/>
        <w:numPr>
          <w:ilvl w:val="0"/>
          <w:numId w:val="2"/>
        </w:numPr>
        <w:spacing w:after="60"/>
      </w:pPr>
      <w:r>
        <w:rPr>
          <w:rFonts w:ascii="Calibri" w:cs="Calibri" w:eastAsia="Calibri" w:hAnsi="Calibri"/>
          <w:b/>
          <w:bCs/>
          <w:sz w:val="22"/>
          <w:szCs w:val="22"/>
        </w:rPr>
        <w:t xml:space="preserve">Access control: </w:t>
      </w:r>
      <w:r>
        <w:rPr>
          <w:rFonts w:ascii="Calibri" w:cs="Calibri" w:eastAsia="Calibri" w:hAnsi="Calibri"/>
          <w:sz w:val="22"/>
          <w:szCs w:val="22"/>
        </w:rPr>
        <w:t xml:space="preserve">RBAC (admin, HR, viewer), SSO via OIDC, and an immutable audit log of every admin action.</w:t>
      </w:r>
    </w:p>
    <w:p>
      <w:pPr>
        <w:pStyle w:val="ListParagraph"/>
        <w:numPr>
          <w:ilvl w:val="0"/>
          <w:numId w:val="2"/>
        </w:numPr>
        <w:spacing w:after="60"/>
      </w:pPr>
      <w:r>
        <w:rPr>
          <w:rFonts w:ascii="Calibri" w:cs="Calibri" w:eastAsia="Calibri" w:hAnsi="Calibri"/>
          <w:b/>
          <w:bCs/>
          <w:sz w:val="22"/>
          <w:szCs w:val="22"/>
        </w:rPr>
        <w:t xml:space="preserve">DevOps: </w:t>
      </w:r>
      <w:r>
        <w:rPr>
          <w:rFonts w:ascii="Calibri" w:cs="Calibri" w:eastAsia="Calibri" w:hAnsi="Calibri"/>
          <w:sz w:val="22"/>
          <w:szCs w:val="22"/>
        </w:rPr>
        <w:t xml:space="preserve">Docker for everything. Kubernetes for multi-site, with GPU node pools. Serve models via ONNX Runtime or Triton (TensorRT for NVIDIA). Prometheus and Grafana for metrics, OpenTelemetry for tracing, and CI/CD with model versioning.</w:t>
      </w:r>
    </w:p>
    <w:p>
      <w:pPr>
        <w:pStyle w:val="Heading1"/>
        <w:keepNext/>
        <w:spacing w:after="120" w:before="320"/>
      </w:pPr>
      <w:r>
        <w:rPr>
          <w:rFonts w:ascii="Calibri" w:cs="Calibri" w:eastAsia="Calibri" w:hAnsi="Calibri"/>
          <w:b/>
          <w:bCs/>
          <w:color w:val="1F3864"/>
          <w:sz w:val="28"/>
          <w:szCs w:val="28"/>
        </w:rPr>
        <w:t xml:space="preserve">7. Security and Compliance</w:t>
      </w:r>
    </w:p>
    <w:p>
      <w:pPr>
        <w:pStyle w:val="Heading2"/>
        <w:keepNext/>
        <w:spacing w:after="80" w:before="200"/>
      </w:pPr>
      <w:r>
        <w:rPr>
          <w:rFonts w:ascii="Calibri" w:cs="Calibri" w:eastAsia="Calibri" w:hAnsi="Calibri"/>
          <w:b/>
          <w:bCs/>
          <w:color w:val="2E5597"/>
          <w:sz w:val="24"/>
          <w:szCs w:val="24"/>
        </w:rPr>
        <w:t xml:space="preserve">7.1 Regulatory landscape</w:t>
      </w:r>
    </w:p>
    <w:p>
      <w:pPr>
        <w:pStyle w:val="ListParagraph"/>
        <w:numPr>
          <w:ilvl w:val="0"/>
          <w:numId w:val="2"/>
        </w:numPr>
        <w:spacing w:after="60"/>
      </w:pPr>
      <w:r>
        <w:rPr>
          <w:rFonts w:ascii="Calibri" w:cs="Calibri" w:eastAsia="Calibri" w:hAnsi="Calibri"/>
          <w:b/>
          <w:bCs/>
          <w:sz w:val="22"/>
          <w:szCs w:val="22"/>
        </w:rPr>
        <w:t xml:space="preserve">GDPR (EU): </w:t>
      </w:r>
      <w:r>
        <w:rPr>
          <w:rFonts w:ascii="Calibri" w:cs="Calibri" w:eastAsia="Calibri" w:hAnsi="Calibri"/>
          <w:sz w:val="22"/>
          <w:szCs w:val="22"/>
        </w:rPr>
        <w:t xml:space="preserve">biometric data used for identification is special-category data (Art. 9). You need explicit consent or another valid legal basis, data minimization, a stated retention period, the right to erasure, and a DPIA (Art. 35).</w:t>
      </w:r>
    </w:p>
    <w:p>
      <w:pPr>
        <w:pStyle w:val="ListParagraph"/>
        <w:numPr>
          <w:ilvl w:val="0"/>
          <w:numId w:val="2"/>
        </w:numPr>
        <w:spacing w:after="60"/>
      </w:pPr>
      <w:r>
        <w:rPr>
          <w:rFonts w:ascii="Calibri" w:cs="Calibri" w:eastAsia="Calibri" w:hAnsi="Calibri"/>
          <w:b/>
          <w:bCs/>
          <w:sz w:val="22"/>
          <w:szCs w:val="22"/>
        </w:rPr>
        <w:t xml:space="preserve">CCPA/CPRA (California): </w:t>
      </w:r>
      <w:r>
        <w:rPr>
          <w:rFonts w:ascii="Calibri" w:cs="Calibri" w:eastAsia="Calibri" w:hAnsi="Calibri"/>
          <w:sz w:val="22"/>
          <w:szCs w:val="22"/>
        </w:rPr>
        <w:t xml:space="preserve">biometric information counts as sensitive personal information, with notice and opt-out or limit rights.</w:t>
      </w:r>
    </w:p>
    <w:p>
      <w:pPr>
        <w:pStyle w:val="ListParagraph"/>
        <w:numPr>
          <w:ilvl w:val="0"/>
          <w:numId w:val="2"/>
        </w:numPr>
        <w:spacing w:after="60"/>
      </w:pPr>
      <w:r>
        <w:rPr>
          <w:rFonts w:ascii="Calibri" w:cs="Calibri" w:eastAsia="Calibri" w:hAnsi="Calibri"/>
          <w:b/>
          <w:bCs/>
          <w:sz w:val="22"/>
          <w:szCs w:val="22"/>
        </w:rPr>
        <w:t xml:space="preserve">Illinois BIPA: </w:t>
      </w:r>
      <w:r>
        <w:rPr>
          <w:rFonts w:ascii="Calibri" w:cs="Calibri" w:eastAsia="Calibri" w:hAnsi="Calibri"/>
          <w:sz w:val="22"/>
          <w:szCs w:val="22"/>
        </w:rPr>
        <w:t xml:space="preserve">written consent and a public retention policy are required, and it carries a private right of action, so it is the strictest in practice.</w:t>
      </w:r>
    </w:p>
    <w:p>
      <w:pPr>
        <w:pStyle w:val="ListParagraph"/>
        <w:numPr>
          <w:ilvl w:val="0"/>
          <w:numId w:val="2"/>
        </w:numPr>
        <w:spacing w:after="60"/>
      </w:pPr>
      <w:r>
        <w:rPr>
          <w:rFonts w:ascii="Calibri" w:cs="Calibri" w:eastAsia="Calibri" w:hAnsi="Calibri"/>
          <w:b/>
          <w:bCs/>
          <w:sz w:val="22"/>
          <w:szCs w:val="22"/>
        </w:rPr>
        <w:t xml:space="preserve">Pakistan: </w:t>
      </w:r>
      <w:r>
        <w:rPr>
          <w:rFonts w:ascii="Calibri" w:cs="Calibri" w:eastAsia="Calibri" w:hAnsi="Calibri"/>
          <w:sz w:val="22"/>
          <w:szCs w:val="22"/>
        </w:rPr>
        <w:t xml:space="preserve">as far as we know, the national data protection law was still in draft or pending, so verify the current status. Institutional policy and consent still apply regardless.</w:t>
      </w:r>
    </w:p>
    <w:p>
      <w:pPr>
        <w:pStyle w:val="Heading2"/>
        <w:keepNext/>
        <w:spacing w:after="80" w:before="200"/>
      </w:pPr>
      <w:r>
        <w:rPr>
          <w:rFonts w:ascii="Calibri" w:cs="Calibri" w:eastAsia="Calibri" w:hAnsi="Calibri"/>
          <w:b/>
          <w:bCs/>
          <w:color w:val="2E5597"/>
          <w:sz w:val="24"/>
          <w:szCs w:val="24"/>
        </w:rPr>
        <w:t xml:space="preserve">7.2 Technical controls</w:t>
      </w:r>
    </w:p>
    <w:p>
      <w:pPr>
        <w:pStyle w:val="ListParagraph"/>
        <w:numPr>
          <w:ilvl w:val="0"/>
          <w:numId w:val="2"/>
        </w:numPr>
        <w:spacing w:after="60"/>
      </w:pPr>
      <w:r>
        <w:rPr>
          <w:rFonts w:ascii="Calibri" w:cs="Calibri" w:eastAsia="Calibri" w:hAnsi="Calibri"/>
          <w:b/>
          <w:bCs/>
          <w:sz w:val="22"/>
          <w:szCs w:val="22"/>
        </w:rPr>
        <w:t xml:space="preserve">In transit: </w:t>
      </w:r>
      <w:r>
        <w:rPr>
          <w:rFonts w:ascii="Calibri" w:cs="Calibri" w:eastAsia="Calibri" w:hAnsi="Calibri"/>
          <w:sz w:val="22"/>
          <w:szCs w:val="22"/>
        </w:rPr>
        <w:t xml:space="preserve">TLS 1.3 everywhere, mTLS between internal services.</w:t>
      </w:r>
    </w:p>
    <w:p>
      <w:pPr>
        <w:pStyle w:val="ListParagraph"/>
        <w:numPr>
          <w:ilvl w:val="0"/>
          <w:numId w:val="2"/>
        </w:numPr>
        <w:spacing w:after="60"/>
      </w:pPr>
      <w:r>
        <w:rPr>
          <w:rFonts w:ascii="Calibri" w:cs="Calibri" w:eastAsia="Calibri" w:hAnsi="Calibri"/>
          <w:b/>
          <w:bCs/>
          <w:sz w:val="22"/>
          <w:szCs w:val="22"/>
        </w:rPr>
        <w:t xml:space="preserve">At rest: </w:t>
      </w:r>
      <w:r>
        <w:rPr>
          <w:rFonts w:ascii="Calibri" w:cs="Calibri" w:eastAsia="Calibri" w:hAnsi="Calibri"/>
          <w:sz w:val="22"/>
          <w:szCs w:val="22"/>
        </w:rPr>
        <w:t xml:space="preserve">AES-256 with envelope encryption through a KMS, and encrypted backups.</w:t>
      </w:r>
    </w:p>
    <w:p>
      <w:pPr>
        <w:pStyle w:val="ListParagraph"/>
        <w:numPr>
          <w:ilvl w:val="0"/>
          <w:numId w:val="2"/>
        </w:numPr>
        <w:spacing w:after="60"/>
      </w:pPr>
      <w:r>
        <w:rPr>
          <w:rFonts w:ascii="Calibri" w:cs="Calibri" w:eastAsia="Calibri" w:hAnsi="Calibri"/>
          <w:b/>
          <w:bCs/>
          <w:sz w:val="22"/>
          <w:szCs w:val="22"/>
        </w:rPr>
        <w:t xml:space="preserve">Embeddings are biometric data. </w:t>
      </w:r>
      <w:r>
        <w:rPr>
          <w:rFonts w:ascii="Calibri" w:cs="Calibri" w:eastAsia="Calibri" w:hAnsi="Calibri"/>
          <w:sz w:val="22"/>
          <w:szCs w:val="22"/>
        </w:rPr>
        <w:t xml:space="preserve">They are not trivially reversible, but reconstruction attacks exist, so protect them like raw images. Do not treat them as anonymous.</w:t>
      </w:r>
    </w:p>
    <w:p>
      <w:pPr>
        <w:pStyle w:val="ListParagraph"/>
        <w:numPr>
          <w:ilvl w:val="0"/>
          <w:numId w:val="2"/>
        </w:numPr>
        <w:spacing w:after="60"/>
      </w:pPr>
      <w:r>
        <w:rPr>
          <w:rFonts w:ascii="Calibri" w:cs="Calibri" w:eastAsia="Calibri" w:hAnsi="Calibri"/>
          <w:b/>
          <w:bCs/>
          <w:sz w:val="22"/>
          <w:szCs w:val="22"/>
        </w:rPr>
        <w:t xml:space="preserve">Data minimization: </w:t>
      </w:r>
      <w:r>
        <w:rPr>
          <w:rFonts w:ascii="Calibri" w:cs="Calibri" w:eastAsia="Calibri" w:hAnsi="Calibri"/>
          <w:sz w:val="22"/>
          <w:szCs w:val="22"/>
        </w:rPr>
        <w:t xml:space="preserve">store embeddings, not images. If evidence snapshots are kept, give them short retention and automatic deletion.</w:t>
      </w:r>
    </w:p>
    <w:p>
      <w:pPr>
        <w:pStyle w:val="ListParagraph"/>
        <w:numPr>
          <w:ilvl w:val="0"/>
          <w:numId w:val="2"/>
        </w:numPr>
        <w:spacing w:after="60"/>
      </w:pPr>
      <w:r>
        <w:rPr>
          <w:rFonts w:ascii="Calibri" w:cs="Calibri" w:eastAsia="Calibri" w:hAnsi="Calibri"/>
          <w:b/>
          <w:bCs/>
          <w:sz w:val="22"/>
          <w:szCs w:val="22"/>
        </w:rPr>
        <w:t xml:space="preserve">Operational: </w:t>
      </w:r>
      <w:r>
        <w:rPr>
          <w:rFonts w:ascii="Calibri" w:cs="Calibri" w:eastAsia="Calibri" w:hAnsi="Calibri"/>
          <w:sz w:val="22"/>
          <w:szCs w:val="22"/>
        </w:rPr>
        <w:t xml:space="preserve">least-privilege access, audit logs, a documented deletion workflow, and a consent record per user.</w:t>
      </w:r>
    </w:p>
    <w:p>
      <w:pPr>
        <w:pStyle w:val="ListParagraph"/>
        <w:numPr>
          <w:ilvl w:val="0"/>
          <w:numId w:val="2"/>
        </w:numPr>
        <w:spacing w:after="60"/>
      </w:pPr>
      <w:r>
        <w:rPr>
          <w:rFonts w:ascii="Calibri" w:cs="Calibri" w:eastAsia="Calibri" w:hAnsi="Calibri"/>
          <w:b/>
          <w:bCs/>
          <w:sz w:val="22"/>
          <w:szCs w:val="22"/>
        </w:rPr>
        <w:t xml:space="preserve">Attack surface: </w:t>
      </w:r>
      <w:r>
        <w:rPr>
          <w:rFonts w:ascii="Calibri" w:cs="Calibri" w:eastAsia="Calibri" w:hAnsi="Calibri"/>
          <w:sz w:val="22"/>
          <w:szCs w:val="22"/>
        </w:rPr>
        <w:t xml:space="preserve">besides photo and video replays, consider injection attacks (a virtual camera feeding synthetic video), which passive liveness alone does not stop. Mitigate with device attestation or signed capture where possible.</w:t>
      </w:r>
    </w:p>
    <w:p>
      <w:pPr>
        <w:pStyle w:val="Heading1"/>
        <w:keepNext/>
        <w:spacing w:after="120" w:before="320"/>
      </w:pPr>
      <w:r>
        <w:rPr>
          <w:rFonts w:ascii="Calibri" w:cs="Calibri" w:eastAsia="Calibri" w:hAnsi="Calibri"/>
          <w:b/>
          <w:bCs/>
          <w:color w:val="1F3864"/>
          <w:sz w:val="28"/>
          <w:szCs w:val="28"/>
        </w:rPr>
        <w:t xml:space="preserve">8. Performance Engineering</w:t>
      </w:r>
    </w:p>
    <w:p>
      <w:pPr>
        <w:pStyle w:val="Heading2"/>
        <w:keepNext/>
        <w:spacing w:after="80" w:before="200"/>
      </w:pPr>
      <w:r>
        <w:rPr>
          <w:rFonts w:ascii="Calibri" w:cs="Calibri" w:eastAsia="Calibri" w:hAnsi="Calibri"/>
          <w:b/>
          <w:bCs/>
          <w:color w:val="2E5597"/>
          <w:sz w:val="24"/>
          <w:szCs w:val="24"/>
        </w:rPr>
        <w:t xml:space="preserve">8.1 Latency budget</w:t>
      </w:r>
    </w:p>
    <w:p>
      <w:pPr>
        <w:spacing w:after="120" w:line="276"/>
      </w:pPr>
      <w:r>
        <w:rPr>
          <w:rFonts w:ascii="Calibri" w:cs="Calibri" w:eastAsia="Calibri" w:hAnsi="Calibri"/>
          <w:sz w:val="22"/>
          <w:szCs w:val="22"/>
        </w:rPr>
        <w:t xml:space="preserve">Typical orders of magnitude; always measure on your own hardware.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26"/>
        <w:gridCol w:w="2500"/>
        <w:gridCol w:w="2500"/>
      </w:tblGrid>
      <w:tr>
        <w:trPr>
          <w:tblHeader/>
        </w:trPr>
        <w:tc>
          <w:tcPr>
            <w:tcW w:type="dxa" w:w="4026"/>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Stage</w:t>
            </w:r>
          </w:p>
        </w:tc>
        <w:tc>
          <w:tcPr>
            <w:tcW w:type="dxa" w:w="25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CPU</w:t>
            </w:r>
          </w:p>
        </w:tc>
        <w:tc>
          <w:tcPr>
            <w:tcW w:type="dxa" w:w="25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GPU</w:t>
            </w:r>
          </w:p>
        </w:tc>
      </w:tr>
      <w:tr>
        <w:trPr>
          <w:cantSplit/>
        </w:trPr>
        <w:tc>
          <w:tcPr>
            <w:tcW w:type="dxa" w:w="40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sz w:val="20"/>
                <w:szCs w:val="20"/>
              </w:rPr>
              <w:t xml:space="preserve">Capture and quality gate</w:t>
            </w:r>
          </w:p>
        </w:tc>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sz w:val="20"/>
                <w:szCs w:val="20"/>
              </w:rPr>
              <w:t xml:space="preserve">~30 ms</w:t>
            </w:r>
          </w:p>
        </w:tc>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sz w:val="20"/>
                <w:szCs w:val="20"/>
              </w:rPr>
              <w:t xml:space="preserve">~30 ms</w:t>
            </w:r>
          </w:p>
        </w:tc>
      </w:tr>
      <w:tr>
        <w:trPr>
          <w:cantSplit/>
        </w:trPr>
        <w:tc>
          <w:tcPr>
            <w:tcW w:type="dxa" w:w="40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sz w:val="20"/>
                <w:szCs w:val="20"/>
              </w:rPr>
              <w:t xml:space="preserve">Detection + landmarks</w:t>
            </w:r>
          </w:p>
        </w:tc>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sz w:val="20"/>
                <w:szCs w:val="20"/>
              </w:rPr>
              <w:t xml:space="preserve">20–60 ms</w:t>
            </w:r>
          </w:p>
        </w:tc>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sz w:val="20"/>
                <w:szCs w:val="20"/>
              </w:rPr>
              <w:t xml:space="preserve">5–15 ms</w:t>
            </w:r>
          </w:p>
        </w:tc>
      </w:tr>
      <w:tr>
        <w:trPr>
          <w:cantSplit/>
        </w:trPr>
        <w:tc>
          <w:tcPr>
            <w:tcW w:type="dxa" w:w="40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sz w:val="20"/>
                <w:szCs w:val="20"/>
              </w:rPr>
              <w:t xml:space="preserve">Alignment</w:t>
            </w:r>
          </w:p>
        </w:tc>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sz w:val="20"/>
                <w:szCs w:val="20"/>
              </w:rPr>
              <w:t xml:space="preserve">&lt;5 ms</w:t>
            </w:r>
          </w:p>
        </w:tc>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sz w:val="20"/>
                <w:szCs w:val="20"/>
              </w:rPr>
              <w:t xml:space="preserve">&lt;5 ms</w:t>
            </w:r>
          </w:p>
        </w:tc>
      </w:tr>
      <w:tr>
        <w:trPr>
          <w:cantSplit/>
        </w:trPr>
        <w:tc>
          <w:tcPr>
            <w:tcW w:type="dxa" w:w="40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sz w:val="20"/>
                <w:szCs w:val="20"/>
              </w:rPr>
              <w:t xml:space="preserve">Liveness</w:t>
            </w:r>
          </w:p>
        </w:tc>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sz w:val="20"/>
                <w:szCs w:val="20"/>
              </w:rPr>
              <w:t xml:space="preserve">15–40 ms</w:t>
            </w:r>
          </w:p>
        </w:tc>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sz w:val="20"/>
                <w:szCs w:val="20"/>
              </w:rPr>
              <w:t xml:space="preserve">5–10 ms</w:t>
            </w:r>
          </w:p>
        </w:tc>
      </w:tr>
      <w:tr>
        <w:trPr>
          <w:cantSplit/>
        </w:trPr>
        <w:tc>
          <w:tcPr>
            <w:tcW w:type="dxa" w:w="40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sz w:val="20"/>
                <w:szCs w:val="20"/>
              </w:rPr>
              <w:t xml:space="preserve">Embedding</w:t>
            </w:r>
          </w:p>
        </w:tc>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sz w:val="20"/>
                <w:szCs w:val="20"/>
              </w:rPr>
              <w:t xml:space="preserve">40–120 ms</w:t>
            </w:r>
          </w:p>
        </w:tc>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sz w:val="20"/>
                <w:szCs w:val="20"/>
              </w:rPr>
              <w:t xml:space="preserve">5–15 ms</w:t>
            </w:r>
          </w:p>
        </w:tc>
      </w:tr>
      <w:tr>
        <w:trPr>
          <w:cantSplit/>
        </w:trPr>
        <w:tc>
          <w:tcPr>
            <w:tcW w:type="dxa" w:w="40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sz w:val="20"/>
                <w:szCs w:val="20"/>
              </w:rPr>
              <w:t xml:space="preserve">Vector search</w:t>
            </w:r>
          </w:p>
        </w:tc>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sz w:val="20"/>
                <w:szCs w:val="20"/>
              </w:rPr>
              <w:t xml:space="preserve">&lt;5 ms</w:t>
            </w:r>
          </w:p>
        </w:tc>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sz w:val="20"/>
                <w:szCs w:val="20"/>
              </w:rPr>
              <w:t xml:space="preserve">&lt;5 ms</w:t>
            </w:r>
          </w:p>
        </w:tc>
      </w:tr>
      <w:tr>
        <w:trPr>
          <w:cantSplit/>
        </w:trPr>
        <w:tc>
          <w:tcPr>
            <w:tcW w:type="dxa" w:w="40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sz w:val="20"/>
                <w:szCs w:val="20"/>
              </w:rPr>
              <w:t xml:space="preserve">DB write and response</w:t>
            </w:r>
          </w:p>
        </w:tc>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sz w:val="20"/>
                <w:szCs w:val="20"/>
              </w:rPr>
              <w:t xml:space="preserve">10–20 ms</w:t>
            </w:r>
          </w:p>
        </w:tc>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sz w:val="20"/>
                <w:szCs w:val="20"/>
              </w:rPr>
              <w:t xml:space="preserve">10–20 ms</w:t>
            </w:r>
          </w:p>
        </w:tc>
      </w:tr>
      <w:tr>
        <w:trPr>
          <w:cantSplit/>
        </w:trPr>
        <w:tc>
          <w:tcPr>
            <w:tcW w:type="dxa" w:w="40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sz w:val="20"/>
                <w:szCs w:val="20"/>
              </w:rPr>
              <w:t xml:space="preserve">End-to-end</w:t>
            </w:r>
          </w:p>
        </w:tc>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sz w:val="20"/>
                <w:szCs w:val="20"/>
              </w:rPr>
              <w:t xml:space="preserve">~150–300 ms</w:t>
            </w:r>
          </w:p>
        </w:tc>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sz w:val="20"/>
                <w:szCs w:val="20"/>
              </w:rPr>
              <w:t xml:space="preserve">~60–120 ms</w:t>
            </w:r>
          </w:p>
        </w:tc>
      </w:tr>
    </w:tbl>
    <w:p>
      <w:pPr>
        <w:spacing w:after="80"/>
      </w:pPr>
    </w:p>
    <w:p>
      <w:pPr>
        <w:spacing w:after="120" w:line="276"/>
      </w:pPr>
      <w:r>
        <w:rPr>
          <w:rFonts w:ascii="Calibri" w:cs="Calibri" w:eastAsia="Calibri" w:hAnsi="Calibri"/>
          <w:sz w:val="22"/>
          <w:szCs w:val="22"/>
        </w:rPr>
        <w:t xml:space="preserve">Both are comfortably under the 1-second target when tracking and quality gating are in place.</w:t>
      </w:r>
    </w:p>
    <w:p>
      <w:pPr>
        <w:pStyle w:val="Heading2"/>
        <w:keepNext/>
        <w:spacing w:after="80" w:before="200"/>
      </w:pPr>
      <w:r>
        <w:rPr>
          <w:rFonts w:ascii="Calibri" w:cs="Calibri" w:eastAsia="Calibri" w:hAnsi="Calibri"/>
          <w:b/>
          <w:bCs/>
          <w:color w:val="2E5597"/>
          <w:sz w:val="24"/>
          <w:szCs w:val="24"/>
        </w:rPr>
        <w:t xml:space="preserve">8.2 Accuracy metrics</w:t>
      </w:r>
    </w:p>
    <w:p>
      <w:pPr>
        <w:pStyle w:val="ListParagraph"/>
        <w:numPr>
          <w:ilvl w:val="0"/>
          <w:numId w:val="2"/>
        </w:numPr>
        <w:spacing w:after="60"/>
      </w:pPr>
      <w:r>
        <w:rPr>
          <w:rFonts w:ascii="Calibri" w:cs="Calibri" w:eastAsia="Calibri" w:hAnsi="Calibri"/>
          <w:b/>
          <w:bCs/>
          <w:sz w:val="22"/>
          <w:szCs w:val="22"/>
        </w:rPr>
        <w:t xml:space="preserve">FAR/FMR </w:t>
      </w:r>
      <w:r>
        <w:rPr>
          <w:rFonts w:ascii="Calibri" w:cs="Calibri" w:eastAsia="Calibri" w:hAnsi="Calibri"/>
          <w:sz w:val="22"/>
          <w:szCs w:val="22"/>
        </w:rPr>
        <w:t xml:space="preserve">(impostor accepted) and </w:t>
      </w:r>
      <w:r>
        <w:rPr>
          <w:rFonts w:ascii="Calibri" w:cs="Calibri" w:eastAsia="Calibri" w:hAnsi="Calibri"/>
          <w:b/>
          <w:bCs/>
          <w:sz w:val="22"/>
          <w:szCs w:val="22"/>
        </w:rPr>
        <w:t xml:space="preserve">FRR/FNMR </w:t>
      </w:r>
      <w:r>
        <w:rPr>
          <w:rFonts w:ascii="Calibri" w:cs="Calibri" w:eastAsia="Calibri" w:hAnsi="Calibri"/>
          <w:sz w:val="22"/>
          <w:szCs w:val="22"/>
        </w:rPr>
        <w:t xml:space="preserve">(genuine rejected) trade off against each other through the threshold. Pick the operating point from the business risk: attendance can tolerate slightly higher FRR (the person retries), while access control to a secure area needs very low FAR.</w:t>
      </w:r>
    </w:p>
    <w:p>
      <w:pPr>
        <w:pStyle w:val="ListParagraph"/>
        <w:numPr>
          <w:ilvl w:val="0"/>
          <w:numId w:val="2"/>
        </w:numPr>
        <w:spacing w:after="60"/>
      </w:pPr>
      <w:r>
        <w:rPr>
          <w:rFonts w:ascii="Calibri" w:cs="Calibri" w:eastAsia="Calibri" w:hAnsi="Calibri"/>
          <w:sz w:val="22"/>
          <w:szCs w:val="22"/>
        </w:rPr>
        <w:t xml:space="preserve">For 1:N identification, the relevant metric is FPIR (false positive identification rate), which grows with gallery size, so re-tune the threshold as enrollment grows.</w:t>
      </w:r>
    </w:p>
    <w:p>
      <w:pPr>
        <w:pStyle w:val="ListParagraph"/>
        <w:numPr>
          <w:ilvl w:val="0"/>
          <w:numId w:val="2"/>
        </w:numPr>
        <w:spacing w:after="60"/>
      </w:pPr>
      <w:r>
        <w:rPr>
          <w:rFonts w:ascii="Calibri" w:cs="Calibri" w:eastAsia="Calibri" w:hAnsi="Calibri"/>
          <w:sz w:val="22"/>
          <w:szCs w:val="22"/>
        </w:rPr>
        <w:t xml:space="preserve">Report EER and full ROC/DET curves, not a single accuracy number.</w:t>
      </w:r>
    </w:p>
    <w:p>
      <w:pPr>
        <w:pStyle w:val="Heading2"/>
        <w:keepNext/>
        <w:spacing w:after="80" w:before="200"/>
      </w:pPr>
      <w:r>
        <w:rPr>
          <w:rFonts w:ascii="Calibri" w:cs="Calibri" w:eastAsia="Calibri" w:hAnsi="Calibri"/>
          <w:b/>
          <w:bCs/>
          <w:color w:val="2E5597"/>
          <w:sz w:val="24"/>
          <w:szCs w:val="24"/>
        </w:rPr>
        <w:t xml:space="preserve">8.3 Scaling</w:t>
      </w:r>
    </w:p>
    <w:p>
      <w:pPr>
        <w:spacing w:after="120" w:line="276"/>
      </w:pPr>
      <w:r>
        <w:rPr>
          <w:rFonts w:ascii="Calibri" w:cs="Calibri" w:eastAsia="Calibri" w:hAnsi="Calibri"/>
          <w:sz w:val="22"/>
          <w:szCs w:val="22"/>
        </w:rPr>
        <w:t xml:space="preserve">The pipeline is stateless, so scale by adding workers. Batch embedding requests on GPU, and keep the vector index in memory with periodic rebuilds.</w:t>
      </w:r>
    </w:p>
    <w:p>
      <w:pPr>
        <w:pStyle w:val="Heading1"/>
        <w:keepNext/>
        <w:spacing w:after="120" w:before="320"/>
      </w:pPr>
      <w:r>
        <w:rPr>
          <w:rFonts w:ascii="Calibri" w:cs="Calibri" w:eastAsia="Calibri" w:hAnsi="Calibri"/>
          <w:b/>
          <w:bCs/>
          <w:color w:val="1F3864"/>
          <w:sz w:val="28"/>
          <w:szCs w:val="28"/>
        </w:rPr>
        <w:t xml:space="preserve">9. What Applies to Our Final Year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100"/>
        <w:gridCol w:w="4026"/>
      </w:tblGrid>
      <w:tr>
        <w:trPr>
          <w:tblHeader/>
        </w:trPr>
        <w:tc>
          <w:tcPr>
            <w:tcW w:type="dxa" w:w="19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Component</w:t>
            </w:r>
          </w:p>
        </w:tc>
        <w:tc>
          <w:tcPr>
            <w:tcW w:type="dxa" w:w="31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Enterprise option</w:t>
            </w:r>
          </w:p>
        </w:tc>
        <w:tc>
          <w:tcPr>
            <w:tcW w:type="dxa" w:w="4026"/>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Suggested for our project</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sz w:val="20"/>
                <w:szCs w:val="20"/>
              </w:rPr>
              <w:t xml:space="preserve">Camera</w:t>
            </w:r>
          </w:p>
        </w:tc>
        <w:tc>
          <w:tcPr>
            <w:tcW w:type="dxa" w:w="31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sz w:val="20"/>
                <w:szCs w:val="20"/>
              </w:rPr>
              <w:t xml:space="preserve">CCTV/RTSP, kiosk</w:t>
            </w:r>
          </w:p>
        </w:tc>
        <w:tc>
          <w:tcPr>
            <w:tcW w:type="dxa" w:w="40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bCs/>
                <w:sz w:val="20"/>
                <w:szCs w:val="20"/>
              </w:rPr>
              <w:t xml:space="preserve">Webcam</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sz w:val="20"/>
                <w:szCs w:val="20"/>
              </w:rPr>
              <w:t xml:space="preserve">Detection</w:t>
            </w:r>
          </w:p>
        </w:tc>
        <w:tc>
          <w:tcPr>
            <w:tcW w:type="dxa" w:w="31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sz w:val="20"/>
                <w:szCs w:val="20"/>
              </w:rPr>
              <w:t xml:space="preserve">RetinaFace / SCRFD</w:t>
            </w:r>
          </w:p>
        </w:tc>
        <w:tc>
          <w:tcPr>
            <w:tcW w:type="dxa" w:w="40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sz w:val="20"/>
                <w:szCs w:val="20"/>
              </w:rPr>
              <w:t xml:space="preserve">RetinaFace (InsightFace) or MTCNN</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sz w:val="20"/>
                <w:szCs w:val="20"/>
              </w:rPr>
              <w:t xml:space="preserve">Recognition</w:t>
            </w:r>
          </w:p>
        </w:tc>
        <w:tc>
          <w:tcPr>
            <w:tcW w:type="dxa" w:w="31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sz w:val="20"/>
                <w:szCs w:val="20"/>
              </w:rPr>
              <w:t xml:space="preserve">ArcFace</w:t>
            </w:r>
          </w:p>
        </w:tc>
        <w:tc>
          <w:tcPr>
            <w:tcW w:type="dxa" w:w="40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bCs/>
                <w:sz w:val="20"/>
                <w:szCs w:val="20"/>
              </w:rPr>
              <w:t xml:space="preserve">ArcFace or FaceNet</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sz w:val="20"/>
                <w:szCs w:val="20"/>
              </w:rPr>
              <w:t xml:space="preserve">Liveness</w:t>
            </w:r>
          </w:p>
        </w:tc>
        <w:tc>
          <w:tcPr>
            <w:tcW w:type="dxa" w:w="31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sz w:val="20"/>
                <w:szCs w:val="20"/>
              </w:rPr>
              <w:t xml:space="preserve">Depth/IR + passive + active</w:t>
            </w:r>
          </w:p>
        </w:tc>
        <w:tc>
          <w:tcPr>
            <w:tcW w:type="dxa" w:w="40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sz w:val="20"/>
                <w:szCs w:val="20"/>
              </w:rPr>
              <w:t xml:space="preserve">Passive model + blink detection</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sz w:val="20"/>
                <w:szCs w:val="20"/>
              </w:rPr>
              <w:t xml:space="preserve">Vector search</w:t>
            </w:r>
          </w:p>
        </w:tc>
        <w:tc>
          <w:tcPr>
            <w:tcW w:type="dxa" w:w="31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sz w:val="20"/>
                <w:szCs w:val="20"/>
              </w:rPr>
              <w:t xml:space="preserve">Milvus / pgvector</w:t>
            </w:r>
          </w:p>
        </w:tc>
        <w:tc>
          <w:tcPr>
            <w:tcW w:type="dxa" w:w="40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sz w:val="20"/>
                <w:szCs w:val="20"/>
              </w:rPr>
              <w:t xml:space="preserve">In-memory cosine search, or pgvector</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sz w:val="20"/>
                <w:szCs w:val="20"/>
              </w:rPr>
              <w:t xml:space="preserve">Database</w:t>
            </w:r>
          </w:p>
        </w:tc>
        <w:tc>
          <w:tcPr>
            <w:tcW w:type="dxa" w:w="31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sz w:val="20"/>
                <w:szCs w:val="20"/>
              </w:rPr>
              <w:t xml:space="preserve">PostgreSQL + Redis</w:t>
            </w:r>
          </w:p>
        </w:tc>
        <w:tc>
          <w:tcPr>
            <w:tcW w:type="dxa" w:w="40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sz w:val="20"/>
                <w:szCs w:val="20"/>
              </w:rPr>
              <w:t xml:space="preserve">SQLite or PostgreSQL</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sz w:val="20"/>
                <w:szCs w:val="20"/>
              </w:rPr>
              <w:t xml:space="preserve">Backend</w:t>
            </w:r>
          </w:p>
        </w:tc>
        <w:tc>
          <w:tcPr>
            <w:tcW w:type="dxa" w:w="31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sz w:val="20"/>
                <w:szCs w:val="20"/>
              </w:rPr>
              <w:t xml:space="preserve">FastAPI + queue</w:t>
            </w:r>
          </w:p>
        </w:tc>
        <w:tc>
          <w:tcPr>
            <w:tcW w:type="dxa" w:w="40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sz w:val="20"/>
                <w:szCs w:val="20"/>
              </w:rPr>
              <w:t xml:space="preserve">FastAPI</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sz w:val="20"/>
                <w:szCs w:val="20"/>
              </w:rPr>
              <w:t xml:space="preserve">Deployment</w:t>
            </w:r>
          </w:p>
        </w:tc>
        <w:tc>
          <w:tcPr>
            <w:tcW w:type="dxa" w:w="31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sz w:val="20"/>
                <w:szCs w:val="20"/>
              </w:rPr>
              <w:t xml:space="preserve">Kubernetes + GPU</w:t>
            </w:r>
          </w:p>
        </w:tc>
        <w:tc>
          <w:tcPr>
            <w:tcW w:type="dxa" w:w="40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sz w:val="20"/>
                <w:szCs w:val="20"/>
              </w:rPr>
              <w:t xml:space="preserve">Docker (optional)</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sz w:val="20"/>
                <w:szCs w:val="20"/>
              </w:rPr>
              <w:t xml:space="preserve">Compliance</w:t>
            </w:r>
          </w:p>
        </w:tc>
        <w:tc>
          <w:tcPr>
            <w:tcW w:type="dxa" w:w="31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sz w:val="20"/>
                <w:szCs w:val="20"/>
              </w:rPr>
              <w:t xml:space="preserve">Full DPIA, KMS</w:t>
            </w:r>
          </w:p>
        </w:tc>
        <w:tc>
          <w:tcPr>
            <w:tcW w:type="dxa" w:w="40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sz w:val="20"/>
                <w:szCs w:val="20"/>
              </w:rPr>
              <w:t xml:space="preserve">Consent form, embeddings only, encrypted DB, access control</w:t>
            </w:r>
          </w:p>
        </w:tc>
      </w:tr>
    </w:tbl>
    <w:p>
      <w:pPr>
        <w:spacing w:after="80"/>
      </w:pPr>
    </w:p>
    <w:p>
      <w:pPr>
        <w:spacing w:after="120" w:line="276"/>
      </w:pPr>
      <w:r>
        <w:rPr>
          <w:rFonts w:ascii="Calibri" w:cs="Calibri" w:eastAsia="Calibri" w:hAnsi="Calibri"/>
          <w:sz w:val="22"/>
          <w:szCs w:val="22"/>
        </w:rPr>
        <w:t xml:space="preserve">Kafka, Kubernetes, and Milvus can be skipped in this project and listed under Future Work. The marks will mostly come from a solid evaluation (FAR, FRR, ROC curve), a liveness demo, and a clear explanation of privacy handling.</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Face Attendance System – Research Notes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2026-10-04T19:00:48.377Z</dcterms:created>
  <dcterms:modified xsi:type="dcterms:W3CDTF">2026-10-04T19:00:48.386Z</dcterms:modified>
</cp:coreProperties>
</file>

<file path=docProps/custom.xml><?xml version="1.0" encoding="utf-8"?>
<Properties xmlns="http://schemas.openxmlformats.org/officeDocument/2006/custom-properties" xmlns:vt="http://schemas.openxmlformats.org/officeDocument/2006/docPropsVTypes"/>
</file>