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F65C1" w14:textId="77777777" w:rsidR="001160FD" w:rsidRDefault="001160FD">
      <w:pPr>
        <w:rPr>
          <w:b/>
          <w:bCs/>
          <w:sz w:val="24"/>
          <w:szCs w:val="24"/>
        </w:rPr>
      </w:pPr>
    </w:p>
    <w:p w14:paraId="0439DDDC" w14:textId="77777777" w:rsidR="001160FD" w:rsidRDefault="001160FD">
      <w:pPr>
        <w:rPr>
          <w:b/>
          <w:bCs/>
          <w:sz w:val="24"/>
          <w:szCs w:val="24"/>
        </w:rPr>
      </w:pPr>
    </w:p>
    <w:p w14:paraId="2E5F2238" w14:textId="77777777" w:rsidR="001160FD" w:rsidRDefault="001160FD">
      <w:pPr>
        <w:rPr>
          <w:b/>
          <w:bCs/>
          <w:sz w:val="24"/>
          <w:szCs w:val="24"/>
        </w:rPr>
      </w:pPr>
    </w:p>
    <w:p w14:paraId="1B273C1F" w14:textId="77777777" w:rsidR="001160FD" w:rsidRDefault="001160FD">
      <w:pPr>
        <w:rPr>
          <w:b/>
          <w:bCs/>
          <w:sz w:val="24"/>
          <w:szCs w:val="24"/>
        </w:rPr>
      </w:pPr>
    </w:p>
    <w:p w14:paraId="114410F7" w14:textId="77777777" w:rsidR="001160FD" w:rsidRDefault="001160FD">
      <w:pPr>
        <w:rPr>
          <w:b/>
          <w:bCs/>
          <w:sz w:val="24"/>
          <w:szCs w:val="24"/>
        </w:rPr>
      </w:pPr>
    </w:p>
    <w:p w14:paraId="1AC876DA" w14:textId="77777777" w:rsidR="001160FD" w:rsidRDefault="001160FD">
      <w:pPr>
        <w:rPr>
          <w:b/>
          <w:bCs/>
          <w:sz w:val="24"/>
          <w:szCs w:val="24"/>
        </w:rPr>
      </w:pPr>
    </w:p>
    <w:p w14:paraId="49688984" w14:textId="77777777" w:rsidR="001160FD" w:rsidRDefault="001160FD">
      <w:pPr>
        <w:rPr>
          <w:b/>
          <w:bCs/>
          <w:sz w:val="24"/>
          <w:szCs w:val="24"/>
        </w:rPr>
      </w:pPr>
    </w:p>
    <w:p w14:paraId="545554BA" w14:textId="77777777" w:rsidR="001160FD" w:rsidRDefault="001160FD">
      <w:pPr>
        <w:rPr>
          <w:b/>
          <w:bCs/>
          <w:sz w:val="24"/>
          <w:szCs w:val="24"/>
        </w:rPr>
      </w:pPr>
    </w:p>
    <w:p w14:paraId="6A8846F7" w14:textId="77777777" w:rsidR="001160FD" w:rsidRDefault="001160FD">
      <w:pPr>
        <w:rPr>
          <w:b/>
          <w:bCs/>
          <w:sz w:val="24"/>
          <w:szCs w:val="24"/>
        </w:rPr>
      </w:pPr>
    </w:p>
    <w:p w14:paraId="5F1F61AC" w14:textId="77777777" w:rsidR="001160FD" w:rsidRDefault="001160FD">
      <w:pPr>
        <w:rPr>
          <w:b/>
          <w:bCs/>
          <w:sz w:val="24"/>
          <w:szCs w:val="24"/>
        </w:rPr>
      </w:pPr>
    </w:p>
    <w:p w14:paraId="70F89E98" w14:textId="77777777" w:rsidR="001160FD" w:rsidRDefault="001160FD">
      <w:pPr>
        <w:rPr>
          <w:b/>
          <w:bCs/>
          <w:sz w:val="24"/>
          <w:szCs w:val="24"/>
        </w:rPr>
      </w:pPr>
    </w:p>
    <w:p w14:paraId="35E23F63" w14:textId="36D9A41A" w:rsidR="001160FD" w:rsidRDefault="001160FD" w:rsidP="001160FD">
      <w:pPr>
        <w:pStyle w:val="Body"/>
        <w:spacing w:after="0" w:line="240" w:lineRule="auto"/>
        <w:jc w:val="center"/>
        <w:rPr>
          <w:rFonts w:asciiTheme="minorBidi" w:eastAsiaTheme="minorEastAsia" w:hAnsiTheme="minorBidi" w:cstheme="minorBidi"/>
          <w:b/>
          <w:color w:val="auto"/>
          <w:sz w:val="28"/>
          <w:szCs w:val="28"/>
          <w:bdr w:val="none" w:sz="0" w:space="0" w:color="auto"/>
          <w:lang w:val="en-GB" w:eastAsia="zh-CN"/>
        </w:rPr>
      </w:pPr>
      <w:r w:rsidRPr="001160FD">
        <w:rPr>
          <w:rFonts w:asciiTheme="minorBidi" w:eastAsiaTheme="minorEastAsia" w:hAnsiTheme="minorBidi" w:cstheme="minorBidi"/>
          <w:b/>
          <w:color w:val="auto"/>
          <w:sz w:val="28"/>
          <w:szCs w:val="28"/>
          <w:bdr w:val="none" w:sz="0" w:space="0" w:color="auto"/>
          <w:lang w:val="en-GB" w:eastAsia="zh-CN"/>
        </w:rPr>
        <w:t xml:space="preserve">Guiding Principles for the Financial Services Regulatory Authority’s Approach to Virtual Asset Regulation and Supervision </w:t>
      </w:r>
    </w:p>
    <w:p w14:paraId="64308BA4" w14:textId="6A6F6D7D" w:rsidR="001160FD" w:rsidRDefault="001160FD">
      <w:pPr>
        <w:rPr>
          <w:b/>
          <w:bCs/>
          <w:sz w:val="24"/>
          <w:szCs w:val="24"/>
        </w:rPr>
      </w:pPr>
    </w:p>
    <w:p w14:paraId="4FC84DF1" w14:textId="52630837" w:rsidR="00796B39" w:rsidRDefault="00796B39">
      <w:pPr>
        <w:rPr>
          <w:b/>
          <w:bCs/>
          <w:sz w:val="24"/>
          <w:szCs w:val="24"/>
        </w:rPr>
      </w:pPr>
    </w:p>
    <w:p w14:paraId="3C3F14E0" w14:textId="06ADA018" w:rsidR="00796B39" w:rsidRDefault="00796B39" w:rsidP="00796B3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September 2022</w:t>
      </w:r>
    </w:p>
    <w:p w14:paraId="3E099ABD" w14:textId="77777777" w:rsidR="001160FD" w:rsidRDefault="001160FD">
      <w:pPr>
        <w:rPr>
          <w:b/>
          <w:bCs/>
          <w:sz w:val="24"/>
          <w:szCs w:val="24"/>
        </w:rPr>
      </w:pPr>
    </w:p>
    <w:p w14:paraId="0580C858" w14:textId="77777777" w:rsidR="001160FD" w:rsidRDefault="001160FD">
      <w:pPr>
        <w:rPr>
          <w:b/>
          <w:bCs/>
          <w:sz w:val="24"/>
          <w:szCs w:val="24"/>
        </w:rPr>
        <w:sectPr w:rsidR="001160FD" w:rsidSect="001160FD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080" w:bottom="1440" w:left="1080" w:header="708" w:footer="1312" w:gutter="0"/>
          <w:cols w:space="708"/>
          <w:titlePg/>
          <w:docGrid w:linePitch="360"/>
        </w:sectPr>
      </w:pPr>
    </w:p>
    <w:p w14:paraId="66D75EC9" w14:textId="77777777" w:rsidR="001160FD" w:rsidRDefault="001160FD">
      <w:pPr>
        <w:rPr>
          <w:b/>
          <w:bCs/>
          <w:sz w:val="24"/>
          <w:szCs w:val="24"/>
        </w:rPr>
      </w:pPr>
    </w:p>
    <w:sdt>
      <w:sdtPr>
        <w:id w:val="998431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30B2E4" w14:textId="77777777" w:rsidR="005C3274" w:rsidRPr="0067079C" w:rsidRDefault="005C3274" w:rsidP="005C3274">
          <w:pPr>
            <w:jc w:val="center"/>
            <w:rPr>
              <w:rFonts w:asciiTheme="minorBidi" w:eastAsia="Times New Roman" w:hAnsiTheme="minorBidi"/>
              <w:b/>
              <w:bCs/>
              <w:noProof/>
              <w:lang w:eastAsia="en-GB"/>
            </w:rPr>
          </w:pPr>
          <w:r w:rsidRPr="0067079C">
            <w:rPr>
              <w:rFonts w:asciiTheme="minorBidi" w:eastAsia="Times New Roman" w:hAnsiTheme="minorBidi"/>
              <w:b/>
              <w:bCs/>
              <w:noProof/>
              <w:lang w:eastAsia="en-GB"/>
            </w:rPr>
            <w:t>TABLE OF CONTENTS</w:t>
          </w:r>
        </w:p>
        <w:p w14:paraId="79648C35" w14:textId="213285C7" w:rsidR="005C3274" w:rsidRPr="005C3274" w:rsidRDefault="005C3274">
          <w:pPr>
            <w:pStyle w:val="TOC1"/>
            <w:tabs>
              <w:tab w:val="left" w:pos="440"/>
              <w:tab w:val="right" w:leader="dot" w:pos="9736"/>
            </w:tabs>
            <w:rPr>
              <w:noProof/>
            </w:rPr>
          </w:pPr>
          <w:r w:rsidRPr="005C3274">
            <w:fldChar w:fldCharType="begin"/>
          </w:r>
          <w:r w:rsidRPr="005C3274">
            <w:instrText xml:space="preserve"> TOC \o "1-3" \h \z \u </w:instrText>
          </w:r>
          <w:r w:rsidRPr="005C3274">
            <w:fldChar w:fldCharType="separate"/>
          </w:r>
          <w:hyperlink w:anchor="_Toc112317111" w:history="1">
            <w:r w:rsidRPr="005C3274">
              <w:rPr>
                <w:rStyle w:val="Hyperlink"/>
                <w:rFonts w:asciiTheme="minorBidi" w:hAnsiTheme="minorBidi"/>
                <w:caps/>
                <w:noProof/>
              </w:rPr>
              <w:t>1.</w:t>
            </w:r>
            <w:r w:rsidRPr="005C3274">
              <w:rPr>
                <w:noProof/>
              </w:rPr>
              <w:tab/>
            </w:r>
            <w:r w:rsidRPr="005C3274">
              <w:rPr>
                <w:rStyle w:val="Hyperlink"/>
                <w:rFonts w:asciiTheme="minorBidi" w:hAnsiTheme="minorBidi"/>
                <w:caps/>
                <w:noProof/>
              </w:rPr>
              <w:t>Background</w:t>
            </w:r>
            <w:r w:rsidRPr="005C3274">
              <w:rPr>
                <w:noProof/>
                <w:webHidden/>
              </w:rPr>
              <w:tab/>
            </w:r>
            <w:r w:rsidRPr="005C3274">
              <w:rPr>
                <w:noProof/>
                <w:webHidden/>
              </w:rPr>
              <w:fldChar w:fldCharType="begin"/>
            </w:r>
            <w:r w:rsidRPr="005C3274">
              <w:rPr>
                <w:noProof/>
                <w:webHidden/>
              </w:rPr>
              <w:instrText xml:space="preserve"> PAGEREF _Toc112317111 \h </w:instrText>
            </w:r>
            <w:r w:rsidRPr="005C3274">
              <w:rPr>
                <w:noProof/>
                <w:webHidden/>
              </w:rPr>
            </w:r>
            <w:r w:rsidRPr="005C3274">
              <w:rPr>
                <w:noProof/>
                <w:webHidden/>
              </w:rPr>
              <w:fldChar w:fldCharType="separate"/>
            </w:r>
            <w:r w:rsidRPr="005C3274">
              <w:rPr>
                <w:noProof/>
                <w:webHidden/>
              </w:rPr>
              <w:t>1</w:t>
            </w:r>
            <w:r w:rsidRPr="005C3274">
              <w:rPr>
                <w:noProof/>
                <w:webHidden/>
              </w:rPr>
              <w:fldChar w:fldCharType="end"/>
            </w:r>
          </w:hyperlink>
        </w:p>
        <w:p w14:paraId="2163C2E5" w14:textId="4EF6330C" w:rsidR="005C3274" w:rsidRPr="005C3274" w:rsidRDefault="00796B39">
          <w:pPr>
            <w:pStyle w:val="TOC1"/>
            <w:tabs>
              <w:tab w:val="left" w:pos="440"/>
              <w:tab w:val="right" w:leader="dot" w:pos="9736"/>
            </w:tabs>
            <w:rPr>
              <w:noProof/>
            </w:rPr>
          </w:pPr>
          <w:hyperlink w:anchor="_Toc112317112" w:history="1">
            <w:r w:rsidR="005C3274" w:rsidRPr="005C3274">
              <w:rPr>
                <w:rStyle w:val="Hyperlink"/>
                <w:rFonts w:asciiTheme="minorBidi" w:hAnsiTheme="minorBidi"/>
                <w:caps/>
                <w:noProof/>
              </w:rPr>
              <w:t>2.</w:t>
            </w:r>
            <w:r w:rsidR="005C3274" w:rsidRPr="005C3274">
              <w:rPr>
                <w:noProof/>
              </w:rPr>
              <w:tab/>
            </w:r>
            <w:r w:rsidR="005C3274" w:rsidRPr="005C3274">
              <w:rPr>
                <w:rStyle w:val="Hyperlink"/>
                <w:rFonts w:asciiTheme="minorBidi" w:hAnsiTheme="minorBidi"/>
                <w:caps/>
                <w:noProof/>
              </w:rPr>
              <w:t>Aims</w:t>
            </w:r>
            <w:r w:rsidR="005C3274" w:rsidRPr="005C3274">
              <w:rPr>
                <w:noProof/>
                <w:webHidden/>
              </w:rPr>
              <w:tab/>
            </w:r>
            <w:r w:rsidR="005C3274" w:rsidRPr="005C3274">
              <w:rPr>
                <w:noProof/>
                <w:webHidden/>
              </w:rPr>
              <w:fldChar w:fldCharType="begin"/>
            </w:r>
            <w:r w:rsidR="005C3274" w:rsidRPr="005C3274">
              <w:rPr>
                <w:noProof/>
                <w:webHidden/>
              </w:rPr>
              <w:instrText xml:space="preserve"> PAGEREF _Toc112317112 \h </w:instrText>
            </w:r>
            <w:r w:rsidR="005C3274" w:rsidRPr="005C3274">
              <w:rPr>
                <w:noProof/>
                <w:webHidden/>
              </w:rPr>
            </w:r>
            <w:r w:rsidR="005C3274" w:rsidRPr="005C3274">
              <w:rPr>
                <w:noProof/>
                <w:webHidden/>
              </w:rPr>
              <w:fldChar w:fldCharType="separate"/>
            </w:r>
            <w:r w:rsidR="005C3274" w:rsidRPr="005C3274">
              <w:rPr>
                <w:noProof/>
                <w:webHidden/>
              </w:rPr>
              <w:t>1</w:t>
            </w:r>
            <w:r w:rsidR="005C3274" w:rsidRPr="005C3274">
              <w:rPr>
                <w:noProof/>
                <w:webHidden/>
              </w:rPr>
              <w:fldChar w:fldCharType="end"/>
            </w:r>
          </w:hyperlink>
        </w:p>
        <w:p w14:paraId="0B388590" w14:textId="55DD659B" w:rsidR="005C3274" w:rsidRPr="005C3274" w:rsidRDefault="00796B39">
          <w:pPr>
            <w:pStyle w:val="TOC1"/>
            <w:tabs>
              <w:tab w:val="left" w:pos="440"/>
              <w:tab w:val="right" w:leader="dot" w:pos="9736"/>
            </w:tabs>
            <w:rPr>
              <w:noProof/>
            </w:rPr>
          </w:pPr>
          <w:hyperlink w:anchor="_Toc112317113" w:history="1">
            <w:r w:rsidR="005C3274" w:rsidRPr="005C3274">
              <w:rPr>
                <w:rStyle w:val="Hyperlink"/>
                <w:rFonts w:asciiTheme="minorBidi" w:hAnsiTheme="minorBidi"/>
                <w:caps/>
                <w:noProof/>
              </w:rPr>
              <w:t>3.</w:t>
            </w:r>
            <w:r w:rsidR="005C3274" w:rsidRPr="005C3274">
              <w:rPr>
                <w:noProof/>
              </w:rPr>
              <w:tab/>
            </w:r>
            <w:r w:rsidR="005C3274" w:rsidRPr="005C3274">
              <w:rPr>
                <w:rStyle w:val="Hyperlink"/>
                <w:rFonts w:asciiTheme="minorBidi" w:hAnsiTheme="minorBidi"/>
                <w:caps/>
                <w:noProof/>
              </w:rPr>
              <w:t>Principles</w:t>
            </w:r>
            <w:r w:rsidR="005C3274" w:rsidRPr="005C3274">
              <w:rPr>
                <w:noProof/>
                <w:webHidden/>
              </w:rPr>
              <w:tab/>
            </w:r>
            <w:r w:rsidR="005C3274" w:rsidRPr="005C3274">
              <w:rPr>
                <w:noProof/>
                <w:webHidden/>
              </w:rPr>
              <w:fldChar w:fldCharType="begin"/>
            </w:r>
            <w:r w:rsidR="005C3274" w:rsidRPr="005C3274">
              <w:rPr>
                <w:noProof/>
                <w:webHidden/>
              </w:rPr>
              <w:instrText xml:space="preserve"> PAGEREF _Toc112317113 \h </w:instrText>
            </w:r>
            <w:r w:rsidR="005C3274" w:rsidRPr="005C3274">
              <w:rPr>
                <w:noProof/>
                <w:webHidden/>
              </w:rPr>
            </w:r>
            <w:r w:rsidR="005C3274" w:rsidRPr="005C3274">
              <w:rPr>
                <w:noProof/>
                <w:webHidden/>
              </w:rPr>
              <w:fldChar w:fldCharType="separate"/>
            </w:r>
            <w:r w:rsidR="005C3274" w:rsidRPr="005C3274">
              <w:rPr>
                <w:noProof/>
                <w:webHidden/>
              </w:rPr>
              <w:t>1</w:t>
            </w:r>
            <w:r w:rsidR="005C3274" w:rsidRPr="005C3274">
              <w:rPr>
                <w:noProof/>
                <w:webHidden/>
              </w:rPr>
              <w:fldChar w:fldCharType="end"/>
            </w:r>
          </w:hyperlink>
        </w:p>
        <w:p w14:paraId="6FDDCE72" w14:textId="298FD3AF" w:rsidR="005C3274" w:rsidRDefault="005C3274">
          <w:r w:rsidRPr="005C3274">
            <w:rPr>
              <w:noProof/>
            </w:rPr>
            <w:fldChar w:fldCharType="end"/>
          </w:r>
        </w:p>
      </w:sdtContent>
    </w:sdt>
    <w:p w14:paraId="3F012E19" w14:textId="77777777" w:rsidR="001160FD" w:rsidRDefault="001160FD">
      <w:pPr>
        <w:rPr>
          <w:b/>
          <w:bCs/>
          <w:sz w:val="24"/>
          <w:szCs w:val="24"/>
        </w:rPr>
      </w:pPr>
    </w:p>
    <w:p w14:paraId="10A1BA4A" w14:textId="77777777" w:rsidR="001160FD" w:rsidRDefault="001160FD">
      <w:pPr>
        <w:rPr>
          <w:b/>
          <w:bCs/>
          <w:sz w:val="24"/>
          <w:szCs w:val="24"/>
        </w:rPr>
      </w:pPr>
    </w:p>
    <w:p w14:paraId="349817A6" w14:textId="77777777" w:rsidR="001160FD" w:rsidRDefault="001160FD">
      <w:pPr>
        <w:rPr>
          <w:b/>
          <w:bCs/>
          <w:sz w:val="24"/>
          <w:szCs w:val="24"/>
        </w:rPr>
      </w:pPr>
    </w:p>
    <w:p w14:paraId="4D46CF71" w14:textId="77777777" w:rsidR="001160FD" w:rsidRDefault="001160FD">
      <w:pPr>
        <w:rPr>
          <w:b/>
          <w:bCs/>
          <w:sz w:val="24"/>
          <w:szCs w:val="24"/>
        </w:rPr>
      </w:pPr>
    </w:p>
    <w:p w14:paraId="474F9227" w14:textId="77777777" w:rsidR="001160FD" w:rsidRDefault="001160FD">
      <w:pPr>
        <w:rPr>
          <w:b/>
          <w:bCs/>
          <w:sz w:val="24"/>
          <w:szCs w:val="24"/>
        </w:rPr>
      </w:pPr>
    </w:p>
    <w:p w14:paraId="6125AECB" w14:textId="77777777" w:rsidR="001160FD" w:rsidRDefault="001160FD">
      <w:pPr>
        <w:rPr>
          <w:b/>
          <w:bCs/>
          <w:sz w:val="24"/>
          <w:szCs w:val="24"/>
        </w:rPr>
      </w:pPr>
    </w:p>
    <w:p w14:paraId="53D3D0BF" w14:textId="77777777" w:rsidR="001160FD" w:rsidRDefault="001160FD">
      <w:pPr>
        <w:rPr>
          <w:b/>
          <w:bCs/>
          <w:sz w:val="24"/>
          <w:szCs w:val="24"/>
        </w:rPr>
      </w:pPr>
    </w:p>
    <w:p w14:paraId="019657C8" w14:textId="77777777" w:rsidR="001160FD" w:rsidRDefault="001160FD">
      <w:pPr>
        <w:rPr>
          <w:b/>
          <w:bCs/>
          <w:sz w:val="24"/>
          <w:szCs w:val="24"/>
        </w:rPr>
      </w:pPr>
    </w:p>
    <w:p w14:paraId="772BA054" w14:textId="77777777" w:rsidR="001160FD" w:rsidRDefault="001160FD">
      <w:pPr>
        <w:rPr>
          <w:b/>
          <w:bCs/>
          <w:sz w:val="24"/>
          <w:szCs w:val="24"/>
        </w:rPr>
      </w:pPr>
    </w:p>
    <w:p w14:paraId="66ADFBDD" w14:textId="77777777" w:rsidR="001160FD" w:rsidRDefault="001160FD">
      <w:pPr>
        <w:rPr>
          <w:b/>
          <w:bCs/>
          <w:sz w:val="24"/>
          <w:szCs w:val="24"/>
        </w:rPr>
      </w:pPr>
    </w:p>
    <w:p w14:paraId="26D941A1" w14:textId="77777777" w:rsidR="001160FD" w:rsidRDefault="001160FD">
      <w:pPr>
        <w:rPr>
          <w:b/>
          <w:bCs/>
          <w:sz w:val="24"/>
          <w:szCs w:val="24"/>
        </w:rPr>
      </w:pPr>
    </w:p>
    <w:p w14:paraId="5874ABDA" w14:textId="77777777" w:rsidR="001160FD" w:rsidRDefault="001160FD">
      <w:pPr>
        <w:rPr>
          <w:b/>
          <w:bCs/>
          <w:sz w:val="24"/>
          <w:szCs w:val="24"/>
        </w:rPr>
      </w:pPr>
    </w:p>
    <w:p w14:paraId="6842B286" w14:textId="77777777" w:rsidR="001160FD" w:rsidRDefault="001160FD">
      <w:pPr>
        <w:rPr>
          <w:b/>
          <w:bCs/>
          <w:sz w:val="24"/>
          <w:szCs w:val="24"/>
        </w:rPr>
      </w:pPr>
    </w:p>
    <w:p w14:paraId="45158B3E" w14:textId="77777777" w:rsidR="001160FD" w:rsidRDefault="001160FD">
      <w:pPr>
        <w:rPr>
          <w:b/>
          <w:bCs/>
          <w:sz w:val="24"/>
          <w:szCs w:val="24"/>
        </w:rPr>
      </w:pPr>
    </w:p>
    <w:p w14:paraId="14FE845C" w14:textId="77777777" w:rsidR="001160FD" w:rsidRDefault="001160FD">
      <w:pPr>
        <w:rPr>
          <w:b/>
          <w:bCs/>
          <w:sz w:val="24"/>
          <w:szCs w:val="24"/>
        </w:rPr>
      </w:pPr>
    </w:p>
    <w:p w14:paraId="40C241C3" w14:textId="77777777" w:rsidR="001160FD" w:rsidRDefault="001160FD">
      <w:pPr>
        <w:rPr>
          <w:b/>
          <w:bCs/>
          <w:sz w:val="24"/>
          <w:szCs w:val="24"/>
        </w:rPr>
      </w:pPr>
    </w:p>
    <w:p w14:paraId="7A1089B6" w14:textId="77777777" w:rsidR="001160FD" w:rsidRDefault="001160FD">
      <w:pPr>
        <w:rPr>
          <w:b/>
          <w:bCs/>
          <w:sz w:val="24"/>
          <w:szCs w:val="24"/>
        </w:rPr>
      </w:pPr>
    </w:p>
    <w:p w14:paraId="331FFE7D" w14:textId="77777777" w:rsidR="001160FD" w:rsidRDefault="001160FD">
      <w:pPr>
        <w:rPr>
          <w:b/>
          <w:bCs/>
          <w:sz w:val="24"/>
          <w:szCs w:val="24"/>
        </w:rPr>
      </w:pPr>
    </w:p>
    <w:p w14:paraId="6A82D5B9" w14:textId="77777777" w:rsidR="001160FD" w:rsidRDefault="001160FD">
      <w:pPr>
        <w:rPr>
          <w:b/>
          <w:bCs/>
          <w:sz w:val="24"/>
          <w:szCs w:val="24"/>
        </w:rPr>
      </w:pPr>
    </w:p>
    <w:p w14:paraId="2289B72C" w14:textId="77777777" w:rsidR="001160FD" w:rsidRDefault="001160FD">
      <w:pPr>
        <w:rPr>
          <w:b/>
          <w:bCs/>
          <w:sz w:val="24"/>
          <w:szCs w:val="24"/>
        </w:rPr>
      </w:pPr>
    </w:p>
    <w:p w14:paraId="1844C51D" w14:textId="77777777" w:rsidR="001160FD" w:rsidRDefault="001160FD">
      <w:pPr>
        <w:rPr>
          <w:b/>
          <w:bCs/>
          <w:sz w:val="24"/>
          <w:szCs w:val="24"/>
        </w:rPr>
        <w:sectPr w:rsidR="001160FD" w:rsidSect="001160FD">
          <w:pgSz w:w="11906" w:h="16838"/>
          <w:pgMar w:top="1440" w:right="1080" w:bottom="1440" w:left="1080" w:header="708" w:footer="1312" w:gutter="0"/>
          <w:cols w:space="708"/>
          <w:docGrid w:linePitch="360"/>
        </w:sectPr>
      </w:pPr>
    </w:p>
    <w:p w14:paraId="2F75E47F" w14:textId="18AEAFF3" w:rsidR="006809AB" w:rsidRPr="00F85DDE" w:rsidRDefault="006809AB" w:rsidP="00F85DDE">
      <w:pPr>
        <w:pStyle w:val="Heading1"/>
        <w:keepLines w:val="0"/>
        <w:numPr>
          <w:ilvl w:val="0"/>
          <w:numId w:val="1"/>
        </w:numPr>
        <w:spacing w:before="0" w:after="240" w:line="246" w:lineRule="atLeast"/>
        <w:ind w:left="709" w:hanging="709"/>
        <w:jc w:val="both"/>
        <w:rPr>
          <w:rFonts w:asciiTheme="minorBidi" w:hAnsiTheme="minorBidi" w:cstheme="minorBidi"/>
          <w:b/>
          <w:caps/>
          <w:color w:val="auto"/>
          <w:sz w:val="22"/>
          <w:szCs w:val="22"/>
        </w:rPr>
      </w:pPr>
      <w:bookmarkStart w:id="0" w:name="_Toc112317111"/>
      <w:r w:rsidRPr="00F85DDE">
        <w:rPr>
          <w:rFonts w:asciiTheme="minorBidi" w:hAnsiTheme="minorBidi" w:cstheme="minorBidi"/>
          <w:b/>
          <w:caps/>
          <w:color w:val="auto"/>
          <w:sz w:val="22"/>
          <w:szCs w:val="22"/>
        </w:rPr>
        <w:lastRenderedPageBreak/>
        <w:t>Background</w:t>
      </w:r>
      <w:bookmarkEnd w:id="0"/>
    </w:p>
    <w:p w14:paraId="76C3E0EE" w14:textId="6D31F9BB" w:rsidR="00FC02B7" w:rsidRPr="00F85DDE" w:rsidRDefault="00FC02B7" w:rsidP="00F85DDE">
      <w:pPr>
        <w:pStyle w:val="BodyText"/>
        <w:numPr>
          <w:ilvl w:val="1"/>
          <w:numId w:val="1"/>
        </w:numPr>
        <w:tabs>
          <w:tab w:val="left" w:pos="709"/>
        </w:tabs>
        <w:spacing w:before="240" w:after="240"/>
        <w:ind w:left="709" w:hanging="709"/>
        <w:jc w:val="both"/>
        <w:rPr>
          <w:rFonts w:asciiTheme="minorBidi" w:hAnsiTheme="minorBidi"/>
        </w:rPr>
      </w:pPr>
      <w:r w:rsidRPr="00F85DDE">
        <w:rPr>
          <w:rFonts w:asciiTheme="minorBidi" w:hAnsiTheme="minorBidi"/>
        </w:rPr>
        <w:t xml:space="preserve">As a progressive regulator, the </w:t>
      </w:r>
      <w:r w:rsidR="002B0269" w:rsidRPr="00F85DDE">
        <w:rPr>
          <w:rFonts w:asciiTheme="minorBidi" w:hAnsiTheme="minorBidi"/>
        </w:rPr>
        <w:t xml:space="preserve">Financial Services Regulatory Authority (FSRA) of the Abu Dhabi Global Market (ADGM) </w:t>
      </w:r>
      <w:proofErr w:type="spellStart"/>
      <w:r w:rsidRPr="00F85DDE">
        <w:rPr>
          <w:rFonts w:asciiTheme="minorBidi" w:hAnsiTheme="minorBidi"/>
        </w:rPr>
        <w:t>recognises</w:t>
      </w:r>
      <w:proofErr w:type="spellEnd"/>
      <w:r w:rsidRPr="00F85DDE">
        <w:rPr>
          <w:rFonts w:asciiTheme="minorBidi" w:hAnsiTheme="minorBidi"/>
        </w:rPr>
        <w:t xml:space="preserve"> the transformative power of the virtual asset</w:t>
      </w:r>
      <w:r w:rsidR="0003228F" w:rsidRPr="00F85DDE">
        <w:rPr>
          <w:rFonts w:asciiTheme="minorBidi" w:hAnsiTheme="minorBidi"/>
        </w:rPr>
        <w:t xml:space="preserve"> (VA)</w:t>
      </w:r>
      <w:r w:rsidRPr="00F85DDE">
        <w:rPr>
          <w:rFonts w:asciiTheme="minorBidi" w:hAnsiTheme="minorBidi"/>
        </w:rPr>
        <w:t xml:space="preserve"> industry and its potential to </w:t>
      </w:r>
      <w:r w:rsidR="00BB4371" w:rsidRPr="00F85DDE">
        <w:rPr>
          <w:rFonts w:asciiTheme="minorBidi" w:hAnsiTheme="minorBidi"/>
        </w:rPr>
        <w:t xml:space="preserve">facilitate </w:t>
      </w:r>
      <w:r w:rsidRPr="00F85DDE">
        <w:rPr>
          <w:rFonts w:asciiTheme="minorBidi" w:hAnsiTheme="minorBidi"/>
        </w:rPr>
        <w:t>access to innovative financial services. In response, we created the world’s first bespoke</w:t>
      </w:r>
      <w:r w:rsidR="00AB406A" w:rsidRPr="00F85DDE">
        <w:rPr>
          <w:rFonts w:asciiTheme="minorBidi" w:hAnsiTheme="minorBidi"/>
        </w:rPr>
        <w:t xml:space="preserve"> and</w:t>
      </w:r>
      <w:r w:rsidRPr="00F85DDE">
        <w:rPr>
          <w:rFonts w:asciiTheme="minorBidi" w:hAnsiTheme="minorBidi"/>
        </w:rPr>
        <w:t xml:space="preserve"> </w:t>
      </w:r>
      <w:r w:rsidR="000E647E" w:rsidRPr="00F85DDE">
        <w:rPr>
          <w:rFonts w:asciiTheme="minorBidi" w:hAnsiTheme="minorBidi"/>
        </w:rPr>
        <w:t xml:space="preserve">comprehensive </w:t>
      </w:r>
      <w:r w:rsidRPr="00F85DDE">
        <w:rPr>
          <w:rFonts w:asciiTheme="minorBidi" w:hAnsiTheme="minorBidi"/>
        </w:rPr>
        <w:t>regulatory framework designed for virtual asset activities in 20</w:t>
      </w:r>
      <w:r w:rsidR="0003228F" w:rsidRPr="00F85DDE">
        <w:rPr>
          <w:rFonts w:asciiTheme="minorBidi" w:hAnsiTheme="minorBidi"/>
        </w:rPr>
        <w:t>18</w:t>
      </w:r>
      <w:r w:rsidRPr="00F85DDE">
        <w:rPr>
          <w:rFonts w:asciiTheme="minorBidi" w:hAnsiTheme="minorBidi"/>
        </w:rPr>
        <w:t xml:space="preserve">. It stands distinct </w:t>
      </w:r>
      <w:r w:rsidR="00BB4371" w:rsidRPr="00F85DDE">
        <w:rPr>
          <w:rFonts w:asciiTheme="minorBidi" w:hAnsiTheme="minorBidi"/>
        </w:rPr>
        <w:t xml:space="preserve">from </w:t>
      </w:r>
      <w:r w:rsidRPr="00F85DDE">
        <w:rPr>
          <w:rFonts w:asciiTheme="minorBidi" w:hAnsiTheme="minorBidi"/>
        </w:rPr>
        <w:t xml:space="preserve">our other publications covering </w:t>
      </w:r>
      <w:r w:rsidR="0003228F" w:rsidRPr="00F85DDE">
        <w:rPr>
          <w:rFonts w:asciiTheme="minorBidi" w:hAnsiTheme="minorBidi"/>
        </w:rPr>
        <w:t>Digital Assets more broadly which</w:t>
      </w:r>
      <w:r w:rsidR="00D57D17" w:rsidRPr="00F85DDE">
        <w:rPr>
          <w:rFonts w:asciiTheme="minorBidi" w:hAnsiTheme="minorBidi"/>
        </w:rPr>
        <w:t>,</w:t>
      </w:r>
      <w:r w:rsidR="0003228F" w:rsidRPr="00F85DDE">
        <w:rPr>
          <w:rFonts w:asciiTheme="minorBidi" w:hAnsiTheme="minorBidi"/>
        </w:rPr>
        <w:t xml:space="preserve"> in addition to VAs</w:t>
      </w:r>
      <w:r w:rsidR="00D57D17" w:rsidRPr="00F85DDE">
        <w:rPr>
          <w:rFonts w:asciiTheme="minorBidi" w:hAnsiTheme="minorBidi"/>
        </w:rPr>
        <w:t>,</w:t>
      </w:r>
      <w:r w:rsidR="0003228F" w:rsidRPr="00F85DDE">
        <w:rPr>
          <w:rFonts w:asciiTheme="minorBidi" w:hAnsiTheme="minorBidi"/>
        </w:rPr>
        <w:t xml:space="preserve"> includes </w:t>
      </w:r>
      <w:r w:rsidRPr="00F85DDE">
        <w:rPr>
          <w:rFonts w:asciiTheme="minorBidi" w:hAnsiTheme="minorBidi"/>
        </w:rPr>
        <w:t xml:space="preserve">the </w:t>
      </w:r>
      <w:proofErr w:type="spellStart"/>
      <w:r w:rsidRPr="00F85DDE">
        <w:rPr>
          <w:rFonts w:asciiTheme="minorBidi" w:hAnsiTheme="minorBidi"/>
        </w:rPr>
        <w:t>digit</w:t>
      </w:r>
      <w:r w:rsidR="00AB406A" w:rsidRPr="00F85DDE">
        <w:rPr>
          <w:rFonts w:asciiTheme="minorBidi" w:hAnsiTheme="minorBidi"/>
        </w:rPr>
        <w:t>al</w:t>
      </w:r>
      <w:r w:rsidRPr="00F85DDE">
        <w:rPr>
          <w:rFonts w:asciiTheme="minorBidi" w:hAnsiTheme="minorBidi"/>
        </w:rPr>
        <w:t>isation</w:t>
      </w:r>
      <w:proofErr w:type="spellEnd"/>
      <w:r w:rsidRPr="00F85DDE">
        <w:rPr>
          <w:rFonts w:asciiTheme="minorBidi" w:hAnsiTheme="minorBidi"/>
        </w:rPr>
        <w:t xml:space="preserve"> of financial services and capital markets</w:t>
      </w:r>
      <w:r w:rsidR="000E647E" w:rsidRPr="00F85DDE">
        <w:rPr>
          <w:rFonts w:asciiTheme="minorBidi" w:hAnsiTheme="minorBidi"/>
        </w:rPr>
        <w:t>, including in relation to Digital Securities</w:t>
      </w:r>
      <w:r w:rsidR="00114903" w:rsidRPr="00F85DDE">
        <w:rPr>
          <w:rFonts w:asciiTheme="minorBidi" w:hAnsiTheme="minorBidi"/>
        </w:rPr>
        <w:t xml:space="preserve">. </w:t>
      </w:r>
    </w:p>
    <w:p w14:paraId="21D1C104" w14:textId="1CE900A1" w:rsidR="006809AB" w:rsidRPr="00F85DDE" w:rsidRDefault="006809AB" w:rsidP="00F85DDE">
      <w:pPr>
        <w:pStyle w:val="Heading1"/>
        <w:keepLines w:val="0"/>
        <w:numPr>
          <w:ilvl w:val="0"/>
          <w:numId w:val="1"/>
        </w:numPr>
        <w:spacing w:before="0" w:after="240" w:line="246" w:lineRule="atLeast"/>
        <w:ind w:left="709" w:hanging="709"/>
        <w:jc w:val="both"/>
        <w:rPr>
          <w:rFonts w:asciiTheme="minorBidi" w:hAnsiTheme="minorBidi" w:cstheme="minorBidi"/>
          <w:b/>
          <w:caps/>
          <w:color w:val="auto"/>
          <w:sz w:val="22"/>
          <w:szCs w:val="22"/>
        </w:rPr>
      </w:pPr>
      <w:bookmarkStart w:id="1" w:name="_Toc112317112"/>
      <w:r w:rsidRPr="00F85DDE">
        <w:rPr>
          <w:rFonts w:asciiTheme="minorBidi" w:hAnsiTheme="minorBidi" w:cstheme="minorBidi"/>
          <w:b/>
          <w:caps/>
          <w:color w:val="auto"/>
          <w:sz w:val="22"/>
          <w:szCs w:val="22"/>
        </w:rPr>
        <w:t>Aims</w:t>
      </w:r>
      <w:bookmarkEnd w:id="1"/>
      <w:r w:rsidRPr="00F85DDE">
        <w:rPr>
          <w:rFonts w:asciiTheme="minorBidi" w:hAnsiTheme="minorBidi" w:cstheme="minorBidi"/>
          <w:b/>
          <w:caps/>
          <w:color w:val="auto"/>
          <w:sz w:val="22"/>
          <w:szCs w:val="22"/>
        </w:rPr>
        <w:t xml:space="preserve"> </w:t>
      </w:r>
    </w:p>
    <w:p w14:paraId="480ED89C" w14:textId="4D3C3C84" w:rsidR="00DA6F34" w:rsidRPr="00F85DDE" w:rsidRDefault="00DA6F34" w:rsidP="00F85DDE">
      <w:pPr>
        <w:pStyle w:val="BodyText"/>
        <w:numPr>
          <w:ilvl w:val="1"/>
          <w:numId w:val="1"/>
        </w:numPr>
        <w:tabs>
          <w:tab w:val="left" w:pos="709"/>
        </w:tabs>
        <w:spacing w:before="240" w:after="240"/>
        <w:ind w:left="709" w:hanging="709"/>
        <w:jc w:val="both"/>
        <w:rPr>
          <w:rFonts w:asciiTheme="minorBidi" w:hAnsiTheme="minorBidi"/>
        </w:rPr>
      </w:pPr>
      <w:r w:rsidRPr="00F85DDE">
        <w:rPr>
          <w:rFonts w:asciiTheme="minorBidi" w:hAnsiTheme="minorBidi"/>
        </w:rPr>
        <w:t>The FSRA has considered the comment</w:t>
      </w:r>
      <w:r w:rsidR="00BB4371" w:rsidRPr="00F85DDE">
        <w:rPr>
          <w:rFonts w:asciiTheme="minorBidi" w:hAnsiTheme="minorBidi"/>
        </w:rPr>
        <w:t>s</w:t>
      </w:r>
      <w:r w:rsidRPr="00F85DDE">
        <w:rPr>
          <w:rFonts w:asciiTheme="minorBidi" w:hAnsiTheme="minorBidi"/>
        </w:rPr>
        <w:t xml:space="preserve"> and views expressed </w:t>
      </w:r>
      <w:r w:rsidR="00475EB5" w:rsidRPr="00F85DDE">
        <w:rPr>
          <w:rFonts w:asciiTheme="minorBidi" w:hAnsiTheme="minorBidi"/>
        </w:rPr>
        <w:t xml:space="preserve">to date </w:t>
      </w:r>
      <w:r w:rsidRPr="00F85DDE">
        <w:rPr>
          <w:rFonts w:asciiTheme="minorBidi" w:hAnsiTheme="minorBidi"/>
        </w:rPr>
        <w:t xml:space="preserve">by international standard setters on both VAs and the future of the industry. </w:t>
      </w:r>
      <w:r w:rsidR="00475EB5" w:rsidRPr="00F85DDE">
        <w:rPr>
          <w:rFonts w:asciiTheme="minorBidi" w:hAnsiTheme="minorBidi"/>
        </w:rPr>
        <w:t>As the design of regulatory standards</w:t>
      </w:r>
      <w:r w:rsidR="000E6712" w:rsidRPr="00F85DDE">
        <w:rPr>
          <w:rFonts w:asciiTheme="minorBidi" w:hAnsiTheme="minorBidi"/>
        </w:rPr>
        <w:t xml:space="preserve"> in this area</w:t>
      </w:r>
      <w:r w:rsidR="00475EB5" w:rsidRPr="00F85DDE">
        <w:rPr>
          <w:rFonts w:asciiTheme="minorBidi" w:hAnsiTheme="minorBidi"/>
        </w:rPr>
        <w:t xml:space="preserve"> continue, we </w:t>
      </w:r>
      <w:r w:rsidRPr="00F85DDE">
        <w:rPr>
          <w:rFonts w:asciiTheme="minorBidi" w:hAnsiTheme="minorBidi"/>
        </w:rPr>
        <w:t xml:space="preserve">have developed these Guiding Principles </w:t>
      </w:r>
      <w:r w:rsidR="00475EB5" w:rsidRPr="00F85DDE">
        <w:rPr>
          <w:rFonts w:asciiTheme="minorBidi" w:hAnsiTheme="minorBidi"/>
        </w:rPr>
        <w:t>to support engagement with other like</w:t>
      </w:r>
      <w:r w:rsidR="000E6712" w:rsidRPr="00F85DDE">
        <w:rPr>
          <w:rFonts w:asciiTheme="minorBidi" w:hAnsiTheme="minorBidi"/>
        </w:rPr>
        <w:t>-</w:t>
      </w:r>
      <w:r w:rsidR="00475EB5" w:rsidRPr="00F85DDE">
        <w:rPr>
          <w:rFonts w:asciiTheme="minorBidi" w:hAnsiTheme="minorBidi"/>
        </w:rPr>
        <w:t xml:space="preserve">minded regulatory agencies in the UAE, </w:t>
      </w:r>
      <w:r w:rsidR="0004760E" w:rsidRPr="00F85DDE">
        <w:rPr>
          <w:rFonts w:asciiTheme="minorBidi" w:hAnsiTheme="minorBidi"/>
        </w:rPr>
        <w:t xml:space="preserve">across the </w:t>
      </w:r>
      <w:r w:rsidR="00475EB5" w:rsidRPr="00F85DDE">
        <w:rPr>
          <w:rFonts w:asciiTheme="minorBidi" w:hAnsiTheme="minorBidi"/>
        </w:rPr>
        <w:t xml:space="preserve">region and globally, acting as </w:t>
      </w:r>
      <w:r w:rsidRPr="00F85DDE">
        <w:rPr>
          <w:rFonts w:asciiTheme="minorBidi" w:hAnsiTheme="minorBidi"/>
        </w:rPr>
        <w:t>a basis for regulatory cohesion across jurisdictions</w:t>
      </w:r>
      <w:r w:rsidR="000E6712" w:rsidRPr="00F85DDE">
        <w:rPr>
          <w:rFonts w:asciiTheme="minorBidi" w:hAnsiTheme="minorBidi"/>
        </w:rPr>
        <w:t xml:space="preserve">. </w:t>
      </w:r>
    </w:p>
    <w:p w14:paraId="518A154A" w14:textId="360B317F" w:rsidR="00235759" w:rsidRPr="00F85DDE" w:rsidRDefault="009D0085" w:rsidP="00F85DDE">
      <w:pPr>
        <w:pStyle w:val="BodyText"/>
        <w:numPr>
          <w:ilvl w:val="1"/>
          <w:numId w:val="1"/>
        </w:numPr>
        <w:tabs>
          <w:tab w:val="left" w:pos="709"/>
        </w:tabs>
        <w:spacing w:before="240" w:after="240"/>
        <w:ind w:left="709" w:hanging="709"/>
        <w:jc w:val="both"/>
        <w:rPr>
          <w:rFonts w:asciiTheme="minorBidi" w:hAnsiTheme="minorBidi"/>
        </w:rPr>
      </w:pPr>
      <w:r w:rsidRPr="00F85DDE">
        <w:rPr>
          <w:rFonts w:asciiTheme="minorBidi" w:hAnsiTheme="minorBidi"/>
        </w:rPr>
        <w:t xml:space="preserve">The </w:t>
      </w:r>
      <w:r w:rsidR="006809AB" w:rsidRPr="00F85DDE">
        <w:rPr>
          <w:rFonts w:asciiTheme="minorBidi" w:hAnsiTheme="minorBidi"/>
        </w:rPr>
        <w:t xml:space="preserve">Guiding Principles </w:t>
      </w:r>
      <w:r w:rsidR="00475EB5" w:rsidRPr="00F85DDE">
        <w:rPr>
          <w:rFonts w:asciiTheme="minorBidi" w:hAnsiTheme="minorBidi"/>
        </w:rPr>
        <w:t xml:space="preserve">aim </w:t>
      </w:r>
      <w:r w:rsidRPr="00F85DDE">
        <w:rPr>
          <w:rFonts w:asciiTheme="minorBidi" w:hAnsiTheme="minorBidi"/>
        </w:rPr>
        <w:t>to</w:t>
      </w:r>
      <w:r w:rsidR="00887FE4" w:rsidRPr="00F85DDE">
        <w:rPr>
          <w:rFonts w:asciiTheme="minorBidi" w:hAnsiTheme="minorBidi"/>
        </w:rPr>
        <w:t xml:space="preserve"> clearly articulate at a high</w:t>
      </w:r>
      <w:r w:rsidR="0004760E" w:rsidRPr="00F85DDE">
        <w:rPr>
          <w:rFonts w:asciiTheme="minorBidi" w:hAnsiTheme="minorBidi"/>
        </w:rPr>
        <w:t xml:space="preserve"> </w:t>
      </w:r>
      <w:r w:rsidR="00887FE4" w:rsidRPr="00F85DDE">
        <w:rPr>
          <w:rFonts w:asciiTheme="minorBidi" w:hAnsiTheme="minorBidi"/>
        </w:rPr>
        <w:t xml:space="preserve">level </w:t>
      </w:r>
      <w:r w:rsidR="00475EB5" w:rsidRPr="00F85DDE">
        <w:rPr>
          <w:rFonts w:asciiTheme="minorBidi" w:hAnsiTheme="minorBidi"/>
        </w:rPr>
        <w:t xml:space="preserve">our </w:t>
      </w:r>
      <w:r w:rsidR="00887FE4" w:rsidRPr="00F85DDE">
        <w:rPr>
          <w:rFonts w:asciiTheme="minorBidi" w:hAnsiTheme="minorBidi"/>
        </w:rPr>
        <w:t xml:space="preserve">approach </w:t>
      </w:r>
      <w:r w:rsidR="00586F2F" w:rsidRPr="00F85DDE">
        <w:rPr>
          <w:rFonts w:asciiTheme="minorBidi" w:hAnsiTheme="minorBidi"/>
        </w:rPr>
        <w:t>t</w:t>
      </w:r>
      <w:r w:rsidR="006809AB" w:rsidRPr="00F85DDE">
        <w:rPr>
          <w:rFonts w:asciiTheme="minorBidi" w:hAnsiTheme="minorBidi"/>
        </w:rPr>
        <w:t xml:space="preserve">o the </w:t>
      </w:r>
      <w:r w:rsidR="00887FE4" w:rsidRPr="00F85DDE">
        <w:rPr>
          <w:rFonts w:asciiTheme="minorBidi" w:hAnsiTheme="minorBidi"/>
        </w:rPr>
        <w:t xml:space="preserve">regulation of </w:t>
      </w:r>
      <w:r w:rsidR="00342B20" w:rsidRPr="00F85DDE">
        <w:rPr>
          <w:rFonts w:asciiTheme="minorBidi" w:hAnsiTheme="minorBidi"/>
        </w:rPr>
        <w:t>VAs</w:t>
      </w:r>
      <w:r w:rsidR="00887FE4" w:rsidRPr="00F85DDE">
        <w:rPr>
          <w:rFonts w:asciiTheme="minorBidi" w:hAnsiTheme="minorBidi"/>
        </w:rPr>
        <w:t xml:space="preserve"> in</w:t>
      </w:r>
      <w:r w:rsidR="00586F2F" w:rsidRPr="00F85DDE">
        <w:rPr>
          <w:rFonts w:asciiTheme="minorBidi" w:hAnsiTheme="minorBidi"/>
        </w:rPr>
        <w:t xml:space="preserve"> </w:t>
      </w:r>
      <w:r w:rsidR="00887FE4" w:rsidRPr="00F85DDE">
        <w:rPr>
          <w:rFonts w:asciiTheme="minorBidi" w:hAnsiTheme="minorBidi"/>
        </w:rPr>
        <w:t>ADGM</w:t>
      </w:r>
      <w:r w:rsidRPr="00F85DDE">
        <w:rPr>
          <w:rFonts w:asciiTheme="minorBidi" w:hAnsiTheme="minorBidi"/>
        </w:rPr>
        <w:t>.</w:t>
      </w:r>
      <w:r w:rsidR="006809AB" w:rsidRPr="00F85DDE">
        <w:rPr>
          <w:rFonts w:asciiTheme="minorBidi" w:hAnsiTheme="minorBidi"/>
        </w:rPr>
        <w:t xml:space="preserve"> </w:t>
      </w:r>
      <w:r w:rsidR="00235759" w:rsidRPr="00F85DDE">
        <w:rPr>
          <w:rFonts w:asciiTheme="minorBidi" w:hAnsiTheme="minorBidi"/>
        </w:rPr>
        <w:t>Whilst they are not legally binding, t</w:t>
      </w:r>
      <w:r w:rsidR="00887FE4" w:rsidRPr="00F85DDE">
        <w:rPr>
          <w:rFonts w:asciiTheme="minorBidi" w:hAnsiTheme="minorBidi"/>
        </w:rPr>
        <w:t xml:space="preserve">hey should be viewed as a complement to the comprehensive detail of </w:t>
      </w:r>
      <w:r w:rsidR="0003228F" w:rsidRPr="00F85DDE">
        <w:rPr>
          <w:rFonts w:asciiTheme="minorBidi" w:hAnsiTheme="minorBidi"/>
        </w:rPr>
        <w:t>our</w:t>
      </w:r>
      <w:r w:rsidR="00887FE4" w:rsidRPr="00F85DDE">
        <w:rPr>
          <w:rFonts w:asciiTheme="minorBidi" w:hAnsiTheme="minorBidi"/>
        </w:rPr>
        <w:t xml:space="preserve"> published framework, providing </w:t>
      </w:r>
      <w:r w:rsidR="00235759" w:rsidRPr="00F85DDE">
        <w:rPr>
          <w:rFonts w:asciiTheme="minorBidi" w:hAnsiTheme="minorBidi"/>
        </w:rPr>
        <w:t>a</w:t>
      </w:r>
      <w:r w:rsidR="00586F2F" w:rsidRPr="00F85DDE">
        <w:rPr>
          <w:rFonts w:asciiTheme="minorBidi" w:hAnsiTheme="minorBidi"/>
        </w:rPr>
        <w:t xml:space="preserve">n </w:t>
      </w:r>
      <w:r w:rsidR="00235759" w:rsidRPr="00F85DDE">
        <w:rPr>
          <w:rFonts w:asciiTheme="minorBidi" w:hAnsiTheme="minorBidi"/>
        </w:rPr>
        <w:t xml:space="preserve">accessible view of </w:t>
      </w:r>
      <w:r w:rsidR="0003228F" w:rsidRPr="00F85DDE">
        <w:rPr>
          <w:rFonts w:asciiTheme="minorBidi" w:hAnsiTheme="minorBidi"/>
        </w:rPr>
        <w:t xml:space="preserve">our </w:t>
      </w:r>
      <w:r w:rsidR="00235759" w:rsidRPr="00F85DDE">
        <w:rPr>
          <w:rFonts w:asciiTheme="minorBidi" w:hAnsiTheme="minorBidi"/>
        </w:rPr>
        <w:t xml:space="preserve">priorities and supporting rationale in this space. </w:t>
      </w:r>
    </w:p>
    <w:p w14:paraId="639F943E" w14:textId="31668718" w:rsidR="006809AB" w:rsidRPr="00F85DDE" w:rsidRDefault="00235759" w:rsidP="00F85DDE">
      <w:pPr>
        <w:pStyle w:val="BodyText"/>
        <w:numPr>
          <w:ilvl w:val="1"/>
          <w:numId w:val="1"/>
        </w:numPr>
        <w:tabs>
          <w:tab w:val="left" w:pos="709"/>
        </w:tabs>
        <w:spacing w:before="240" w:after="240"/>
        <w:ind w:left="709" w:hanging="709"/>
        <w:jc w:val="both"/>
        <w:rPr>
          <w:rFonts w:asciiTheme="minorBidi" w:hAnsiTheme="minorBidi"/>
        </w:rPr>
      </w:pPr>
      <w:r w:rsidRPr="00F85DDE">
        <w:rPr>
          <w:rFonts w:asciiTheme="minorBidi" w:hAnsiTheme="minorBidi"/>
        </w:rPr>
        <w:t>Each principle is a</w:t>
      </w:r>
      <w:r w:rsidR="006809AB" w:rsidRPr="00F85DDE">
        <w:rPr>
          <w:rFonts w:asciiTheme="minorBidi" w:hAnsiTheme="minorBidi"/>
        </w:rPr>
        <w:t xml:space="preserve"> declaration of the FSRA’s risk appetite </w:t>
      </w:r>
      <w:r w:rsidR="00806C2D" w:rsidRPr="00F85DDE">
        <w:rPr>
          <w:rFonts w:asciiTheme="minorBidi" w:hAnsiTheme="minorBidi"/>
        </w:rPr>
        <w:t>in the areas of</w:t>
      </w:r>
      <w:r w:rsidRPr="00F85DDE">
        <w:rPr>
          <w:rFonts w:asciiTheme="minorBidi" w:hAnsiTheme="minorBidi"/>
        </w:rPr>
        <w:t xml:space="preserve"> regulation,</w:t>
      </w:r>
      <w:r w:rsidR="00806C2D" w:rsidRPr="00F85DDE">
        <w:rPr>
          <w:rFonts w:asciiTheme="minorBidi" w:hAnsiTheme="minorBidi"/>
        </w:rPr>
        <w:t xml:space="preserve"> </w:t>
      </w:r>
      <w:proofErr w:type="spellStart"/>
      <w:r w:rsidR="00806C2D" w:rsidRPr="00F85DDE">
        <w:rPr>
          <w:rFonts w:asciiTheme="minorBidi" w:hAnsiTheme="minorBidi"/>
        </w:rPr>
        <w:t>authorisation</w:t>
      </w:r>
      <w:proofErr w:type="spellEnd"/>
      <w:r w:rsidR="00806C2D" w:rsidRPr="00F85DDE">
        <w:rPr>
          <w:rFonts w:asciiTheme="minorBidi" w:hAnsiTheme="minorBidi"/>
        </w:rPr>
        <w:t xml:space="preserve">, financial crime, supervision, </w:t>
      </w:r>
      <w:proofErr w:type="gramStart"/>
      <w:r w:rsidR="00806C2D" w:rsidRPr="00F85DDE">
        <w:rPr>
          <w:rFonts w:asciiTheme="minorBidi" w:hAnsiTheme="minorBidi"/>
        </w:rPr>
        <w:t>enforcement</w:t>
      </w:r>
      <w:proofErr w:type="gramEnd"/>
      <w:r w:rsidR="00806C2D" w:rsidRPr="00F85DDE">
        <w:rPr>
          <w:rFonts w:asciiTheme="minorBidi" w:hAnsiTheme="minorBidi"/>
        </w:rPr>
        <w:t xml:space="preserve"> and international cooperation</w:t>
      </w:r>
      <w:r w:rsidR="005739B2" w:rsidRPr="00F85DDE">
        <w:rPr>
          <w:rFonts w:asciiTheme="minorBidi" w:hAnsiTheme="minorBidi"/>
        </w:rPr>
        <w:t xml:space="preserve">. </w:t>
      </w:r>
      <w:r w:rsidRPr="00F85DDE">
        <w:rPr>
          <w:rFonts w:asciiTheme="minorBidi" w:hAnsiTheme="minorBidi"/>
        </w:rPr>
        <w:t>When viewed holistically</w:t>
      </w:r>
      <w:r w:rsidR="00C420D3" w:rsidRPr="00F85DDE">
        <w:rPr>
          <w:rFonts w:asciiTheme="minorBidi" w:hAnsiTheme="minorBidi"/>
        </w:rPr>
        <w:t>,</w:t>
      </w:r>
      <w:r w:rsidRPr="00F85DDE">
        <w:rPr>
          <w:rFonts w:asciiTheme="minorBidi" w:hAnsiTheme="minorBidi"/>
        </w:rPr>
        <w:t xml:space="preserve"> these expectations </w:t>
      </w:r>
      <w:r w:rsidR="00806C2D" w:rsidRPr="00F85DDE">
        <w:rPr>
          <w:rFonts w:asciiTheme="minorBidi" w:hAnsiTheme="minorBidi"/>
        </w:rPr>
        <w:t>are calibrated to ensure the appropriate balance between confidence in our ecosystem,</w:t>
      </w:r>
      <w:r w:rsidR="0016000E" w:rsidRPr="00F85DDE">
        <w:rPr>
          <w:rFonts w:asciiTheme="minorBidi" w:hAnsiTheme="minorBidi"/>
        </w:rPr>
        <w:t xml:space="preserve"> risk-sensitivity,</w:t>
      </w:r>
      <w:r w:rsidR="00806C2D" w:rsidRPr="00F85DDE">
        <w:rPr>
          <w:rFonts w:asciiTheme="minorBidi" w:hAnsiTheme="minorBidi"/>
        </w:rPr>
        <w:t xml:space="preserve"> </w:t>
      </w:r>
      <w:r w:rsidR="00C420D3" w:rsidRPr="00F85DDE">
        <w:rPr>
          <w:rFonts w:asciiTheme="minorBidi" w:hAnsiTheme="minorBidi"/>
        </w:rPr>
        <w:t>customer</w:t>
      </w:r>
      <w:r w:rsidR="00806C2D" w:rsidRPr="00F85DDE">
        <w:rPr>
          <w:rFonts w:asciiTheme="minorBidi" w:hAnsiTheme="minorBidi"/>
        </w:rPr>
        <w:t xml:space="preserve"> protection and </w:t>
      </w:r>
      <w:r w:rsidR="0016000E" w:rsidRPr="00F85DDE">
        <w:rPr>
          <w:rFonts w:asciiTheme="minorBidi" w:hAnsiTheme="minorBidi"/>
        </w:rPr>
        <w:t>attracting new entrants</w:t>
      </w:r>
      <w:r w:rsidR="00806C2D" w:rsidRPr="00F85DDE">
        <w:rPr>
          <w:rFonts w:asciiTheme="minorBidi" w:hAnsiTheme="minorBidi"/>
        </w:rPr>
        <w:t>.</w:t>
      </w:r>
    </w:p>
    <w:p w14:paraId="45596954" w14:textId="77777777" w:rsidR="00665F84" w:rsidRPr="00DD64FD" w:rsidRDefault="00665F84" w:rsidP="00665F84">
      <w:pPr>
        <w:pStyle w:val="ListParagraph"/>
        <w:spacing w:after="0"/>
        <w:ind w:left="0"/>
        <w:contextualSpacing w:val="0"/>
        <w:jc w:val="both"/>
        <w:rPr>
          <w:i/>
          <w:iCs/>
        </w:rPr>
      </w:pPr>
    </w:p>
    <w:p w14:paraId="76FE5FB1" w14:textId="4B7C720F" w:rsidR="006809AB" w:rsidRPr="00F85DDE" w:rsidRDefault="006809AB" w:rsidP="00F85DDE">
      <w:pPr>
        <w:pStyle w:val="Heading1"/>
        <w:keepLines w:val="0"/>
        <w:numPr>
          <w:ilvl w:val="0"/>
          <w:numId w:val="1"/>
        </w:numPr>
        <w:spacing w:before="0" w:after="240" w:line="246" w:lineRule="atLeast"/>
        <w:ind w:left="709" w:hanging="709"/>
        <w:jc w:val="both"/>
        <w:rPr>
          <w:rFonts w:asciiTheme="minorBidi" w:hAnsiTheme="minorBidi" w:cstheme="minorBidi"/>
          <w:b/>
          <w:caps/>
          <w:color w:val="auto"/>
          <w:sz w:val="22"/>
          <w:szCs w:val="22"/>
        </w:rPr>
      </w:pPr>
      <w:bookmarkStart w:id="2" w:name="_Toc112317113"/>
      <w:r w:rsidRPr="00F85DDE">
        <w:rPr>
          <w:rFonts w:asciiTheme="minorBidi" w:hAnsiTheme="minorBidi" w:cstheme="minorBidi"/>
          <w:b/>
          <w:caps/>
          <w:color w:val="auto"/>
          <w:sz w:val="22"/>
          <w:szCs w:val="22"/>
        </w:rPr>
        <w:t>Principles</w:t>
      </w:r>
      <w:bookmarkEnd w:id="2"/>
    </w:p>
    <w:p w14:paraId="5FD4E7EC" w14:textId="1EA17A1C" w:rsidR="006809AB" w:rsidRPr="00806C2D" w:rsidRDefault="006809AB" w:rsidP="00F85DDE">
      <w:pPr>
        <w:spacing w:after="120"/>
        <w:ind w:left="851" w:hanging="142"/>
        <w:jc w:val="both"/>
        <w:rPr>
          <w:b/>
          <w:bCs/>
          <w:i/>
          <w:iCs/>
        </w:rPr>
      </w:pPr>
      <w:r w:rsidRPr="00806C2D">
        <w:rPr>
          <w:b/>
          <w:bCs/>
          <w:i/>
          <w:iCs/>
        </w:rPr>
        <w:t xml:space="preserve">Principle 1 – A </w:t>
      </w:r>
      <w:r w:rsidR="00806C2D" w:rsidRPr="00806C2D">
        <w:rPr>
          <w:b/>
          <w:bCs/>
          <w:i/>
          <w:iCs/>
        </w:rPr>
        <w:t>Robust</w:t>
      </w:r>
      <w:r w:rsidRPr="00806C2D">
        <w:rPr>
          <w:b/>
          <w:bCs/>
          <w:i/>
          <w:iCs/>
        </w:rPr>
        <w:t xml:space="preserve"> and Transparent </w:t>
      </w:r>
      <w:r w:rsidR="001A0D3C">
        <w:rPr>
          <w:b/>
          <w:bCs/>
          <w:i/>
          <w:iCs/>
        </w:rPr>
        <w:t>Risk</w:t>
      </w:r>
      <w:r w:rsidR="00114903">
        <w:rPr>
          <w:b/>
          <w:bCs/>
          <w:i/>
          <w:iCs/>
        </w:rPr>
        <w:t>-</w:t>
      </w:r>
      <w:r w:rsidR="001A0D3C">
        <w:rPr>
          <w:b/>
          <w:bCs/>
          <w:i/>
          <w:iCs/>
        </w:rPr>
        <w:t xml:space="preserve">Based </w:t>
      </w:r>
      <w:r w:rsidRPr="00806C2D">
        <w:rPr>
          <w:b/>
          <w:bCs/>
          <w:i/>
          <w:iCs/>
        </w:rPr>
        <w:t>Regulatory Framework</w:t>
      </w:r>
    </w:p>
    <w:p w14:paraId="6FE0CFC8" w14:textId="72E415D3" w:rsidR="006809AB" w:rsidRPr="00F85DDE" w:rsidRDefault="006809AB" w:rsidP="00F85DDE">
      <w:pPr>
        <w:pStyle w:val="BodyText"/>
        <w:numPr>
          <w:ilvl w:val="1"/>
          <w:numId w:val="1"/>
        </w:numPr>
        <w:tabs>
          <w:tab w:val="left" w:pos="709"/>
        </w:tabs>
        <w:spacing w:before="240" w:after="240"/>
        <w:ind w:left="709" w:hanging="709"/>
        <w:jc w:val="both"/>
        <w:rPr>
          <w:rFonts w:asciiTheme="minorBidi" w:hAnsiTheme="minorBidi"/>
        </w:rPr>
      </w:pPr>
      <w:r w:rsidRPr="00F85DDE">
        <w:rPr>
          <w:rFonts w:asciiTheme="minorBidi" w:hAnsiTheme="minorBidi"/>
        </w:rPr>
        <w:t xml:space="preserve">The rapid growth of the </w:t>
      </w:r>
      <w:r w:rsidR="001A0D3C" w:rsidRPr="00F85DDE">
        <w:rPr>
          <w:rFonts w:asciiTheme="minorBidi" w:hAnsiTheme="minorBidi"/>
        </w:rPr>
        <w:t xml:space="preserve">VA </w:t>
      </w:r>
      <w:r w:rsidRPr="00F85DDE">
        <w:rPr>
          <w:rFonts w:asciiTheme="minorBidi" w:hAnsiTheme="minorBidi"/>
        </w:rPr>
        <w:t xml:space="preserve">sector and evolution of its enabling technology has seen financial regulators across the globe responding with a variety of approaches, including but not limited to prohibition, </w:t>
      </w:r>
      <w:proofErr w:type="gramStart"/>
      <w:r w:rsidRPr="00F85DDE">
        <w:rPr>
          <w:rFonts w:asciiTheme="minorBidi" w:hAnsiTheme="minorBidi"/>
        </w:rPr>
        <w:t>restrictions</w:t>
      </w:r>
      <w:proofErr w:type="gramEnd"/>
      <w:r w:rsidRPr="00F85DDE">
        <w:rPr>
          <w:rFonts w:asciiTheme="minorBidi" w:hAnsiTheme="minorBidi"/>
        </w:rPr>
        <w:t xml:space="preserve"> and </w:t>
      </w:r>
      <w:r w:rsidR="003F1BA2" w:rsidRPr="00F85DDE">
        <w:rPr>
          <w:rFonts w:asciiTheme="minorBidi" w:hAnsiTheme="minorBidi"/>
        </w:rPr>
        <w:t>forbearance</w:t>
      </w:r>
      <w:r w:rsidRPr="00F85DDE">
        <w:rPr>
          <w:rFonts w:asciiTheme="minorBidi" w:hAnsiTheme="minorBidi"/>
        </w:rPr>
        <w:t xml:space="preserve">. </w:t>
      </w:r>
      <w:r w:rsidR="007C7309" w:rsidRPr="00F85DDE">
        <w:rPr>
          <w:rFonts w:asciiTheme="minorBidi" w:hAnsiTheme="minorBidi"/>
        </w:rPr>
        <w:t>T</w:t>
      </w:r>
      <w:r w:rsidRPr="00F85DDE">
        <w:rPr>
          <w:rFonts w:asciiTheme="minorBidi" w:hAnsiTheme="minorBidi"/>
        </w:rPr>
        <w:t xml:space="preserve">he FSRA believes that bringing definable </w:t>
      </w:r>
      <w:r w:rsidR="00342B20" w:rsidRPr="00F85DDE">
        <w:rPr>
          <w:rFonts w:asciiTheme="minorBidi" w:hAnsiTheme="minorBidi"/>
        </w:rPr>
        <w:t>VA</w:t>
      </w:r>
      <w:r w:rsidRPr="00F85DDE">
        <w:rPr>
          <w:rFonts w:asciiTheme="minorBidi" w:hAnsiTheme="minorBidi"/>
        </w:rPr>
        <w:t xml:space="preserve"> activities within its regulatory perimeter ensures greater oversight and mitigation of the risks inherent in the sector. </w:t>
      </w:r>
      <w:r w:rsidR="007C7309" w:rsidRPr="00F85DDE">
        <w:rPr>
          <w:rFonts w:asciiTheme="minorBidi" w:hAnsiTheme="minorBidi"/>
        </w:rPr>
        <w:t xml:space="preserve">This </w:t>
      </w:r>
      <w:r w:rsidR="000129B0" w:rsidRPr="00F85DDE">
        <w:rPr>
          <w:rFonts w:asciiTheme="minorBidi" w:hAnsiTheme="minorBidi"/>
        </w:rPr>
        <w:t>approach</w:t>
      </w:r>
      <w:r w:rsidR="007C7309" w:rsidRPr="00F85DDE">
        <w:rPr>
          <w:rFonts w:asciiTheme="minorBidi" w:hAnsiTheme="minorBidi"/>
        </w:rPr>
        <w:t xml:space="preserve"> also </w:t>
      </w:r>
      <w:r w:rsidR="00756924" w:rsidRPr="00F85DDE">
        <w:rPr>
          <w:rFonts w:asciiTheme="minorBidi" w:hAnsiTheme="minorBidi"/>
        </w:rPr>
        <w:t>addresses</w:t>
      </w:r>
      <w:r w:rsidR="007C7309" w:rsidRPr="00F85DDE">
        <w:rPr>
          <w:rFonts w:asciiTheme="minorBidi" w:hAnsiTheme="minorBidi"/>
        </w:rPr>
        <w:t xml:space="preserve"> the expectations of </w:t>
      </w:r>
      <w:r w:rsidR="0004760E" w:rsidRPr="00F85DDE">
        <w:rPr>
          <w:rFonts w:asciiTheme="minorBidi" w:hAnsiTheme="minorBidi"/>
        </w:rPr>
        <w:t xml:space="preserve">both </w:t>
      </w:r>
      <w:r w:rsidR="007C7309" w:rsidRPr="00F85DDE">
        <w:rPr>
          <w:rFonts w:asciiTheme="minorBidi" w:hAnsiTheme="minorBidi"/>
        </w:rPr>
        <w:t xml:space="preserve">best-in-class innovators and traditional financial institutions that seek the transparency and consistency </w:t>
      </w:r>
      <w:r w:rsidR="00185E9B" w:rsidRPr="00F85DDE">
        <w:rPr>
          <w:rFonts w:asciiTheme="minorBidi" w:hAnsiTheme="minorBidi"/>
        </w:rPr>
        <w:t>of</w:t>
      </w:r>
      <w:r w:rsidR="007C7309" w:rsidRPr="00F85DDE">
        <w:rPr>
          <w:rFonts w:asciiTheme="minorBidi" w:hAnsiTheme="minorBidi"/>
        </w:rPr>
        <w:t xml:space="preserve"> a regulated environment for a nascent asset class.</w:t>
      </w:r>
    </w:p>
    <w:p w14:paraId="5A5E582A" w14:textId="0FF81C86" w:rsidR="002A24FC" w:rsidRPr="00F85DDE" w:rsidRDefault="003546A0" w:rsidP="00F85DDE">
      <w:pPr>
        <w:pStyle w:val="BodyText"/>
        <w:numPr>
          <w:ilvl w:val="1"/>
          <w:numId w:val="1"/>
        </w:numPr>
        <w:tabs>
          <w:tab w:val="left" w:pos="709"/>
        </w:tabs>
        <w:spacing w:before="240" w:after="240"/>
        <w:ind w:left="709" w:hanging="709"/>
        <w:jc w:val="both"/>
        <w:rPr>
          <w:rFonts w:asciiTheme="minorBidi" w:hAnsiTheme="minorBidi"/>
        </w:rPr>
      </w:pPr>
      <w:r w:rsidRPr="00F85DDE">
        <w:rPr>
          <w:rFonts w:asciiTheme="minorBidi" w:hAnsiTheme="minorBidi"/>
        </w:rPr>
        <w:t xml:space="preserve">The </w:t>
      </w:r>
      <w:r w:rsidR="002A24FC" w:rsidRPr="00F85DDE">
        <w:rPr>
          <w:rFonts w:asciiTheme="minorBidi" w:hAnsiTheme="minorBidi"/>
        </w:rPr>
        <w:t xml:space="preserve">framework encompasses </w:t>
      </w:r>
      <w:r w:rsidR="005E4E6F" w:rsidRPr="00F85DDE">
        <w:rPr>
          <w:rFonts w:asciiTheme="minorBidi" w:hAnsiTheme="minorBidi"/>
        </w:rPr>
        <w:t xml:space="preserve">a suite of </w:t>
      </w:r>
      <w:r w:rsidR="002A24FC" w:rsidRPr="00F85DDE">
        <w:rPr>
          <w:rFonts w:asciiTheme="minorBidi" w:hAnsiTheme="minorBidi"/>
        </w:rPr>
        <w:t xml:space="preserve">regulations, </w:t>
      </w:r>
      <w:r w:rsidR="005E4E6F" w:rsidRPr="00F85DDE">
        <w:rPr>
          <w:rFonts w:asciiTheme="minorBidi" w:hAnsiTheme="minorBidi"/>
        </w:rPr>
        <w:t xml:space="preserve">activity-specific </w:t>
      </w:r>
      <w:r w:rsidR="002A24FC" w:rsidRPr="00F85DDE">
        <w:rPr>
          <w:rFonts w:asciiTheme="minorBidi" w:hAnsiTheme="minorBidi"/>
        </w:rPr>
        <w:t>rule</w:t>
      </w:r>
      <w:r w:rsidR="00756924" w:rsidRPr="00F85DDE">
        <w:rPr>
          <w:rFonts w:asciiTheme="minorBidi" w:hAnsiTheme="minorBidi"/>
        </w:rPr>
        <w:t>s</w:t>
      </w:r>
      <w:r w:rsidR="002A24FC" w:rsidRPr="00F85DDE">
        <w:rPr>
          <w:rFonts w:asciiTheme="minorBidi" w:hAnsiTheme="minorBidi"/>
        </w:rPr>
        <w:t xml:space="preserve"> and </w:t>
      </w:r>
      <w:r w:rsidR="005E4E6F" w:rsidRPr="00F85DDE">
        <w:rPr>
          <w:rFonts w:asciiTheme="minorBidi" w:hAnsiTheme="minorBidi"/>
        </w:rPr>
        <w:t xml:space="preserve">supporting </w:t>
      </w:r>
      <w:r w:rsidR="002A24FC" w:rsidRPr="00F85DDE">
        <w:rPr>
          <w:rFonts w:asciiTheme="minorBidi" w:hAnsiTheme="minorBidi"/>
        </w:rPr>
        <w:t>guidance</w:t>
      </w:r>
      <w:r w:rsidR="005E4E6F" w:rsidRPr="00F85DDE">
        <w:rPr>
          <w:rFonts w:asciiTheme="minorBidi" w:hAnsiTheme="minorBidi"/>
        </w:rPr>
        <w:t xml:space="preserve"> that delivers protection to investors, maintains market integrity and future-proofs </w:t>
      </w:r>
      <w:r w:rsidR="00DF27B0" w:rsidRPr="00F85DDE">
        <w:rPr>
          <w:rFonts w:asciiTheme="minorBidi" w:hAnsiTheme="minorBidi"/>
        </w:rPr>
        <w:t>against</w:t>
      </w:r>
      <w:r w:rsidR="000656B4" w:rsidRPr="00F85DDE">
        <w:rPr>
          <w:rFonts w:asciiTheme="minorBidi" w:hAnsiTheme="minorBidi"/>
        </w:rPr>
        <w:t xml:space="preserve"> </w:t>
      </w:r>
      <w:r w:rsidR="005E4E6F" w:rsidRPr="00F85DDE">
        <w:rPr>
          <w:rFonts w:asciiTheme="minorBidi" w:hAnsiTheme="minorBidi"/>
        </w:rPr>
        <w:t xml:space="preserve">financial stability risks. </w:t>
      </w:r>
      <w:proofErr w:type="gramStart"/>
      <w:r w:rsidR="005E4E6F" w:rsidRPr="00F85DDE">
        <w:rPr>
          <w:rFonts w:asciiTheme="minorBidi" w:hAnsiTheme="minorBidi"/>
        </w:rPr>
        <w:t>In particular</w:t>
      </w:r>
      <w:r w:rsidR="00A25D54" w:rsidRPr="00F85DDE">
        <w:rPr>
          <w:rFonts w:asciiTheme="minorBidi" w:hAnsiTheme="minorBidi"/>
        </w:rPr>
        <w:t>,</w:t>
      </w:r>
      <w:r w:rsidR="005E4E6F" w:rsidRPr="00F85DDE">
        <w:rPr>
          <w:rFonts w:asciiTheme="minorBidi" w:hAnsiTheme="minorBidi"/>
        </w:rPr>
        <w:t xml:space="preserve"> it</w:t>
      </w:r>
      <w:proofErr w:type="gramEnd"/>
      <w:r w:rsidR="005E4E6F" w:rsidRPr="00F85DDE">
        <w:rPr>
          <w:rFonts w:asciiTheme="minorBidi" w:hAnsiTheme="minorBidi"/>
        </w:rPr>
        <w:t xml:space="preserve"> </w:t>
      </w:r>
      <w:r w:rsidR="00835076" w:rsidRPr="00F85DDE">
        <w:rPr>
          <w:rFonts w:asciiTheme="minorBidi" w:hAnsiTheme="minorBidi"/>
        </w:rPr>
        <w:t xml:space="preserve">introduces a clear taxonomy defining </w:t>
      </w:r>
      <w:r w:rsidR="00342B20" w:rsidRPr="00F85DDE">
        <w:rPr>
          <w:rFonts w:asciiTheme="minorBidi" w:hAnsiTheme="minorBidi"/>
        </w:rPr>
        <w:t>VAs</w:t>
      </w:r>
      <w:r w:rsidR="00835076" w:rsidRPr="00F85DDE">
        <w:rPr>
          <w:rFonts w:asciiTheme="minorBidi" w:hAnsiTheme="minorBidi"/>
        </w:rPr>
        <w:t xml:space="preserve"> as commodities within the wider </w:t>
      </w:r>
      <w:r w:rsidR="001A0D3C" w:rsidRPr="00F85DDE">
        <w:rPr>
          <w:rFonts w:asciiTheme="minorBidi" w:hAnsiTheme="minorBidi"/>
        </w:rPr>
        <w:t>D</w:t>
      </w:r>
      <w:r w:rsidR="00835076" w:rsidRPr="00F85DDE">
        <w:rPr>
          <w:rFonts w:asciiTheme="minorBidi" w:hAnsiTheme="minorBidi"/>
        </w:rPr>
        <w:t xml:space="preserve">igital </w:t>
      </w:r>
      <w:r w:rsidR="001A0D3C" w:rsidRPr="00F85DDE">
        <w:rPr>
          <w:rFonts w:asciiTheme="minorBidi" w:hAnsiTheme="minorBidi"/>
        </w:rPr>
        <w:t>A</w:t>
      </w:r>
      <w:r w:rsidR="00835076" w:rsidRPr="00F85DDE">
        <w:rPr>
          <w:rFonts w:asciiTheme="minorBidi" w:hAnsiTheme="minorBidi"/>
        </w:rPr>
        <w:t>sset universe</w:t>
      </w:r>
      <w:r w:rsidR="005E4E6F" w:rsidRPr="00F85DDE">
        <w:rPr>
          <w:rFonts w:asciiTheme="minorBidi" w:hAnsiTheme="minorBidi"/>
        </w:rPr>
        <w:t xml:space="preserve"> and </w:t>
      </w:r>
      <w:r w:rsidR="00835076" w:rsidRPr="00F85DDE">
        <w:rPr>
          <w:rFonts w:asciiTheme="minorBidi" w:hAnsiTheme="minorBidi"/>
        </w:rPr>
        <w:t>requires the</w:t>
      </w:r>
      <w:r w:rsidRPr="00F85DDE">
        <w:rPr>
          <w:rFonts w:asciiTheme="minorBidi" w:hAnsiTheme="minorBidi"/>
        </w:rPr>
        <w:t xml:space="preserve"> licen</w:t>
      </w:r>
      <w:r w:rsidR="004166A3" w:rsidRPr="00F85DDE">
        <w:rPr>
          <w:rFonts w:asciiTheme="minorBidi" w:hAnsiTheme="minorBidi"/>
        </w:rPr>
        <w:t>s</w:t>
      </w:r>
      <w:r w:rsidR="00835076" w:rsidRPr="00F85DDE">
        <w:rPr>
          <w:rFonts w:asciiTheme="minorBidi" w:hAnsiTheme="minorBidi"/>
        </w:rPr>
        <w:t>ing</w:t>
      </w:r>
      <w:r w:rsidRPr="00F85DDE">
        <w:rPr>
          <w:rFonts w:asciiTheme="minorBidi" w:hAnsiTheme="minorBidi"/>
        </w:rPr>
        <w:t xml:space="preserve"> </w:t>
      </w:r>
      <w:r w:rsidR="00835076" w:rsidRPr="00F85DDE">
        <w:rPr>
          <w:rFonts w:asciiTheme="minorBidi" w:hAnsiTheme="minorBidi"/>
        </w:rPr>
        <w:t>of</w:t>
      </w:r>
      <w:r w:rsidRPr="00F85DDE">
        <w:rPr>
          <w:rFonts w:asciiTheme="minorBidi" w:hAnsiTheme="minorBidi"/>
        </w:rPr>
        <w:t xml:space="preserve"> </w:t>
      </w:r>
      <w:r w:rsidR="0058013A" w:rsidRPr="00F85DDE">
        <w:rPr>
          <w:rFonts w:asciiTheme="minorBidi" w:hAnsiTheme="minorBidi"/>
        </w:rPr>
        <w:t xml:space="preserve">entities engaged in regulated activities </w:t>
      </w:r>
      <w:r w:rsidR="005820B7" w:rsidRPr="00F85DDE">
        <w:rPr>
          <w:rFonts w:asciiTheme="minorBidi" w:hAnsiTheme="minorBidi"/>
        </w:rPr>
        <w:t>that use</w:t>
      </w:r>
      <w:r w:rsidR="0058013A" w:rsidRPr="00F85DDE">
        <w:rPr>
          <w:rFonts w:asciiTheme="minorBidi" w:hAnsiTheme="minorBidi"/>
        </w:rPr>
        <w:t xml:space="preserve"> </w:t>
      </w:r>
      <w:r w:rsidR="001A0D3C" w:rsidRPr="00F85DDE">
        <w:rPr>
          <w:rFonts w:asciiTheme="minorBidi" w:hAnsiTheme="minorBidi"/>
        </w:rPr>
        <w:t>VA</w:t>
      </w:r>
      <w:r w:rsidR="0058013A" w:rsidRPr="00F85DDE">
        <w:rPr>
          <w:rFonts w:asciiTheme="minorBidi" w:hAnsiTheme="minorBidi"/>
        </w:rPr>
        <w:t>s</w:t>
      </w:r>
      <w:r w:rsidR="005D6BCD" w:rsidRPr="00F85DDE">
        <w:rPr>
          <w:rFonts w:asciiTheme="minorBidi" w:hAnsiTheme="minorBidi"/>
        </w:rPr>
        <w:t xml:space="preserve"> within ADGM</w:t>
      </w:r>
      <w:r w:rsidR="006809AB" w:rsidRPr="00F85DDE">
        <w:rPr>
          <w:rFonts w:asciiTheme="minorBidi" w:hAnsiTheme="minorBidi"/>
        </w:rPr>
        <w:t>.</w:t>
      </w:r>
      <w:r w:rsidR="00ED74F7" w:rsidRPr="00F85DDE">
        <w:rPr>
          <w:rFonts w:asciiTheme="minorBidi" w:hAnsiTheme="minorBidi"/>
        </w:rPr>
        <w:t xml:space="preserve"> </w:t>
      </w:r>
    </w:p>
    <w:p w14:paraId="454A655E" w14:textId="71E58901" w:rsidR="005D6BCD" w:rsidRPr="00F85DDE" w:rsidRDefault="00C420D3" w:rsidP="00F85DDE">
      <w:pPr>
        <w:pStyle w:val="BodyText"/>
        <w:numPr>
          <w:ilvl w:val="1"/>
          <w:numId w:val="1"/>
        </w:numPr>
        <w:tabs>
          <w:tab w:val="left" w:pos="709"/>
        </w:tabs>
        <w:spacing w:before="240" w:after="240"/>
        <w:ind w:left="709" w:hanging="709"/>
        <w:jc w:val="both"/>
        <w:rPr>
          <w:rFonts w:asciiTheme="minorBidi" w:hAnsiTheme="minorBidi"/>
        </w:rPr>
      </w:pPr>
      <w:r w:rsidRPr="00F85DDE">
        <w:rPr>
          <w:rFonts w:asciiTheme="minorBidi" w:hAnsiTheme="minorBidi"/>
        </w:rPr>
        <w:t xml:space="preserve">These </w:t>
      </w:r>
      <w:r w:rsidR="004166A3" w:rsidRPr="00F85DDE">
        <w:rPr>
          <w:rFonts w:asciiTheme="minorBidi" w:hAnsiTheme="minorBidi"/>
        </w:rPr>
        <w:t xml:space="preserve">licensed </w:t>
      </w:r>
      <w:r w:rsidRPr="00F85DDE">
        <w:rPr>
          <w:rFonts w:asciiTheme="minorBidi" w:hAnsiTheme="minorBidi"/>
        </w:rPr>
        <w:t>firms are assigned the same</w:t>
      </w:r>
      <w:r w:rsidR="005D6BCD" w:rsidRPr="00F85DDE">
        <w:rPr>
          <w:rFonts w:asciiTheme="minorBidi" w:hAnsiTheme="minorBidi"/>
        </w:rPr>
        <w:t xml:space="preserve"> regulatory status within ADGM as any other </w:t>
      </w:r>
      <w:r w:rsidR="004166A3" w:rsidRPr="00F85DDE">
        <w:rPr>
          <w:rFonts w:asciiTheme="minorBidi" w:hAnsiTheme="minorBidi"/>
        </w:rPr>
        <w:t xml:space="preserve">licensed </w:t>
      </w:r>
      <w:r w:rsidR="0058013A" w:rsidRPr="00F85DDE">
        <w:rPr>
          <w:rFonts w:asciiTheme="minorBidi" w:hAnsiTheme="minorBidi"/>
        </w:rPr>
        <w:t>entity</w:t>
      </w:r>
      <w:r w:rsidR="005D6BCD" w:rsidRPr="00F85DDE">
        <w:rPr>
          <w:rFonts w:asciiTheme="minorBidi" w:hAnsiTheme="minorBidi"/>
        </w:rPr>
        <w:t xml:space="preserve">. Therefore product-specific conduct of business rules </w:t>
      </w:r>
      <w:proofErr w:type="gramStart"/>
      <w:r w:rsidR="005D6BCD" w:rsidRPr="00F85DDE">
        <w:rPr>
          <w:rFonts w:asciiTheme="minorBidi" w:hAnsiTheme="minorBidi"/>
        </w:rPr>
        <w:t>apply</w:t>
      </w:r>
      <w:proofErr w:type="gramEnd"/>
      <w:r w:rsidR="005D6BCD" w:rsidRPr="00F85DDE">
        <w:rPr>
          <w:rFonts w:asciiTheme="minorBidi" w:hAnsiTheme="minorBidi"/>
        </w:rPr>
        <w:t xml:space="preserve"> in addition to any other</w:t>
      </w:r>
      <w:r w:rsidR="005820B7" w:rsidRPr="00F85DDE">
        <w:rPr>
          <w:rFonts w:asciiTheme="minorBidi" w:hAnsiTheme="minorBidi"/>
        </w:rPr>
        <w:t>s</w:t>
      </w:r>
      <w:r w:rsidRPr="00F85DDE">
        <w:rPr>
          <w:rFonts w:asciiTheme="minorBidi" w:hAnsiTheme="minorBidi"/>
        </w:rPr>
        <w:t xml:space="preserve"> </w:t>
      </w:r>
      <w:r w:rsidR="005820B7" w:rsidRPr="00F85DDE">
        <w:rPr>
          <w:rFonts w:asciiTheme="minorBidi" w:hAnsiTheme="minorBidi"/>
        </w:rPr>
        <w:t>that are applicable to a</w:t>
      </w:r>
      <w:r w:rsidR="005D6BCD" w:rsidRPr="00F85DDE">
        <w:rPr>
          <w:rFonts w:asciiTheme="minorBidi" w:hAnsiTheme="minorBidi"/>
        </w:rPr>
        <w:t xml:space="preserve"> </w:t>
      </w:r>
      <w:r w:rsidR="0058013A" w:rsidRPr="00F85DDE">
        <w:rPr>
          <w:rFonts w:asciiTheme="minorBidi" w:hAnsiTheme="minorBidi"/>
        </w:rPr>
        <w:t xml:space="preserve">regulated </w:t>
      </w:r>
      <w:r w:rsidR="005820B7" w:rsidRPr="00F85DDE">
        <w:rPr>
          <w:rFonts w:asciiTheme="minorBidi" w:hAnsiTheme="minorBidi"/>
        </w:rPr>
        <w:t>firm</w:t>
      </w:r>
      <w:r w:rsidRPr="00F85DDE">
        <w:rPr>
          <w:rFonts w:asciiTheme="minorBidi" w:hAnsiTheme="minorBidi"/>
        </w:rPr>
        <w:t xml:space="preserve">, such as those </w:t>
      </w:r>
      <w:r w:rsidR="002C310C" w:rsidRPr="00F85DDE">
        <w:rPr>
          <w:rFonts w:asciiTheme="minorBidi" w:hAnsiTheme="minorBidi"/>
        </w:rPr>
        <w:t>that are</w:t>
      </w:r>
      <w:r w:rsidRPr="00F85DDE">
        <w:rPr>
          <w:rFonts w:asciiTheme="minorBidi" w:hAnsiTheme="minorBidi"/>
        </w:rPr>
        <w:t xml:space="preserve"> asset class</w:t>
      </w:r>
      <w:r w:rsidR="002C310C" w:rsidRPr="00F85DDE">
        <w:rPr>
          <w:rFonts w:asciiTheme="minorBidi" w:hAnsiTheme="minorBidi"/>
        </w:rPr>
        <w:t xml:space="preserve"> agnostic</w:t>
      </w:r>
      <w:r w:rsidR="0058013A" w:rsidRPr="00F85DDE">
        <w:rPr>
          <w:rFonts w:asciiTheme="minorBidi" w:hAnsiTheme="minorBidi"/>
        </w:rPr>
        <w:t xml:space="preserve">. </w:t>
      </w:r>
    </w:p>
    <w:p w14:paraId="781D9AAD" w14:textId="7D8BE42D" w:rsidR="006809AB" w:rsidRPr="00F85DDE" w:rsidRDefault="006809AB" w:rsidP="00F85DDE">
      <w:pPr>
        <w:pStyle w:val="BodyText"/>
        <w:numPr>
          <w:ilvl w:val="1"/>
          <w:numId w:val="1"/>
        </w:numPr>
        <w:tabs>
          <w:tab w:val="left" w:pos="709"/>
        </w:tabs>
        <w:spacing w:before="240" w:after="240"/>
        <w:ind w:left="709" w:hanging="709"/>
        <w:jc w:val="both"/>
        <w:rPr>
          <w:rFonts w:asciiTheme="minorBidi" w:hAnsiTheme="minorBidi"/>
        </w:rPr>
      </w:pPr>
      <w:r w:rsidRPr="00F85DDE">
        <w:rPr>
          <w:rFonts w:asciiTheme="minorBidi" w:hAnsiTheme="minorBidi"/>
        </w:rPr>
        <w:lastRenderedPageBreak/>
        <w:t xml:space="preserve">The FSRA’s commitment to </w:t>
      </w:r>
      <w:r w:rsidR="00DF27B0" w:rsidRPr="00F85DDE">
        <w:rPr>
          <w:rFonts w:asciiTheme="minorBidi" w:hAnsiTheme="minorBidi"/>
        </w:rPr>
        <w:t>exhibit agility in the face of</w:t>
      </w:r>
      <w:r w:rsidRPr="00F85DDE">
        <w:rPr>
          <w:rFonts w:asciiTheme="minorBidi" w:hAnsiTheme="minorBidi"/>
        </w:rPr>
        <w:t xml:space="preserve"> new trends, products and terminology in the industry ensures a dynamic regulatory framework from which further innovation, which ADGM is keen to foster, can occur.</w:t>
      </w:r>
    </w:p>
    <w:p w14:paraId="50D1F624" w14:textId="29ADDDC5" w:rsidR="006809AB" w:rsidRPr="00806C2D" w:rsidRDefault="006809AB" w:rsidP="00F85DDE">
      <w:pPr>
        <w:spacing w:after="120"/>
        <w:ind w:firstLine="709"/>
        <w:jc w:val="both"/>
        <w:rPr>
          <w:b/>
          <w:bCs/>
          <w:i/>
          <w:iCs/>
        </w:rPr>
      </w:pPr>
      <w:r w:rsidRPr="00806C2D">
        <w:rPr>
          <w:b/>
          <w:bCs/>
          <w:i/>
          <w:iCs/>
        </w:rPr>
        <w:t xml:space="preserve">Principle 2 – </w:t>
      </w:r>
      <w:r w:rsidR="00126F02" w:rsidRPr="00806C2D">
        <w:rPr>
          <w:b/>
          <w:bCs/>
          <w:i/>
          <w:iCs/>
        </w:rPr>
        <w:t>High</w:t>
      </w:r>
      <w:r w:rsidR="005E4E6F">
        <w:rPr>
          <w:b/>
          <w:bCs/>
          <w:i/>
          <w:iCs/>
        </w:rPr>
        <w:t xml:space="preserve"> </w:t>
      </w:r>
      <w:r w:rsidR="00126F02" w:rsidRPr="00806C2D">
        <w:rPr>
          <w:b/>
          <w:bCs/>
          <w:i/>
          <w:iCs/>
        </w:rPr>
        <w:t>Standards for</w:t>
      </w:r>
      <w:r w:rsidRPr="00806C2D">
        <w:rPr>
          <w:b/>
          <w:bCs/>
          <w:i/>
          <w:iCs/>
        </w:rPr>
        <w:t xml:space="preserve"> Authorisation</w:t>
      </w:r>
    </w:p>
    <w:p w14:paraId="21DC944D" w14:textId="1AEA8326" w:rsidR="006809AB" w:rsidRPr="00F85DDE" w:rsidRDefault="006809AB" w:rsidP="00F85DDE">
      <w:pPr>
        <w:pStyle w:val="BodyText"/>
        <w:numPr>
          <w:ilvl w:val="1"/>
          <w:numId w:val="1"/>
        </w:numPr>
        <w:tabs>
          <w:tab w:val="left" w:pos="709"/>
        </w:tabs>
        <w:spacing w:before="240" w:after="240"/>
        <w:ind w:left="709" w:hanging="709"/>
        <w:jc w:val="both"/>
        <w:rPr>
          <w:rFonts w:asciiTheme="minorBidi" w:hAnsiTheme="minorBidi"/>
        </w:rPr>
      </w:pPr>
      <w:r w:rsidRPr="00F85DDE">
        <w:rPr>
          <w:rFonts w:asciiTheme="minorBidi" w:hAnsiTheme="minorBidi"/>
        </w:rPr>
        <w:t xml:space="preserve">ADGM has become the destination of choice for many start-ups and investors in the </w:t>
      </w:r>
      <w:r w:rsidR="00342B20" w:rsidRPr="00F85DDE">
        <w:rPr>
          <w:rFonts w:asciiTheme="minorBidi" w:hAnsiTheme="minorBidi"/>
        </w:rPr>
        <w:t>VA</w:t>
      </w:r>
      <w:r w:rsidRPr="00F85DDE">
        <w:rPr>
          <w:rFonts w:asciiTheme="minorBidi" w:hAnsiTheme="minorBidi"/>
        </w:rPr>
        <w:t xml:space="preserve"> sector as well as extant financial institutions looking to expand into this area. Since 2018 </w:t>
      </w:r>
      <w:r w:rsidR="00842465" w:rsidRPr="00F85DDE">
        <w:rPr>
          <w:rFonts w:asciiTheme="minorBidi" w:hAnsiTheme="minorBidi"/>
        </w:rPr>
        <w:t>the FSRA</w:t>
      </w:r>
      <w:r w:rsidRPr="00F85DDE">
        <w:rPr>
          <w:rFonts w:asciiTheme="minorBidi" w:hAnsiTheme="minorBidi"/>
        </w:rPr>
        <w:t xml:space="preserve"> has issued a number of Financial Services Permissions (FSPs) to</w:t>
      </w:r>
      <w:r w:rsidR="00835076" w:rsidRPr="00F85DDE">
        <w:rPr>
          <w:rFonts w:asciiTheme="minorBidi" w:hAnsiTheme="minorBidi"/>
        </w:rPr>
        <w:t xml:space="preserve"> </w:t>
      </w:r>
      <w:r w:rsidR="000656B4" w:rsidRPr="00F85DDE">
        <w:rPr>
          <w:rFonts w:asciiTheme="minorBidi" w:hAnsiTheme="minorBidi"/>
        </w:rPr>
        <w:t>trading venues (</w:t>
      </w:r>
      <w:proofErr w:type="gramStart"/>
      <w:r w:rsidR="00DF27B0" w:rsidRPr="00F85DDE">
        <w:rPr>
          <w:rFonts w:asciiTheme="minorBidi" w:hAnsiTheme="minorBidi"/>
        </w:rPr>
        <w:t>e.g.</w:t>
      </w:r>
      <w:proofErr w:type="gramEnd"/>
      <w:r w:rsidR="00DF27B0" w:rsidRPr="00F85DDE">
        <w:rPr>
          <w:rFonts w:asciiTheme="minorBidi" w:hAnsiTheme="minorBidi"/>
        </w:rPr>
        <w:t xml:space="preserve"> </w:t>
      </w:r>
      <w:r w:rsidR="000656B4" w:rsidRPr="00F85DDE">
        <w:rPr>
          <w:rFonts w:asciiTheme="minorBidi" w:hAnsiTheme="minorBidi"/>
        </w:rPr>
        <w:t xml:space="preserve">multilateral trading facilities (MTFs)) and </w:t>
      </w:r>
      <w:r w:rsidR="00835076" w:rsidRPr="00F85DDE">
        <w:rPr>
          <w:rFonts w:asciiTheme="minorBidi" w:hAnsiTheme="minorBidi"/>
        </w:rPr>
        <w:t>market intermediaries, such as broker dealers, custodians</w:t>
      </w:r>
      <w:r w:rsidR="00AB406A" w:rsidRPr="00F85DDE">
        <w:rPr>
          <w:rFonts w:asciiTheme="minorBidi" w:hAnsiTheme="minorBidi"/>
        </w:rPr>
        <w:t xml:space="preserve"> and</w:t>
      </w:r>
      <w:r w:rsidR="00835076" w:rsidRPr="00F85DDE">
        <w:rPr>
          <w:rFonts w:asciiTheme="minorBidi" w:hAnsiTheme="minorBidi"/>
        </w:rPr>
        <w:t xml:space="preserve"> asset managers</w:t>
      </w:r>
      <w:r w:rsidRPr="00F85DDE">
        <w:rPr>
          <w:rFonts w:asciiTheme="minorBidi" w:hAnsiTheme="minorBidi"/>
        </w:rPr>
        <w:t xml:space="preserve">, and continues to provide the </w:t>
      </w:r>
      <w:r w:rsidR="001A0D3C" w:rsidRPr="00F85DDE">
        <w:rPr>
          <w:rFonts w:asciiTheme="minorBidi" w:hAnsiTheme="minorBidi"/>
        </w:rPr>
        <w:t xml:space="preserve">regulatory </w:t>
      </w:r>
      <w:r w:rsidRPr="00F85DDE">
        <w:rPr>
          <w:rFonts w:asciiTheme="minorBidi" w:hAnsiTheme="minorBidi"/>
        </w:rPr>
        <w:t>architecture</w:t>
      </w:r>
      <w:r w:rsidR="001A0D3C" w:rsidRPr="00F85DDE">
        <w:rPr>
          <w:rFonts w:asciiTheme="minorBidi" w:hAnsiTheme="minorBidi"/>
        </w:rPr>
        <w:t xml:space="preserve"> </w:t>
      </w:r>
      <w:r w:rsidRPr="00F85DDE">
        <w:rPr>
          <w:rFonts w:asciiTheme="minorBidi" w:hAnsiTheme="minorBidi"/>
        </w:rPr>
        <w:t xml:space="preserve">for a vibrant, </w:t>
      </w:r>
      <w:r w:rsidR="00342B20" w:rsidRPr="00F85DDE">
        <w:rPr>
          <w:rFonts w:asciiTheme="minorBidi" w:hAnsiTheme="minorBidi"/>
        </w:rPr>
        <w:t>VA</w:t>
      </w:r>
      <w:r w:rsidRPr="00F85DDE">
        <w:rPr>
          <w:rFonts w:asciiTheme="minorBidi" w:hAnsiTheme="minorBidi"/>
        </w:rPr>
        <w:t xml:space="preserve"> ecosystem. </w:t>
      </w:r>
    </w:p>
    <w:p w14:paraId="0A756C86" w14:textId="31B61190" w:rsidR="005C5B80" w:rsidRPr="00F85DDE" w:rsidRDefault="006809AB" w:rsidP="00F85DDE">
      <w:pPr>
        <w:pStyle w:val="BodyText"/>
        <w:numPr>
          <w:ilvl w:val="1"/>
          <w:numId w:val="1"/>
        </w:numPr>
        <w:tabs>
          <w:tab w:val="left" w:pos="709"/>
        </w:tabs>
        <w:spacing w:before="240" w:after="240"/>
        <w:ind w:left="709" w:hanging="709"/>
        <w:jc w:val="both"/>
        <w:rPr>
          <w:rFonts w:asciiTheme="minorBidi" w:hAnsiTheme="minorBidi"/>
        </w:rPr>
      </w:pPr>
      <w:r w:rsidRPr="00F85DDE">
        <w:rPr>
          <w:rFonts w:asciiTheme="minorBidi" w:hAnsiTheme="minorBidi"/>
        </w:rPr>
        <w:t xml:space="preserve">As the gatekeeper </w:t>
      </w:r>
      <w:r w:rsidR="00DF27B0" w:rsidRPr="00F85DDE">
        <w:rPr>
          <w:rFonts w:asciiTheme="minorBidi" w:hAnsiTheme="minorBidi"/>
        </w:rPr>
        <w:t xml:space="preserve">of </w:t>
      </w:r>
      <w:r w:rsidRPr="00F85DDE">
        <w:rPr>
          <w:rFonts w:asciiTheme="minorBidi" w:hAnsiTheme="minorBidi"/>
        </w:rPr>
        <w:t xml:space="preserve">this ecosystem, the FSRA commits to proactive engagement with aspirants seeking </w:t>
      </w:r>
      <w:proofErr w:type="spellStart"/>
      <w:r w:rsidRPr="00F85DDE">
        <w:rPr>
          <w:rFonts w:asciiTheme="minorBidi" w:hAnsiTheme="minorBidi"/>
        </w:rPr>
        <w:t>authorisation</w:t>
      </w:r>
      <w:proofErr w:type="spellEnd"/>
      <w:r w:rsidRPr="00F85DDE">
        <w:rPr>
          <w:rFonts w:asciiTheme="minorBidi" w:hAnsiTheme="minorBidi"/>
        </w:rPr>
        <w:t xml:space="preserve"> in ADGM.</w:t>
      </w:r>
      <w:r w:rsidR="009A5E66" w:rsidRPr="00F85DDE">
        <w:rPr>
          <w:rFonts w:asciiTheme="minorBidi" w:hAnsiTheme="minorBidi"/>
        </w:rPr>
        <w:t xml:space="preserve"> </w:t>
      </w:r>
      <w:r w:rsidR="005C5B80" w:rsidRPr="00F85DDE">
        <w:rPr>
          <w:rFonts w:asciiTheme="minorBidi" w:hAnsiTheme="minorBidi"/>
        </w:rPr>
        <w:t>Our sandbox-type initiatives</w:t>
      </w:r>
      <w:r w:rsidR="00DF27B0" w:rsidRPr="00F85DDE">
        <w:rPr>
          <w:rFonts w:asciiTheme="minorBidi" w:hAnsiTheme="minorBidi"/>
        </w:rPr>
        <w:t>,</w:t>
      </w:r>
      <w:r w:rsidR="005C5B80" w:rsidRPr="00F85DDE">
        <w:rPr>
          <w:rFonts w:asciiTheme="minorBidi" w:hAnsiTheme="minorBidi"/>
        </w:rPr>
        <w:t xml:space="preserve"> such as the </w:t>
      </w:r>
      <w:proofErr w:type="spellStart"/>
      <w:r w:rsidR="005C5B80" w:rsidRPr="00F85DDE">
        <w:rPr>
          <w:rFonts w:asciiTheme="minorBidi" w:hAnsiTheme="minorBidi"/>
        </w:rPr>
        <w:t>RegLab</w:t>
      </w:r>
      <w:proofErr w:type="spellEnd"/>
      <w:r w:rsidR="005C5B80" w:rsidRPr="00F85DDE">
        <w:rPr>
          <w:rFonts w:asciiTheme="minorBidi" w:hAnsiTheme="minorBidi"/>
        </w:rPr>
        <w:t xml:space="preserve"> and </w:t>
      </w:r>
      <w:r w:rsidR="00DF27B0" w:rsidRPr="00F85DDE">
        <w:rPr>
          <w:rFonts w:asciiTheme="minorBidi" w:hAnsiTheme="minorBidi"/>
        </w:rPr>
        <w:t xml:space="preserve">the </w:t>
      </w:r>
      <w:proofErr w:type="spellStart"/>
      <w:r w:rsidR="005C5B80" w:rsidRPr="00F85DDE">
        <w:rPr>
          <w:rFonts w:asciiTheme="minorBidi" w:hAnsiTheme="minorBidi"/>
        </w:rPr>
        <w:t>DigitalLab</w:t>
      </w:r>
      <w:proofErr w:type="spellEnd"/>
      <w:r w:rsidR="00DF27B0" w:rsidRPr="00F85DDE">
        <w:rPr>
          <w:rFonts w:asciiTheme="minorBidi" w:hAnsiTheme="minorBidi"/>
        </w:rPr>
        <w:t>,</w:t>
      </w:r>
      <w:r w:rsidR="005C5B80" w:rsidRPr="00F85DDE">
        <w:rPr>
          <w:rFonts w:asciiTheme="minorBidi" w:hAnsiTheme="minorBidi"/>
        </w:rPr>
        <w:t xml:space="preserve"> enable close collaboration not only with the regulator but between start-ups offering innovative solutions and traditional financial institutions. </w:t>
      </w:r>
    </w:p>
    <w:p w14:paraId="263223EB" w14:textId="6E2533E6" w:rsidR="006809AB" w:rsidRPr="00F85DDE" w:rsidRDefault="008F40C4" w:rsidP="00F85DDE">
      <w:pPr>
        <w:pStyle w:val="BodyText"/>
        <w:numPr>
          <w:ilvl w:val="1"/>
          <w:numId w:val="1"/>
        </w:numPr>
        <w:tabs>
          <w:tab w:val="left" w:pos="709"/>
        </w:tabs>
        <w:spacing w:before="240" w:after="240"/>
        <w:ind w:left="709" w:hanging="709"/>
        <w:jc w:val="both"/>
        <w:rPr>
          <w:rFonts w:asciiTheme="minorBidi" w:hAnsiTheme="minorBidi"/>
        </w:rPr>
      </w:pPr>
      <w:r w:rsidRPr="00F85DDE">
        <w:rPr>
          <w:rFonts w:asciiTheme="minorBidi" w:hAnsiTheme="minorBidi"/>
        </w:rPr>
        <w:t xml:space="preserve">Following </w:t>
      </w:r>
      <w:r w:rsidR="00DF27B0" w:rsidRPr="00F85DDE">
        <w:rPr>
          <w:rFonts w:asciiTheme="minorBidi" w:hAnsiTheme="minorBidi"/>
        </w:rPr>
        <w:t xml:space="preserve">the </w:t>
      </w:r>
      <w:r w:rsidRPr="00F85DDE">
        <w:rPr>
          <w:rFonts w:asciiTheme="minorBidi" w:hAnsiTheme="minorBidi"/>
        </w:rPr>
        <w:t xml:space="preserve">review of a </w:t>
      </w:r>
      <w:r w:rsidR="005C5B80" w:rsidRPr="00F85DDE">
        <w:rPr>
          <w:rFonts w:asciiTheme="minorBidi" w:hAnsiTheme="minorBidi"/>
        </w:rPr>
        <w:t xml:space="preserve">regulatory </w:t>
      </w:r>
      <w:proofErr w:type="spellStart"/>
      <w:r w:rsidR="005C5B80" w:rsidRPr="00F85DDE">
        <w:rPr>
          <w:rFonts w:asciiTheme="minorBidi" w:hAnsiTheme="minorBidi"/>
        </w:rPr>
        <w:t>licence</w:t>
      </w:r>
      <w:proofErr w:type="spellEnd"/>
      <w:r w:rsidR="005C5B80" w:rsidRPr="00F85DDE">
        <w:rPr>
          <w:rFonts w:asciiTheme="minorBidi" w:hAnsiTheme="minorBidi"/>
        </w:rPr>
        <w:t xml:space="preserve"> application</w:t>
      </w:r>
      <w:r w:rsidRPr="00F85DDE">
        <w:rPr>
          <w:rFonts w:asciiTheme="minorBidi" w:hAnsiTheme="minorBidi"/>
        </w:rPr>
        <w:t xml:space="preserve">, if an applicant’s business model and controls </w:t>
      </w:r>
      <w:r w:rsidR="00622ACA" w:rsidRPr="00F85DDE">
        <w:rPr>
          <w:rFonts w:asciiTheme="minorBidi" w:hAnsiTheme="minorBidi"/>
        </w:rPr>
        <w:t>are</w:t>
      </w:r>
      <w:r w:rsidRPr="00F85DDE">
        <w:rPr>
          <w:rFonts w:asciiTheme="minorBidi" w:hAnsiTheme="minorBidi"/>
        </w:rPr>
        <w:t xml:space="preserve"> deemed to be within our risk appetite</w:t>
      </w:r>
      <w:r w:rsidR="00961807" w:rsidRPr="00F85DDE">
        <w:rPr>
          <w:rFonts w:asciiTheme="minorBidi" w:hAnsiTheme="minorBidi"/>
        </w:rPr>
        <w:t xml:space="preserve"> and they meet all applicable rules and requirements</w:t>
      </w:r>
      <w:r w:rsidRPr="00F85DDE">
        <w:rPr>
          <w:rFonts w:asciiTheme="minorBidi" w:hAnsiTheme="minorBidi"/>
        </w:rPr>
        <w:t xml:space="preserve">, we can provide an </w:t>
      </w:r>
      <w:r w:rsidR="000704CB" w:rsidRPr="00F85DDE">
        <w:rPr>
          <w:rFonts w:asciiTheme="minorBidi" w:hAnsiTheme="minorBidi"/>
        </w:rPr>
        <w:t>‘</w:t>
      </w:r>
      <w:r w:rsidRPr="00F85DDE">
        <w:rPr>
          <w:rFonts w:asciiTheme="minorBidi" w:hAnsiTheme="minorBidi"/>
        </w:rPr>
        <w:t>in-principle</w:t>
      </w:r>
      <w:r w:rsidR="000704CB" w:rsidRPr="00F85DDE">
        <w:rPr>
          <w:rFonts w:asciiTheme="minorBidi" w:hAnsiTheme="minorBidi"/>
        </w:rPr>
        <w:t>’</w:t>
      </w:r>
      <w:r w:rsidRPr="00F85DDE">
        <w:rPr>
          <w:rFonts w:asciiTheme="minorBidi" w:hAnsiTheme="minorBidi"/>
        </w:rPr>
        <w:t xml:space="preserve"> approval</w:t>
      </w:r>
      <w:r w:rsidR="00444613" w:rsidRPr="00F85DDE">
        <w:rPr>
          <w:rFonts w:asciiTheme="minorBidi" w:hAnsiTheme="minorBidi"/>
        </w:rPr>
        <w:t xml:space="preserve">. This </w:t>
      </w:r>
      <w:r w:rsidR="00C420D3" w:rsidRPr="00F85DDE">
        <w:rPr>
          <w:rFonts w:asciiTheme="minorBidi" w:hAnsiTheme="minorBidi"/>
        </w:rPr>
        <w:t>outlines</w:t>
      </w:r>
      <w:r w:rsidRPr="00F85DDE">
        <w:rPr>
          <w:rFonts w:asciiTheme="minorBidi" w:hAnsiTheme="minorBidi"/>
        </w:rPr>
        <w:t xml:space="preserve"> conditions that are required to be me</w:t>
      </w:r>
      <w:r w:rsidR="00622ACA" w:rsidRPr="00F85DDE">
        <w:rPr>
          <w:rFonts w:asciiTheme="minorBidi" w:hAnsiTheme="minorBidi"/>
        </w:rPr>
        <w:t>t</w:t>
      </w:r>
      <w:r w:rsidRPr="00F85DDE">
        <w:rPr>
          <w:rFonts w:asciiTheme="minorBidi" w:hAnsiTheme="minorBidi"/>
        </w:rPr>
        <w:t xml:space="preserve"> prior to granting the </w:t>
      </w:r>
      <w:r w:rsidR="000704CB" w:rsidRPr="00F85DDE">
        <w:rPr>
          <w:rFonts w:asciiTheme="minorBidi" w:hAnsiTheme="minorBidi"/>
        </w:rPr>
        <w:t xml:space="preserve">applicant the </w:t>
      </w:r>
      <w:r w:rsidRPr="00F85DDE">
        <w:rPr>
          <w:rFonts w:asciiTheme="minorBidi" w:hAnsiTheme="minorBidi"/>
        </w:rPr>
        <w:t xml:space="preserve">appropriate </w:t>
      </w:r>
      <w:r w:rsidR="00B523A8" w:rsidRPr="00F85DDE">
        <w:rPr>
          <w:rFonts w:asciiTheme="minorBidi" w:hAnsiTheme="minorBidi"/>
        </w:rPr>
        <w:t>F</w:t>
      </w:r>
      <w:r w:rsidR="001A0D3C" w:rsidRPr="00F85DDE">
        <w:rPr>
          <w:rFonts w:asciiTheme="minorBidi" w:hAnsiTheme="minorBidi"/>
        </w:rPr>
        <w:t xml:space="preserve">inancial </w:t>
      </w:r>
      <w:r w:rsidR="00B523A8" w:rsidRPr="00F85DDE">
        <w:rPr>
          <w:rFonts w:asciiTheme="minorBidi" w:hAnsiTheme="minorBidi"/>
        </w:rPr>
        <w:t>S</w:t>
      </w:r>
      <w:r w:rsidR="001A0D3C" w:rsidRPr="00F85DDE">
        <w:rPr>
          <w:rFonts w:asciiTheme="minorBidi" w:hAnsiTheme="minorBidi"/>
        </w:rPr>
        <w:t xml:space="preserve">ervices </w:t>
      </w:r>
      <w:r w:rsidR="00B523A8" w:rsidRPr="00F85DDE">
        <w:rPr>
          <w:rFonts w:asciiTheme="minorBidi" w:hAnsiTheme="minorBidi"/>
        </w:rPr>
        <w:t>P</w:t>
      </w:r>
      <w:r w:rsidRPr="00F85DDE">
        <w:rPr>
          <w:rFonts w:asciiTheme="minorBidi" w:hAnsiTheme="minorBidi"/>
        </w:rPr>
        <w:t xml:space="preserve">ermission. </w:t>
      </w:r>
      <w:r w:rsidR="006A5D77" w:rsidRPr="00F85DDE">
        <w:rPr>
          <w:rFonts w:asciiTheme="minorBidi" w:hAnsiTheme="minorBidi"/>
        </w:rPr>
        <w:t xml:space="preserve">An applicant will only progress to a launch when it has completed its operational testing to the FSRA’s satisfaction, which may include third-party verification of the </w:t>
      </w:r>
      <w:r w:rsidR="00E73443" w:rsidRPr="00F85DDE">
        <w:rPr>
          <w:rFonts w:asciiTheme="minorBidi" w:hAnsiTheme="minorBidi"/>
        </w:rPr>
        <w:t>a</w:t>
      </w:r>
      <w:r w:rsidR="006A5D77" w:rsidRPr="00F85DDE">
        <w:rPr>
          <w:rFonts w:asciiTheme="minorBidi" w:hAnsiTheme="minorBidi"/>
        </w:rPr>
        <w:t>pplicant’s systems.</w:t>
      </w:r>
    </w:p>
    <w:p w14:paraId="6C98AEF5" w14:textId="1D66DD12" w:rsidR="006809AB" w:rsidRPr="00F85DDE" w:rsidRDefault="006A5D77" w:rsidP="00F85DDE">
      <w:pPr>
        <w:pStyle w:val="BodyText"/>
        <w:numPr>
          <w:ilvl w:val="1"/>
          <w:numId w:val="1"/>
        </w:numPr>
        <w:tabs>
          <w:tab w:val="left" w:pos="709"/>
        </w:tabs>
        <w:spacing w:before="240" w:after="240"/>
        <w:ind w:left="709" w:hanging="709"/>
        <w:jc w:val="both"/>
        <w:rPr>
          <w:rFonts w:asciiTheme="minorBidi" w:hAnsiTheme="minorBidi"/>
        </w:rPr>
      </w:pPr>
      <w:r w:rsidRPr="00F85DDE">
        <w:rPr>
          <w:rFonts w:asciiTheme="minorBidi" w:hAnsiTheme="minorBidi"/>
        </w:rPr>
        <w:t>T</w:t>
      </w:r>
      <w:r w:rsidR="006809AB" w:rsidRPr="00F85DDE">
        <w:rPr>
          <w:rFonts w:asciiTheme="minorBidi" w:hAnsiTheme="minorBidi"/>
        </w:rPr>
        <w:t xml:space="preserve">he FSRA’s risk appetite for </w:t>
      </w:r>
      <w:r w:rsidR="00342B20" w:rsidRPr="00F85DDE">
        <w:rPr>
          <w:rFonts w:asciiTheme="minorBidi" w:hAnsiTheme="minorBidi"/>
        </w:rPr>
        <w:t>VA</w:t>
      </w:r>
      <w:r w:rsidR="006809AB" w:rsidRPr="00F85DDE">
        <w:rPr>
          <w:rFonts w:asciiTheme="minorBidi" w:hAnsiTheme="minorBidi"/>
        </w:rPr>
        <w:t xml:space="preserve"> activities is such that it will only admit operators to its jurisdiction who at the outset can unequivocally meet the transparent</w:t>
      </w:r>
      <w:r w:rsidR="00C1089C" w:rsidRPr="00F85DDE">
        <w:rPr>
          <w:rFonts w:asciiTheme="minorBidi" w:hAnsiTheme="minorBidi"/>
        </w:rPr>
        <w:t>,</w:t>
      </w:r>
      <w:r w:rsidR="006809AB" w:rsidRPr="00F85DDE">
        <w:rPr>
          <w:rFonts w:asciiTheme="minorBidi" w:hAnsiTheme="minorBidi"/>
        </w:rPr>
        <w:t xml:space="preserve"> high standards outlined in its framework.</w:t>
      </w:r>
      <w:r w:rsidR="00961807" w:rsidRPr="00F85DDE">
        <w:rPr>
          <w:rFonts w:asciiTheme="minorBidi" w:hAnsiTheme="minorBidi"/>
        </w:rPr>
        <w:t xml:space="preserve"> </w:t>
      </w:r>
      <w:r w:rsidR="006809AB" w:rsidRPr="00F85DDE">
        <w:rPr>
          <w:rFonts w:asciiTheme="minorBidi" w:hAnsiTheme="minorBidi"/>
        </w:rPr>
        <w:t xml:space="preserve">This will </w:t>
      </w:r>
      <w:r w:rsidR="00842465" w:rsidRPr="00F85DDE">
        <w:rPr>
          <w:rFonts w:asciiTheme="minorBidi" w:hAnsiTheme="minorBidi"/>
        </w:rPr>
        <w:t>maintain</w:t>
      </w:r>
      <w:r w:rsidR="006809AB" w:rsidRPr="00F85DDE">
        <w:rPr>
          <w:rFonts w:asciiTheme="minorBidi" w:hAnsiTheme="minorBidi"/>
        </w:rPr>
        <w:t xml:space="preserve"> the best-in-class reputation of the ADGM ecosystem and </w:t>
      </w:r>
      <w:proofErr w:type="spellStart"/>
      <w:r w:rsidR="006809AB" w:rsidRPr="00F85DDE">
        <w:rPr>
          <w:rFonts w:asciiTheme="minorBidi" w:hAnsiTheme="minorBidi"/>
        </w:rPr>
        <w:t>instil</w:t>
      </w:r>
      <w:proofErr w:type="spellEnd"/>
      <w:r w:rsidR="006809AB" w:rsidRPr="00F85DDE">
        <w:rPr>
          <w:rFonts w:asciiTheme="minorBidi" w:hAnsiTheme="minorBidi"/>
        </w:rPr>
        <w:t xml:space="preserve"> market confidence </w:t>
      </w:r>
      <w:r w:rsidR="00DF27B0" w:rsidRPr="00F85DDE">
        <w:rPr>
          <w:rFonts w:asciiTheme="minorBidi" w:hAnsiTheme="minorBidi"/>
        </w:rPr>
        <w:t>to promote</w:t>
      </w:r>
      <w:r w:rsidR="006809AB" w:rsidRPr="00F85DDE">
        <w:rPr>
          <w:rFonts w:asciiTheme="minorBidi" w:hAnsiTheme="minorBidi"/>
        </w:rPr>
        <w:t xml:space="preserve"> growth and investment. </w:t>
      </w:r>
    </w:p>
    <w:p w14:paraId="387CDCDF" w14:textId="30CE425B" w:rsidR="006809AB" w:rsidRPr="00F85DDE" w:rsidRDefault="006809AB" w:rsidP="00F85DDE">
      <w:pPr>
        <w:pStyle w:val="BodyText"/>
        <w:numPr>
          <w:ilvl w:val="1"/>
          <w:numId w:val="1"/>
        </w:numPr>
        <w:tabs>
          <w:tab w:val="left" w:pos="709"/>
        </w:tabs>
        <w:spacing w:before="240" w:after="240"/>
        <w:ind w:left="709" w:hanging="709"/>
        <w:jc w:val="both"/>
        <w:rPr>
          <w:rFonts w:asciiTheme="minorBidi" w:hAnsiTheme="minorBidi"/>
        </w:rPr>
      </w:pPr>
      <w:r w:rsidRPr="00F85DDE">
        <w:rPr>
          <w:rFonts w:asciiTheme="minorBidi" w:hAnsiTheme="minorBidi"/>
        </w:rPr>
        <w:t xml:space="preserve">This discerning approach is shown by the FSRA’s power to </w:t>
      </w:r>
      <w:r w:rsidR="00AB406A" w:rsidRPr="00F85DDE">
        <w:rPr>
          <w:rFonts w:asciiTheme="minorBidi" w:hAnsiTheme="minorBidi"/>
        </w:rPr>
        <w:t xml:space="preserve">only </w:t>
      </w:r>
      <w:r w:rsidRPr="00F85DDE">
        <w:rPr>
          <w:rFonts w:asciiTheme="minorBidi" w:hAnsiTheme="minorBidi"/>
        </w:rPr>
        <w:t>permit</w:t>
      </w:r>
      <w:r w:rsidR="00DF27B0" w:rsidRPr="00F85DDE">
        <w:rPr>
          <w:rFonts w:asciiTheme="minorBidi" w:hAnsiTheme="minorBidi"/>
        </w:rPr>
        <w:t xml:space="preserve"> </w:t>
      </w:r>
      <w:r w:rsidR="00342B20" w:rsidRPr="00F85DDE">
        <w:rPr>
          <w:rFonts w:asciiTheme="minorBidi" w:hAnsiTheme="minorBidi"/>
        </w:rPr>
        <w:t>VAs</w:t>
      </w:r>
      <w:r w:rsidRPr="00F85DDE">
        <w:rPr>
          <w:rFonts w:asciiTheme="minorBidi" w:hAnsiTheme="minorBidi"/>
        </w:rPr>
        <w:t xml:space="preserve"> that it deems ‘acceptable’, as determined by risk factors </w:t>
      </w:r>
      <w:r w:rsidR="00C420D3" w:rsidRPr="00F85DDE">
        <w:rPr>
          <w:rFonts w:asciiTheme="minorBidi" w:hAnsiTheme="minorBidi"/>
        </w:rPr>
        <w:t>such as</w:t>
      </w:r>
      <w:r w:rsidRPr="00F85DDE">
        <w:rPr>
          <w:rFonts w:asciiTheme="minorBidi" w:hAnsiTheme="minorBidi"/>
        </w:rPr>
        <w:t xml:space="preserve"> security and traceability, </w:t>
      </w:r>
      <w:proofErr w:type="gramStart"/>
      <w:r w:rsidRPr="00F85DDE">
        <w:rPr>
          <w:rFonts w:asciiTheme="minorBidi" w:hAnsiTheme="minorBidi"/>
        </w:rPr>
        <w:t>in order to</w:t>
      </w:r>
      <w:proofErr w:type="gramEnd"/>
      <w:r w:rsidRPr="00F85DDE">
        <w:rPr>
          <w:rFonts w:asciiTheme="minorBidi" w:hAnsiTheme="minorBidi"/>
        </w:rPr>
        <w:t xml:space="preserve"> prevent the build-up of risk from illiquid or immature assets.</w:t>
      </w:r>
      <w:r w:rsidR="003C3CBE" w:rsidRPr="00F85DDE">
        <w:rPr>
          <w:rFonts w:asciiTheme="minorBidi" w:hAnsiTheme="minorBidi"/>
        </w:rPr>
        <w:t xml:space="preserve"> Additionally, we do not permit </w:t>
      </w:r>
      <w:proofErr w:type="spellStart"/>
      <w:r w:rsidR="003C3CBE" w:rsidRPr="00F85DDE">
        <w:rPr>
          <w:rFonts w:asciiTheme="minorBidi" w:hAnsiTheme="minorBidi"/>
        </w:rPr>
        <w:t>stab</w:t>
      </w:r>
      <w:r w:rsidR="009B5CA5" w:rsidRPr="00F85DDE">
        <w:rPr>
          <w:rFonts w:asciiTheme="minorBidi" w:hAnsiTheme="minorBidi"/>
        </w:rPr>
        <w:t>le</w:t>
      </w:r>
      <w:r w:rsidR="003C3CBE" w:rsidRPr="00F85DDE">
        <w:rPr>
          <w:rFonts w:asciiTheme="minorBidi" w:hAnsiTheme="minorBidi"/>
        </w:rPr>
        <w:t>coins</w:t>
      </w:r>
      <w:proofErr w:type="spellEnd"/>
      <w:r w:rsidR="003C3CBE" w:rsidRPr="00F85DDE">
        <w:rPr>
          <w:rFonts w:asciiTheme="minorBidi" w:hAnsiTheme="minorBidi"/>
        </w:rPr>
        <w:t xml:space="preserve"> base</w:t>
      </w:r>
      <w:r w:rsidR="009B5CA5" w:rsidRPr="00F85DDE">
        <w:rPr>
          <w:rFonts w:asciiTheme="minorBidi" w:hAnsiTheme="minorBidi"/>
        </w:rPr>
        <w:t>d</w:t>
      </w:r>
      <w:r w:rsidR="003C3CBE" w:rsidRPr="00F85DDE">
        <w:rPr>
          <w:rFonts w:asciiTheme="minorBidi" w:hAnsiTheme="minorBidi"/>
        </w:rPr>
        <w:t xml:space="preserve"> on the </w:t>
      </w:r>
      <w:r w:rsidR="009B5CA5" w:rsidRPr="00F85DDE">
        <w:rPr>
          <w:rFonts w:asciiTheme="minorBidi" w:hAnsiTheme="minorBidi"/>
        </w:rPr>
        <w:t xml:space="preserve">algorithmic model of valuation to the underlying fiat currency. </w:t>
      </w:r>
      <w:r w:rsidR="003C3CBE" w:rsidRPr="00F85DDE">
        <w:rPr>
          <w:rFonts w:asciiTheme="minorBidi" w:hAnsiTheme="minorBidi"/>
        </w:rPr>
        <w:t xml:space="preserve"> </w:t>
      </w:r>
    </w:p>
    <w:p w14:paraId="06A2A032" w14:textId="196D7677" w:rsidR="006809AB" w:rsidRPr="00F85DDE" w:rsidRDefault="00E03F71" w:rsidP="00F85DDE">
      <w:pPr>
        <w:pStyle w:val="BodyText"/>
        <w:numPr>
          <w:ilvl w:val="1"/>
          <w:numId w:val="1"/>
        </w:numPr>
        <w:tabs>
          <w:tab w:val="left" w:pos="709"/>
        </w:tabs>
        <w:spacing w:before="240" w:after="240"/>
        <w:ind w:left="709" w:hanging="709"/>
        <w:jc w:val="both"/>
        <w:rPr>
          <w:rFonts w:asciiTheme="minorBidi" w:hAnsiTheme="minorBidi"/>
        </w:rPr>
      </w:pPr>
      <w:proofErr w:type="gramStart"/>
      <w:r w:rsidRPr="00F85DDE">
        <w:rPr>
          <w:rFonts w:asciiTheme="minorBidi" w:hAnsiTheme="minorBidi"/>
        </w:rPr>
        <w:t>With regard to</w:t>
      </w:r>
      <w:proofErr w:type="gramEnd"/>
      <w:r w:rsidRPr="00F85DDE">
        <w:rPr>
          <w:rFonts w:asciiTheme="minorBidi" w:hAnsiTheme="minorBidi"/>
        </w:rPr>
        <w:t xml:space="preserve"> </w:t>
      </w:r>
      <w:r w:rsidR="00C47FB7" w:rsidRPr="00F85DDE">
        <w:rPr>
          <w:rFonts w:asciiTheme="minorBidi" w:hAnsiTheme="minorBidi"/>
        </w:rPr>
        <w:t>trading venues</w:t>
      </w:r>
      <w:r w:rsidR="005820B7" w:rsidRPr="00F85DDE">
        <w:rPr>
          <w:rFonts w:asciiTheme="minorBidi" w:hAnsiTheme="minorBidi"/>
        </w:rPr>
        <w:t>, t</w:t>
      </w:r>
      <w:r w:rsidR="00456920" w:rsidRPr="00F85DDE">
        <w:rPr>
          <w:rFonts w:asciiTheme="minorBidi" w:hAnsiTheme="minorBidi"/>
        </w:rPr>
        <w:t xml:space="preserve">he FSRA </w:t>
      </w:r>
      <w:proofErr w:type="spellStart"/>
      <w:r w:rsidR="00456920" w:rsidRPr="00F85DDE">
        <w:rPr>
          <w:rFonts w:asciiTheme="minorBidi" w:hAnsiTheme="minorBidi"/>
        </w:rPr>
        <w:t>recognises</w:t>
      </w:r>
      <w:proofErr w:type="spellEnd"/>
      <w:r w:rsidR="00456920" w:rsidRPr="00F85DDE">
        <w:rPr>
          <w:rFonts w:asciiTheme="minorBidi" w:hAnsiTheme="minorBidi"/>
        </w:rPr>
        <w:t xml:space="preserve"> that t</w:t>
      </w:r>
      <w:r w:rsidR="006809AB" w:rsidRPr="00F85DDE">
        <w:rPr>
          <w:rFonts w:asciiTheme="minorBidi" w:hAnsiTheme="minorBidi"/>
        </w:rPr>
        <w:t xml:space="preserve">he operation of exchange-type activities is key to improving connectivity of </w:t>
      </w:r>
      <w:r w:rsidR="00342B20" w:rsidRPr="00F85DDE">
        <w:rPr>
          <w:rFonts w:asciiTheme="minorBidi" w:hAnsiTheme="minorBidi"/>
        </w:rPr>
        <w:t>VAs</w:t>
      </w:r>
      <w:r w:rsidR="006809AB" w:rsidRPr="00F85DDE">
        <w:rPr>
          <w:rFonts w:asciiTheme="minorBidi" w:hAnsiTheme="minorBidi"/>
        </w:rPr>
        <w:t xml:space="preserve"> to the mainstream financial system and </w:t>
      </w:r>
      <w:r w:rsidR="00146E89" w:rsidRPr="00F85DDE">
        <w:rPr>
          <w:rFonts w:asciiTheme="minorBidi" w:hAnsiTheme="minorBidi"/>
        </w:rPr>
        <w:t xml:space="preserve">the sector’s </w:t>
      </w:r>
      <w:r w:rsidR="006809AB" w:rsidRPr="00F85DDE">
        <w:rPr>
          <w:rFonts w:asciiTheme="minorBidi" w:hAnsiTheme="minorBidi"/>
        </w:rPr>
        <w:t xml:space="preserve">expansion in ADGM specifically. </w:t>
      </w:r>
      <w:r w:rsidR="00456920" w:rsidRPr="00F85DDE">
        <w:rPr>
          <w:rFonts w:asciiTheme="minorBidi" w:hAnsiTheme="minorBidi"/>
        </w:rPr>
        <w:t>Its</w:t>
      </w:r>
      <w:r w:rsidR="006809AB" w:rsidRPr="00F85DDE">
        <w:rPr>
          <w:rFonts w:asciiTheme="minorBidi" w:hAnsiTheme="minorBidi"/>
        </w:rPr>
        <w:t xml:space="preserve"> oversight of </w:t>
      </w:r>
      <w:r w:rsidR="00456920" w:rsidRPr="00F85DDE">
        <w:rPr>
          <w:rFonts w:asciiTheme="minorBidi" w:hAnsiTheme="minorBidi"/>
        </w:rPr>
        <w:t>MTFs</w:t>
      </w:r>
      <w:r w:rsidR="006809AB" w:rsidRPr="00F85DDE">
        <w:rPr>
          <w:rFonts w:asciiTheme="minorBidi" w:hAnsiTheme="minorBidi"/>
        </w:rPr>
        <w:t xml:space="preserve"> </w:t>
      </w:r>
      <w:r w:rsidRPr="00F85DDE">
        <w:rPr>
          <w:rFonts w:asciiTheme="minorBidi" w:hAnsiTheme="minorBidi"/>
        </w:rPr>
        <w:t xml:space="preserve">as </w:t>
      </w:r>
      <w:proofErr w:type="spellStart"/>
      <w:r w:rsidR="00C47FB7" w:rsidRPr="00F85DDE">
        <w:rPr>
          <w:rFonts w:asciiTheme="minorBidi" w:hAnsiTheme="minorBidi"/>
        </w:rPr>
        <w:t>centralised</w:t>
      </w:r>
      <w:proofErr w:type="spellEnd"/>
      <w:r w:rsidR="00C47FB7" w:rsidRPr="00F85DDE">
        <w:rPr>
          <w:rFonts w:asciiTheme="minorBidi" w:hAnsiTheme="minorBidi"/>
        </w:rPr>
        <w:t xml:space="preserve"> </w:t>
      </w:r>
      <w:r w:rsidRPr="00F85DDE">
        <w:rPr>
          <w:rFonts w:asciiTheme="minorBidi" w:hAnsiTheme="minorBidi"/>
        </w:rPr>
        <w:t>platform</w:t>
      </w:r>
      <w:r w:rsidR="00146E89" w:rsidRPr="00F85DDE">
        <w:rPr>
          <w:rFonts w:asciiTheme="minorBidi" w:hAnsiTheme="minorBidi"/>
        </w:rPr>
        <w:t>s</w:t>
      </w:r>
      <w:r w:rsidRPr="00F85DDE">
        <w:rPr>
          <w:rFonts w:asciiTheme="minorBidi" w:hAnsiTheme="minorBidi"/>
        </w:rPr>
        <w:t xml:space="preserve"> for </w:t>
      </w:r>
      <w:r w:rsidR="00C47FB7" w:rsidRPr="00F85DDE">
        <w:rPr>
          <w:rFonts w:asciiTheme="minorBidi" w:hAnsiTheme="minorBidi"/>
        </w:rPr>
        <w:t>VA</w:t>
      </w:r>
      <w:r w:rsidRPr="00F85DDE">
        <w:rPr>
          <w:rFonts w:asciiTheme="minorBidi" w:hAnsiTheme="minorBidi"/>
        </w:rPr>
        <w:t xml:space="preserve"> transactions </w:t>
      </w:r>
      <w:r w:rsidR="006809AB" w:rsidRPr="00F85DDE">
        <w:rPr>
          <w:rFonts w:asciiTheme="minorBidi" w:hAnsiTheme="minorBidi"/>
        </w:rPr>
        <w:t>is calibrated to ensure fair</w:t>
      </w:r>
      <w:r w:rsidRPr="00F85DDE">
        <w:rPr>
          <w:rFonts w:asciiTheme="minorBidi" w:hAnsiTheme="minorBidi"/>
        </w:rPr>
        <w:t xml:space="preserve"> </w:t>
      </w:r>
      <w:r w:rsidR="006809AB" w:rsidRPr="00F85DDE">
        <w:rPr>
          <w:rFonts w:asciiTheme="minorBidi" w:hAnsiTheme="minorBidi"/>
        </w:rPr>
        <w:t>and orderly markets a</w:t>
      </w:r>
      <w:r w:rsidR="00456920" w:rsidRPr="00F85DDE">
        <w:rPr>
          <w:rFonts w:asciiTheme="minorBidi" w:hAnsiTheme="minorBidi"/>
        </w:rPr>
        <w:t>nd</w:t>
      </w:r>
      <w:r w:rsidR="006809AB" w:rsidRPr="00F85DDE">
        <w:rPr>
          <w:rFonts w:asciiTheme="minorBidi" w:hAnsiTheme="minorBidi"/>
        </w:rPr>
        <w:t xml:space="preserve"> </w:t>
      </w:r>
      <w:r w:rsidR="00C47FB7" w:rsidRPr="00F85DDE">
        <w:rPr>
          <w:rFonts w:asciiTheme="minorBidi" w:hAnsiTheme="minorBidi"/>
        </w:rPr>
        <w:t xml:space="preserve">to </w:t>
      </w:r>
      <w:r w:rsidR="006809AB" w:rsidRPr="00F85DDE">
        <w:rPr>
          <w:rFonts w:asciiTheme="minorBidi" w:hAnsiTheme="minorBidi"/>
        </w:rPr>
        <w:t>prevent market abuse.</w:t>
      </w:r>
    </w:p>
    <w:p w14:paraId="652D65B6" w14:textId="0FAA197D" w:rsidR="006809AB" w:rsidRPr="00806C2D" w:rsidRDefault="006809AB" w:rsidP="00F85DDE">
      <w:pPr>
        <w:spacing w:after="120"/>
        <w:ind w:firstLine="709"/>
        <w:jc w:val="both"/>
        <w:rPr>
          <w:b/>
          <w:bCs/>
          <w:i/>
          <w:iCs/>
        </w:rPr>
      </w:pPr>
      <w:r w:rsidRPr="00806C2D">
        <w:rPr>
          <w:b/>
          <w:bCs/>
          <w:i/>
          <w:iCs/>
        </w:rPr>
        <w:t xml:space="preserve">Principle 3 – Preventing </w:t>
      </w:r>
      <w:r w:rsidR="001C738A">
        <w:rPr>
          <w:b/>
          <w:bCs/>
          <w:i/>
          <w:iCs/>
        </w:rPr>
        <w:t xml:space="preserve">Money Laundering and Other </w:t>
      </w:r>
      <w:r w:rsidRPr="00806C2D">
        <w:rPr>
          <w:b/>
          <w:bCs/>
          <w:i/>
          <w:iCs/>
        </w:rPr>
        <w:t>Financial Crime</w:t>
      </w:r>
    </w:p>
    <w:p w14:paraId="19A3E5B7" w14:textId="6BC2542D" w:rsidR="006809AB" w:rsidRPr="00F85DDE" w:rsidRDefault="006809AB" w:rsidP="00F85DDE">
      <w:pPr>
        <w:pStyle w:val="BodyText"/>
        <w:numPr>
          <w:ilvl w:val="1"/>
          <w:numId w:val="1"/>
        </w:numPr>
        <w:tabs>
          <w:tab w:val="left" w:pos="709"/>
        </w:tabs>
        <w:spacing w:before="240" w:after="240"/>
        <w:ind w:left="709" w:hanging="709"/>
        <w:jc w:val="both"/>
        <w:rPr>
          <w:rFonts w:asciiTheme="minorBidi" w:hAnsiTheme="minorBidi"/>
        </w:rPr>
      </w:pPr>
      <w:r w:rsidRPr="00F85DDE">
        <w:rPr>
          <w:rFonts w:asciiTheme="minorBidi" w:hAnsiTheme="minorBidi"/>
        </w:rPr>
        <w:t xml:space="preserve">The </w:t>
      </w:r>
      <w:r w:rsidR="00C47FB7" w:rsidRPr="00F85DDE">
        <w:rPr>
          <w:rFonts w:asciiTheme="minorBidi" w:hAnsiTheme="minorBidi"/>
        </w:rPr>
        <w:t>VA</w:t>
      </w:r>
      <w:r w:rsidRPr="00F85DDE">
        <w:rPr>
          <w:rFonts w:asciiTheme="minorBidi" w:hAnsiTheme="minorBidi"/>
        </w:rPr>
        <w:t xml:space="preserve"> industry exhibits structural features that make it susceptible to money laundering and terrorism financing outside the reach of law enforcemen</w:t>
      </w:r>
      <w:r w:rsidR="00456920" w:rsidRPr="00F85DDE">
        <w:rPr>
          <w:rFonts w:asciiTheme="minorBidi" w:hAnsiTheme="minorBidi"/>
        </w:rPr>
        <w:t xml:space="preserve">t. </w:t>
      </w:r>
      <w:r w:rsidRPr="00F85DDE">
        <w:rPr>
          <w:rFonts w:asciiTheme="minorBidi" w:hAnsiTheme="minorBidi"/>
        </w:rPr>
        <w:t>These</w:t>
      </w:r>
      <w:r w:rsidR="00146E89" w:rsidRPr="00F85DDE">
        <w:rPr>
          <w:rFonts w:asciiTheme="minorBidi" w:hAnsiTheme="minorBidi"/>
        </w:rPr>
        <w:t xml:space="preserve"> features</w:t>
      </w:r>
      <w:r w:rsidRPr="00F85DDE">
        <w:rPr>
          <w:rFonts w:asciiTheme="minorBidi" w:hAnsiTheme="minorBidi"/>
        </w:rPr>
        <w:t xml:space="preserve"> include user anonymity, ease of access, infrastructure segmentation and jurisdictional location. </w:t>
      </w:r>
      <w:r w:rsidR="00456920" w:rsidRPr="00F85DDE">
        <w:rPr>
          <w:rFonts w:asciiTheme="minorBidi" w:hAnsiTheme="minorBidi"/>
        </w:rPr>
        <w:t>As a result,</w:t>
      </w:r>
      <w:r w:rsidR="00E131DC" w:rsidRPr="00F85DDE">
        <w:rPr>
          <w:rFonts w:asciiTheme="minorBidi" w:hAnsiTheme="minorBidi"/>
        </w:rPr>
        <w:t xml:space="preserve"> the scrutiny</w:t>
      </w:r>
      <w:r w:rsidR="00456920" w:rsidRPr="00F85DDE">
        <w:rPr>
          <w:rFonts w:asciiTheme="minorBidi" w:hAnsiTheme="minorBidi"/>
        </w:rPr>
        <w:t xml:space="preserve"> </w:t>
      </w:r>
      <w:r w:rsidR="00051E6F" w:rsidRPr="00F85DDE">
        <w:rPr>
          <w:rFonts w:asciiTheme="minorBidi" w:hAnsiTheme="minorBidi"/>
        </w:rPr>
        <w:t xml:space="preserve">of </w:t>
      </w:r>
      <w:r w:rsidR="00342B20" w:rsidRPr="00F85DDE">
        <w:rPr>
          <w:rFonts w:asciiTheme="minorBidi" w:hAnsiTheme="minorBidi"/>
        </w:rPr>
        <w:t>VAs</w:t>
      </w:r>
      <w:r w:rsidR="00E131DC" w:rsidRPr="00F85DDE">
        <w:rPr>
          <w:rFonts w:asciiTheme="minorBidi" w:hAnsiTheme="minorBidi"/>
        </w:rPr>
        <w:t xml:space="preserve"> by regulators</w:t>
      </w:r>
      <w:r w:rsidR="00456920" w:rsidRPr="00F85DDE">
        <w:rPr>
          <w:rFonts w:asciiTheme="minorBidi" w:hAnsiTheme="minorBidi"/>
        </w:rPr>
        <w:t xml:space="preserve"> to date</w:t>
      </w:r>
      <w:r w:rsidR="00E131DC" w:rsidRPr="00F85DDE">
        <w:rPr>
          <w:rFonts w:asciiTheme="minorBidi" w:hAnsiTheme="minorBidi"/>
        </w:rPr>
        <w:t xml:space="preserve"> has </w:t>
      </w:r>
      <w:r w:rsidR="00342B20" w:rsidRPr="00F85DDE">
        <w:rPr>
          <w:rFonts w:asciiTheme="minorBidi" w:hAnsiTheme="minorBidi"/>
        </w:rPr>
        <w:t xml:space="preserve">included a </w:t>
      </w:r>
      <w:r w:rsidR="00E131DC" w:rsidRPr="00F85DDE">
        <w:rPr>
          <w:rFonts w:asciiTheme="minorBidi" w:hAnsiTheme="minorBidi"/>
        </w:rPr>
        <w:t>focus on</w:t>
      </w:r>
      <w:r w:rsidR="00456920" w:rsidRPr="00F85DDE">
        <w:rPr>
          <w:rFonts w:asciiTheme="minorBidi" w:hAnsiTheme="minorBidi"/>
        </w:rPr>
        <w:t xml:space="preserve"> the heightened</w:t>
      </w:r>
      <w:r w:rsidR="00E131DC" w:rsidRPr="00F85DDE">
        <w:rPr>
          <w:rFonts w:asciiTheme="minorBidi" w:hAnsiTheme="minorBidi"/>
        </w:rPr>
        <w:t xml:space="preserve"> </w:t>
      </w:r>
      <w:r w:rsidR="001C738A" w:rsidRPr="00F85DDE">
        <w:rPr>
          <w:rFonts w:asciiTheme="minorBidi" w:hAnsiTheme="minorBidi"/>
        </w:rPr>
        <w:t>money laundering and terrorist financing</w:t>
      </w:r>
      <w:r w:rsidR="00A25AAF" w:rsidRPr="00F85DDE">
        <w:rPr>
          <w:rFonts w:asciiTheme="minorBidi" w:hAnsiTheme="minorBidi"/>
        </w:rPr>
        <w:t xml:space="preserve"> risks</w:t>
      </w:r>
      <w:r w:rsidR="008678DD" w:rsidRPr="00F85DDE">
        <w:rPr>
          <w:rFonts w:asciiTheme="minorBidi" w:hAnsiTheme="minorBidi"/>
        </w:rPr>
        <w:t>.</w:t>
      </w:r>
      <w:r w:rsidR="006A5D77" w:rsidRPr="00F85DDE">
        <w:rPr>
          <w:rFonts w:asciiTheme="minorBidi" w:hAnsiTheme="minorBidi"/>
        </w:rPr>
        <w:t xml:space="preserve"> </w:t>
      </w:r>
      <w:r w:rsidR="00AB0971" w:rsidRPr="00F85DDE">
        <w:rPr>
          <w:rFonts w:asciiTheme="minorBidi" w:hAnsiTheme="minorBidi"/>
        </w:rPr>
        <w:t xml:space="preserve">The FSRA’s dedicated Financial &amp; Cyber Crime Prevention Unit acts as a </w:t>
      </w:r>
      <w:proofErr w:type="spellStart"/>
      <w:r w:rsidR="00AB0971" w:rsidRPr="00F85DDE">
        <w:rPr>
          <w:rFonts w:asciiTheme="minorBidi" w:hAnsiTheme="minorBidi"/>
        </w:rPr>
        <w:t>centre</w:t>
      </w:r>
      <w:proofErr w:type="spellEnd"/>
      <w:r w:rsidR="00AB0971" w:rsidRPr="00F85DDE">
        <w:rPr>
          <w:rFonts w:asciiTheme="minorBidi" w:hAnsiTheme="minorBidi"/>
        </w:rPr>
        <w:t xml:space="preserve"> of expertise and leads ADGM’s efforts in promoting sound practices in financial crime compliance</w:t>
      </w:r>
      <w:r w:rsidR="00F952D0" w:rsidRPr="00F85DDE">
        <w:rPr>
          <w:rFonts w:asciiTheme="minorBidi" w:hAnsiTheme="minorBidi"/>
        </w:rPr>
        <w:t>.</w:t>
      </w:r>
    </w:p>
    <w:p w14:paraId="2AF7FA87" w14:textId="4B2023A0" w:rsidR="002D52E7" w:rsidRPr="00F85DDE" w:rsidRDefault="00644C29" w:rsidP="00F85DDE">
      <w:pPr>
        <w:pStyle w:val="BodyText"/>
        <w:numPr>
          <w:ilvl w:val="1"/>
          <w:numId w:val="1"/>
        </w:numPr>
        <w:tabs>
          <w:tab w:val="left" w:pos="709"/>
        </w:tabs>
        <w:spacing w:before="240" w:after="240"/>
        <w:ind w:left="709" w:hanging="709"/>
        <w:jc w:val="both"/>
        <w:rPr>
          <w:rFonts w:asciiTheme="minorBidi" w:hAnsiTheme="minorBidi"/>
        </w:rPr>
      </w:pPr>
      <w:r w:rsidRPr="00F85DDE">
        <w:rPr>
          <w:rFonts w:asciiTheme="minorBidi" w:hAnsiTheme="minorBidi"/>
        </w:rPr>
        <w:t xml:space="preserve">In recognition of </w:t>
      </w:r>
      <w:r w:rsidR="00786CD3" w:rsidRPr="00F85DDE">
        <w:rPr>
          <w:rFonts w:asciiTheme="minorBidi" w:hAnsiTheme="minorBidi"/>
        </w:rPr>
        <w:t xml:space="preserve">the underlying </w:t>
      </w:r>
      <w:r w:rsidR="00C420D3" w:rsidRPr="00F85DDE">
        <w:rPr>
          <w:rFonts w:asciiTheme="minorBidi" w:hAnsiTheme="minorBidi"/>
        </w:rPr>
        <w:t>risk profile</w:t>
      </w:r>
      <w:r w:rsidR="00786CD3" w:rsidRPr="00F85DDE">
        <w:rPr>
          <w:rFonts w:asciiTheme="minorBidi" w:hAnsiTheme="minorBidi"/>
        </w:rPr>
        <w:t xml:space="preserve"> in this area</w:t>
      </w:r>
      <w:r w:rsidR="00961778" w:rsidRPr="00F85DDE">
        <w:rPr>
          <w:rFonts w:asciiTheme="minorBidi" w:hAnsiTheme="minorBidi"/>
        </w:rPr>
        <w:t>, t</w:t>
      </w:r>
      <w:r w:rsidR="005F3446" w:rsidRPr="00F85DDE">
        <w:rPr>
          <w:rFonts w:asciiTheme="minorBidi" w:hAnsiTheme="minorBidi"/>
        </w:rPr>
        <w:t xml:space="preserve">he FSRA requires that its </w:t>
      </w:r>
      <w:r w:rsidR="005F3446" w:rsidRPr="00F85DDE">
        <w:rPr>
          <w:rFonts w:asciiTheme="minorBidi" w:hAnsiTheme="minorBidi"/>
        </w:rPr>
        <w:lastRenderedPageBreak/>
        <w:t xml:space="preserve">comprehensive </w:t>
      </w:r>
      <w:r w:rsidR="00AF6B37" w:rsidRPr="00F85DDE">
        <w:rPr>
          <w:rFonts w:asciiTheme="minorBidi" w:hAnsiTheme="minorBidi"/>
        </w:rPr>
        <w:t xml:space="preserve">Anti-Money Laundering/Combatting the Financing of Terrorism (AML/CFT) </w:t>
      </w:r>
      <w:r w:rsidR="005F3446" w:rsidRPr="00F85DDE">
        <w:rPr>
          <w:rFonts w:asciiTheme="minorBidi" w:hAnsiTheme="minorBidi"/>
        </w:rPr>
        <w:t xml:space="preserve">rules </w:t>
      </w:r>
      <w:r w:rsidR="00961778" w:rsidRPr="00F85DDE">
        <w:rPr>
          <w:rFonts w:asciiTheme="minorBidi" w:hAnsiTheme="minorBidi"/>
        </w:rPr>
        <w:t>are equally applicable</w:t>
      </w:r>
      <w:r w:rsidR="005F3446" w:rsidRPr="00F85DDE">
        <w:rPr>
          <w:rFonts w:asciiTheme="minorBidi" w:hAnsiTheme="minorBidi"/>
        </w:rPr>
        <w:t xml:space="preserve"> to </w:t>
      </w:r>
      <w:r w:rsidR="00342B20" w:rsidRPr="00F85DDE">
        <w:rPr>
          <w:rFonts w:asciiTheme="minorBidi" w:hAnsiTheme="minorBidi"/>
        </w:rPr>
        <w:t>VA</w:t>
      </w:r>
      <w:r w:rsidR="005F3446" w:rsidRPr="00F85DDE">
        <w:rPr>
          <w:rFonts w:asciiTheme="minorBidi" w:hAnsiTheme="minorBidi"/>
        </w:rPr>
        <w:t xml:space="preserve"> activities, in addition to UAE-wide Federal Laws and Cabinet Resolutions</w:t>
      </w:r>
      <w:r w:rsidR="00961778" w:rsidRPr="00F85DDE">
        <w:rPr>
          <w:rFonts w:asciiTheme="minorBidi" w:hAnsiTheme="minorBidi"/>
        </w:rPr>
        <w:t xml:space="preserve"> on </w:t>
      </w:r>
      <w:r w:rsidR="00AF6B37" w:rsidRPr="00F85DDE">
        <w:rPr>
          <w:rFonts w:asciiTheme="minorBidi" w:hAnsiTheme="minorBidi"/>
        </w:rPr>
        <w:t>A</w:t>
      </w:r>
      <w:r w:rsidR="00146E89" w:rsidRPr="00F85DDE">
        <w:rPr>
          <w:rFonts w:asciiTheme="minorBidi" w:hAnsiTheme="minorBidi"/>
        </w:rPr>
        <w:t>ML/CFT</w:t>
      </w:r>
      <w:r w:rsidR="005F3446" w:rsidRPr="00F85DDE">
        <w:rPr>
          <w:rFonts w:asciiTheme="minorBidi" w:hAnsiTheme="minorBidi"/>
        </w:rPr>
        <w:t xml:space="preserve">. </w:t>
      </w:r>
      <w:r w:rsidR="00D3766B" w:rsidRPr="00F85DDE">
        <w:rPr>
          <w:rFonts w:asciiTheme="minorBidi" w:hAnsiTheme="minorBidi"/>
        </w:rPr>
        <w:t xml:space="preserve">Critically, </w:t>
      </w:r>
      <w:r w:rsidR="00730549" w:rsidRPr="00F85DDE">
        <w:rPr>
          <w:rFonts w:asciiTheme="minorBidi" w:hAnsiTheme="minorBidi"/>
        </w:rPr>
        <w:t xml:space="preserve">the FSRA </w:t>
      </w:r>
      <w:r w:rsidR="00961778" w:rsidRPr="00F85DDE">
        <w:rPr>
          <w:rFonts w:asciiTheme="minorBidi" w:hAnsiTheme="minorBidi"/>
        </w:rPr>
        <w:t xml:space="preserve">also </w:t>
      </w:r>
      <w:r w:rsidR="00730549" w:rsidRPr="00F85DDE">
        <w:rPr>
          <w:rFonts w:asciiTheme="minorBidi" w:hAnsiTheme="minorBidi"/>
        </w:rPr>
        <w:t xml:space="preserve">expects full compliance with FATF Guidance and Recommendations in this area. </w:t>
      </w:r>
    </w:p>
    <w:p w14:paraId="70BE5575" w14:textId="1F96DFAF" w:rsidR="005F3446" w:rsidRPr="00F85DDE" w:rsidRDefault="007B6AA0" w:rsidP="00F85DDE">
      <w:pPr>
        <w:pStyle w:val="BodyText"/>
        <w:numPr>
          <w:ilvl w:val="1"/>
          <w:numId w:val="1"/>
        </w:numPr>
        <w:tabs>
          <w:tab w:val="left" w:pos="709"/>
        </w:tabs>
        <w:spacing w:before="240" w:after="240"/>
        <w:ind w:left="709" w:hanging="709"/>
        <w:jc w:val="both"/>
        <w:rPr>
          <w:rFonts w:asciiTheme="minorBidi" w:hAnsiTheme="minorBidi"/>
        </w:rPr>
      </w:pPr>
      <w:r w:rsidRPr="00F85DDE">
        <w:rPr>
          <w:rFonts w:asciiTheme="minorBidi" w:hAnsiTheme="minorBidi"/>
        </w:rPr>
        <w:t xml:space="preserve">The </w:t>
      </w:r>
      <w:r w:rsidR="00961778" w:rsidRPr="00F85DDE">
        <w:rPr>
          <w:rFonts w:asciiTheme="minorBidi" w:hAnsiTheme="minorBidi"/>
        </w:rPr>
        <w:t>strength of these</w:t>
      </w:r>
      <w:r w:rsidR="005F3446" w:rsidRPr="00F85DDE">
        <w:rPr>
          <w:rFonts w:asciiTheme="minorBidi" w:hAnsiTheme="minorBidi"/>
        </w:rPr>
        <w:t xml:space="preserve"> requirement</w:t>
      </w:r>
      <w:r w:rsidR="00961778" w:rsidRPr="00F85DDE">
        <w:rPr>
          <w:rFonts w:asciiTheme="minorBidi" w:hAnsiTheme="minorBidi"/>
        </w:rPr>
        <w:t>s</w:t>
      </w:r>
      <w:r w:rsidR="00051E6F" w:rsidRPr="00F85DDE">
        <w:rPr>
          <w:rFonts w:asciiTheme="minorBidi" w:hAnsiTheme="minorBidi"/>
        </w:rPr>
        <w:t xml:space="preserve">, taken all together, </w:t>
      </w:r>
      <w:r w:rsidR="00961778" w:rsidRPr="00F85DDE">
        <w:rPr>
          <w:rFonts w:asciiTheme="minorBidi" w:hAnsiTheme="minorBidi"/>
        </w:rPr>
        <w:t xml:space="preserve">should promote </w:t>
      </w:r>
      <w:r w:rsidR="00F3748B" w:rsidRPr="00F85DDE">
        <w:rPr>
          <w:rFonts w:asciiTheme="minorBidi" w:hAnsiTheme="minorBidi"/>
        </w:rPr>
        <w:t>an effect</w:t>
      </w:r>
      <w:r w:rsidR="00961778" w:rsidRPr="00F85DDE">
        <w:rPr>
          <w:rFonts w:asciiTheme="minorBidi" w:hAnsiTheme="minorBidi"/>
        </w:rPr>
        <w:t>ive</w:t>
      </w:r>
      <w:r w:rsidR="00F3748B" w:rsidRPr="00F85DDE">
        <w:rPr>
          <w:rFonts w:asciiTheme="minorBidi" w:hAnsiTheme="minorBidi"/>
        </w:rPr>
        <w:t xml:space="preserve"> AML/CFT culture within </w:t>
      </w:r>
      <w:r w:rsidR="00961778" w:rsidRPr="00F85DDE">
        <w:rPr>
          <w:rFonts w:asciiTheme="minorBidi" w:hAnsiTheme="minorBidi"/>
        </w:rPr>
        <w:t>ADGM’s</w:t>
      </w:r>
      <w:r w:rsidR="00F3748B" w:rsidRPr="00F85DDE">
        <w:rPr>
          <w:rFonts w:asciiTheme="minorBidi" w:hAnsiTheme="minorBidi"/>
        </w:rPr>
        <w:t xml:space="preserve"> </w:t>
      </w:r>
      <w:r w:rsidR="00342B20" w:rsidRPr="00F85DDE">
        <w:rPr>
          <w:rFonts w:asciiTheme="minorBidi" w:hAnsiTheme="minorBidi"/>
        </w:rPr>
        <w:t>VA</w:t>
      </w:r>
      <w:r w:rsidR="00F3748B" w:rsidRPr="00F85DDE">
        <w:rPr>
          <w:rFonts w:asciiTheme="minorBidi" w:hAnsiTheme="minorBidi"/>
        </w:rPr>
        <w:t xml:space="preserve"> firms and ensure </w:t>
      </w:r>
      <w:r w:rsidR="00961778" w:rsidRPr="00F85DDE">
        <w:rPr>
          <w:rFonts w:asciiTheme="minorBidi" w:hAnsiTheme="minorBidi"/>
        </w:rPr>
        <w:t xml:space="preserve">the </w:t>
      </w:r>
      <w:proofErr w:type="spellStart"/>
      <w:r w:rsidR="00961778" w:rsidRPr="00F85DDE">
        <w:rPr>
          <w:rFonts w:asciiTheme="minorBidi" w:hAnsiTheme="minorBidi"/>
        </w:rPr>
        <w:t>centre</w:t>
      </w:r>
      <w:proofErr w:type="spellEnd"/>
      <w:r w:rsidR="005F3446" w:rsidRPr="00F85DDE">
        <w:rPr>
          <w:rFonts w:asciiTheme="minorBidi" w:hAnsiTheme="minorBidi"/>
        </w:rPr>
        <w:t xml:space="preserve"> align</w:t>
      </w:r>
      <w:r w:rsidR="00730549" w:rsidRPr="00F85DDE">
        <w:rPr>
          <w:rFonts w:asciiTheme="minorBidi" w:hAnsiTheme="minorBidi"/>
        </w:rPr>
        <w:t>s</w:t>
      </w:r>
      <w:r w:rsidR="005F3446" w:rsidRPr="00F85DDE">
        <w:rPr>
          <w:rFonts w:asciiTheme="minorBidi" w:hAnsiTheme="minorBidi"/>
        </w:rPr>
        <w:t xml:space="preserve"> with international </w:t>
      </w:r>
      <w:r w:rsidR="00C1089C" w:rsidRPr="00F85DDE">
        <w:rPr>
          <w:rFonts w:asciiTheme="minorBidi" w:hAnsiTheme="minorBidi"/>
        </w:rPr>
        <w:t xml:space="preserve">best practice </w:t>
      </w:r>
      <w:r w:rsidR="005F3446" w:rsidRPr="00F85DDE">
        <w:rPr>
          <w:rFonts w:asciiTheme="minorBidi" w:hAnsiTheme="minorBidi"/>
        </w:rPr>
        <w:t xml:space="preserve">for </w:t>
      </w:r>
      <w:r w:rsidR="008E570A" w:rsidRPr="00F85DDE">
        <w:rPr>
          <w:rFonts w:asciiTheme="minorBidi" w:hAnsiTheme="minorBidi"/>
        </w:rPr>
        <w:t>beneficial ownership transparency</w:t>
      </w:r>
      <w:r w:rsidR="00F3748B" w:rsidRPr="00F85DDE">
        <w:rPr>
          <w:rFonts w:asciiTheme="minorBidi" w:hAnsiTheme="minorBidi"/>
        </w:rPr>
        <w:t>.</w:t>
      </w:r>
      <w:r w:rsidR="00B936C0" w:rsidRPr="00F85DDE">
        <w:rPr>
          <w:rFonts w:asciiTheme="minorBidi" w:hAnsiTheme="minorBidi"/>
        </w:rPr>
        <w:t xml:space="preserve"> </w:t>
      </w:r>
      <w:r w:rsidR="00146E89" w:rsidRPr="00F85DDE">
        <w:rPr>
          <w:rFonts w:asciiTheme="minorBidi" w:hAnsiTheme="minorBidi"/>
        </w:rPr>
        <w:t>To demonstrate this,</w:t>
      </w:r>
      <w:r w:rsidR="002D52E7" w:rsidRPr="00F85DDE">
        <w:rPr>
          <w:rFonts w:asciiTheme="minorBidi" w:hAnsiTheme="minorBidi"/>
        </w:rPr>
        <w:t xml:space="preserve"> the FSRA </w:t>
      </w:r>
      <w:r w:rsidR="00B936C0" w:rsidRPr="00F85DDE">
        <w:rPr>
          <w:rFonts w:asciiTheme="minorBidi" w:hAnsiTheme="minorBidi"/>
        </w:rPr>
        <w:t>requires</w:t>
      </w:r>
      <w:r w:rsidR="002D52E7" w:rsidRPr="00F85DDE">
        <w:rPr>
          <w:rFonts w:asciiTheme="minorBidi" w:hAnsiTheme="minorBidi"/>
        </w:rPr>
        <w:t xml:space="preserve"> </w:t>
      </w:r>
      <w:r w:rsidR="00051E6F" w:rsidRPr="00F85DDE">
        <w:rPr>
          <w:rFonts w:asciiTheme="minorBidi" w:hAnsiTheme="minorBidi"/>
        </w:rPr>
        <w:t xml:space="preserve">those </w:t>
      </w:r>
      <w:r w:rsidR="002D52E7" w:rsidRPr="00F85DDE">
        <w:rPr>
          <w:rFonts w:asciiTheme="minorBidi" w:hAnsiTheme="minorBidi"/>
        </w:rPr>
        <w:t xml:space="preserve">firms to avoid </w:t>
      </w:r>
      <w:r w:rsidR="00342B20" w:rsidRPr="00F85DDE">
        <w:rPr>
          <w:rFonts w:asciiTheme="minorBidi" w:hAnsiTheme="minorBidi"/>
        </w:rPr>
        <w:t>VA</w:t>
      </w:r>
      <w:r w:rsidR="002D52E7" w:rsidRPr="00F85DDE">
        <w:rPr>
          <w:rFonts w:asciiTheme="minorBidi" w:hAnsiTheme="minorBidi"/>
        </w:rPr>
        <w:t xml:space="preserve"> transactions where a counterparty’s identity is unknown at any stage in the process. </w:t>
      </w:r>
    </w:p>
    <w:p w14:paraId="4416A739" w14:textId="6AF6E578" w:rsidR="008678DD" w:rsidRPr="00F85DDE" w:rsidRDefault="00B936C0" w:rsidP="00F85DDE">
      <w:pPr>
        <w:pStyle w:val="BodyText"/>
        <w:numPr>
          <w:ilvl w:val="1"/>
          <w:numId w:val="1"/>
        </w:numPr>
        <w:tabs>
          <w:tab w:val="left" w:pos="709"/>
        </w:tabs>
        <w:spacing w:before="240" w:after="240"/>
        <w:ind w:left="709" w:hanging="709"/>
        <w:jc w:val="both"/>
        <w:rPr>
          <w:rFonts w:asciiTheme="minorBidi" w:hAnsiTheme="minorBidi"/>
        </w:rPr>
      </w:pPr>
      <w:proofErr w:type="gramStart"/>
      <w:r w:rsidRPr="00F85DDE">
        <w:rPr>
          <w:rFonts w:asciiTheme="minorBidi" w:hAnsiTheme="minorBidi"/>
        </w:rPr>
        <w:t>With regard to</w:t>
      </w:r>
      <w:proofErr w:type="gramEnd"/>
      <w:r w:rsidRPr="00F85DDE">
        <w:rPr>
          <w:rFonts w:asciiTheme="minorBidi" w:hAnsiTheme="minorBidi"/>
        </w:rPr>
        <w:t xml:space="preserve"> taxation,</w:t>
      </w:r>
      <w:r w:rsidR="007B6AA0" w:rsidRPr="00F85DDE">
        <w:rPr>
          <w:rFonts w:asciiTheme="minorBidi" w:hAnsiTheme="minorBidi"/>
        </w:rPr>
        <w:t xml:space="preserve"> the</w:t>
      </w:r>
      <w:r w:rsidR="008678DD" w:rsidRPr="00F85DDE">
        <w:rPr>
          <w:rFonts w:asciiTheme="minorBidi" w:hAnsiTheme="minorBidi"/>
        </w:rPr>
        <w:t xml:space="preserve"> FSRA expects </w:t>
      </w:r>
      <w:proofErr w:type="spellStart"/>
      <w:r w:rsidR="008678DD" w:rsidRPr="00F85DDE">
        <w:rPr>
          <w:rFonts w:asciiTheme="minorBidi" w:hAnsiTheme="minorBidi"/>
        </w:rPr>
        <w:t>authorised</w:t>
      </w:r>
      <w:proofErr w:type="spellEnd"/>
      <w:r w:rsidR="008678DD" w:rsidRPr="00F85DDE">
        <w:rPr>
          <w:rFonts w:asciiTheme="minorBidi" w:hAnsiTheme="minorBidi"/>
        </w:rPr>
        <w:t xml:space="preserve"> firms to be fully </w:t>
      </w:r>
      <w:proofErr w:type="spellStart"/>
      <w:r w:rsidR="008678DD" w:rsidRPr="00F85DDE">
        <w:rPr>
          <w:rFonts w:asciiTheme="minorBidi" w:hAnsiTheme="minorBidi"/>
        </w:rPr>
        <w:t>cognisant</w:t>
      </w:r>
      <w:proofErr w:type="spellEnd"/>
      <w:r w:rsidR="008678DD" w:rsidRPr="00F85DDE">
        <w:rPr>
          <w:rFonts w:asciiTheme="minorBidi" w:hAnsiTheme="minorBidi"/>
        </w:rPr>
        <w:t xml:space="preserve"> of applicable reporting obligations under the FATCA and Common Reporting Standards regimes. </w:t>
      </w:r>
    </w:p>
    <w:p w14:paraId="2C3E1D49" w14:textId="59B66E1B" w:rsidR="00126F02" w:rsidRPr="00806C2D" w:rsidRDefault="00126F02" w:rsidP="00F85DDE">
      <w:pPr>
        <w:spacing w:after="120"/>
        <w:ind w:firstLine="709"/>
        <w:jc w:val="both"/>
        <w:rPr>
          <w:b/>
          <w:bCs/>
          <w:i/>
          <w:iCs/>
        </w:rPr>
      </w:pPr>
      <w:r w:rsidRPr="00806C2D">
        <w:rPr>
          <w:b/>
          <w:bCs/>
          <w:i/>
          <w:iCs/>
        </w:rPr>
        <w:t xml:space="preserve">Principle 4 – Risk-Sensitive Supervision </w:t>
      </w:r>
    </w:p>
    <w:p w14:paraId="591EAC99" w14:textId="09086EAE" w:rsidR="001C454E" w:rsidRPr="00F85DDE" w:rsidRDefault="001C454E" w:rsidP="00F85DDE">
      <w:pPr>
        <w:pStyle w:val="BodyText"/>
        <w:numPr>
          <w:ilvl w:val="1"/>
          <w:numId w:val="1"/>
        </w:numPr>
        <w:tabs>
          <w:tab w:val="left" w:pos="709"/>
        </w:tabs>
        <w:spacing w:before="240" w:after="240"/>
        <w:ind w:left="709" w:hanging="709"/>
        <w:jc w:val="both"/>
        <w:rPr>
          <w:rFonts w:asciiTheme="minorBidi" w:hAnsiTheme="minorBidi"/>
        </w:rPr>
      </w:pPr>
      <w:r w:rsidRPr="00F85DDE">
        <w:rPr>
          <w:rFonts w:asciiTheme="minorBidi" w:hAnsiTheme="minorBidi"/>
        </w:rPr>
        <w:t xml:space="preserve">Consistent </w:t>
      </w:r>
      <w:r w:rsidR="00956E72" w:rsidRPr="00F85DDE">
        <w:rPr>
          <w:rFonts w:asciiTheme="minorBidi" w:hAnsiTheme="minorBidi"/>
        </w:rPr>
        <w:t>with</w:t>
      </w:r>
      <w:r w:rsidRPr="00F85DDE">
        <w:rPr>
          <w:rFonts w:asciiTheme="minorBidi" w:hAnsiTheme="minorBidi"/>
        </w:rPr>
        <w:t xml:space="preserve"> its </w:t>
      </w:r>
      <w:r w:rsidR="00956E72" w:rsidRPr="00F85DDE">
        <w:rPr>
          <w:rFonts w:asciiTheme="minorBidi" w:hAnsiTheme="minorBidi"/>
        </w:rPr>
        <w:t>principles on</w:t>
      </w:r>
      <w:r w:rsidRPr="00F85DDE">
        <w:rPr>
          <w:rFonts w:asciiTheme="minorBidi" w:hAnsiTheme="minorBidi"/>
        </w:rPr>
        <w:t xml:space="preserve"> regulation and </w:t>
      </w:r>
      <w:proofErr w:type="spellStart"/>
      <w:r w:rsidRPr="00F85DDE">
        <w:rPr>
          <w:rFonts w:asciiTheme="minorBidi" w:hAnsiTheme="minorBidi"/>
        </w:rPr>
        <w:t>authorisation</w:t>
      </w:r>
      <w:proofErr w:type="spellEnd"/>
      <w:r w:rsidRPr="00F85DDE">
        <w:rPr>
          <w:rFonts w:asciiTheme="minorBidi" w:hAnsiTheme="minorBidi"/>
        </w:rPr>
        <w:t>, the</w:t>
      </w:r>
      <w:r w:rsidR="00956E72" w:rsidRPr="00F85DDE">
        <w:rPr>
          <w:rFonts w:asciiTheme="minorBidi" w:hAnsiTheme="minorBidi"/>
        </w:rPr>
        <w:t xml:space="preserve"> </w:t>
      </w:r>
      <w:r w:rsidRPr="00F85DDE">
        <w:rPr>
          <w:rFonts w:asciiTheme="minorBidi" w:hAnsiTheme="minorBidi"/>
        </w:rPr>
        <w:t>FSRA</w:t>
      </w:r>
      <w:r w:rsidR="00956E72" w:rsidRPr="00F85DDE">
        <w:rPr>
          <w:rFonts w:asciiTheme="minorBidi" w:hAnsiTheme="minorBidi"/>
        </w:rPr>
        <w:t>’s</w:t>
      </w:r>
      <w:r w:rsidRPr="00F85DDE">
        <w:rPr>
          <w:rFonts w:asciiTheme="minorBidi" w:hAnsiTheme="minorBidi"/>
        </w:rPr>
        <w:t xml:space="preserve"> </w:t>
      </w:r>
      <w:r w:rsidR="00956E72" w:rsidRPr="00F85DDE">
        <w:rPr>
          <w:rFonts w:asciiTheme="minorBidi" w:hAnsiTheme="minorBidi"/>
        </w:rPr>
        <w:t xml:space="preserve">risk-based approach to supervision of </w:t>
      </w:r>
      <w:proofErr w:type="spellStart"/>
      <w:r w:rsidR="00051E6F" w:rsidRPr="00F85DDE">
        <w:rPr>
          <w:rFonts w:asciiTheme="minorBidi" w:hAnsiTheme="minorBidi"/>
        </w:rPr>
        <w:t>authorised</w:t>
      </w:r>
      <w:proofErr w:type="spellEnd"/>
      <w:r w:rsidR="00051E6F" w:rsidRPr="00F85DDE">
        <w:rPr>
          <w:rFonts w:asciiTheme="minorBidi" w:hAnsiTheme="minorBidi"/>
        </w:rPr>
        <w:t xml:space="preserve"> </w:t>
      </w:r>
      <w:r w:rsidR="00956E72" w:rsidRPr="00F85DDE">
        <w:rPr>
          <w:rFonts w:asciiTheme="minorBidi" w:hAnsiTheme="minorBidi"/>
        </w:rPr>
        <w:t xml:space="preserve">firms is equally applicable to </w:t>
      </w:r>
      <w:r w:rsidR="00631F39" w:rsidRPr="00F85DDE">
        <w:rPr>
          <w:rFonts w:asciiTheme="minorBidi" w:hAnsiTheme="minorBidi"/>
        </w:rPr>
        <w:t>VA</w:t>
      </w:r>
      <w:r w:rsidR="00956E72" w:rsidRPr="00F85DDE">
        <w:rPr>
          <w:rFonts w:asciiTheme="minorBidi" w:hAnsiTheme="minorBidi"/>
        </w:rPr>
        <w:t xml:space="preserve"> </w:t>
      </w:r>
      <w:r w:rsidR="00631F39" w:rsidRPr="00F85DDE">
        <w:rPr>
          <w:rFonts w:asciiTheme="minorBidi" w:hAnsiTheme="minorBidi"/>
        </w:rPr>
        <w:t>firms</w:t>
      </w:r>
      <w:r w:rsidR="009C4424" w:rsidRPr="00F85DDE">
        <w:rPr>
          <w:rFonts w:asciiTheme="minorBidi" w:hAnsiTheme="minorBidi"/>
        </w:rPr>
        <w:t xml:space="preserve">. This includes setting </w:t>
      </w:r>
      <w:r w:rsidR="00051E6F" w:rsidRPr="00F85DDE">
        <w:rPr>
          <w:rFonts w:asciiTheme="minorBidi" w:hAnsiTheme="minorBidi"/>
        </w:rPr>
        <w:t xml:space="preserve">the </w:t>
      </w:r>
      <w:r w:rsidR="009C4424" w:rsidRPr="00F85DDE">
        <w:rPr>
          <w:rFonts w:asciiTheme="minorBidi" w:hAnsiTheme="minorBidi"/>
        </w:rPr>
        <w:t xml:space="preserve">risk rating of </w:t>
      </w:r>
      <w:r w:rsidR="00B936C0" w:rsidRPr="00F85DDE">
        <w:rPr>
          <w:rFonts w:asciiTheme="minorBidi" w:hAnsiTheme="minorBidi"/>
        </w:rPr>
        <w:t xml:space="preserve">a </w:t>
      </w:r>
      <w:r w:rsidR="009C4424" w:rsidRPr="00F85DDE">
        <w:rPr>
          <w:rFonts w:asciiTheme="minorBidi" w:hAnsiTheme="minorBidi"/>
        </w:rPr>
        <w:t>firm</w:t>
      </w:r>
      <w:r w:rsidR="00051E6F" w:rsidRPr="00F85DDE">
        <w:rPr>
          <w:rFonts w:asciiTheme="minorBidi" w:hAnsiTheme="minorBidi"/>
        </w:rPr>
        <w:t xml:space="preserve"> based on its size, </w:t>
      </w:r>
      <w:proofErr w:type="gramStart"/>
      <w:r w:rsidR="00051E6F" w:rsidRPr="00F85DDE">
        <w:rPr>
          <w:rFonts w:asciiTheme="minorBidi" w:hAnsiTheme="minorBidi"/>
        </w:rPr>
        <w:t>nature</w:t>
      </w:r>
      <w:proofErr w:type="gramEnd"/>
      <w:r w:rsidR="00051E6F" w:rsidRPr="00F85DDE">
        <w:rPr>
          <w:rFonts w:asciiTheme="minorBidi" w:hAnsiTheme="minorBidi"/>
        </w:rPr>
        <w:t xml:space="preserve"> and complexity</w:t>
      </w:r>
      <w:r w:rsidR="009C4424" w:rsidRPr="00F85DDE">
        <w:rPr>
          <w:rFonts w:asciiTheme="minorBidi" w:hAnsiTheme="minorBidi"/>
        </w:rPr>
        <w:t xml:space="preserve">, undertaking a continuous risk assessment cycle and </w:t>
      </w:r>
      <w:proofErr w:type="spellStart"/>
      <w:r w:rsidR="009C4424" w:rsidRPr="00F85DDE">
        <w:rPr>
          <w:rFonts w:asciiTheme="minorBidi" w:hAnsiTheme="minorBidi"/>
        </w:rPr>
        <w:t>utilising</w:t>
      </w:r>
      <w:proofErr w:type="spellEnd"/>
      <w:r w:rsidR="009C4424" w:rsidRPr="00F85DDE">
        <w:rPr>
          <w:rFonts w:asciiTheme="minorBidi" w:hAnsiTheme="minorBidi"/>
        </w:rPr>
        <w:t xml:space="preserve"> its supervisory toolkit to </w:t>
      </w:r>
      <w:proofErr w:type="spellStart"/>
      <w:r w:rsidR="009C4424" w:rsidRPr="00F85DDE">
        <w:rPr>
          <w:rFonts w:asciiTheme="minorBidi" w:hAnsiTheme="minorBidi"/>
        </w:rPr>
        <w:t>minimise</w:t>
      </w:r>
      <w:proofErr w:type="spellEnd"/>
      <w:r w:rsidR="009C4424" w:rsidRPr="00F85DDE">
        <w:rPr>
          <w:rFonts w:asciiTheme="minorBidi" w:hAnsiTheme="minorBidi"/>
        </w:rPr>
        <w:t xml:space="preserve"> the impact of a firm failure or conduct risk </w:t>
      </w:r>
      <w:proofErr w:type="spellStart"/>
      <w:r w:rsidR="009C4424" w:rsidRPr="00F85DDE">
        <w:rPr>
          <w:rFonts w:asciiTheme="minorBidi" w:hAnsiTheme="minorBidi"/>
        </w:rPr>
        <w:t>crystallisation</w:t>
      </w:r>
      <w:proofErr w:type="spellEnd"/>
      <w:r w:rsidR="009C4424" w:rsidRPr="00F85DDE">
        <w:rPr>
          <w:rFonts w:asciiTheme="minorBidi" w:hAnsiTheme="minorBidi"/>
        </w:rPr>
        <w:t xml:space="preserve">. </w:t>
      </w:r>
      <w:r w:rsidR="00643992" w:rsidRPr="00F85DDE">
        <w:rPr>
          <w:rFonts w:asciiTheme="minorBidi" w:hAnsiTheme="minorBidi"/>
        </w:rPr>
        <w:t>Ultimately,</w:t>
      </w:r>
      <w:r w:rsidR="009C4424" w:rsidRPr="00F85DDE">
        <w:rPr>
          <w:rFonts w:asciiTheme="minorBidi" w:hAnsiTheme="minorBidi"/>
        </w:rPr>
        <w:t xml:space="preserve"> we require our </w:t>
      </w:r>
      <w:proofErr w:type="spellStart"/>
      <w:r w:rsidR="00B523A8" w:rsidRPr="00F85DDE">
        <w:rPr>
          <w:rFonts w:asciiTheme="minorBidi" w:hAnsiTheme="minorBidi"/>
        </w:rPr>
        <w:t>authorised</w:t>
      </w:r>
      <w:proofErr w:type="spellEnd"/>
      <w:r w:rsidR="00B523A8" w:rsidRPr="00F85DDE">
        <w:rPr>
          <w:rFonts w:asciiTheme="minorBidi" w:hAnsiTheme="minorBidi"/>
        </w:rPr>
        <w:t xml:space="preserve"> </w:t>
      </w:r>
      <w:r w:rsidR="009C4424" w:rsidRPr="00F85DDE">
        <w:rPr>
          <w:rFonts w:asciiTheme="minorBidi" w:hAnsiTheme="minorBidi"/>
        </w:rPr>
        <w:t xml:space="preserve">firms to have sound risk management </w:t>
      </w:r>
      <w:r w:rsidR="00DA2BA3" w:rsidRPr="00F85DDE">
        <w:rPr>
          <w:rFonts w:asciiTheme="minorBidi" w:hAnsiTheme="minorBidi"/>
        </w:rPr>
        <w:t xml:space="preserve">and </w:t>
      </w:r>
      <w:r w:rsidR="00C1089C" w:rsidRPr="00F85DDE">
        <w:rPr>
          <w:rFonts w:asciiTheme="minorBidi" w:hAnsiTheme="minorBidi"/>
        </w:rPr>
        <w:t xml:space="preserve">appropriate </w:t>
      </w:r>
      <w:r w:rsidR="00DA2BA3" w:rsidRPr="00F85DDE">
        <w:rPr>
          <w:rFonts w:asciiTheme="minorBidi" w:hAnsiTheme="minorBidi"/>
        </w:rPr>
        <w:t xml:space="preserve">controls that are also proportionate to the nature and materiality of their business.   </w:t>
      </w:r>
    </w:p>
    <w:p w14:paraId="2240215B" w14:textId="1DF6AC48" w:rsidR="00126F02" w:rsidRPr="00F85DDE" w:rsidRDefault="008678DD" w:rsidP="00F85DDE">
      <w:pPr>
        <w:pStyle w:val="BodyText"/>
        <w:numPr>
          <w:ilvl w:val="1"/>
          <w:numId w:val="1"/>
        </w:numPr>
        <w:tabs>
          <w:tab w:val="left" w:pos="709"/>
        </w:tabs>
        <w:spacing w:before="240" w:after="240"/>
        <w:ind w:left="709" w:hanging="709"/>
        <w:jc w:val="both"/>
        <w:rPr>
          <w:rFonts w:asciiTheme="minorBidi" w:hAnsiTheme="minorBidi"/>
        </w:rPr>
      </w:pPr>
      <w:r w:rsidRPr="00F85DDE">
        <w:rPr>
          <w:rFonts w:asciiTheme="minorBidi" w:hAnsiTheme="minorBidi"/>
        </w:rPr>
        <w:t xml:space="preserve">Whilst financial crime is </w:t>
      </w:r>
      <w:r w:rsidR="00961778" w:rsidRPr="00F85DDE">
        <w:rPr>
          <w:rFonts w:asciiTheme="minorBidi" w:hAnsiTheme="minorBidi"/>
        </w:rPr>
        <w:t xml:space="preserve">seen as </w:t>
      </w:r>
      <w:r w:rsidR="00631F39" w:rsidRPr="00F85DDE">
        <w:rPr>
          <w:rFonts w:asciiTheme="minorBidi" w:hAnsiTheme="minorBidi"/>
        </w:rPr>
        <w:t>a</w:t>
      </w:r>
      <w:r w:rsidRPr="00F85DDE">
        <w:rPr>
          <w:rFonts w:asciiTheme="minorBidi" w:hAnsiTheme="minorBidi"/>
        </w:rPr>
        <w:t xml:space="preserve"> </w:t>
      </w:r>
      <w:r w:rsidR="009A4D05" w:rsidRPr="00F85DDE">
        <w:rPr>
          <w:rFonts w:asciiTheme="minorBidi" w:hAnsiTheme="minorBidi"/>
        </w:rPr>
        <w:t xml:space="preserve">primary risk </w:t>
      </w:r>
      <w:r w:rsidR="00961778" w:rsidRPr="00F85DDE">
        <w:rPr>
          <w:rFonts w:asciiTheme="minorBidi" w:hAnsiTheme="minorBidi"/>
        </w:rPr>
        <w:t>in t</w:t>
      </w:r>
      <w:r w:rsidR="00D3766B" w:rsidRPr="00F85DDE">
        <w:rPr>
          <w:rFonts w:asciiTheme="minorBidi" w:hAnsiTheme="minorBidi"/>
        </w:rPr>
        <w:t>he</w:t>
      </w:r>
      <w:r w:rsidR="009A4D05" w:rsidRPr="00F85DDE">
        <w:rPr>
          <w:rFonts w:asciiTheme="minorBidi" w:hAnsiTheme="minorBidi"/>
        </w:rPr>
        <w:t xml:space="preserve"> </w:t>
      </w:r>
      <w:r w:rsidR="00644C29" w:rsidRPr="00F85DDE">
        <w:rPr>
          <w:rFonts w:asciiTheme="minorBidi" w:hAnsiTheme="minorBidi"/>
        </w:rPr>
        <w:t>sector</w:t>
      </w:r>
      <w:r w:rsidR="00D3766B" w:rsidRPr="00F85DDE">
        <w:rPr>
          <w:rFonts w:asciiTheme="minorBidi" w:hAnsiTheme="minorBidi"/>
        </w:rPr>
        <w:t xml:space="preserve"> at this point in </w:t>
      </w:r>
      <w:r w:rsidR="00961778" w:rsidRPr="00F85DDE">
        <w:rPr>
          <w:rFonts w:asciiTheme="minorBidi" w:hAnsiTheme="minorBidi"/>
        </w:rPr>
        <w:t xml:space="preserve">its </w:t>
      </w:r>
      <w:r w:rsidR="00D3766B" w:rsidRPr="00F85DDE">
        <w:rPr>
          <w:rFonts w:asciiTheme="minorBidi" w:hAnsiTheme="minorBidi"/>
        </w:rPr>
        <w:t>growth,</w:t>
      </w:r>
      <w:r w:rsidR="009A4D05" w:rsidRPr="00F85DDE">
        <w:rPr>
          <w:rFonts w:asciiTheme="minorBidi" w:hAnsiTheme="minorBidi"/>
        </w:rPr>
        <w:t xml:space="preserve"> ADGM’s framework</w:t>
      </w:r>
      <w:r w:rsidR="00961778" w:rsidRPr="00F85DDE">
        <w:rPr>
          <w:rFonts w:asciiTheme="minorBidi" w:hAnsiTheme="minorBidi"/>
        </w:rPr>
        <w:t xml:space="preserve"> also</w:t>
      </w:r>
      <w:r w:rsidR="009A4D05" w:rsidRPr="00F85DDE">
        <w:rPr>
          <w:rFonts w:asciiTheme="minorBidi" w:hAnsiTheme="minorBidi"/>
        </w:rPr>
        <w:t xml:space="preserve"> includes safeguard</w:t>
      </w:r>
      <w:r w:rsidR="00D46D54" w:rsidRPr="00F85DDE">
        <w:rPr>
          <w:rFonts w:asciiTheme="minorBidi" w:hAnsiTheme="minorBidi"/>
        </w:rPr>
        <w:t xml:space="preserve">s aligned </w:t>
      </w:r>
      <w:r w:rsidR="00B523A8" w:rsidRPr="00F85DDE">
        <w:rPr>
          <w:rFonts w:asciiTheme="minorBidi" w:hAnsiTheme="minorBidi"/>
        </w:rPr>
        <w:t xml:space="preserve">with </w:t>
      </w:r>
      <w:r w:rsidR="00D46D54" w:rsidRPr="00F85DDE">
        <w:rPr>
          <w:rFonts w:asciiTheme="minorBidi" w:hAnsiTheme="minorBidi"/>
        </w:rPr>
        <w:t>its mandate to ensure market integrity, investor protection and financial stability.</w:t>
      </w:r>
      <w:r w:rsidR="00956E72" w:rsidRPr="00F85DDE">
        <w:rPr>
          <w:rFonts w:asciiTheme="minorBidi" w:hAnsiTheme="minorBidi"/>
        </w:rPr>
        <w:t xml:space="preserve"> </w:t>
      </w:r>
      <w:r w:rsidR="00466C1A" w:rsidRPr="00F85DDE">
        <w:rPr>
          <w:rFonts w:asciiTheme="minorBidi" w:hAnsiTheme="minorBidi"/>
        </w:rPr>
        <w:t xml:space="preserve">As a forward-looking </w:t>
      </w:r>
      <w:r w:rsidR="005D6D06" w:rsidRPr="00F85DDE">
        <w:rPr>
          <w:rFonts w:asciiTheme="minorBidi" w:hAnsiTheme="minorBidi"/>
        </w:rPr>
        <w:t>regulator</w:t>
      </w:r>
      <w:r w:rsidR="00466C1A" w:rsidRPr="00F85DDE">
        <w:rPr>
          <w:rFonts w:asciiTheme="minorBidi" w:hAnsiTheme="minorBidi"/>
        </w:rPr>
        <w:t>, t</w:t>
      </w:r>
      <w:r w:rsidR="00730549" w:rsidRPr="00F85DDE">
        <w:rPr>
          <w:rFonts w:asciiTheme="minorBidi" w:hAnsiTheme="minorBidi"/>
        </w:rPr>
        <w:t xml:space="preserve">he FSRA </w:t>
      </w:r>
      <w:r w:rsidR="00D3766B" w:rsidRPr="00F85DDE">
        <w:rPr>
          <w:rFonts w:asciiTheme="minorBidi" w:hAnsiTheme="minorBidi"/>
        </w:rPr>
        <w:t xml:space="preserve">implemented these safeguards </w:t>
      </w:r>
      <w:r w:rsidR="00961778" w:rsidRPr="00F85DDE">
        <w:rPr>
          <w:rFonts w:asciiTheme="minorBidi" w:hAnsiTheme="minorBidi"/>
        </w:rPr>
        <w:t>at the outset</w:t>
      </w:r>
      <w:r w:rsidR="00956E72" w:rsidRPr="00F85DDE">
        <w:rPr>
          <w:rFonts w:asciiTheme="minorBidi" w:hAnsiTheme="minorBidi"/>
        </w:rPr>
        <w:t xml:space="preserve"> </w:t>
      </w:r>
      <w:r w:rsidR="00D3766B" w:rsidRPr="00F85DDE">
        <w:rPr>
          <w:rFonts w:asciiTheme="minorBidi" w:hAnsiTheme="minorBidi"/>
        </w:rPr>
        <w:t xml:space="preserve">to prevent the commensurate increase </w:t>
      </w:r>
      <w:r w:rsidR="00730549" w:rsidRPr="00F85DDE">
        <w:rPr>
          <w:rFonts w:asciiTheme="minorBidi" w:hAnsiTheme="minorBidi"/>
        </w:rPr>
        <w:t xml:space="preserve">in </w:t>
      </w:r>
      <w:r w:rsidR="00D3766B" w:rsidRPr="00F85DDE">
        <w:rPr>
          <w:rFonts w:asciiTheme="minorBidi" w:hAnsiTheme="minorBidi"/>
        </w:rPr>
        <w:t xml:space="preserve">risk as the sector undergoes expansion within ADGM. </w:t>
      </w:r>
      <w:r w:rsidR="00956E72" w:rsidRPr="00F85DDE">
        <w:rPr>
          <w:rFonts w:asciiTheme="minorBidi" w:hAnsiTheme="minorBidi"/>
        </w:rPr>
        <w:t>Therefore</w:t>
      </w:r>
      <w:r w:rsidR="00761367" w:rsidRPr="00F85DDE">
        <w:rPr>
          <w:rFonts w:asciiTheme="minorBidi" w:hAnsiTheme="minorBidi"/>
        </w:rPr>
        <w:t>,</w:t>
      </w:r>
      <w:r w:rsidR="00956E72" w:rsidRPr="00F85DDE">
        <w:rPr>
          <w:rFonts w:asciiTheme="minorBidi" w:hAnsiTheme="minorBidi"/>
        </w:rPr>
        <w:t xml:space="preserve"> t</w:t>
      </w:r>
      <w:r w:rsidR="00730549" w:rsidRPr="00F85DDE">
        <w:rPr>
          <w:rFonts w:asciiTheme="minorBidi" w:hAnsiTheme="minorBidi"/>
        </w:rPr>
        <w:t xml:space="preserve">he following risk drivers </w:t>
      </w:r>
      <w:r w:rsidR="00466C1A" w:rsidRPr="00F85DDE">
        <w:rPr>
          <w:rFonts w:asciiTheme="minorBidi" w:hAnsiTheme="minorBidi"/>
        </w:rPr>
        <w:t>receive heightened</w:t>
      </w:r>
      <w:r w:rsidR="00DA2BA3" w:rsidRPr="00F85DDE">
        <w:rPr>
          <w:rFonts w:asciiTheme="minorBidi" w:hAnsiTheme="minorBidi"/>
        </w:rPr>
        <w:t xml:space="preserve"> focus from t</w:t>
      </w:r>
      <w:r w:rsidR="00730549" w:rsidRPr="00F85DDE">
        <w:rPr>
          <w:rFonts w:asciiTheme="minorBidi" w:hAnsiTheme="minorBidi"/>
        </w:rPr>
        <w:t>he FSRA</w:t>
      </w:r>
      <w:r w:rsidR="00F60A97" w:rsidRPr="00F85DDE">
        <w:rPr>
          <w:rFonts w:asciiTheme="minorBidi" w:hAnsiTheme="minorBidi"/>
        </w:rPr>
        <w:t xml:space="preserve"> in </w:t>
      </w:r>
      <w:r w:rsidR="00DA2BA3" w:rsidRPr="00F85DDE">
        <w:rPr>
          <w:rFonts w:asciiTheme="minorBidi" w:hAnsiTheme="minorBidi"/>
        </w:rPr>
        <w:t xml:space="preserve">its </w:t>
      </w:r>
      <w:r w:rsidR="00F60A97" w:rsidRPr="00F85DDE">
        <w:rPr>
          <w:rFonts w:asciiTheme="minorBidi" w:hAnsiTheme="minorBidi"/>
        </w:rPr>
        <w:t>superviso</w:t>
      </w:r>
      <w:r w:rsidR="00867584" w:rsidRPr="00F85DDE">
        <w:rPr>
          <w:rFonts w:asciiTheme="minorBidi" w:hAnsiTheme="minorBidi"/>
        </w:rPr>
        <w:t xml:space="preserve">ry </w:t>
      </w:r>
      <w:proofErr w:type="spellStart"/>
      <w:r w:rsidR="00DA2BA3" w:rsidRPr="00F85DDE">
        <w:rPr>
          <w:rFonts w:asciiTheme="minorBidi" w:hAnsiTheme="minorBidi"/>
        </w:rPr>
        <w:t>programme</w:t>
      </w:r>
      <w:proofErr w:type="spellEnd"/>
      <w:r w:rsidR="00730549" w:rsidRPr="00F85DDE">
        <w:rPr>
          <w:rFonts w:asciiTheme="minorBidi" w:hAnsiTheme="minorBidi"/>
        </w:rPr>
        <w:t>:</w:t>
      </w:r>
    </w:p>
    <w:p w14:paraId="1C440FBC" w14:textId="4F1B68D9" w:rsidR="00D3766B" w:rsidRPr="00CD5D7B" w:rsidRDefault="00730549" w:rsidP="00CD5D7B">
      <w:pPr>
        <w:pStyle w:val="BodyText"/>
        <w:numPr>
          <w:ilvl w:val="1"/>
          <w:numId w:val="8"/>
        </w:numPr>
        <w:tabs>
          <w:tab w:val="left" w:pos="829"/>
        </w:tabs>
        <w:spacing w:before="240" w:after="240"/>
        <w:ind w:left="1134" w:hanging="567"/>
        <w:jc w:val="both"/>
        <w:rPr>
          <w:rFonts w:asciiTheme="minorBidi" w:hAnsiTheme="minorBidi"/>
          <w:spacing w:val="-1"/>
        </w:rPr>
      </w:pPr>
      <w:r w:rsidRPr="00CD5D7B">
        <w:rPr>
          <w:rFonts w:asciiTheme="minorBidi" w:hAnsiTheme="minorBidi"/>
          <w:b/>
          <w:bCs/>
          <w:spacing w:val="-1"/>
        </w:rPr>
        <w:t>Custody of V</w:t>
      </w:r>
      <w:r w:rsidR="005B03DC" w:rsidRPr="00CD5D7B">
        <w:rPr>
          <w:rFonts w:asciiTheme="minorBidi" w:hAnsiTheme="minorBidi"/>
          <w:b/>
          <w:bCs/>
          <w:spacing w:val="-1"/>
        </w:rPr>
        <w:t>A</w:t>
      </w:r>
      <w:r w:rsidR="00342B20" w:rsidRPr="00CD5D7B">
        <w:rPr>
          <w:rFonts w:asciiTheme="minorBidi" w:hAnsiTheme="minorBidi"/>
          <w:b/>
          <w:bCs/>
          <w:spacing w:val="-1"/>
        </w:rPr>
        <w:t>s</w:t>
      </w:r>
      <w:r w:rsidR="002D52E7" w:rsidRPr="00CD5D7B">
        <w:rPr>
          <w:rFonts w:asciiTheme="minorBidi" w:hAnsiTheme="minorBidi"/>
          <w:spacing w:val="-1"/>
        </w:rPr>
        <w:t xml:space="preserve"> –</w:t>
      </w:r>
      <w:r w:rsidR="00B333F1" w:rsidRPr="00CD5D7B">
        <w:rPr>
          <w:rFonts w:asciiTheme="minorBidi" w:hAnsiTheme="minorBidi"/>
          <w:spacing w:val="-1"/>
        </w:rPr>
        <w:t xml:space="preserve"> </w:t>
      </w:r>
      <w:r w:rsidR="00631F39" w:rsidRPr="00CD5D7B">
        <w:rPr>
          <w:rFonts w:asciiTheme="minorBidi" w:hAnsiTheme="minorBidi"/>
          <w:spacing w:val="-1"/>
        </w:rPr>
        <w:t>even where</w:t>
      </w:r>
      <w:r w:rsidR="00B333F1" w:rsidRPr="00CD5D7B">
        <w:rPr>
          <w:rFonts w:asciiTheme="minorBidi" w:hAnsiTheme="minorBidi"/>
          <w:spacing w:val="-1"/>
        </w:rPr>
        <w:t xml:space="preserve"> outsourc</w:t>
      </w:r>
      <w:r w:rsidR="00631F39" w:rsidRPr="00CD5D7B">
        <w:rPr>
          <w:rFonts w:asciiTheme="minorBidi" w:hAnsiTheme="minorBidi"/>
          <w:spacing w:val="-1"/>
        </w:rPr>
        <w:t>ed</w:t>
      </w:r>
      <w:r w:rsidR="00B333F1" w:rsidRPr="00CD5D7B">
        <w:rPr>
          <w:rFonts w:asciiTheme="minorBidi" w:hAnsiTheme="minorBidi"/>
          <w:spacing w:val="-1"/>
        </w:rPr>
        <w:t xml:space="preserve"> to a third party, </w:t>
      </w:r>
      <w:r w:rsidR="00631F39" w:rsidRPr="00CD5D7B">
        <w:rPr>
          <w:rFonts w:asciiTheme="minorBidi" w:hAnsiTheme="minorBidi"/>
          <w:spacing w:val="-1"/>
        </w:rPr>
        <w:t>a VA custodian</w:t>
      </w:r>
      <w:r w:rsidR="00B333F1" w:rsidRPr="00CD5D7B">
        <w:rPr>
          <w:rFonts w:asciiTheme="minorBidi" w:hAnsiTheme="minorBidi"/>
          <w:spacing w:val="-1"/>
        </w:rPr>
        <w:t xml:space="preserve"> is </w:t>
      </w:r>
      <w:r w:rsidR="002D52E7" w:rsidRPr="00CD5D7B">
        <w:rPr>
          <w:rFonts w:asciiTheme="minorBidi" w:hAnsiTheme="minorBidi"/>
          <w:spacing w:val="-1"/>
        </w:rPr>
        <w:t xml:space="preserve">held to the </w:t>
      </w:r>
      <w:r w:rsidR="00156E0B" w:rsidRPr="00CD5D7B">
        <w:rPr>
          <w:rFonts w:asciiTheme="minorBidi" w:hAnsiTheme="minorBidi"/>
          <w:spacing w:val="-1"/>
        </w:rPr>
        <w:t>requirements</w:t>
      </w:r>
      <w:r w:rsidR="002D52E7" w:rsidRPr="00CD5D7B">
        <w:rPr>
          <w:rFonts w:asciiTheme="minorBidi" w:hAnsiTheme="minorBidi"/>
          <w:spacing w:val="-1"/>
        </w:rPr>
        <w:t xml:space="preserve"> </w:t>
      </w:r>
      <w:r w:rsidR="00B333F1" w:rsidRPr="00CD5D7B">
        <w:rPr>
          <w:rFonts w:asciiTheme="minorBidi" w:hAnsiTheme="minorBidi"/>
          <w:spacing w:val="-1"/>
        </w:rPr>
        <w:t xml:space="preserve">applicable to </w:t>
      </w:r>
      <w:r w:rsidR="00631F39" w:rsidRPr="00CD5D7B">
        <w:rPr>
          <w:rFonts w:asciiTheme="minorBidi" w:hAnsiTheme="minorBidi"/>
          <w:spacing w:val="-1"/>
        </w:rPr>
        <w:t>client monies and client investments</w:t>
      </w:r>
      <w:r w:rsidR="00B333F1" w:rsidRPr="00CD5D7B">
        <w:rPr>
          <w:rFonts w:asciiTheme="minorBidi" w:hAnsiTheme="minorBidi"/>
          <w:spacing w:val="-1"/>
        </w:rPr>
        <w:t xml:space="preserve">. </w:t>
      </w:r>
      <w:r w:rsidR="00631F39" w:rsidRPr="00CD5D7B">
        <w:rPr>
          <w:rFonts w:asciiTheme="minorBidi" w:hAnsiTheme="minorBidi"/>
          <w:spacing w:val="-1"/>
        </w:rPr>
        <w:t>Enhanced reconciliation and reporting requirements are also in place</w:t>
      </w:r>
      <w:r w:rsidR="00B333F1" w:rsidRPr="00CD5D7B">
        <w:rPr>
          <w:rFonts w:asciiTheme="minorBidi" w:hAnsiTheme="minorBidi"/>
          <w:spacing w:val="-1"/>
        </w:rPr>
        <w:t>.</w:t>
      </w:r>
    </w:p>
    <w:p w14:paraId="52D33BED" w14:textId="7BBAA84B" w:rsidR="00730549" w:rsidRPr="00CD5D7B" w:rsidRDefault="00730549" w:rsidP="00CD5D7B">
      <w:pPr>
        <w:pStyle w:val="BodyText"/>
        <w:numPr>
          <w:ilvl w:val="1"/>
          <w:numId w:val="8"/>
        </w:numPr>
        <w:tabs>
          <w:tab w:val="left" w:pos="829"/>
        </w:tabs>
        <w:spacing w:before="240" w:after="240"/>
        <w:ind w:left="1134" w:hanging="567"/>
        <w:jc w:val="both"/>
        <w:rPr>
          <w:rFonts w:asciiTheme="minorBidi" w:hAnsiTheme="minorBidi"/>
          <w:spacing w:val="-1"/>
        </w:rPr>
      </w:pPr>
      <w:r w:rsidRPr="00CD5D7B">
        <w:rPr>
          <w:rFonts w:asciiTheme="minorBidi" w:hAnsiTheme="minorBidi"/>
          <w:b/>
          <w:bCs/>
          <w:spacing w:val="-1"/>
        </w:rPr>
        <w:t>Technology and Governance Controls</w:t>
      </w:r>
      <w:r w:rsidR="00B333F1" w:rsidRPr="00CD5D7B">
        <w:rPr>
          <w:rFonts w:asciiTheme="minorBidi" w:hAnsiTheme="minorBidi"/>
          <w:spacing w:val="-1"/>
        </w:rPr>
        <w:t xml:space="preserve"> – whilst being ‘technology-neutral’, </w:t>
      </w:r>
      <w:r w:rsidR="00210FEF" w:rsidRPr="00CD5D7B">
        <w:rPr>
          <w:rFonts w:asciiTheme="minorBidi" w:hAnsiTheme="minorBidi"/>
          <w:spacing w:val="-1"/>
        </w:rPr>
        <w:t xml:space="preserve">we have </w:t>
      </w:r>
      <w:r w:rsidR="00B333F1" w:rsidRPr="00CD5D7B">
        <w:rPr>
          <w:rFonts w:asciiTheme="minorBidi" w:hAnsiTheme="minorBidi"/>
          <w:spacing w:val="-1"/>
        </w:rPr>
        <w:t>bespoke requirements reflect</w:t>
      </w:r>
      <w:r w:rsidR="004634A2" w:rsidRPr="00CD5D7B">
        <w:rPr>
          <w:rFonts w:asciiTheme="minorBidi" w:hAnsiTheme="minorBidi"/>
          <w:spacing w:val="-1"/>
        </w:rPr>
        <w:t>ing</w:t>
      </w:r>
      <w:r w:rsidR="00B333F1" w:rsidRPr="00CD5D7B">
        <w:rPr>
          <w:rFonts w:asciiTheme="minorBidi" w:hAnsiTheme="minorBidi"/>
          <w:spacing w:val="-1"/>
        </w:rPr>
        <w:t xml:space="preserve"> the </w:t>
      </w:r>
      <w:r w:rsidR="004634A2" w:rsidRPr="00CD5D7B">
        <w:rPr>
          <w:rFonts w:asciiTheme="minorBidi" w:hAnsiTheme="minorBidi"/>
          <w:spacing w:val="-1"/>
        </w:rPr>
        <w:t>intensive</w:t>
      </w:r>
      <w:r w:rsidR="00B333F1" w:rsidRPr="00CD5D7B">
        <w:rPr>
          <w:rFonts w:asciiTheme="minorBidi" w:hAnsiTheme="minorBidi"/>
          <w:spacing w:val="-1"/>
        </w:rPr>
        <w:t xml:space="preserve"> technology</w:t>
      </w:r>
      <w:r w:rsidR="004634A2" w:rsidRPr="00CD5D7B">
        <w:rPr>
          <w:rFonts w:asciiTheme="minorBidi" w:hAnsiTheme="minorBidi"/>
          <w:spacing w:val="-1"/>
        </w:rPr>
        <w:t>-related operations of VA firms, including</w:t>
      </w:r>
      <w:r w:rsidR="00F952D0" w:rsidRPr="00CD5D7B">
        <w:rPr>
          <w:rFonts w:asciiTheme="minorBidi" w:hAnsiTheme="minorBidi"/>
          <w:spacing w:val="-1"/>
        </w:rPr>
        <w:t>:</w:t>
      </w:r>
      <w:r w:rsidR="00B333F1" w:rsidRPr="00CD5D7B">
        <w:rPr>
          <w:rFonts w:asciiTheme="minorBidi" w:hAnsiTheme="minorBidi"/>
          <w:spacing w:val="-1"/>
        </w:rPr>
        <w:t xml:space="preserve"> </w:t>
      </w:r>
      <w:r w:rsidR="004634A2" w:rsidRPr="00CD5D7B">
        <w:rPr>
          <w:rFonts w:asciiTheme="minorBidi" w:hAnsiTheme="minorBidi"/>
          <w:spacing w:val="-1"/>
        </w:rPr>
        <w:t xml:space="preserve">the </w:t>
      </w:r>
      <w:r w:rsidR="0041040D" w:rsidRPr="00CD5D7B">
        <w:rPr>
          <w:rFonts w:asciiTheme="minorBidi" w:hAnsiTheme="minorBidi"/>
          <w:spacing w:val="-1"/>
        </w:rPr>
        <w:t xml:space="preserve">maintenance </w:t>
      </w:r>
      <w:r w:rsidR="00684DFE" w:rsidRPr="00CD5D7B">
        <w:rPr>
          <w:rFonts w:asciiTheme="minorBidi" w:hAnsiTheme="minorBidi"/>
          <w:spacing w:val="-1"/>
        </w:rPr>
        <w:t xml:space="preserve">of </w:t>
      </w:r>
      <w:r w:rsidR="004634A2" w:rsidRPr="00CD5D7B">
        <w:rPr>
          <w:rFonts w:asciiTheme="minorBidi" w:hAnsiTheme="minorBidi"/>
          <w:spacing w:val="-1"/>
        </w:rPr>
        <w:t>operating</w:t>
      </w:r>
      <w:r w:rsidR="0041040D" w:rsidRPr="00CD5D7B">
        <w:rPr>
          <w:rFonts w:asciiTheme="minorBidi" w:hAnsiTheme="minorBidi"/>
          <w:spacing w:val="-1"/>
        </w:rPr>
        <w:t xml:space="preserve"> systems</w:t>
      </w:r>
      <w:r w:rsidR="00684DFE" w:rsidRPr="00CD5D7B">
        <w:rPr>
          <w:rFonts w:asciiTheme="minorBidi" w:hAnsiTheme="minorBidi"/>
          <w:spacing w:val="-1"/>
        </w:rPr>
        <w:t xml:space="preserve">; </w:t>
      </w:r>
      <w:r w:rsidR="0041040D" w:rsidRPr="00CD5D7B">
        <w:rPr>
          <w:rFonts w:asciiTheme="minorBidi" w:hAnsiTheme="minorBidi"/>
          <w:spacing w:val="-1"/>
        </w:rPr>
        <w:t xml:space="preserve">cryptographic keys </w:t>
      </w:r>
      <w:r w:rsidR="00B523A8" w:rsidRPr="00CD5D7B">
        <w:rPr>
          <w:rFonts w:asciiTheme="minorBidi" w:hAnsiTheme="minorBidi"/>
          <w:spacing w:val="-1"/>
        </w:rPr>
        <w:t xml:space="preserve">and </w:t>
      </w:r>
      <w:r w:rsidR="0041040D" w:rsidRPr="00CD5D7B">
        <w:rPr>
          <w:rFonts w:asciiTheme="minorBidi" w:hAnsiTheme="minorBidi"/>
          <w:spacing w:val="-1"/>
        </w:rPr>
        <w:t>wallet storage</w:t>
      </w:r>
      <w:r w:rsidR="00684DFE" w:rsidRPr="00CD5D7B">
        <w:rPr>
          <w:rFonts w:asciiTheme="minorBidi" w:hAnsiTheme="minorBidi"/>
          <w:spacing w:val="-1"/>
        </w:rPr>
        <w:t>;</w:t>
      </w:r>
      <w:r w:rsidR="0041040D" w:rsidRPr="00CD5D7B">
        <w:rPr>
          <w:rFonts w:asciiTheme="minorBidi" w:hAnsiTheme="minorBidi"/>
          <w:spacing w:val="-1"/>
        </w:rPr>
        <w:t xml:space="preserve"> password encryption</w:t>
      </w:r>
      <w:r w:rsidR="00684DFE" w:rsidRPr="00CD5D7B">
        <w:rPr>
          <w:rFonts w:asciiTheme="minorBidi" w:hAnsiTheme="minorBidi"/>
          <w:spacing w:val="-1"/>
        </w:rPr>
        <w:t>;</w:t>
      </w:r>
      <w:r w:rsidR="0041040D" w:rsidRPr="00CD5D7B">
        <w:rPr>
          <w:rFonts w:asciiTheme="minorBidi" w:hAnsiTheme="minorBidi"/>
          <w:spacing w:val="-1"/>
        </w:rPr>
        <w:t xml:space="preserve"> origin/destination of </w:t>
      </w:r>
      <w:r w:rsidR="00342B20" w:rsidRPr="00CD5D7B">
        <w:rPr>
          <w:rFonts w:asciiTheme="minorBidi" w:hAnsiTheme="minorBidi"/>
          <w:spacing w:val="-1"/>
        </w:rPr>
        <w:t>VA</w:t>
      </w:r>
      <w:r w:rsidR="0041040D" w:rsidRPr="00CD5D7B">
        <w:rPr>
          <w:rFonts w:asciiTheme="minorBidi" w:hAnsiTheme="minorBidi"/>
          <w:spacing w:val="-1"/>
        </w:rPr>
        <w:t xml:space="preserve"> funds</w:t>
      </w:r>
      <w:r w:rsidR="00684DFE" w:rsidRPr="00CD5D7B">
        <w:rPr>
          <w:rFonts w:asciiTheme="minorBidi" w:hAnsiTheme="minorBidi"/>
          <w:spacing w:val="-1"/>
        </w:rPr>
        <w:t>;</w:t>
      </w:r>
      <w:r w:rsidR="0041040D" w:rsidRPr="00CD5D7B">
        <w:rPr>
          <w:rFonts w:asciiTheme="minorBidi" w:hAnsiTheme="minorBidi"/>
          <w:spacing w:val="-1"/>
        </w:rPr>
        <w:t xml:space="preserve"> and fork protocols. </w:t>
      </w:r>
    </w:p>
    <w:p w14:paraId="0E910766" w14:textId="065659A7" w:rsidR="00F3748B" w:rsidRPr="00CD5D7B" w:rsidRDefault="00326333" w:rsidP="00CD5D7B">
      <w:pPr>
        <w:pStyle w:val="BodyText"/>
        <w:numPr>
          <w:ilvl w:val="1"/>
          <w:numId w:val="8"/>
        </w:numPr>
        <w:tabs>
          <w:tab w:val="left" w:pos="1134"/>
        </w:tabs>
        <w:spacing w:before="240" w:after="240"/>
        <w:ind w:left="1134" w:hanging="567"/>
        <w:jc w:val="both"/>
        <w:rPr>
          <w:rFonts w:asciiTheme="minorBidi" w:hAnsiTheme="minorBidi"/>
          <w:spacing w:val="-1"/>
        </w:rPr>
      </w:pPr>
      <w:r w:rsidRPr="00CD5D7B">
        <w:rPr>
          <w:rFonts w:asciiTheme="minorBidi" w:hAnsiTheme="minorBidi"/>
          <w:b/>
          <w:bCs/>
          <w:spacing w:val="-1"/>
        </w:rPr>
        <w:t>Exchange-Type Operations</w:t>
      </w:r>
      <w:r w:rsidR="00156E0B" w:rsidRPr="00CD5D7B">
        <w:rPr>
          <w:rFonts w:asciiTheme="minorBidi" w:hAnsiTheme="minorBidi"/>
          <w:spacing w:val="-1"/>
        </w:rPr>
        <w:t xml:space="preserve"> </w:t>
      </w:r>
      <w:r w:rsidR="00F3748B" w:rsidRPr="00CD5D7B">
        <w:rPr>
          <w:rFonts w:asciiTheme="minorBidi" w:hAnsiTheme="minorBidi"/>
          <w:spacing w:val="-1"/>
        </w:rPr>
        <w:t>–</w:t>
      </w:r>
      <w:r w:rsidR="00684DFE" w:rsidRPr="00CD5D7B">
        <w:rPr>
          <w:rFonts w:asciiTheme="minorBidi" w:hAnsiTheme="minorBidi"/>
          <w:spacing w:val="-1"/>
        </w:rPr>
        <w:t xml:space="preserve"> the</w:t>
      </w:r>
      <w:r w:rsidR="00F3748B" w:rsidRPr="00CD5D7B">
        <w:rPr>
          <w:rFonts w:asciiTheme="minorBidi" w:hAnsiTheme="minorBidi"/>
          <w:spacing w:val="-1"/>
        </w:rPr>
        <w:t xml:space="preserve"> </w:t>
      </w:r>
      <w:r w:rsidRPr="00CD5D7B">
        <w:rPr>
          <w:rFonts w:asciiTheme="minorBidi" w:hAnsiTheme="minorBidi"/>
          <w:spacing w:val="-1"/>
        </w:rPr>
        <w:t xml:space="preserve">‘fair and orderly trading’ and Market Abuse </w:t>
      </w:r>
      <w:r w:rsidR="00644C29" w:rsidRPr="00CD5D7B">
        <w:rPr>
          <w:rFonts w:asciiTheme="minorBidi" w:hAnsiTheme="minorBidi"/>
          <w:spacing w:val="-1"/>
        </w:rPr>
        <w:t>requirements</w:t>
      </w:r>
      <w:r w:rsidR="00F3748B" w:rsidRPr="00CD5D7B">
        <w:rPr>
          <w:rFonts w:asciiTheme="minorBidi" w:hAnsiTheme="minorBidi"/>
          <w:spacing w:val="-1"/>
        </w:rPr>
        <w:t xml:space="preserve"> for</w:t>
      </w:r>
      <w:r w:rsidR="00156E0B" w:rsidRPr="00CD5D7B">
        <w:rPr>
          <w:rFonts w:asciiTheme="minorBidi" w:hAnsiTheme="minorBidi"/>
          <w:spacing w:val="-1"/>
        </w:rPr>
        <w:t xml:space="preserve"> Financial Instruments </w:t>
      </w:r>
      <w:r w:rsidRPr="00CD5D7B">
        <w:rPr>
          <w:rFonts w:asciiTheme="minorBidi" w:hAnsiTheme="minorBidi"/>
          <w:spacing w:val="-1"/>
        </w:rPr>
        <w:t xml:space="preserve">admitted to </w:t>
      </w:r>
      <w:proofErr w:type="gramStart"/>
      <w:r w:rsidR="00156E0B" w:rsidRPr="00CD5D7B">
        <w:rPr>
          <w:rFonts w:asciiTheme="minorBidi" w:hAnsiTheme="minorBidi"/>
          <w:spacing w:val="-1"/>
        </w:rPr>
        <w:t>trad</w:t>
      </w:r>
      <w:r w:rsidRPr="00CD5D7B">
        <w:rPr>
          <w:rFonts w:asciiTheme="minorBidi" w:hAnsiTheme="minorBidi"/>
          <w:spacing w:val="-1"/>
        </w:rPr>
        <w:t>ing on trading</w:t>
      </w:r>
      <w:proofErr w:type="gramEnd"/>
      <w:r w:rsidRPr="00CD5D7B">
        <w:rPr>
          <w:rFonts w:asciiTheme="minorBidi" w:hAnsiTheme="minorBidi"/>
          <w:spacing w:val="-1"/>
        </w:rPr>
        <w:t xml:space="preserve"> venues</w:t>
      </w:r>
      <w:r w:rsidR="00156E0B" w:rsidRPr="00CD5D7B">
        <w:rPr>
          <w:rFonts w:asciiTheme="minorBidi" w:hAnsiTheme="minorBidi"/>
          <w:spacing w:val="-1"/>
        </w:rPr>
        <w:t xml:space="preserve"> in ADGM</w:t>
      </w:r>
      <w:r w:rsidR="00F3748B" w:rsidRPr="00CD5D7B">
        <w:rPr>
          <w:rFonts w:asciiTheme="minorBidi" w:hAnsiTheme="minorBidi"/>
          <w:spacing w:val="-1"/>
        </w:rPr>
        <w:t xml:space="preserve"> </w:t>
      </w:r>
      <w:r w:rsidR="00B523A8" w:rsidRPr="00CD5D7B">
        <w:rPr>
          <w:rFonts w:asciiTheme="minorBidi" w:hAnsiTheme="minorBidi"/>
          <w:spacing w:val="-1"/>
        </w:rPr>
        <w:t xml:space="preserve">are </w:t>
      </w:r>
      <w:r w:rsidR="00F3748B" w:rsidRPr="00CD5D7B">
        <w:rPr>
          <w:rFonts w:asciiTheme="minorBidi" w:hAnsiTheme="minorBidi"/>
          <w:spacing w:val="-1"/>
        </w:rPr>
        <w:t>equally applicable to V</w:t>
      </w:r>
      <w:r w:rsidR="00342B20" w:rsidRPr="00CD5D7B">
        <w:rPr>
          <w:rFonts w:asciiTheme="minorBidi" w:hAnsiTheme="minorBidi"/>
          <w:spacing w:val="-1"/>
        </w:rPr>
        <w:t>A</w:t>
      </w:r>
      <w:r w:rsidR="00F952D0" w:rsidRPr="00CD5D7B">
        <w:rPr>
          <w:rFonts w:asciiTheme="minorBidi" w:hAnsiTheme="minorBidi"/>
          <w:spacing w:val="-1"/>
        </w:rPr>
        <w:t>s</w:t>
      </w:r>
      <w:r w:rsidR="00F3748B" w:rsidRPr="00CD5D7B">
        <w:rPr>
          <w:rFonts w:asciiTheme="minorBidi" w:hAnsiTheme="minorBidi"/>
          <w:spacing w:val="-1"/>
        </w:rPr>
        <w:t xml:space="preserve"> traded on a</w:t>
      </w:r>
      <w:r w:rsidRPr="00CD5D7B">
        <w:rPr>
          <w:rFonts w:asciiTheme="minorBidi" w:hAnsiTheme="minorBidi"/>
          <w:spacing w:val="-1"/>
        </w:rPr>
        <w:t>n</w:t>
      </w:r>
      <w:r w:rsidR="00F3748B" w:rsidRPr="00CD5D7B">
        <w:rPr>
          <w:rFonts w:asciiTheme="minorBidi" w:hAnsiTheme="minorBidi"/>
          <w:spacing w:val="-1"/>
        </w:rPr>
        <w:t xml:space="preserve"> MTF in ADGM. </w:t>
      </w:r>
      <w:r w:rsidR="00347360" w:rsidRPr="00CD5D7B">
        <w:rPr>
          <w:rFonts w:asciiTheme="minorBidi" w:hAnsiTheme="minorBidi"/>
          <w:spacing w:val="-1"/>
        </w:rPr>
        <w:t xml:space="preserve">Real time reporting </w:t>
      </w:r>
      <w:r w:rsidR="00644C29" w:rsidRPr="00CD5D7B">
        <w:rPr>
          <w:rFonts w:asciiTheme="minorBidi" w:hAnsiTheme="minorBidi"/>
          <w:spacing w:val="-1"/>
        </w:rPr>
        <w:t xml:space="preserve">is </w:t>
      </w:r>
      <w:r w:rsidR="00684DFE" w:rsidRPr="00CD5D7B">
        <w:rPr>
          <w:rFonts w:asciiTheme="minorBidi" w:hAnsiTheme="minorBidi"/>
          <w:spacing w:val="-1"/>
        </w:rPr>
        <w:t>required for</w:t>
      </w:r>
      <w:r w:rsidR="00347360" w:rsidRPr="00CD5D7B">
        <w:rPr>
          <w:rFonts w:asciiTheme="minorBidi" w:hAnsiTheme="minorBidi"/>
          <w:spacing w:val="-1"/>
        </w:rPr>
        <w:t xml:space="preserve"> all transactions on </w:t>
      </w:r>
      <w:r w:rsidR="00342B20" w:rsidRPr="00CD5D7B">
        <w:rPr>
          <w:rFonts w:asciiTheme="minorBidi" w:hAnsiTheme="minorBidi"/>
          <w:spacing w:val="-1"/>
        </w:rPr>
        <w:t>such</w:t>
      </w:r>
      <w:r w:rsidR="00347360" w:rsidRPr="00CD5D7B">
        <w:rPr>
          <w:rFonts w:asciiTheme="minorBidi" w:hAnsiTheme="minorBidi"/>
          <w:spacing w:val="-1"/>
        </w:rPr>
        <w:t xml:space="preserve"> platforms</w:t>
      </w:r>
      <w:r w:rsidR="007C7493" w:rsidRPr="00CD5D7B">
        <w:rPr>
          <w:rFonts w:asciiTheme="minorBidi" w:hAnsiTheme="minorBidi"/>
          <w:spacing w:val="-1"/>
        </w:rPr>
        <w:t>.</w:t>
      </w:r>
      <w:r w:rsidRPr="00CD5D7B">
        <w:rPr>
          <w:rFonts w:asciiTheme="minorBidi" w:hAnsiTheme="minorBidi"/>
          <w:spacing w:val="-1"/>
        </w:rPr>
        <w:t xml:space="preserve"> Requirements relating to settlement, transaction recording, </w:t>
      </w:r>
      <w:proofErr w:type="gramStart"/>
      <w:r w:rsidRPr="00CD5D7B">
        <w:rPr>
          <w:rFonts w:asciiTheme="minorBidi" w:hAnsiTheme="minorBidi"/>
          <w:spacing w:val="-1"/>
        </w:rPr>
        <w:t>rulebooks</w:t>
      </w:r>
      <w:proofErr w:type="gramEnd"/>
      <w:r w:rsidRPr="00CD5D7B">
        <w:rPr>
          <w:rFonts w:asciiTheme="minorBidi" w:hAnsiTheme="minorBidi"/>
          <w:spacing w:val="-1"/>
        </w:rPr>
        <w:t xml:space="preserve"> and access, among many others, also apply.</w:t>
      </w:r>
    </w:p>
    <w:p w14:paraId="40091FBB" w14:textId="7AC18414" w:rsidR="00730549" w:rsidRPr="00CD5D7B" w:rsidRDefault="00326333" w:rsidP="00CD5D7B">
      <w:pPr>
        <w:pStyle w:val="BodyText"/>
        <w:numPr>
          <w:ilvl w:val="1"/>
          <w:numId w:val="8"/>
        </w:numPr>
        <w:tabs>
          <w:tab w:val="left" w:pos="829"/>
        </w:tabs>
        <w:spacing w:before="240" w:after="240"/>
        <w:ind w:left="1134" w:hanging="567"/>
        <w:jc w:val="both"/>
        <w:rPr>
          <w:rFonts w:asciiTheme="minorBidi" w:hAnsiTheme="minorBidi"/>
          <w:spacing w:val="-1"/>
        </w:rPr>
      </w:pPr>
      <w:r w:rsidRPr="00CD5D7B">
        <w:rPr>
          <w:rFonts w:asciiTheme="minorBidi" w:hAnsiTheme="minorBidi"/>
          <w:b/>
          <w:bCs/>
          <w:spacing w:val="-1"/>
        </w:rPr>
        <w:t>Investor</w:t>
      </w:r>
      <w:r w:rsidR="00444613" w:rsidRPr="00CD5D7B">
        <w:rPr>
          <w:rFonts w:asciiTheme="minorBidi" w:hAnsiTheme="minorBidi"/>
          <w:b/>
          <w:bCs/>
          <w:spacing w:val="-1"/>
        </w:rPr>
        <w:t xml:space="preserve"> Protection</w:t>
      </w:r>
      <w:r w:rsidR="00347360" w:rsidRPr="00CD5D7B">
        <w:rPr>
          <w:rFonts w:asciiTheme="minorBidi" w:hAnsiTheme="minorBidi"/>
          <w:spacing w:val="-1"/>
        </w:rPr>
        <w:t xml:space="preserve"> </w:t>
      </w:r>
      <w:r w:rsidR="00F3748B" w:rsidRPr="00CD5D7B">
        <w:rPr>
          <w:rFonts w:asciiTheme="minorBidi" w:hAnsiTheme="minorBidi"/>
          <w:spacing w:val="-1"/>
        </w:rPr>
        <w:t>–</w:t>
      </w:r>
      <w:r w:rsidR="00347360" w:rsidRPr="00CD5D7B">
        <w:rPr>
          <w:rFonts w:asciiTheme="minorBidi" w:hAnsiTheme="minorBidi"/>
          <w:spacing w:val="-1"/>
        </w:rPr>
        <w:t xml:space="preserve"> </w:t>
      </w:r>
      <w:r w:rsidR="00644C29" w:rsidRPr="00CD5D7B">
        <w:rPr>
          <w:rFonts w:asciiTheme="minorBidi" w:hAnsiTheme="minorBidi"/>
          <w:spacing w:val="-1"/>
        </w:rPr>
        <w:t>we have set high standards aroun</w:t>
      </w:r>
      <w:r w:rsidR="00347360" w:rsidRPr="00CD5D7B">
        <w:rPr>
          <w:rFonts w:asciiTheme="minorBidi" w:hAnsiTheme="minorBidi"/>
          <w:spacing w:val="-1"/>
        </w:rPr>
        <w:t>d product suitability,</w:t>
      </w:r>
      <w:r w:rsidR="00F3748B" w:rsidRPr="00CD5D7B">
        <w:rPr>
          <w:rFonts w:asciiTheme="minorBidi" w:hAnsiTheme="minorBidi"/>
          <w:spacing w:val="-1"/>
        </w:rPr>
        <w:t xml:space="preserve"> </w:t>
      </w:r>
      <w:r w:rsidR="00347360" w:rsidRPr="00CD5D7B">
        <w:rPr>
          <w:rFonts w:asciiTheme="minorBidi" w:hAnsiTheme="minorBidi"/>
          <w:spacing w:val="-1"/>
        </w:rPr>
        <w:t>communication</w:t>
      </w:r>
      <w:r w:rsidR="00F3748B" w:rsidRPr="00CD5D7B">
        <w:rPr>
          <w:rFonts w:asciiTheme="minorBidi" w:hAnsiTheme="minorBidi"/>
          <w:spacing w:val="-1"/>
        </w:rPr>
        <w:t xml:space="preserve"> </w:t>
      </w:r>
      <w:r w:rsidR="00347360" w:rsidRPr="00CD5D7B">
        <w:rPr>
          <w:rFonts w:asciiTheme="minorBidi" w:hAnsiTheme="minorBidi"/>
          <w:spacing w:val="-1"/>
        </w:rPr>
        <w:t xml:space="preserve">of </w:t>
      </w:r>
      <w:r w:rsidR="00F3748B" w:rsidRPr="00CD5D7B">
        <w:rPr>
          <w:rFonts w:asciiTheme="minorBidi" w:hAnsiTheme="minorBidi"/>
          <w:spacing w:val="-1"/>
        </w:rPr>
        <w:t>material risk</w:t>
      </w:r>
      <w:r w:rsidR="00347360" w:rsidRPr="00CD5D7B">
        <w:rPr>
          <w:rFonts w:asciiTheme="minorBidi" w:hAnsiTheme="minorBidi"/>
          <w:spacing w:val="-1"/>
        </w:rPr>
        <w:t>s to client</w:t>
      </w:r>
      <w:r w:rsidR="00B523A8" w:rsidRPr="00CD5D7B">
        <w:rPr>
          <w:rFonts w:asciiTheme="minorBidi" w:hAnsiTheme="minorBidi"/>
          <w:spacing w:val="-1"/>
        </w:rPr>
        <w:t>s</w:t>
      </w:r>
      <w:r w:rsidR="00347360" w:rsidRPr="00CD5D7B">
        <w:rPr>
          <w:rFonts w:asciiTheme="minorBidi" w:hAnsiTheme="minorBidi"/>
          <w:spacing w:val="-1"/>
        </w:rPr>
        <w:t xml:space="preserve"> and resolution of perceived client conflicts. </w:t>
      </w:r>
      <w:r w:rsidRPr="00CD5D7B">
        <w:rPr>
          <w:rFonts w:asciiTheme="minorBidi" w:hAnsiTheme="minorBidi"/>
          <w:spacing w:val="-1"/>
        </w:rPr>
        <w:t>VA firms are required to monitor and update their risk disclosures on a continuous basis.</w:t>
      </w:r>
    </w:p>
    <w:p w14:paraId="6A0575EC" w14:textId="43C5D190" w:rsidR="00AB0971" w:rsidRPr="00CD5D7B" w:rsidRDefault="00037C43" w:rsidP="00CD5D7B">
      <w:pPr>
        <w:pStyle w:val="BodyText"/>
        <w:numPr>
          <w:ilvl w:val="1"/>
          <w:numId w:val="1"/>
        </w:numPr>
        <w:tabs>
          <w:tab w:val="left" w:pos="709"/>
        </w:tabs>
        <w:spacing w:before="240" w:after="240"/>
        <w:ind w:left="709" w:hanging="709"/>
        <w:jc w:val="both"/>
        <w:rPr>
          <w:rFonts w:asciiTheme="minorBidi" w:hAnsiTheme="minorBidi"/>
        </w:rPr>
      </w:pPr>
      <w:r w:rsidRPr="00CD5D7B">
        <w:rPr>
          <w:rFonts w:asciiTheme="minorBidi" w:hAnsiTheme="minorBidi"/>
        </w:rPr>
        <w:t xml:space="preserve">To </w:t>
      </w:r>
      <w:r w:rsidR="001B1C83" w:rsidRPr="00CD5D7B">
        <w:rPr>
          <w:rFonts w:asciiTheme="minorBidi" w:hAnsiTheme="minorBidi"/>
        </w:rPr>
        <w:t xml:space="preserve">ensure the robust </w:t>
      </w:r>
      <w:r w:rsidRPr="00CD5D7B">
        <w:rPr>
          <w:rFonts w:asciiTheme="minorBidi" w:hAnsiTheme="minorBidi"/>
        </w:rPr>
        <w:t>execut</w:t>
      </w:r>
      <w:r w:rsidR="001B1C83" w:rsidRPr="00CD5D7B">
        <w:rPr>
          <w:rFonts w:asciiTheme="minorBidi" w:hAnsiTheme="minorBidi"/>
        </w:rPr>
        <w:t>ion of</w:t>
      </w:r>
      <w:r w:rsidRPr="00CD5D7B">
        <w:rPr>
          <w:rFonts w:asciiTheme="minorBidi" w:hAnsiTheme="minorBidi"/>
        </w:rPr>
        <w:t xml:space="preserve"> its supervisory strategy, the FSRA has </w:t>
      </w:r>
      <w:r w:rsidR="00B523A8" w:rsidRPr="00CD5D7B">
        <w:rPr>
          <w:rFonts w:asciiTheme="minorBidi" w:hAnsiTheme="minorBidi"/>
        </w:rPr>
        <w:t>actively</w:t>
      </w:r>
      <w:r w:rsidR="001B1C83" w:rsidRPr="00CD5D7B">
        <w:rPr>
          <w:rFonts w:asciiTheme="minorBidi" w:hAnsiTheme="minorBidi"/>
        </w:rPr>
        <w:t xml:space="preserve"> recruited a supervisory team with the appropriate ex</w:t>
      </w:r>
      <w:r w:rsidRPr="00CD5D7B">
        <w:rPr>
          <w:rFonts w:asciiTheme="minorBidi" w:hAnsiTheme="minorBidi"/>
        </w:rPr>
        <w:t xml:space="preserve">perience in the VA industry. </w:t>
      </w:r>
      <w:r w:rsidR="00DA01B3" w:rsidRPr="00CD5D7B">
        <w:rPr>
          <w:rFonts w:asciiTheme="minorBidi" w:hAnsiTheme="minorBidi"/>
        </w:rPr>
        <w:t xml:space="preserve">This is complemented by </w:t>
      </w:r>
      <w:r w:rsidR="001B1C83" w:rsidRPr="00CD5D7B">
        <w:rPr>
          <w:rFonts w:asciiTheme="minorBidi" w:hAnsiTheme="minorBidi"/>
        </w:rPr>
        <w:t>invest</w:t>
      </w:r>
      <w:r w:rsidR="00DA01B3" w:rsidRPr="00CD5D7B">
        <w:rPr>
          <w:rFonts w:asciiTheme="minorBidi" w:hAnsiTheme="minorBidi"/>
        </w:rPr>
        <w:t>ment</w:t>
      </w:r>
      <w:r w:rsidR="001B1C83" w:rsidRPr="00CD5D7B">
        <w:rPr>
          <w:rFonts w:asciiTheme="minorBidi" w:hAnsiTheme="minorBidi"/>
        </w:rPr>
        <w:t xml:space="preserve"> in its </w:t>
      </w:r>
      <w:proofErr w:type="spellStart"/>
      <w:r w:rsidR="001B1C83" w:rsidRPr="00CD5D7B">
        <w:rPr>
          <w:rFonts w:asciiTheme="minorBidi" w:hAnsiTheme="minorBidi"/>
        </w:rPr>
        <w:t>SupTech</w:t>
      </w:r>
      <w:proofErr w:type="spellEnd"/>
      <w:r w:rsidR="001B1C83" w:rsidRPr="00CD5D7B">
        <w:rPr>
          <w:rFonts w:asciiTheme="minorBidi" w:hAnsiTheme="minorBidi"/>
        </w:rPr>
        <w:t xml:space="preserve"> capabilities</w:t>
      </w:r>
      <w:r w:rsidR="00DA01B3" w:rsidRPr="00CD5D7B">
        <w:rPr>
          <w:rFonts w:asciiTheme="minorBidi" w:hAnsiTheme="minorBidi"/>
        </w:rPr>
        <w:t xml:space="preserve"> to proactively identify and mitigate emerging risks</w:t>
      </w:r>
      <w:r w:rsidR="00CD0FB3" w:rsidRPr="00CD5D7B">
        <w:rPr>
          <w:rFonts w:asciiTheme="minorBidi" w:hAnsiTheme="minorBidi"/>
        </w:rPr>
        <w:t xml:space="preserve">, </w:t>
      </w:r>
      <w:r w:rsidR="00DA01B3" w:rsidRPr="00CD5D7B">
        <w:rPr>
          <w:rFonts w:asciiTheme="minorBidi" w:hAnsiTheme="minorBidi"/>
        </w:rPr>
        <w:t xml:space="preserve">a </w:t>
      </w:r>
      <w:r w:rsidR="00DA01B3" w:rsidRPr="00CD5D7B">
        <w:rPr>
          <w:rFonts w:asciiTheme="minorBidi" w:hAnsiTheme="minorBidi"/>
        </w:rPr>
        <w:lastRenderedPageBreak/>
        <w:t>key example being its</w:t>
      </w:r>
      <w:r w:rsidR="00CD0FB3" w:rsidRPr="00CD5D7B">
        <w:rPr>
          <w:rFonts w:asciiTheme="minorBidi" w:hAnsiTheme="minorBidi"/>
        </w:rPr>
        <w:t xml:space="preserve"> market surveillance system </w:t>
      </w:r>
      <w:r w:rsidR="00DA01B3" w:rsidRPr="00CD5D7B">
        <w:rPr>
          <w:rFonts w:asciiTheme="minorBidi" w:hAnsiTheme="minorBidi"/>
        </w:rPr>
        <w:t>to monitor</w:t>
      </w:r>
      <w:r w:rsidR="00CD0FB3" w:rsidRPr="00CD5D7B">
        <w:rPr>
          <w:rFonts w:asciiTheme="minorBidi" w:hAnsiTheme="minorBidi"/>
        </w:rPr>
        <w:t xml:space="preserve"> market abuse</w:t>
      </w:r>
      <w:r w:rsidR="00AB0971" w:rsidRPr="00CD5D7B">
        <w:rPr>
          <w:rFonts w:asciiTheme="minorBidi" w:hAnsiTheme="minorBidi"/>
        </w:rPr>
        <w:t xml:space="preserve">. </w:t>
      </w:r>
      <w:r w:rsidR="00DA01B3" w:rsidRPr="00CD5D7B">
        <w:rPr>
          <w:rFonts w:asciiTheme="minorBidi" w:hAnsiTheme="minorBidi"/>
        </w:rPr>
        <w:t xml:space="preserve">The FSRA also supports the adoption of </w:t>
      </w:r>
      <w:r w:rsidR="00E8775A" w:rsidRPr="00CD5D7B">
        <w:rPr>
          <w:rFonts w:asciiTheme="minorBidi" w:hAnsiTheme="minorBidi"/>
        </w:rPr>
        <w:t xml:space="preserve">effective </w:t>
      </w:r>
      <w:proofErr w:type="spellStart"/>
      <w:r w:rsidR="00E8775A" w:rsidRPr="00CD5D7B">
        <w:rPr>
          <w:rFonts w:asciiTheme="minorBidi" w:hAnsiTheme="minorBidi"/>
        </w:rPr>
        <w:t>RegTech</w:t>
      </w:r>
      <w:proofErr w:type="spellEnd"/>
      <w:r w:rsidR="00E8775A" w:rsidRPr="00CD5D7B">
        <w:rPr>
          <w:rFonts w:asciiTheme="minorBidi" w:hAnsiTheme="minorBidi"/>
        </w:rPr>
        <w:t xml:space="preserve"> to maintain compliance standards within ADGM, such as those </w:t>
      </w:r>
      <w:r w:rsidR="00E73443" w:rsidRPr="00CD5D7B">
        <w:rPr>
          <w:rFonts w:asciiTheme="minorBidi" w:hAnsiTheme="minorBidi"/>
        </w:rPr>
        <w:t xml:space="preserve">that help adherence to the FATF ‘travel rule’ for cross-border VA transactions. </w:t>
      </w:r>
    </w:p>
    <w:p w14:paraId="29A22B11" w14:textId="7202695D" w:rsidR="00347360" w:rsidRPr="00806C2D" w:rsidRDefault="00347360" w:rsidP="00CD5D7B">
      <w:pPr>
        <w:spacing w:after="120"/>
        <w:ind w:firstLine="709"/>
        <w:jc w:val="both"/>
        <w:rPr>
          <w:b/>
          <w:bCs/>
          <w:i/>
          <w:iCs/>
        </w:rPr>
      </w:pPr>
      <w:r w:rsidRPr="00806C2D">
        <w:rPr>
          <w:b/>
          <w:bCs/>
          <w:i/>
          <w:iCs/>
        </w:rPr>
        <w:t xml:space="preserve">Principle </w:t>
      </w:r>
      <w:r w:rsidR="00806C2D" w:rsidRPr="00806C2D">
        <w:rPr>
          <w:b/>
          <w:bCs/>
          <w:i/>
          <w:iCs/>
        </w:rPr>
        <w:t>5</w:t>
      </w:r>
      <w:r w:rsidRPr="00806C2D">
        <w:rPr>
          <w:b/>
          <w:bCs/>
          <w:i/>
          <w:iCs/>
        </w:rPr>
        <w:t xml:space="preserve"> – Commitment to Enforce on Regulatory Breaches </w:t>
      </w:r>
    </w:p>
    <w:p w14:paraId="4905E9B8" w14:textId="36B1445B" w:rsidR="00792CD6" w:rsidRPr="00CD5D7B" w:rsidRDefault="00792CD6" w:rsidP="00CD5D7B">
      <w:pPr>
        <w:pStyle w:val="BodyText"/>
        <w:numPr>
          <w:ilvl w:val="1"/>
          <w:numId w:val="1"/>
        </w:numPr>
        <w:tabs>
          <w:tab w:val="left" w:pos="709"/>
        </w:tabs>
        <w:spacing w:before="240" w:after="240"/>
        <w:ind w:left="709" w:hanging="709"/>
        <w:jc w:val="both"/>
        <w:rPr>
          <w:rFonts w:asciiTheme="minorBidi" w:hAnsiTheme="minorBidi"/>
        </w:rPr>
      </w:pPr>
      <w:r w:rsidRPr="00CD5D7B">
        <w:rPr>
          <w:rFonts w:asciiTheme="minorBidi" w:hAnsiTheme="minorBidi"/>
        </w:rPr>
        <w:t xml:space="preserve">To enable the FSRA to meet its statutory objectives, ADGM legislation empowers us with a range of supervisory and enforcement tools and actions to identify, address and deter regulatory breaches, regardless of sector or regulated activity. </w:t>
      </w:r>
      <w:r w:rsidR="00193222" w:rsidRPr="00CD5D7B">
        <w:rPr>
          <w:rFonts w:asciiTheme="minorBidi" w:hAnsiTheme="minorBidi"/>
        </w:rPr>
        <w:t>We</w:t>
      </w:r>
      <w:r w:rsidRPr="00CD5D7B">
        <w:rPr>
          <w:rFonts w:asciiTheme="minorBidi" w:hAnsiTheme="minorBidi"/>
        </w:rPr>
        <w:t xml:space="preserve"> will act decisively to address non-compliance with our regulations and rules and eliminate any potential benefit </w:t>
      </w:r>
      <w:r w:rsidR="00B523A8" w:rsidRPr="00CD5D7B">
        <w:rPr>
          <w:rFonts w:asciiTheme="minorBidi" w:hAnsiTheme="minorBidi"/>
        </w:rPr>
        <w:t xml:space="preserve">that might arise </w:t>
      </w:r>
      <w:r w:rsidRPr="00CD5D7B">
        <w:rPr>
          <w:rFonts w:asciiTheme="minorBidi" w:hAnsiTheme="minorBidi"/>
        </w:rPr>
        <w:t xml:space="preserve">from it. </w:t>
      </w:r>
      <w:r w:rsidR="00CE19D9" w:rsidRPr="00CD5D7B">
        <w:rPr>
          <w:rFonts w:asciiTheme="minorBidi" w:hAnsiTheme="minorBidi"/>
        </w:rPr>
        <w:t>Our</w:t>
      </w:r>
      <w:r w:rsidR="00E630C7" w:rsidRPr="00CD5D7B">
        <w:rPr>
          <w:rFonts w:asciiTheme="minorBidi" w:hAnsiTheme="minorBidi"/>
        </w:rPr>
        <w:t xml:space="preserve"> </w:t>
      </w:r>
      <w:r w:rsidR="00A67C83" w:rsidRPr="00CD5D7B">
        <w:rPr>
          <w:rFonts w:asciiTheme="minorBidi" w:hAnsiTheme="minorBidi"/>
        </w:rPr>
        <w:t>approach</w:t>
      </w:r>
      <w:r w:rsidR="00E630C7" w:rsidRPr="00CD5D7B">
        <w:rPr>
          <w:rFonts w:asciiTheme="minorBidi" w:hAnsiTheme="minorBidi"/>
        </w:rPr>
        <w:t xml:space="preserve"> to </w:t>
      </w:r>
      <w:r w:rsidR="00CE19D9" w:rsidRPr="00CD5D7B">
        <w:rPr>
          <w:rFonts w:asciiTheme="minorBidi" w:hAnsiTheme="minorBidi"/>
        </w:rPr>
        <w:t xml:space="preserve">enforcement is </w:t>
      </w:r>
      <w:r w:rsidR="00E630C7" w:rsidRPr="00CD5D7B">
        <w:rPr>
          <w:rFonts w:asciiTheme="minorBidi" w:hAnsiTheme="minorBidi"/>
        </w:rPr>
        <w:t>outlined below</w:t>
      </w:r>
      <w:r w:rsidR="00CD5D7B">
        <w:rPr>
          <w:rFonts w:asciiTheme="minorBidi" w:hAnsiTheme="minorBidi"/>
        </w:rPr>
        <w:t>:</w:t>
      </w:r>
      <w:r w:rsidR="00E630C7" w:rsidRPr="00CD5D7B">
        <w:rPr>
          <w:rFonts w:asciiTheme="minorBidi" w:hAnsiTheme="minorBidi"/>
        </w:rPr>
        <w:t xml:space="preserve"> </w:t>
      </w:r>
    </w:p>
    <w:p w14:paraId="47CF030C" w14:textId="0103F41A" w:rsidR="00792CD6" w:rsidRPr="00CD5D7B" w:rsidRDefault="003E6D07" w:rsidP="00CD5D7B">
      <w:pPr>
        <w:pStyle w:val="BodyText"/>
        <w:numPr>
          <w:ilvl w:val="0"/>
          <w:numId w:val="15"/>
        </w:numPr>
        <w:tabs>
          <w:tab w:val="left" w:pos="829"/>
        </w:tabs>
        <w:spacing w:before="240" w:after="240"/>
        <w:ind w:left="1418" w:hanging="709"/>
        <w:jc w:val="both"/>
        <w:rPr>
          <w:rFonts w:asciiTheme="minorBidi" w:hAnsiTheme="minorBidi"/>
          <w:spacing w:val="-1"/>
        </w:rPr>
      </w:pPr>
      <w:r w:rsidRPr="00CD5D7B">
        <w:rPr>
          <w:rFonts w:asciiTheme="minorBidi" w:hAnsiTheme="minorBidi"/>
          <w:spacing w:val="-1"/>
        </w:rPr>
        <w:t>We have</w:t>
      </w:r>
      <w:r w:rsidR="00792CD6" w:rsidRPr="00CD5D7B">
        <w:rPr>
          <w:rFonts w:asciiTheme="minorBidi" w:hAnsiTheme="minorBidi"/>
          <w:spacing w:val="-1"/>
        </w:rPr>
        <w:t xml:space="preserve"> comprehensive powers to gather evidence and information on a compulsory basis. This includes </w:t>
      </w:r>
      <w:r w:rsidR="00136491" w:rsidRPr="00CD5D7B">
        <w:rPr>
          <w:rFonts w:asciiTheme="minorBidi" w:hAnsiTheme="minorBidi"/>
          <w:spacing w:val="-1"/>
        </w:rPr>
        <w:t>requir</w:t>
      </w:r>
      <w:r w:rsidR="00CC26ED" w:rsidRPr="00CD5D7B">
        <w:rPr>
          <w:rFonts w:asciiTheme="minorBidi" w:hAnsiTheme="minorBidi"/>
          <w:spacing w:val="-1"/>
        </w:rPr>
        <w:t>ing</w:t>
      </w:r>
      <w:r w:rsidR="00792CD6" w:rsidRPr="00CD5D7B">
        <w:rPr>
          <w:rFonts w:asciiTheme="minorBidi" w:hAnsiTheme="minorBidi"/>
          <w:spacing w:val="-1"/>
        </w:rPr>
        <w:t xml:space="preserve">: </w:t>
      </w:r>
    </w:p>
    <w:p w14:paraId="1FBEED41" w14:textId="77777777" w:rsidR="002069DD" w:rsidRDefault="00792CD6" w:rsidP="00CD5D7B">
      <w:pPr>
        <w:pStyle w:val="ListParagraph"/>
        <w:numPr>
          <w:ilvl w:val="2"/>
          <w:numId w:val="16"/>
        </w:numPr>
        <w:spacing w:after="120"/>
        <w:ind w:left="2127" w:hanging="709"/>
        <w:contextualSpacing w:val="0"/>
        <w:jc w:val="both"/>
      </w:pPr>
      <w:r>
        <w:t>production of information and documentation from a firm; and</w:t>
      </w:r>
    </w:p>
    <w:p w14:paraId="10F611C1" w14:textId="2E245862" w:rsidR="00792CD6" w:rsidRDefault="00792CD6" w:rsidP="00CD5D7B">
      <w:pPr>
        <w:pStyle w:val="ListParagraph"/>
        <w:numPr>
          <w:ilvl w:val="2"/>
          <w:numId w:val="16"/>
        </w:numPr>
        <w:spacing w:after="120"/>
        <w:ind w:left="2127" w:hanging="709"/>
        <w:contextualSpacing w:val="0"/>
        <w:jc w:val="both"/>
      </w:pPr>
      <w:r>
        <w:t>a skilled person report on a</w:t>
      </w:r>
      <w:r w:rsidR="00B523A8">
        <w:t>ny</w:t>
      </w:r>
      <w:r>
        <w:t xml:space="preserve"> perceived deficienc</w:t>
      </w:r>
      <w:r w:rsidR="00B523A8">
        <w:t>ies</w:t>
      </w:r>
      <w:r>
        <w:t xml:space="preserve"> within a firm.</w:t>
      </w:r>
    </w:p>
    <w:p w14:paraId="152D70F2" w14:textId="367E8B74" w:rsidR="00A543EA" w:rsidRPr="00CD5D7B" w:rsidRDefault="00F84BDA" w:rsidP="00CD5D7B">
      <w:pPr>
        <w:pStyle w:val="BodyText"/>
        <w:numPr>
          <w:ilvl w:val="0"/>
          <w:numId w:val="15"/>
        </w:numPr>
        <w:tabs>
          <w:tab w:val="left" w:pos="829"/>
        </w:tabs>
        <w:spacing w:before="240" w:after="240"/>
        <w:ind w:left="1418" w:hanging="709"/>
        <w:jc w:val="both"/>
        <w:rPr>
          <w:rFonts w:asciiTheme="minorBidi" w:hAnsiTheme="minorBidi"/>
          <w:spacing w:val="-1"/>
        </w:rPr>
      </w:pPr>
      <w:r w:rsidRPr="00CD5D7B">
        <w:rPr>
          <w:rFonts w:asciiTheme="minorBidi" w:hAnsiTheme="minorBidi"/>
          <w:spacing w:val="-1"/>
        </w:rPr>
        <w:t>We also have</w:t>
      </w:r>
      <w:r w:rsidR="00792CD6" w:rsidRPr="00CD5D7B">
        <w:rPr>
          <w:rFonts w:asciiTheme="minorBidi" w:hAnsiTheme="minorBidi"/>
          <w:spacing w:val="-1"/>
        </w:rPr>
        <w:t xml:space="preserve"> </w:t>
      </w:r>
      <w:r w:rsidR="00A543EA" w:rsidRPr="00CD5D7B">
        <w:rPr>
          <w:rFonts w:asciiTheme="minorBidi" w:hAnsiTheme="minorBidi"/>
          <w:spacing w:val="-1"/>
        </w:rPr>
        <w:t>a legal basis to conduct investigations:</w:t>
      </w:r>
    </w:p>
    <w:p w14:paraId="221CDB91" w14:textId="105B10E0" w:rsidR="00A543EA" w:rsidRDefault="00136491" w:rsidP="00CD5D7B">
      <w:pPr>
        <w:pStyle w:val="ListParagraph"/>
        <w:numPr>
          <w:ilvl w:val="0"/>
          <w:numId w:val="17"/>
        </w:numPr>
        <w:spacing w:after="120"/>
        <w:ind w:left="2127" w:hanging="709"/>
        <w:contextualSpacing w:val="0"/>
        <w:jc w:val="both"/>
      </w:pPr>
      <w:r>
        <w:t xml:space="preserve">into </w:t>
      </w:r>
      <w:r w:rsidR="00A543EA">
        <w:t xml:space="preserve">the nature, conduct or state of business and the ownership or control of the entities that </w:t>
      </w:r>
      <w:r w:rsidR="00F952D0">
        <w:t>we</w:t>
      </w:r>
      <w:r w:rsidR="00A543EA">
        <w:t xml:space="preserve"> </w:t>
      </w:r>
      <w:proofErr w:type="gramStart"/>
      <w:r w:rsidR="00A543EA">
        <w:t>regulate;</w:t>
      </w:r>
      <w:proofErr w:type="gramEnd"/>
    </w:p>
    <w:p w14:paraId="481FFECD" w14:textId="77D4EEDF" w:rsidR="00A543EA" w:rsidRDefault="00136491" w:rsidP="00CD5D7B">
      <w:pPr>
        <w:pStyle w:val="ListParagraph"/>
        <w:numPr>
          <w:ilvl w:val="0"/>
          <w:numId w:val="17"/>
        </w:numPr>
        <w:spacing w:after="120"/>
        <w:ind w:left="2127" w:hanging="709"/>
        <w:contextualSpacing w:val="0"/>
        <w:jc w:val="both"/>
      </w:pPr>
      <w:r>
        <w:t xml:space="preserve">into </w:t>
      </w:r>
      <w:r w:rsidR="00A543EA">
        <w:t xml:space="preserve">suspected contraventions by any person of the regulations and rules that </w:t>
      </w:r>
      <w:r w:rsidR="00F952D0">
        <w:t>we</w:t>
      </w:r>
      <w:r w:rsidR="00A543EA">
        <w:t xml:space="preserve"> administrate;</w:t>
      </w:r>
      <w:r w:rsidR="00FA40D6">
        <w:t xml:space="preserve"> and</w:t>
      </w:r>
    </w:p>
    <w:p w14:paraId="0E7ECFFF" w14:textId="7EA8D5BE" w:rsidR="00A543EA" w:rsidRDefault="00136491" w:rsidP="00CD5D7B">
      <w:pPr>
        <w:pStyle w:val="ListParagraph"/>
        <w:numPr>
          <w:ilvl w:val="0"/>
          <w:numId w:val="17"/>
        </w:numPr>
        <w:spacing w:after="120"/>
        <w:ind w:left="2127" w:hanging="709"/>
        <w:contextualSpacing w:val="0"/>
        <w:jc w:val="both"/>
      </w:pPr>
      <w:r>
        <w:t>t</w:t>
      </w:r>
      <w:r w:rsidR="00A543EA">
        <w:t xml:space="preserve">o further requests for assistance from </w:t>
      </w:r>
      <w:r w:rsidR="00B523A8">
        <w:t>other</w:t>
      </w:r>
      <w:r w:rsidR="00A543EA">
        <w:t xml:space="preserve"> regulatory authorities. </w:t>
      </w:r>
    </w:p>
    <w:p w14:paraId="5A46507F" w14:textId="2B5EDEF7" w:rsidR="00792CD6" w:rsidRPr="00CD5D7B" w:rsidRDefault="00A543EA" w:rsidP="00CD5D7B">
      <w:pPr>
        <w:pStyle w:val="BodyText"/>
        <w:numPr>
          <w:ilvl w:val="0"/>
          <w:numId w:val="15"/>
        </w:numPr>
        <w:tabs>
          <w:tab w:val="left" w:pos="829"/>
        </w:tabs>
        <w:spacing w:before="240" w:after="240"/>
        <w:ind w:left="1418" w:hanging="709"/>
        <w:jc w:val="both"/>
        <w:rPr>
          <w:rFonts w:asciiTheme="minorBidi" w:hAnsiTheme="minorBidi"/>
          <w:spacing w:val="-1"/>
        </w:rPr>
      </w:pPr>
      <w:r w:rsidRPr="00CD5D7B">
        <w:rPr>
          <w:rFonts w:asciiTheme="minorBidi" w:hAnsiTheme="minorBidi"/>
          <w:spacing w:val="-1"/>
        </w:rPr>
        <w:t xml:space="preserve">Our </w:t>
      </w:r>
      <w:r w:rsidR="00792CD6" w:rsidRPr="00CD5D7B">
        <w:rPr>
          <w:rFonts w:asciiTheme="minorBidi" w:hAnsiTheme="minorBidi"/>
          <w:spacing w:val="-1"/>
        </w:rPr>
        <w:t>comprehensive powers of investigation, which are exercised where a formal investigation has been commenced and can apply to any person</w:t>
      </w:r>
      <w:r w:rsidRPr="00CD5D7B">
        <w:rPr>
          <w:rFonts w:asciiTheme="minorBidi" w:hAnsiTheme="minorBidi"/>
          <w:spacing w:val="-1"/>
        </w:rPr>
        <w:t>, in</w:t>
      </w:r>
      <w:r w:rsidR="00792CD6" w:rsidRPr="00CD5D7B">
        <w:rPr>
          <w:rFonts w:asciiTheme="minorBidi" w:hAnsiTheme="minorBidi"/>
          <w:spacing w:val="-1"/>
        </w:rPr>
        <w:t>cludes powers to:</w:t>
      </w:r>
    </w:p>
    <w:p w14:paraId="568B10C5" w14:textId="77777777" w:rsidR="00792CD6" w:rsidRPr="003B4B42" w:rsidRDefault="00792CD6" w:rsidP="00CD5D7B">
      <w:pPr>
        <w:pStyle w:val="ListParagraph"/>
        <w:numPr>
          <w:ilvl w:val="0"/>
          <w:numId w:val="18"/>
        </w:numPr>
        <w:spacing w:after="120"/>
        <w:ind w:left="2127" w:hanging="709"/>
        <w:contextualSpacing w:val="0"/>
        <w:jc w:val="both"/>
      </w:pPr>
      <w:r w:rsidRPr="003B4B42">
        <w:t xml:space="preserve">compel testimony under </w:t>
      </w:r>
      <w:proofErr w:type="gramStart"/>
      <w:r w:rsidRPr="003B4B42">
        <w:t>oath;</w:t>
      </w:r>
      <w:proofErr w:type="gramEnd"/>
    </w:p>
    <w:p w14:paraId="300F4057" w14:textId="621CE0C3" w:rsidR="00792CD6" w:rsidRPr="003B4B42" w:rsidRDefault="00792CD6" w:rsidP="00CD5D7B">
      <w:pPr>
        <w:pStyle w:val="ListParagraph"/>
        <w:numPr>
          <w:ilvl w:val="0"/>
          <w:numId w:val="18"/>
        </w:numPr>
        <w:spacing w:after="120"/>
        <w:ind w:left="2127" w:hanging="709"/>
        <w:contextualSpacing w:val="0"/>
        <w:jc w:val="both"/>
      </w:pPr>
      <w:r w:rsidRPr="003B4B42">
        <w:t xml:space="preserve">require production of information and </w:t>
      </w:r>
      <w:proofErr w:type="gramStart"/>
      <w:r w:rsidRPr="003B4B42">
        <w:t>documents;</w:t>
      </w:r>
      <w:proofErr w:type="gramEnd"/>
    </w:p>
    <w:p w14:paraId="54241D39" w14:textId="77777777" w:rsidR="00792CD6" w:rsidRPr="003B4B42" w:rsidRDefault="00792CD6" w:rsidP="00CD5D7B">
      <w:pPr>
        <w:pStyle w:val="ListParagraph"/>
        <w:numPr>
          <w:ilvl w:val="0"/>
          <w:numId w:val="18"/>
        </w:numPr>
        <w:spacing w:after="120"/>
        <w:ind w:left="2127" w:hanging="709"/>
        <w:contextualSpacing w:val="0"/>
        <w:jc w:val="both"/>
      </w:pPr>
      <w:r w:rsidRPr="003B4B42">
        <w:t xml:space="preserve">require assistance; </w:t>
      </w:r>
      <w:r>
        <w:t xml:space="preserve">and </w:t>
      </w:r>
    </w:p>
    <w:p w14:paraId="088208D3" w14:textId="1693A2BC" w:rsidR="00792CD6" w:rsidRPr="003B4B42" w:rsidRDefault="00792CD6" w:rsidP="00CD5D7B">
      <w:pPr>
        <w:pStyle w:val="ListParagraph"/>
        <w:numPr>
          <w:ilvl w:val="0"/>
          <w:numId w:val="18"/>
        </w:numPr>
        <w:spacing w:after="120"/>
        <w:ind w:left="2127" w:hanging="709"/>
        <w:contextualSpacing w:val="0"/>
        <w:jc w:val="both"/>
      </w:pPr>
      <w:r w:rsidRPr="003B4B42">
        <w:t>enter business premises to inspect and copy documents.</w:t>
      </w:r>
    </w:p>
    <w:p w14:paraId="210E167A" w14:textId="1678CAAE" w:rsidR="00193222" w:rsidRPr="00CD5D7B" w:rsidRDefault="00193222" w:rsidP="00CD5D7B">
      <w:pPr>
        <w:pStyle w:val="BodyText"/>
        <w:numPr>
          <w:ilvl w:val="0"/>
          <w:numId w:val="15"/>
        </w:numPr>
        <w:tabs>
          <w:tab w:val="left" w:pos="829"/>
        </w:tabs>
        <w:spacing w:before="240" w:after="240"/>
        <w:ind w:left="1418" w:hanging="709"/>
        <w:jc w:val="both"/>
        <w:rPr>
          <w:rFonts w:asciiTheme="minorBidi" w:hAnsiTheme="minorBidi"/>
          <w:spacing w:val="-1"/>
        </w:rPr>
      </w:pPr>
      <w:r w:rsidRPr="00CD5D7B">
        <w:rPr>
          <w:rFonts w:asciiTheme="minorBidi" w:hAnsiTheme="minorBidi"/>
          <w:spacing w:val="-1"/>
        </w:rPr>
        <w:t>Further</w:t>
      </w:r>
      <w:r w:rsidR="002B550C" w:rsidRPr="00CD5D7B">
        <w:rPr>
          <w:rFonts w:asciiTheme="minorBidi" w:hAnsiTheme="minorBidi"/>
          <w:spacing w:val="-1"/>
        </w:rPr>
        <w:t>more</w:t>
      </w:r>
      <w:r w:rsidRPr="00CD5D7B">
        <w:rPr>
          <w:rFonts w:asciiTheme="minorBidi" w:hAnsiTheme="minorBidi"/>
          <w:spacing w:val="-1"/>
        </w:rPr>
        <w:t xml:space="preserve">, a range of regulatory and disciplinary </w:t>
      </w:r>
      <w:r w:rsidR="00CC26ED" w:rsidRPr="00CD5D7B">
        <w:rPr>
          <w:rFonts w:asciiTheme="minorBidi" w:hAnsiTheme="minorBidi"/>
          <w:spacing w:val="-1"/>
        </w:rPr>
        <w:t>actions</w:t>
      </w:r>
      <w:r w:rsidRPr="00CD5D7B">
        <w:rPr>
          <w:rFonts w:asciiTheme="minorBidi" w:hAnsiTheme="minorBidi"/>
          <w:spacing w:val="-1"/>
        </w:rPr>
        <w:t xml:space="preserve"> </w:t>
      </w:r>
      <w:r w:rsidR="007C235C" w:rsidRPr="00CD5D7B">
        <w:rPr>
          <w:rFonts w:asciiTheme="minorBidi" w:hAnsiTheme="minorBidi"/>
          <w:spacing w:val="-1"/>
        </w:rPr>
        <w:t xml:space="preserve">are </w:t>
      </w:r>
      <w:r w:rsidRPr="00CD5D7B">
        <w:rPr>
          <w:rFonts w:asciiTheme="minorBidi" w:hAnsiTheme="minorBidi"/>
          <w:spacing w:val="-1"/>
        </w:rPr>
        <w:t>available to address and remedy non-compliance with our framework. Th</w:t>
      </w:r>
      <w:r w:rsidR="00123D30" w:rsidRPr="00CD5D7B">
        <w:rPr>
          <w:rFonts w:asciiTheme="minorBidi" w:hAnsiTheme="minorBidi"/>
          <w:spacing w:val="-1"/>
        </w:rPr>
        <w:t>ese</w:t>
      </w:r>
      <w:r w:rsidRPr="00CD5D7B">
        <w:rPr>
          <w:rFonts w:asciiTheme="minorBidi" w:hAnsiTheme="minorBidi"/>
          <w:spacing w:val="-1"/>
        </w:rPr>
        <w:t xml:space="preserve"> include</w:t>
      </w:r>
      <w:r w:rsidR="00AD6771" w:rsidRPr="00CD5D7B">
        <w:rPr>
          <w:rFonts w:asciiTheme="minorBidi" w:hAnsiTheme="minorBidi"/>
          <w:spacing w:val="-1"/>
        </w:rPr>
        <w:t xml:space="preserve"> the ability to</w:t>
      </w:r>
      <w:r w:rsidR="00CC26ED" w:rsidRPr="00CD5D7B">
        <w:rPr>
          <w:rFonts w:asciiTheme="minorBidi" w:hAnsiTheme="minorBidi"/>
          <w:spacing w:val="-1"/>
        </w:rPr>
        <w:t>:</w:t>
      </w:r>
      <w:r w:rsidRPr="00CD5D7B">
        <w:rPr>
          <w:rFonts w:asciiTheme="minorBidi" w:hAnsiTheme="minorBidi"/>
          <w:spacing w:val="-1"/>
        </w:rPr>
        <w:t xml:space="preserve"> </w:t>
      </w:r>
    </w:p>
    <w:p w14:paraId="3480F91F" w14:textId="09C739DB" w:rsidR="00193222" w:rsidRDefault="00193222" w:rsidP="00CD5D7B">
      <w:pPr>
        <w:pStyle w:val="ListParagraph"/>
        <w:numPr>
          <w:ilvl w:val="0"/>
          <w:numId w:val="19"/>
        </w:numPr>
        <w:spacing w:after="120"/>
        <w:ind w:left="2127" w:hanging="709"/>
        <w:contextualSpacing w:val="0"/>
        <w:jc w:val="both"/>
      </w:pPr>
      <w:r>
        <w:t xml:space="preserve">impose requirements or conditions on a firm in the course of its business </w:t>
      </w:r>
      <w:proofErr w:type="gramStart"/>
      <w:r>
        <w:t>e.g.</w:t>
      </w:r>
      <w:proofErr w:type="gramEnd"/>
      <w:r>
        <w:t xml:space="preserve"> to not hold Client Money or trade in certain Specified Investments;</w:t>
      </w:r>
    </w:p>
    <w:p w14:paraId="52E1F9F2" w14:textId="713BE3BA" w:rsidR="00193222" w:rsidRDefault="00193222" w:rsidP="00CD5D7B">
      <w:pPr>
        <w:pStyle w:val="ListParagraph"/>
        <w:numPr>
          <w:ilvl w:val="0"/>
          <w:numId w:val="19"/>
        </w:numPr>
        <w:spacing w:after="120"/>
        <w:ind w:left="2127" w:hanging="709"/>
        <w:contextualSpacing w:val="0"/>
        <w:jc w:val="both"/>
      </w:pPr>
      <w:r>
        <w:t xml:space="preserve">withdraw the status of an individual in a Controlled </w:t>
      </w:r>
      <w:proofErr w:type="gramStart"/>
      <w:r>
        <w:t>Function;</w:t>
      </w:r>
      <w:proofErr w:type="gramEnd"/>
      <w:r>
        <w:t xml:space="preserve"> </w:t>
      </w:r>
    </w:p>
    <w:p w14:paraId="423E9108" w14:textId="49FB8B29" w:rsidR="00193222" w:rsidRDefault="00193222" w:rsidP="00CD5D7B">
      <w:pPr>
        <w:pStyle w:val="ListParagraph"/>
        <w:numPr>
          <w:ilvl w:val="0"/>
          <w:numId w:val="19"/>
        </w:numPr>
        <w:spacing w:after="120"/>
        <w:ind w:left="2127" w:hanging="709"/>
        <w:contextualSpacing w:val="0"/>
        <w:jc w:val="both"/>
      </w:pPr>
      <w:r>
        <w:t xml:space="preserve">cancel a Financial Services Permission or </w:t>
      </w:r>
      <w:r w:rsidR="00B523A8">
        <w:t>R</w:t>
      </w:r>
      <w:r>
        <w:t>ecognition</w:t>
      </w:r>
      <w:r w:rsidR="00B523A8">
        <w:t xml:space="preserve"> </w:t>
      </w:r>
      <w:proofErr w:type="gramStart"/>
      <w:r w:rsidR="00B523A8">
        <w:t>Order</w:t>
      </w:r>
      <w:r>
        <w:t>;</w:t>
      </w:r>
      <w:proofErr w:type="gramEnd"/>
      <w:r>
        <w:t xml:space="preserve"> </w:t>
      </w:r>
    </w:p>
    <w:p w14:paraId="754EAAC2" w14:textId="553565BB" w:rsidR="00193222" w:rsidRDefault="00193222" w:rsidP="00CD5D7B">
      <w:pPr>
        <w:pStyle w:val="ListParagraph"/>
        <w:numPr>
          <w:ilvl w:val="0"/>
          <w:numId w:val="19"/>
        </w:numPr>
        <w:spacing w:after="120"/>
        <w:ind w:left="2127" w:hanging="709"/>
        <w:contextualSpacing w:val="0"/>
        <w:jc w:val="both"/>
      </w:pPr>
      <w:r>
        <w:t xml:space="preserve">suspend a Financial Services </w:t>
      </w:r>
      <w:proofErr w:type="gramStart"/>
      <w:r>
        <w:t>Permission;</w:t>
      </w:r>
      <w:proofErr w:type="gramEnd"/>
    </w:p>
    <w:p w14:paraId="3944ACDB" w14:textId="0D574504" w:rsidR="00193222" w:rsidRDefault="00193222" w:rsidP="00CD5D7B">
      <w:pPr>
        <w:pStyle w:val="ListParagraph"/>
        <w:numPr>
          <w:ilvl w:val="0"/>
          <w:numId w:val="19"/>
        </w:numPr>
        <w:spacing w:after="120"/>
        <w:ind w:left="2127" w:hanging="709"/>
        <w:contextualSpacing w:val="0"/>
        <w:jc w:val="both"/>
      </w:pPr>
      <w:r>
        <w:t xml:space="preserve">impose financial penalties or public </w:t>
      </w:r>
      <w:proofErr w:type="gramStart"/>
      <w:r>
        <w:t>censure;</w:t>
      </w:r>
      <w:proofErr w:type="gramEnd"/>
      <w:r>
        <w:t xml:space="preserve">  </w:t>
      </w:r>
    </w:p>
    <w:p w14:paraId="1AA82B85" w14:textId="49054A57" w:rsidR="00193222" w:rsidRDefault="00193222" w:rsidP="00CD5D7B">
      <w:pPr>
        <w:pStyle w:val="ListParagraph"/>
        <w:numPr>
          <w:ilvl w:val="0"/>
          <w:numId w:val="19"/>
        </w:numPr>
        <w:spacing w:after="120"/>
        <w:ind w:left="2127" w:hanging="709"/>
        <w:contextualSpacing w:val="0"/>
        <w:jc w:val="both"/>
      </w:pPr>
      <w:r>
        <w:t>ban individuals from performing functions in the ADGM</w:t>
      </w:r>
      <w:r w:rsidR="007C235C">
        <w:t>; and</w:t>
      </w:r>
    </w:p>
    <w:p w14:paraId="409A5E9D" w14:textId="161ED12E" w:rsidR="00193222" w:rsidRDefault="00193222" w:rsidP="00CD5D7B">
      <w:pPr>
        <w:pStyle w:val="ListParagraph"/>
        <w:numPr>
          <w:ilvl w:val="0"/>
          <w:numId w:val="19"/>
        </w:numPr>
        <w:spacing w:after="120"/>
        <w:ind w:left="2127" w:hanging="709"/>
        <w:contextualSpacing w:val="0"/>
        <w:jc w:val="both"/>
      </w:pPr>
      <w:r>
        <w:lastRenderedPageBreak/>
        <w:t xml:space="preserve">apply to the ADGM Courts for a wide range of injunctive or final relief, including to seek compensation for victims of misconduct and to require restitution and damages.  </w:t>
      </w:r>
    </w:p>
    <w:p w14:paraId="7D2C89F1" w14:textId="12457743" w:rsidR="00193222" w:rsidRPr="005342AC" w:rsidRDefault="002B550C" w:rsidP="005342AC">
      <w:pPr>
        <w:pStyle w:val="BodyText"/>
        <w:numPr>
          <w:ilvl w:val="0"/>
          <w:numId w:val="15"/>
        </w:numPr>
        <w:tabs>
          <w:tab w:val="left" w:pos="829"/>
        </w:tabs>
        <w:spacing w:before="240" w:after="240"/>
        <w:ind w:left="1418" w:hanging="709"/>
        <w:jc w:val="both"/>
        <w:rPr>
          <w:rFonts w:asciiTheme="minorBidi" w:hAnsiTheme="minorBidi"/>
          <w:spacing w:val="-1"/>
        </w:rPr>
      </w:pPr>
      <w:r w:rsidRPr="005342AC">
        <w:rPr>
          <w:rFonts w:asciiTheme="minorBidi" w:hAnsiTheme="minorBidi"/>
          <w:spacing w:val="-1"/>
        </w:rPr>
        <w:t>We</w:t>
      </w:r>
      <w:r w:rsidR="00193222" w:rsidRPr="005342AC">
        <w:rPr>
          <w:rFonts w:asciiTheme="minorBidi" w:hAnsiTheme="minorBidi"/>
          <w:spacing w:val="-1"/>
        </w:rPr>
        <w:t xml:space="preserve"> publish full details of formal regulatory actions </w:t>
      </w:r>
      <w:r w:rsidRPr="005342AC">
        <w:rPr>
          <w:rFonts w:asciiTheme="minorBidi" w:hAnsiTheme="minorBidi"/>
          <w:spacing w:val="-1"/>
        </w:rPr>
        <w:t>that are</w:t>
      </w:r>
      <w:r w:rsidR="00193222" w:rsidRPr="005342AC">
        <w:rPr>
          <w:rFonts w:asciiTheme="minorBidi" w:hAnsiTheme="minorBidi"/>
          <w:spacing w:val="-1"/>
        </w:rPr>
        <w:t xml:space="preserve"> undertake</w:t>
      </w:r>
      <w:r w:rsidRPr="005342AC">
        <w:rPr>
          <w:rFonts w:asciiTheme="minorBidi" w:hAnsiTheme="minorBidi"/>
          <w:spacing w:val="-1"/>
        </w:rPr>
        <w:t>n</w:t>
      </w:r>
      <w:r w:rsidR="00193222" w:rsidRPr="005342AC">
        <w:rPr>
          <w:rFonts w:asciiTheme="minorBidi" w:hAnsiTheme="minorBidi"/>
          <w:spacing w:val="-1"/>
        </w:rPr>
        <w:t xml:space="preserve">. </w:t>
      </w:r>
    </w:p>
    <w:p w14:paraId="30B4EBBF" w14:textId="73D46297" w:rsidR="00193222" w:rsidRPr="00CD5D7B" w:rsidRDefault="00136491" w:rsidP="00CD5D7B">
      <w:pPr>
        <w:pStyle w:val="BodyText"/>
        <w:numPr>
          <w:ilvl w:val="1"/>
          <w:numId w:val="1"/>
        </w:numPr>
        <w:tabs>
          <w:tab w:val="left" w:pos="709"/>
        </w:tabs>
        <w:spacing w:before="240" w:after="240"/>
        <w:ind w:left="709" w:hanging="709"/>
        <w:jc w:val="both"/>
        <w:rPr>
          <w:rFonts w:asciiTheme="minorBidi" w:hAnsiTheme="minorBidi"/>
        </w:rPr>
      </w:pPr>
      <w:r w:rsidRPr="00CD5D7B">
        <w:rPr>
          <w:rFonts w:asciiTheme="minorBidi" w:hAnsiTheme="minorBidi"/>
        </w:rPr>
        <w:t xml:space="preserve">We are </w:t>
      </w:r>
      <w:r w:rsidR="00193222" w:rsidRPr="00CD5D7B">
        <w:rPr>
          <w:rFonts w:asciiTheme="minorBidi" w:hAnsiTheme="minorBidi"/>
        </w:rPr>
        <w:t xml:space="preserve">committed to providing the fullest assistance possible to other regulatory authorities, including </w:t>
      </w:r>
      <w:r w:rsidR="007C235C" w:rsidRPr="00CD5D7B">
        <w:rPr>
          <w:rFonts w:asciiTheme="minorBidi" w:hAnsiTheme="minorBidi"/>
        </w:rPr>
        <w:t xml:space="preserve">on </w:t>
      </w:r>
      <w:r w:rsidR="00193222" w:rsidRPr="00CD5D7B">
        <w:rPr>
          <w:rFonts w:asciiTheme="minorBidi" w:hAnsiTheme="minorBidi"/>
        </w:rPr>
        <w:t xml:space="preserve">regulatory investigations undertaken by other jurisdictions. </w:t>
      </w:r>
      <w:r w:rsidR="00B523A8" w:rsidRPr="00CD5D7B">
        <w:rPr>
          <w:rFonts w:asciiTheme="minorBidi" w:hAnsiTheme="minorBidi"/>
        </w:rPr>
        <w:t>As part of</w:t>
      </w:r>
      <w:r w:rsidR="007C235C" w:rsidRPr="00CD5D7B">
        <w:rPr>
          <w:rFonts w:asciiTheme="minorBidi" w:hAnsiTheme="minorBidi"/>
        </w:rPr>
        <w:t xml:space="preserve"> this</w:t>
      </w:r>
      <w:r w:rsidRPr="00CD5D7B">
        <w:rPr>
          <w:rFonts w:asciiTheme="minorBidi" w:hAnsiTheme="minorBidi"/>
        </w:rPr>
        <w:t xml:space="preserve"> commitment,</w:t>
      </w:r>
      <w:r w:rsidR="007C235C" w:rsidRPr="00CD5D7B">
        <w:rPr>
          <w:rFonts w:asciiTheme="minorBidi" w:hAnsiTheme="minorBidi"/>
        </w:rPr>
        <w:t xml:space="preserve"> we are </w:t>
      </w:r>
      <w:r w:rsidR="00193222" w:rsidRPr="00CD5D7B">
        <w:rPr>
          <w:rFonts w:asciiTheme="minorBidi" w:hAnsiTheme="minorBidi"/>
        </w:rPr>
        <w:t>a signatory to the IOSCO Enhanced Multilateral Memorandum of Understandin</w:t>
      </w:r>
      <w:r w:rsidR="00F6660E" w:rsidRPr="00CD5D7B">
        <w:rPr>
          <w:rFonts w:asciiTheme="minorBidi" w:hAnsiTheme="minorBidi"/>
        </w:rPr>
        <w:t>g</w:t>
      </w:r>
      <w:r w:rsidR="00193222" w:rsidRPr="00CD5D7B">
        <w:rPr>
          <w:rFonts w:asciiTheme="minorBidi" w:hAnsiTheme="minorBidi"/>
        </w:rPr>
        <w:t xml:space="preserve">. </w:t>
      </w:r>
    </w:p>
    <w:p w14:paraId="2F28D466" w14:textId="5E289CBD" w:rsidR="00347360" w:rsidRPr="00806C2D" w:rsidRDefault="00347360" w:rsidP="005342AC">
      <w:pPr>
        <w:spacing w:after="120"/>
        <w:ind w:firstLine="709"/>
        <w:jc w:val="both"/>
        <w:rPr>
          <w:b/>
          <w:bCs/>
          <w:i/>
          <w:iCs/>
        </w:rPr>
      </w:pPr>
      <w:r w:rsidRPr="00806C2D">
        <w:rPr>
          <w:b/>
          <w:bCs/>
          <w:i/>
          <w:iCs/>
        </w:rPr>
        <w:t xml:space="preserve">Principle </w:t>
      </w:r>
      <w:r w:rsidR="00806C2D" w:rsidRPr="00806C2D">
        <w:rPr>
          <w:b/>
          <w:bCs/>
          <w:i/>
          <w:iCs/>
        </w:rPr>
        <w:t>6</w:t>
      </w:r>
      <w:r w:rsidRPr="00806C2D">
        <w:rPr>
          <w:b/>
          <w:bCs/>
          <w:i/>
          <w:iCs/>
        </w:rPr>
        <w:t xml:space="preserve"> – International Cooperation  </w:t>
      </w:r>
    </w:p>
    <w:p w14:paraId="74BF4579" w14:textId="71A1DF46" w:rsidR="00685A76" w:rsidRPr="005342AC" w:rsidRDefault="00541A4A" w:rsidP="005342AC">
      <w:pPr>
        <w:pStyle w:val="BodyText"/>
        <w:numPr>
          <w:ilvl w:val="1"/>
          <w:numId w:val="1"/>
        </w:numPr>
        <w:tabs>
          <w:tab w:val="left" w:pos="709"/>
        </w:tabs>
        <w:spacing w:before="240" w:after="240"/>
        <w:ind w:left="709" w:hanging="709"/>
        <w:jc w:val="both"/>
        <w:rPr>
          <w:rFonts w:asciiTheme="minorBidi" w:hAnsiTheme="minorBidi"/>
        </w:rPr>
      </w:pPr>
      <w:r w:rsidRPr="005342AC">
        <w:rPr>
          <w:rFonts w:asciiTheme="minorBidi" w:hAnsiTheme="minorBidi"/>
        </w:rPr>
        <w:t>Considering</w:t>
      </w:r>
      <w:r w:rsidR="00685A76" w:rsidRPr="005342AC">
        <w:rPr>
          <w:rFonts w:asciiTheme="minorBidi" w:hAnsiTheme="minorBidi"/>
        </w:rPr>
        <w:t xml:space="preserve"> </w:t>
      </w:r>
      <w:r w:rsidR="00684DFE" w:rsidRPr="005342AC">
        <w:rPr>
          <w:rFonts w:asciiTheme="minorBidi" w:hAnsiTheme="minorBidi"/>
        </w:rPr>
        <w:t xml:space="preserve">the </w:t>
      </w:r>
      <w:r w:rsidR="00685A76" w:rsidRPr="005342AC">
        <w:rPr>
          <w:rFonts w:asciiTheme="minorBidi" w:hAnsiTheme="minorBidi"/>
        </w:rPr>
        <w:t xml:space="preserve">global reach of </w:t>
      </w:r>
      <w:r w:rsidR="00342B20" w:rsidRPr="005342AC">
        <w:rPr>
          <w:rFonts w:asciiTheme="minorBidi" w:hAnsiTheme="minorBidi"/>
        </w:rPr>
        <w:t>VA</w:t>
      </w:r>
      <w:r w:rsidR="00684DFE" w:rsidRPr="005342AC">
        <w:rPr>
          <w:rFonts w:asciiTheme="minorBidi" w:hAnsiTheme="minorBidi"/>
        </w:rPr>
        <w:t xml:space="preserve"> </w:t>
      </w:r>
      <w:r w:rsidR="00685A76" w:rsidRPr="005342AC">
        <w:rPr>
          <w:rFonts w:asciiTheme="minorBidi" w:hAnsiTheme="minorBidi"/>
        </w:rPr>
        <w:t xml:space="preserve">activities, the FSRA </w:t>
      </w:r>
      <w:r w:rsidR="00B523A8" w:rsidRPr="005342AC">
        <w:rPr>
          <w:rFonts w:asciiTheme="minorBidi" w:hAnsiTheme="minorBidi"/>
        </w:rPr>
        <w:t xml:space="preserve">believes </w:t>
      </w:r>
      <w:r w:rsidR="00685A76" w:rsidRPr="005342AC">
        <w:rPr>
          <w:rFonts w:asciiTheme="minorBidi" w:hAnsiTheme="minorBidi"/>
        </w:rPr>
        <w:t>that collaboration between regulators</w:t>
      </w:r>
      <w:r w:rsidR="00684DFE" w:rsidRPr="005342AC">
        <w:rPr>
          <w:rFonts w:asciiTheme="minorBidi" w:hAnsiTheme="minorBidi"/>
        </w:rPr>
        <w:t xml:space="preserve"> </w:t>
      </w:r>
      <w:r w:rsidR="00644C29" w:rsidRPr="005342AC">
        <w:rPr>
          <w:rFonts w:asciiTheme="minorBidi" w:hAnsiTheme="minorBidi"/>
        </w:rPr>
        <w:t>international</w:t>
      </w:r>
      <w:r w:rsidRPr="005342AC">
        <w:rPr>
          <w:rFonts w:asciiTheme="minorBidi" w:hAnsiTheme="minorBidi"/>
        </w:rPr>
        <w:t>ly</w:t>
      </w:r>
      <w:r w:rsidR="00685A76" w:rsidRPr="005342AC">
        <w:rPr>
          <w:rFonts w:asciiTheme="minorBidi" w:hAnsiTheme="minorBidi"/>
        </w:rPr>
        <w:t xml:space="preserve"> is imperative to mitigate </w:t>
      </w:r>
      <w:r w:rsidR="00273EBF" w:rsidRPr="005342AC">
        <w:rPr>
          <w:rFonts w:asciiTheme="minorBidi" w:hAnsiTheme="minorBidi"/>
        </w:rPr>
        <w:t xml:space="preserve">the variety of </w:t>
      </w:r>
      <w:r w:rsidR="00685A76" w:rsidRPr="005342AC">
        <w:rPr>
          <w:rFonts w:asciiTheme="minorBidi" w:hAnsiTheme="minorBidi"/>
        </w:rPr>
        <w:t>risk</w:t>
      </w:r>
      <w:r w:rsidR="00273EBF" w:rsidRPr="005342AC">
        <w:rPr>
          <w:rFonts w:asciiTheme="minorBidi" w:hAnsiTheme="minorBidi"/>
        </w:rPr>
        <w:t>s</w:t>
      </w:r>
      <w:r w:rsidR="00685A76" w:rsidRPr="005342AC">
        <w:rPr>
          <w:rFonts w:asciiTheme="minorBidi" w:hAnsiTheme="minorBidi"/>
        </w:rPr>
        <w:t xml:space="preserve"> </w:t>
      </w:r>
      <w:r w:rsidR="00273EBF" w:rsidRPr="005342AC">
        <w:rPr>
          <w:rFonts w:asciiTheme="minorBidi" w:hAnsiTheme="minorBidi"/>
        </w:rPr>
        <w:t>they pose</w:t>
      </w:r>
      <w:r w:rsidR="00685A76" w:rsidRPr="005342AC">
        <w:rPr>
          <w:rFonts w:asciiTheme="minorBidi" w:hAnsiTheme="minorBidi"/>
        </w:rPr>
        <w:t xml:space="preserve">. To support this, the FSRA has </w:t>
      </w:r>
      <w:proofErr w:type="gramStart"/>
      <w:r w:rsidR="00685A76" w:rsidRPr="005342AC">
        <w:rPr>
          <w:rFonts w:asciiTheme="minorBidi" w:hAnsiTheme="minorBidi"/>
        </w:rPr>
        <w:t>entered into</w:t>
      </w:r>
      <w:proofErr w:type="gramEnd"/>
      <w:r w:rsidR="00685A76" w:rsidRPr="005342AC">
        <w:rPr>
          <w:rFonts w:asciiTheme="minorBidi" w:hAnsiTheme="minorBidi"/>
        </w:rPr>
        <w:t xml:space="preserve"> a material number of bilateral and multilateral Memorandum of Understandings (</w:t>
      </w:r>
      <w:proofErr w:type="spellStart"/>
      <w:r w:rsidR="00685A76" w:rsidRPr="005342AC">
        <w:rPr>
          <w:rFonts w:asciiTheme="minorBidi" w:hAnsiTheme="minorBidi"/>
        </w:rPr>
        <w:t>MoUs</w:t>
      </w:r>
      <w:proofErr w:type="spellEnd"/>
      <w:r w:rsidR="00685A76" w:rsidRPr="005342AC">
        <w:rPr>
          <w:rFonts w:asciiTheme="minorBidi" w:hAnsiTheme="minorBidi"/>
        </w:rPr>
        <w:t>) to support the exchange of</w:t>
      </w:r>
      <w:r w:rsidR="00273EBF" w:rsidRPr="005342AC">
        <w:rPr>
          <w:rFonts w:asciiTheme="minorBidi" w:hAnsiTheme="minorBidi"/>
        </w:rPr>
        <w:t xml:space="preserve"> </w:t>
      </w:r>
      <w:r w:rsidR="00685A76" w:rsidRPr="005342AC">
        <w:rPr>
          <w:rFonts w:asciiTheme="minorBidi" w:hAnsiTheme="minorBidi"/>
        </w:rPr>
        <w:t>information</w:t>
      </w:r>
      <w:r w:rsidR="00273EBF" w:rsidRPr="005342AC">
        <w:rPr>
          <w:rFonts w:asciiTheme="minorBidi" w:hAnsiTheme="minorBidi"/>
        </w:rPr>
        <w:t xml:space="preserve"> between regulators.</w:t>
      </w:r>
    </w:p>
    <w:p w14:paraId="1807F8F0" w14:textId="69FF8619" w:rsidR="00FF310E" w:rsidRPr="005342AC" w:rsidRDefault="00FF310E" w:rsidP="005342AC">
      <w:pPr>
        <w:pStyle w:val="BodyText"/>
        <w:numPr>
          <w:ilvl w:val="1"/>
          <w:numId w:val="1"/>
        </w:numPr>
        <w:tabs>
          <w:tab w:val="left" w:pos="709"/>
        </w:tabs>
        <w:spacing w:before="240" w:after="240"/>
        <w:ind w:left="709" w:hanging="709"/>
        <w:jc w:val="both"/>
        <w:rPr>
          <w:rFonts w:asciiTheme="minorBidi" w:hAnsiTheme="minorBidi"/>
        </w:rPr>
      </w:pPr>
      <w:r w:rsidRPr="005342AC">
        <w:rPr>
          <w:rFonts w:asciiTheme="minorBidi" w:hAnsiTheme="minorBidi"/>
        </w:rPr>
        <w:t xml:space="preserve">In addition to </w:t>
      </w:r>
      <w:r w:rsidR="001050B0" w:rsidRPr="005342AC">
        <w:rPr>
          <w:rFonts w:asciiTheme="minorBidi" w:hAnsiTheme="minorBidi"/>
        </w:rPr>
        <w:t>being</w:t>
      </w:r>
      <w:r w:rsidRPr="005342AC">
        <w:rPr>
          <w:rFonts w:asciiTheme="minorBidi" w:hAnsiTheme="minorBidi"/>
        </w:rPr>
        <w:t xml:space="preserve"> agile to market-based trends, the FSRA </w:t>
      </w:r>
      <w:r w:rsidR="001050B0" w:rsidRPr="005342AC">
        <w:rPr>
          <w:rFonts w:asciiTheme="minorBidi" w:hAnsiTheme="minorBidi"/>
        </w:rPr>
        <w:t>remains vigilant to emerging risks and opportunities in the sector by undertaking</w:t>
      </w:r>
      <w:r w:rsidRPr="005342AC">
        <w:rPr>
          <w:rFonts w:asciiTheme="minorBidi" w:hAnsiTheme="minorBidi"/>
        </w:rPr>
        <w:t xml:space="preserve"> gap analys</w:t>
      </w:r>
      <w:r w:rsidR="00541A4A" w:rsidRPr="005342AC">
        <w:rPr>
          <w:rFonts w:asciiTheme="minorBidi" w:hAnsiTheme="minorBidi"/>
        </w:rPr>
        <w:t>e</w:t>
      </w:r>
      <w:r w:rsidRPr="005342AC">
        <w:rPr>
          <w:rFonts w:asciiTheme="minorBidi" w:hAnsiTheme="minorBidi"/>
        </w:rPr>
        <w:t xml:space="preserve">s against the regimes of </w:t>
      </w:r>
      <w:r w:rsidR="001050B0" w:rsidRPr="005342AC">
        <w:rPr>
          <w:rFonts w:asciiTheme="minorBidi" w:hAnsiTheme="minorBidi"/>
        </w:rPr>
        <w:t>other regulators and international best practice</w:t>
      </w:r>
      <w:r w:rsidR="005D46F6" w:rsidRPr="005342AC">
        <w:rPr>
          <w:rFonts w:asciiTheme="minorBidi" w:hAnsiTheme="minorBidi"/>
        </w:rPr>
        <w:t>s</w:t>
      </w:r>
      <w:r w:rsidR="001050B0" w:rsidRPr="005342AC">
        <w:rPr>
          <w:rFonts w:asciiTheme="minorBidi" w:hAnsiTheme="minorBidi"/>
        </w:rPr>
        <w:t xml:space="preserve">. </w:t>
      </w:r>
    </w:p>
    <w:p w14:paraId="602F17FE" w14:textId="39C7BC02" w:rsidR="00273EBF" w:rsidRPr="005342AC" w:rsidRDefault="00684DFE" w:rsidP="005342AC">
      <w:pPr>
        <w:pStyle w:val="BodyText"/>
        <w:numPr>
          <w:ilvl w:val="1"/>
          <w:numId w:val="1"/>
        </w:numPr>
        <w:tabs>
          <w:tab w:val="left" w:pos="709"/>
        </w:tabs>
        <w:spacing w:before="240" w:after="240"/>
        <w:ind w:left="709" w:hanging="709"/>
        <w:jc w:val="both"/>
        <w:rPr>
          <w:rFonts w:asciiTheme="minorBidi" w:hAnsiTheme="minorBidi"/>
        </w:rPr>
      </w:pPr>
      <w:r w:rsidRPr="005342AC">
        <w:rPr>
          <w:rFonts w:asciiTheme="minorBidi" w:hAnsiTheme="minorBidi"/>
        </w:rPr>
        <w:t>Likewise</w:t>
      </w:r>
      <w:r w:rsidR="001050B0" w:rsidRPr="005342AC">
        <w:rPr>
          <w:rFonts w:asciiTheme="minorBidi" w:hAnsiTheme="minorBidi"/>
        </w:rPr>
        <w:t>, a</w:t>
      </w:r>
      <w:r w:rsidR="00685A76" w:rsidRPr="005342AC">
        <w:rPr>
          <w:rFonts w:asciiTheme="minorBidi" w:hAnsiTheme="minorBidi"/>
        </w:rPr>
        <w:t xml:space="preserve">s a high </w:t>
      </w:r>
      <w:r w:rsidR="001050B0" w:rsidRPr="005342AC">
        <w:rPr>
          <w:rFonts w:asciiTheme="minorBidi" w:hAnsiTheme="minorBidi"/>
        </w:rPr>
        <w:t>watermark</w:t>
      </w:r>
      <w:r w:rsidR="00685A76" w:rsidRPr="005342AC">
        <w:rPr>
          <w:rFonts w:asciiTheme="minorBidi" w:hAnsiTheme="minorBidi"/>
        </w:rPr>
        <w:t xml:space="preserve"> regime, the FSRA supports the development of international </w:t>
      </w:r>
      <w:r w:rsidR="001050B0" w:rsidRPr="005342AC">
        <w:rPr>
          <w:rFonts w:asciiTheme="minorBidi" w:hAnsiTheme="minorBidi"/>
        </w:rPr>
        <w:t xml:space="preserve">minimum </w:t>
      </w:r>
      <w:r w:rsidR="00685A76" w:rsidRPr="005342AC">
        <w:rPr>
          <w:rFonts w:asciiTheme="minorBidi" w:hAnsiTheme="minorBidi"/>
        </w:rPr>
        <w:t xml:space="preserve">standards </w:t>
      </w:r>
      <w:r w:rsidR="00273EBF" w:rsidRPr="005342AC">
        <w:rPr>
          <w:rFonts w:asciiTheme="minorBidi" w:hAnsiTheme="minorBidi"/>
        </w:rPr>
        <w:t>that can drive the sector’s growth to be sustainable</w:t>
      </w:r>
      <w:r w:rsidR="001050B0" w:rsidRPr="005342AC">
        <w:rPr>
          <w:rFonts w:asciiTheme="minorBidi" w:hAnsiTheme="minorBidi"/>
        </w:rPr>
        <w:t>,</w:t>
      </w:r>
      <w:r w:rsidR="00273EBF" w:rsidRPr="005342AC">
        <w:rPr>
          <w:rFonts w:asciiTheme="minorBidi" w:hAnsiTheme="minorBidi"/>
        </w:rPr>
        <w:t xml:space="preserve"> risk sensitive</w:t>
      </w:r>
      <w:r w:rsidR="00FF310E" w:rsidRPr="005342AC">
        <w:rPr>
          <w:rFonts w:asciiTheme="minorBidi" w:hAnsiTheme="minorBidi"/>
        </w:rPr>
        <w:t xml:space="preserve"> and consistent across markets</w:t>
      </w:r>
      <w:r w:rsidR="00273EBF" w:rsidRPr="005342AC">
        <w:rPr>
          <w:rFonts w:asciiTheme="minorBidi" w:hAnsiTheme="minorBidi"/>
        </w:rPr>
        <w:t xml:space="preserve">. </w:t>
      </w:r>
      <w:r w:rsidR="001050B0" w:rsidRPr="005342AC">
        <w:rPr>
          <w:rFonts w:asciiTheme="minorBidi" w:hAnsiTheme="minorBidi"/>
        </w:rPr>
        <w:t xml:space="preserve">Although they </w:t>
      </w:r>
      <w:r w:rsidR="00541A4A" w:rsidRPr="005342AC">
        <w:rPr>
          <w:rFonts w:asciiTheme="minorBidi" w:hAnsiTheme="minorBidi"/>
        </w:rPr>
        <w:t>may</w:t>
      </w:r>
      <w:r w:rsidR="00273EBF" w:rsidRPr="005342AC">
        <w:rPr>
          <w:rFonts w:asciiTheme="minorBidi" w:hAnsiTheme="minorBidi"/>
        </w:rPr>
        <w:t xml:space="preserve"> require ongoing revision to keep pace with </w:t>
      </w:r>
      <w:r w:rsidR="001050B0" w:rsidRPr="005342AC">
        <w:rPr>
          <w:rFonts w:asciiTheme="minorBidi" w:hAnsiTheme="minorBidi"/>
        </w:rPr>
        <w:t>industry</w:t>
      </w:r>
      <w:r w:rsidR="00273EBF" w:rsidRPr="005342AC">
        <w:rPr>
          <w:rFonts w:asciiTheme="minorBidi" w:hAnsiTheme="minorBidi"/>
        </w:rPr>
        <w:t xml:space="preserve"> developments, the FSRA stands ready to </w:t>
      </w:r>
      <w:r w:rsidR="00FF310E" w:rsidRPr="005342AC">
        <w:rPr>
          <w:rFonts w:asciiTheme="minorBidi" w:hAnsiTheme="minorBidi"/>
        </w:rPr>
        <w:t xml:space="preserve">contribute to the design of principles by international bodies such as IOSCO, </w:t>
      </w:r>
      <w:r w:rsidR="00AB406A" w:rsidRPr="005342AC">
        <w:rPr>
          <w:rFonts w:asciiTheme="minorBidi" w:hAnsiTheme="minorBidi"/>
        </w:rPr>
        <w:t xml:space="preserve">the </w:t>
      </w:r>
      <w:r w:rsidR="005119AC" w:rsidRPr="005342AC">
        <w:rPr>
          <w:rFonts w:asciiTheme="minorBidi" w:hAnsiTheme="minorBidi"/>
        </w:rPr>
        <w:t>Basel Consultative Group</w:t>
      </w:r>
      <w:r w:rsidR="00FF310E" w:rsidRPr="005342AC">
        <w:rPr>
          <w:rFonts w:asciiTheme="minorBidi" w:hAnsiTheme="minorBidi"/>
        </w:rPr>
        <w:t xml:space="preserve"> and FATF.  </w:t>
      </w:r>
    </w:p>
    <w:p w14:paraId="00D25216" w14:textId="35D72A46" w:rsidR="00273EBF" w:rsidRPr="005342AC" w:rsidRDefault="00684DFE" w:rsidP="005342AC">
      <w:pPr>
        <w:pStyle w:val="BodyText"/>
        <w:numPr>
          <w:ilvl w:val="1"/>
          <w:numId w:val="1"/>
        </w:numPr>
        <w:tabs>
          <w:tab w:val="left" w:pos="709"/>
        </w:tabs>
        <w:spacing w:before="240" w:after="240"/>
        <w:ind w:left="709" w:hanging="709"/>
        <w:jc w:val="both"/>
        <w:rPr>
          <w:rFonts w:asciiTheme="minorBidi" w:hAnsiTheme="minorBidi"/>
        </w:rPr>
      </w:pPr>
      <w:r w:rsidRPr="005342AC">
        <w:rPr>
          <w:rFonts w:asciiTheme="minorBidi" w:hAnsiTheme="minorBidi"/>
        </w:rPr>
        <w:t xml:space="preserve">Being one of the first regulators to proactively engage with the sector, the FSRA has built </w:t>
      </w:r>
      <w:r w:rsidR="00761367" w:rsidRPr="005342AC">
        <w:rPr>
          <w:rFonts w:asciiTheme="minorBidi" w:hAnsiTheme="minorBidi"/>
        </w:rPr>
        <w:t xml:space="preserve">a </w:t>
      </w:r>
      <w:r w:rsidRPr="005342AC">
        <w:rPr>
          <w:rFonts w:asciiTheme="minorBidi" w:hAnsiTheme="minorBidi"/>
        </w:rPr>
        <w:t xml:space="preserve">deep </w:t>
      </w:r>
      <w:r w:rsidR="00077BB6" w:rsidRPr="005342AC">
        <w:rPr>
          <w:rFonts w:asciiTheme="minorBidi" w:hAnsiTheme="minorBidi"/>
        </w:rPr>
        <w:t xml:space="preserve">understanding </w:t>
      </w:r>
      <w:r w:rsidRPr="005342AC">
        <w:rPr>
          <w:rFonts w:asciiTheme="minorBidi" w:hAnsiTheme="minorBidi"/>
        </w:rPr>
        <w:t xml:space="preserve">and practical experience on </w:t>
      </w:r>
      <w:r w:rsidR="00F952D0" w:rsidRPr="005342AC">
        <w:rPr>
          <w:rFonts w:asciiTheme="minorBidi" w:hAnsiTheme="minorBidi"/>
        </w:rPr>
        <w:t xml:space="preserve">its </w:t>
      </w:r>
      <w:r w:rsidRPr="005342AC">
        <w:rPr>
          <w:rFonts w:asciiTheme="minorBidi" w:hAnsiTheme="minorBidi"/>
        </w:rPr>
        <w:t xml:space="preserve">risks and potential regulatory models. </w:t>
      </w:r>
      <w:r w:rsidR="00FF310E" w:rsidRPr="005342AC">
        <w:rPr>
          <w:rFonts w:asciiTheme="minorBidi" w:hAnsiTheme="minorBidi"/>
        </w:rPr>
        <w:t>The</w:t>
      </w:r>
      <w:r w:rsidRPr="005342AC">
        <w:rPr>
          <w:rFonts w:asciiTheme="minorBidi" w:hAnsiTheme="minorBidi"/>
        </w:rPr>
        <w:t>refore</w:t>
      </w:r>
      <w:r w:rsidR="00DA6F34" w:rsidRPr="005342AC">
        <w:rPr>
          <w:rFonts w:asciiTheme="minorBidi" w:hAnsiTheme="minorBidi"/>
        </w:rPr>
        <w:t>,</w:t>
      </w:r>
      <w:r w:rsidRPr="005342AC">
        <w:rPr>
          <w:rFonts w:asciiTheme="minorBidi" w:hAnsiTheme="minorBidi"/>
        </w:rPr>
        <w:t xml:space="preserve"> it</w:t>
      </w:r>
      <w:r w:rsidR="00FF310E" w:rsidRPr="005342AC">
        <w:rPr>
          <w:rFonts w:asciiTheme="minorBidi" w:hAnsiTheme="minorBidi"/>
        </w:rPr>
        <w:t xml:space="preserve"> is seen as </w:t>
      </w:r>
      <w:r w:rsidR="00077BB6" w:rsidRPr="005342AC">
        <w:rPr>
          <w:rFonts w:asciiTheme="minorBidi" w:hAnsiTheme="minorBidi"/>
        </w:rPr>
        <w:t xml:space="preserve">a </w:t>
      </w:r>
      <w:r w:rsidR="00FF310E" w:rsidRPr="005342AC">
        <w:rPr>
          <w:rFonts w:asciiTheme="minorBidi" w:hAnsiTheme="minorBidi"/>
        </w:rPr>
        <w:t>thought leader in the MENA region</w:t>
      </w:r>
      <w:r w:rsidR="001050B0" w:rsidRPr="005342AC">
        <w:rPr>
          <w:rFonts w:asciiTheme="minorBidi" w:hAnsiTheme="minorBidi"/>
        </w:rPr>
        <w:t xml:space="preserve"> and </w:t>
      </w:r>
      <w:r w:rsidR="00FF310E" w:rsidRPr="005342AC">
        <w:rPr>
          <w:rFonts w:asciiTheme="minorBidi" w:hAnsiTheme="minorBidi"/>
        </w:rPr>
        <w:t xml:space="preserve">continues to expand this recognition to the global stage through engagement with </w:t>
      </w:r>
      <w:r w:rsidR="00077BB6" w:rsidRPr="005342AC">
        <w:rPr>
          <w:rFonts w:asciiTheme="minorBidi" w:hAnsiTheme="minorBidi"/>
        </w:rPr>
        <w:t>other regulato</w:t>
      </w:r>
      <w:r w:rsidR="00DA6F34" w:rsidRPr="005342AC">
        <w:rPr>
          <w:rFonts w:asciiTheme="minorBidi" w:hAnsiTheme="minorBidi"/>
        </w:rPr>
        <w:t>r</w:t>
      </w:r>
      <w:r w:rsidR="00077BB6" w:rsidRPr="005342AC">
        <w:rPr>
          <w:rFonts w:asciiTheme="minorBidi" w:hAnsiTheme="minorBidi"/>
        </w:rPr>
        <w:t xml:space="preserve">y bodies in North America, Europe and Asia, </w:t>
      </w:r>
      <w:r w:rsidR="00FF310E" w:rsidRPr="005342AC">
        <w:rPr>
          <w:rFonts w:asciiTheme="minorBidi" w:hAnsiTheme="minorBidi"/>
        </w:rPr>
        <w:t xml:space="preserve">industry forums and providing its insights to newer International Finance </w:t>
      </w:r>
      <w:proofErr w:type="spellStart"/>
      <w:r w:rsidR="00FF310E" w:rsidRPr="005342AC">
        <w:rPr>
          <w:rFonts w:asciiTheme="minorBidi" w:hAnsiTheme="minorBidi"/>
        </w:rPr>
        <w:t>Centres</w:t>
      </w:r>
      <w:proofErr w:type="spellEnd"/>
      <w:r w:rsidR="00FF310E" w:rsidRPr="005342AC">
        <w:rPr>
          <w:rFonts w:asciiTheme="minorBidi" w:hAnsiTheme="minorBidi"/>
        </w:rPr>
        <w:t xml:space="preserve">. </w:t>
      </w:r>
    </w:p>
    <w:p w14:paraId="4C692A44" w14:textId="3BAD0132" w:rsidR="00347360" w:rsidRDefault="00347360" w:rsidP="00622ACA">
      <w:pPr>
        <w:pStyle w:val="ListParagraph"/>
        <w:spacing w:after="120"/>
        <w:ind w:left="0"/>
        <w:contextualSpacing w:val="0"/>
        <w:jc w:val="both"/>
      </w:pPr>
    </w:p>
    <w:p w14:paraId="57113175" w14:textId="77777777" w:rsidR="007C515B" w:rsidRDefault="007C515B"/>
    <w:sectPr w:rsidR="007C515B" w:rsidSect="001160FD">
      <w:footerReference w:type="default" r:id="rId12"/>
      <w:pgSz w:w="11906" w:h="16838"/>
      <w:pgMar w:top="1867" w:right="1080" w:bottom="1440" w:left="1080" w:header="708" w:footer="1312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1F773" w14:textId="77777777" w:rsidR="00217F03" w:rsidRDefault="00217F03" w:rsidP="00217F03">
      <w:pPr>
        <w:spacing w:after="0" w:line="240" w:lineRule="auto"/>
      </w:pPr>
      <w:r>
        <w:separator/>
      </w:r>
    </w:p>
  </w:endnote>
  <w:endnote w:type="continuationSeparator" w:id="0">
    <w:p w14:paraId="7EBB7DF2" w14:textId="77777777" w:rsidR="00217F03" w:rsidRDefault="00217F03" w:rsidP="00217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87407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E3F9C8" w14:textId="3A24D5C0" w:rsidR="001160FD" w:rsidRDefault="001160FD">
        <w:pPr>
          <w:pStyle w:val="Footer"/>
          <w:jc w:val="right"/>
        </w:pPr>
        <w:r>
          <w:rPr>
            <w:noProof/>
            <w:lang w:eastAsia="en-GB"/>
          </w:rPr>
          <w:drawing>
            <wp:anchor distT="0" distB="0" distL="114300" distR="114300" simplePos="0" relativeHeight="251661312" behindDoc="1" locked="0" layoutInCell="1" allowOverlap="1" wp14:anchorId="4FF86914" wp14:editId="71A6A10D">
              <wp:simplePos x="0" y="0"/>
              <wp:positionH relativeFrom="page">
                <wp:align>left</wp:align>
              </wp:positionH>
              <wp:positionV relativeFrom="paragraph">
                <wp:posOffset>-734695</wp:posOffset>
              </wp:positionV>
              <wp:extent cx="7766050" cy="1874520"/>
              <wp:effectExtent l="0" t="0" r="6350" b="0"/>
              <wp:wrapNone/>
              <wp:docPr id="40" name="Picture 1" descr="Macintosh HD:Users:danfenton:Desktop:ADGM - NEW COLLATERALS:4. Digital:16. FSRA + RA templates:1. FSRA:1. Seperate assets:16184 ADGM FSRA footer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Macintosh HD:Users:danfenton:Desktop:ADGM - NEW COLLATERALS:4. Digital:16. FSRA + RA templates:1. FSRA:1. Seperate assets:16184 ADGM FSRA footer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66050" cy="1874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</w:sdtContent>
  </w:sdt>
  <w:p w14:paraId="1AE218AB" w14:textId="7C0A4916" w:rsidR="001D1E37" w:rsidRDefault="001D1E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59788" w14:textId="72730502" w:rsidR="001160FD" w:rsidRDefault="001160FD">
    <w:pPr>
      <w:pStyle w:val="Footer"/>
    </w:pPr>
    <w:r>
      <w:rPr>
        <w:noProof/>
        <w:lang w:eastAsia="en-GB"/>
      </w:rPr>
      <w:drawing>
        <wp:anchor distT="0" distB="0" distL="114300" distR="114300" simplePos="0" relativeHeight="251667456" behindDoc="1" locked="0" layoutInCell="1" allowOverlap="1" wp14:anchorId="41941E4E" wp14:editId="1267391E">
          <wp:simplePos x="0" y="0"/>
          <wp:positionH relativeFrom="page">
            <wp:align>right</wp:align>
          </wp:positionH>
          <wp:positionV relativeFrom="paragraph">
            <wp:posOffset>-895350</wp:posOffset>
          </wp:positionV>
          <wp:extent cx="7766050" cy="1874520"/>
          <wp:effectExtent l="0" t="0" r="6350" b="0"/>
          <wp:wrapNone/>
          <wp:docPr id="9" name="Picture 1" descr="Macintosh HD:Users:danfenton:Desktop:ADGM - NEW COLLATERALS:4. Digital:16. FSRA + RA templates:1. FSRA:1. Seperate assets:16184 ADGM FSRA 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danfenton:Desktop:ADGM - NEW COLLATERALS:4. Digital:16. FSRA + RA templates:1. FSRA:1. Seperate assets:16184 ADGM FSRA foot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874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08023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9A53F3" w14:textId="77777777" w:rsidR="001160FD" w:rsidRDefault="001160FD">
        <w:pPr>
          <w:pStyle w:val="Footer"/>
          <w:jc w:val="right"/>
        </w:pPr>
        <w:r>
          <w:rPr>
            <w:noProof/>
            <w:lang w:eastAsia="en-GB"/>
          </w:rPr>
          <w:drawing>
            <wp:anchor distT="0" distB="0" distL="114300" distR="114300" simplePos="0" relativeHeight="251665408" behindDoc="1" locked="0" layoutInCell="1" allowOverlap="1" wp14:anchorId="421A36C2" wp14:editId="2B29CC63">
              <wp:simplePos x="0" y="0"/>
              <wp:positionH relativeFrom="page">
                <wp:align>left</wp:align>
              </wp:positionH>
              <wp:positionV relativeFrom="paragraph">
                <wp:posOffset>-734695</wp:posOffset>
              </wp:positionV>
              <wp:extent cx="7766050" cy="1874520"/>
              <wp:effectExtent l="0" t="0" r="6350" b="0"/>
              <wp:wrapNone/>
              <wp:docPr id="8" name="Picture 1" descr="Macintosh HD:Users:danfenton:Desktop:ADGM - NEW COLLATERALS:4. Digital:16. FSRA + RA templates:1. FSRA:1. Seperate assets:16184 ADGM FSRA footer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Macintosh HD:Users:danfenton:Desktop:ADGM - NEW COLLATERALS:4. Digital:16. FSRA + RA templates:1. FSRA:1. Seperate assets:16184 ADGM FSRA footer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66050" cy="1874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93546A" w14:textId="77777777" w:rsidR="001160FD" w:rsidRDefault="001160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74E8F" w14:textId="77777777" w:rsidR="00217F03" w:rsidRDefault="00217F03" w:rsidP="00217F03">
      <w:pPr>
        <w:spacing w:after="0" w:line="240" w:lineRule="auto"/>
      </w:pPr>
      <w:r>
        <w:separator/>
      </w:r>
    </w:p>
  </w:footnote>
  <w:footnote w:type="continuationSeparator" w:id="0">
    <w:p w14:paraId="31CDB8F4" w14:textId="77777777" w:rsidR="00217F03" w:rsidRDefault="00217F03" w:rsidP="00217F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D0FFE" w14:textId="6556B64A" w:rsidR="00217F03" w:rsidRPr="009601C2" w:rsidRDefault="001160FD" w:rsidP="002B0269">
    <w:pPr>
      <w:pStyle w:val="Header"/>
      <w:rPr>
        <w:b/>
        <w:bCs/>
        <w:sz w:val="20"/>
        <w:szCs w:val="20"/>
      </w:rPr>
    </w:pPr>
    <w:r w:rsidRPr="002721A6"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1BE4F92C" wp14:editId="3A37E10E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1899666" cy="539496"/>
          <wp:effectExtent l="0" t="0" r="5715" b="0"/>
          <wp:wrapNone/>
          <wp:docPr id="6" name="Picture 6" descr="Account Server:SWAP:Dan:1. ADGM Logo suite:ADGM Abbreviated Logo:ADGM_Abbreviated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ccount Server:SWAP:Dan:1. ADGM Logo suite:ADGM Abbreviated Logo:ADGM_Abbreviated_RG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9666" cy="5394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 w:rsidRPr="009601C2">
      <w:rPr>
        <w:b/>
        <w:bCs/>
        <w:sz w:val="20"/>
        <w:szCs w:val="20"/>
      </w:rPr>
      <w:t>VER01.</w:t>
    </w:r>
    <w:r w:rsidR="00796B39">
      <w:rPr>
        <w:b/>
        <w:bCs/>
        <w:sz w:val="20"/>
        <w:szCs w:val="20"/>
      </w:rPr>
      <w:t>1209</w:t>
    </w:r>
    <w:r w:rsidRPr="009601C2">
      <w:rPr>
        <w:b/>
        <w:bCs/>
        <w:sz w:val="20"/>
        <w:szCs w:val="20"/>
      </w:rPr>
      <w:t>22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73697" w14:textId="55B7B060" w:rsidR="001160FD" w:rsidRDefault="001160FD">
    <w:pPr>
      <w:pStyle w:val="Header"/>
    </w:pPr>
    <w:r w:rsidRPr="002721A6">
      <w:rPr>
        <w:noProof/>
        <w:lang w:eastAsia="en-GB"/>
      </w:rPr>
      <w:drawing>
        <wp:anchor distT="0" distB="0" distL="114300" distR="114300" simplePos="0" relativeHeight="251663360" behindDoc="0" locked="0" layoutInCell="1" allowOverlap="1" wp14:anchorId="02F63D21" wp14:editId="3B93BDD5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1899666" cy="539496"/>
          <wp:effectExtent l="0" t="0" r="5715" b="0"/>
          <wp:wrapNone/>
          <wp:docPr id="7" name="Picture 7" descr="Account Server:SWAP:Dan:1. ADGM Logo suite:ADGM Abbreviated Logo:ADGM_Abbreviated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ccount Server:SWAP:Dan:1. ADGM Logo suite:ADGM Abbreviated Logo:ADGM_Abbreviated_RG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9666" cy="5394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120E"/>
    <w:multiLevelType w:val="hybridMultilevel"/>
    <w:tmpl w:val="FA3457FC"/>
    <w:lvl w:ilvl="0" w:tplc="08090017">
      <w:start w:val="1"/>
      <w:numFmt w:val="lowerLetter"/>
      <w:lvlText w:val="%1)"/>
      <w:lvlJc w:val="left"/>
      <w:pPr>
        <w:ind w:left="630" w:hanging="360"/>
      </w:pPr>
    </w:lvl>
    <w:lvl w:ilvl="1" w:tplc="9D08AC86">
      <w:start w:val="1"/>
      <w:numFmt w:val="lowerLetter"/>
      <w:lvlText w:val="(%2)"/>
      <w:lvlJc w:val="left"/>
      <w:pPr>
        <w:ind w:left="1350" w:hanging="360"/>
      </w:pPr>
      <w:rPr>
        <w:rFonts w:hint="default"/>
      </w:rPr>
    </w:lvl>
    <w:lvl w:ilvl="2" w:tplc="D66C6768">
      <w:start w:val="1"/>
      <w:numFmt w:val="bullet"/>
      <w:lvlText w:val="-"/>
      <w:lvlJc w:val="left"/>
      <w:pPr>
        <w:ind w:left="2250" w:hanging="360"/>
      </w:pPr>
      <w:rPr>
        <w:rFonts w:ascii="Arial" w:eastAsiaTheme="minorHAnsi" w:hAnsi="Arial" w:cs="Arial" w:hint="default"/>
      </w:rPr>
    </w:lvl>
    <w:lvl w:ilvl="3" w:tplc="0809000F" w:tentative="1">
      <w:start w:val="1"/>
      <w:numFmt w:val="decimal"/>
      <w:lvlText w:val="%4."/>
      <w:lvlJc w:val="left"/>
      <w:pPr>
        <w:ind w:left="2790" w:hanging="360"/>
      </w:pPr>
    </w:lvl>
    <w:lvl w:ilvl="4" w:tplc="08090019" w:tentative="1">
      <w:start w:val="1"/>
      <w:numFmt w:val="lowerLetter"/>
      <w:lvlText w:val="%5."/>
      <w:lvlJc w:val="left"/>
      <w:pPr>
        <w:ind w:left="3510" w:hanging="360"/>
      </w:pPr>
    </w:lvl>
    <w:lvl w:ilvl="5" w:tplc="0809001B" w:tentative="1">
      <w:start w:val="1"/>
      <w:numFmt w:val="lowerRoman"/>
      <w:lvlText w:val="%6."/>
      <w:lvlJc w:val="right"/>
      <w:pPr>
        <w:ind w:left="4230" w:hanging="180"/>
      </w:pPr>
    </w:lvl>
    <w:lvl w:ilvl="6" w:tplc="0809000F" w:tentative="1">
      <w:start w:val="1"/>
      <w:numFmt w:val="decimal"/>
      <w:lvlText w:val="%7."/>
      <w:lvlJc w:val="left"/>
      <w:pPr>
        <w:ind w:left="4950" w:hanging="360"/>
      </w:pPr>
    </w:lvl>
    <w:lvl w:ilvl="7" w:tplc="08090019" w:tentative="1">
      <w:start w:val="1"/>
      <w:numFmt w:val="lowerLetter"/>
      <w:lvlText w:val="%8."/>
      <w:lvlJc w:val="left"/>
      <w:pPr>
        <w:ind w:left="5670" w:hanging="360"/>
      </w:pPr>
    </w:lvl>
    <w:lvl w:ilvl="8" w:tplc="08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5D26D83"/>
    <w:multiLevelType w:val="hybridMultilevel"/>
    <w:tmpl w:val="1FE02F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351BA"/>
    <w:multiLevelType w:val="hybridMultilevel"/>
    <w:tmpl w:val="1D42E36C"/>
    <w:lvl w:ilvl="0" w:tplc="0C4E6670">
      <w:start w:val="1"/>
      <w:numFmt w:val="lowerRoman"/>
      <w:lvlText w:val="(%1)"/>
      <w:lvlJc w:val="left"/>
      <w:pPr>
        <w:ind w:left="2250" w:hanging="360"/>
      </w:pPr>
      <w:rPr>
        <w:rFonts w:eastAsiaTheme="minorEastAsia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2970" w:hanging="360"/>
      </w:pPr>
    </w:lvl>
    <w:lvl w:ilvl="2" w:tplc="0809001B" w:tentative="1">
      <w:start w:val="1"/>
      <w:numFmt w:val="lowerRoman"/>
      <w:lvlText w:val="%3."/>
      <w:lvlJc w:val="right"/>
      <w:pPr>
        <w:ind w:left="3690" w:hanging="180"/>
      </w:pPr>
    </w:lvl>
    <w:lvl w:ilvl="3" w:tplc="0809000F" w:tentative="1">
      <w:start w:val="1"/>
      <w:numFmt w:val="decimal"/>
      <w:lvlText w:val="%4."/>
      <w:lvlJc w:val="left"/>
      <w:pPr>
        <w:ind w:left="4410" w:hanging="360"/>
      </w:pPr>
    </w:lvl>
    <w:lvl w:ilvl="4" w:tplc="08090019" w:tentative="1">
      <w:start w:val="1"/>
      <w:numFmt w:val="lowerLetter"/>
      <w:lvlText w:val="%5."/>
      <w:lvlJc w:val="left"/>
      <w:pPr>
        <w:ind w:left="5130" w:hanging="360"/>
      </w:pPr>
    </w:lvl>
    <w:lvl w:ilvl="5" w:tplc="0809001B" w:tentative="1">
      <w:start w:val="1"/>
      <w:numFmt w:val="lowerRoman"/>
      <w:lvlText w:val="%6."/>
      <w:lvlJc w:val="right"/>
      <w:pPr>
        <w:ind w:left="5850" w:hanging="180"/>
      </w:pPr>
    </w:lvl>
    <w:lvl w:ilvl="6" w:tplc="0809000F" w:tentative="1">
      <w:start w:val="1"/>
      <w:numFmt w:val="decimal"/>
      <w:lvlText w:val="%7."/>
      <w:lvlJc w:val="left"/>
      <w:pPr>
        <w:ind w:left="6570" w:hanging="360"/>
      </w:pPr>
    </w:lvl>
    <w:lvl w:ilvl="7" w:tplc="08090019" w:tentative="1">
      <w:start w:val="1"/>
      <w:numFmt w:val="lowerLetter"/>
      <w:lvlText w:val="%8."/>
      <w:lvlJc w:val="left"/>
      <w:pPr>
        <w:ind w:left="7290" w:hanging="360"/>
      </w:pPr>
    </w:lvl>
    <w:lvl w:ilvl="8" w:tplc="08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3" w15:restartNumberingAfterBreak="0">
    <w:nsid w:val="08FE2804"/>
    <w:multiLevelType w:val="hybridMultilevel"/>
    <w:tmpl w:val="7E6C7970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F4E44"/>
    <w:multiLevelType w:val="hybridMultilevel"/>
    <w:tmpl w:val="B9CC8116"/>
    <w:lvl w:ilvl="0" w:tplc="9D08AC86">
      <w:start w:val="1"/>
      <w:numFmt w:val="lowerLetter"/>
      <w:lvlText w:val="(%1)"/>
      <w:lvlJc w:val="left"/>
      <w:pPr>
        <w:ind w:left="135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0" w:hanging="360"/>
      </w:pPr>
    </w:lvl>
    <w:lvl w:ilvl="2" w:tplc="0809001B" w:tentative="1">
      <w:start w:val="1"/>
      <w:numFmt w:val="lowerRoman"/>
      <w:lvlText w:val="%3."/>
      <w:lvlJc w:val="right"/>
      <w:pPr>
        <w:ind w:left="2790" w:hanging="180"/>
      </w:pPr>
    </w:lvl>
    <w:lvl w:ilvl="3" w:tplc="0809000F" w:tentative="1">
      <w:start w:val="1"/>
      <w:numFmt w:val="decimal"/>
      <w:lvlText w:val="%4."/>
      <w:lvlJc w:val="left"/>
      <w:pPr>
        <w:ind w:left="3510" w:hanging="360"/>
      </w:pPr>
    </w:lvl>
    <w:lvl w:ilvl="4" w:tplc="08090019" w:tentative="1">
      <w:start w:val="1"/>
      <w:numFmt w:val="lowerLetter"/>
      <w:lvlText w:val="%5."/>
      <w:lvlJc w:val="left"/>
      <w:pPr>
        <w:ind w:left="4230" w:hanging="360"/>
      </w:pPr>
    </w:lvl>
    <w:lvl w:ilvl="5" w:tplc="0809001B" w:tentative="1">
      <w:start w:val="1"/>
      <w:numFmt w:val="lowerRoman"/>
      <w:lvlText w:val="%6."/>
      <w:lvlJc w:val="right"/>
      <w:pPr>
        <w:ind w:left="4950" w:hanging="180"/>
      </w:pPr>
    </w:lvl>
    <w:lvl w:ilvl="6" w:tplc="0809000F" w:tentative="1">
      <w:start w:val="1"/>
      <w:numFmt w:val="decimal"/>
      <w:lvlText w:val="%7."/>
      <w:lvlJc w:val="left"/>
      <w:pPr>
        <w:ind w:left="5670" w:hanging="360"/>
      </w:pPr>
    </w:lvl>
    <w:lvl w:ilvl="7" w:tplc="08090019" w:tentative="1">
      <w:start w:val="1"/>
      <w:numFmt w:val="lowerLetter"/>
      <w:lvlText w:val="%8."/>
      <w:lvlJc w:val="left"/>
      <w:pPr>
        <w:ind w:left="6390" w:hanging="360"/>
      </w:pPr>
    </w:lvl>
    <w:lvl w:ilvl="8" w:tplc="08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5" w15:restartNumberingAfterBreak="0">
    <w:nsid w:val="2A6A6BDD"/>
    <w:multiLevelType w:val="hybridMultilevel"/>
    <w:tmpl w:val="9E3E22CA"/>
    <w:lvl w:ilvl="0" w:tplc="67D84FC4">
      <w:start w:val="1"/>
      <w:numFmt w:val="lowerLetter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C950DA"/>
    <w:multiLevelType w:val="hybridMultilevel"/>
    <w:tmpl w:val="7E285698"/>
    <w:lvl w:ilvl="0" w:tplc="67D84FC4">
      <w:start w:val="1"/>
      <w:numFmt w:val="lowerLetter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20E748B"/>
    <w:multiLevelType w:val="hybridMultilevel"/>
    <w:tmpl w:val="7E6C7970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187BB2"/>
    <w:multiLevelType w:val="hybridMultilevel"/>
    <w:tmpl w:val="17D0DF4C"/>
    <w:lvl w:ilvl="0" w:tplc="FFFFFFFF">
      <w:start w:val="1"/>
      <w:numFmt w:val="lowerLetter"/>
      <w:lvlText w:val="%1)"/>
      <w:lvlJc w:val="left"/>
      <w:pPr>
        <w:ind w:left="630" w:hanging="360"/>
      </w:pPr>
    </w:lvl>
    <w:lvl w:ilvl="1" w:tplc="FFFFFFFF">
      <w:start w:val="1"/>
      <w:numFmt w:val="lowerLetter"/>
      <w:lvlText w:val="(%2)"/>
      <w:lvlJc w:val="left"/>
      <w:pPr>
        <w:ind w:left="1350" w:hanging="360"/>
      </w:pPr>
      <w:rPr>
        <w:rFonts w:hint="default"/>
      </w:rPr>
    </w:lvl>
    <w:lvl w:ilvl="2" w:tplc="0C4E6670">
      <w:start w:val="1"/>
      <w:numFmt w:val="lowerRoman"/>
      <w:lvlText w:val="(%3)"/>
      <w:lvlJc w:val="left"/>
      <w:pPr>
        <w:ind w:left="2250" w:hanging="360"/>
      </w:pPr>
      <w:rPr>
        <w:rFonts w:eastAsiaTheme="minorEastAsia"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41454690"/>
    <w:multiLevelType w:val="hybridMultilevel"/>
    <w:tmpl w:val="8E665AD4"/>
    <w:lvl w:ilvl="0" w:tplc="08090017">
      <w:start w:val="1"/>
      <w:numFmt w:val="lowerLetter"/>
      <w:lvlText w:val="%1)"/>
      <w:lvlJc w:val="left"/>
      <w:pPr>
        <w:ind w:left="630" w:hanging="360"/>
      </w:pPr>
    </w:lvl>
    <w:lvl w:ilvl="1" w:tplc="08090019" w:tentative="1">
      <w:start w:val="1"/>
      <w:numFmt w:val="lowerLetter"/>
      <w:lvlText w:val="%2."/>
      <w:lvlJc w:val="left"/>
      <w:pPr>
        <w:ind w:left="1350" w:hanging="360"/>
      </w:pPr>
    </w:lvl>
    <w:lvl w:ilvl="2" w:tplc="0809001B" w:tentative="1">
      <w:start w:val="1"/>
      <w:numFmt w:val="lowerRoman"/>
      <w:lvlText w:val="%3."/>
      <w:lvlJc w:val="right"/>
      <w:pPr>
        <w:ind w:left="2070" w:hanging="180"/>
      </w:pPr>
    </w:lvl>
    <w:lvl w:ilvl="3" w:tplc="0809000F" w:tentative="1">
      <w:start w:val="1"/>
      <w:numFmt w:val="decimal"/>
      <w:lvlText w:val="%4."/>
      <w:lvlJc w:val="left"/>
      <w:pPr>
        <w:ind w:left="2790" w:hanging="360"/>
      </w:pPr>
    </w:lvl>
    <w:lvl w:ilvl="4" w:tplc="08090019" w:tentative="1">
      <w:start w:val="1"/>
      <w:numFmt w:val="lowerLetter"/>
      <w:lvlText w:val="%5."/>
      <w:lvlJc w:val="left"/>
      <w:pPr>
        <w:ind w:left="3510" w:hanging="360"/>
      </w:pPr>
    </w:lvl>
    <w:lvl w:ilvl="5" w:tplc="0809001B" w:tentative="1">
      <w:start w:val="1"/>
      <w:numFmt w:val="lowerRoman"/>
      <w:lvlText w:val="%6."/>
      <w:lvlJc w:val="right"/>
      <w:pPr>
        <w:ind w:left="4230" w:hanging="180"/>
      </w:pPr>
    </w:lvl>
    <w:lvl w:ilvl="6" w:tplc="0809000F" w:tentative="1">
      <w:start w:val="1"/>
      <w:numFmt w:val="decimal"/>
      <w:lvlText w:val="%7."/>
      <w:lvlJc w:val="left"/>
      <w:pPr>
        <w:ind w:left="4950" w:hanging="360"/>
      </w:pPr>
    </w:lvl>
    <w:lvl w:ilvl="7" w:tplc="08090019" w:tentative="1">
      <w:start w:val="1"/>
      <w:numFmt w:val="lowerLetter"/>
      <w:lvlText w:val="%8."/>
      <w:lvlJc w:val="left"/>
      <w:pPr>
        <w:ind w:left="5670" w:hanging="360"/>
      </w:pPr>
    </w:lvl>
    <w:lvl w:ilvl="8" w:tplc="08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44595AF1"/>
    <w:multiLevelType w:val="multilevel"/>
    <w:tmpl w:val="6C5A436A"/>
    <w:lvl w:ilvl="0">
      <w:start w:val="1"/>
      <w:numFmt w:val="decimal"/>
      <w:lvlText w:val="%1."/>
      <w:lvlJc w:val="left"/>
      <w:pPr>
        <w:ind w:left="360" w:hanging="360"/>
      </w:pPr>
      <w:rPr>
        <w:i w:val="0"/>
        <w:iCs w:val="0"/>
        <w:color w:val="auto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9B14EAB"/>
    <w:multiLevelType w:val="hybridMultilevel"/>
    <w:tmpl w:val="1D42E36C"/>
    <w:lvl w:ilvl="0" w:tplc="FFFFFFFF">
      <w:start w:val="1"/>
      <w:numFmt w:val="lowerRoman"/>
      <w:lvlText w:val="(%1)"/>
      <w:lvlJc w:val="left"/>
      <w:pPr>
        <w:ind w:left="2250" w:hanging="360"/>
      </w:pPr>
      <w:rPr>
        <w:rFonts w:eastAsiaTheme="minorEastAsia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2970" w:hanging="360"/>
      </w:pPr>
    </w:lvl>
    <w:lvl w:ilvl="2" w:tplc="FFFFFFFF" w:tentative="1">
      <w:start w:val="1"/>
      <w:numFmt w:val="lowerRoman"/>
      <w:lvlText w:val="%3."/>
      <w:lvlJc w:val="right"/>
      <w:pPr>
        <w:ind w:left="3690" w:hanging="180"/>
      </w:pPr>
    </w:lvl>
    <w:lvl w:ilvl="3" w:tplc="FFFFFFFF" w:tentative="1">
      <w:start w:val="1"/>
      <w:numFmt w:val="decimal"/>
      <w:lvlText w:val="%4."/>
      <w:lvlJc w:val="left"/>
      <w:pPr>
        <w:ind w:left="4410" w:hanging="360"/>
      </w:pPr>
    </w:lvl>
    <w:lvl w:ilvl="4" w:tplc="FFFFFFFF" w:tentative="1">
      <w:start w:val="1"/>
      <w:numFmt w:val="lowerLetter"/>
      <w:lvlText w:val="%5."/>
      <w:lvlJc w:val="left"/>
      <w:pPr>
        <w:ind w:left="5130" w:hanging="360"/>
      </w:pPr>
    </w:lvl>
    <w:lvl w:ilvl="5" w:tplc="FFFFFFFF" w:tentative="1">
      <w:start w:val="1"/>
      <w:numFmt w:val="lowerRoman"/>
      <w:lvlText w:val="%6."/>
      <w:lvlJc w:val="right"/>
      <w:pPr>
        <w:ind w:left="5850" w:hanging="180"/>
      </w:pPr>
    </w:lvl>
    <w:lvl w:ilvl="6" w:tplc="FFFFFFFF" w:tentative="1">
      <w:start w:val="1"/>
      <w:numFmt w:val="decimal"/>
      <w:lvlText w:val="%7."/>
      <w:lvlJc w:val="left"/>
      <w:pPr>
        <w:ind w:left="6570" w:hanging="360"/>
      </w:pPr>
    </w:lvl>
    <w:lvl w:ilvl="7" w:tplc="FFFFFFFF" w:tentative="1">
      <w:start w:val="1"/>
      <w:numFmt w:val="lowerLetter"/>
      <w:lvlText w:val="%8."/>
      <w:lvlJc w:val="left"/>
      <w:pPr>
        <w:ind w:left="7290" w:hanging="360"/>
      </w:pPr>
    </w:lvl>
    <w:lvl w:ilvl="8" w:tplc="FFFFFFFF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2" w15:restartNumberingAfterBreak="0">
    <w:nsid w:val="4C9960EB"/>
    <w:multiLevelType w:val="hybridMultilevel"/>
    <w:tmpl w:val="1D42E36C"/>
    <w:lvl w:ilvl="0" w:tplc="FFFFFFFF">
      <w:start w:val="1"/>
      <w:numFmt w:val="lowerRoman"/>
      <w:lvlText w:val="(%1)"/>
      <w:lvlJc w:val="left"/>
      <w:pPr>
        <w:ind w:left="2250" w:hanging="360"/>
      </w:pPr>
      <w:rPr>
        <w:rFonts w:eastAsiaTheme="minorEastAsia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2970" w:hanging="360"/>
      </w:pPr>
    </w:lvl>
    <w:lvl w:ilvl="2" w:tplc="FFFFFFFF" w:tentative="1">
      <w:start w:val="1"/>
      <w:numFmt w:val="lowerRoman"/>
      <w:lvlText w:val="%3."/>
      <w:lvlJc w:val="right"/>
      <w:pPr>
        <w:ind w:left="3690" w:hanging="180"/>
      </w:pPr>
    </w:lvl>
    <w:lvl w:ilvl="3" w:tplc="FFFFFFFF" w:tentative="1">
      <w:start w:val="1"/>
      <w:numFmt w:val="decimal"/>
      <w:lvlText w:val="%4."/>
      <w:lvlJc w:val="left"/>
      <w:pPr>
        <w:ind w:left="4410" w:hanging="360"/>
      </w:pPr>
    </w:lvl>
    <w:lvl w:ilvl="4" w:tplc="FFFFFFFF" w:tentative="1">
      <w:start w:val="1"/>
      <w:numFmt w:val="lowerLetter"/>
      <w:lvlText w:val="%5."/>
      <w:lvlJc w:val="left"/>
      <w:pPr>
        <w:ind w:left="5130" w:hanging="360"/>
      </w:pPr>
    </w:lvl>
    <w:lvl w:ilvl="5" w:tplc="FFFFFFFF" w:tentative="1">
      <w:start w:val="1"/>
      <w:numFmt w:val="lowerRoman"/>
      <w:lvlText w:val="%6."/>
      <w:lvlJc w:val="right"/>
      <w:pPr>
        <w:ind w:left="5850" w:hanging="180"/>
      </w:pPr>
    </w:lvl>
    <w:lvl w:ilvl="6" w:tplc="FFFFFFFF" w:tentative="1">
      <w:start w:val="1"/>
      <w:numFmt w:val="decimal"/>
      <w:lvlText w:val="%7."/>
      <w:lvlJc w:val="left"/>
      <w:pPr>
        <w:ind w:left="6570" w:hanging="360"/>
      </w:pPr>
    </w:lvl>
    <w:lvl w:ilvl="7" w:tplc="FFFFFFFF" w:tentative="1">
      <w:start w:val="1"/>
      <w:numFmt w:val="lowerLetter"/>
      <w:lvlText w:val="%8."/>
      <w:lvlJc w:val="left"/>
      <w:pPr>
        <w:ind w:left="7290" w:hanging="360"/>
      </w:pPr>
    </w:lvl>
    <w:lvl w:ilvl="8" w:tplc="FFFFFFFF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3" w15:restartNumberingAfterBreak="0">
    <w:nsid w:val="50E06DE6"/>
    <w:multiLevelType w:val="hybridMultilevel"/>
    <w:tmpl w:val="7E285698"/>
    <w:lvl w:ilvl="0" w:tplc="67D84FC4">
      <w:start w:val="1"/>
      <w:numFmt w:val="lowerLetter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03E69CA"/>
    <w:multiLevelType w:val="hybridMultilevel"/>
    <w:tmpl w:val="7E6C7970"/>
    <w:lvl w:ilvl="0" w:tplc="0809001B">
      <w:start w:val="1"/>
      <w:numFmt w:val="lowerRoman"/>
      <w:lvlText w:val="%1."/>
      <w:lvlJc w:val="right"/>
      <w:pPr>
        <w:ind w:left="1350" w:hanging="360"/>
      </w:p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5" w15:restartNumberingAfterBreak="0">
    <w:nsid w:val="60864555"/>
    <w:multiLevelType w:val="hybridMultilevel"/>
    <w:tmpl w:val="27962498"/>
    <w:lvl w:ilvl="0" w:tplc="0809001B">
      <w:start w:val="1"/>
      <w:numFmt w:val="lowerRoman"/>
      <w:lvlText w:val="%1."/>
      <w:lvlJc w:val="righ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41B740B"/>
    <w:multiLevelType w:val="hybridMultilevel"/>
    <w:tmpl w:val="7E285698"/>
    <w:lvl w:ilvl="0" w:tplc="67D84FC4">
      <w:start w:val="1"/>
      <w:numFmt w:val="lowerLetter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83A1FF3"/>
    <w:multiLevelType w:val="hybridMultilevel"/>
    <w:tmpl w:val="7E6C7970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CE49AD"/>
    <w:multiLevelType w:val="hybridMultilevel"/>
    <w:tmpl w:val="42AAC506"/>
    <w:lvl w:ilvl="0" w:tplc="67D84FC4">
      <w:start w:val="1"/>
      <w:numFmt w:val="lowerLetter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0809001B">
      <w:start w:val="1"/>
      <w:numFmt w:val="lowerRoman"/>
      <w:lvlText w:val="%2."/>
      <w:lvlJc w:val="righ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85423782">
    <w:abstractNumId w:val="10"/>
  </w:num>
  <w:num w:numId="2" w16cid:durableId="104623582">
    <w:abstractNumId w:val="6"/>
  </w:num>
  <w:num w:numId="3" w16cid:durableId="1578324463">
    <w:abstractNumId w:val="16"/>
  </w:num>
  <w:num w:numId="4" w16cid:durableId="1323853566">
    <w:abstractNumId w:val="5"/>
  </w:num>
  <w:num w:numId="5" w16cid:durableId="1147283536">
    <w:abstractNumId w:val="1"/>
  </w:num>
  <w:num w:numId="6" w16cid:durableId="180516144">
    <w:abstractNumId w:val="13"/>
  </w:num>
  <w:num w:numId="7" w16cid:durableId="1733656500">
    <w:abstractNumId w:val="18"/>
  </w:num>
  <w:num w:numId="8" w16cid:durableId="2142335026">
    <w:abstractNumId w:val="0"/>
  </w:num>
  <w:num w:numId="9" w16cid:durableId="137381974">
    <w:abstractNumId w:val="9"/>
  </w:num>
  <w:num w:numId="10" w16cid:durableId="171385543">
    <w:abstractNumId w:val="15"/>
  </w:num>
  <w:num w:numId="11" w16cid:durableId="1243831315">
    <w:abstractNumId w:val="3"/>
  </w:num>
  <w:num w:numId="12" w16cid:durableId="1935891997">
    <w:abstractNumId w:val="14"/>
  </w:num>
  <w:num w:numId="13" w16cid:durableId="338049780">
    <w:abstractNumId w:val="17"/>
  </w:num>
  <w:num w:numId="14" w16cid:durableId="268586116">
    <w:abstractNumId w:val="7"/>
  </w:num>
  <w:num w:numId="15" w16cid:durableId="721363530">
    <w:abstractNumId w:val="4"/>
  </w:num>
  <w:num w:numId="16" w16cid:durableId="728302832">
    <w:abstractNumId w:val="8"/>
  </w:num>
  <w:num w:numId="17" w16cid:durableId="2058502484">
    <w:abstractNumId w:val="2"/>
  </w:num>
  <w:num w:numId="18" w16cid:durableId="1370450363">
    <w:abstractNumId w:val="12"/>
  </w:num>
  <w:num w:numId="19" w16cid:durableId="10512692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9AB"/>
    <w:rsid w:val="000129B0"/>
    <w:rsid w:val="0003228F"/>
    <w:rsid w:val="00037C43"/>
    <w:rsid w:val="0004760E"/>
    <w:rsid w:val="00051E6F"/>
    <w:rsid w:val="000656B4"/>
    <w:rsid w:val="000704CB"/>
    <w:rsid w:val="00077BB6"/>
    <w:rsid w:val="000E647E"/>
    <w:rsid w:val="000E6712"/>
    <w:rsid w:val="001050B0"/>
    <w:rsid w:val="00113AA5"/>
    <w:rsid w:val="00114903"/>
    <w:rsid w:val="001160FD"/>
    <w:rsid w:val="00123D30"/>
    <w:rsid w:val="00126F02"/>
    <w:rsid w:val="00136491"/>
    <w:rsid w:val="00146E89"/>
    <w:rsid w:val="00156E0B"/>
    <w:rsid w:val="0016000E"/>
    <w:rsid w:val="00185E9B"/>
    <w:rsid w:val="00193222"/>
    <w:rsid w:val="001A0D3C"/>
    <w:rsid w:val="001B1C83"/>
    <w:rsid w:val="001B4407"/>
    <w:rsid w:val="001C39A9"/>
    <w:rsid w:val="001C454E"/>
    <w:rsid w:val="001C738A"/>
    <w:rsid w:val="001D1E37"/>
    <w:rsid w:val="002069DD"/>
    <w:rsid w:val="0021009F"/>
    <w:rsid w:val="00210FEF"/>
    <w:rsid w:val="00217F03"/>
    <w:rsid w:val="00235759"/>
    <w:rsid w:val="002724CA"/>
    <w:rsid w:val="00273EBF"/>
    <w:rsid w:val="002A24FC"/>
    <w:rsid w:val="002B0269"/>
    <w:rsid w:val="002B550C"/>
    <w:rsid w:val="002B7F14"/>
    <w:rsid w:val="002C310C"/>
    <w:rsid w:val="002D52E7"/>
    <w:rsid w:val="00326333"/>
    <w:rsid w:val="00342B20"/>
    <w:rsid w:val="00347360"/>
    <w:rsid w:val="003546A0"/>
    <w:rsid w:val="003621F9"/>
    <w:rsid w:val="00395933"/>
    <w:rsid w:val="003B2034"/>
    <w:rsid w:val="003B6A4D"/>
    <w:rsid w:val="003C0893"/>
    <w:rsid w:val="003C3CBE"/>
    <w:rsid w:val="003E15A9"/>
    <w:rsid w:val="003E6D07"/>
    <w:rsid w:val="003F1BA2"/>
    <w:rsid w:val="0041040D"/>
    <w:rsid w:val="004166A3"/>
    <w:rsid w:val="00436E49"/>
    <w:rsid w:val="00444613"/>
    <w:rsid w:val="00450575"/>
    <w:rsid w:val="00456920"/>
    <w:rsid w:val="004634A2"/>
    <w:rsid w:val="00466C1A"/>
    <w:rsid w:val="004737EF"/>
    <w:rsid w:val="00475EB5"/>
    <w:rsid w:val="00491DA3"/>
    <w:rsid w:val="00492B32"/>
    <w:rsid w:val="004D343C"/>
    <w:rsid w:val="005119AC"/>
    <w:rsid w:val="005174D9"/>
    <w:rsid w:val="005232B3"/>
    <w:rsid w:val="005342AC"/>
    <w:rsid w:val="00541A4A"/>
    <w:rsid w:val="00554C07"/>
    <w:rsid w:val="00564966"/>
    <w:rsid w:val="005739B2"/>
    <w:rsid w:val="0058013A"/>
    <w:rsid w:val="005820B7"/>
    <w:rsid w:val="00586F2F"/>
    <w:rsid w:val="005909E1"/>
    <w:rsid w:val="005B03DC"/>
    <w:rsid w:val="005C3274"/>
    <w:rsid w:val="005C5B80"/>
    <w:rsid w:val="005D46F6"/>
    <w:rsid w:val="005D6BCD"/>
    <w:rsid w:val="005D6D06"/>
    <w:rsid w:val="005E2AC0"/>
    <w:rsid w:val="005E4E6F"/>
    <w:rsid w:val="005F3446"/>
    <w:rsid w:val="00622ACA"/>
    <w:rsid w:val="006270F8"/>
    <w:rsid w:val="00631F39"/>
    <w:rsid w:val="00643992"/>
    <w:rsid w:val="00644C29"/>
    <w:rsid w:val="00665F84"/>
    <w:rsid w:val="006809AB"/>
    <w:rsid w:val="00684DFE"/>
    <w:rsid w:val="00685A76"/>
    <w:rsid w:val="0069772F"/>
    <w:rsid w:val="006A5D77"/>
    <w:rsid w:val="006C7D77"/>
    <w:rsid w:val="006D71C3"/>
    <w:rsid w:val="006E71DA"/>
    <w:rsid w:val="006F6858"/>
    <w:rsid w:val="00717803"/>
    <w:rsid w:val="00730549"/>
    <w:rsid w:val="0074741A"/>
    <w:rsid w:val="00753172"/>
    <w:rsid w:val="007546CD"/>
    <w:rsid w:val="00756924"/>
    <w:rsid w:val="00757711"/>
    <w:rsid w:val="00761367"/>
    <w:rsid w:val="00786CD3"/>
    <w:rsid w:val="00792CD6"/>
    <w:rsid w:val="00796B39"/>
    <w:rsid w:val="007B6727"/>
    <w:rsid w:val="007B6AA0"/>
    <w:rsid w:val="007C235C"/>
    <w:rsid w:val="007C515B"/>
    <w:rsid w:val="007C7309"/>
    <w:rsid w:val="007C7493"/>
    <w:rsid w:val="007D6044"/>
    <w:rsid w:val="007F50AB"/>
    <w:rsid w:val="00806C2D"/>
    <w:rsid w:val="00810984"/>
    <w:rsid w:val="00835076"/>
    <w:rsid w:val="00841A38"/>
    <w:rsid w:val="00842465"/>
    <w:rsid w:val="00843965"/>
    <w:rsid w:val="00867584"/>
    <w:rsid w:val="008678DD"/>
    <w:rsid w:val="008818CB"/>
    <w:rsid w:val="00887FE4"/>
    <w:rsid w:val="008E570A"/>
    <w:rsid w:val="008F40C4"/>
    <w:rsid w:val="009010FE"/>
    <w:rsid w:val="0092538D"/>
    <w:rsid w:val="00956E72"/>
    <w:rsid w:val="009601C2"/>
    <w:rsid w:val="00961778"/>
    <w:rsid w:val="00961807"/>
    <w:rsid w:val="009A4D05"/>
    <w:rsid w:val="009A5E66"/>
    <w:rsid w:val="009B5CA5"/>
    <w:rsid w:val="009C4424"/>
    <w:rsid w:val="009D0085"/>
    <w:rsid w:val="009E148F"/>
    <w:rsid w:val="00A051D3"/>
    <w:rsid w:val="00A21E38"/>
    <w:rsid w:val="00A25AAF"/>
    <w:rsid w:val="00A25D54"/>
    <w:rsid w:val="00A45E25"/>
    <w:rsid w:val="00A543EA"/>
    <w:rsid w:val="00A60C4E"/>
    <w:rsid w:val="00A67C83"/>
    <w:rsid w:val="00A86E1C"/>
    <w:rsid w:val="00AB06D3"/>
    <w:rsid w:val="00AB0971"/>
    <w:rsid w:val="00AB406A"/>
    <w:rsid w:val="00AD6771"/>
    <w:rsid w:val="00AE67F1"/>
    <w:rsid w:val="00AF6B37"/>
    <w:rsid w:val="00B12BC5"/>
    <w:rsid w:val="00B1339A"/>
    <w:rsid w:val="00B333F1"/>
    <w:rsid w:val="00B523A8"/>
    <w:rsid w:val="00B75F0D"/>
    <w:rsid w:val="00B92A18"/>
    <w:rsid w:val="00B936C0"/>
    <w:rsid w:val="00BA568A"/>
    <w:rsid w:val="00BB4371"/>
    <w:rsid w:val="00BD1C2E"/>
    <w:rsid w:val="00BF1B98"/>
    <w:rsid w:val="00BF53A9"/>
    <w:rsid w:val="00C1089C"/>
    <w:rsid w:val="00C420D3"/>
    <w:rsid w:val="00C47FB7"/>
    <w:rsid w:val="00C6285D"/>
    <w:rsid w:val="00CC26ED"/>
    <w:rsid w:val="00CD0FB3"/>
    <w:rsid w:val="00CD5D7B"/>
    <w:rsid w:val="00CE19D9"/>
    <w:rsid w:val="00D3766B"/>
    <w:rsid w:val="00D46D54"/>
    <w:rsid w:val="00D57D17"/>
    <w:rsid w:val="00D93D77"/>
    <w:rsid w:val="00DA01B3"/>
    <w:rsid w:val="00DA2BA3"/>
    <w:rsid w:val="00DA6F34"/>
    <w:rsid w:val="00DB64E6"/>
    <w:rsid w:val="00DD64FD"/>
    <w:rsid w:val="00DF27B0"/>
    <w:rsid w:val="00E031B0"/>
    <w:rsid w:val="00E03F71"/>
    <w:rsid w:val="00E131DC"/>
    <w:rsid w:val="00E1747E"/>
    <w:rsid w:val="00E3195C"/>
    <w:rsid w:val="00E50263"/>
    <w:rsid w:val="00E53A8D"/>
    <w:rsid w:val="00E630C7"/>
    <w:rsid w:val="00E73443"/>
    <w:rsid w:val="00E8775A"/>
    <w:rsid w:val="00E92C95"/>
    <w:rsid w:val="00EA22AD"/>
    <w:rsid w:val="00EC339A"/>
    <w:rsid w:val="00EC7711"/>
    <w:rsid w:val="00ED74F7"/>
    <w:rsid w:val="00F21C48"/>
    <w:rsid w:val="00F3748B"/>
    <w:rsid w:val="00F60491"/>
    <w:rsid w:val="00F60A97"/>
    <w:rsid w:val="00F63080"/>
    <w:rsid w:val="00F6660E"/>
    <w:rsid w:val="00F72AC6"/>
    <w:rsid w:val="00F84BDA"/>
    <w:rsid w:val="00F85DDE"/>
    <w:rsid w:val="00F952D0"/>
    <w:rsid w:val="00FA40D6"/>
    <w:rsid w:val="00FB5385"/>
    <w:rsid w:val="00FC02B7"/>
    <w:rsid w:val="00FE02C9"/>
    <w:rsid w:val="00FE7B90"/>
    <w:rsid w:val="00FF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66A1CFA"/>
  <w15:chartTrackingRefBased/>
  <w15:docId w15:val="{B0C38E4D-C1E6-4240-9958-33B81C159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9AB"/>
  </w:style>
  <w:style w:type="paragraph" w:styleId="Heading1">
    <w:name w:val="heading 1"/>
    <w:basedOn w:val="Normal"/>
    <w:next w:val="Normal"/>
    <w:link w:val="Heading1Char"/>
    <w:qFormat/>
    <w:rsid w:val="00F21C4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04100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1C4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BF610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C4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F610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C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BF6100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C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BF61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C4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804100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C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804100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C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804100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C4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804100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21C48"/>
    <w:rPr>
      <w:rFonts w:asciiTheme="majorHAnsi" w:eastAsiaTheme="majorEastAsia" w:hAnsiTheme="majorHAnsi" w:cstheme="majorBidi"/>
      <w:color w:val="804100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1C48"/>
    <w:rPr>
      <w:rFonts w:asciiTheme="majorHAnsi" w:eastAsiaTheme="majorEastAsia" w:hAnsiTheme="majorHAnsi" w:cstheme="majorBidi"/>
      <w:color w:val="BF610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C48"/>
    <w:rPr>
      <w:rFonts w:asciiTheme="majorHAnsi" w:eastAsiaTheme="majorEastAsia" w:hAnsiTheme="majorHAnsi" w:cstheme="majorBidi"/>
      <w:color w:val="BF610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C48"/>
    <w:rPr>
      <w:rFonts w:asciiTheme="majorHAnsi" w:eastAsiaTheme="majorEastAsia" w:hAnsiTheme="majorHAnsi" w:cstheme="majorBidi"/>
      <w:color w:val="BF6100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C48"/>
    <w:rPr>
      <w:rFonts w:asciiTheme="majorHAnsi" w:eastAsiaTheme="majorEastAsia" w:hAnsiTheme="majorHAnsi" w:cstheme="majorBidi"/>
      <w:caps/>
      <w:color w:val="BF610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C48"/>
    <w:rPr>
      <w:rFonts w:asciiTheme="majorHAnsi" w:eastAsiaTheme="majorEastAsia" w:hAnsiTheme="majorHAnsi" w:cstheme="majorBidi"/>
      <w:i/>
      <w:iCs/>
      <w:caps/>
      <w:color w:val="804100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C48"/>
    <w:rPr>
      <w:rFonts w:asciiTheme="majorHAnsi" w:eastAsiaTheme="majorEastAsia" w:hAnsiTheme="majorHAnsi" w:cstheme="majorBidi"/>
      <w:b/>
      <w:bCs/>
      <w:color w:val="804100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C48"/>
    <w:rPr>
      <w:rFonts w:asciiTheme="majorHAnsi" w:eastAsiaTheme="majorEastAsia" w:hAnsiTheme="majorHAnsi" w:cstheme="majorBidi"/>
      <w:b/>
      <w:bCs/>
      <w:i/>
      <w:iCs/>
      <w:color w:val="804100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C48"/>
    <w:rPr>
      <w:rFonts w:asciiTheme="majorHAnsi" w:eastAsiaTheme="majorEastAsia" w:hAnsiTheme="majorHAnsi" w:cstheme="majorBidi"/>
      <w:i/>
      <w:iCs/>
      <w:color w:val="804100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21C48"/>
    <w:pPr>
      <w:spacing w:line="240" w:lineRule="auto"/>
    </w:pPr>
    <w:rPr>
      <w:b/>
      <w:bCs/>
      <w:smallCaps/>
      <w:color w:val="84754E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21C4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84754E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21C48"/>
    <w:rPr>
      <w:rFonts w:asciiTheme="majorHAnsi" w:eastAsiaTheme="majorEastAsia" w:hAnsiTheme="majorHAnsi" w:cstheme="majorBidi"/>
      <w:caps/>
      <w:color w:val="84754E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C4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FF8200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1C48"/>
    <w:rPr>
      <w:rFonts w:asciiTheme="majorHAnsi" w:eastAsiaTheme="majorEastAsia" w:hAnsiTheme="majorHAnsi" w:cstheme="majorBidi"/>
      <w:color w:val="FF8200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21C48"/>
    <w:rPr>
      <w:b/>
      <w:bCs/>
    </w:rPr>
  </w:style>
  <w:style w:type="character" w:styleId="Emphasis">
    <w:name w:val="Emphasis"/>
    <w:basedOn w:val="DefaultParagraphFont"/>
    <w:uiPriority w:val="20"/>
    <w:qFormat/>
    <w:rsid w:val="00F21C48"/>
    <w:rPr>
      <w:i/>
      <w:iCs/>
    </w:rPr>
  </w:style>
  <w:style w:type="paragraph" w:styleId="NoSpacing">
    <w:name w:val="No Spacing"/>
    <w:uiPriority w:val="1"/>
    <w:qFormat/>
    <w:rsid w:val="00F21C4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21C48"/>
    <w:pPr>
      <w:spacing w:before="120" w:after="120"/>
      <w:ind w:left="720"/>
    </w:pPr>
    <w:rPr>
      <w:color w:val="84754E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21C48"/>
    <w:rPr>
      <w:color w:val="84754E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C4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84754E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C48"/>
    <w:rPr>
      <w:rFonts w:asciiTheme="majorHAnsi" w:eastAsiaTheme="majorEastAsia" w:hAnsiTheme="majorHAnsi" w:cstheme="majorBidi"/>
      <w:color w:val="84754E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21C48"/>
    <w:rPr>
      <w:i/>
      <w:iCs/>
      <w:color w:val="009BD7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21C4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21C48"/>
    <w:rPr>
      <w:smallCaps/>
      <w:color w:val="009BD7" w:themeColor="text1" w:themeTint="A6"/>
      <w:u w:val="none" w:color="1CBFF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21C48"/>
    <w:rPr>
      <w:b/>
      <w:bCs/>
      <w:smallCaps/>
      <w:color w:val="84754E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21C4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F21C48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6809A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809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809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809AB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17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F03"/>
  </w:style>
  <w:style w:type="paragraph" w:styleId="Footer">
    <w:name w:val="footer"/>
    <w:basedOn w:val="Normal"/>
    <w:link w:val="FooterChar"/>
    <w:uiPriority w:val="99"/>
    <w:unhideWhenUsed/>
    <w:rsid w:val="00217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F0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3F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3F7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03F71"/>
    <w:pPr>
      <w:spacing w:after="0" w:line="240" w:lineRule="auto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92CD6"/>
  </w:style>
  <w:style w:type="paragraph" w:customStyle="1" w:styleId="Body">
    <w:name w:val="Body"/>
    <w:rsid w:val="001160FD"/>
    <w:pPr>
      <w:pBdr>
        <w:top w:val="nil"/>
        <w:left w:val="nil"/>
        <w:bottom w:val="nil"/>
        <w:right w:val="nil"/>
        <w:between w:val="nil"/>
        <w:bar w:val="nil"/>
      </w:pBdr>
      <w:spacing w:after="280" w:line="280" w:lineRule="exact"/>
    </w:pPr>
    <w:rPr>
      <w:rFonts w:ascii="Calibri" w:eastAsia="Arial Unicode MS" w:hAnsi="Arial Unicode MS" w:cs="Arial Unicode MS"/>
      <w:color w:val="000000"/>
      <w:u w:color="000000"/>
      <w:bdr w:val="nil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85DDE"/>
    <w:pPr>
      <w:widowControl w:val="0"/>
      <w:spacing w:after="0" w:line="240" w:lineRule="auto"/>
      <w:ind w:left="828"/>
    </w:pPr>
    <w:rPr>
      <w:rFonts w:ascii="Calibri" w:eastAsia="Calibri" w:hAnsi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85DDE"/>
    <w:rPr>
      <w:rFonts w:ascii="Calibri" w:eastAsia="Calibri" w:hAnsi="Calibri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C327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C3274"/>
    <w:rPr>
      <w:color w:val="84754E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Retrospect">
  <a:themeElements>
    <a:clrScheme name="ADGM">
      <a:dk1>
        <a:srgbClr val="002A3A"/>
      </a:dk1>
      <a:lt1>
        <a:srgbClr val="BABBB1"/>
      </a:lt1>
      <a:dk2>
        <a:srgbClr val="84754E"/>
      </a:dk2>
      <a:lt2>
        <a:srgbClr val="557186"/>
      </a:lt2>
      <a:accent1>
        <a:srgbClr val="FF8200"/>
      </a:accent1>
      <a:accent2>
        <a:srgbClr val="2DCCD3"/>
      </a:accent2>
      <a:accent3>
        <a:srgbClr val="C4D600"/>
      </a:accent3>
      <a:accent4>
        <a:srgbClr val="FAAF3F"/>
      </a:accent4>
      <a:accent5>
        <a:srgbClr val="00965E"/>
      </a:accent5>
      <a:accent6>
        <a:srgbClr val="BA0C2F"/>
      </a:accent6>
      <a:hlink>
        <a:srgbClr val="84754E"/>
      </a:hlink>
      <a:folHlink>
        <a:srgbClr val="84754E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37004-7F9C-46D3-B85B-D17796266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2221</Words>
  <Characters>12665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ADGM</Company>
  <LinksUpToDate>false</LinksUpToDate>
  <CharactersWithSpaces>14857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Kettle</dc:creator>
  <cp:keywords/>
  <dc:description/>
  <cp:lastModifiedBy>Nadra Al Marjeby</cp:lastModifiedBy>
  <cp:revision>6</cp:revision>
  <cp:lastPrinted>2022-08-18T05:31:00Z</cp:lastPrinted>
  <dcterms:created xsi:type="dcterms:W3CDTF">2022-08-25T06:34:00Z</dcterms:created>
  <dcterms:modified xsi:type="dcterms:W3CDTF">2022-09-27T07:34:00Z</dcterms:modified>
</cp:coreProperties>
</file>