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C49FF" w14:textId="77777777" w:rsidR="00EB0D53" w:rsidRDefault="00EB0D53" w:rsidP="00EB0D53">
      <w:pPr>
        <w:spacing w:after="160" w:line="276" w:lineRule="auto"/>
        <w:jc w:val="center"/>
        <w:rPr>
          <w:rFonts w:ascii="Arial" w:eastAsiaTheme="minorHAnsi" w:hAnsi="Arial" w:cs="Arial"/>
          <w:b/>
          <w:bCs/>
          <w:color w:val="000000" w:themeColor="text1"/>
          <w:sz w:val="28"/>
          <w:szCs w:val="28"/>
          <w:lang w:eastAsia="en-US"/>
        </w:rPr>
      </w:pPr>
    </w:p>
    <w:p w14:paraId="3DAB7081" w14:textId="77777777" w:rsidR="00EB0D53" w:rsidRDefault="00EB0D53" w:rsidP="00EB0D53">
      <w:pPr>
        <w:spacing w:after="160" w:line="276" w:lineRule="auto"/>
        <w:jc w:val="center"/>
        <w:rPr>
          <w:rFonts w:ascii="Arial" w:eastAsiaTheme="minorHAnsi" w:hAnsi="Arial" w:cs="Arial"/>
          <w:b/>
          <w:bCs/>
          <w:color w:val="000000" w:themeColor="text1"/>
          <w:sz w:val="28"/>
          <w:szCs w:val="28"/>
          <w:lang w:eastAsia="en-US"/>
        </w:rPr>
      </w:pPr>
    </w:p>
    <w:p w14:paraId="66D9B96B" w14:textId="77777777" w:rsidR="00EB0D53" w:rsidRDefault="00EB0D53" w:rsidP="00EB0D53">
      <w:pPr>
        <w:spacing w:after="160" w:line="276" w:lineRule="auto"/>
        <w:jc w:val="center"/>
        <w:rPr>
          <w:rFonts w:ascii="Arial" w:eastAsiaTheme="minorHAnsi" w:hAnsi="Arial" w:cs="Arial"/>
          <w:b/>
          <w:bCs/>
          <w:color w:val="000000" w:themeColor="text1"/>
          <w:sz w:val="28"/>
          <w:szCs w:val="28"/>
          <w:lang w:eastAsia="en-US"/>
        </w:rPr>
      </w:pPr>
    </w:p>
    <w:p w14:paraId="088DBDC6" w14:textId="77777777" w:rsidR="00EB0D53" w:rsidRDefault="00EB0D53" w:rsidP="00EB0D53">
      <w:pPr>
        <w:spacing w:after="160" w:line="276" w:lineRule="auto"/>
        <w:jc w:val="center"/>
        <w:rPr>
          <w:rFonts w:ascii="Arial" w:eastAsiaTheme="minorHAnsi" w:hAnsi="Arial" w:cs="Arial"/>
          <w:b/>
          <w:bCs/>
          <w:color w:val="000000" w:themeColor="text1"/>
          <w:sz w:val="28"/>
          <w:szCs w:val="28"/>
          <w:lang w:eastAsia="en-US"/>
        </w:rPr>
      </w:pPr>
    </w:p>
    <w:p w14:paraId="1A946D01" w14:textId="77777777" w:rsidR="00EB0D53" w:rsidRDefault="00EB0D53" w:rsidP="00EB0D53">
      <w:pPr>
        <w:spacing w:after="160" w:line="276" w:lineRule="auto"/>
        <w:jc w:val="center"/>
        <w:rPr>
          <w:rFonts w:ascii="Arial" w:eastAsiaTheme="minorHAnsi" w:hAnsi="Arial" w:cs="Arial"/>
          <w:b/>
          <w:bCs/>
          <w:color w:val="000000" w:themeColor="text1"/>
          <w:sz w:val="28"/>
          <w:szCs w:val="28"/>
          <w:lang w:eastAsia="en-US"/>
        </w:rPr>
      </w:pPr>
    </w:p>
    <w:p w14:paraId="29106E7C" w14:textId="6EAB5B79" w:rsidR="00EB0D53" w:rsidRDefault="003B21FB" w:rsidP="00EB0D53">
      <w:pPr>
        <w:spacing w:after="160" w:line="276" w:lineRule="auto"/>
        <w:jc w:val="center"/>
        <w:rPr>
          <w:rFonts w:ascii="Arial" w:eastAsiaTheme="minorHAnsi" w:hAnsi="Arial" w:cs="Arial"/>
          <w:b/>
          <w:bCs/>
          <w:color w:val="000000" w:themeColor="text1"/>
          <w:sz w:val="28"/>
          <w:szCs w:val="28"/>
          <w:lang w:eastAsia="en-US"/>
        </w:rPr>
      </w:pPr>
      <w:r>
        <w:rPr>
          <w:rFonts w:ascii="Arial" w:eastAsiaTheme="minorHAnsi" w:hAnsi="Arial" w:cs="Arial"/>
          <w:b/>
          <w:bCs/>
          <w:color w:val="000000" w:themeColor="text1"/>
          <w:sz w:val="28"/>
          <w:szCs w:val="28"/>
          <w:lang w:eastAsia="en-US"/>
        </w:rPr>
        <w:t xml:space="preserve"> </w:t>
      </w:r>
    </w:p>
    <w:p w14:paraId="6BC85E7B" w14:textId="77777777" w:rsidR="00EB0D53" w:rsidRDefault="00EB0D53" w:rsidP="00EB0D53">
      <w:pPr>
        <w:spacing w:after="160" w:line="276" w:lineRule="auto"/>
        <w:jc w:val="center"/>
        <w:rPr>
          <w:rFonts w:ascii="Arial" w:eastAsiaTheme="minorHAnsi" w:hAnsi="Arial" w:cs="Arial"/>
          <w:b/>
          <w:bCs/>
          <w:color w:val="000000" w:themeColor="text1"/>
          <w:sz w:val="28"/>
          <w:szCs w:val="28"/>
          <w:lang w:eastAsia="en-US"/>
        </w:rPr>
      </w:pPr>
    </w:p>
    <w:p w14:paraId="185271F2" w14:textId="100A0757" w:rsidR="006231A8" w:rsidRPr="0092525B" w:rsidRDefault="000802C6" w:rsidP="0092525B">
      <w:pPr>
        <w:spacing w:after="160" w:line="276" w:lineRule="auto"/>
        <w:jc w:val="center"/>
        <w:rPr>
          <w:rFonts w:ascii="Arial" w:eastAsiaTheme="minorHAnsi" w:hAnsi="Arial" w:cs="Arial"/>
          <w:b/>
          <w:bCs/>
          <w:color w:val="000000" w:themeColor="text1"/>
          <w:sz w:val="28"/>
          <w:szCs w:val="28"/>
          <w:lang w:eastAsia="en-US"/>
        </w:rPr>
      </w:pPr>
      <w:r w:rsidRPr="0092525B">
        <w:rPr>
          <w:rFonts w:ascii="Arial" w:eastAsiaTheme="minorHAnsi" w:hAnsi="Arial" w:cs="Arial"/>
          <w:b/>
          <w:bCs/>
          <w:color w:val="000000" w:themeColor="text1"/>
          <w:sz w:val="28"/>
          <w:szCs w:val="28"/>
          <w:lang w:eastAsia="en-US"/>
        </w:rPr>
        <w:t>Environmental, Social and Governance Disclosures</w:t>
      </w:r>
      <w:r w:rsidR="00343972" w:rsidRPr="0092525B">
        <w:rPr>
          <w:rFonts w:ascii="Arial" w:eastAsiaTheme="minorHAnsi" w:hAnsi="Arial" w:cs="Arial"/>
          <w:b/>
          <w:bCs/>
          <w:color w:val="000000" w:themeColor="text1"/>
          <w:sz w:val="28"/>
          <w:szCs w:val="28"/>
          <w:lang w:eastAsia="en-US"/>
        </w:rPr>
        <w:t xml:space="preserve"> Guidance</w:t>
      </w:r>
    </w:p>
    <w:p w14:paraId="2DEA2117" w14:textId="77777777" w:rsidR="006231A8" w:rsidRPr="0043366B" w:rsidRDefault="006231A8" w:rsidP="005117A2">
      <w:pPr>
        <w:spacing w:after="160" w:line="276" w:lineRule="auto"/>
        <w:rPr>
          <w:rFonts w:ascii="Arial" w:eastAsiaTheme="minorHAnsi" w:hAnsi="Arial" w:cs="Arial"/>
          <w:color w:val="000000" w:themeColor="text1"/>
          <w:szCs w:val="22"/>
          <w:lang w:eastAsia="en-US"/>
        </w:rPr>
      </w:pPr>
    </w:p>
    <w:p w14:paraId="0A043079" w14:textId="1B22404E" w:rsidR="006231A8" w:rsidRDefault="006231A8" w:rsidP="0092525B">
      <w:pPr>
        <w:spacing w:after="160" w:line="276" w:lineRule="auto"/>
        <w:jc w:val="center"/>
        <w:rPr>
          <w:rFonts w:ascii="Arial" w:eastAsiaTheme="minorHAnsi" w:hAnsi="Arial" w:cs="Arial"/>
          <w:color w:val="000000" w:themeColor="text1"/>
          <w:sz w:val="28"/>
          <w:szCs w:val="28"/>
          <w:lang w:eastAsia="en-US"/>
        </w:rPr>
      </w:pPr>
      <w:bookmarkStart w:id="0" w:name="_Toc35522766"/>
      <w:bookmarkStart w:id="1" w:name="_Toc35523051"/>
      <w:bookmarkStart w:id="2" w:name="_Toc37253087"/>
      <w:r w:rsidRPr="0092525B">
        <w:rPr>
          <w:rFonts w:ascii="Arial" w:eastAsiaTheme="minorHAnsi" w:hAnsi="Arial" w:cs="Arial"/>
          <w:color w:val="000000" w:themeColor="text1"/>
          <w:sz w:val="28"/>
          <w:szCs w:val="28"/>
          <w:lang w:eastAsia="en-US"/>
        </w:rPr>
        <w:t>Registration Authority</w:t>
      </w:r>
      <w:bookmarkEnd w:id="0"/>
      <w:bookmarkEnd w:id="1"/>
      <w:bookmarkEnd w:id="2"/>
    </w:p>
    <w:p w14:paraId="0C09AD7B" w14:textId="48864214" w:rsidR="00DF300A" w:rsidRPr="00C25A26" w:rsidRDefault="00DE42A8" w:rsidP="0092525B">
      <w:pPr>
        <w:spacing w:after="160" w:line="276" w:lineRule="auto"/>
        <w:jc w:val="center"/>
        <w:rPr>
          <w:rFonts w:ascii="Arial" w:eastAsiaTheme="minorHAnsi" w:hAnsi="Arial" w:cs="Arial"/>
          <w:color w:val="000000" w:themeColor="text1"/>
          <w:sz w:val="28"/>
          <w:szCs w:val="28"/>
          <w:rtl/>
          <w:lang w:eastAsia="en-US"/>
        </w:rPr>
      </w:pPr>
      <w:r>
        <w:rPr>
          <w:rFonts w:ascii="Arial" w:hAnsi="Arial" w:cs="Arial"/>
          <w:sz w:val="28"/>
          <w:szCs w:val="28"/>
        </w:rPr>
        <w:t>(</w:t>
      </w:r>
      <w:r w:rsidR="0091207F" w:rsidRPr="00DE42A8">
        <w:rPr>
          <w:rFonts w:ascii="Arial" w:hAnsi="Arial" w:cs="Arial"/>
          <w:sz w:val="28"/>
          <w:szCs w:val="28"/>
        </w:rPr>
        <w:t>VER01</w:t>
      </w:r>
      <w:r w:rsidR="007B5ABB" w:rsidRPr="00DE42A8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0407</w:t>
      </w:r>
      <w:r w:rsidR="007B5ABB" w:rsidRPr="00DE42A8">
        <w:rPr>
          <w:rFonts w:ascii="Arial" w:hAnsi="Arial" w:cs="Arial"/>
          <w:sz w:val="28"/>
          <w:szCs w:val="28"/>
        </w:rPr>
        <w:t>23</w:t>
      </w:r>
      <w:r>
        <w:rPr>
          <w:rFonts w:ascii="Arial" w:hAnsi="Arial" w:cs="Arial"/>
          <w:sz w:val="28"/>
          <w:szCs w:val="28"/>
        </w:rPr>
        <w:t>)</w:t>
      </w:r>
      <w:r w:rsidR="0091207F" w:rsidRPr="00C25A26">
        <w:rPr>
          <w:rFonts w:ascii="Arial" w:eastAsiaTheme="minorHAnsi" w:hAnsi="Arial" w:cs="Arial"/>
          <w:color w:val="000000" w:themeColor="text1"/>
          <w:sz w:val="28"/>
          <w:szCs w:val="28"/>
          <w:lang w:eastAsia="en-US"/>
        </w:rPr>
        <w:t xml:space="preserve"> </w:t>
      </w:r>
    </w:p>
    <w:p w14:paraId="4CC56F36" w14:textId="2F79470F" w:rsidR="002B2CDB" w:rsidRPr="0043366B" w:rsidRDefault="002B2CDB" w:rsidP="005117A2">
      <w:pPr>
        <w:pStyle w:val="Title"/>
        <w:spacing w:before="0" w:after="0" w:line="276" w:lineRule="auto"/>
        <w:rPr>
          <w:rFonts w:ascii="Arial" w:hAnsi="Arial" w:cs="Arial"/>
          <w:sz w:val="22"/>
          <w:szCs w:val="22"/>
          <w:lang w:val="en-GB"/>
        </w:rPr>
      </w:pPr>
    </w:p>
    <w:p w14:paraId="4D4856AA" w14:textId="523BF65C" w:rsidR="006F5C8E" w:rsidRPr="0043366B" w:rsidRDefault="006F5C8E" w:rsidP="005117A2">
      <w:pPr>
        <w:pStyle w:val="Body"/>
        <w:spacing w:after="0" w:line="276" w:lineRule="auto"/>
        <w:rPr>
          <w:rFonts w:ascii="Arial" w:hAnsi="Arial" w:cs="Arial"/>
          <w:lang w:val="en-GB"/>
        </w:rPr>
      </w:pPr>
    </w:p>
    <w:p w14:paraId="6B318EBF" w14:textId="77C36395" w:rsidR="002B2CDB" w:rsidRPr="0043366B" w:rsidRDefault="002B2CDB" w:rsidP="005117A2">
      <w:pPr>
        <w:pStyle w:val="Title"/>
        <w:spacing w:before="0" w:after="0" w:line="276" w:lineRule="auto"/>
        <w:rPr>
          <w:rFonts w:ascii="Arial" w:hAnsi="Arial" w:cs="Arial"/>
          <w:sz w:val="22"/>
          <w:szCs w:val="22"/>
          <w:lang w:val="en-GB"/>
        </w:rPr>
      </w:pPr>
    </w:p>
    <w:p w14:paraId="673E312B" w14:textId="0337487D" w:rsidR="007E2BD0" w:rsidRPr="0043366B" w:rsidRDefault="007E2BD0" w:rsidP="005117A2">
      <w:pPr>
        <w:pStyle w:val="Body"/>
        <w:spacing w:line="276" w:lineRule="auto"/>
        <w:rPr>
          <w:rFonts w:ascii="Arial" w:hAnsi="Arial" w:cs="Arial"/>
          <w:lang w:val="en-GB"/>
        </w:rPr>
      </w:pPr>
    </w:p>
    <w:p w14:paraId="57F11B28" w14:textId="0EA4F42B" w:rsidR="007E2BD0" w:rsidRPr="0043366B" w:rsidRDefault="007E2BD0" w:rsidP="005117A2">
      <w:pPr>
        <w:pStyle w:val="Body"/>
        <w:spacing w:line="276" w:lineRule="auto"/>
        <w:rPr>
          <w:rFonts w:ascii="Arial" w:hAnsi="Arial" w:cs="Arial"/>
          <w:lang w:val="en-GB"/>
        </w:rPr>
      </w:pPr>
    </w:p>
    <w:p w14:paraId="57ABB3E2" w14:textId="61B76F01" w:rsidR="007E2BD0" w:rsidRPr="0043366B" w:rsidRDefault="007E2BD0" w:rsidP="005117A2">
      <w:pPr>
        <w:pStyle w:val="Body"/>
        <w:spacing w:line="276" w:lineRule="auto"/>
        <w:rPr>
          <w:rFonts w:ascii="Arial" w:hAnsi="Arial" w:cs="Arial"/>
          <w:lang w:val="en-GB"/>
        </w:rPr>
      </w:pPr>
    </w:p>
    <w:p w14:paraId="7120C395" w14:textId="74CF20EE" w:rsidR="00C03E78" w:rsidRPr="0043366B" w:rsidRDefault="00A05C7F" w:rsidP="005117A2">
      <w:pPr>
        <w:pStyle w:val="Title"/>
        <w:spacing w:before="0" w:after="0" w:line="276" w:lineRule="auto"/>
        <w:rPr>
          <w:rFonts w:ascii="Arial" w:hAnsi="Arial" w:cs="Arial"/>
          <w:sz w:val="22"/>
          <w:szCs w:val="22"/>
          <w:lang w:val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3C25B503" wp14:editId="07BB4623">
            <wp:simplePos x="0" y="0"/>
            <wp:positionH relativeFrom="page">
              <wp:align>left</wp:align>
            </wp:positionH>
            <wp:positionV relativeFrom="paragraph">
              <wp:posOffset>2733675</wp:posOffset>
            </wp:positionV>
            <wp:extent cx="7559040" cy="1874520"/>
            <wp:effectExtent l="0" t="0" r="3810" b="0"/>
            <wp:wrapNone/>
            <wp:docPr id="31" name="Picture 31" descr="Macintosh HD:Users:danfenton:Desktop:ADGM - NEW COLLATERALS:4. Digital:16. FSRA + RA templates:1. FSRA:1. Seperate assets:16184 ADGM FSRA foo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anfenton:Desktop:ADGM - NEW COLLATERALS:4. Digital:16. FSRA + RA templates:1. FSRA:1. Seperate assets:16184 ADGM FSRA foot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C2D35" w14:textId="7BCCA47C" w:rsidR="007E2BD0" w:rsidRPr="0043366B" w:rsidRDefault="007E2BD0" w:rsidP="005117A2">
      <w:pPr>
        <w:pStyle w:val="Body"/>
        <w:spacing w:after="0" w:line="276" w:lineRule="auto"/>
        <w:rPr>
          <w:rFonts w:ascii="Arial" w:hAnsi="Arial" w:cs="Arial"/>
          <w:lang w:val="en-GB"/>
        </w:rPr>
        <w:sectPr w:rsidR="007E2BD0" w:rsidRPr="0043366B" w:rsidSect="00454239">
          <w:headerReference w:type="default" r:id="rId13"/>
          <w:footerReference w:type="default" r:id="rId14"/>
          <w:headerReference w:type="first" r:id="rId15"/>
          <w:footerReference w:type="first" r:id="rId16"/>
          <w:pgSz w:w="11900" w:h="16840"/>
          <w:pgMar w:top="1702" w:right="1080" w:bottom="709" w:left="1080" w:header="454" w:footer="510" w:gutter="0"/>
          <w:cols w:space="720"/>
          <w:titlePg/>
          <w:docGrid w:linePitch="299"/>
        </w:sectPr>
      </w:pPr>
    </w:p>
    <w:p w14:paraId="355F0A52" w14:textId="77777777" w:rsidR="00C03E78" w:rsidRPr="0043366B" w:rsidRDefault="00C03E78" w:rsidP="005117A2">
      <w:pPr>
        <w:pStyle w:val="Body"/>
        <w:spacing w:after="0" w:line="276" w:lineRule="auto"/>
        <w:rPr>
          <w:rFonts w:ascii="Arial" w:hAnsi="Arial" w:cs="Arial"/>
          <w:lang w:val="en-GB"/>
        </w:rPr>
      </w:pPr>
    </w:p>
    <w:bookmarkStart w:id="3" w:name="_Toc36918208" w:displacedByCustomXml="next"/>
    <w:bookmarkStart w:id="4" w:name="_Toc35873616" w:displacedByCustomXml="next"/>
    <w:sdt>
      <w:sdtPr>
        <w:rPr>
          <w:rFonts w:asciiTheme="majorHAnsi" w:eastAsia="Times New Roman" w:hAnsiTheme="majorHAnsi" w:cs="Times New Roman"/>
          <w:i/>
          <w:iCs w:val="0"/>
          <w:sz w:val="22"/>
          <w:szCs w:val="24"/>
          <w:bdr w:val="none" w:sz="0" w:space="0" w:color="auto"/>
          <w:lang w:eastAsia="en-GB"/>
        </w:rPr>
        <w:id w:val="1248158822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szCs w:val="22"/>
        </w:rPr>
      </w:sdtEndPr>
      <w:sdtContent>
        <w:p w14:paraId="7B2692C5" w14:textId="5A79DE9B" w:rsidR="004C7BC2" w:rsidRPr="0092525B" w:rsidRDefault="004C7BC2" w:rsidP="00A45EAE">
          <w:pPr>
            <w:pStyle w:val="TOCHeading"/>
          </w:pPr>
          <w:r w:rsidRPr="0092525B">
            <w:t xml:space="preserve">Table of </w:t>
          </w:r>
          <w:r w:rsidR="008B451E" w:rsidRPr="0092525B">
            <w:t>c</w:t>
          </w:r>
          <w:r w:rsidRPr="0092525B">
            <w:t>ontents</w:t>
          </w:r>
        </w:p>
        <w:p w14:paraId="105DC2FE" w14:textId="7AAAC77D" w:rsidR="00A52EC8" w:rsidRPr="005D23BA" w:rsidRDefault="00A52EC8" w:rsidP="00A52EC8">
          <w:pPr>
            <w:rPr>
              <w:rFonts w:ascii="Arial" w:hAnsi="Arial" w:cs="Arial"/>
              <w:szCs w:val="22"/>
              <w:lang w:eastAsia="en-US"/>
            </w:rPr>
          </w:pPr>
        </w:p>
        <w:p w14:paraId="54F865CA" w14:textId="0D306883" w:rsidR="00A516D3" w:rsidRDefault="00880F0C" w:rsidP="00333CB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5D23BA">
            <w:rPr>
              <w:szCs w:val="22"/>
            </w:rPr>
            <w:fldChar w:fldCharType="begin"/>
          </w:r>
          <w:r w:rsidRPr="005D23BA">
            <w:rPr>
              <w:szCs w:val="22"/>
            </w:rPr>
            <w:instrText xml:space="preserve"> TOC \o "1-1" \h \z \u </w:instrText>
          </w:r>
          <w:r w:rsidRPr="005D23BA">
            <w:rPr>
              <w:szCs w:val="22"/>
            </w:rPr>
            <w:fldChar w:fldCharType="separate"/>
          </w:r>
          <w:hyperlink w:anchor="_Toc118206882" w:history="1">
            <w:r w:rsidR="00A516D3" w:rsidRPr="005255B5">
              <w:rPr>
                <w:rStyle w:val="Hyperlink"/>
                <w:noProof/>
              </w:rPr>
              <w:t>Definitions</w:t>
            </w:r>
            <w:r w:rsidR="00A516D3">
              <w:rPr>
                <w:noProof/>
                <w:webHidden/>
              </w:rPr>
              <w:tab/>
            </w:r>
            <w:r w:rsidR="00A516D3">
              <w:rPr>
                <w:noProof/>
                <w:webHidden/>
              </w:rPr>
              <w:fldChar w:fldCharType="begin"/>
            </w:r>
            <w:r w:rsidR="00A516D3">
              <w:rPr>
                <w:noProof/>
                <w:webHidden/>
              </w:rPr>
              <w:instrText xml:space="preserve"> PAGEREF _Toc118206882 \h </w:instrText>
            </w:r>
            <w:r w:rsidR="00A516D3">
              <w:rPr>
                <w:noProof/>
                <w:webHidden/>
              </w:rPr>
            </w:r>
            <w:r w:rsidR="00A516D3">
              <w:rPr>
                <w:noProof/>
                <w:webHidden/>
              </w:rPr>
              <w:fldChar w:fldCharType="separate"/>
            </w:r>
            <w:r w:rsidR="004804AC">
              <w:rPr>
                <w:noProof/>
                <w:webHidden/>
              </w:rPr>
              <w:t>3</w:t>
            </w:r>
            <w:r w:rsidR="00A516D3">
              <w:rPr>
                <w:noProof/>
                <w:webHidden/>
              </w:rPr>
              <w:fldChar w:fldCharType="end"/>
            </w:r>
          </w:hyperlink>
        </w:p>
        <w:p w14:paraId="5865E5A6" w14:textId="72C5A061" w:rsidR="00A516D3" w:rsidRDefault="00000000" w:rsidP="00333CB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8206883" w:history="1">
            <w:r w:rsidR="00A516D3" w:rsidRPr="005255B5">
              <w:rPr>
                <w:rStyle w:val="Hyperlink"/>
                <w:noProof/>
              </w:rPr>
              <w:t>1. Introduction</w:t>
            </w:r>
            <w:r w:rsidR="00A516D3">
              <w:rPr>
                <w:noProof/>
                <w:webHidden/>
              </w:rPr>
              <w:tab/>
            </w:r>
            <w:r w:rsidR="00A516D3">
              <w:rPr>
                <w:noProof/>
                <w:webHidden/>
              </w:rPr>
              <w:fldChar w:fldCharType="begin"/>
            </w:r>
            <w:r w:rsidR="00A516D3">
              <w:rPr>
                <w:noProof/>
                <w:webHidden/>
              </w:rPr>
              <w:instrText xml:space="preserve"> PAGEREF _Toc118206883 \h </w:instrText>
            </w:r>
            <w:r w:rsidR="00A516D3">
              <w:rPr>
                <w:noProof/>
                <w:webHidden/>
              </w:rPr>
            </w:r>
            <w:r w:rsidR="00A516D3">
              <w:rPr>
                <w:noProof/>
                <w:webHidden/>
              </w:rPr>
              <w:fldChar w:fldCharType="separate"/>
            </w:r>
            <w:r w:rsidR="004804AC">
              <w:rPr>
                <w:noProof/>
                <w:webHidden/>
              </w:rPr>
              <w:t>4</w:t>
            </w:r>
            <w:r w:rsidR="00A516D3">
              <w:rPr>
                <w:noProof/>
                <w:webHidden/>
              </w:rPr>
              <w:fldChar w:fldCharType="end"/>
            </w:r>
          </w:hyperlink>
        </w:p>
        <w:p w14:paraId="58280764" w14:textId="6C8BBF25" w:rsidR="00A516D3" w:rsidRDefault="00000000" w:rsidP="00333CB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8206884" w:history="1">
            <w:r w:rsidR="00A516D3" w:rsidRPr="005255B5">
              <w:rPr>
                <w:rStyle w:val="Hyperlink"/>
                <w:noProof/>
              </w:rPr>
              <w:t>2. Purpose of the ESG Disclosures Framework</w:t>
            </w:r>
            <w:r w:rsidR="00A516D3">
              <w:rPr>
                <w:noProof/>
                <w:webHidden/>
              </w:rPr>
              <w:tab/>
            </w:r>
            <w:r w:rsidR="00A516D3">
              <w:rPr>
                <w:noProof/>
                <w:webHidden/>
              </w:rPr>
              <w:fldChar w:fldCharType="begin"/>
            </w:r>
            <w:r w:rsidR="00A516D3">
              <w:rPr>
                <w:noProof/>
                <w:webHidden/>
              </w:rPr>
              <w:instrText xml:space="preserve"> PAGEREF _Toc118206884 \h </w:instrText>
            </w:r>
            <w:r w:rsidR="00A516D3">
              <w:rPr>
                <w:noProof/>
                <w:webHidden/>
              </w:rPr>
            </w:r>
            <w:r w:rsidR="00A516D3">
              <w:rPr>
                <w:noProof/>
                <w:webHidden/>
              </w:rPr>
              <w:fldChar w:fldCharType="separate"/>
            </w:r>
            <w:r w:rsidR="004804AC">
              <w:rPr>
                <w:noProof/>
                <w:webHidden/>
              </w:rPr>
              <w:t>4</w:t>
            </w:r>
            <w:r w:rsidR="00A516D3">
              <w:rPr>
                <w:noProof/>
                <w:webHidden/>
              </w:rPr>
              <w:fldChar w:fldCharType="end"/>
            </w:r>
          </w:hyperlink>
        </w:p>
        <w:p w14:paraId="12B06B5C" w14:textId="13CAD51C" w:rsidR="00A516D3" w:rsidRDefault="00000000" w:rsidP="00333CB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8206885" w:history="1">
            <w:r w:rsidR="00A516D3" w:rsidRPr="005255B5">
              <w:rPr>
                <w:rStyle w:val="Hyperlink"/>
                <w:noProof/>
              </w:rPr>
              <w:t>3. Scope of the ESG Disclosures Framework</w:t>
            </w:r>
            <w:r w:rsidR="00A516D3">
              <w:rPr>
                <w:noProof/>
                <w:webHidden/>
              </w:rPr>
              <w:tab/>
            </w:r>
            <w:r w:rsidR="00A516D3">
              <w:rPr>
                <w:noProof/>
                <w:webHidden/>
              </w:rPr>
              <w:fldChar w:fldCharType="begin"/>
            </w:r>
            <w:r w:rsidR="00A516D3">
              <w:rPr>
                <w:noProof/>
                <w:webHidden/>
              </w:rPr>
              <w:instrText xml:space="preserve"> PAGEREF _Toc118206885 \h </w:instrText>
            </w:r>
            <w:r w:rsidR="00A516D3">
              <w:rPr>
                <w:noProof/>
                <w:webHidden/>
              </w:rPr>
            </w:r>
            <w:r w:rsidR="00A516D3">
              <w:rPr>
                <w:noProof/>
                <w:webHidden/>
              </w:rPr>
              <w:fldChar w:fldCharType="separate"/>
            </w:r>
            <w:r w:rsidR="004804AC">
              <w:rPr>
                <w:noProof/>
                <w:webHidden/>
              </w:rPr>
              <w:t>4</w:t>
            </w:r>
            <w:r w:rsidR="00A516D3">
              <w:rPr>
                <w:noProof/>
                <w:webHidden/>
              </w:rPr>
              <w:fldChar w:fldCharType="end"/>
            </w:r>
          </w:hyperlink>
        </w:p>
        <w:p w14:paraId="15136EB5" w14:textId="26C6401C" w:rsidR="00A516D3" w:rsidRDefault="00000000" w:rsidP="00333CB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8206886" w:history="1">
            <w:r w:rsidR="00A516D3" w:rsidRPr="005255B5">
              <w:rPr>
                <w:rStyle w:val="Hyperlink"/>
                <w:noProof/>
              </w:rPr>
              <w:t>4. Time to Comply</w:t>
            </w:r>
            <w:r w:rsidR="00A516D3">
              <w:rPr>
                <w:noProof/>
                <w:webHidden/>
              </w:rPr>
              <w:tab/>
            </w:r>
            <w:r w:rsidR="00A516D3">
              <w:rPr>
                <w:noProof/>
                <w:webHidden/>
              </w:rPr>
              <w:fldChar w:fldCharType="begin"/>
            </w:r>
            <w:r w:rsidR="00A516D3">
              <w:rPr>
                <w:noProof/>
                <w:webHidden/>
              </w:rPr>
              <w:instrText xml:space="preserve"> PAGEREF _Toc118206886 \h </w:instrText>
            </w:r>
            <w:r w:rsidR="00A516D3">
              <w:rPr>
                <w:noProof/>
                <w:webHidden/>
              </w:rPr>
            </w:r>
            <w:r w:rsidR="00A516D3">
              <w:rPr>
                <w:noProof/>
                <w:webHidden/>
              </w:rPr>
              <w:fldChar w:fldCharType="separate"/>
            </w:r>
            <w:r w:rsidR="004804AC">
              <w:rPr>
                <w:noProof/>
                <w:webHidden/>
              </w:rPr>
              <w:t>5</w:t>
            </w:r>
            <w:r w:rsidR="00A516D3">
              <w:rPr>
                <w:noProof/>
                <w:webHidden/>
              </w:rPr>
              <w:fldChar w:fldCharType="end"/>
            </w:r>
          </w:hyperlink>
        </w:p>
        <w:p w14:paraId="258AD7C5" w14:textId="01BBFCA5" w:rsidR="00A516D3" w:rsidRDefault="00000000" w:rsidP="00333CB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8206887" w:history="1">
            <w:r w:rsidR="00A516D3" w:rsidRPr="005255B5">
              <w:rPr>
                <w:rStyle w:val="Hyperlink"/>
                <w:noProof/>
              </w:rPr>
              <w:t>5. Threshold Conditions</w:t>
            </w:r>
            <w:r w:rsidR="00A516D3">
              <w:rPr>
                <w:noProof/>
                <w:webHidden/>
              </w:rPr>
              <w:tab/>
            </w:r>
            <w:r w:rsidR="00A516D3">
              <w:rPr>
                <w:noProof/>
                <w:webHidden/>
              </w:rPr>
              <w:fldChar w:fldCharType="begin"/>
            </w:r>
            <w:r w:rsidR="00A516D3">
              <w:rPr>
                <w:noProof/>
                <w:webHidden/>
              </w:rPr>
              <w:instrText xml:space="preserve"> PAGEREF _Toc118206887 \h </w:instrText>
            </w:r>
            <w:r w:rsidR="00A516D3">
              <w:rPr>
                <w:noProof/>
                <w:webHidden/>
              </w:rPr>
            </w:r>
            <w:r w:rsidR="00A516D3">
              <w:rPr>
                <w:noProof/>
                <w:webHidden/>
              </w:rPr>
              <w:fldChar w:fldCharType="separate"/>
            </w:r>
            <w:r w:rsidR="004804AC">
              <w:rPr>
                <w:noProof/>
                <w:webHidden/>
              </w:rPr>
              <w:t>5</w:t>
            </w:r>
            <w:r w:rsidR="00A516D3">
              <w:rPr>
                <w:noProof/>
                <w:webHidden/>
              </w:rPr>
              <w:fldChar w:fldCharType="end"/>
            </w:r>
          </w:hyperlink>
        </w:p>
        <w:p w14:paraId="5A845504" w14:textId="2DF301C8" w:rsidR="00A516D3" w:rsidRDefault="00000000" w:rsidP="00333CB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8206888" w:history="1">
            <w:r w:rsidR="00A516D3" w:rsidRPr="005255B5">
              <w:rPr>
                <w:rStyle w:val="Hyperlink"/>
                <w:noProof/>
              </w:rPr>
              <w:t>6. ESG disclosures by companies - turnover threshold</w:t>
            </w:r>
            <w:r w:rsidR="00A516D3">
              <w:rPr>
                <w:noProof/>
                <w:webHidden/>
              </w:rPr>
              <w:tab/>
            </w:r>
            <w:r w:rsidR="00A516D3">
              <w:rPr>
                <w:noProof/>
                <w:webHidden/>
              </w:rPr>
              <w:fldChar w:fldCharType="begin"/>
            </w:r>
            <w:r w:rsidR="00A516D3">
              <w:rPr>
                <w:noProof/>
                <w:webHidden/>
              </w:rPr>
              <w:instrText xml:space="preserve"> PAGEREF _Toc118206888 \h </w:instrText>
            </w:r>
            <w:r w:rsidR="00A516D3">
              <w:rPr>
                <w:noProof/>
                <w:webHidden/>
              </w:rPr>
            </w:r>
            <w:r w:rsidR="00A516D3">
              <w:rPr>
                <w:noProof/>
                <w:webHidden/>
              </w:rPr>
              <w:fldChar w:fldCharType="separate"/>
            </w:r>
            <w:r w:rsidR="004804AC">
              <w:rPr>
                <w:noProof/>
                <w:webHidden/>
              </w:rPr>
              <w:t>5</w:t>
            </w:r>
            <w:r w:rsidR="00A516D3">
              <w:rPr>
                <w:noProof/>
                <w:webHidden/>
              </w:rPr>
              <w:fldChar w:fldCharType="end"/>
            </w:r>
          </w:hyperlink>
        </w:p>
        <w:p w14:paraId="21BE59FD" w14:textId="0DDBFE66" w:rsidR="00A516D3" w:rsidRDefault="00000000" w:rsidP="00333CB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8206889" w:history="1">
            <w:r w:rsidR="00A516D3" w:rsidRPr="005255B5">
              <w:rPr>
                <w:rStyle w:val="Hyperlink"/>
                <w:noProof/>
              </w:rPr>
              <w:t>7. ESG disclosures by FSRA Fund and Asset Managers– AUM threshold</w:t>
            </w:r>
            <w:r w:rsidR="00A516D3">
              <w:rPr>
                <w:noProof/>
                <w:webHidden/>
              </w:rPr>
              <w:tab/>
            </w:r>
            <w:r w:rsidR="00A516D3">
              <w:rPr>
                <w:noProof/>
                <w:webHidden/>
              </w:rPr>
              <w:fldChar w:fldCharType="begin"/>
            </w:r>
            <w:r w:rsidR="00A516D3">
              <w:rPr>
                <w:noProof/>
                <w:webHidden/>
              </w:rPr>
              <w:instrText xml:space="preserve"> PAGEREF _Toc118206889 \h </w:instrText>
            </w:r>
            <w:r w:rsidR="00A516D3">
              <w:rPr>
                <w:noProof/>
                <w:webHidden/>
              </w:rPr>
            </w:r>
            <w:r w:rsidR="00A516D3">
              <w:rPr>
                <w:noProof/>
                <w:webHidden/>
              </w:rPr>
              <w:fldChar w:fldCharType="separate"/>
            </w:r>
            <w:r w:rsidR="004804AC">
              <w:rPr>
                <w:noProof/>
                <w:webHidden/>
              </w:rPr>
              <w:t>5</w:t>
            </w:r>
            <w:r w:rsidR="00A516D3">
              <w:rPr>
                <w:noProof/>
                <w:webHidden/>
              </w:rPr>
              <w:fldChar w:fldCharType="end"/>
            </w:r>
          </w:hyperlink>
        </w:p>
        <w:p w14:paraId="1E8F0917" w14:textId="6D63C580" w:rsidR="00A516D3" w:rsidRDefault="00000000" w:rsidP="00333CB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8206890" w:history="1">
            <w:r w:rsidR="00A516D3" w:rsidRPr="005255B5">
              <w:rPr>
                <w:rStyle w:val="Hyperlink"/>
                <w:noProof/>
              </w:rPr>
              <w:t>8. Calculation of AUM by Asset Managers and Fund Managers</w:t>
            </w:r>
            <w:r w:rsidR="00A516D3">
              <w:rPr>
                <w:noProof/>
                <w:webHidden/>
              </w:rPr>
              <w:tab/>
            </w:r>
            <w:r w:rsidR="00A516D3">
              <w:rPr>
                <w:noProof/>
                <w:webHidden/>
              </w:rPr>
              <w:fldChar w:fldCharType="begin"/>
            </w:r>
            <w:r w:rsidR="00A516D3">
              <w:rPr>
                <w:noProof/>
                <w:webHidden/>
              </w:rPr>
              <w:instrText xml:space="preserve"> PAGEREF _Toc118206890 \h </w:instrText>
            </w:r>
            <w:r w:rsidR="00A516D3">
              <w:rPr>
                <w:noProof/>
                <w:webHidden/>
              </w:rPr>
            </w:r>
            <w:r w:rsidR="00A516D3">
              <w:rPr>
                <w:noProof/>
                <w:webHidden/>
              </w:rPr>
              <w:fldChar w:fldCharType="separate"/>
            </w:r>
            <w:r w:rsidR="004804AC">
              <w:rPr>
                <w:noProof/>
                <w:webHidden/>
              </w:rPr>
              <w:t>6</w:t>
            </w:r>
            <w:r w:rsidR="00A516D3">
              <w:rPr>
                <w:noProof/>
                <w:webHidden/>
              </w:rPr>
              <w:fldChar w:fldCharType="end"/>
            </w:r>
          </w:hyperlink>
        </w:p>
        <w:p w14:paraId="705C8A73" w14:textId="441FA661" w:rsidR="00A516D3" w:rsidRDefault="00000000" w:rsidP="00333CB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8206891" w:history="1">
            <w:r w:rsidR="00A516D3" w:rsidRPr="005255B5">
              <w:rPr>
                <w:rStyle w:val="Hyperlink"/>
                <w:noProof/>
              </w:rPr>
              <w:t>9. Group accounts</w:t>
            </w:r>
            <w:r w:rsidR="00A516D3">
              <w:rPr>
                <w:noProof/>
                <w:webHidden/>
              </w:rPr>
              <w:tab/>
            </w:r>
            <w:r w:rsidR="00A516D3">
              <w:rPr>
                <w:noProof/>
                <w:webHidden/>
              </w:rPr>
              <w:fldChar w:fldCharType="begin"/>
            </w:r>
            <w:r w:rsidR="00A516D3">
              <w:rPr>
                <w:noProof/>
                <w:webHidden/>
              </w:rPr>
              <w:instrText xml:space="preserve"> PAGEREF _Toc118206891 \h </w:instrText>
            </w:r>
            <w:r w:rsidR="00A516D3">
              <w:rPr>
                <w:noProof/>
                <w:webHidden/>
              </w:rPr>
            </w:r>
            <w:r w:rsidR="00A516D3">
              <w:rPr>
                <w:noProof/>
                <w:webHidden/>
              </w:rPr>
              <w:fldChar w:fldCharType="separate"/>
            </w:r>
            <w:r w:rsidR="004804AC">
              <w:rPr>
                <w:noProof/>
                <w:webHidden/>
              </w:rPr>
              <w:t>6</w:t>
            </w:r>
            <w:r w:rsidR="00A516D3">
              <w:rPr>
                <w:noProof/>
                <w:webHidden/>
              </w:rPr>
              <w:fldChar w:fldCharType="end"/>
            </w:r>
          </w:hyperlink>
        </w:p>
        <w:p w14:paraId="2938487A" w14:textId="3786D02C" w:rsidR="00A516D3" w:rsidRDefault="00000000" w:rsidP="00333CB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8206892" w:history="1">
            <w:r w:rsidR="00A516D3" w:rsidRPr="005255B5">
              <w:rPr>
                <w:rStyle w:val="Hyperlink"/>
                <w:noProof/>
              </w:rPr>
              <w:t>10. Disclosures Standard</w:t>
            </w:r>
            <w:r w:rsidR="00A516D3">
              <w:rPr>
                <w:noProof/>
                <w:webHidden/>
              </w:rPr>
              <w:tab/>
            </w:r>
            <w:r w:rsidR="00A516D3">
              <w:rPr>
                <w:noProof/>
                <w:webHidden/>
              </w:rPr>
              <w:fldChar w:fldCharType="begin"/>
            </w:r>
            <w:r w:rsidR="00A516D3">
              <w:rPr>
                <w:noProof/>
                <w:webHidden/>
              </w:rPr>
              <w:instrText xml:space="preserve"> PAGEREF _Toc118206892 \h </w:instrText>
            </w:r>
            <w:r w:rsidR="00A516D3">
              <w:rPr>
                <w:noProof/>
                <w:webHidden/>
              </w:rPr>
            </w:r>
            <w:r w:rsidR="00A516D3">
              <w:rPr>
                <w:noProof/>
                <w:webHidden/>
              </w:rPr>
              <w:fldChar w:fldCharType="separate"/>
            </w:r>
            <w:r w:rsidR="004804AC">
              <w:rPr>
                <w:noProof/>
                <w:webHidden/>
              </w:rPr>
              <w:t>6</w:t>
            </w:r>
            <w:r w:rsidR="00A516D3">
              <w:rPr>
                <w:noProof/>
                <w:webHidden/>
              </w:rPr>
              <w:fldChar w:fldCharType="end"/>
            </w:r>
          </w:hyperlink>
        </w:p>
        <w:p w14:paraId="6F413CF8" w14:textId="25322467" w:rsidR="00A516D3" w:rsidRDefault="00000000" w:rsidP="00333CB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8206893" w:history="1">
            <w:r w:rsidR="00A516D3" w:rsidRPr="005255B5">
              <w:rPr>
                <w:rStyle w:val="Hyperlink"/>
                <w:noProof/>
              </w:rPr>
              <w:t>11. Review of ESG disclosures reporting process</w:t>
            </w:r>
            <w:r w:rsidR="00A516D3">
              <w:rPr>
                <w:noProof/>
                <w:webHidden/>
              </w:rPr>
              <w:tab/>
            </w:r>
            <w:r w:rsidR="00A516D3">
              <w:rPr>
                <w:noProof/>
                <w:webHidden/>
              </w:rPr>
              <w:fldChar w:fldCharType="begin"/>
            </w:r>
            <w:r w:rsidR="00A516D3">
              <w:rPr>
                <w:noProof/>
                <w:webHidden/>
              </w:rPr>
              <w:instrText xml:space="preserve"> PAGEREF _Toc118206893 \h </w:instrText>
            </w:r>
            <w:r w:rsidR="00A516D3">
              <w:rPr>
                <w:noProof/>
                <w:webHidden/>
              </w:rPr>
            </w:r>
            <w:r w:rsidR="00A516D3">
              <w:rPr>
                <w:noProof/>
                <w:webHidden/>
              </w:rPr>
              <w:fldChar w:fldCharType="separate"/>
            </w:r>
            <w:r w:rsidR="004804AC">
              <w:rPr>
                <w:noProof/>
                <w:webHidden/>
              </w:rPr>
              <w:t>6</w:t>
            </w:r>
            <w:r w:rsidR="00A516D3">
              <w:rPr>
                <w:noProof/>
                <w:webHidden/>
              </w:rPr>
              <w:fldChar w:fldCharType="end"/>
            </w:r>
          </w:hyperlink>
        </w:p>
        <w:p w14:paraId="34CCEF54" w14:textId="39B5BAB6" w:rsidR="00A516D3" w:rsidRDefault="00000000" w:rsidP="00333CB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8206894" w:history="1">
            <w:r w:rsidR="00A516D3" w:rsidRPr="005255B5">
              <w:rPr>
                <w:rStyle w:val="Hyperlink"/>
                <w:noProof/>
              </w:rPr>
              <w:t>12. Non-submission of ESG disclosures by in-scope companies</w:t>
            </w:r>
            <w:r w:rsidR="00A516D3">
              <w:rPr>
                <w:noProof/>
                <w:webHidden/>
              </w:rPr>
              <w:tab/>
            </w:r>
            <w:r w:rsidR="00A516D3">
              <w:rPr>
                <w:noProof/>
                <w:webHidden/>
              </w:rPr>
              <w:fldChar w:fldCharType="begin"/>
            </w:r>
            <w:r w:rsidR="00A516D3">
              <w:rPr>
                <w:noProof/>
                <w:webHidden/>
              </w:rPr>
              <w:instrText xml:space="preserve"> PAGEREF _Toc118206894 \h </w:instrText>
            </w:r>
            <w:r w:rsidR="00A516D3">
              <w:rPr>
                <w:noProof/>
                <w:webHidden/>
              </w:rPr>
            </w:r>
            <w:r w:rsidR="00A516D3">
              <w:rPr>
                <w:noProof/>
                <w:webHidden/>
              </w:rPr>
              <w:fldChar w:fldCharType="separate"/>
            </w:r>
            <w:r w:rsidR="004804AC">
              <w:rPr>
                <w:noProof/>
                <w:webHidden/>
              </w:rPr>
              <w:t>6</w:t>
            </w:r>
            <w:r w:rsidR="00A516D3">
              <w:rPr>
                <w:noProof/>
                <w:webHidden/>
              </w:rPr>
              <w:fldChar w:fldCharType="end"/>
            </w:r>
          </w:hyperlink>
        </w:p>
        <w:p w14:paraId="35063F76" w14:textId="2F17A1E4" w:rsidR="00A516D3" w:rsidRDefault="00000000" w:rsidP="00333CB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8206895" w:history="1">
            <w:r w:rsidR="00A516D3" w:rsidRPr="005255B5">
              <w:rPr>
                <w:rStyle w:val="Hyperlink"/>
                <w:noProof/>
              </w:rPr>
              <w:t>13. Exemption for a company included in the group accounts of a larger group</w:t>
            </w:r>
            <w:r w:rsidR="00A516D3">
              <w:rPr>
                <w:noProof/>
                <w:webHidden/>
              </w:rPr>
              <w:tab/>
            </w:r>
            <w:r w:rsidR="00A516D3">
              <w:rPr>
                <w:noProof/>
                <w:webHidden/>
              </w:rPr>
              <w:fldChar w:fldCharType="begin"/>
            </w:r>
            <w:r w:rsidR="00A516D3">
              <w:rPr>
                <w:noProof/>
                <w:webHidden/>
              </w:rPr>
              <w:instrText xml:space="preserve"> PAGEREF _Toc118206895 \h </w:instrText>
            </w:r>
            <w:r w:rsidR="00A516D3">
              <w:rPr>
                <w:noProof/>
                <w:webHidden/>
              </w:rPr>
            </w:r>
            <w:r w:rsidR="00A516D3">
              <w:rPr>
                <w:noProof/>
                <w:webHidden/>
              </w:rPr>
              <w:fldChar w:fldCharType="separate"/>
            </w:r>
            <w:r w:rsidR="004804AC">
              <w:rPr>
                <w:noProof/>
                <w:webHidden/>
              </w:rPr>
              <w:t>7</w:t>
            </w:r>
            <w:r w:rsidR="00A516D3">
              <w:rPr>
                <w:noProof/>
                <w:webHidden/>
              </w:rPr>
              <w:fldChar w:fldCharType="end"/>
            </w:r>
          </w:hyperlink>
        </w:p>
        <w:p w14:paraId="4BBD5274" w14:textId="7DAB0C68" w:rsidR="00A516D3" w:rsidRDefault="00000000" w:rsidP="00333CB2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18206896" w:history="1">
            <w:r w:rsidR="00A516D3" w:rsidRPr="005255B5">
              <w:rPr>
                <w:rStyle w:val="Hyperlink"/>
                <w:noProof/>
              </w:rPr>
              <w:t>Disclaimer</w:t>
            </w:r>
            <w:r w:rsidR="00A516D3">
              <w:rPr>
                <w:noProof/>
                <w:webHidden/>
              </w:rPr>
              <w:tab/>
            </w:r>
            <w:r w:rsidR="00A516D3">
              <w:rPr>
                <w:noProof/>
                <w:webHidden/>
              </w:rPr>
              <w:fldChar w:fldCharType="begin"/>
            </w:r>
            <w:r w:rsidR="00A516D3">
              <w:rPr>
                <w:noProof/>
                <w:webHidden/>
              </w:rPr>
              <w:instrText xml:space="preserve"> PAGEREF _Toc118206896 \h </w:instrText>
            </w:r>
            <w:r w:rsidR="00A516D3">
              <w:rPr>
                <w:noProof/>
                <w:webHidden/>
              </w:rPr>
            </w:r>
            <w:r w:rsidR="00A516D3">
              <w:rPr>
                <w:noProof/>
                <w:webHidden/>
              </w:rPr>
              <w:fldChar w:fldCharType="separate"/>
            </w:r>
            <w:r w:rsidR="004804AC">
              <w:rPr>
                <w:noProof/>
                <w:webHidden/>
              </w:rPr>
              <w:t>8</w:t>
            </w:r>
            <w:r w:rsidR="00A516D3">
              <w:rPr>
                <w:noProof/>
                <w:webHidden/>
              </w:rPr>
              <w:fldChar w:fldCharType="end"/>
            </w:r>
          </w:hyperlink>
        </w:p>
        <w:p w14:paraId="11D97ED7" w14:textId="4519E633" w:rsidR="004C7BC2" w:rsidRPr="005D23BA" w:rsidRDefault="00880F0C" w:rsidP="005117A2">
          <w:pPr>
            <w:spacing w:line="276" w:lineRule="auto"/>
            <w:rPr>
              <w:rFonts w:ascii="Arial" w:hAnsi="Arial" w:cs="Arial"/>
              <w:szCs w:val="22"/>
            </w:rPr>
          </w:pPr>
          <w:r w:rsidRPr="005D23BA">
            <w:rPr>
              <w:rFonts w:ascii="Arial" w:hAnsi="Arial" w:cs="Arial"/>
              <w:szCs w:val="22"/>
            </w:rPr>
            <w:fldChar w:fldCharType="end"/>
          </w:r>
        </w:p>
      </w:sdtContent>
    </w:sdt>
    <w:p w14:paraId="4E8E29D7" w14:textId="14E5827F" w:rsidR="00F8195C" w:rsidRPr="005D23BA" w:rsidRDefault="00F8195C" w:rsidP="00AB761F">
      <w:pPr>
        <w:pStyle w:val="BlockText"/>
        <w:rPr>
          <w:rFonts w:ascii="Arial" w:hAnsi="Arial" w:cs="Arial"/>
          <w:szCs w:val="22"/>
          <w:u w:color="000000"/>
          <w:bdr w:val="nil"/>
          <w:lang w:eastAsia="en-US"/>
        </w:rPr>
      </w:pPr>
    </w:p>
    <w:p w14:paraId="43CC013A" w14:textId="77777777" w:rsidR="00AB761F" w:rsidRPr="005D23BA" w:rsidRDefault="00AB761F" w:rsidP="00536F44">
      <w:pPr>
        <w:pStyle w:val="BlockText"/>
        <w:rPr>
          <w:rFonts w:ascii="Arial" w:hAnsi="Arial" w:cs="Arial"/>
          <w:szCs w:val="22"/>
          <w:u w:color="000000"/>
          <w:bdr w:val="nil"/>
          <w:lang w:eastAsia="en-US"/>
        </w:rPr>
      </w:pPr>
    </w:p>
    <w:p w14:paraId="1D95C1E1" w14:textId="6959D229" w:rsidR="00AB761F" w:rsidRPr="005D23BA" w:rsidRDefault="00AB761F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Theme="majorEastAsia" w:hAnsi="Arial" w:cs="Arial"/>
          <w:i/>
          <w:iCs/>
          <w:color w:val="1F4F69" w:themeColor="accent1" w:themeShade="80"/>
          <w:sz w:val="32"/>
          <w:szCs w:val="22"/>
          <w:u w:color="000000"/>
          <w:bdr w:val="nil"/>
          <w:lang w:eastAsia="en-US"/>
        </w:rPr>
      </w:pPr>
      <w:r w:rsidRPr="005D23BA">
        <w:rPr>
          <w:rFonts w:ascii="Arial" w:eastAsiaTheme="majorEastAsia" w:hAnsi="Arial" w:cs="Arial"/>
          <w:i/>
          <w:iCs/>
          <w:color w:val="1F4F69" w:themeColor="accent1" w:themeShade="80"/>
          <w:sz w:val="32"/>
          <w:szCs w:val="22"/>
          <w:u w:color="000000"/>
          <w:bdr w:val="nil"/>
          <w:lang w:eastAsia="en-US"/>
        </w:rPr>
        <w:br w:type="page"/>
      </w:r>
    </w:p>
    <w:p w14:paraId="02A18478" w14:textId="77777777" w:rsidR="008A0FD5" w:rsidRPr="0043366B" w:rsidRDefault="008A0FD5" w:rsidP="00DF25FB">
      <w:pPr>
        <w:pStyle w:val="Heading1"/>
        <w:sectPr w:rsidR="008A0FD5" w:rsidRPr="0043366B" w:rsidSect="00454239">
          <w:footerReference w:type="default" r:id="rId17"/>
          <w:headerReference w:type="first" r:id="rId18"/>
          <w:footerReference w:type="first" r:id="rId19"/>
          <w:pgSz w:w="11900" w:h="16840"/>
          <w:pgMar w:top="1702" w:right="1080" w:bottom="709" w:left="1080" w:header="454" w:footer="510" w:gutter="0"/>
          <w:cols w:space="720"/>
          <w:titlePg/>
          <w:docGrid w:linePitch="299"/>
        </w:sectPr>
      </w:pPr>
      <w:bookmarkStart w:id="5" w:name="_Toc40969183"/>
      <w:bookmarkStart w:id="6" w:name="_Hlk110238632"/>
      <w:bookmarkEnd w:id="4"/>
      <w:bookmarkEnd w:id="3"/>
    </w:p>
    <w:p w14:paraId="48C74A6F" w14:textId="77777777" w:rsidR="008A0FD5" w:rsidRPr="0043366B" w:rsidRDefault="00E62613" w:rsidP="00DF25FB">
      <w:pPr>
        <w:pStyle w:val="Heading1"/>
      </w:pPr>
      <w:bookmarkStart w:id="7" w:name="_Toc118206882"/>
      <w:r w:rsidRPr="0043366B">
        <w:lastRenderedPageBreak/>
        <w:t>Definitions</w:t>
      </w:r>
      <w:bookmarkEnd w:id="7"/>
    </w:p>
    <w:p w14:paraId="5C2A1BDF" w14:textId="77777777" w:rsidR="00E62613" w:rsidRPr="0043366B" w:rsidRDefault="00E62613" w:rsidP="00E62613">
      <w:pPr>
        <w:rPr>
          <w:lang w:eastAsia="en-US"/>
        </w:rPr>
      </w:pPr>
    </w:p>
    <w:p w14:paraId="57EE3040" w14:textId="48FCA084" w:rsidR="00E62613" w:rsidRPr="0043366B" w:rsidRDefault="00E62613" w:rsidP="00E62613">
      <w:pPr>
        <w:spacing w:line="276" w:lineRule="auto"/>
        <w:jc w:val="lowKashida"/>
        <w:rPr>
          <w:rFonts w:ascii="Arial" w:hAnsi="Arial" w:cs="Arial"/>
          <w:szCs w:val="22"/>
        </w:rPr>
      </w:pPr>
      <w:r w:rsidRPr="0043366B">
        <w:rPr>
          <w:rFonts w:ascii="Arial" w:hAnsi="Arial" w:cs="Arial"/>
          <w:szCs w:val="22"/>
        </w:rPr>
        <w:t xml:space="preserve">Unless otherwise defined or the context otherwise requires, the terms contained in this Guidance have the same meanings as defined in the ADGM Companies Regulations 2020. </w:t>
      </w:r>
    </w:p>
    <w:p w14:paraId="1EA6B9A1" w14:textId="3D2B59D8" w:rsidR="00E62613" w:rsidRPr="0043366B" w:rsidRDefault="00E62613" w:rsidP="00E62613">
      <w:pPr>
        <w:spacing w:line="276" w:lineRule="auto"/>
        <w:jc w:val="lowKashida"/>
        <w:rPr>
          <w:rFonts w:ascii="Arial" w:hAnsi="Arial" w:cs="Arial"/>
          <w:szCs w:val="22"/>
        </w:rPr>
      </w:pPr>
    </w:p>
    <w:p w14:paraId="64C89700" w14:textId="6BCC59CF" w:rsidR="00E91E12" w:rsidRPr="003154E1" w:rsidRDefault="00E91E12" w:rsidP="00E62613">
      <w:pPr>
        <w:spacing w:line="276" w:lineRule="auto"/>
        <w:jc w:val="lowKashida"/>
        <w:rPr>
          <w:rFonts w:ascii="Arial" w:hAnsi="Arial" w:cs="Arial"/>
          <w:szCs w:val="22"/>
        </w:rPr>
      </w:pPr>
      <w:r w:rsidRPr="0043366B">
        <w:rPr>
          <w:rFonts w:ascii="Arial" w:hAnsi="Arial" w:cs="Arial"/>
          <w:szCs w:val="22"/>
        </w:rPr>
        <w:t>In this Guidance, these terms have th</w:t>
      </w:r>
      <w:r w:rsidRPr="003154E1">
        <w:rPr>
          <w:rFonts w:ascii="Arial" w:hAnsi="Arial" w:cs="Arial"/>
          <w:szCs w:val="22"/>
        </w:rPr>
        <w:t>e following meaning</w:t>
      </w:r>
      <w:r w:rsidR="00F4078F" w:rsidRPr="003154E1">
        <w:rPr>
          <w:rFonts w:ascii="Arial" w:hAnsi="Arial" w:cs="Arial"/>
          <w:szCs w:val="22"/>
        </w:rPr>
        <w:t>:</w:t>
      </w:r>
    </w:p>
    <w:p w14:paraId="559FB23D" w14:textId="77777777" w:rsidR="00E91E12" w:rsidRPr="003154E1" w:rsidRDefault="00E91E12" w:rsidP="00E62613">
      <w:pPr>
        <w:spacing w:line="276" w:lineRule="auto"/>
        <w:jc w:val="lowKashida"/>
        <w:rPr>
          <w:rFonts w:ascii="Arial" w:hAnsi="Arial" w:cs="Arial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758"/>
      </w:tblGrid>
      <w:tr w:rsidR="00E91E12" w:rsidRPr="003154E1" w14:paraId="497BA4FC" w14:textId="77777777" w:rsidTr="009559E7">
        <w:tc>
          <w:tcPr>
            <w:tcW w:w="2972" w:type="dxa"/>
            <w:shd w:val="clear" w:color="auto" w:fill="D9D9D9" w:themeFill="background1" w:themeFillShade="D9"/>
          </w:tcPr>
          <w:p w14:paraId="4D6F7093" w14:textId="595BF22F" w:rsidR="00E91E12" w:rsidRPr="003154E1" w:rsidRDefault="00E91E12" w:rsidP="00E62613">
            <w:pPr>
              <w:spacing w:line="276" w:lineRule="auto"/>
              <w:jc w:val="lowKashida"/>
              <w:rPr>
                <w:rFonts w:ascii="Arial" w:hAnsi="Arial" w:cs="Arial"/>
                <w:b/>
                <w:bCs/>
                <w:szCs w:val="22"/>
              </w:rPr>
            </w:pPr>
            <w:r w:rsidRPr="003154E1">
              <w:rPr>
                <w:rFonts w:ascii="Arial" w:hAnsi="Arial" w:cs="Arial"/>
                <w:b/>
                <w:bCs/>
                <w:szCs w:val="22"/>
              </w:rPr>
              <w:t>Defined Term</w:t>
            </w:r>
          </w:p>
        </w:tc>
        <w:tc>
          <w:tcPr>
            <w:tcW w:w="6758" w:type="dxa"/>
            <w:shd w:val="clear" w:color="auto" w:fill="D9D9D9" w:themeFill="background1" w:themeFillShade="D9"/>
          </w:tcPr>
          <w:p w14:paraId="473EA639" w14:textId="08C5E09D" w:rsidR="00E91E12" w:rsidRPr="003154E1" w:rsidRDefault="00E91E12" w:rsidP="00E62613">
            <w:pPr>
              <w:spacing w:line="276" w:lineRule="auto"/>
              <w:jc w:val="lowKashida"/>
              <w:rPr>
                <w:rFonts w:ascii="Arial" w:hAnsi="Arial" w:cs="Arial"/>
                <w:b/>
                <w:bCs/>
                <w:szCs w:val="22"/>
              </w:rPr>
            </w:pPr>
            <w:r w:rsidRPr="003154E1">
              <w:rPr>
                <w:rFonts w:ascii="Arial" w:hAnsi="Arial" w:cs="Arial"/>
                <w:b/>
                <w:bCs/>
                <w:szCs w:val="22"/>
              </w:rPr>
              <w:t>Meaning</w:t>
            </w:r>
          </w:p>
        </w:tc>
      </w:tr>
      <w:tr w:rsidR="00E91E12" w:rsidRPr="003154E1" w14:paraId="4D8463A2" w14:textId="77777777" w:rsidTr="009559E7">
        <w:tc>
          <w:tcPr>
            <w:tcW w:w="2972" w:type="dxa"/>
          </w:tcPr>
          <w:p w14:paraId="27752DF1" w14:textId="6A3A849C" w:rsidR="00E91E12" w:rsidRPr="003154E1" w:rsidRDefault="003B1E04" w:rsidP="00E62613">
            <w:pPr>
              <w:spacing w:line="276" w:lineRule="auto"/>
              <w:jc w:val="lowKashida"/>
              <w:rPr>
                <w:rFonts w:ascii="Arial" w:hAnsi="Arial" w:cs="Arial"/>
                <w:szCs w:val="22"/>
              </w:rPr>
            </w:pPr>
            <w:r w:rsidRPr="003154E1">
              <w:rPr>
                <w:rFonts w:ascii="Arial" w:hAnsi="Arial" w:cs="Arial"/>
                <w:szCs w:val="22"/>
              </w:rPr>
              <w:t>ADGM</w:t>
            </w:r>
          </w:p>
        </w:tc>
        <w:tc>
          <w:tcPr>
            <w:tcW w:w="6758" w:type="dxa"/>
          </w:tcPr>
          <w:p w14:paraId="55703A96" w14:textId="3C29E9EA" w:rsidR="00E91E12" w:rsidRPr="003154E1" w:rsidRDefault="003B1E04" w:rsidP="00E62613">
            <w:pPr>
              <w:spacing w:line="276" w:lineRule="auto"/>
              <w:jc w:val="lowKashida"/>
              <w:rPr>
                <w:rFonts w:ascii="Arial" w:hAnsi="Arial" w:cs="Arial"/>
                <w:szCs w:val="22"/>
              </w:rPr>
            </w:pPr>
            <w:r w:rsidRPr="003154E1">
              <w:rPr>
                <w:rFonts w:ascii="Arial" w:hAnsi="Arial" w:cs="Arial"/>
                <w:szCs w:val="22"/>
              </w:rPr>
              <w:t>Abu Dhabi Global Market</w:t>
            </w:r>
            <w:r w:rsidR="00E83191" w:rsidRPr="003154E1">
              <w:rPr>
                <w:rFonts w:ascii="Arial" w:hAnsi="Arial" w:cs="Arial"/>
                <w:szCs w:val="22"/>
              </w:rPr>
              <w:t>.</w:t>
            </w:r>
          </w:p>
        </w:tc>
      </w:tr>
      <w:tr w:rsidR="00806899" w:rsidRPr="003154E1" w14:paraId="7A46E162" w14:textId="77777777" w:rsidTr="3A1899D7">
        <w:tc>
          <w:tcPr>
            <w:tcW w:w="2972" w:type="dxa"/>
          </w:tcPr>
          <w:p w14:paraId="02B308F0" w14:textId="1C9026C6" w:rsidR="00806899" w:rsidRPr="003154E1" w:rsidRDefault="00806899" w:rsidP="00E62613">
            <w:pPr>
              <w:spacing w:line="276" w:lineRule="auto"/>
              <w:jc w:val="lowKashida"/>
              <w:rPr>
                <w:rFonts w:ascii="Arial" w:hAnsi="Arial" w:cs="Arial"/>
                <w:szCs w:val="22"/>
              </w:rPr>
            </w:pPr>
            <w:r w:rsidRPr="003154E1">
              <w:rPr>
                <w:rFonts w:ascii="Arial" w:hAnsi="Arial" w:cs="Arial"/>
                <w:szCs w:val="22"/>
              </w:rPr>
              <w:t>AUM</w:t>
            </w:r>
          </w:p>
        </w:tc>
        <w:tc>
          <w:tcPr>
            <w:tcW w:w="6758" w:type="dxa"/>
          </w:tcPr>
          <w:p w14:paraId="296A9E47" w14:textId="1B852DDB" w:rsidR="00806899" w:rsidRPr="003154E1" w:rsidRDefault="007242AA" w:rsidP="00E62613">
            <w:pPr>
              <w:spacing w:line="276" w:lineRule="auto"/>
              <w:jc w:val="lowKashida"/>
              <w:rPr>
                <w:rFonts w:ascii="Arial" w:hAnsi="Arial" w:cs="Arial"/>
                <w:szCs w:val="22"/>
              </w:rPr>
            </w:pPr>
            <w:r w:rsidRPr="003154E1">
              <w:rPr>
                <w:rFonts w:ascii="Arial" w:hAnsi="Arial" w:cs="Arial"/>
                <w:szCs w:val="22"/>
              </w:rPr>
              <w:t>A</w:t>
            </w:r>
            <w:r w:rsidR="00806899" w:rsidRPr="003154E1">
              <w:rPr>
                <w:rFonts w:ascii="Arial" w:hAnsi="Arial" w:cs="Arial"/>
                <w:szCs w:val="22"/>
              </w:rPr>
              <w:t>ssets under management.</w:t>
            </w:r>
            <w:r w:rsidR="006E13B6" w:rsidRPr="003154E1">
              <w:rPr>
                <w:rFonts w:ascii="Arial" w:hAnsi="Arial" w:cs="Arial"/>
                <w:szCs w:val="22"/>
              </w:rPr>
              <w:t xml:space="preserve"> </w:t>
            </w:r>
          </w:p>
        </w:tc>
      </w:tr>
      <w:tr w:rsidR="00E91E12" w:rsidRPr="003154E1" w14:paraId="59B6CB14" w14:textId="77777777" w:rsidTr="009559E7">
        <w:tc>
          <w:tcPr>
            <w:tcW w:w="2972" w:type="dxa"/>
          </w:tcPr>
          <w:p w14:paraId="2D1CA3C1" w14:textId="732601D8" w:rsidR="00E91E12" w:rsidRPr="003154E1" w:rsidRDefault="007728A0" w:rsidP="3A1899D7">
            <w:pPr>
              <w:spacing w:line="276" w:lineRule="auto"/>
              <w:jc w:val="lowKashida"/>
              <w:rPr>
                <w:rFonts w:ascii="Arial" w:hAnsi="Arial" w:cs="Arial"/>
                <w:szCs w:val="22"/>
              </w:rPr>
            </w:pPr>
            <w:r w:rsidRPr="003154E1">
              <w:rPr>
                <w:rFonts w:ascii="Arial" w:hAnsi="Arial" w:cs="Arial"/>
                <w:szCs w:val="22"/>
              </w:rPr>
              <w:t>CR</w:t>
            </w:r>
          </w:p>
        </w:tc>
        <w:tc>
          <w:tcPr>
            <w:tcW w:w="6758" w:type="dxa"/>
          </w:tcPr>
          <w:p w14:paraId="3EC2FED3" w14:textId="5F2928C5" w:rsidR="00E91E12" w:rsidRPr="003154E1" w:rsidRDefault="007728A0" w:rsidP="00E62613">
            <w:pPr>
              <w:spacing w:line="276" w:lineRule="auto"/>
              <w:jc w:val="lowKashida"/>
              <w:rPr>
                <w:rFonts w:ascii="Arial" w:hAnsi="Arial" w:cs="Arial"/>
                <w:szCs w:val="22"/>
              </w:rPr>
            </w:pPr>
            <w:r w:rsidRPr="003154E1">
              <w:rPr>
                <w:rFonts w:ascii="Arial" w:hAnsi="Arial" w:cs="Arial"/>
                <w:szCs w:val="22"/>
              </w:rPr>
              <w:t>ADGM Companies Regulations 2020</w:t>
            </w:r>
            <w:r w:rsidR="00FD0161" w:rsidRPr="003154E1">
              <w:rPr>
                <w:rFonts w:ascii="Arial" w:hAnsi="Arial" w:cs="Arial"/>
                <w:szCs w:val="22"/>
              </w:rPr>
              <w:t xml:space="preserve"> as amended or updated from time to time</w:t>
            </w:r>
            <w:r w:rsidR="00E83191" w:rsidRPr="003154E1">
              <w:rPr>
                <w:rFonts w:ascii="Arial" w:hAnsi="Arial" w:cs="Arial"/>
                <w:szCs w:val="22"/>
              </w:rPr>
              <w:t>.</w:t>
            </w:r>
          </w:p>
        </w:tc>
      </w:tr>
      <w:tr w:rsidR="00E83191" w:rsidRPr="003154E1" w14:paraId="4FFFEC13" w14:textId="77777777" w:rsidTr="3A1899D7">
        <w:tc>
          <w:tcPr>
            <w:tcW w:w="2972" w:type="dxa"/>
          </w:tcPr>
          <w:p w14:paraId="4A7E12B1" w14:textId="5BBB3943" w:rsidR="00E83191" w:rsidRPr="003154E1" w:rsidRDefault="00E83191" w:rsidP="00E62613">
            <w:pPr>
              <w:spacing w:line="276" w:lineRule="auto"/>
              <w:jc w:val="lowKashida"/>
              <w:rPr>
                <w:rFonts w:ascii="Arial" w:hAnsi="Arial" w:cs="Arial"/>
                <w:szCs w:val="22"/>
              </w:rPr>
            </w:pPr>
            <w:r w:rsidRPr="003154E1">
              <w:rPr>
                <w:rFonts w:ascii="Arial" w:hAnsi="Arial" w:cs="Arial"/>
                <w:szCs w:val="22"/>
              </w:rPr>
              <w:t>ESG</w:t>
            </w:r>
          </w:p>
        </w:tc>
        <w:tc>
          <w:tcPr>
            <w:tcW w:w="6758" w:type="dxa"/>
          </w:tcPr>
          <w:p w14:paraId="619FF17B" w14:textId="3F803586" w:rsidR="00E83191" w:rsidRPr="003154E1" w:rsidRDefault="007242AA" w:rsidP="00E62613">
            <w:pPr>
              <w:spacing w:line="276" w:lineRule="auto"/>
              <w:jc w:val="lowKashida"/>
              <w:rPr>
                <w:rFonts w:ascii="Arial" w:hAnsi="Arial" w:cs="Arial"/>
                <w:szCs w:val="22"/>
              </w:rPr>
            </w:pPr>
            <w:r w:rsidRPr="003154E1">
              <w:rPr>
                <w:rFonts w:ascii="Arial" w:hAnsi="Arial" w:cs="Arial"/>
                <w:szCs w:val="22"/>
              </w:rPr>
              <w:t>E</w:t>
            </w:r>
            <w:r w:rsidR="00E83191" w:rsidRPr="003154E1">
              <w:rPr>
                <w:rFonts w:ascii="Arial" w:hAnsi="Arial" w:cs="Arial"/>
                <w:szCs w:val="22"/>
              </w:rPr>
              <w:t>nvironmental, social and governance.</w:t>
            </w:r>
          </w:p>
        </w:tc>
      </w:tr>
      <w:tr w:rsidR="003030B5" w:rsidRPr="003154E1" w14:paraId="43F7C593" w14:textId="77777777" w:rsidTr="3A1899D7">
        <w:tc>
          <w:tcPr>
            <w:tcW w:w="2972" w:type="dxa"/>
          </w:tcPr>
          <w:p w14:paraId="00EDF17A" w14:textId="74B32B42" w:rsidR="003030B5" w:rsidRPr="003154E1" w:rsidRDefault="003030B5" w:rsidP="009559E7">
            <w:pPr>
              <w:spacing w:line="276" w:lineRule="auto"/>
              <w:rPr>
                <w:rFonts w:ascii="Arial" w:hAnsi="Arial" w:cs="Arial"/>
                <w:szCs w:val="22"/>
              </w:rPr>
            </w:pPr>
            <w:r w:rsidRPr="003154E1">
              <w:rPr>
                <w:rFonts w:ascii="Arial" w:hAnsi="Arial" w:cs="Arial"/>
                <w:szCs w:val="22"/>
              </w:rPr>
              <w:t>ESG Disclosure</w:t>
            </w:r>
            <w:r w:rsidR="00025754" w:rsidRPr="003154E1">
              <w:rPr>
                <w:rFonts w:ascii="Arial" w:hAnsi="Arial" w:cs="Arial"/>
                <w:szCs w:val="22"/>
              </w:rPr>
              <w:t>s</w:t>
            </w:r>
            <w:r w:rsidRPr="003154E1">
              <w:rPr>
                <w:rFonts w:ascii="Arial" w:hAnsi="Arial" w:cs="Arial"/>
                <w:szCs w:val="22"/>
              </w:rPr>
              <w:t xml:space="preserve"> Framework</w:t>
            </w:r>
          </w:p>
        </w:tc>
        <w:tc>
          <w:tcPr>
            <w:tcW w:w="6758" w:type="dxa"/>
          </w:tcPr>
          <w:p w14:paraId="43558C65" w14:textId="687204C3" w:rsidR="003030B5" w:rsidRPr="003154E1" w:rsidRDefault="007242AA" w:rsidP="00E62613">
            <w:pPr>
              <w:spacing w:line="276" w:lineRule="auto"/>
              <w:jc w:val="lowKashida"/>
              <w:rPr>
                <w:rFonts w:ascii="Arial" w:hAnsi="Arial" w:cs="Arial"/>
                <w:szCs w:val="22"/>
              </w:rPr>
            </w:pPr>
            <w:r w:rsidRPr="003154E1">
              <w:rPr>
                <w:rFonts w:ascii="Arial" w:hAnsi="Arial" w:cs="Arial"/>
                <w:szCs w:val="22"/>
              </w:rPr>
              <w:t>T</w:t>
            </w:r>
            <w:r w:rsidR="003030B5" w:rsidRPr="003154E1">
              <w:rPr>
                <w:rFonts w:ascii="Arial" w:hAnsi="Arial" w:cs="Arial"/>
                <w:szCs w:val="22"/>
              </w:rPr>
              <w:t xml:space="preserve">he ESG disclosures framework set out under Sections 399A to 399D </w:t>
            </w:r>
            <w:r w:rsidR="00F4078F" w:rsidRPr="003154E1">
              <w:rPr>
                <w:rFonts w:ascii="Arial" w:hAnsi="Arial" w:cs="Arial"/>
                <w:szCs w:val="22"/>
              </w:rPr>
              <w:t xml:space="preserve">of </w:t>
            </w:r>
            <w:r w:rsidR="00177486" w:rsidRPr="003154E1">
              <w:rPr>
                <w:rFonts w:ascii="Arial" w:hAnsi="Arial" w:cs="Arial"/>
                <w:szCs w:val="22"/>
              </w:rPr>
              <w:t xml:space="preserve">the </w:t>
            </w:r>
            <w:r w:rsidR="00CA20E1" w:rsidRPr="003154E1">
              <w:rPr>
                <w:rFonts w:ascii="Arial" w:hAnsi="Arial" w:cs="Arial"/>
                <w:szCs w:val="22"/>
              </w:rPr>
              <w:t>CR</w:t>
            </w:r>
            <w:r w:rsidR="00F4078F" w:rsidRPr="003154E1">
              <w:rPr>
                <w:rFonts w:ascii="Arial" w:hAnsi="Arial" w:cs="Arial"/>
                <w:szCs w:val="22"/>
              </w:rPr>
              <w:t>.</w:t>
            </w:r>
          </w:p>
        </w:tc>
      </w:tr>
      <w:tr w:rsidR="00D111F8" w:rsidRPr="003154E1" w14:paraId="4D6C2F81" w14:textId="77777777" w:rsidTr="3A1899D7">
        <w:tc>
          <w:tcPr>
            <w:tcW w:w="2972" w:type="dxa"/>
          </w:tcPr>
          <w:p w14:paraId="7839C382" w14:textId="17874FBC" w:rsidR="00D111F8" w:rsidRPr="003154E1" w:rsidRDefault="00D111F8" w:rsidP="00E62613">
            <w:pPr>
              <w:spacing w:line="276" w:lineRule="auto"/>
              <w:jc w:val="lowKashida"/>
              <w:rPr>
                <w:rFonts w:ascii="Arial" w:hAnsi="Arial" w:cs="Arial"/>
                <w:szCs w:val="22"/>
              </w:rPr>
            </w:pPr>
            <w:r w:rsidRPr="003154E1">
              <w:rPr>
                <w:rFonts w:ascii="Arial" w:hAnsi="Arial" w:cs="Arial"/>
                <w:szCs w:val="22"/>
              </w:rPr>
              <w:t>FSRA</w:t>
            </w:r>
          </w:p>
        </w:tc>
        <w:tc>
          <w:tcPr>
            <w:tcW w:w="6758" w:type="dxa"/>
          </w:tcPr>
          <w:p w14:paraId="5B0E44A4" w14:textId="1660FFBF" w:rsidR="00D111F8" w:rsidRPr="003154E1" w:rsidRDefault="00E47E5C" w:rsidP="00E62613">
            <w:pPr>
              <w:spacing w:line="276" w:lineRule="auto"/>
              <w:jc w:val="lowKashida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The </w:t>
            </w:r>
            <w:r w:rsidR="00D111F8" w:rsidRPr="003154E1">
              <w:rPr>
                <w:rFonts w:ascii="Arial" w:hAnsi="Arial" w:cs="Arial"/>
                <w:szCs w:val="22"/>
              </w:rPr>
              <w:t>Financial Services Regulatory Authority</w:t>
            </w:r>
            <w:r w:rsidRPr="003154E1">
              <w:rPr>
                <w:rFonts w:ascii="Arial" w:hAnsi="Arial" w:cs="Arial"/>
                <w:szCs w:val="22"/>
              </w:rPr>
              <w:t xml:space="preserve"> of the ADGM</w:t>
            </w:r>
            <w:r w:rsidR="00D111F8" w:rsidRPr="003154E1">
              <w:rPr>
                <w:rFonts w:ascii="Arial" w:hAnsi="Arial" w:cs="Arial"/>
                <w:szCs w:val="22"/>
              </w:rPr>
              <w:t>.</w:t>
            </w:r>
          </w:p>
        </w:tc>
      </w:tr>
      <w:tr w:rsidR="00E83191" w:rsidRPr="003154E1" w14:paraId="25843FDB" w14:textId="77777777" w:rsidTr="3A1899D7">
        <w:tc>
          <w:tcPr>
            <w:tcW w:w="2972" w:type="dxa"/>
          </w:tcPr>
          <w:p w14:paraId="21B4A911" w14:textId="76FE710B" w:rsidR="00E83191" w:rsidRPr="003154E1" w:rsidRDefault="00E83191" w:rsidP="00E62613">
            <w:pPr>
              <w:spacing w:line="276" w:lineRule="auto"/>
              <w:jc w:val="lowKashida"/>
              <w:rPr>
                <w:rFonts w:ascii="Arial" w:hAnsi="Arial" w:cs="Arial"/>
                <w:szCs w:val="22"/>
              </w:rPr>
            </w:pPr>
            <w:r w:rsidRPr="003154E1">
              <w:rPr>
                <w:rFonts w:ascii="Arial" w:hAnsi="Arial" w:cs="Arial"/>
                <w:szCs w:val="22"/>
              </w:rPr>
              <w:t>Guidance</w:t>
            </w:r>
          </w:p>
        </w:tc>
        <w:tc>
          <w:tcPr>
            <w:tcW w:w="6758" w:type="dxa"/>
          </w:tcPr>
          <w:p w14:paraId="2AC6BE6E" w14:textId="792D8D45" w:rsidR="00E83191" w:rsidRPr="003154E1" w:rsidRDefault="007242AA" w:rsidP="00E62613">
            <w:pPr>
              <w:spacing w:line="276" w:lineRule="auto"/>
              <w:jc w:val="lowKashida"/>
              <w:rPr>
                <w:rFonts w:ascii="Arial" w:hAnsi="Arial" w:cs="Arial"/>
                <w:szCs w:val="22"/>
              </w:rPr>
            </w:pPr>
            <w:r w:rsidRPr="003154E1">
              <w:rPr>
                <w:rFonts w:ascii="Arial" w:hAnsi="Arial" w:cs="Arial"/>
                <w:szCs w:val="22"/>
              </w:rPr>
              <w:t>T</w:t>
            </w:r>
            <w:r w:rsidR="00E83191" w:rsidRPr="003154E1">
              <w:rPr>
                <w:rFonts w:ascii="Arial" w:hAnsi="Arial" w:cs="Arial"/>
                <w:szCs w:val="22"/>
              </w:rPr>
              <w:t>his Environmental, Social and Governance Disclosures Guidance, unless the context requires otherwise.</w:t>
            </w:r>
          </w:p>
        </w:tc>
      </w:tr>
      <w:tr w:rsidR="00E91E12" w:rsidRPr="003154E1" w14:paraId="6F800620" w14:textId="77777777" w:rsidTr="009559E7">
        <w:tc>
          <w:tcPr>
            <w:tcW w:w="2972" w:type="dxa"/>
          </w:tcPr>
          <w:p w14:paraId="5499A3B8" w14:textId="6A4AB7D6" w:rsidR="00E91E12" w:rsidRPr="003154E1" w:rsidRDefault="007728A0" w:rsidP="00E62613">
            <w:pPr>
              <w:spacing w:line="276" w:lineRule="auto"/>
              <w:jc w:val="lowKashida"/>
              <w:rPr>
                <w:rFonts w:ascii="Arial" w:hAnsi="Arial" w:cs="Arial"/>
                <w:szCs w:val="22"/>
              </w:rPr>
            </w:pPr>
            <w:r w:rsidRPr="003154E1">
              <w:rPr>
                <w:rFonts w:ascii="Arial" w:hAnsi="Arial" w:cs="Arial"/>
                <w:szCs w:val="22"/>
              </w:rPr>
              <w:t>IAS</w:t>
            </w:r>
          </w:p>
        </w:tc>
        <w:tc>
          <w:tcPr>
            <w:tcW w:w="6758" w:type="dxa"/>
          </w:tcPr>
          <w:p w14:paraId="252AA170" w14:textId="61082804" w:rsidR="00E91E12" w:rsidRPr="003154E1" w:rsidRDefault="00A7449A" w:rsidP="00FD0161">
            <w:pPr>
              <w:spacing w:line="276" w:lineRule="auto"/>
              <w:jc w:val="lowKashida"/>
              <w:rPr>
                <w:rFonts w:ascii="Arial" w:hAnsi="Arial" w:cs="Arial"/>
                <w:szCs w:val="22"/>
              </w:rPr>
            </w:pPr>
            <w:r w:rsidRPr="003154E1">
              <w:rPr>
                <w:rFonts w:ascii="Arial" w:hAnsi="Arial" w:cs="Arial"/>
                <w:szCs w:val="22"/>
              </w:rPr>
              <w:t xml:space="preserve"> ‘</w:t>
            </w:r>
            <w:r w:rsidR="007242AA" w:rsidRPr="003154E1">
              <w:rPr>
                <w:rFonts w:ascii="Arial" w:hAnsi="Arial" w:cs="Arial"/>
                <w:szCs w:val="22"/>
              </w:rPr>
              <w:t>I</w:t>
            </w:r>
            <w:r w:rsidRPr="003154E1">
              <w:rPr>
                <w:rFonts w:ascii="Arial" w:hAnsi="Arial" w:cs="Arial"/>
                <w:szCs w:val="22"/>
              </w:rPr>
              <w:t xml:space="preserve">nternational accounting standards’ as that term is defined in the </w:t>
            </w:r>
            <w:hyperlink r:id="rId20" w:history="1">
              <w:r w:rsidRPr="003154E1">
                <w:rPr>
                  <w:rStyle w:val="Hyperlink"/>
                  <w:rFonts w:cs="Arial"/>
                  <w:szCs w:val="22"/>
                </w:rPr>
                <w:t>Companies Regulations (International Accounting Standards) Rules 2015</w:t>
              </w:r>
            </w:hyperlink>
            <w:r w:rsidR="00E83191" w:rsidRPr="003154E1">
              <w:rPr>
                <w:rFonts w:ascii="Arial" w:hAnsi="Arial" w:cs="Arial"/>
                <w:szCs w:val="22"/>
              </w:rPr>
              <w:t>.</w:t>
            </w:r>
          </w:p>
        </w:tc>
      </w:tr>
      <w:tr w:rsidR="00A71B1A" w:rsidRPr="003154E1" w14:paraId="4E64A4AC" w14:textId="77777777" w:rsidTr="009559E7">
        <w:tc>
          <w:tcPr>
            <w:tcW w:w="2972" w:type="dxa"/>
          </w:tcPr>
          <w:p w14:paraId="0E26B3D4" w14:textId="4532369B" w:rsidR="00A71B1A" w:rsidRPr="003154E1" w:rsidRDefault="00A71B1A" w:rsidP="00E62613">
            <w:pPr>
              <w:spacing w:line="276" w:lineRule="auto"/>
              <w:jc w:val="lowKashida"/>
              <w:rPr>
                <w:rFonts w:ascii="Arial" w:hAnsi="Arial" w:cs="Arial"/>
                <w:szCs w:val="22"/>
              </w:rPr>
            </w:pPr>
            <w:r w:rsidRPr="003154E1">
              <w:rPr>
                <w:rFonts w:ascii="Arial" w:hAnsi="Arial" w:cs="Arial"/>
                <w:szCs w:val="22"/>
              </w:rPr>
              <w:t>MKT Rulebook</w:t>
            </w:r>
          </w:p>
        </w:tc>
        <w:tc>
          <w:tcPr>
            <w:tcW w:w="6758" w:type="dxa"/>
          </w:tcPr>
          <w:p w14:paraId="7DCD773F" w14:textId="10F41E96" w:rsidR="00A71B1A" w:rsidRPr="003154E1" w:rsidRDefault="007242AA" w:rsidP="00E62613">
            <w:pPr>
              <w:spacing w:line="276" w:lineRule="auto"/>
              <w:jc w:val="lowKashida"/>
              <w:rPr>
                <w:rFonts w:ascii="Arial" w:hAnsi="Arial" w:cs="Arial"/>
                <w:szCs w:val="22"/>
              </w:rPr>
            </w:pPr>
            <w:r w:rsidRPr="003154E1">
              <w:rPr>
                <w:rFonts w:ascii="Arial" w:hAnsi="Arial" w:cs="Arial"/>
                <w:szCs w:val="22"/>
              </w:rPr>
              <w:t>T</w:t>
            </w:r>
            <w:r w:rsidR="00A71B1A" w:rsidRPr="003154E1">
              <w:rPr>
                <w:rFonts w:ascii="Arial" w:hAnsi="Arial" w:cs="Arial"/>
                <w:szCs w:val="22"/>
              </w:rPr>
              <w:t>he Markets Rulebook issued by the FSRA, as may be amended from time to time.</w:t>
            </w:r>
          </w:p>
        </w:tc>
      </w:tr>
      <w:tr w:rsidR="00E91E12" w:rsidRPr="003154E1" w14:paraId="0E88FC60" w14:textId="77777777" w:rsidTr="009559E7">
        <w:tc>
          <w:tcPr>
            <w:tcW w:w="2972" w:type="dxa"/>
          </w:tcPr>
          <w:p w14:paraId="1D77DB8F" w14:textId="256DEFAC" w:rsidR="00E91E12" w:rsidRPr="003154E1" w:rsidRDefault="005D5064" w:rsidP="00E62613">
            <w:pPr>
              <w:spacing w:line="276" w:lineRule="auto"/>
              <w:jc w:val="lowKashida"/>
              <w:rPr>
                <w:rFonts w:ascii="Arial" w:hAnsi="Arial" w:cs="Arial"/>
                <w:szCs w:val="22"/>
              </w:rPr>
            </w:pPr>
            <w:r w:rsidRPr="003154E1">
              <w:rPr>
                <w:rFonts w:ascii="Arial" w:hAnsi="Arial" w:cs="Arial"/>
                <w:szCs w:val="22"/>
              </w:rPr>
              <w:t>RA</w:t>
            </w:r>
          </w:p>
        </w:tc>
        <w:tc>
          <w:tcPr>
            <w:tcW w:w="6758" w:type="dxa"/>
          </w:tcPr>
          <w:p w14:paraId="1A2EC003" w14:textId="07EFB814" w:rsidR="00E91E12" w:rsidRPr="003154E1" w:rsidRDefault="007242AA" w:rsidP="00E62613">
            <w:pPr>
              <w:spacing w:line="276" w:lineRule="auto"/>
              <w:jc w:val="lowKashida"/>
              <w:rPr>
                <w:rFonts w:ascii="Arial" w:hAnsi="Arial" w:cs="Arial"/>
                <w:szCs w:val="22"/>
              </w:rPr>
            </w:pPr>
            <w:r w:rsidRPr="003154E1">
              <w:rPr>
                <w:rFonts w:ascii="Arial" w:hAnsi="Arial" w:cs="Arial"/>
                <w:szCs w:val="22"/>
              </w:rPr>
              <w:t xml:space="preserve">The </w:t>
            </w:r>
            <w:r w:rsidR="005D5064" w:rsidRPr="003154E1">
              <w:rPr>
                <w:rFonts w:ascii="Arial" w:hAnsi="Arial" w:cs="Arial"/>
                <w:szCs w:val="22"/>
              </w:rPr>
              <w:t>Registration Authority of the ADGM</w:t>
            </w:r>
            <w:r w:rsidR="00E83191" w:rsidRPr="003154E1">
              <w:rPr>
                <w:rFonts w:ascii="Arial" w:hAnsi="Arial" w:cs="Arial"/>
                <w:szCs w:val="22"/>
              </w:rPr>
              <w:t>.</w:t>
            </w:r>
          </w:p>
        </w:tc>
      </w:tr>
      <w:tr w:rsidR="007F13B5" w:rsidRPr="0043366B" w14:paraId="2D2CF17A" w14:textId="77777777" w:rsidTr="009559E7">
        <w:tc>
          <w:tcPr>
            <w:tcW w:w="2972" w:type="dxa"/>
          </w:tcPr>
          <w:p w14:paraId="2B1C07B6" w14:textId="2C9ADD68" w:rsidR="007F13B5" w:rsidRPr="003154E1" w:rsidRDefault="007F13B5" w:rsidP="00E62613">
            <w:pPr>
              <w:spacing w:line="276" w:lineRule="auto"/>
              <w:jc w:val="lowKashida"/>
              <w:rPr>
                <w:rFonts w:ascii="Arial" w:hAnsi="Arial" w:cs="Arial"/>
                <w:szCs w:val="22"/>
              </w:rPr>
            </w:pPr>
            <w:r w:rsidRPr="003154E1">
              <w:rPr>
                <w:rFonts w:ascii="Arial" w:hAnsi="Arial" w:cs="Arial"/>
                <w:szCs w:val="22"/>
              </w:rPr>
              <w:t>Threshold Conditions</w:t>
            </w:r>
          </w:p>
        </w:tc>
        <w:tc>
          <w:tcPr>
            <w:tcW w:w="6758" w:type="dxa"/>
          </w:tcPr>
          <w:p w14:paraId="6D60947A" w14:textId="46547194" w:rsidR="007F13B5" w:rsidRPr="0043366B" w:rsidRDefault="007F13B5" w:rsidP="00E62613">
            <w:pPr>
              <w:spacing w:line="276" w:lineRule="auto"/>
              <w:jc w:val="lowKashida"/>
              <w:rPr>
                <w:rFonts w:ascii="Arial" w:hAnsi="Arial" w:cs="Arial"/>
                <w:szCs w:val="22"/>
              </w:rPr>
            </w:pPr>
            <w:r w:rsidRPr="003154E1">
              <w:rPr>
                <w:rFonts w:ascii="Arial" w:hAnsi="Arial" w:cs="Arial"/>
                <w:szCs w:val="22"/>
              </w:rPr>
              <w:t xml:space="preserve">The </w:t>
            </w:r>
            <w:r w:rsidR="009E39FE" w:rsidRPr="003154E1">
              <w:rPr>
                <w:rFonts w:ascii="Arial" w:hAnsi="Arial" w:cs="Arial"/>
                <w:szCs w:val="22"/>
              </w:rPr>
              <w:t>conditions</w:t>
            </w:r>
            <w:r w:rsidR="00177486" w:rsidRPr="003154E1">
              <w:rPr>
                <w:rFonts w:ascii="Arial" w:hAnsi="Arial" w:cs="Arial"/>
                <w:szCs w:val="22"/>
              </w:rPr>
              <w:t xml:space="preserve"> in section 399</w:t>
            </w:r>
            <w:proofErr w:type="gramStart"/>
            <w:r w:rsidR="00177486" w:rsidRPr="003154E1">
              <w:rPr>
                <w:rFonts w:ascii="Arial" w:hAnsi="Arial" w:cs="Arial"/>
                <w:szCs w:val="22"/>
              </w:rPr>
              <w:t>A(</w:t>
            </w:r>
            <w:proofErr w:type="gramEnd"/>
            <w:r w:rsidR="00177486" w:rsidRPr="003154E1">
              <w:rPr>
                <w:rFonts w:ascii="Arial" w:hAnsi="Arial" w:cs="Arial"/>
                <w:szCs w:val="22"/>
              </w:rPr>
              <w:t>2) of the CR</w:t>
            </w:r>
            <w:r w:rsidR="009E39FE" w:rsidRPr="003154E1">
              <w:rPr>
                <w:rFonts w:ascii="Arial" w:hAnsi="Arial" w:cs="Arial"/>
                <w:szCs w:val="22"/>
              </w:rPr>
              <w:t xml:space="preserve"> that, if satisfied, require compliance with the ESG Disclosures Framework, as </w:t>
            </w:r>
            <w:r w:rsidR="00177486" w:rsidRPr="003154E1">
              <w:rPr>
                <w:rFonts w:ascii="Arial" w:hAnsi="Arial" w:cs="Arial"/>
                <w:szCs w:val="22"/>
              </w:rPr>
              <w:t xml:space="preserve">further </w:t>
            </w:r>
            <w:r w:rsidR="009E39FE" w:rsidRPr="003154E1">
              <w:rPr>
                <w:rFonts w:ascii="Arial" w:hAnsi="Arial" w:cs="Arial"/>
                <w:szCs w:val="22"/>
              </w:rPr>
              <w:t>detailed in section 5 below.</w:t>
            </w:r>
          </w:p>
        </w:tc>
      </w:tr>
    </w:tbl>
    <w:p w14:paraId="4322934D" w14:textId="77777777" w:rsidR="00E62613" w:rsidRPr="0043366B" w:rsidRDefault="00E62613" w:rsidP="00E62613">
      <w:pPr>
        <w:spacing w:line="276" w:lineRule="auto"/>
        <w:jc w:val="lowKashida"/>
        <w:rPr>
          <w:rFonts w:ascii="Arial" w:hAnsi="Arial" w:cs="Arial"/>
          <w:szCs w:val="22"/>
        </w:rPr>
      </w:pPr>
    </w:p>
    <w:p w14:paraId="59B07A72" w14:textId="792EAEC7" w:rsidR="00E62613" w:rsidRPr="0043366B" w:rsidRDefault="00E62613" w:rsidP="00E62613">
      <w:pPr>
        <w:spacing w:line="276" w:lineRule="auto"/>
        <w:jc w:val="lowKashida"/>
        <w:rPr>
          <w:rFonts w:ascii="Arial" w:hAnsi="Arial" w:cs="Arial"/>
          <w:szCs w:val="22"/>
        </w:rPr>
      </w:pPr>
    </w:p>
    <w:p w14:paraId="0EF40F78" w14:textId="77777777" w:rsidR="00E62613" w:rsidRPr="0043366B" w:rsidRDefault="00E62613" w:rsidP="009559E7">
      <w:pPr>
        <w:spacing w:line="276" w:lineRule="auto"/>
        <w:jc w:val="lowKashida"/>
        <w:rPr>
          <w:rFonts w:ascii="Arial" w:hAnsi="Arial" w:cs="Arial"/>
          <w:szCs w:val="22"/>
        </w:rPr>
      </w:pPr>
    </w:p>
    <w:p w14:paraId="5DE323AD" w14:textId="77777777" w:rsidR="00E62613" w:rsidRPr="0043366B" w:rsidRDefault="00E62613" w:rsidP="00E62613">
      <w:pPr>
        <w:rPr>
          <w:lang w:eastAsia="en-US"/>
        </w:rPr>
      </w:pPr>
    </w:p>
    <w:p w14:paraId="19ADBAE3" w14:textId="53682869" w:rsidR="00E62613" w:rsidRPr="0043366B" w:rsidRDefault="00E62613" w:rsidP="009559E7">
      <w:pPr>
        <w:rPr>
          <w:b/>
          <w:i/>
        </w:rPr>
        <w:sectPr w:rsidR="00E62613" w:rsidRPr="0043366B" w:rsidSect="00454239">
          <w:pgSz w:w="11900" w:h="16840"/>
          <w:pgMar w:top="1702" w:right="1080" w:bottom="709" w:left="1080" w:header="454" w:footer="510" w:gutter="0"/>
          <w:cols w:space="720"/>
          <w:titlePg/>
          <w:docGrid w:linePitch="299"/>
        </w:sectPr>
      </w:pPr>
    </w:p>
    <w:p w14:paraId="2C06D975" w14:textId="481CF106" w:rsidR="007F0CA8" w:rsidRPr="0043366B" w:rsidRDefault="007F0CA8" w:rsidP="00DF25FB">
      <w:pPr>
        <w:pStyle w:val="Heading1"/>
      </w:pPr>
      <w:bookmarkStart w:id="8" w:name="_Toc118206883"/>
      <w:r w:rsidRPr="0043366B">
        <w:lastRenderedPageBreak/>
        <w:t>1</w:t>
      </w:r>
      <w:r w:rsidR="00104087" w:rsidRPr="0043366B">
        <w:t>.</w:t>
      </w:r>
      <w:r w:rsidRPr="0043366B">
        <w:t xml:space="preserve"> Introduction</w:t>
      </w:r>
      <w:bookmarkEnd w:id="5"/>
      <w:bookmarkEnd w:id="8"/>
    </w:p>
    <w:p w14:paraId="7CDACCEF" w14:textId="3D34DB24" w:rsidR="006A3DC3" w:rsidRPr="00A45EAE" w:rsidRDefault="00BD6B32" w:rsidP="005117A2">
      <w:pPr>
        <w:pStyle w:val="Heading2"/>
        <w:spacing w:line="276" w:lineRule="auto"/>
      </w:pPr>
      <w:bookmarkStart w:id="9" w:name="_Toc40969184"/>
      <w:r w:rsidRPr="00A45EAE">
        <w:t>G</w:t>
      </w:r>
      <w:r w:rsidR="00436BAF" w:rsidRPr="00A45EAE">
        <w:t>uid</w:t>
      </w:r>
      <w:r w:rsidR="002C14B9" w:rsidRPr="00A45EAE">
        <w:t>ance</w:t>
      </w:r>
      <w:r w:rsidRPr="00A45EAE">
        <w:t xml:space="preserve"> overview and application</w:t>
      </w:r>
      <w:bookmarkEnd w:id="9"/>
    </w:p>
    <w:p w14:paraId="70F4DABE" w14:textId="77777777" w:rsidR="009F234B" w:rsidRPr="0043366B" w:rsidRDefault="009F234B" w:rsidP="005117A2">
      <w:pPr>
        <w:spacing w:line="276" w:lineRule="auto"/>
        <w:rPr>
          <w:rFonts w:ascii="Arial" w:hAnsi="Arial" w:cs="Arial"/>
          <w:szCs w:val="22"/>
        </w:rPr>
      </w:pPr>
    </w:p>
    <w:p w14:paraId="26AA54C7" w14:textId="60D9CC41" w:rsidR="00E67C27" w:rsidRPr="0043366B" w:rsidRDefault="009F234B" w:rsidP="0043366B">
      <w:pPr>
        <w:spacing w:line="276" w:lineRule="auto"/>
        <w:jc w:val="both"/>
        <w:rPr>
          <w:rFonts w:ascii="Arial" w:hAnsi="Arial" w:cs="Arial"/>
          <w:szCs w:val="22"/>
        </w:rPr>
      </w:pPr>
      <w:r w:rsidRPr="0043366B">
        <w:rPr>
          <w:rFonts w:ascii="Arial" w:hAnsi="Arial" w:cs="Arial"/>
          <w:szCs w:val="22"/>
        </w:rPr>
        <w:t xml:space="preserve">This </w:t>
      </w:r>
      <w:r w:rsidR="002C14B9" w:rsidRPr="0043366B">
        <w:rPr>
          <w:rFonts w:ascii="Arial" w:hAnsi="Arial" w:cs="Arial"/>
          <w:szCs w:val="22"/>
        </w:rPr>
        <w:t>G</w:t>
      </w:r>
      <w:r w:rsidR="00294D6F" w:rsidRPr="0043366B">
        <w:rPr>
          <w:rFonts w:ascii="Arial" w:hAnsi="Arial" w:cs="Arial"/>
          <w:szCs w:val="22"/>
        </w:rPr>
        <w:t xml:space="preserve">uidance </w:t>
      </w:r>
      <w:r w:rsidRPr="0043366B">
        <w:rPr>
          <w:rFonts w:ascii="Arial" w:hAnsi="Arial" w:cs="Arial"/>
          <w:szCs w:val="22"/>
        </w:rPr>
        <w:t>provides</w:t>
      </w:r>
      <w:r w:rsidR="005F4F3C" w:rsidRPr="0043366B">
        <w:rPr>
          <w:rFonts w:ascii="Arial" w:hAnsi="Arial" w:cs="Arial"/>
          <w:szCs w:val="22"/>
        </w:rPr>
        <w:t xml:space="preserve"> </w:t>
      </w:r>
      <w:r w:rsidR="00804F90" w:rsidRPr="0043366B">
        <w:rPr>
          <w:rFonts w:ascii="Arial" w:hAnsi="Arial" w:cs="Arial"/>
          <w:szCs w:val="22"/>
        </w:rPr>
        <w:t>information</w:t>
      </w:r>
      <w:r w:rsidRPr="0043366B">
        <w:rPr>
          <w:rFonts w:ascii="Arial" w:hAnsi="Arial" w:cs="Arial"/>
          <w:szCs w:val="22"/>
        </w:rPr>
        <w:t xml:space="preserve"> </w:t>
      </w:r>
      <w:r w:rsidR="006735F4" w:rsidRPr="0043366B">
        <w:rPr>
          <w:rFonts w:ascii="Arial" w:hAnsi="Arial" w:cs="Arial"/>
          <w:szCs w:val="22"/>
        </w:rPr>
        <w:t xml:space="preserve">about </w:t>
      </w:r>
      <w:r w:rsidR="00C822D8" w:rsidRPr="0043366B">
        <w:rPr>
          <w:rFonts w:ascii="Arial" w:hAnsi="Arial" w:cs="Arial"/>
          <w:szCs w:val="22"/>
        </w:rPr>
        <w:t xml:space="preserve">the </w:t>
      </w:r>
      <w:r w:rsidR="006735F4" w:rsidRPr="0043366B">
        <w:rPr>
          <w:rFonts w:ascii="Arial" w:hAnsi="Arial" w:cs="Arial"/>
          <w:szCs w:val="22"/>
        </w:rPr>
        <w:t xml:space="preserve">obligations </w:t>
      </w:r>
      <w:r w:rsidR="00E83191" w:rsidRPr="0043366B">
        <w:rPr>
          <w:rFonts w:ascii="Arial" w:hAnsi="Arial" w:cs="Arial"/>
          <w:szCs w:val="22"/>
        </w:rPr>
        <w:t xml:space="preserve">of </w:t>
      </w:r>
      <w:r w:rsidR="00E067F8" w:rsidRPr="0043366B">
        <w:rPr>
          <w:rFonts w:ascii="Arial" w:hAnsi="Arial" w:cs="Arial"/>
          <w:szCs w:val="22"/>
        </w:rPr>
        <w:t>ADGM limited companies</w:t>
      </w:r>
      <w:r w:rsidR="00887249" w:rsidRPr="0043366B">
        <w:rPr>
          <w:rFonts w:ascii="Arial" w:hAnsi="Arial" w:cs="Arial"/>
          <w:szCs w:val="22"/>
        </w:rPr>
        <w:t xml:space="preserve"> concerning the ESG </w:t>
      </w:r>
      <w:r w:rsidR="00E83191" w:rsidRPr="0043366B">
        <w:rPr>
          <w:rFonts w:ascii="Arial" w:hAnsi="Arial" w:cs="Arial"/>
          <w:szCs w:val="22"/>
        </w:rPr>
        <w:t>D</w:t>
      </w:r>
      <w:r w:rsidR="00887249" w:rsidRPr="0043366B">
        <w:rPr>
          <w:rFonts w:ascii="Arial" w:hAnsi="Arial" w:cs="Arial"/>
          <w:szCs w:val="22"/>
        </w:rPr>
        <w:t xml:space="preserve">isclosures </w:t>
      </w:r>
      <w:r w:rsidR="00E83191" w:rsidRPr="0043366B">
        <w:rPr>
          <w:rFonts w:ascii="Arial" w:hAnsi="Arial" w:cs="Arial"/>
          <w:szCs w:val="22"/>
        </w:rPr>
        <w:t>F</w:t>
      </w:r>
      <w:r w:rsidR="00887249" w:rsidRPr="0043366B">
        <w:rPr>
          <w:rFonts w:ascii="Arial" w:hAnsi="Arial" w:cs="Arial"/>
          <w:szCs w:val="22"/>
        </w:rPr>
        <w:t>ramewor</w:t>
      </w:r>
      <w:r w:rsidR="00E83191" w:rsidRPr="0043366B">
        <w:rPr>
          <w:rFonts w:ascii="Arial" w:hAnsi="Arial" w:cs="Arial"/>
          <w:szCs w:val="22"/>
        </w:rPr>
        <w:t>k</w:t>
      </w:r>
      <w:r w:rsidR="00E67C27" w:rsidRPr="0043366B">
        <w:rPr>
          <w:rFonts w:ascii="Arial" w:hAnsi="Arial" w:cs="Arial"/>
          <w:szCs w:val="22"/>
        </w:rPr>
        <w:t>.</w:t>
      </w:r>
      <w:r w:rsidR="002C14B9" w:rsidRPr="0043366B">
        <w:rPr>
          <w:rFonts w:ascii="Arial" w:hAnsi="Arial" w:cs="Arial"/>
          <w:szCs w:val="22"/>
        </w:rPr>
        <w:t xml:space="preserve"> </w:t>
      </w:r>
    </w:p>
    <w:p w14:paraId="36806737" w14:textId="19093A7B" w:rsidR="001159A5" w:rsidRPr="0092525B" w:rsidRDefault="00BD6B32" w:rsidP="005117A2">
      <w:pPr>
        <w:pStyle w:val="Heading2"/>
        <w:spacing w:line="276" w:lineRule="auto"/>
      </w:pPr>
      <w:bookmarkStart w:id="10" w:name="_Toc40969185"/>
      <w:r w:rsidRPr="0092525B">
        <w:t>Legal f</w:t>
      </w:r>
      <w:r w:rsidR="001159A5" w:rsidRPr="0092525B">
        <w:t>ramework</w:t>
      </w:r>
      <w:bookmarkEnd w:id="10"/>
      <w:r w:rsidR="001159A5" w:rsidRPr="0092525B">
        <w:t xml:space="preserve"> </w:t>
      </w:r>
    </w:p>
    <w:p w14:paraId="770487D6" w14:textId="77777777" w:rsidR="001159A5" w:rsidRPr="0043366B" w:rsidRDefault="001159A5" w:rsidP="005117A2">
      <w:pPr>
        <w:spacing w:line="276" w:lineRule="auto"/>
        <w:rPr>
          <w:rFonts w:ascii="Arial" w:hAnsi="Arial" w:cs="Arial"/>
          <w:b/>
          <w:bCs/>
        </w:rPr>
      </w:pPr>
    </w:p>
    <w:p w14:paraId="03DC1B4D" w14:textId="42C0CABC" w:rsidR="00C72EE3" w:rsidRPr="0043366B" w:rsidRDefault="004A451B" w:rsidP="0043366B">
      <w:pPr>
        <w:spacing w:line="276" w:lineRule="auto"/>
        <w:jc w:val="both"/>
        <w:rPr>
          <w:rFonts w:ascii="Arial" w:hAnsi="Arial" w:cs="Arial"/>
          <w:szCs w:val="22"/>
        </w:rPr>
      </w:pPr>
      <w:r w:rsidRPr="0043366B">
        <w:rPr>
          <w:rFonts w:ascii="Arial" w:hAnsi="Arial" w:cs="Arial"/>
          <w:szCs w:val="22"/>
        </w:rPr>
        <w:t xml:space="preserve">The relevant ADGM legislation regarding </w:t>
      </w:r>
      <w:r w:rsidR="00271A06" w:rsidRPr="0043366B">
        <w:rPr>
          <w:rFonts w:ascii="Arial" w:hAnsi="Arial" w:cs="Arial"/>
          <w:szCs w:val="22"/>
        </w:rPr>
        <w:t xml:space="preserve">accounts </w:t>
      </w:r>
      <w:r w:rsidR="006B4586" w:rsidRPr="0043366B">
        <w:rPr>
          <w:rFonts w:ascii="Arial" w:hAnsi="Arial" w:cs="Arial"/>
          <w:szCs w:val="22"/>
        </w:rPr>
        <w:t>for limited</w:t>
      </w:r>
      <w:r w:rsidR="00271A06" w:rsidRPr="0043366B">
        <w:rPr>
          <w:rFonts w:ascii="Arial" w:hAnsi="Arial" w:cs="Arial"/>
          <w:szCs w:val="22"/>
        </w:rPr>
        <w:t xml:space="preserve"> </w:t>
      </w:r>
      <w:r w:rsidR="000F541B" w:rsidRPr="0043366B">
        <w:rPr>
          <w:rFonts w:ascii="Arial" w:hAnsi="Arial" w:cs="Arial"/>
          <w:szCs w:val="22"/>
        </w:rPr>
        <w:t>c</w:t>
      </w:r>
      <w:r w:rsidR="00271A06" w:rsidRPr="0043366B">
        <w:rPr>
          <w:rFonts w:ascii="Arial" w:hAnsi="Arial" w:cs="Arial"/>
          <w:szCs w:val="22"/>
        </w:rPr>
        <w:t>ompanies is</w:t>
      </w:r>
      <w:r w:rsidR="00177486" w:rsidRPr="0043366B">
        <w:rPr>
          <w:rFonts w:ascii="Arial" w:hAnsi="Arial" w:cs="Arial"/>
          <w:szCs w:val="22"/>
        </w:rPr>
        <w:t xml:space="preserve"> the</w:t>
      </w:r>
      <w:r w:rsidR="00271A06" w:rsidRPr="0043366B">
        <w:rPr>
          <w:rFonts w:ascii="Arial" w:hAnsi="Arial" w:cs="Arial"/>
          <w:szCs w:val="22"/>
        </w:rPr>
        <w:t xml:space="preserve"> </w:t>
      </w:r>
      <w:hyperlink r:id="rId21" w:history="1">
        <w:r w:rsidR="00CA20E1" w:rsidRPr="0043366B">
          <w:rPr>
            <w:rStyle w:val="Hyperlink"/>
            <w:rFonts w:cs="Arial"/>
            <w:szCs w:val="22"/>
          </w:rPr>
          <w:t>CR</w:t>
        </w:r>
      </w:hyperlink>
      <w:r w:rsidR="00271A06" w:rsidRPr="0043366B">
        <w:rPr>
          <w:rFonts w:ascii="Arial" w:hAnsi="Arial" w:cs="Arial"/>
          <w:szCs w:val="22"/>
        </w:rPr>
        <w:t>.</w:t>
      </w:r>
    </w:p>
    <w:p w14:paraId="394461C2" w14:textId="77777777" w:rsidR="001159A5" w:rsidRPr="0043366B" w:rsidRDefault="001159A5" w:rsidP="0043366B">
      <w:pPr>
        <w:spacing w:line="276" w:lineRule="auto"/>
        <w:jc w:val="both"/>
        <w:rPr>
          <w:rFonts w:ascii="Arial" w:hAnsi="Arial" w:cs="Arial"/>
          <w:szCs w:val="22"/>
        </w:rPr>
      </w:pPr>
    </w:p>
    <w:p w14:paraId="7A2E3B62" w14:textId="7F27759A" w:rsidR="002D376A" w:rsidRPr="0043366B" w:rsidRDefault="00F03BC4" w:rsidP="0043366B">
      <w:pPr>
        <w:spacing w:line="276" w:lineRule="auto"/>
        <w:jc w:val="both"/>
        <w:rPr>
          <w:rFonts w:ascii="Arial" w:hAnsi="Arial" w:cs="Arial"/>
          <w:szCs w:val="22"/>
        </w:rPr>
      </w:pPr>
      <w:r w:rsidRPr="0043366B">
        <w:rPr>
          <w:rFonts w:ascii="Arial" w:hAnsi="Arial" w:cs="Arial"/>
          <w:szCs w:val="22"/>
        </w:rPr>
        <w:t xml:space="preserve">The </w:t>
      </w:r>
      <w:r w:rsidR="00DD3710" w:rsidRPr="0043366B">
        <w:rPr>
          <w:rFonts w:ascii="Arial" w:hAnsi="Arial" w:cs="Arial"/>
          <w:szCs w:val="22"/>
        </w:rPr>
        <w:t xml:space="preserve">ADGM’s Regulations and Rules are available on the ADGM website by following this </w:t>
      </w:r>
      <w:hyperlink r:id="rId22" w:history="1">
        <w:r w:rsidR="00DD3710" w:rsidRPr="0043366B">
          <w:rPr>
            <w:rStyle w:val="Hyperlink"/>
            <w:rFonts w:eastAsiaTheme="majorEastAsia" w:cs="Arial"/>
            <w:szCs w:val="22"/>
          </w:rPr>
          <w:t>link</w:t>
        </w:r>
      </w:hyperlink>
      <w:r w:rsidR="00DD3710" w:rsidRPr="0043366B">
        <w:rPr>
          <w:rFonts w:ascii="Arial" w:hAnsi="Arial" w:cs="Arial"/>
          <w:szCs w:val="22"/>
        </w:rPr>
        <w:t xml:space="preserve"> (https://en.adgm.thomsonreuters.com/). </w:t>
      </w:r>
    </w:p>
    <w:p w14:paraId="5AA91F1B" w14:textId="4263E753" w:rsidR="0043308E" w:rsidRPr="0092525B" w:rsidRDefault="007222D1" w:rsidP="005117A2">
      <w:pPr>
        <w:pStyle w:val="Heading2"/>
        <w:spacing w:line="276" w:lineRule="auto"/>
      </w:pPr>
      <w:bookmarkStart w:id="11" w:name="_Toc40969186"/>
      <w:r w:rsidRPr="0092525B">
        <w:t>Important</w:t>
      </w:r>
      <w:r w:rsidR="000F541B" w:rsidRPr="0092525B">
        <w:t xml:space="preserve"> </w:t>
      </w:r>
      <w:r w:rsidR="007A39A3" w:rsidRPr="0092525B">
        <w:t>i</w:t>
      </w:r>
      <w:r w:rsidR="000F541B" w:rsidRPr="0092525B">
        <w:t>nformation</w:t>
      </w:r>
      <w:bookmarkEnd w:id="11"/>
    </w:p>
    <w:p w14:paraId="11CF9CBE" w14:textId="77777777" w:rsidR="00CE7B57" w:rsidRPr="0043366B" w:rsidRDefault="00CE7B57" w:rsidP="005117A2">
      <w:pPr>
        <w:spacing w:line="276" w:lineRule="auto"/>
        <w:jc w:val="lowKashida"/>
        <w:rPr>
          <w:rFonts w:ascii="Arial" w:hAnsi="Arial" w:cs="Arial"/>
        </w:rPr>
      </w:pPr>
    </w:p>
    <w:bookmarkEnd w:id="6"/>
    <w:p w14:paraId="77204C64" w14:textId="1E3277EE" w:rsidR="00DF7706" w:rsidRPr="0043366B" w:rsidRDefault="00DF7706" w:rsidP="005117A2">
      <w:pPr>
        <w:spacing w:line="276" w:lineRule="auto"/>
        <w:jc w:val="both"/>
        <w:rPr>
          <w:rFonts w:ascii="Arial" w:hAnsi="Arial" w:cs="Arial"/>
        </w:rPr>
      </w:pPr>
      <w:r w:rsidRPr="0043366B">
        <w:rPr>
          <w:rFonts w:ascii="Arial" w:hAnsi="Arial" w:cs="Arial"/>
          <w:color w:val="0B0C0C"/>
        </w:rPr>
        <w:t xml:space="preserve">The </w:t>
      </w:r>
      <w:r w:rsidR="007455B9" w:rsidRPr="0043366B">
        <w:rPr>
          <w:rFonts w:ascii="Arial" w:hAnsi="Arial" w:cs="Arial"/>
          <w:color w:val="0B0C0C"/>
        </w:rPr>
        <w:t>RA</w:t>
      </w:r>
      <w:r w:rsidRPr="0043366B">
        <w:rPr>
          <w:rFonts w:ascii="Arial" w:hAnsi="Arial" w:cs="Arial"/>
          <w:color w:val="0B0C0C"/>
        </w:rPr>
        <w:t xml:space="preserve"> cannot give technical or legal advice</w:t>
      </w:r>
      <w:r w:rsidR="06403F69" w:rsidRPr="0043366B">
        <w:rPr>
          <w:rFonts w:ascii="Arial" w:hAnsi="Arial" w:cs="Arial"/>
          <w:color w:val="0B0C0C"/>
        </w:rPr>
        <w:t>, it</w:t>
      </w:r>
      <w:r w:rsidRPr="0043366B">
        <w:rPr>
          <w:rFonts w:ascii="Arial" w:hAnsi="Arial" w:cs="Arial"/>
          <w:color w:val="0B0C0C"/>
        </w:rPr>
        <w:t xml:space="preserve"> can only give general guidance. </w:t>
      </w:r>
      <w:r w:rsidR="63AA4778" w:rsidRPr="0043366B">
        <w:rPr>
          <w:rFonts w:ascii="Arial" w:hAnsi="Arial" w:cs="Arial"/>
          <w:color w:val="0B0C0C"/>
        </w:rPr>
        <w:t xml:space="preserve">Questions concerning a specific company which arise following a review of this </w:t>
      </w:r>
      <w:r w:rsidR="00EE6739">
        <w:rPr>
          <w:rFonts w:ascii="Arial" w:hAnsi="Arial" w:cs="Arial"/>
          <w:color w:val="0B0C0C"/>
        </w:rPr>
        <w:t>G</w:t>
      </w:r>
      <w:r w:rsidR="63AA4778" w:rsidRPr="0043366B">
        <w:rPr>
          <w:rFonts w:ascii="Arial" w:hAnsi="Arial" w:cs="Arial"/>
          <w:color w:val="0B0C0C"/>
        </w:rPr>
        <w:t>uidance should be directed to appropriately skilled legal or accounting professionals.</w:t>
      </w:r>
    </w:p>
    <w:p w14:paraId="5271991F" w14:textId="060F3BFA" w:rsidR="5BC5FE8A" w:rsidRPr="00794AFC" w:rsidRDefault="5BC5FE8A" w:rsidP="00DF25FB">
      <w:pPr>
        <w:pStyle w:val="Heading1"/>
      </w:pPr>
    </w:p>
    <w:p w14:paraId="6FBBB1DF" w14:textId="52CADFF6" w:rsidR="0FC0C941" w:rsidRPr="0043366B" w:rsidRDefault="0FC0C941" w:rsidP="00DF25FB">
      <w:pPr>
        <w:pStyle w:val="Heading1"/>
      </w:pPr>
      <w:bookmarkStart w:id="12" w:name="_Toc118206884"/>
      <w:r w:rsidRPr="0043366B">
        <w:t>2. Purpose of the ESG Disclosure</w:t>
      </w:r>
      <w:r w:rsidR="002926F1" w:rsidRPr="0043366B">
        <w:t>s</w:t>
      </w:r>
      <w:r w:rsidRPr="0043366B">
        <w:t xml:space="preserve"> Framework</w:t>
      </w:r>
      <w:bookmarkEnd w:id="12"/>
    </w:p>
    <w:p w14:paraId="4B781262" w14:textId="0C5FF34D" w:rsidR="5BC5FE8A" w:rsidRPr="007857FE" w:rsidRDefault="5BC5FE8A">
      <w:pPr>
        <w:rPr>
          <w:rFonts w:ascii="Arial" w:hAnsi="Arial" w:cs="Arial"/>
          <w:szCs w:val="22"/>
        </w:rPr>
      </w:pPr>
    </w:p>
    <w:p w14:paraId="04F7303C" w14:textId="77241471" w:rsidR="007A7B4A" w:rsidRPr="0043366B" w:rsidRDefault="005B65B6" w:rsidP="00765D91">
      <w:pPr>
        <w:jc w:val="both"/>
        <w:rPr>
          <w:rFonts w:ascii="Arial" w:hAnsi="Arial" w:cs="Arial"/>
        </w:rPr>
      </w:pPr>
      <w:r w:rsidRPr="0043366B">
        <w:rPr>
          <w:rFonts w:ascii="Arial" w:hAnsi="Arial" w:cs="Arial"/>
        </w:rPr>
        <w:t xml:space="preserve">The RA’s ESG </w:t>
      </w:r>
      <w:r w:rsidR="00CE7B57" w:rsidRPr="0043366B">
        <w:rPr>
          <w:rFonts w:ascii="Arial" w:hAnsi="Arial" w:cs="Arial"/>
        </w:rPr>
        <w:t>D</w:t>
      </w:r>
      <w:r w:rsidRPr="0043366B">
        <w:rPr>
          <w:rFonts w:ascii="Arial" w:hAnsi="Arial" w:cs="Arial"/>
        </w:rPr>
        <w:t>isclosure</w:t>
      </w:r>
      <w:r w:rsidR="47EF7B96" w:rsidRPr="0043366B">
        <w:rPr>
          <w:rFonts w:ascii="Arial" w:hAnsi="Arial" w:cs="Arial"/>
        </w:rPr>
        <w:t>s</w:t>
      </w:r>
      <w:r w:rsidRPr="0043366B">
        <w:rPr>
          <w:rFonts w:ascii="Arial" w:hAnsi="Arial" w:cs="Arial"/>
        </w:rPr>
        <w:t xml:space="preserve"> </w:t>
      </w:r>
      <w:r w:rsidR="00CE7B57" w:rsidRPr="0043366B">
        <w:rPr>
          <w:rFonts w:ascii="Arial" w:hAnsi="Arial" w:cs="Arial"/>
        </w:rPr>
        <w:t>F</w:t>
      </w:r>
      <w:r w:rsidRPr="0043366B">
        <w:rPr>
          <w:rFonts w:ascii="Arial" w:hAnsi="Arial" w:cs="Arial"/>
        </w:rPr>
        <w:t>ramework seeks to encourage</w:t>
      </w:r>
      <w:r w:rsidR="00B9238B">
        <w:rPr>
          <w:rFonts w:ascii="Arial" w:hAnsi="Arial" w:cs="Arial"/>
        </w:rPr>
        <w:t xml:space="preserve"> good</w:t>
      </w:r>
      <w:r w:rsidRPr="0043366B">
        <w:rPr>
          <w:rFonts w:ascii="Arial" w:hAnsi="Arial" w:cs="Arial"/>
        </w:rPr>
        <w:t xml:space="preserve"> </w:t>
      </w:r>
      <w:r w:rsidR="006D7317" w:rsidRPr="0043366B">
        <w:rPr>
          <w:rFonts w:ascii="Arial" w:hAnsi="Arial" w:cs="Arial"/>
        </w:rPr>
        <w:t>practice by ADGM</w:t>
      </w:r>
      <w:r w:rsidR="004E5E4C" w:rsidRPr="0043366B">
        <w:rPr>
          <w:rFonts w:ascii="Arial" w:hAnsi="Arial" w:cs="Arial"/>
        </w:rPr>
        <w:t xml:space="preserve"> companies</w:t>
      </w:r>
      <w:r w:rsidR="006D7317" w:rsidRPr="0043366B">
        <w:rPr>
          <w:rFonts w:ascii="Arial" w:hAnsi="Arial" w:cs="Arial"/>
        </w:rPr>
        <w:t xml:space="preserve"> in disclosing applicable </w:t>
      </w:r>
      <w:r w:rsidR="00572508" w:rsidRPr="0043366B">
        <w:rPr>
          <w:rFonts w:ascii="Arial" w:hAnsi="Arial" w:cs="Arial"/>
        </w:rPr>
        <w:t xml:space="preserve">information on </w:t>
      </w:r>
      <w:r w:rsidR="002F013B">
        <w:rPr>
          <w:rFonts w:ascii="Arial" w:hAnsi="Arial" w:cs="Arial"/>
        </w:rPr>
        <w:t>ESG</w:t>
      </w:r>
      <w:r w:rsidR="00572508" w:rsidRPr="0043366B">
        <w:rPr>
          <w:rFonts w:ascii="Arial" w:hAnsi="Arial" w:cs="Arial"/>
        </w:rPr>
        <w:t xml:space="preserve"> </w:t>
      </w:r>
      <w:r w:rsidR="00DC5776" w:rsidRPr="0043366B">
        <w:rPr>
          <w:rFonts w:ascii="Arial" w:hAnsi="Arial" w:cs="Arial"/>
        </w:rPr>
        <w:t xml:space="preserve">factors in line with </w:t>
      </w:r>
      <w:r w:rsidR="005A5FFE" w:rsidRPr="0043366B">
        <w:rPr>
          <w:rFonts w:ascii="Arial" w:hAnsi="Arial" w:cs="Arial"/>
        </w:rPr>
        <w:t>a globally recognised disclosure</w:t>
      </w:r>
      <w:r w:rsidR="2E1DA347" w:rsidRPr="0043366B">
        <w:rPr>
          <w:rFonts w:ascii="Arial" w:hAnsi="Arial" w:cs="Arial"/>
        </w:rPr>
        <w:t>s</w:t>
      </w:r>
      <w:r w:rsidR="005A5FFE" w:rsidRPr="0043366B">
        <w:rPr>
          <w:rFonts w:ascii="Arial" w:hAnsi="Arial" w:cs="Arial"/>
        </w:rPr>
        <w:t xml:space="preserve"> standard.</w:t>
      </w:r>
      <w:r w:rsidR="003A029D" w:rsidRPr="0043366B">
        <w:rPr>
          <w:rFonts w:ascii="Arial" w:hAnsi="Arial" w:cs="Arial"/>
        </w:rPr>
        <w:t xml:space="preserve"> </w:t>
      </w:r>
    </w:p>
    <w:p w14:paraId="58CAE4E6" w14:textId="45E6F332" w:rsidR="007A7B4A" w:rsidRPr="0043366B" w:rsidRDefault="007A7B4A" w:rsidP="00765D91">
      <w:pPr>
        <w:jc w:val="both"/>
        <w:rPr>
          <w:rFonts w:ascii="Arial" w:hAnsi="Arial" w:cs="Arial"/>
        </w:rPr>
      </w:pPr>
    </w:p>
    <w:p w14:paraId="7E78BEFA" w14:textId="1D46A0FE" w:rsidR="000D27A8" w:rsidRPr="0043366B" w:rsidRDefault="000D27A8" w:rsidP="0043366B">
      <w:pPr>
        <w:jc w:val="both"/>
        <w:rPr>
          <w:rFonts w:ascii="Arial" w:hAnsi="Arial" w:cs="Arial"/>
        </w:rPr>
      </w:pPr>
      <w:r w:rsidRPr="0043366B">
        <w:rPr>
          <w:rFonts w:ascii="Arial" w:hAnsi="Arial" w:cs="Arial"/>
        </w:rPr>
        <w:t xml:space="preserve">The </w:t>
      </w:r>
      <w:r w:rsidR="00177486" w:rsidRPr="0043366B">
        <w:rPr>
          <w:rFonts w:ascii="Arial" w:hAnsi="Arial" w:cs="Arial"/>
        </w:rPr>
        <w:t xml:space="preserve">ESG Disclosures </w:t>
      </w:r>
      <w:r w:rsidRPr="0043366B">
        <w:rPr>
          <w:rFonts w:ascii="Arial" w:hAnsi="Arial" w:cs="Arial"/>
        </w:rPr>
        <w:t xml:space="preserve">Framework </w:t>
      </w:r>
      <w:r w:rsidR="00B9238B">
        <w:rPr>
          <w:rFonts w:ascii="Arial" w:hAnsi="Arial" w:cs="Arial"/>
        </w:rPr>
        <w:t>may</w:t>
      </w:r>
      <w:r w:rsidR="00B9238B" w:rsidRPr="0043366B">
        <w:rPr>
          <w:rFonts w:ascii="Arial" w:hAnsi="Arial" w:cs="Arial"/>
        </w:rPr>
        <w:t xml:space="preserve"> </w:t>
      </w:r>
      <w:r w:rsidRPr="0043366B">
        <w:rPr>
          <w:rFonts w:ascii="Arial" w:hAnsi="Arial" w:cs="Arial"/>
        </w:rPr>
        <w:t xml:space="preserve">be applied by all ADGM </w:t>
      </w:r>
      <w:r w:rsidR="00177486" w:rsidRPr="0043366B">
        <w:rPr>
          <w:rFonts w:ascii="Arial" w:hAnsi="Arial" w:cs="Arial"/>
        </w:rPr>
        <w:t xml:space="preserve">entities </w:t>
      </w:r>
      <w:r w:rsidRPr="0043366B">
        <w:rPr>
          <w:rFonts w:ascii="Arial" w:hAnsi="Arial" w:cs="Arial"/>
        </w:rPr>
        <w:t xml:space="preserve">on a voluntary basis.  For in-scope ADGM companies – being ADGM companies meeting </w:t>
      </w:r>
      <w:r w:rsidR="00B9238B">
        <w:rPr>
          <w:rFonts w:ascii="Arial" w:hAnsi="Arial" w:cs="Arial"/>
        </w:rPr>
        <w:t>one or more of the</w:t>
      </w:r>
      <w:r w:rsidR="00B9238B" w:rsidRPr="0043366B">
        <w:rPr>
          <w:rFonts w:ascii="Arial" w:hAnsi="Arial" w:cs="Arial"/>
        </w:rPr>
        <w:t xml:space="preserve"> </w:t>
      </w:r>
      <w:r w:rsidR="00EE6739">
        <w:rPr>
          <w:rFonts w:ascii="Arial" w:hAnsi="Arial" w:cs="Arial"/>
        </w:rPr>
        <w:t>T</w:t>
      </w:r>
      <w:r w:rsidRPr="0043366B">
        <w:rPr>
          <w:rFonts w:ascii="Arial" w:hAnsi="Arial" w:cs="Arial"/>
        </w:rPr>
        <w:t xml:space="preserve">hreshold </w:t>
      </w:r>
      <w:r w:rsidR="00EE6739">
        <w:rPr>
          <w:rFonts w:ascii="Arial" w:hAnsi="Arial" w:cs="Arial"/>
        </w:rPr>
        <w:t>C</w:t>
      </w:r>
      <w:r w:rsidRPr="0043366B">
        <w:rPr>
          <w:rFonts w:ascii="Arial" w:hAnsi="Arial" w:cs="Arial"/>
        </w:rPr>
        <w:t xml:space="preserve">onditions - </w:t>
      </w:r>
      <w:r w:rsidR="00A41EDA" w:rsidRPr="0043366B">
        <w:rPr>
          <w:rFonts w:ascii="Arial" w:hAnsi="Arial" w:cs="Arial"/>
        </w:rPr>
        <w:t>the RA</w:t>
      </w:r>
      <w:r w:rsidR="005507F5" w:rsidRPr="0043366B">
        <w:rPr>
          <w:rFonts w:ascii="Arial" w:hAnsi="Arial" w:cs="Arial"/>
        </w:rPr>
        <w:t xml:space="preserve"> has adopted a flexible ‘comply or explain’ </w:t>
      </w:r>
      <w:r w:rsidRPr="0043366B">
        <w:rPr>
          <w:rFonts w:ascii="Arial" w:hAnsi="Arial" w:cs="Arial"/>
        </w:rPr>
        <w:t>approach to applicable disclosures</w:t>
      </w:r>
      <w:r w:rsidR="005507F5" w:rsidRPr="0043366B">
        <w:rPr>
          <w:rFonts w:ascii="Arial" w:hAnsi="Arial" w:cs="Arial"/>
        </w:rPr>
        <w:t xml:space="preserve">. </w:t>
      </w:r>
      <w:r w:rsidRPr="0043366B">
        <w:rPr>
          <w:rFonts w:ascii="Arial" w:hAnsi="Arial" w:cs="Arial"/>
        </w:rPr>
        <w:t xml:space="preserve"> In doing so, ADGM wishes to foster an ecosystem of companies which seek to help play a part in meeting the UAE’s net zero </w:t>
      </w:r>
      <w:r w:rsidR="00690B05">
        <w:rPr>
          <w:rFonts w:ascii="Arial" w:hAnsi="Arial" w:cs="Arial"/>
        </w:rPr>
        <w:t xml:space="preserve">by 2050 strategic </w:t>
      </w:r>
      <w:r w:rsidR="00F0539D">
        <w:rPr>
          <w:rFonts w:ascii="Arial" w:hAnsi="Arial" w:cs="Arial"/>
        </w:rPr>
        <w:t>initiative</w:t>
      </w:r>
      <w:r w:rsidR="00A57A82">
        <w:rPr>
          <w:rFonts w:ascii="Arial" w:hAnsi="Arial" w:cs="Arial"/>
        </w:rPr>
        <w:t xml:space="preserve"> by disclosing the impact of their compan</w:t>
      </w:r>
      <w:r w:rsidR="00F8375C">
        <w:rPr>
          <w:rFonts w:ascii="Arial" w:hAnsi="Arial" w:cs="Arial"/>
        </w:rPr>
        <w:t xml:space="preserve">y’s </w:t>
      </w:r>
      <w:r w:rsidR="00B9238B">
        <w:rPr>
          <w:rFonts w:ascii="Arial" w:hAnsi="Arial" w:cs="Arial"/>
        </w:rPr>
        <w:t>operations</w:t>
      </w:r>
      <w:r w:rsidR="00F8375C">
        <w:rPr>
          <w:rFonts w:ascii="Arial" w:hAnsi="Arial" w:cs="Arial"/>
        </w:rPr>
        <w:t xml:space="preserve"> on ESG factors</w:t>
      </w:r>
      <w:r w:rsidRPr="0043366B">
        <w:rPr>
          <w:rFonts w:ascii="Arial" w:hAnsi="Arial" w:cs="Arial"/>
        </w:rPr>
        <w:t xml:space="preserve">. </w:t>
      </w:r>
    </w:p>
    <w:p w14:paraId="2EA72645" w14:textId="77777777" w:rsidR="000D27A8" w:rsidRPr="0043366B" w:rsidRDefault="000D27A8" w:rsidP="0043366B">
      <w:pPr>
        <w:jc w:val="both"/>
        <w:rPr>
          <w:rFonts w:ascii="Arial" w:hAnsi="Arial" w:cs="Arial"/>
        </w:rPr>
      </w:pPr>
    </w:p>
    <w:p w14:paraId="58057CF4" w14:textId="08AC166F" w:rsidR="007A7B4A" w:rsidRPr="0043366B" w:rsidRDefault="000D27A8" w:rsidP="0043366B">
      <w:pPr>
        <w:jc w:val="both"/>
        <w:rPr>
          <w:rFonts w:ascii="Arial" w:hAnsi="Arial" w:cs="Arial"/>
        </w:rPr>
      </w:pPr>
      <w:r w:rsidRPr="0043366B">
        <w:rPr>
          <w:rFonts w:ascii="Arial" w:hAnsi="Arial" w:cs="Arial"/>
        </w:rPr>
        <w:t xml:space="preserve">The RA </w:t>
      </w:r>
      <w:r w:rsidR="00B9238B">
        <w:rPr>
          <w:rFonts w:ascii="Arial" w:hAnsi="Arial" w:cs="Arial"/>
        </w:rPr>
        <w:t>will</w:t>
      </w:r>
      <w:r w:rsidRPr="0043366B">
        <w:rPr>
          <w:rFonts w:ascii="Arial" w:hAnsi="Arial" w:cs="Arial"/>
        </w:rPr>
        <w:t xml:space="preserve"> monitor whether the ‘comply or explain’ approach is effective in achieving the stated outcomes of the ESG Disclosures Framework.  In the future, the RA ma</w:t>
      </w:r>
      <w:r w:rsidR="00985257" w:rsidRPr="0043366B">
        <w:rPr>
          <w:rFonts w:ascii="Arial" w:hAnsi="Arial" w:cs="Arial"/>
        </w:rPr>
        <w:t>y</w:t>
      </w:r>
      <w:r w:rsidRPr="0043366B">
        <w:rPr>
          <w:rFonts w:ascii="Arial" w:hAnsi="Arial" w:cs="Arial"/>
        </w:rPr>
        <w:t xml:space="preserve"> </w:t>
      </w:r>
      <w:r w:rsidR="00B9238B">
        <w:rPr>
          <w:rFonts w:ascii="Arial" w:hAnsi="Arial" w:cs="Arial"/>
        </w:rPr>
        <w:t>decide</w:t>
      </w:r>
      <w:r w:rsidR="00B9238B" w:rsidRPr="0043366B">
        <w:rPr>
          <w:rFonts w:ascii="Arial" w:hAnsi="Arial" w:cs="Arial"/>
        </w:rPr>
        <w:t xml:space="preserve"> </w:t>
      </w:r>
      <w:r w:rsidRPr="0043366B">
        <w:rPr>
          <w:rFonts w:ascii="Arial" w:hAnsi="Arial" w:cs="Arial"/>
        </w:rPr>
        <w:t xml:space="preserve">to impose a mandatory </w:t>
      </w:r>
      <w:r w:rsidR="00CC1490" w:rsidRPr="0043366B">
        <w:rPr>
          <w:rFonts w:ascii="Arial" w:hAnsi="Arial" w:cs="Arial"/>
        </w:rPr>
        <w:t xml:space="preserve">ESG </w:t>
      </w:r>
      <w:r w:rsidRPr="0043366B">
        <w:rPr>
          <w:rFonts w:ascii="Arial" w:hAnsi="Arial" w:cs="Arial"/>
        </w:rPr>
        <w:t>disclosure</w:t>
      </w:r>
      <w:r w:rsidR="00A2775A" w:rsidRPr="0043366B">
        <w:rPr>
          <w:rFonts w:ascii="Arial" w:hAnsi="Arial" w:cs="Arial"/>
        </w:rPr>
        <w:t>s</w:t>
      </w:r>
      <w:r w:rsidRPr="0043366B">
        <w:rPr>
          <w:rFonts w:ascii="Arial" w:hAnsi="Arial" w:cs="Arial"/>
        </w:rPr>
        <w:t xml:space="preserve"> </w:t>
      </w:r>
      <w:r w:rsidR="00342F0F" w:rsidRPr="0043366B">
        <w:rPr>
          <w:rFonts w:ascii="Arial" w:hAnsi="Arial" w:cs="Arial"/>
        </w:rPr>
        <w:t>framework</w:t>
      </w:r>
      <w:r w:rsidRPr="0043366B">
        <w:rPr>
          <w:rFonts w:ascii="Arial" w:hAnsi="Arial" w:cs="Arial"/>
        </w:rPr>
        <w:t xml:space="preserve"> for in-scope entities</w:t>
      </w:r>
      <w:r w:rsidR="00CC1490" w:rsidRPr="0043366B">
        <w:rPr>
          <w:rFonts w:ascii="Arial" w:hAnsi="Arial" w:cs="Arial"/>
        </w:rPr>
        <w:t>. N</w:t>
      </w:r>
      <w:r w:rsidR="005507F5" w:rsidRPr="0043366B">
        <w:rPr>
          <w:rFonts w:ascii="Arial" w:hAnsi="Arial" w:cs="Arial"/>
        </w:rPr>
        <w:t>othing in this</w:t>
      </w:r>
      <w:r w:rsidRPr="0043366B">
        <w:rPr>
          <w:rFonts w:ascii="Arial" w:hAnsi="Arial" w:cs="Arial"/>
        </w:rPr>
        <w:t xml:space="preserve"> G</w:t>
      </w:r>
      <w:r w:rsidR="005507F5" w:rsidRPr="0043366B">
        <w:rPr>
          <w:rFonts w:ascii="Arial" w:hAnsi="Arial" w:cs="Arial"/>
        </w:rPr>
        <w:t xml:space="preserve">uidance should be interpreted as an assurance that </w:t>
      </w:r>
      <w:r w:rsidRPr="0043366B">
        <w:rPr>
          <w:rFonts w:ascii="Arial" w:hAnsi="Arial" w:cs="Arial"/>
        </w:rPr>
        <w:t xml:space="preserve">the </w:t>
      </w:r>
      <w:r w:rsidR="00B9238B">
        <w:rPr>
          <w:rFonts w:ascii="Arial" w:hAnsi="Arial" w:cs="Arial"/>
        </w:rPr>
        <w:t>‘</w:t>
      </w:r>
      <w:r w:rsidRPr="0043366B">
        <w:rPr>
          <w:rFonts w:ascii="Arial" w:hAnsi="Arial" w:cs="Arial"/>
        </w:rPr>
        <w:t>comply or explain</w:t>
      </w:r>
      <w:r w:rsidR="00B9238B">
        <w:rPr>
          <w:rFonts w:ascii="Arial" w:hAnsi="Arial" w:cs="Arial"/>
        </w:rPr>
        <w:t>’</w:t>
      </w:r>
      <w:r w:rsidRPr="0043366B">
        <w:rPr>
          <w:rFonts w:ascii="Arial" w:hAnsi="Arial" w:cs="Arial"/>
        </w:rPr>
        <w:t xml:space="preserve"> approach will continue in the future.</w:t>
      </w:r>
    </w:p>
    <w:p w14:paraId="1192CD1F" w14:textId="5E75821D" w:rsidR="0FC0C941" w:rsidRPr="007857FE" w:rsidRDefault="0FC0C941" w:rsidP="000042F6">
      <w:pPr>
        <w:rPr>
          <w:rFonts w:ascii="Arial" w:hAnsi="Arial" w:cs="Arial"/>
          <w:szCs w:val="22"/>
        </w:rPr>
      </w:pPr>
    </w:p>
    <w:p w14:paraId="49144C36" w14:textId="34C3F8FD" w:rsidR="00753CC6" w:rsidRDefault="00374BA0" w:rsidP="00DF25FB">
      <w:pPr>
        <w:pStyle w:val="Heading1"/>
      </w:pPr>
      <w:bookmarkStart w:id="13" w:name="_Toc118206885"/>
      <w:r w:rsidRPr="0043366B">
        <w:t xml:space="preserve">3. Scope of the </w:t>
      </w:r>
      <w:r w:rsidR="0056477C" w:rsidRPr="0043366B">
        <w:t>ESG Disclosure</w:t>
      </w:r>
      <w:r w:rsidR="002926F1" w:rsidRPr="0043366B">
        <w:t>s</w:t>
      </w:r>
      <w:r w:rsidR="0056477C" w:rsidRPr="0043366B">
        <w:t xml:space="preserve"> Framework</w:t>
      </w:r>
      <w:bookmarkEnd w:id="13"/>
    </w:p>
    <w:p w14:paraId="5D33DCF2" w14:textId="77777777" w:rsidR="00794AFC" w:rsidRPr="00192324" w:rsidRDefault="00794AFC" w:rsidP="007857FE"/>
    <w:p w14:paraId="569A34A8" w14:textId="1FC72920" w:rsidR="00C57055" w:rsidRPr="0043366B" w:rsidRDefault="00177486" w:rsidP="007857FE">
      <w:pPr>
        <w:widowControl w:val="0"/>
        <w:autoSpaceDE w:val="0"/>
        <w:autoSpaceDN w:val="0"/>
        <w:jc w:val="both"/>
        <w:rPr>
          <w:rFonts w:ascii="Arial" w:hAnsi="Arial" w:cs="Arial"/>
        </w:rPr>
      </w:pPr>
      <w:r w:rsidRPr="0043366B">
        <w:rPr>
          <w:rFonts w:ascii="Arial" w:hAnsi="Arial" w:cs="Arial"/>
        </w:rPr>
        <w:t xml:space="preserve">Companies </w:t>
      </w:r>
      <w:r w:rsidR="7A3DBC95" w:rsidRPr="0043366B">
        <w:rPr>
          <w:rFonts w:ascii="Arial" w:hAnsi="Arial" w:cs="Arial"/>
        </w:rPr>
        <w:t xml:space="preserve">established </w:t>
      </w:r>
      <w:r w:rsidR="002F013B">
        <w:rPr>
          <w:rFonts w:ascii="Arial" w:hAnsi="Arial" w:cs="Arial"/>
        </w:rPr>
        <w:t xml:space="preserve">in </w:t>
      </w:r>
      <w:r w:rsidR="7A3DBC95" w:rsidRPr="0043366B">
        <w:rPr>
          <w:rFonts w:ascii="Arial" w:hAnsi="Arial" w:cs="Arial"/>
        </w:rPr>
        <w:t>or continued in</w:t>
      </w:r>
      <w:r w:rsidRPr="0043366B">
        <w:rPr>
          <w:rFonts w:ascii="Arial" w:hAnsi="Arial" w:cs="Arial"/>
        </w:rPr>
        <w:t>to</w:t>
      </w:r>
      <w:r w:rsidR="7A3DBC95" w:rsidRPr="0043366B">
        <w:rPr>
          <w:rFonts w:ascii="Arial" w:hAnsi="Arial" w:cs="Arial"/>
        </w:rPr>
        <w:t xml:space="preserve"> ADGM may be within the scope of the ESG Disclosure</w:t>
      </w:r>
      <w:r w:rsidR="12F4B570" w:rsidRPr="0043366B">
        <w:rPr>
          <w:rFonts w:ascii="Arial" w:hAnsi="Arial" w:cs="Arial"/>
        </w:rPr>
        <w:t>s</w:t>
      </w:r>
      <w:r w:rsidR="7A3DBC95" w:rsidRPr="0043366B">
        <w:rPr>
          <w:rFonts w:ascii="Arial" w:hAnsi="Arial" w:cs="Arial"/>
        </w:rPr>
        <w:t xml:space="preserve"> Framework</w:t>
      </w:r>
      <w:r w:rsidR="001B9524" w:rsidRPr="0043366B">
        <w:rPr>
          <w:rFonts w:ascii="Arial" w:hAnsi="Arial" w:cs="Arial"/>
        </w:rPr>
        <w:t xml:space="preserve">. </w:t>
      </w:r>
      <w:r w:rsidR="00C57055" w:rsidRPr="0043366B">
        <w:rPr>
          <w:rFonts w:ascii="Arial" w:hAnsi="Arial" w:cs="Arial"/>
        </w:rPr>
        <w:t xml:space="preserve"> The following entities do not fall within the scope of the </w:t>
      </w:r>
      <w:r w:rsidR="0056477C" w:rsidRPr="0043366B">
        <w:rPr>
          <w:rFonts w:ascii="Arial" w:hAnsi="Arial" w:cs="Arial"/>
        </w:rPr>
        <w:t>ESG Disclosure</w:t>
      </w:r>
      <w:r w:rsidR="209C628D" w:rsidRPr="0043366B">
        <w:rPr>
          <w:rFonts w:ascii="Arial" w:hAnsi="Arial" w:cs="Arial"/>
        </w:rPr>
        <w:t>s</w:t>
      </w:r>
      <w:r w:rsidR="0056477C" w:rsidRPr="0043366B">
        <w:rPr>
          <w:rFonts w:ascii="Arial" w:hAnsi="Arial" w:cs="Arial"/>
        </w:rPr>
        <w:t xml:space="preserve"> Framework</w:t>
      </w:r>
      <w:r w:rsidR="00C57055" w:rsidRPr="0043366B">
        <w:rPr>
          <w:rFonts w:ascii="Arial" w:hAnsi="Arial" w:cs="Arial"/>
        </w:rPr>
        <w:t xml:space="preserve">, either by virtue of not being governed by the </w:t>
      </w:r>
      <w:r w:rsidR="00CA20E1" w:rsidRPr="0043366B">
        <w:rPr>
          <w:rFonts w:ascii="Arial" w:hAnsi="Arial" w:cs="Arial"/>
        </w:rPr>
        <w:t>CR</w:t>
      </w:r>
      <w:r w:rsidR="00C57055" w:rsidRPr="0043366B">
        <w:rPr>
          <w:rFonts w:ascii="Arial" w:hAnsi="Arial" w:cs="Arial"/>
        </w:rPr>
        <w:t xml:space="preserve">, or by being expressly exempted from the scope of the </w:t>
      </w:r>
      <w:r w:rsidR="0056477C" w:rsidRPr="0043366B">
        <w:rPr>
          <w:rFonts w:ascii="Arial" w:hAnsi="Arial" w:cs="Arial"/>
        </w:rPr>
        <w:t>ESG Disclosure</w:t>
      </w:r>
      <w:r w:rsidR="00EA04B4" w:rsidRPr="0043366B">
        <w:rPr>
          <w:rFonts w:ascii="Arial" w:hAnsi="Arial" w:cs="Arial"/>
        </w:rPr>
        <w:t>s</w:t>
      </w:r>
      <w:r w:rsidR="0056477C" w:rsidRPr="0043366B">
        <w:rPr>
          <w:rFonts w:ascii="Arial" w:hAnsi="Arial" w:cs="Arial"/>
        </w:rPr>
        <w:t xml:space="preserve"> Framework</w:t>
      </w:r>
      <w:r w:rsidR="000621CC">
        <w:rPr>
          <w:rFonts w:ascii="Arial" w:hAnsi="Arial" w:cs="Arial"/>
        </w:rPr>
        <w:t>.</w:t>
      </w:r>
    </w:p>
    <w:p w14:paraId="429824D2" w14:textId="14653DAF" w:rsidR="00C57055" w:rsidRPr="0043366B" w:rsidRDefault="00C57055" w:rsidP="00C57055">
      <w:pPr>
        <w:pStyle w:val="ListParagraph"/>
        <w:widowControl w:val="0"/>
        <w:numPr>
          <w:ilvl w:val="1"/>
          <w:numId w:val="45"/>
        </w:numPr>
        <w:autoSpaceDE w:val="0"/>
        <w:autoSpaceDN w:val="0"/>
        <w:spacing w:before="120"/>
        <w:contextualSpacing w:val="0"/>
        <w:jc w:val="both"/>
        <w:rPr>
          <w:rFonts w:ascii="Arial" w:hAnsi="Arial" w:cs="Arial"/>
          <w:szCs w:val="22"/>
        </w:rPr>
      </w:pPr>
      <w:r w:rsidRPr="0043366B">
        <w:rPr>
          <w:rFonts w:ascii="Arial" w:hAnsi="Arial" w:cs="Arial"/>
          <w:szCs w:val="22"/>
        </w:rPr>
        <w:t>Foundations</w:t>
      </w:r>
      <w:r w:rsidR="0030225B" w:rsidRPr="0043366B">
        <w:rPr>
          <w:rFonts w:ascii="Arial" w:hAnsi="Arial" w:cs="Arial"/>
          <w:szCs w:val="22"/>
        </w:rPr>
        <w:t>.</w:t>
      </w:r>
    </w:p>
    <w:p w14:paraId="61C9533F" w14:textId="04EF4200" w:rsidR="00C57055" w:rsidRPr="0043366B" w:rsidRDefault="00C57055" w:rsidP="34A1810F">
      <w:pPr>
        <w:pStyle w:val="ListParagraph"/>
        <w:widowControl w:val="0"/>
        <w:numPr>
          <w:ilvl w:val="1"/>
          <w:numId w:val="45"/>
        </w:numPr>
        <w:autoSpaceDE w:val="0"/>
        <w:autoSpaceDN w:val="0"/>
        <w:spacing w:before="120"/>
        <w:contextualSpacing w:val="0"/>
        <w:jc w:val="both"/>
        <w:rPr>
          <w:rFonts w:ascii="Arial" w:hAnsi="Arial" w:cs="Arial"/>
          <w:szCs w:val="22"/>
        </w:rPr>
      </w:pPr>
      <w:r w:rsidRPr="0043366B">
        <w:rPr>
          <w:rFonts w:ascii="Arial" w:hAnsi="Arial" w:cs="Arial"/>
          <w:szCs w:val="22"/>
        </w:rPr>
        <w:t>Limited Liability Partnerships</w:t>
      </w:r>
      <w:r w:rsidR="0030225B" w:rsidRPr="0043366B">
        <w:rPr>
          <w:rFonts w:ascii="Arial" w:hAnsi="Arial" w:cs="Arial"/>
          <w:szCs w:val="22"/>
        </w:rPr>
        <w:t>.</w:t>
      </w:r>
      <w:r w:rsidR="001B9524" w:rsidRPr="0043366B">
        <w:rPr>
          <w:rFonts w:ascii="Arial" w:hAnsi="Arial" w:cs="Arial"/>
          <w:szCs w:val="22"/>
        </w:rPr>
        <w:t xml:space="preserve">  </w:t>
      </w:r>
    </w:p>
    <w:p w14:paraId="038B7241" w14:textId="2FBF73B6" w:rsidR="00C57055" w:rsidRPr="0043366B" w:rsidRDefault="00177486" w:rsidP="00C57055">
      <w:pPr>
        <w:pStyle w:val="ListParagraph"/>
        <w:widowControl w:val="0"/>
        <w:numPr>
          <w:ilvl w:val="1"/>
          <w:numId w:val="45"/>
        </w:numPr>
        <w:autoSpaceDE w:val="0"/>
        <w:autoSpaceDN w:val="0"/>
        <w:spacing w:before="120"/>
        <w:contextualSpacing w:val="0"/>
        <w:jc w:val="both"/>
        <w:rPr>
          <w:rFonts w:ascii="Arial" w:hAnsi="Arial" w:cs="Arial"/>
          <w:szCs w:val="22"/>
        </w:rPr>
      </w:pPr>
      <w:r w:rsidRPr="0043366B">
        <w:rPr>
          <w:rFonts w:ascii="Arial" w:hAnsi="Arial" w:cs="Arial"/>
          <w:szCs w:val="22"/>
        </w:rPr>
        <w:lastRenderedPageBreak/>
        <w:t xml:space="preserve">General and </w:t>
      </w:r>
      <w:r w:rsidR="00C57055" w:rsidRPr="0043366B">
        <w:rPr>
          <w:rFonts w:ascii="Arial" w:hAnsi="Arial" w:cs="Arial"/>
          <w:szCs w:val="22"/>
        </w:rPr>
        <w:t>Limited Partnerships</w:t>
      </w:r>
      <w:r w:rsidR="0030225B" w:rsidRPr="0043366B">
        <w:rPr>
          <w:rFonts w:ascii="Arial" w:hAnsi="Arial" w:cs="Arial"/>
          <w:szCs w:val="22"/>
        </w:rPr>
        <w:t>.</w:t>
      </w:r>
    </w:p>
    <w:p w14:paraId="17AADD57" w14:textId="70F3A9A3" w:rsidR="00C57055" w:rsidRPr="0043366B" w:rsidRDefault="00C57055" w:rsidP="00C57055">
      <w:pPr>
        <w:pStyle w:val="ListParagraph"/>
        <w:widowControl w:val="0"/>
        <w:numPr>
          <w:ilvl w:val="1"/>
          <w:numId w:val="45"/>
        </w:numPr>
        <w:autoSpaceDE w:val="0"/>
        <w:autoSpaceDN w:val="0"/>
        <w:spacing w:before="120"/>
        <w:contextualSpacing w:val="0"/>
        <w:jc w:val="both"/>
        <w:rPr>
          <w:rFonts w:ascii="Arial" w:hAnsi="Arial" w:cs="Arial"/>
          <w:szCs w:val="22"/>
        </w:rPr>
      </w:pPr>
      <w:r w:rsidRPr="0043366B">
        <w:rPr>
          <w:rFonts w:ascii="Arial" w:hAnsi="Arial" w:cs="Arial"/>
          <w:szCs w:val="22"/>
        </w:rPr>
        <w:t>Restricted Scope Companies</w:t>
      </w:r>
      <w:r w:rsidR="0030225B" w:rsidRPr="0043366B">
        <w:rPr>
          <w:rFonts w:ascii="Arial" w:hAnsi="Arial" w:cs="Arial"/>
          <w:szCs w:val="22"/>
        </w:rPr>
        <w:t>.</w:t>
      </w:r>
    </w:p>
    <w:p w14:paraId="0EE72265" w14:textId="1ACA3C24" w:rsidR="00007D92" w:rsidRPr="0043366B" w:rsidRDefault="00007D92" w:rsidP="350923A7">
      <w:pPr>
        <w:pStyle w:val="ListParagraph"/>
        <w:widowControl w:val="0"/>
        <w:numPr>
          <w:ilvl w:val="1"/>
          <w:numId w:val="45"/>
        </w:numPr>
        <w:autoSpaceDE w:val="0"/>
        <w:autoSpaceDN w:val="0"/>
        <w:spacing w:before="120"/>
        <w:contextualSpacing w:val="0"/>
        <w:jc w:val="both"/>
        <w:rPr>
          <w:rFonts w:ascii="Arial" w:hAnsi="Arial" w:cs="Arial"/>
        </w:rPr>
      </w:pPr>
      <w:r w:rsidRPr="0043366B">
        <w:rPr>
          <w:rFonts w:ascii="Arial" w:hAnsi="Arial" w:cs="Arial"/>
        </w:rPr>
        <w:t xml:space="preserve">Publicly listed companies </w:t>
      </w:r>
      <w:r w:rsidR="003A7809" w:rsidRPr="0043366B">
        <w:rPr>
          <w:rFonts w:ascii="Arial" w:hAnsi="Arial" w:cs="Arial"/>
        </w:rPr>
        <w:t xml:space="preserve">that </w:t>
      </w:r>
      <w:r w:rsidRPr="0043366B">
        <w:rPr>
          <w:rFonts w:ascii="Arial" w:hAnsi="Arial" w:cs="Arial"/>
        </w:rPr>
        <w:t>already make equivalent disclosures in accordance with listing requirements</w:t>
      </w:r>
      <w:r w:rsidR="0030225B" w:rsidRPr="0043366B">
        <w:rPr>
          <w:rFonts w:ascii="Arial" w:hAnsi="Arial" w:cs="Arial"/>
        </w:rPr>
        <w:t>.</w:t>
      </w:r>
      <w:r w:rsidR="00865E76" w:rsidRPr="0043366B">
        <w:rPr>
          <w:rFonts w:ascii="Arial" w:hAnsi="Arial" w:cs="Arial"/>
        </w:rPr>
        <w:t xml:space="preserve">  For the avoidance of doubt, </w:t>
      </w:r>
      <w:r w:rsidR="00865E76" w:rsidRPr="0043366B">
        <w:rPr>
          <w:rFonts w:ascii="Arial" w:hAnsi="Arial" w:cs="Arial"/>
          <w:szCs w:val="22"/>
        </w:rPr>
        <w:t xml:space="preserve">entities considered </w:t>
      </w:r>
      <w:r w:rsidR="00177486" w:rsidRPr="0043366B">
        <w:rPr>
          <w:rFonts w:ascii="Arial" w:hAnsi="Arial" w:cs="Arial"/>
          <w:szCs w:val="22"/>
        </w:rPr>
        <w:t>‘</w:t>
      </w:r>
      <w:r w:rsidR="00865E76" w:rsidRPr="0043366B">
        <w:rPr>
          <w:rFonts w:ascii="Arial" w:hAnsi="Arial" w:cs="Arial"/>
          <w:szCs w:val="22"/>
        </w:rPr>
        <w:t>Listed Entities</w:t>
      </w:r>
      <w:r w:rsidR="00177486" w:rsidRPr="0043366B">
        <w:rPr>
          <w:rFonts w:ascii="Arial" w:hAnsi="Arial" w:cs="Arial"/>
          <w:szCs w:val="22"/>
        </w:rPr>
        <w:t>’</w:t>
      </w:r>
      <w:r w:rsidR="00865E76" w:rsidRPr="0043366B">
        <w:rPr>
          <w:rFonts w:ascii="Arial" w:hAnsi="Arial" w:cs="Arial"/>
          <w:szCs w:val="22"/>
        </w:rPr>
        <w:t xml:space="preserve"> or </w:t>
      </w:r>
      <w:r w:rsidR="00177486" w:rsidRPr="0043366B">
        <w:rPr>
          <w:rFonts w:ascii="Arial" w:hAnsi="Arial" w:cs="Arial"/>
          <w:szCs w:val="22"/>
        </w:rPr>
        <w:t>‘</w:t>
      </w:r>
      <w:r w:rsidR="00865E76" w:rsidRPr="0043366B">
        <w:rPr>
          <w:rFonts w:ascii="Arial" w:hAnsi="Arial" w:cs="Arial"/>
          <w:szCs w:val="22"/>
        </w:rPr>
        <w:t>Reporting Entities</w:t>
      </w:r>
      <w:r w:rsidR="00177486" w:rsidRPr="0043366B">
        <w:rPr>
          <w:rFonts w:ascii="Arial" w:hAnsi="Arial" w:cs="Arial"/>
          <w:szCs w:val="22"/>
        </w:rPr>
        <w:t>’</w:t>
      </w:r>
      <w:r w:rsidR="00865E76" w:rsidRPr="0043366B">
        <w:rPr>
          <w:rFonts w:ascii="Arial" w:hAnsi="Arial" w:cs="Arial"/>
          <w:szCs w:val="22"/>
        </w:rPr>
        <w:t xml:space="preserve"> for the purposes of the </w:t>
      </w:r>
      <w:r w:rsidR="00EF53A8">
        <w:rPr>
          <w:rFonts w:ascii="Arial" w:hAnsi="Arial" w:cs="Arial"/>
          <w:szCs w:val="22"/>
        </w:rPr>
        <w:t xml:space="preserve">FSRA’s </w:t>
      </w:r>
      <w:r w:rsidR="00865E76" w:rsidRPr="0043366B">
        <w:rPr>
          <w:rFonts w:ascii="Arial" w:hAnsi="Arial" w:cs="Arial"/>
          <w:szCs w:val="22"/>
        </w:rPr>
        <w:t xml:space="preserve">MKT Rulebook remain subject to the ESG </w:t>
      </w:r>
      <w:r w:rsidR="00B42467" w:rsidRPr="0043366B">
        <w:rPr>
          <w:rFonts w:ascii="Arial" w:hAnsi="Arial" w:cs="Arial"/>
          <w:szCs w:val="22"/>
        </w:rPr>
        <w:t>disclosure</w:t>
      </w:r>
      <w:r w:rsidR="003A7809" w:rsidRPr="0043366B">
        <w:rPr>
          <w:rFonts w:ascii="Arial" w:hAnsi="Arial" w:cs="Arial"/>
          <w:szCs w:val="22"/>
        </w:rPr>
        <w:t>s</w:t>
      </w:r>
      <w:r w:rsidR="00865E76" w:rsidRPr="0043366B">
        <w:rPr>
          <w:rFonts w:ascii="Arial" w:hAnsi="Arial" w:cs="Arial"/>
          <w:szCs w:val="22"/>
        </w:rPr>
        <w:t xml:space="preserve"> requirements set out there</w:t>
      </w:r>
      <w:r w:rsidR="00CE3452" w:rsidRPr="0043366B">
        <w:rPr>
          <w:rFonts w:ascii="Arial" w:hAnsi="Arial" w:cs="Arial"/>
          <w:szCs w:val="22"/>
        </w:rPr>
        <w:t>i</w:t>
      </w:r>
      <w:r w:rsidR="00865E76" w:rsidRPr="0043366B">
        <w:rPr>
          <w:rFonts w:ascii="Arial" w:hAnsi="Arial" w:cs="Arial"/>
          <w:szCs w:val="22"/>
        </w:rPr>
        <w:t>n.</w:t>
      </w:r>
    </w:p>
    <w:p w14:paraId="10FA0F27" w14:textId="1794F49A" w:rsidR="00C57055" w:rsidRPr="0043366B" w:rsidRDefault="00C57055" w:rsidP="00C57055">
      <w:pPr>
        <w:pStyle w:val="ListParagraph"/>
        <w:widowControl w:val="0"/>
        <w:numPr>
          <w:ilvl w:val="1"/>
          <w:numId w:val="45"/>
        </w:numPr>
        <w:autoSpaceDE w:val="0"/>
        <w:autoSpaceDN w:val="0"/>
        <w:spacing w:before="120"/>
        <w:contextualSpacing w:val="0"/>
        <w:jc w:val="both"/>
        <w:rPr>
          <w:rFonts w:ascii="Arial" w:hAnsi="Arial" w:cs="Arial"/>
          <w:szCs w:val="22"/>
        </w:rPr>
      </w:pPr>
      <w:r w:rsidRPr="0043366B">
        <w:rPr>
          <w:rFonts w:ascii="Arial" w:hAnsi="Arial" w:cs="Arial"/>
          <w:szCs w:val="22"/>
        </w:rPr>
        <w:t>Investment Companies</w:t>
      </w:r>
      <w:r w:rsidR="0030225B" w:rsidRPr="0043366B">
        <w:rPr>
          <w:rFonts w:ascii="Arial" w:hAnsi="Arial" w:cs="Arial"/>
          <w:szCs w:val="22"/>
        </w:rPr>
        <w:t>.</w:t>
      </w:r>
    </w:p>
    <w:p w14:paraId="62AF7A9D" w14:textId="6E22E437" w:rsidR="00560C92" w:rsidRPr="0043366B" w:rsidRDefault="00560C92" w:rsidP="350923A7">
      <w:pPr>
        <w:pStyle w:val="ListParagraph"/>
        <w:widowControl w:val="0"/>
        <w:numPr>
          <w:ilvl w:val="1"/>
          <w:numId w:val="45"/>
        </w:numPr>
        <w:autoSpaceDE w:val="0"/>
        <w:autoSpaceDN w:val="0"/>
        <w:spacing w:before="120"/>
        <w:contextualSpacing w:val="0"/>
        <w:jc w:val="both"/>
        <w:rPr>
          <w:rFonts w:ascii="Arial" w:hAnsi="Arial" w:cs="Arial"/>
        </w:rPr>
      </w:pPr>
      <w:r w:rsidRPr="0043366B">
        <w:rPr>
          <w:rFonts w:ascii="Arial" w:hAnsi="Arial" w:cs="Arial"/>
        </w:rPr>
        <w:t>Branches of foreign companies.</w:t>
      </w:r>
    </w:p>
    <w:p w14:paraId="483E011B" w14:textId="32FD912B" w:rsidR="00282963" w:rsidRPr="0043366B" w:rsidRDefault="00282963" w:rsidP="005117A2">
      <w:pPr>
        <w:spacing w:line="276" w:lineRule="auto"/>
        <w:rPr>
          <w:rFonts w:ascii="Arial" w:hAnsi="Arial" w:cs="Arial"/>
          <w:szCs w:val="22"/>
        </w:rPr>
      </w:pPr>
    </w:p>
    <w:p w14:paraId="44B6E055" w14:textId="4CE54783" w:rsidR="000D27A8" w:rsidRPr="0043366B" w:rsidRDefault="000D27A8" w:rsidP="007857FE">
      <w:pPr>
        <w:spacing w:line="276" w:lineRule="auto"/>
        <w:jc w:val="both"/>
        <w:rPr>
          <w:rFonts w:ascii="Arial" w:hAnsi="Arial" w:cs="Arial"/>
          <w:szCs w:val="22"/>
        </w:rPr>
      </w:pPr>
      <w:r w:rsidRPr="0043366B">
        <w:rPr>
          <w:rFonts w:ascii="Arial" w:hAnsi="Arial" w:cs="Arial"/>
          <w:szCs w:val="22"/>
        </w:rPr>
        <w:t>However, the ESG Disclosure</w:t>
      </w:r>
      <w:r w:rsidR="001D6FF6" w:rsidRPr="0043366B">
        <w:rPr>
          <w:rFonts w:ascii="Arial" w:hAnsi="Arial" w:cs="Arial"/>
          <w:szCs w:val="22"/>
        </w:rPr>
        <w:t>s</w:t>
      </w:r>
      <w:r w:rsidRPr="0043366B">
        <w:rPr>
          <w:rFonts w:ascii="Arial" w:hAnsi="Arial" w:cs="Arial"/>
          <w:szCs w:val="22"/>
        </w:rPr>
        <w:t xml:space="preserve"> Framework </w:t>
      </w:r>
      <w:r w:rsidR="00D37627">
        <w:rPr>
          <w:rFonts w:ascii="Arial" w:hAnsi="Arial" w:cs="Arial"/>
          <w:szCs w:val="22"/>
        </w:rPr>
        <w:t>may</w:t>
      </w:r>
      <w:r w:rsidR="00D37627" w:rsidRPr="0043366B">
        <w:rPr>
          <w:rFonts w:ascii="Arial" w:hAnsi="Arial" w:cs="Arial"/>
          <w:szCs w:val="22"/>
        </w:rPr>
        <w:t xml:space="preserve"> </w:t>
      </w:r>
      <w:r w:rsidRPr="0043366B">
        <w:rPr>
          <w:rFonts w:ascii="Arial" w:hAnsi="Arial" w:cs="Arial"/>
          <w:szCs w:val="22"/>
        </w:rPr>
        <w:t xml:space="preserve">be applied by all ADGM </w:t>
      </w:r>
      <w:r w:rsidR="00177486" w:rsidRPr="0043366B">
        <w:rPr>
          <w:rFonts w:ascii="Arial" w:hAnsi="Arial" w:cs="Arial"/>
          <w:szCs w:val="22"/>
        </w:rPr>
        <w:t>entities</w:t>
      </w:r>
      <w:r w:rsidRPr="0043366B">
        <w:rPr>
          <w:rFonts w:ascii="Arial" w:hAnsi="Arial" w:cs="Arial"/>
          <w:szCs w:val="22"/>
        </w:rPr>
        <w:t xml:space="preserve"> on a voluntary basis. </w:t>
      </w:r>
    </w:p>
    <w:p w14:paraId="58658EBA" w14:textId="77777777" w:rsidR="000D27A8" w:rsidRPr="0043366B" w:rsidRDefault="000D27A8" w:rsidP="005117A2">
      <w:pPr>
        <w:spacing w:line="276" w:lineRule="auto"/>
        <w:rPr>
          <w:rFonts w:ascii="Arial" w:hAnsi="Arial" w:cs="Arial"/>
          <w:szCs w:val="22"/>
        </w:rPr>
      </w:pPr>
    </w:p>
    <w:p w14:paraId="464763EA" w14:textId="12F5465B" w:rsidR="007318D5" w:rsidRPr="0043366B" w:rsidRDefault="00295C43" w:rsidP="00DF25FB">
      <w:pPr>
        <w:pStyle w:val="Heading1"/>
      </w:pPr>
      <w:bookmarkStart w:id="14" w:name="_Toc118206886"/>
      <w:r w:rsidRPr="0043366B">
        <w:t xml:space="preserve">4. </w:t>
      </w:r>
      <w:r w:rsidR="00BC7663" w:rsidRPr="0043366B">
        <w:t xml:space="preserve">Time </w:t>
      </w:r>
      <w:r w:rsidR="002F013B">
        <w:t>t</w:t>
      </w:r>
      <w:r w:rsidR="00BC7663" w:rsidRPr="0043366B">
        <w:t xml:space="preserve">o </w:t>
      </w:r>
      <w:r w:rsidR="00B427FB">
        <w:t>c</w:t>
      </w:r>
      <w:r w:rsidR="00BC7663" w:rsidRPr="0043366B">
        <w:t>omply</w:t>
      </w:r>
      <w:bookmarkEnd w:id="14"/>
    </w:p>
    <w:p w14:paraId="3BD0E5AB" w14:textId="77777777" w:rsidR="007318D5" w:rsidRPr="007857FE" w:rsidRDefault="007318D5" w:rsidP="007318D5">
      <w:pPr>
        <w:rPr>
          <w:rFonts w:ascii="Arial" w:hAnsi="Arial" w:cs="Arial"/>
          <w:lang w:eastAsia="en-US"/>
        </w:rPr>
      </w:pPr>
      <w:bookmarkStart w:id="15" w:name="_Toc114478236"/>
    </w:p>
    <w:p w14:paraId="5807ACE8" w14:textId="22BB3982" w:rsidR="007318D5" w:rsidRPr="0043366B" w:rsidRDefault="007318D5" w:rsidP="007318D5">
      <w:pPr>
        <w:jc w:val="both"/>
        <w:rPr>
          <w:rFonts w:ascii="Arial" w:hAnsi="Arial" w:cs="Arial"/>
          <w:szCs w:val="22"/>
          <w:lang w:eastAsia="en-US"/>
        </w:rPr>
      </w:pPr>
      <w:r w:rsidRPr="0043366B">
        <w:rPr>
          <w:rFonts w:ascii="Arial" w:hAnsi="Arial" w:cs="Arial"/>
          <w:szCs w:val="22"/>
          <w:lang w:eastAsia="en-US"/>
        </w:rPr>
        <w:t xml:space="preserve">A company </w:t>
      </w:r>
      <w:r w:rsidR="00FF166D" w:rsidRPr="0043366B">
        <w:rPr>
          <w:rFonts w:ascii="Arial" w:hAnsi="Arial" w:cs="Arial"/>
          <w:szCs w:val="22"/>
          <w:lang w:eastAsia="en-US"/>
        </w:rPr>
        <w:t xml:space="preserve">incorporated </w:t>
      </w:r>
      <w:r w:rsidR="002E2E57" w:rsidRPr="0043366B">
        <w:rPr>
          <w:rFonts w:ascii="Arial" w:hAnsi="Arial" w:cs="Arial"/>
          <w:szCs w:val="22"/>
          <w:lang w:eastAsia="en-US"/>
        </w:rPr>
        <w:t xml:space="preserve">in </w:t>
      </w:r>
      <w:r w:rsidR="00FF166D" w:rsidRPr="0043366B">
        <w:rPr>
          <w:rFonts w:ascii="Arial" w:hAnsi="Arial" w:cs="Arial"/>
          <w:szCs w:val="22"/>
          <w:lang w:eastAsia="en-US"/>
        </w:rPr>
        <w:t xml:space="preserve">or </w:t>
      </w:r>
      <w:r w:rsidRPr="0043366B">
        <w:rPr>
          <w:rFonts w:ascii="Arial" w:hAnsi="Arial" w:cs="Arial"/>
          <w:szCs w:val="22"/>
          <w:lang w:eastAsia="en-US"/>
        </w:rPr>
        <w:t xml:space="preserve">continued into ADGM will be required to comply with the ESG </w:t>
      </w:r>
      <w:r w:rsidR="0014036F" w:rsidRPr="0043366B">
        <w:rPr>
          <w:rFonts w:ascii="Arial" w:hAnsi="Arial" w:cs="Arial"/>
          <w:szCs w:val="22"/>
          <w:lang w:eastAsia="en-US"/>
        </w:rPr>
        <w:t>D</w:t>
      </w:r>
      <w:r w:rsidRPr="0043366B">
        <w:rPr>
          <w:rFonts w:ascii="Arial" w:hAnsi="Arial" w:cs="Arial"/>
          <w:szCs w:val="22"/>
          <w:lang w:eastAsia="en-US"/>
        </w:rPr>
        <w:t xml:space="preserve">isclosures </w:t>
      </w:r>
      <w:r w:rsidR="0014036F" w:rsidRPr="0043366B">
        <w:rPr>
          <w:rFonts w:ascii="Arial" w:hAnsi="Arial" w:cs="Arial"/>
          <w:szCs w:val="22"/>
          <w:lang w:eastAsia="en-US"/>
        </w:rPr>
        <w:t xml:space="preserve">Framework </w:t>
      </w:r>
      <w:r w:rsidRPr="0043366B">
        <w:rPr>
          <w:rFonts w:ascii="Arial" w:hAnsi="Arial" w:cs="Arial"/>
          <w:szCs w:val="22"/>
          <w:lang w:eastAsia="en-US"/>
        </w:rPr>
        <w:t xml:space="preserve">in the third year following its </w:t>
      </w:r>
      <w:r w:rsidR="00FF166D" w:rsidRPr="0043366B">
        <w:rPr>
          <w:rFonts w:ascii="Arial" w:hAnsi="Arial" w:cs="Arial"/>
          <w:szCs w:val="22"/>
          <w:lang w:eastAsia="en-US"/>
        </w:rPr>
        <w:t xml:space="preserve">incorporation or </w:t>
      </w:r>
      <w:r w:rsidRPr="0043366B">
        <w:rPr>
          <w:rFonts w:ascii="Arial" w:hAnsi="Arial" w:cs="Arial"/>
          <w:szCs w:val="22"/>
          <w:lang w:eastAsia="en-US"/>
        </w:rPr>
        <w:t xml:space="preserve">continuance if it satisfies the Threshold Conditions.  The three-year grace period applies from the date of incorporation or continuance as opposed to the date of amendment of the CR to include the ESG </w:t>
      </w:r>
      <w:r w:rsidR="009E39FE" w:rsidRPr="0043366B">
        <w:rPr>
          <w:rFonts w:ascii="Arial" w:hAnsi="Arial" w:cs="Arial"/>
          <w:szCs w:val="22"/>
          <w:lang w:eastAsia="en-US"/>
        </w:rPr>
        <w:t>D</w:t>
      </w:r>
      <w:r w:rsidRPr="0043366B">
        <w:rPr>
          <w:rFonts w:ascii="Arial" w:hAnsi="Arial" w:cs="Arial"/>
          <w:szCs w:val="22"/>
          <w:lang w:eastAsia="en-US"/>
        </w:rPr>
        <w:t>isclosure</w:t>
      </w:r>
      <w:r w:rsidR="001D6FF6" w:rsidRPr="0043366B">
        <w:rPr>
          <w:rFonts w:ascii="Arial" w:hAnsi="Arial" w:cs="Arial"/>
          <w:szCs w:val="22"/>
          <w:lang w:eastAsia="en-US"/>
        </w:rPr>
        <w:t>s</w:t>
      </w:r>
      <w:r w:rsidRPr="0043366B">
        <w:rPr>
          <w:rFonts w:ascii="Arial" w:hAnsi="Arial" w:cs="Arial"/>
          <w:szCs w:val="22"/>
          <w:lang w:eastAsia="en-US"/>
        </w:rPr>
        <w:t xml:space="preserve"> </w:t>
      </w:r>
      <w:r w:rsidR="009E39FE" w:rsidRPr="0043366B">
        <w:rPr>
          <w:rFonts w:ascii="Arial" w:hAnsi="Arial" w:cs="Arial"/>
          <w:szCs w:val="22"/>
          <w:lang w:eastAsia="en-US"/>
        </w:rPr>
        <w:t>Framework</w:t>
      </w:r>
      <w:r w:rsidRPr="0043366B">
        <w:rPr>
          <w:rFonts w:ascii="Arial" w:hAnsi="Arial" w:cs="Arial"/>
          <w:szCs w:val="22"/>
          <w:lang w:eastAsia="en-US"/>
        </w:rPr>
        <w:t xml:space="preserve">. This means an existing company may be required to comply in 2023.  </w:t>
      </w:r>
    </w:p>
    <w:p w14:paraId="0C3E80C5" w14:textId="77777777" w:rsidR="007318D5" w:rsidRPr="007857FE" w:rsidRDefault="007318D5" w:rsidP="0043366B">
      <w:pPr>
        <w:rPr>
          <w:rFonts w:ascii="Arial" w:hAnsi="Arial"/>
          <w:b/>
          <w:color w:val="1F4F69" w:themeColor="accent1" w:themeShade="80"/>
          <w:szCs w:val="22"/>
        </w:rPr>
      </w:pPr>
    </w:p>
    <w:p w14:paraId="68291B75" w14:textId="0399F9CF" w:rsidR="00A00642" w:rsidRPr="00794AFC" w:rsidRDefault="007318D5" w:rsidP="00DF25FB">
      <w:pPr>
        <w:pStyle w:val="Heading1"/>
      </w:pPr>
      <w:bookmarkStart w:id="16" w:name="_Toc118206887"/>
      <w:r w:rsidRPr="0043366B">
        <w:t xml:space="preserve">5. </w:t>
      </w:r>
      <w:r w:rsidR="00563227" w:rsidRPr="0043366B">
        <w:t xml:space="preserve">Threshold </w:t>
      </w:r>
      <w:r w:rsidR="00B427FB">
        <w:t>c</w:t>
      </w:r>
      <w:r w:rsidR="00563227" w:rsidRPr="0043366B">
        <w:t>onditions</w:t>
      </w:r>
      <w:bookmarkEnd w:id="16"/>
      <w:r w:rsidR="00563227" w:rsidRPr="0043366B">
        <w:t xml:space="preserve"> </w:t>
      </w:r>
      <w:bookmarkEnd w:id="15"/>
    </w:p>
    <w:p w14:paraId="37475AEE" w14:textId="77777777" w:rsidR="00502EF0" w:rsidRPr="007857FE" w:rsidRDefault="00502EF0" w:rsidP="00A00642">
      <w:pPr>
        <w:rPr>
          <w:rFonts w:ascii="Arial" w:hAnsi="Arial" w:cs="Arial"/>
        </w:rPr>
      </w:pPr>
    </w:p>
    <w:p w14:paraId="0ED81D8D" w14:textId="2049F264" w:rsidR="000D27A8" w:rsidRPr="0043366B" w:rsidRDefault="000D27A8" w:rsidP="000D27A8">
      <w:pPr>
        <w:jc w:val="both"/>
        <w:rPr>
          <w:rFonts w:ascii="Arial" w:hAnsi="Arial" w:cs="Arial"/>
          <w:szCs w:val="22"/>
          <w:lang w:eastAsia="en-US"/>
        </w:rPr>
      </w:pPr>
      <w:r w:rsidRPr="0043366B">
        <w:rPr>
          <w:rFonts w:ascii="Arial" w:hAnsi="Arial" w:cs="Arial"/>
          <w:szCs w:val="22"/>
          <w:lang w:eastAsia="en-US"/>
        </w:rPr>
        <w:t>A company</w:t>
      </w:r>
      <w:r w:rsidR="00D37627">
        <w:rPr>
          <w:rFonts w:ascii="Arial" w:hAnsi="Arial" w:cs="Arial"/>
          <w:szCs w:val="22"/>
          <w:lang w:eastAsia="en-US"/>
        </w:rPr>
        <w:t xml:space="preserve"> </w:t>
      </w:r>
      <w:r w:rsidR="00D37627" w:rsidRPr="0043366B">
        <w:rPr>
          <w:rFonts w:ascii="Arial" w:hAnsi="Arial" w:cs="Arial"/>
          <w:szCs w:val="22"/>
          <w:lang w:eastAsia="en-US"/>
        </w:rPr>
        <w:t xml:space="preserve">incorporated in </w:t>
      </w:r>
      <w:r w:rsidR="00D37627">
        <w:rPr>
          <w:rFonts w:ascii="Arial" w:hAnsi="Arial" w:cs="Arial"/>
          <w:szCs w:val="22"/>
          <w:lang w:eastAsia="en-US"/>
        </w:rPr>
        <w:t>or</w:t>
      </w:r>
      <w:r w:rsidRPr="0043366B">
        <w:rPr>
          <w:rFonts w:ascii="Arial" w:hAnsi="Arial" w:cs="Arial"/>
          <w:szCs w:val="22"/>
          <w:lang w:eastAsia="en-US"/>
        </w:rPr>
        <w:t xml:space="preserve"> continued into ADGM will be required to comply with the ESG </w:t>
      </w:r>
      <w:r w:rsidR="009E39FE" w:rsidRPr="0043366B">
        <w:rPr>
          <w:rFonts w:ascii="Arial" w:hAnsi="Arial" w:cs="Arial"/>
          <w:szCs w:val="22"/>
          <w:lang w:eastAsia="en-US"/>
        </w:rPr>
        <w:t>D</w:t>
      </w:r>
      <w:r w:rsidRPr="0043366B">
        <w:rPr>
          <w:rFonts w:ascii="Arial" w:hAnsi="Arial" w:cs="Arial"/>
          <w:szCs w:val="22"/>
          <w:lang w:eastAsia="en-US"/>
        </w:rPr>
        <w:t xml:space="preserve">isclosures </w:t>
      </w:r>
      <w:r w:rsidR="009E39FE" w:rsidRPr="0043366B">
        <w:rPr>
          <w:rFonts w:ascii="Arial" w:hAnsi="Arial" w:cs="Arial"/>
          <w:szCs w:val="22"/>
          <w:lang w:eastAsia="en-US"/>
        </w:rPr>
        <w:t xml:space="preserve">Framework </w:t>
      </w:r>
      <w:r w:rsidRPr="0043366B">
        <w:rPr>
          <w:rFonts w:ascii="Arial" w:hAnsi="Arial" w:cs="Arial"/>
          <w:szCs w:val="22"/>
          <w:lang w:eastAsia="en-US"/>
        </w:rPr>
        <w:t xml:space="preserve">if it satisfies the Threshold Conditions, being either a ‘turnover’ threshold or an ‘AUM’ threshold.  </w:t>
      </w:r>
    </w:p>
    <w:p w14:paraId="175310D4" w14:textId="77777777" w:rsidR="000D27A8" w:rsidRPr="0043366B" w:rsidRDefault="000D27A8" w:rsidP="000D27A8">
      <w:pPr>
        <w:jc w:val="both"/>
        <w:rPr>
          <w:rFonts w:ascii="Arial" w:hAnsi="Arial" w:cs="Arial"/>
          <w:szCs w:val="22"/>
          <w:lang w:eastAsia="en-US"/>
        </w:rPr>
      </w:pPr>
    </w:p>
    <w:p w14:paraId="11190B43" w14:textId="4FE4AB7C" w:rsidR="000D27A8" w:rsidRDefault="000D27A8" w:rsidP="000D27A8">
      <w:pPr>
        <w:jc w:val="both"/>
        <w:rPr>
          <w:rFonts w:ascii="Arial" w:hAnsi="Arial" w:cs="Arial"/>
          <w:lang w:eastAsia="en-US"/>
        </w:rPr>
      </w:pPr>
      <w:r w:rsidRPr="0043366B">
        <w:rPr>
          <w:rFonts w:ascii="Arial" w:hAnsi="Arial" w:cs="Arial"/>
          <w:lang w:eastAsia="en-US"/>
        </w:rPr>
        <w:t xml:space="preserve">The turnover threshold is reached when a company achieves </w:t>
      </w:r>
      <w:r w:rsidR="001D6FF6" w:rsidRPr="0043366B">
        <w:rPr>
          <w:rFonts w:ascii="Arial" w:hAnsi="Arial" w:cs="Arial"/>
          <w:lang w:eastAsia="en-US"/>
        </w:rPr>
        <w:t xml:space="preserve">more than </w:t>
      </w:r>
      <w:r w:rsidRPr="0043366B">
        <w:rPr>
          <w:rFonts w:ascii="Arial" w:hAnsi="Arial" w:cs="Arial"/>
          <w:lang w:eastAsia="en-US"/>
        </w:rPr>
        <w:t>US$ 68 million turnover in a financial year.  The AUM threshold only applies to FSRA</w:t>
      </w:r>
      <w:r w:rsidR="00F8375C">
        <w:rPr>
          <w:rFonts w:ascii="Arial" w:hAnsi="Arial" w:cs="Arial"/>
          <w:lang w:eastAsia="en-US"/>
        </w:rPr>
        <w:t>-</w:t>
      </w:r>
      <w:r w:rsidRPr="0043366B">
        <w:rPr>
          <w:rFonts w:ascii="Arial" w:hAnsi="Arial" w:cs="Arial"/>
          <w:lang w:eastAsia="en-US"/>
        </w:rPr>
        <w:t xml:space="preserve">licensed asset management companies which manage funds and/or portfolios with an aggregate value exceeding US$ 6 billion at any time during such financial year.  </w:t>
      </w:r>
    </w:p>
    <w:p w14:paraId="2295EF87" w14:textId="77777777" w:rsidR="00794AFC" w:rsidRPr="0043366B" w:rsidRDefault="00794AFC" w:rsidP="000D27A8">
      <w:pPr>
        <w:jc w:val="both"/>
        <w:rPr>
          <w:rFonts w:ascii="Arial" w:hAnsi="Arial" w:cs="Arial"/>
          <w:lang w:eastAsia="en-US"/>
        </w:rPr>
      </w:pPr>
    </w:p>
    <w:p w14:paraId="37B22526" w14:textId="28BDA0B1" w:rsidR="007318D5" w:rsidRPr="0043366B" w:rsidRDefault="007318D5" w:rsidP="007857FE">
      <w:pPr>
        <w:jc w:val="both"/>
        <w:rPr>
          <w:rFonts w:ascii="Arial" w:hAnsi="Arial" w:cs="Arial"/>
          <w:szCs w:val="22"/>
          <w:lang w:eastAsia="en-US"/>
        </w:rPr>
      </w:pPr>
      <w:r w:rsidRPr="0043366B">
        <w:rPr>
          <w:rFonts w:ascii="Arial" w:hAnsi="Arial" w:cs="Arial"/>
          <w:lang w:eastAsia="en-US"/>
        </w:rPr>
        <w:t>The ESG Disclosure</w:t>
      </w:r>
      <w:r w:rsidR="001D6FF6" w:rsidRPr="0043366B">
        <w:rPr>
          <w:rFonts w:ascii="Arial" w:hAnsi="Arial" w:cs="Arial"/>
          <w:lang w:eastAsia="en-US"/>
        </w:rPr>
        <w:t>s</w:t>
      </w:r>
      <w:r w:rsidRPr="0043366B">
        <w:rPr>
          <w:rFonts w:ascii="Arial" w:hAnsi="Arial" w:cs="Arial"/>
          <w:lang w:eastAsia="en-US"/>
        </w:rPr>
        <w:t xml:space="preserve"> Framework does not apply to companies who no longer meet the threshold conditions for two consecutive years or more.  Should the company subsequently meet the threshold conditions </w:t>
      </w:r>
      <w:proofErr w:type="gramStart"/>
      <w:r w:rsidRPr="0043366B">
        <w:rPr>
          <w:rFonts w:ascii="Arial" w:hAnsi="Arial" w:cs="Arial"/>
          <w:lang w:eastAsia="en-US"/>
        </w:rPr>
        <w:t>in a given year</w:t>
      </w:r>
      <w:proofErr w:type="gramEnd"/>
      <w:r w:rsidRPr="0043366B">
        <w:rPr>
          <w:rFonts w:ascii="Arial" w:hAnsi="Arial" w:cs="Arial"/>
          <w:lang w:eastAsia="en-US"/>
        </w:rPr>
        <w:t>, the ESG Disclosure</w:t>
      </w:r>
      <w:r w:rsidR="001D6FF6" w:rsidRPr="0043366B">
        <w:rPr>
          <w:rFonts w:ascii="Arial" w:hAnsi="Arial" w:cs="Arial"/>
          <w:lang w:eastAsia="en-US"/>
        </w:rPr>
        <w:t>s</w:t>
      </w:r>
      <w:r w:rsidRPr="0043366B">
        <w:rPr>
          <w:rFonts w:ascii="Arial" w:hAnsi="Arial" w:cs="Arial"/>
          <w:lang w:eastAsia="en-US"/>
        </w:rPr>
        <w:t xml:space="preserve"> Framework will once again apply.  </w:t>
      </w:r>
    </w:p>
    <w:p w14:paraId="741C4285" w14:textId="77777777" w:rsidR="00295C43" w:rsidRPr="0043366B" w:rsidRDefault="00295C43" w:rsidP="007857FE">
      <w:pPr>
        <w:rPr>
          <w:rFonts w:ascii="Arial" w:hAnsi="Arial" w:cs="Arial"/>
          <w:szCs w:val="22"/>
          <w:lang w:eastAsia="en-US"/>
        </w:rPr>
      </w:pPr>
    </w:p>
    <w:p w14:paraId="3D708A2D" w14:textId="63B8F142" w:rsidR="003E6D0B" w:rsidRPr="0043366B" w:rsidRDefault="007318D5" w:rsidP="00DF25FB">
      <w:pPr>
        <w:pStyle w:val="Heading1"/>
      </w:pPr>
      <w:bookmarkStart w:id="17" w:name="_Toc118206888"/>
      <w:r w:rsidRPr="0043366B">
        <w:t>6</w:t>
      </w:r>
      <w:r w:rsidR="003452DC" w:rsidRPr="0043366B">
        <w:t xml:space="preserve">. ESG disclosures by </w:t>
      </w:r>
      <w:r w:rsidR="00C53574" w:rsidRPr="0043366B">
        <w:t xml:space="preserve">companies </w:t>
      </w:r>
      <w:r w:rsidR="00DC3836" w:rsidRPr="0043366B">
        <w:t>-</w:t>
      </w:r>
      <w:r w:rsidR="00C53574" w:rsidRPr="0043366B">
        <w:t xml:space="preserve"> turnover threshold</w:t>
      </w:r>
      <w:bookmarkEnd w:id="17"/>
    </w:p>
    <w:p w14:paraId="70524A4F" w14:textId="3DCEA091" w:rsidR="00C53574" w:rsidRPr="007857FE" w:rsidRDefault="00C53574" w:rsidP="00C53574">
      <w:pPr>
        <w:rPr>
          <w:rFonts w:ascii="Arial" w:hAnsi="Arial" w:cs="Arial"/>
          <w:lang w:eastAsia="en-US"/>
        </w:rPr>
      </w:pPr>
    </w:p>
    <w:p w14:paraId="475B1E6A" w14:textId="1293A6FD" w:rsidR="005C27B5" w:rsidRPr="0043366B" w:rsidRDefault="00BD0C31" w:rsidP="007857FE">
      <w:pPr>
        <w:jc w:val="both"/>
        <w:rPr>
          <w:rFonts w:ascii="Arial" w:hAnsi="Arial" w:cs="Arial"/>
          <w:lang w:eastAsia="en-US"/>
        </w:rPr>
      </w:pPr>
      <w:r w:rsidRPr="0043366B">
        <w:rPr>
          <w:rFonts w:ascii="Arial" w:hAnsi="Arial" w:cs="Arial"/>
          <w:lang w:eastAsia="en-US"/>
        </w:rPr>
        <w:t xml:space="preserve">For the purposes of </w:t>
      </w:r>
      <w:r w:rsidR="00A663A6" w:rsidRPr="0043366B">
        <w:rPr>
          <w:rFonts w:ascii="Arial" w:hAnsi="Arial" w:cs="Arial"/>
          <w:lang w:eastAsia="en-US"/>
        </w:rPr>
        <w:t xml:space="preserve">the </w:t>
      </w:r>
      <w:r w:rsidR="00CA20E1" w:rsidRPr="0043366B">
        <w:rPr>
          <w:rFonts w:ascii="Arial" w:hAnsi="Arial" w:cs="Arial"/>
          <w:lang w:eastAsia="en-US"/>
        </w:rPr>
        <w:t>CR</w:t>
      </w:r>
      <w:r w:rsidRPr="0043366B">
        <w:rPr>
          <w:rFonts w:ascii="Arial" w:hAnsi="Arial" w:cs="Arial"/>
          <w:lang w:eastAsia="en-US"/>
        </w:rPr>
        <w:t>, ‘turnover’ is defined a</w:t>
      </w:r>
      <w:r w:rsidR="005C27B5" w:rsidRPr="0043366B">
        <w:rPr>
          <w:rFonts w:ascii="Arial" w:hAnsi="Arial" w:cs="Arial"/>
          <w:lang w:eastAsia="en-US"/>
        </w:rPr>
        <w:t xml:space="preserve">s: the amounts derived from the provision of goods and services falling within </w:t>
      </w:r>
      <w:r w:rsidR="00477821">
        <w:rPr>
          <w:rFonts w:ascii="Arial" w:hAnsi="Arial" w:cs="Arial"/>
          <w:lang w:eastAsia="en-US"/>
        </w:rPr>
        <w:t>a</w:t>
      </w:r>
      <w:r w:rsidR="00477821" w:rsidRPr="0043366B">
        <w:rPr>
          <w:rFonts w:ascii="Arial" w:hAnsi="Arial" w:cs="Arial"/>
          <w:lang w:eastAsia="en-US"/>
        </w:rPr>
        <w:t xml:space="preserve"> </w:t>
      </w:r>
      <w:r w:rsidR="005C27B5" w:rsidRPr="0043366B">
        <w:rPr>
          <w:rFonts w:ascii="Arial" w:hAnsi="Arial" w:cs="Arial"/>
          <w:lang w:eastAsia="en-US"/>
        </w:rPr>
        <w:t xml:space="preserve">company’s ordinary activities, after </w:t>
      </w:r>
      <w:r w:rsidR="00477821">
        <w:rPr>
          <w:rFonts w:ascii="Arial" w:hAnsi="Arial" w:cs="Arial"/>
          <w:lang w:eastAsia="en-US"/>
        </w:rPr>
        <w:t xml:space="preserve">the </w:t>
      </w:r>
      <w:r w:rsidR="005C27B5" w:rsidRPr="0043366B">
        <w:rPr>
          <w:rFonts w:ascii="Arial" w:hAnsi="Arial" w:cs="Arial"/>
          <w:lang w:eastAsia="en-US"/>
        </w:rPr>
        <w:t>deduction of</w:t>
      </w:r>
      <w:r w:rsidR="00A663A6" w:rsidRPr="0043366B">
        <w:rPr>
          <w:rFonts w:ascii="Arial" w:hAnsi="Arial" w:cs="Arial"/>
          <w:lang w:eastAsia="en-US"/>
        </w:rPr>
        <w:t>:</w:t>
      </w:r>
    </w:p>
    <w:p w14:paraId="0DAAA233" w14:textId="1020636E" w:rsidR="005C27B5" w:rsidRPr="0043366B" w:rsidRDefault="005C27B5" w:rsidP="007857FE">
      <w:pPr>
        <w:pStyle w:val="ListParagraph"/>
        <w:widowControl w:val="0"/>
        <w:numPr>
          <w:ilvl w:val="0"/>
          <w:numId w:val="49"/>
        </w:numPr>
        <w:autoSpaceDE w:val="0"/>
        <w:autoSpaceDN w:val="0"/>
        <w:spacing w:before="120"/>
        <w:contextualSpacing w:val="0"/>
        <w:jc w:val="both"/>
        <w:rPr>
          <w:rFonts w:ascii="Arial" w:hAnsi="Arial" w:cs="Arial"/>
          <w:lang w:eastAsia="en-US"/>
        </w:rPr>
      </w:pPr>
      <w:r w:rsidRPr="0043366B">
        <w:rPr>
          <w:rFonts w:ascii="Arial" w:hAnsi="Arial" w:cs="Arial"/>
          <w:lang w:eastAsia="en-US"/>
        </w:rPr>
        <w:t xml:space="preserve">trade </w:t>
      </w:r>
      <w:proofErr w:type="gramStart"/>
      <w:r w:rsidRPr="0043366B">
        <w:rPr>
          <w:rFonts w:ascii="Arial" w:hAnsi="Arial" w:cs="Arial"/>
          <w:lang w:eastAsia="en-US"/>
        </w:rPr>
        <w:t>discounts</w:t>
      </w:r>
      <w:r w:rsidR="00A663A6" w:rsidRPr="0043366B">
        <w:rPr>
          <w:rFonts w:ascii="Arial" w:hAnsi="Arial" w:cs="Arial"/>
          <w:lang w:eastAsia="en-US"/>
        </w:rPr>
        <w:t>;</w:t>
      </w:r>
      <w:proofErr w:type="gramEnd"/>
    </w:p>
    <w:p w14:paraId="661D4243" w14:textId="45932191" w:rsidR="005C27B5" w:rsidRPr="0043366B" w:rsidRDefault="005C27B5" w:rsidP="007857FE">
      <w:pPr>
        <w:pStyle w:val="ListParagraph"/>
        <w:widowControl w:val="0"/>
        <w:numPr>
          <w:ilvl w:val="0"/>
          <w:numId w:val="49"/>
        </w:numPr>
        <w:autoSpaceDE w:val="0"/>
        <w:autoSpaceDN w:val="0"/>
        <w:spacing w:before="120"/>
        <w:contextualSpacing w:val="0"/>
        <w:jc w:val="both"/>
        <w:rPr>
          <w:rFonts w:ascii="Arial" w:hAnsi="Arial" w:cs="Arial"/>
          <w:lang w:eastAsia="en-US"/>
        </w:rPr>
      </w:pPr>
      <w:r w:rsidRPr="0043366B">
        <w:rPr>
          <w:rFonts w:ascii="Arial" w:hAnsi="Arial" w:cs="Arial"/>
          <w:lang w:eastAsia="en-US"/>
        </w:rPr>
        <w:t>value added tax</w:t>
      </w:r>
      <w:r w:rsidR="00A663A6" w:rsidRPr="0043366B">
        <w:rPr>
          <w:rFonts w:ascii="Arial" w:hAnsi="Arial" w:cs="Arial"/>
          <w:lang w:eastAsia="en-US"/>
        </w:rPr>
        <w:t>;</w:t>
      </w:r>
      <w:r w:rsidRPr="0043366B">
        <w:rPr>
          <w:rFonts w:ascii="Arial" w:hAnsi="Arial" w:cs="Arial"/>
          <w:lang w:eastAsia="en-US"/>
        </w:rPr>
        <w:t xml:space="preserve"> and</w:t>
      </w:r>
    </w:p>
    <w:p w14:paraId="3AF2A082" w14:textId="387B90C4" w:rsidR="00C53574" w:rsidRPr="0043366B" w:rsidRDefault="005C27B5" w:rsidP="007857FE">
      <w:pPr>
        <w:pStyle w:val="ListParagraph"/>
        <w:widowControl w:val="0"/>
        <w:numPr>
          <w:ilvl w:val="0"/>
          <w:numId w:val="49"/>
        </w:numPr>
        <w:autoSpaceDE w:val="0"/>
        <w:autoSpaceDN w:val="0"/>
        <w:spacing w:before="120"/>
        <w:contextualSpacing w:val="0"/>
        <w:jc w:val="both"/>
      </w:pPr>
      <w:r w:rsidRPr="0043366B">
        <w:rPr>
          <w:rFonts w:ascii="Arial" w:hAnsi="Arial" w:cs="Arial"/>
          <w:lang w:eastAsia="en-US"/>
        </w:rPr>
        <w:t>any other taxes based on the amounts so derived.</w:t>
      </w:r>
    </w:p>
    <w:p w14:paraId="0274AD61" w14:textId="77777777" w:rsidR="00DC7B3E" w:rsidRPr="007857FE" w:rsidRDefault="00DC7B3E" w:rsidP="0043366B">
      <w:pPr>
        <w:rPr>
          <w:rFonts w:ascii="Arial" w:hAnsi="Arial" w:cs="Arial"/>
          <w:szCs w:val="22"/>
        </w:rPr>
      </w:pPr>
    </w:p>
    <w:p w14:paraId="10DF9033" w14:textId="60DE4CF5" w:rsidR="003D0B5B" w:rsidRPr="0043366B" w:rsidRDefault="005D23BA" w:rsidP="00DF25FB">
      <w:pPr>
        <w:pStyle w:val="Heading1"/>
      </w:pPr>
      <w:bookmarkStart w:id="18" w:name="_Toc118206889"/>
      <w:r>
        <w:t>7</w:t>
      </w:r>
      <w:r w:rsidR="003D0B5B" w:rsidRPr="0043366B">
        <w:t xml:space="preserve">. ESG disclosures by FSRA </w:t>
      </w:r>
      <w:r w:rsidR="00B427FB">
        <w:t>f</w:t>
      </w:r>
      <w:r w:rsidR="00B427FB" w:rsidRPr="0043366B">
        <w:t xml:space="preserve">und </w:t>
      </w:r>
      <w:r w:rsidR="005E61F4" w:rsidRPr="0043366B">
        <w:t xml:space="preserve">and </w:t>
      </w:r>
      <w:r w:rsidR="00B427FB">
        <w:t>a</w:t>
      </w:r>
      <w:r w:rsidR="005E61F4" w:rsidRPr="0043366B">
        <w:t xml:space="preserve">sset </w:t>
      </w:r>
      <w:r w:rsidR="00B427FB">
        <w:t>m</w:t>
      </w:r>
      <w:r w:rsidR="005E61F4" w:rsidRPr="0043366B">
        <w:t>anagers</w:t>
      </w:r>
      <w:r w:rsidR="00F31B74">
        <w:t xml:space="preserve"> </w:t>
      </w:r>
      <w:r w:rsidR="003D0B5B" w:rsidRPr="0043366B">
        <w:t>– AUM threshold</w:t>
      </w:r>
      <w:bookmarkEnd w:id="18"/>
    </w:p>
    <w:p w14:paraId="6BABA394" w14:textId="77777777" w:rsidR="003D0B5B" w:rsidRPr="007857FE" w:rsidRDefault="003D0B5B" w:rsidP="007857FE">
      <w:pPr>
        <w:keepNext/>
        <w:rPr>
          <w:rFonts w:ascii="Arial" w:hAnsi="Arial" w:cs="Arial"/>
          <w:szCs w:val="22"/>
          <w:lang w:eastAsia="en-US"/>
        </w:rPr>
      </w:pPr>
    </w:p>
    <w:p w14:paraId="32AF67AB" w14:textId="55E80F06" w:rsidR="003D0B5B" w:rsidRDefault="003D0B5B">
      <w:pPr>
        <w:widowControl w:val="0"/>
        <w:autoSpaceDE w:val="0"/>
        <w:autoSpaceDN w:val="0"/>
        <w:jc w:val="both"/>
        <w:rPr>
          <w:rFonts w:ascii="Arial" w:hAnsi="Arial" w:cs="Arial"/>
          <w:szCs w:val="22"/>
        </w:rPr>
      </w:pPr>
      <w:r w:rsidRPr="0043366B">
        <w:rPr>
          <w:rFonts w:ascii="Arial" w:hAnsi="Arial" w:cs="Arial"/>
          <w:szCs w:val="22"/>
        </w:rPr>
        <w:t>The ESG disclosures by FSRA</w:t>
      </w:r>
      <w:r w:rsidR="00B427FB">
        <w:rPr>
          <w:rFonts w:ascii="Arial" w:hAnsi="Arial" w:cs="Arial"/>
          <w:szCs w:val="22"/>
        </w:rPr>
        <w:t>-licensed</w:t>
      </w:r>
      <w:r w:rsidRPr="0043366B">
        <w:rPr>
          <w:rFonts w:ascii="Arial" w:hAnsi="Arial" w:cs="Arial"/>
          <w:szCs w:val="22"/>
        </w:rPr>
        <w:t xml:space="preserve"> </w:t>
      </w:r>
      <w:r w:rsidR="00B427FB">
        <w:rPr>
          <w:rFonts w:ascii="Arial" w:hAnsi="Arial" w:cs="Arial"/>
          <w:szCs w:val="22"/>
        </w:rPr>
        <w:t>f</w:t>
      </w:r>
      <w:r w:rsidR="005E61F4" w:rsidRPr="0043366B">
        <w:rPr>
          <w:rFonts w:ascii="Arial" w:hAnsi="Arial" w:cs="Arial"/>
          <w:szCs w:val="22"/>
        </w:rPr>
        <w:t xml:space="preserve">und and </w:t>
      </w:r>
      <w:r w:rsidR="00B427FB">
        <w:rPr>
          <w:rFonts w:ascii="Arial" w:hAnsi="Arial" w:cs="Arial"/>
          <w:szCs w:val="22"/>
        </w:rPr>
        <w:t>a</w:t>
      </w:r>
      <w:r w:rsidR="005E61F4" w:rsidRPr="0043366B">
        <w:rPr>
          <w:rFonts w:ascii="Arial" w:hAnsi="Arial" w:cs="Arial"/>
          <w:szCs w:val="22"/>
        </w:rPr>
        <w:t xml:space="preserve">sset </w:t>
      </w:r>
      <w:r w:rsidR="00B427FB">
        <w:rPr>
          <w:rFonts w:ascii="Arial" w:hAnsi="Arial" w:cs="Arial"/>
          <w:szCs w:val="22"/>
        </w:rPr>
        <w:t>m</w:t>
      </w:r>
      <w:r w:rsidR="005E61F4" w:rsidRPr="0043366B">
        <w:rPr>
          <w:rFonts w:ascii="Arial" w:hAnsi="Arial" w:cs="Arial"/>
          <w:szCs w:val="22"/>
        </w:rPr>
        <w:t>anagers</w:t>
      </w:r>
      <w:r w:rsidRPr="0043366B">
        <w:rPr>
          <w:rFonts w:ascii="Arial" w:hAnsi="Arial" w:cs="Arial"/>
          <w:szCs w:val="22"/>
        </w:rPr>
        <w:t xml:space="preserve"> are entity-level disclosures relating to how the FSRA company take</w:t>
      </w:r>
      <w:r w:rsidR="009839EB" w:rsidRPr="0043366B">
        <w:rPr>
          <w:rFonts w:ascii="Arial" w:hAnsi="Arial" w:cs="Arial"/>
          <w:szCs w:val="22"/>
        </w:rPr>
        <w:t>s</w:t>
      </w:r>
      <w:r w:rsidRPr="0043366B">
        <w:rPr>
          <w:rFonts w:ascii="Arial" w:hAnsi="Arial" w:cs="Arial"/>
          <w:szCs w:val="22"/>
        </w:rPr>
        <w:t xml:space="preserve"> </w:t>
      </w:r>
      <w:r w:rsidR="00F426B3" w:rsidRPr="0043366B">
        <w:rPr>
          <w:rFonts w:ascii="Arial" w:hAnsi="Arial" w:cs="Arial"/>
          <w:szCs w:val="22"/>
        </w:rPr>
        <w:t>ESG-</w:t>
      </w:r>
      <w:r w:rsidR="009839EB" w:rsidRPr="0043366B">
        <w:rPr>
          <w:rFonts w:ascii="Arial" w:hAnsi="Arial" w:cs="Arial"/>
          <w:szCs w:val="22"/>
        </w:rPr>
        <w:t xml:space="preserve">related risks and opportunities into account in managing or administering assets on behalf of clients.  </w:t>
      </w:r>
    </w:p>
    <w:p w14:paraId="45978D64" w14:textId="382DF4EF" w:rsidR="005D23BA" w:rsidRDefault="005D23BA" w:rsidP="005D23BA">
      <w:pPr>
        <w:widowControl w:val="0"/>
        <w:autoSpaceDE w:val="0"/>
        <w:autoSpaceDN w:val="0"/>
        <w:jc w:val="both"/>
        <w:rPr>
          <w:rFonts w:ascii="Arial" w:hAnsi="Arial" w:cs="Arial"/>
          <w:szCs w:val="22"/>
        </w:rPr>
      </w:pPr>
    </w:p>
    <w:p w14:paraId="10431099" w14:textId="6AC9212F" w:rsidR="005D23BA" w:rsidRPr="0043366B" w:rsidRDefault="005D23BA" w:rsidP="00DF25FB">
      <w:pPr>
        <w:pStyle w:val="Heading1"/>
      </w:pPr>
      <w:bookmarkStart w:id="19" w:name="_Toc118206890"/>
      <w:r>
        <w:t>8</w:t>
      </w:r>
      <w:r w:rsidRPr="0043366B">
        <w:t xml:space="preserve">. Calculation of AUM by </w:t>
      </w:r>
      <w:r w:rsidR="00B427FB">
        <w:t>a</w:t>
      </w:r>
      <w:r w:rsidRPr="0043366B">
        <w:t xml:space="preserve">sset </w:t>
      </w:r>
      <w:r w:rsidR="00B427FB">
        <w:t>m</w:t>
      </w:r>
      <w:r w:rsidRPr="0043366B">
        <w:t xml:space="preserve">anagers and </w:t>
      </w:r>
      <w:r w:rsidR="00B427FB">
        <w:t>f</w:t>
      </w:r>
      <w:r w:rsidRPr="0043366B">
        <w:t xml:space="preserve">und </w:t>
      </w:r>
      <w:r w:rsidR="00B427FB">
        <w:t>m</w:t>
      </w:r>
      <w:r w:rsidRPr="0043366B">
        <w:t>anagers</w:t>
      </w:r>
      <w:bookmarkEnd w:id="19"/>
    </w:p>
    <w:p w14:paraId="77E067C3" w14:textId="77777777" w:rsidR="005D23BA" w:rsidRPr="0043366B" w:rsidRDefault="005D23BA" w:rsidP="005D23BA">
      <w:pPr>
        <w:rPr>
          <w:rFonts w:ascii="Arial" w:hAnsi="Arial" w:cs="Arial"/>
          <w:szCs w:val="22"/>
          <w:lang w:eastAsia="en-US"/>
        </w:rPr>
      </w:pPr>
    </w:p>
    <w:p w14:paraId="76F9AE28" w14:textId="62BC4544" w:rsidR="005D23BA" w:rsidRPr="0043366B" w:rsidRDefault="005D23BA" w:rsidP="007857FE">
      <w:pPr>
        <w:widowControl w:val="0"/>
        <w:autoSpaceDE w:val="0"/>
        <w:autoSpaceDN w:val="0"/>
        <w:jc w:val="both"/>
        <w:rPr>
          <w:rFonts w:ascii="Arial" w:hAnsi="Arial" w:cs="Arial"/>
          <w:sz w:val="20"/>
          <w:szCs w:val="20"/>
          <w:u w:val="single"/>
        </w:rPr>
      </w:pPr>
      <w:r w:rsidRPr="0043366B">
        <w:rPr>
          <w:rFonts w:ascii="Arial" w:hAnsi="Arial" w:cs="Arial"/>
        </w:rPr>
        <w:t>AUM should be calculated in accordance with applicable IAS, or such other international accounting standards as may be applicable to such portfolio</w:t>
      </w:r>
      <w:r w:rsidR="00E97CE8">
        <w:rPr>
          <w:rFonts w:ascii="Arial" w:hAnsi="Arial" w:cs="Arial"/>
        </w:rPr>
        <w:t>s</w:t>
      </w:r>
      <w:r w:rsidRPr="0043366B">
        <w:rPr>
          <w:rFonts w:ascii="Arial" w:hAnsi="Arial" w:cs="Arial"/>
        </w:rPr>
        <w:t xml:space="preserve"> or fund</w:t>
      </w:r>
      <w:r w:rsidR="00E97CE8">
        <w:rPr>
          <w:rFonts w:ascii="Arial" w:hAnsi="Arial" w:cs="Arial"/>
        </w:rPr>
        <w:t>s</w:t>
      </w:r>
      <w:r w:rsidRPr="0043366B">
        <w:rPr>
          <w:rFonts w:ascii="Arial" w:hAnsi="Arial" w:cs="Arial"/>
        </w:rPr>
        <w:t xml:space="preserve">. </w:t>
      </w:r>
    </w:p>
    <w:p w14:paraId="561A35DC" w14:textId="77777777" w:rsidR="005D23BA" w:rsidRPr="0043366B" w:rsidRDefault="005D23BA" w:rsidP="005D23BA">
      <w:pPr>
        <w:widowControl w:val="0"/>
        <w:autoSpaceDE w:val="0"/>
        <w:autoSpaceDN w:val="0"/>
        <w:jc w:val="both"/>
        <w:rPr>
          <w:rFonts w:ascii="Arial" w:hAnsi="Arial" w:cs="Arial"/>
          <w:szCs w:val="22"/>
        </w:rPr>
      </w:pPr>
    </w:p>
    <w:p w14:paraId="092E8E1D" w14:textId="03476B06" w:rsidR="003E6D0B" w:rsidRPr="0043366B" w:rsidRDefault="007318D5" w:rsidP="00DF25FB">
      <w:pPr>
        <w:pStyle w:val="Heading1"/>
      </w:pPr>
      <w:bookmarkStart w:id="20" w:name="_Toc118206891"/>
      <w:r w:rsidRPr="0043366B">
        <w:t xml:space="preserve">9. </w:t>
      </w:r>
      <w:r w:rsidR="003E6D0B" w:rsidRPr="0043366B">
        <w:t xml:space="preserve">Group </w:t>
      </w:r>
      <w:r w:rsidR="00941B21">
        <w:t xml:space="preserve">annual </w:t>
      </w:r>
      <w:r w:rsidR="003E6D0B" w:rsidRPr="0043366B">
        <w:t>accounts</w:t>
      </w:r>
      <w:bookmarkEnd w:id="20"/>
    </w:p>
    <w:p w14:paraId="5A0EB32B" w14:textId="77777777" w:rsidR="003E6D0B" w:rsidRPr="007857FE" w:rsidRDefault="003E6D0B" w:rsidP="003E6D0B">
      <w:pPr>
        <w:rPr>
          <w:rFonts w:ascii="Arial" w:eastAsiaTheme="majorEastAsia" w:hAnsi="Arial" w:cs="Arial"/>
          <w:color w:val="1F4F69" w:themeColor="accent1" w:themeShade="80"/>
          <w:szCs w:val="22"/>
          <w:u w:color="000000"/>
          <w:bdr w:val="nil"/>
          <w:lang w:eastAsia="en-US"/>
        </w:rPr>
      </w:pPr>
    </w:p>
    <w:p w14:paraId="00FC6126" w14:textId="59C32CC3" w:rsidR="003E6D0B" w:rsidRPr="0043366B" w:rsidRDefault="003E6D0B" w:rsidP="007857FE">
      <w:pPr>
        <w:jc w:val="both"/>
        <w:rPr>
          <w:rFonts w:ascii="Arial" w:hAnsi="Arial" w:cs="Arial"/>
          <w:szCs w:val="22"/>
          <w:lang w:eastAsia="en-US"/>
        </w:rPr>
      </w:pPr>
      <w:r w:rsidRPr="0043366B">
        <w:rPr>
          <w:rFonts w:ascii="Arial" w:hAnsi="Arial" w:cs="Arial"/>
          <w:szCs w:val="22"/>
          <w:lang w:eastAsia="en-US"/>
        </w:rPr>
        <w:t xml:space="preserve">A parent company that prepares group accounts should prepare ESG disclosures </w:t>
      </w:r>
      <w:proofErr w:type="gramStart"/>
      <w:r w:rsidRPr="0043366B">
        <w:rPr>
          <w:rFonts w:ascii="Arial" w:hAnsi="Arial" w:cs="Arial"/>
          <w:szCs w:val="22"/>
          <w:lang w:eastAsia="en-US"/>
        </w:rPr>
        <w:t>on the basis of</w:t>
      </w:r>
      <w:proofErr w:type="gramEnd"/>
      <w:r w:rsidRPr="0043366B">
        <w:rPr>
          <w:rFonts w:ascii="Arial" w:hAnsi="Arial" w:cs="Arial"/>
          <w:szCs w:val="22"/>
          <w:lang w:eastAsia="en-US"/>
        </w:rPr>
        <w:t xml:space="preserve"> </w:t>
      </w:r>
      <w:r w:rsidR="00CF4914" w:rsidRPr="0043366B">
        <w:rPr>
          <w:rFonts w:ascii="Arial" w:hAnsi="Arial" w:cs="Arial"/>
          <w:szCs w:val="22"/>
          <w:lang w:eastAsia="en-US"/>
        </w:rPr>
        <w:t xml:space="preserve">the </w:t>
      </w:r>
      <w:r w:rsidRPr="0043366B">
        <w:rPr>
          <w:rFonts w:ascii="Arial" w:hAnsi="Arial" w:cs="Arial"/>
          <w:szCs w:val="22"/>
          <w:lang w:eastAsia="en-US"/>
        </w:rPr>
        <w:t>turnover of the group for the purposes of the company turnover threshold in Section 399A(</w:t>
      </w:r>
      <w:r w:rsidR="006309FB" w:rsidRPr="0043366B">
        <w:rPr>
          <w:rFonts w:ascii="Arial" w:hAnsi="Arial" w:cs="Arial"/>
          <w:szCs w:val="22"/>
          <w:lang w:eastAsia="en-US"/>
        </w:rPr>
        <w:t>2</w:t>
      </w:r>
      <w:r w:rsidRPr="0043366B">
        <w:rPr>
          <w:rFonts w:ascii="Arial" w:hAnsi="Arial" w:cs="Arial"/>
          <w:szCs w:val="22"/>
          <w:lang w:eastAsia="en-US"/>
        </w:rPr>
        <w:t xml:space="preserve">)(a) of the </w:t>
      </w:r>
      <w:r w:rsidR="00CA20E1" w:rsidRPr="0043366B">
        <w:rPr>
          <w:rFonts w:ascii="Arial" w:hAnsi="Arial" w:cs="Arial"/>
          <w:szCs w:val="22"/>
          <w:lang w:eastAsia="en-US"/>
        </w:rPr>
        <w:t>CR</w:t>
      </w:r>
      <w:r w:rsidR="001212C7" w:rsidRPr="0043366B">
        <w:rPr>
          <w:rFonts w:ascii="Arial" w:hAnsi="Arial" w:cs="Arial"/>
          <w:szCs w:val="22"/>
          <w:lang w:eastAsia="en-US"/>
        </w:rPr>
        <w:t>,</w:t>
      </w:r>
      <w:r w:rsidRPr="0043366B">
        <w:rPr>
          <w:rFonts w:ascii="Arial" w:hAnsi="Arial" w:cs="Arial"/>
          <w:szCs w:val="22"/>
          <w:lang w:eastAsia="en-US"/>
        </w:rPr>
        <w:t xml:space="preserve"> and </w:t>
      </w:r>
      <w:r w:rsidR="00A867B4" w:rsidRPr="0043366B">
        <w:rPr>
          <w:rFonts w:ascii="Arial" w:hAnsi="Arial" w:cs="Arial"/>
          <w:szCs w:val="22"/>
          <w:lang w:eastAsia="en-US"/>
        </w:rPr>
        <w:t xml:space="preserve">also </w:t>
      </w:r>
      <w:r w:rsidRPr="0043366B">
        <w:rPr>
          <w:rFonts w:ascii="Arial" w:hAnsi="Arial" w:cs="Arial"/>
          <w:szCs w:val="22"/>
          <w:lang w:eastAsia="en-US"/>
        </w:rPr>
        <w:t xml:space="preserve">with reference to provisions in Section 398 of the </w:t>
      </w:r>
      <w:r w:rsidR="00CA20E1" w:rsidRPr="0043366B">
        <w:rPr>
          <w:rFonts w:ascii="Arial" w:hAnsi="Arial" w:cs="Arial"/>
          <w:szCs w:val="22"/>
        </w:rPr>
        <w:t>CR</w:t>
      </w:r>
      <w:r w:rsidRPr="0043366B">
        <w:rPr>
          <w:rFonts w:ascii="Arial" w:hAnsi="Arial" w:cs="Arial"/>
          <w:szCs w:val="22"/>
          <w:lang w:eastAsia="en-US"/>
        </w:rPr>
        <w:t xml:space="preserve"> on preparation of group accounts by a parent company.  </w:t>
      </w:r>
    </w:p>
    <w:p w14:paraId="62715543" w14:textId="77777777" w:rsidR="003E6D0B" w:rsidRPr="0043366B" w:rsidRDefault="003E6D0B" w:rsidP="00A00642">
      <w:pPr>
        <w:rPr>
          <w:rFonts w:ascii="Arial" w:hAnsi="Arial" w:cs="Arial"/>
          <w:szCs w:val="22"/>
          <w:lang w:eastAsia="en-US"/>
        </w:rPr>
      </w:pPr>
    </w:p>
    <w:p w14:paraId="4BE286F2" w14:textId="651DE059" w:rsidR="00A00642" w:rsidRDefault="00EE6739" w:rsidP="00DF25FB">
      <w:pPr>
        <w:pStyle w:val="Heading1"/>
      </w:pPr>
      <w:bookmarkStart w:id="21" w:name="_Toc118206892"/>
      <w:r>
        <w:t>10</w:t>
      </w:r>
      <w:r w:rsidR="00374BA0" w:rsidRPr="0043366B">
        <w:t xml:space="preserve">. </w:t>
      </w:r>
      <w:r w:rsidR="00DC7B3E" w:rsidRPr="0043366B">
        <w:t>Disclosure</w:t>
      </w:r>
      <w:r w:rsidR="001D6FF6" w:rsidRPr="0043366B">
        <w:t>s</w:t>
      </w:r>
      <w:r w:rsidR="00DC7B3E" w:rsidRPr="0043366B">
        <w:t xml:space="preserve"> </w:t>
      </w:r>
      <w:r w:rsidR="00827DCA">
        <w:t>s</w:t>
      </w:r>
      <w:r w:rsidR="00DC7B3E" w:rsidRPr="0043366B">
        <w:t>tandard</w:t>
      </w:r>
      <w:bookmarkEnd w:id="21"/>
    </w:p>
    <w:p w14:paraId="762E68C9" w14:textId="77777777" w:rsidR="00794AFC" w:rsidRPr="00192324" w:rsidRDefault="00794AFC" w:rsidP="007857FE"/>
    <w:p w14:paraId="1D4B775F" w14:textId="59374166" w:rsidR="00DC7B3E" w:rsidRPr="0043366B" w:rsidRDefault="00DC7B3E" w:rsidP="007857FE">
      <w:pPr>
        <w:widowControl w:val="0"/>
        <w:autoSpaceDE w:val="0"/>
        <w:autoSpaceDN w:val="0"/>
        <w:jc w:val="both"/>
        <w:rPr>
          <w:rFonts w:ascii="Arial" w:hAnsi="Arial" w:cs="Arial"/>
          <w:szCs w:val="22"/>
        </w:rPr>
      </w:pPr>
      <w:r w:rsidRPr="0043366B">
        <w:rPr>
          <w:rFonts w:ascii="Arial" w:hAnsi="Arial" w:cs="Arial"/>
          <w:szCs w:val="22"/>
        </w:rPr>
        <w:t xml:space="preserve">A company </w:t>
      </w:r>
      <w:r w:rsidR="002C19BE" w:rsidRPr="0043366B">
        <w:rPr>
          <w:rFonts w:ascii="Arial" w:hAnsi="Arial" w:cs="Arial"/>
          <w:szCs w:val="22"/>
        </w:rPr>
        <w:t xml:space="preserve">which </w:t>
      </w:r>
      <w:r w:rsidR="00D36027" w:rsidRPr="0043366B">
        <w:rPr>
          <w:rFonts w:ascii="Arial" w:hAnsi="Arial" w:cs="Arial"/>
          <w:szCs w:val="22"/>
        </w:rPr>
        <w:t xml:space="preserve">is required to prepare and submit ESG </w:t>
      </w:r>
      <w:r w:rsidR="001D6FF6" w:rsidRPr="0043366B">
        <w:rPr>
          <w:rFonts w:ascii="Arial" w:hAnsi="Arial" w:cs="Arial"/>
          <w:szCs w:val="22"/>
        </w:rPr>
        <w:t>d</w:t>
      </w:r>
      <w:r w:rsidR="00D36027" w:rsidRPr="0043366B">
        <w:rPr>
          <w:rFonts w:ascii="Arial" w:hAnsi="Arial" w:cs="Arial"/>
          <w:szCs w:val="22"/>
        </w:rPr>
        <w:t xml:space="preserve">isclosures </w:t>
      </w:r>
      <w:r w:rsidRPr="0043366B">
        <w:rPr>
          <w:rFonts w:ascii="Arial" w:hAnsi="Arial" w:cs="Arial"/>
          <w:szCs w:val="22"/>
        </w:rPr>
        <w:t xml:space="preserve">must </w:t>
      </w:r>
      <w:r w:rsidR="00D36027" w:rsidRPr="0043366B">
        <w:rPr>
          <w:rFonts w:ascii="Arial" w:hAnsi="Arial" w:cs="Arial"/>
          <w:szCs w:val="22"/>
        </w:rPr>
        <w:t>prepare its submissions</w:t>
      </w:r>
      <w:r w:rsidRPr="0043366B">
        <w:rPr>
          <w:rFonts w:ascii="Arial" w:hAnsi="Arial" w:cs="Arial"/>
          <w:szCs w:val="22"/>
        </w:rPr>
        <w:t xml:space="preserve"> consistent with a </w:t>
      </w:r>
      <w:r w:rsidR="00546066" w:rsidRPr="0043366B">
        <w:rPr>
          <w:rFonts w:ascii="Arial" w:hAnsi="Arial" w:cs="Arial"/>
          <w:szCs w:val="22"/>
        </w:rPr>
        <w:t xml:space="preserve">standard which is </w:t>
      </w:r>
      <w:r w:rsidRPr="0043366B">
        <w:rPr>
          <w:rFonts w:ascii="Arial" w:hAnsi="Arial" w:cs="Arial"/>
          <w:szCs w:val="22"/>
        </w:rPr>
        <w:t>globally recognised</w:t>
      </w:r>
      <w:r w:rsidR="00546066" w:rsidRPr="0043366B">
        <w:rPr>
          <w:rFonts w:ascii="Arial" w:hAnsi="Arial" w:cs="Arial"/>
          <w:szCs w:val="22"/>
        </w:rPr>
        <w:t xml:space="preserve"> in the reasonable opinion of the company’s directors</w:t>
      </w:r>
      <w:r w:rsidRPr="0043366B">
        <w:rPr>
          <w:rFonts w:ascii="Arial" w:hAnsi="Arial" w:cs="Arial"/>
          <w:szCs w:val="22"/>
        </w:rPr>
        <w:t xml:space="preserve">. </w:t>
      </w:r>
      <w:r w:rsidR="00D36027" w:rsidRPr="0043366B">
        <w:rPr>
          <w:rFonts w:ascii="Arial" w:hAnsi="Arial" w:cs="Arial"/>
          <w:szCs w:val="22"/>
        </w:rPr>
        <w:t xml:space="preserve"> </w:t>
      </w:r>
      <w:r w:rsidR="00350B84" w:rsidRPr="0043366B">
        <w:rPr>
          <w:rFonts w:ascii="Arial" w:hAnsi="Arial" w:cs="Arial"/>
          <w:szCs w:val="22"/>
        </w:rPr>
        <w:t xml:space="preserve">The following is </w:t>
      </w:r>
      <w:r w:rsidR="008E0288" w:rsidRPr="0043366B">
        <w:rPr>
          <w:rFonts w:ascii="Arial" w:hAnsi="Arial" w:cs="Arial"/>
          <w:szCs w:val="22"/>
        </w:rPr>
        <w:t xml:space="preserve">a </w:t>
      </w:r>
      <w:r w:rsidRPr="0043366B">
        <w:rPr>
          <w:rFonts w:ascii="Arial" w:hAnsi="Arial" w:cs="Arial"/>
          <w:szCs w:val="22"/>
        </w:rPr>
        <w:t>non-exhaustive list of examples of globally recognised standards</w:t>
      </w:r>
      <w:r w:rsidR="00DC7F7E" w:rsidRPr="0043366B">
        <w:rPr>
          <w:rFonts w:ascii="Arial" w:hAnsi="Arial" w:cs="Arial"/>
          <w:szCs w:val="22"/>
        </w:rPr>
        <w:t>:</w:t>
      </w:r>
      <w:r w:rsidRPr="0043366B">
        <w:rPr>
          <w:rFonts w:ascii="Arial" w:hAnsi="Arial" w:cs="Arial"/>
          <w:szCs w:val="22"/>
        </w:rPr>
        <w:t xml:space="preserve">  </w:t>
      </w:r>
    </w:p>
    <w:p w14:paraId="732F44D6" w14:textId="77777777" w:rsidR="00DC7B3E" w:rsidRPr="0043366B" w:rsidRDefault="00DC7B3E" w:rsidP="00DC7B3E">
      <w:pPr>
        <w:jc w:val="both"/>
        <w:rPr>
          <w:rFonts w:ascii="Arial" w:hAnsi="Arial" w:cs="Arial"/>
          <w:szCs w:val="22"/>
        </w:rPr>
      </w:pPr>
    </w:p>
    <w:p w14:paraId="7770B0F6" w14:textId="77777777" w:rsidR="00DC7B3E" w:rsidRPr="0043366B" w:rsidRDefault="00DC7B3E" w:rsidP="00DC7B3E">
      <w:pPr>
        <w:pStyle w:val="ListParagraph"/>
        <w:numPr>
          <w:ilvl w:val="0"/>
          <w:numId w:val="44"/>
        </w:numPr>
        <w:spacing w:line="252" w:lineRule="auto"/>
        <w:jc w:val="both"/>
        <w:rPr>
          <w:rFonts w:ascii="Arial" w:hAnsi="Arial" w:cs="Arial"/>
          <w:szCs w:val="22"/>
        </w:rPr>
      </w:pPr>
      <w:r w:rsidRPr="0043366B">
        <w:rPr>
          <w:rFonts w:ascii="Arial" w:hAnsi="Arial" w:cs="Arial"/>
          <w:szCs w:val="22"/>
        </w:rPr>
        <w:t>Carbon Disclosure Project (CDP)</w:t>
      </w:r>
    </w:p>
    <w:p w14:paraId="3941CADF" w14:textId="77777777" w:rsidR="00DC7B3E" w:rsidRPr="0043366B" w:rsidRDefault="00DC7B3E" w:rsidP="00DC7B3E">
      <w:pPr>
        <w:pStyle w:val="ListParagraph"/>
        <w:numPr>
          <w:ilvl w:val="0"/>
          <w:numId w:val="44"/>
        </w:numPr>
        <w:spacing w:line="252" w:lineRule="auto"/>
        <w:jc w:val="both"/>
        <w:rPr>
          <w:rFonts w:ascii="Arial" w:hAnsi="Arial" w:cs="Arial"/>
          <w:szCs w:val="22"/>
        </w:rPr>
      </w:pPr>
      <w:r w:rsidRPr="0043366B">
        <w:rPr>
          <w:rFonts w:ascii="Arial" w:hAnsi="Arial" w:cs="Arial"/>
          <w:szCs w:val="22"/>
        </w:rPr>
        <w:t>Global Reporting Initiative (GRI)</w:t>
      </w:r>
    </w:p>
    <w:p w14:paraId="2C10B071" w14:textId="77777777" w:rsidR="00DC7B3E" w:rsidRPr="0043366B" w:rsidRDefault="00DC7B3E" w:rsidP="00DC7B3E">
      <w:pPr>
        <w:pStyle w:val="ListParagraph"/>
        <w:numPr>
          <w:ilvl w:val="0"/>
          <w:numId w:val="44"/>
        </w:numPr>
        <w:spacing w:line="252" w:lineRule="auto"/>
        <w:jc w:val="both"/>
        <w:rPr>
          <w:rFonts w:ascii="Arial" w:hAnsi="Arial" w:cs="Arial"/>
          <w:szCs w:val="22"/>
        </w:rPr>
      </w:pPr>
      <w:proofErr w:type="spellStart"/>
      <w:r w:rsidRPr="0043366B">
        <w:rPr>
          <w:rFonts w:ascii="Arial" w:hAnsi="Arial" w:cs="Arial"/>
          <w:szCs w:val="22"/>
        </w:rPr>
        <w:t>Higg</w:t>
      </w:r>
      <w:proofErr w:type="spellEnd"/>
      <w:r w:rsidRPr="0043366B">
        <w:rPr>
          <w:rFonts w:ascii="Arial" w:hAnsi="Arial" w:cs="Arial"/>
          <w:szCs w:val="22"/>
        </w:rPr>
        <w:t xml:space="preserve"> Index</w:t>
      </w:r>
    </w:p>
    <w:p w14:paraId="174DBA51" w14:textId="77777777" w:rsidR="00DC7B3E" w:rsidRPr="0043366B" w:rsidRDefault="00DC7B3E" w:rsidP="00DC7B3E">
      <w:pPr>
        <w:pStyle w:val="ListParagraph"/>
        <w:numPr>
          <w:ilvl w:val="0"/>
          <w:numId w:val="44"/>
        </w:numPr>
        <w:spacing w:line="252" w:lineRule="auto"/>
        <w:jc w:val="both"/>
        <w:rPr>
          <w:rFonts w:ascii="Arial" w:hAnsi="Arial" w:cs="Arial"/>
          <w:szCs w:val="22"/>
        </w:rPr>
      </w:pPr>
      <w:r w:rsidRPr="0043366B">
        <w:rPr>
          <w:rFonts w:ascii="Arial" w:hAnsi="Arial" w:cs="Arial"/>
          <w:szCs w:val="22"/>
        </w:rPr>
        <w:t>International Sustainability Standards Board (ISSB)</w:t>
      </w:r>
    </w:p>
    <w:p w14:paraId="1BF1720C" w14:textId="77777777" w:rsidR="00DC7B3E" w:rsidRPr="0043366B" w:rsidRDefault="00DC7B3E" w:rsidP="00DC7B3E">
      <w:pPr>
        <w:pStyle w:val="ListParagraph"/>
        <w:numPr>
          <w:ilvl w:val="0"/>
          <w:numId w:val="44"/>
        </w:numPr>
        <w:spacing w:line="252" w:lineRule="auto"/>
        <w:jc w:val="both"/>
        <w:rPr>
          <w:rFonts w:ascii="Arial" w:hAnsi="Arial" w:cs="Arial"/>
          <w:szCs w:val="22"/>
        </w:rPr>
      </w:pPr>
      <w:r w:rsidRPr="0043366B">
        <w:rPr>
          <w:rFonts w:ascii="Arial" w:hAnsi="Arial" w:cs="Arial"/>
          <w:szCs w:val="22"/>
        </w:rPr>
        <w:t>Task Force on ESG Financial Disclosures (TCFD)</w:t>
      </w:r>
    </w:p>
    <w:p w14:paraId="18B0E7D1" w14:textId="77777777" w:rsidR="00DC7B3E" w:rsidRPr="0043366B" w:rsidRDefault="00DC7B3E" w:rsidP="00DC7B3E">
      <w:pPr>
        <w:pStyle w:val="ListParagraph"/>
        <w:numPr>
          <w:ilvl w:val="0"/>
          <w:numId w:val="44"/>
        </w:numPr>
        <w:spacing w:line="252" w:lineRule="auto"/>
        <w:jc w:val="both"/>
        <w:rPr>
          <w:rFonts w:ascii="Arial" w:hAnsi="Arial" w:cs="Arial"/>
          <w:szCs w:val="22"/>
        </w:rPr>
      </w:pPr>
      <w:r w:rsidRPr="0043366B">
        <w:rPr>
          <w:rFonts w:ascii="Arial" w:hAnsi="Arial" w:cs="Arial"/>
          <w:szCs w:val="22"/>
        </w:rPr>
        <w:t>United Nations Sustainable Development Goals (UNSDG)</w:t>
      </w:r>
    </w:p>
    <w:p w14:paraId="55B9EBE8" w14:textId="77777777" w:rsidR="00DC7B3E" w:rsidRPr="0043366B" w:rsidRDefault="00DC7B3E" w:rsidP="00DC7B3E">
      <w:pPr>
        <w:pStyle w:val="ListParagraph"/>
        <w:spacing w:line="252" w:lineRule="auto"/>
        <w:rPr>
          <w:rFonts w:ascii="Arial" w:hAnsi="Arial" w:cs="Arial"/>
          <w:szCs w:val="22"/>
        </w:rPr>
      </w:pPr>
    </w:p>
    <w:p w14:paraId="589BF8D9" w14:textId="37D4BC73" w:rsidR="00DC7B3E" w:rsidRPr="0043366B" w:rsidRDefault="00D36027" w:rsidP="5A38BA5C">
      <w:pPr>
        <w:widowControl w:val="0"/>
        <w:autoSpaceDE w:val="0"/>
        <w:autoSpaceDN w:val="0"/>
        <w:spacing w:before="120"/>
        <w:jc w:val="both"/>
        <w:rPr>
          <w:rFonts w:ascii="Arial" w:hAnsi="Arial" w:cs="Arial"/>
          <w:szCs w:val="22"/>
        </w:rPr>
      </w:pPr>
      <w:r w:rsidRPr="0043366B">
        <w:rPr>
          <w:rFonts w:ascii="Arial" w:hAnsi="Arial" w:cs="Arial"/>
          <w:szCs w:val="22"/>
        </w:rPr>
        <w:t>A company may change the applicable disclosure</w:t>
      </w:r>
      <w:r w:rsidR="001D6FF6" w:rsidRPr="0043366B">
        <w:rPr>
          <w:rFonts w:ascii="Arial" w:hAnsi="Arial" w:cs="Arial"/>
          <w:szCs w:val="22"/>
        </w:rPr>
        <w:t>s</w:t>
      </w:r>
      <w:r w:rsidRPr="0043366B">
        <w:rPr>
          <w:rFonts w:ascii="Arial" w:hAnsi="Arial" w:cs="Arial"/>
          <w:szCs w:val="22"/>
        </w:rPr>
        <w:t xml:space="preserve"> standard at </w:t>
      </w:r>
      <w:r w:rsidR="0061020E" w:rsidRPr="0043366B">
        <w:rPr>
          <w:rFonts w:ascii="Arial" w:hAnsi="Arial" w:cs="Arial"/>
          <w:szCs w:val="22"/>
        </w:rPr>
        <w:t>its</w:t>
      </w:r>
      <w:r w:rsidRPr="0043366B">
        <w:rPr>
          <w:rFonts w:ascii="Arial" w:hAnsi="Arial" w:cs="Arial"/>
          <w:szCs w:val="22"/>
        </w:rPr>
        <w:t xml:space="preserve"> discretion.</w:t>
      </w:r>
      <w:r w:rsidR="00DC7B3E" w:rsidRPr="0043366B">
        <w:rPr>
          <w:rFonts w:ascii="Arial" w:hAnsi="Arial" w:cs="Arial"/>
          <w:szCs w:val="22"/>
        </w:rPr>
        <w:t xml:space="preserve">  </w:t>
      </w:r>
    </w:p>
    <w:p w14:paraId="25D37DB3" w14:textId="3D8A053C" w:rsidR="00A00642" w:rsidRPr="0043366B" w:rsidRDefault="00A00642" w:rsidP="00A00642">
      <w:pPr>
        <w:rPr>
          <w:rFonts w:ascii="Arial" w:hAnsi="Arial" w:cs="Arial"/>
          <w:szCs w:val="22"/>
          <w:lang w:eastAsia="en-US"/>
        </w:rPr>
      </w:pPr>
    </w:p>
    <w:p w14:paraId="4B9930D6" w14:textId="6EA4250F" w:rsidR="00A00642" w:rsidRPr="0043366B" w:rsidRDefault="00D36027" w:rsidP="00DF25FB">
      <w:pPr>
        <w:pStyle w:val="Heading1"/>
      </w:pPr>
      <w:bookmarkStart w:id="22" w:name="_Toc118206893"/>
      <w:r w:rsidRPr="0043366B">
        <w:t>1</w:t>
      </w:r>
      <w:r w:rsidR="00EE6739">
        <w:t>1</w:t>
      </w:r>
      <w:r w:rsidR="00374BA0" w:rsidRPr="0043366B">
        <w:t xml:space="preserve">. </w:t>
      </w:r>
      <w:r w:rsidR="00DC7B3E" w:rsidRPr="0043366B">
        <w:t>Review of ESG disclosures reporting process</w:t>
      </w:r>
      <w:bookmarkEnd w:id="22"/>
    </w:p>
    <w:p w14:paraId="6C4ECF4B" w14:textId="48451E6E" w:rsidR="00A00642" w:rsidRPr="0043366B" w:rsidRDefault="00A00642" w:rsidP="00A00642">
      <w:pPr>
        <w:rPr>
          <w:rFonts w:ascii="Arial" w:hAnsi="Arial" w:cs="Arial"/>
          <w:szCs w:val="22"/>
          <w:lang w:eastAsia="en-US"/>
        </w:rPr>
      </w:pPr>
    </w:p>
    <w:p w14:paraId="1ABEDA73" w14:textId="10313AC7" w:rsidR="00DC7B3E" w:rsidRPr="0043366B" w:rsidRDefault="00DC7B3E" w:rsidP="007857FE">
      <w:pPr>
        <w:widowControl w:val="0"/>
        <w:autoSpaceDE w:val="0"/>
        <w:autoSpaceDN w:val="0"/>
        <w:jc w:val="both"/>
        <w:rPr>
          <w:rFonts w:ascii="Arial" w:eastAsiaTheme="minorEastAsia" w:hAnsi="Arial" w:cs="Arial"/>
          <w:szCs w:val="20"/>
        </w:rPr>
      </w:pPr>
      <w:r w:rsidRPr="0043366B">
        <w:rPr>
          <w:rFonts w:ascii="Arial" w:eastAsiaTheme="minorEastAsia" w:hAnsi="Arial" w:cs="Arial"/>
          <w:szCs w:val="20"/>
        </w:rPr>
        <w:t xml:space="preserve">An internal review of the ESG disclosures reporting process should be undertaken periodically as part of </w:t>
      </w:r>
      <w:r w:rsidR="00E97CE8">
        <w:rPr>
          <w:rFonts w:ascii="Arial" w:eastAsiaTheme="minorEastAsia" w:hAnsi="Arial" w:cs="Arial"/>
          <w:szCs w:val="20"/>
        </w:rPr>
        <w:t>a</w:t>
      </w:r>
      <w:r w:rsidR="00E97CE8" w:rsidRPr="0043366B">
        <w:rPr>
          <w:rFonts w:ascii="Arial" w:eastAsiaTheme="minorEastAsia" w:hAnsi="Arial" w:cs="Arial"/>
          <w:szCs w:val="20"/>
        </w:rPr>
        <w:t xml:space="preserve"> </w:t>
      </w:r>
      <w:r w:rsidR="00CB6048" w:rsidRPr="0043366B">
        <w:rPr>
          <w:rFonts w:ascii="Arial" w:eastAsiaTheme="minorEastAsia" w:hAnsi="Arial" w:cs="Arial"/>
          <w:szCs w:val="20"/>
        </w:rPr>
        <w:t xml:space="preserve">company’s </w:t>
      </w:r>
      <w:r w:rsidRPr="0043366B">
        <w:rPr>
          <w:rFonts w:ascii="Arial" w:eastAsiaTheme="minorEastAsia" w:hAnsi="Arial" w:cs="Arial"/>
          <w:szCs w:val="20"/>
        </w:rPr>
        <w:t>internal audit framework.</w:t>
      </w:r>
    </w:p>
    <w:p w14:paraId="7FF93870" w14:textId="77777777" w:rsidR="00374BA0" w:rsidRPr="007857FE" w:rsidRDefault="00374BA0" w:rsidP="007857FE">
      <w:pPr>
        <w:widowControl w:val="0"/>
        <w:autoSpaceDE w:val="0"/>
        <w:autoSpaceDN w:val="0"/>
        <w:jc w:val="both"/>
        <w:rPr>
          <w:rFonts w:ascii="Arial" w:eastAsiaTheme="minorEastAsia" w:hAnsi="Arial" w:cs="Arial"/>
          <w:sz w:val="24"/>
          <w:szCs w:val="22"/>
        </w:rPr>
      </w:pPr>
    </w:p>
    <w:p w14:paraId="34BC4863" w14:textId="2A2DB62F" w:rsidR="00A00642" w:rsidRPr="0043366B" w:rsidRDefault="00D36027" w:rsidP="00DF25FB">
      <w:pPr>
        <w:pStyle w:val="Heading1"/>
      </w:pPr>
      <w:bookmarkStart w:id="23" w:name="_Toc118206894"/>
      <w:r w:rsidRPr="0043366B">
        <w:t>1</w:t>
      </w:r>
      <w:r w:rsidR="00EE6739">
        <w:t>2</w:t>
      </w:r>
      <w:r w:rsidR="00374BA0" w:rsidRPr="0043366B">
        <w:t xml:space="preserve">. </w:t>
      </w:r>
      <w:r w:rsidR="00DC7B3E" w:rsidRPr="0043366B">
        <w:t>Non-submission of ESG disclosures by in-scope companies</w:t>
      </w:r>
      <w:bookmarkEnd w:id="23"/>
    </w:p>
    <w:p w14:paraId="3A5CD666" w14:textId="77777777" w:rsidR="00DC7B3E" w:rsidRPr="0043366B" w:rsidRDefault="00DC7B3E" w:rsidP="00A00642">
      <w:pPr>
        <w:rPr>
          <w:rFonts w:ascii="Arial" w:hAnsi="Arial" w:cs="Arial"/>
          <w:szCs w:val="22"/>
          <w:lang w:eastAsia="en-US"/>
        </w:rPr>
      </w:pPr>
    </w:p>
    <w:p w14:paraId="308FFD6F" w14:textId="644DC4F6" w:rsidR="009839EB" w:rsidRDefault="009839EB" w:rsidP="00794AFC">
      <w:pPr>
        <w:widowControl w:val="0"/>
        <w:autoSpaceDE w:val="0"/>
        <w:autoSpaceDN w:val="0"/>
        <w:jc w:val="both"/>
        <w:rPr>
          <w:rFonts w:ascii="Arial" w:eastAsiaTheme="minorEastAsia" w:hAnsi="Arial" w:cs="Arial"/>
        </w:rPr>
      </w:pPr>
      <w:r w:rsidRPr="0043366B">
        <w:rPr>
          <w:rFonts w:ascii="Arial" w:eastAsiaTheme="minorEastAsia" w:hAnsi="Arial" w:cs="Arial"/>
        </w:rPr>
        <w:t>The ESG Disclosure</w:t>
      </w:r>
      <w:r w:rsidR="001D6FF6" w:rsidRPr="0043366B">
        <w:rPr>
          <w:rFonts w:ascii="Arial" w:eastAsiaTheme="minorEastAsia" w:hAnsi="Arial" w:cs="Arial"/>
        </w:rPr>
        <w:t>s</w:t>
      </w:r>
      <w:r w:rsidRPr="0043366B">
        <w:rPr>
          <w:rFonts w:ascii="Arial" w:eastAsiaTheme="minorEastAsia" w:hAnsi="Arial" w:cs="Arial"/>
        </w:rPr>
        <w:t xml:space="preserve"> Framework offers flexibility through its ‘comply or explain’ approach, which is designed to encourage companies to develop governance processes and practices that are the most suitable for their </w:t>
      </w:r>
      <w:proofErr w:type="gramStart"/>
      <w:r w:rsidRPr="0043366B">
        <w:rPr>
          <w:rFonts w:ascii="Arial" w:eastAsiaTheme="minorEastAsia" w:hAnsi="Arial" w:cs="Arial"/>
        </w:rPr>
        <w:t>particular circumstances</w:t>
      </w:r>
      <w:proofErr w:type="gramEnd"/>
      <w:r w:rsidRPr="0043366B">
        <w:rPr>
          <w:rFonts w:ascii="Arial" w:eastAsiaTheme="minorEastAsia" w:hAnsi="Arial" w:cs="Arial"/>
        </w:rPr>
        <w:t xml:space="preserve"> and to report them in a meaningful way. </w:t>
      </w:r>
    </w:p>
    <w:p w14:paraId="168A06B5" w14:textId="77777777" w:rsidR="00794AFC" w:rsidRPr="0043366B" w:rsidRDefault="00794AFC" w:rsidP="007857FE">
      <w:pPr>
        <w:widowControl w:val="0"/>
        <w:autoSpaceDE w:val="0"/>
        <w:autoSpaceDN w:val="0"/>
        <w:jc w:val="both"/>
        <w:rPr>
          <w:rFonts w:ascii="Arial" w:eastAsiaTheme="minorEastAsia" w:hAnsi="Arial" w:cs="Arial"/>
        </w:rPr>
      </w:pPr>
    </w:p>
    <w:p w14:paraId="1E55458C" w14:textId="78840772" w:rsidR="000621CC" w:rsidRDefault="00D36027" w:rsidP="007857FE">
      <w:pPr>
        <w:widowControl w:val="0"/>
        <w:autoSpaceDE w:val="0"/>
        <w:autoSpaceDN w:val="0"/>
        <w:jc w:val="both"/>
        <w:rPr>
          <w:rFonts w:ascii="Arial" w:eastAsiaTheme="minorEastAsia" w:hAnsi="Arial" w:cs="Arial"/>
        </w:rPr>
      </w:pPr>
      <w:r w:rsidRPr="0043366B">
        <w:rPr>
          <w:rFonts w:ascii="Arial" w:eastAsiaTheme="minorEastAsia" w:hAnsi="Arial" w:cs="Arial"/>
        </w:rPr>
        <w:t>While the Registrar</w:t>
      </w:r>
      <w:r w:rsidR="00D10CBE" w:rsidRPr="0043366B">
        <w:rPr>
          <w:rFonts w:ascii="Arial" w:eastAsiaTheme="minorEastAsia" w:hAnsi="Arial" w:cs="Arial"/>
        </w:rPr>
        <w:t xml:space="preserve"> expects all in</w:t>
      </w:r>
      <w:r w:rsidR="00177486" w:rsidRPr="0043366B">
        <w:rPr>
          <w:rFonts w:ascii="Arial" w:eastAsiaTheme="minorEastAsia" w:hAnsi="Arial" w:cs="Arial"/>
        </w:rPr>
        <w:t>-</w:t>
      </w:r>
      <w:r w:rsidR="00D10CBE" w:rsidRPr="0043366B">
        <w:rPr>
          <w:rFonts w:ascii="Arial" w:eastAsiaTheme="minorEastAsia" w:hAnsi="Arial" w:cs="Arial"/>
        </w:rPr>
        <w:t xml:space="preserve">scope companies to submit ESG </w:t>
      </w:r>
      <w:r w:rsidR="0094080A" w:rsidRPr="0043366B">
        <w:rPr>
          <w:rFonts w:ascii="Arial" w:eastAsiaTheme="minorEastAsia" w:hAnsi="Arial" w:cs="Arial"/>
        </w:rPr>
        <w:t>d</w:t>
      </w:r>
      <w:r w:rsidR="00D10CBE" w:rsidRPr="0043366B">
        <w:rPr>
          <w:rFonts w:ascii="Arial" w:eastAsiaTheme="minorEastAsia" w:hAnsi="Arial" w:cs="Arial"/>
        </w:rPr>
        <w:t xml:space="preserve">isclosures, it is acknowledged that it may take time for </w:t>
      </w:r>
      <w:r w:rsidR="00546066" w:rsidRPr="0043366B">
        <w:rPr>
          <w:rFonts w:ascii="Arial" w:eastAsiaTheme="minorEastAsia" w:hAnsi="Arial" w:cs="Arial"/>
        </w:rPr>
        <w:t xml:space="preserve">such companies to develop necessary systems and controls.  </w:t>
      </w:r>
      <w:r w:rsidR="009839EB" w:rsidRPr="0043366B">
        <w:rPr>
          <w:rFonts w:ascii="Arial" w:eastAsiaTheme="minorEastAsia" w:hAnsi="Arial" w:cs="Arial"/>
        </w:rPr>
        <w:t xml:space="preserve">The </w:t>
      </w:r>
      <w:r w:rsidR="005E61F4" w:rsidRPr="0043366B">
        <w:rPr>
          <w:rFonts w:ascii="Arial" w:eastAsiaTheme="minorEastAsia" w:hAnsi="Arial" w:cs="Arial"/>
        </w:rPr>
        <w:t>R</w:t>
      </w:r>
      <w:r w:rsidR="009839EB" w:rsidRPr="0043366B">
        <w:rPr>
          <w:rFonts w:ascii="Arial" w:eastAsiaTheme="minorEastAsia" w:hAnsi="Arial" w:cs="Arial"/>
        </w:rPr>
        <w:t xml:space="preserve">egistrar encourages companies to embrace the flexibility offered by the </w:t>
      </w:r>
      <w:r w:rsidR="005E61F4" w:rsidRPr="0043366B">
        <w:rPr>
          <w:rFonts w:ascii="Arial" w:eastAsiaTheme="minorEastAsia" w:hAnsi="Arial" w:cs="Arial"/>
        </w:rPr>
        <w:t xml:space="preserve">ESG Disclosures </w:t>
      </w:r>
      <w:r w:rsidR="009839EB" w:rsidRPr="0043366B">
        <w:rPr>
          <w:rFonts w:ascii="Arial" w:eastAsiaTheme="minorEastAsia" w:hAnsi="Arial" w:cs="Arial"/>
        </w:rPr>
        <w:t>Framework, consider their circumstances carefully and choose what is best for them, while clearly explaining any determination not to make ESG disclosure</w:t>
      </w:r>
      <w:r w:rsidR="005E61F4" w:rsidRPr="0043366B">
        <w:rPr>
          <w:rFonts w:ascii="Arial" w:eastAsiaTheme="minorEastAsia" w:hAnsi="Arial" w:cs="Arial"/>
        </w:rPr>
        <w:t>s</w:t>
      </w:r>
      <w:r w:rsidR="009839EB" w:rsidRPr="0043366B">
        <w:rPr>
          <w:rFonts w:ascii="Arial" w:eastAsiaTheme="minorEastAsia" w:hAnsi="Arial" w:cs="Arial"/>
        </w:rPr>
        <w:t xml:space="preserve">. </w:t>
      </w:r>
    </w:p>
    <w:p w14:paraId="7C1E9992" w14:textId="77777777" w:rsidR="00794AFC" w:rsidRDefault="00794AFC" w:rsidP="007857FE">
      <w:pPr>
        <w:widowControl w:val="0"/>
        <w:autoSpaceDE w:val="0"/>
        <w:autoSpaceDN w:val="0"/>
        <w:jc w:val="both"/>
        <w:rPr>
          <w:rFonts w:ascii="Arial" w:eastAsiaTheme="minorEastAsia" w:hAnsi="Arial" w:cs="Arial"/>
        </w:rPr>
      </w:pPr>
    </w:p>
    <w:p w14:paraId="195B8078" w14:textId="7993B890" w:rsidR="00DC7B3E" w:rsidRPr="0043366B" w:rsidRDefault="00DC7B3E" w:rsidP="007857FE">
      <w:pPr>
        <w:widowControl w:val="0"/>
        <w:autoSpaceDE w:val="0"/>
        <w:autoSpaceDN w:val="0"/>
        <w:jc w:val="both"/>
        <w:rPr>
          <w:rFonts w:ascii="Arial" w:eastAsiaTheme="minorEastAsia" w:hAnsi="Arial" w:cs="Arial"/>
        </w:rPr>
      </w:pPr>
      <w:r w:rsidRPr="0043366B">
        <w:rPr>
          <w:rFonts w:ascii="Arial" w:eastAsiaTheme="minorEastAsia" w:hAnsi="Arial" w:cs="Arial"/>
        </w:rPr>
        <w:t xml:space="preserve">When informing the Registrar of its decision not to submit ESG disclosures in accordance with </w:t>
      </w:r>
      <w:r w:rsidR="00D41CB9" w:rsidRPr="0043366B">
        <w:rPr>
          <w:rFonts w:ascii="Arial" w:eastAsiaTheme="minorEastAsia" w:hAnsi="Arial" w:cs="Arial"/>
        </w:rPr>
        <w:t xml:space="preserve">subsection </w:t>
      </w:r>
      <w:r w:rsidRPr="0043366B">
        <w:rPr>
          <w:rFonts w:ascii="Arial" w:eastAsiaTheme="minorEastAsia" w:hAnsi="Arial"/>
        </w:rPr>
        <w:t>399</w:t>
      </w:r>
      <w:proofErr w:type="gramStart"/>
      <w:r w:rsidRPr="0043366B">
        <w:rPr>
          <w:rFonts w:ascii="Arial" w:eastAsiaTheme="minorEastAsia" w:hAnsi="Arial"/>
        </w:rPr>
        <w:t>B(</w:t>
      </w:r>
      <w:proofErr w:type="gramEnd"/>
      <w:r w:rsidR="00BA41C5" w:rsidRPr="0043366B">
        <w:rPr>
          <w:rFonts w:ascii="Arial" w:eastAsiaTheme="minorEastAsia" w:hAnsi="Arial"/>
        </w:rPr>
        <w:t>5</w:t>
      </w:r>
      <w:r w:rsidRPr="0043366B">
        <w:rPr>
          <w:rFonts w:ascii="Arial" w:eastAsiaTheme="minorEastAsia" w:hAnsi="Arial"/>
        </w:rPr>
        <w:t>)</w:t>
      </w:r>
      <w:r w:rsidR="004B520A" w:rsidRPr="0043366B">
        <w:rPr>
          <w:rFonts w:ascii="Arial" w:eastAsiaTheme="minorEastAsia" w:hAnsi="Arial" w:cs="Arial"/>
        </w:rPr>
        <w:t xml:space="preserve"> </w:t>
      </w:r>
      <w:r w:rsidR="004B520A" w:rsidRPr="0043366B">
        <w:rPr>
          <w:rFonts w:ascii="Arial" w:hAnsi="Arial" w:cs="Arial"/>
          <w:lang w:eastAsia="en-US"/>
        </w:rPr>
        <w:t xml:space="preserve">of </w:t>
      </w:r>
      <w:r w:rsidR="00177486" w:rsidRPr="0043366B">
        <w:rPr>
          <w:rFonts w:ascii="Arial" w:hAnsi="Arial" w:cs="Arial"/>
          <w:lang w:eastAsia="en-US"/>
        </w:rPr>
        <w:t xml:space="preserve">the </w:t>
      </w:r>
      <w:r w:rsidR="00CA20E1" w:rsidRPr="0043366B">
        <w:rPr>
          <w:rFonts w:ascii="Arial" w:hAnsi="Arial" w:cs="Arial"/>
        </w:rPr>
        <w:t>CR</w:t>
      </w:r>
      <w:r w:rsidRPr="0043366B">
        <w:rPr>
          <w:rFonts w:ascii="Arial" w:eastAsiaTheme="minorEastAsia" w:hAnsi="Arial" w:cs="Arial"/>
        </w:rPr>
        <w:t xml:space="preserve">, a company should submit correspondence to </w:t>
      </w:r>
      <w:hyperlink r:id="rId23" w:history="1">
        <w:r w:rsidR="00546066" w:rsidRPr="0043366B">
          <w:rPr>
            <w:rStyle w:val="Hyperlink"/>
            <w:rFonts w:eastAsiaTheme="minorEastAsia" w:cs="Arial"/>
          </w:rPr>
          <w:t>monitoring@adgm.com</w:t>
        </w:r>
      </w:hyperlink>
      <w:r w:rsidR="00546066" w:rsidRPr="0043366B">
        <w:rPr>
          <w:rFonts w:ascii="Arial" w:eastAsiaTheme="minorEastAsia" w:hAnsi="Arial" w:cs="Arial"/>
          <w:u w:val="single"/>
        </w:rPr>
        <w:t>,</w:t>
      </w:r>
      <w:r w:rsidR="00546066" w:rsidRPr="0043366B">
        <w:rPr>
          <w:rFonts w:ascii="Arial" w:eastAsiaTheme="minorEastAsia" w:hAnsi="Arial" w:cs="Arial"/>
        </w:rPr>
        <w:t xml:space="preserve"> including a description of the reasons for</w:t>
      </w:r>
      <w:r w:rsidR="009839EB" w:rsidRPr="0043366B">
        <w:rPr>
          <w:rFonts w:ascii="Arial" w:eastAsiaTheme="minorEastAsia" w:hAnsi="Arial" w:cs="Arial"/>
        </w:rPr>
        <w:t xml:space="preserve"> its determination</w:t>
      </w:r>
      <w:r w:rsidRPr="0043366B">
        <w:rPr>
          <w:rFonts w:ascii="Arial" w:eastAsiaTheme="minorEastAsia" w:hAnsi="Arial" w:cs="Arial"/>
        </w:rPr>
        <w:t xml:space="preserve">. </w:t>
      </w:r>
    </w:p>
    <w:p w14:paraId="1F8BE675" w14:textId="002A3B14" w:rsidR="00A00642" w:rsidRPr="0043366B" w:rsidRDefault="00A00642" w:rsidP="00A00642">
      <w:pPr>
        <w:rPr>
          <w:rFonts w:ascii="Arial" w:hAnsi="Arial" w:cs="Arial"/>
          <w:szCs w:val="22"/>
          <w:lang w:eastAsia="en-US"/>
        </w:rPr>
      </w:pPr>
    </w:p>
    <w:p w14:paraId="3035E3FD" w14:textId="37766D8C" w:rsidR="000802C6" w:rsidRPr="0043366B" w:rsidRDefault="001607E6" w:rsidP="00DF25FB">
      <w:pPr>
        <w:pStyle w:val="Heading1"/>
      </w:pPr>
      <w:bookmarkStart w:id="24" w:name="_Toc118206895"/>
      <w:r w:rsidRPr="0043366B">
        <w:lastRenderedPageBreak/>
        <w:t>1</w:t>
      </w:r>
      <w:r w:rsidR="00EE6739">
        <w:t>3</w:t>
      </w:r>
      <w:r w:rsidR="00374351" w:rsidRPr="0043366B">
        <w:t xml:space="preserve">. </w:t>
      </w:r>
      <w:r w:rsidR="000802C6" w:rsidRPr="0043366B">
        <w:t xml:space="preserve">Exemption for a company included in the group </w:t>
      </w:r>
      <w:r w:rsidR="00941B21">
        <w:t xml:space="preserve">annual </w:t>
      </w:r>
      <w:r w:rsidR="000802C6" w:rsidRPr="0043366B">
        <w:t>accounts of a larger group</w:t>
      </w:r>
      <w:bookmarkEnd w:id="24"/>
    </w:p>
    <w:p w14:paraId="09BC01E2" w14:textId="77777777" w:rsidR="000802C6" w:rsidRPr="0043366B" w:rsidRDefault="000802C6" w:rsidP="00794AFC">
      <w:pPr>
        <w:rPr>
          <w:rFonts w:ascii="Arial" w:hAnsi="Arial" w:cs="Arial"/>
          <w:szCs w:val="22"/>
          <w:lang w:eastAsia="en-US"/>
        </w:rPr>
      </w:pPr>
    </w:p>
    <w:p w14:paraId="25AEBF0F" w14:textId="7B8701C2" w:rsidR="000802C6" w:rsidRPr="0043366B" w:rsidRDefault="0049445D" w:rsidP="007857FE">
      <w:pPr>
        <w:widowControl w:val="0"/>
        <w:autoSpaceDE w:val="0"/>
        <w:autoSpaceDN w:val="0"/>
        <w:jc w:val="both"/>
        <w:rPr>
          <w:rFonts w:ascii="Arial" w:eastAsiaTheme="minorEastAsia" w:hAnsi="Arial" w:cs="Arial"/>
        </w:rPr>
      </w:pPr>
      <w:r w:rsidRPr="0043366B">
        <w:rPr>
          <w:rFonts w:ascii="Arial" w:eastAsiaTheme="minorEastAsia" w:hAnsi="Arial" w:cs="Arial"/>
        </w:rPr>
        <w:t xml:space="preserve">A company </w:t>
      </w:r>
      <w:r w:rsidR="000802C6" w:rsidRPr="0043366B">
        <w:rPr>
          <w:rFonts w:ascii="Arial" w:eastAsiaTheme="minorEastAsia" w:hAnsi="Arial" w:cs="Arial"/>
        </w:rPr>
        <w:t xml:space="preserve">may consider ESG disclosures </w:t>
      </w:r>
      <w:r w:rsidRPr="0043366B">
        <w:rPr>
          <w:rFonts w:ascii="Arial" w:eastAsiaTheme="minorEastAsia" w:hAnsi="Arial" w:cs="Arial"/>
        </w:rPr>
        <w:t xml:space="preserve">made in </w:t>
      </w:r>
      <w:r w:rsidR="00445DCF" w:rsidRPr="0043366B">
        <w:rPr>
          <w:rFonts w:ascii="Arial" w:eastAsiaTheme="minorEastAsia" w:hAnsi="Arial" w:cs="Arial"/>
        </w:rPr>
        <w:t xml:space="preserve">applicable </w:t>
      </w:r>
      <w:r w:rsidRPr="0043366B">
        <w:rPr>
          <w:rFonts w:ascii="Arial" w:eastAsiaTheme="minorEastAsia" w:hAnsi="Arial" w:cs="Arial"/>
        </w:rPr>
        <w:t>consolidated</w:t>
      </w:r>
      <w:r w:rsidR="00361B8B" w:rsidRPr="0043366B">
        <w:rPr>
          <w:rFonts w:ascii="Arial" w:eastAsiaTheme="minorEastAsia" w:hAnsi="Arial" w:cs="Arial"/>
        </w:rPr>
        <w:t xml:space="preserve"> group </w:t>
      </w:r>
      <w:r w:rsidR="00941B21">
        <w:rPr>
          <w:rFonts w:ascii="Arial" w:eastAsiaTheme="minorEastAsia" w:hAnsi="Arial" w:cs="Arial"/>
        </w:rPr>
        <w:t xml:space="preserve">annual </w:t>
      </w:r>
      <w:r w:rsidR="00361B8B" w:rsidRPr="0043366B">
        <w:rPr>
          <w:rFonts w:ascii="Arial" w:eastAsiaTheme="minorEastAsia" w:hAnsi="Arial" w:cs="Arial"/>
        </w:rPr>
        <w:t xml:space="preserve">accounts </w:t>
      </w:r>
      <w:r w:rsidR="00445DCF" w:rsidRPr="0043366B">
        <w:rPr>
          <w:rFonts w:ascii="Arial" w:eastAsiaTheme="minorEastAsia" w:hAnsi="Arial" w:cs="Arial"/>
        </w:rPr>
        <w:t xml:space="preserve">to satisfy </w:t>
      </w:r>
      <w:r w:rsidR="00D849E9" w:rsidRPr="0043366B">
        <w:rPr>
          <w:rFonts w:ascii="Arial" w:eastAsiaTheme="minorEastAsia" w:hAnsi="Arial" w:cs="Arial"/>
        </w:rPr>
        <w:t>s</w:t>
      </w:r>
      <w:r w:rsidR="0035371F" w:rsidRPr="0043366B">
        <w:rPr>
          <w:rFonts w:ascii="Arial" w:eastAsiaTheme="minorEastAsia" w:hAnsi="Arial" w:cs="Arial"/>
        </w:rPr>
        <w:t>ubs</w:t>
      </w:r>
      <w:r w:rsidR="00D849E9" w:rsidRPr="0043366B">
        <w:rPr>
          <w:rFonts w:ascii="Arial" w:eastAsiaTheme="minorEastAsia" w:hAnsi="Arial" w:cs="Arial"/>
        </w:rPr>
        <w:t>ection 399</w:t>
      </w:r>
      <w:r w:rsidR="004A07C0" w:rsidRPr="0043366B">
        <w:rPr>
          <w:rFonts w:ascii="Arial" w:eastAsiaTheme="minorEastAsia" w:hAnsi="Arial" w:cs="Arial"/>
        </w:rPr>
        <w:t>C</w:t>
      </w:r>
      <w:r w:rsidR="007A109B" w:rsidRPr="0043366B">
        <w:rPr>
          <w:rFonts w:ascii="Arial" w:eastAsiaTheme="minorEastAsia" w:hAnsi="Arial" w:cs="Arial"/>
        </w:rPr>
        <w:t>(2)(a)</w:t>
      </w:r>
      <w:r w:rsidR="00D849E9" w:rsidRPr="0043366B">
        <w:rPr>
          <w:rFonts w:ascii="Arial" w:eastAsiaTheme="minorEastAsia" w:hAnsi="Arial" w:cs="Arial"/>
        </w:rPr>
        <w:t xml:space="preserve"> </w:t>
      </w:r>
      <w:r w:rsidR="00D53FDC">
        <w:rPr>
          <w:rFonts w:ascii="Arial" w:eastAsiaTheme="minorEastAsia" w:hAnsi="Arial" w:cs="Arial"/>
        </w:rPr>
        <w:t xml:space="preserve">of the CR </w:t>
      </w:r>
      <w:r w:rsidR="0035371F" w:rsidRPr="0043366B">
        <w:rPr>
          <w:rFonts w:ascii="Arial" w:eastAsiaTheme="minorEastAsia" w:hAnsi="Arial" w:cs="Arial"/>
        </w:rPr>
        <w:t xml:space="preserve">where those disclosures </w:t>
      </w:r>
      <w:r w:rsidR="00145880" w:rsidRPr="0043366B">
        <w:rPr>
          <w:rFonts w:ascii="Arial" w:eastAsiaTheme="minorEastAsia" w:hAnsi="Arial" w:cs="Arial"/>
        </w:rPr>
        <w:t xml:space="preserve">are broadly equivalent to those </w:t>
      </w:r>
      <w:r w:rsidR="00684CA0" w:rsidRPr="0043366B">
        <w:rPr>
          <w:rFonts w:ascii="Arial" w:eastAsiaTheme="minorEastAsia" w:hAnsi="Arial" w:cs="Arial"/>
        </w:rPr>
        <w:t xml:space="preserve">required by </w:t>
      </w:r>
      <w:r w:rsidR="000802C6" w:rsidRPr="0043366B">
        <w:rPr>
          <w:rFonts w:ascii="Arial" w:eastAsiaTheme="minorEastAsia" w:hAnsi="Arial" w:cs="Arial"/>
        </w:rPr>
        <w:t xml:space="preserve">the </w:t>
      </w:r>
      <w:r w:rsidR="0056477C" w:rsidRPr="0043366B">
        <w:rPr>
          <w:rFonts w:ascii="Arial" w:eastAsiaTheme="minorEastAsia" w:hAnsi="Arial" w:cs="Arial"/>
        </w:rPr>
        <w:t>ESG Disclosure</w:t>
      </w:r>
      <w:r w:rsidR="5731D43D" w:rsidRPr="0043366B">
        <w:rPr>
          <w:rFonts w:ascii="Arial" w:eastAsiaTheme="minorEastAsia" w:hAnsi="Arial" w:cs="Arial"/>
        </w:rPr>
        <w:t>s</w:t>
      </w:r>
      <w:r w:rsidR="0056477C" w:rsidRPr="0043366B">
        <w:rPr>
          <w:rFonts w:ascii="Arial" w:eastAsiaTheme="minorEastAsia" w:hAnsi="Arial" w:cs="Arial"/>
        </w:rPr>
        <w:t xml:space="preserve"> Framework</w:t>
      </w:r>
      <w:r w:rsidR="000802C6" w:rsidRPr="0043366B">
        <w:rPr>
          <w:rFonts w:ascii="Arial" w:eastAsiaTheme="minorEastAsia" w:hAnsi="Arial" w:cs="Arial"/>
        </w:rPr>
        <w:t xml:space="preserve">. </w:t>
      </w:r>
    </w:p>
    <w:p w14:paraId="19AF52B2" w14:textId="5DCEFDD3" w:rsidR="00A00642" w:rsidRDefault="00A00642" w:rsidP="00A00642">
      <w:pPr>
        <w:rPr>
          <w:rFonts w:ascii="Arial" w:hAnsi="Arial" w:cs="Arial"/>
          <w:szCs w:val="22"/>
          <w:lang w:eastAsia="en-US"/>
        </w:rPr>
      </w:pPr>
    </w:p>
    <w:p w14:paraId="6A3B4477" w14:textId="65EACD5C" w:rsidR="004368B3" w:rsidRPr="0043366B" w:rsidRDefault="004368B3" w:rsidP="00DF25FB">
      <w:pPr>
        <w:pStyle w:val="Heading1"/>
      </w:pPr>
      <w:r w:rsidRPr="0043366B">
        <w:t>1</w:t>
      </w:r>
      <w:r>
        <w:t>4</w:t>
      </w:r>
      <w:r w:rsidRPr="0043366B">
        <w:t xml:space="preserve">. </w:t>
      </w:r>
      <w:r>
        <w:t xml:space="preserve">Publication of </w:t>
      </w:r>
      <w:r w:rsidR="00E078A4">
        <w:t xml:space="preserve">ESG disclosures </w:t>
      </w:r>
    </w:p>
    <w:p w14:paraId="7EBE6DDB" w14:textId="77777777" w:rsidR="004368B3" w:rsidRPr="0043366B" w:rsidRDefault="004368B3" w:rsidP="004368B3">
      <w:pPr>
        <w:rPr>
          <w:rFonts w:ascii="Arial" w:hAnsi="Arial" w:cs="Arial"/>
          <w:szCs w:val="22"/>
          <w:lang w:eastAsia="en-US"/>
        </w:rPr>
      </w:pPr>
    </w:p>
    <w:p w14:paraId="6A896896" w14:textId="27891960" w:rsidR="004368B3" w:rsidRPr="0043366B" w:rsidRDefault="00563B9B" w:rsidP="00690B05">
      <w:pPr>
        <w:widowControl w:val="0"/>
        <w:autoSpaceDE w:val="0"/>
        <w:autoSpaceDN w:val="0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The ADGM encourages </w:t>
      </w:r>
      <w:r w:rsidR="001971D0">
        <w:rPr>
          <w:rFonts w:ascii="Arial" w:eastAsiaTheme="minorEastAsia" w:hAnsi="Arial" w:cs="Arial"/>
        </w:rPr>
        <w:t xml:space="preserve">companies to make their </w:t>
      </w:r>
      <w:r w:rsidR="008229F0">
        <w:rPr>
          <w:rFonts w:ascii="Arial" w:eastAsiaTheme="minorEastAsia" w:hAnsi="Arial" w:cs="Arial"/>
        </w:rPr>
        <w:t xml:space="preserve">ESG </w:t>
      </w:r>
      <w:r w:rsidR="00A461A2">
        <w:rPr>
          <w:rFonts w:ascii="Arial" w:eastAsiaTheme="minorEastAsia" w:hAnsi="Arial" w:cs="Arial"/>
        </w:rPr>
        <w:t>disclosures public</w:t>
      </w:r>
      <w:r w:rsidR="00C933F6">
        <w:rPr>
          <w:rFonts w:ascii="Arial" w:eastAsiaTheme="minorEastAsia" w:hAnsi="Arial" w:cs="Arial"/>
        </w:rPr>
        <w:t>ly available</w:t>
      </w:r>
      <w:r w:rsidR="00B91EE0">
        <w:rPr>
          <w:rFonts w:ascii="Arial" w:eastAsiaTheme="minorEastAsia" w:hAnsi="Arial" w:cs="Arial"/>
        </w:rPr>
        <w:t xml:space="preserve"> in the spirit of </w:t>
      </w:r>
      <w:r w:rsidR="00B4748D">
        <w:rPr>
          <w:rFonts w:ascii="Arial" w:eastAsiaTheme="minorEastAsia" w:hAnsi="Arial" w:cs="Arial"/>
        </w:rPr>
        <w:t>transparency</w:t>
      </w:r>
      <w:r w:rsidR="00601F8C">
        <w:rPr>
          <w:rFonts w:ascii="Arial" w:eastAsiaTheme="minorEastAsia" w:hAnsi="Arial" w:cs="Arial"/>
        </w:rPr>
        <w:t xml:space="preserve"> and </w:t>
      </w:r>
      <w:r w:rsidR="00203ECB">
        <w:rPr>
          <w:rFonts w:ascii="Arial" w:eastAsiaTheme="minorEastAsia" w:hAnsi="Arial" w:cs="Arial"/>
        </w:rPr>
        <w:t xml:space="preserve">advancing the </w:t>
      </w:r>
      <w:r w:rsidR="00690B05">
        <w:rPr>
          <w:rFonts w:ascii="Arial" w:eastAsiaTheme="minorEastAsia" w:hAnsi="Arial" w:cs="Arial"/>
        </w:rPr>
        <w:t xml:space="preserve">UAE’s net zero </w:t>
      </w:r>
      <w:r w:rsidR="00F0539D">
        <w:rPr>
          <w:rFonts w:ascii="Arial" w:eastAsiaTheme="minorEastAsia" w:hAnsi="Arial" w:cs="Arial"/>
        </w:rPr>
        <w:t>by 2050 strategic initiative</w:t>
      </w:r>
      <w:r w:rsidR="00203ECB">
        <w:rPr>
          <w:rFonts w:ascii="Arial" w:eastAsiaTheme="minorEastAsia" w:hAnsi="Arial" w:cs="Arial"/>
        </w:rPr>
        <w:t xml:space="preserve">. </w:t>
      </w:r>
    </w:p>
    <w:p w14:paraId="68EC61A4" w14:textId="77777777" w:rsidR="004368B3" w:rsidRPr="0043366B" w:rsidRDefault="004368B3" w:rsidP="00A00642">
      <w:pPr>
        <w:rPr>
          <w:rFonts w:ascii="Arial" w:hAnsi="Arial" w:cs="Arial"/>
          <w:szCs w:val="22"/>
          <w:lang w:eastAsia="en-US"/>
        </w:rPr>
      </w:pPr>
    </w:p>
    <w:p w14:paraId="5F5D71E0" w14:textId="1EE68601" w:rsidR="00A00642" w:rsidRPr="0043366B" w:rsidRDefault="00A00642" w:rsidP="00A00642">
      <w:pPr>
        <w:rPr>
          <w:rFonts w:ascii="Arial" w:hAnsi="Arial" w:cs="Arial"/>
          <w:szCs w:val="22"/>
          <w:lang w:eastAsia="en-US"/>
        </w:rPr>
      </w:pPr>
    </w:p>
    <w:p w14:paraId="0CAF8FDC" w14:textId="462EA6F0" w:rsidR="00A00642" w:rsidRPr="0043366B" w:rsidRDefault="00A00642" w:rsidP="00A00642">
      <w:pPr>
        <w:rPr>
          <w:rFonts w:ascii="Arial" w:hAnsi="Arial" w:cs="Arial"/>
          <w:szCs w:val="22"/>
          <w:lang w:eastAsia="en-US"/>
        </w:rPr>
      </w:pPr>
    </w:p>
    <w:p w14:paraId="06C731FD" w14:textId="22D5607F" w:rsidR="00A00642" w:rsidRPr="0043366B" w:rsidRDefault="00A00642" w:rsidP="00A00642">
      <w:pPr>
        <w:rPr>
          <w:rFonts w:ascii="Arial" w:hAnsi="Arial" w:cs="Arial"/>
          <w:szCs w:val="22"/>
          <w:lang w:eastAsia="en-US"/>
        </w:rPr>
      </w:pPr>
    </w:p>
    <w:p w14:paraId="6EE3BAB5" w14:textId="317E920A" w:rsidR="00A00642" w:rsidRPr="0043366B" w:rsidRDefault="00A00642" w:rsidP="00A00642">
      <w:pPr>
        <w:rPr>
          <w:rFonts w:ascii="Arial" w:hAnsi="Arial" w:cs="Arial"/>
          <w:szCs w:val="22"/>
          <w:lang w:eastAsia="en-US"/>
        </w:rPr>
      </w:pPr>
    </w:p>
    <w:p w14:paraId="577572A2" w14:textId="77777777" w:rsidR="00343972" w:rsidRPr="0043366B" w:rsidRDefault="00343972" w:rsidP="005117A2">
      <w:pPr>
        <w:spacing w:line="276" w:lineRule="auto"/>
        <w:rPr>
          <w:rFonts w:ascii="Arial" w:hAnsi="Arial" w:cs="Arial"/>
          <w:szCs w:val="22"/>
        </w:rPr>
      </w:pPr>
      <w:bookmarkStart w:id="25" w:name="_Toc417483218"/>
    </w:p>
    <w:p w14:paraId="177949CE" w14:textId="77777777" w:rsidR="006545C3" w:rsidRPr="0043366B" w:rsidRDefault="006545C3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eastAsiaTheme="majorEastAsia" w:hAnsi="Arial" w:cs="Arial"/>
          <w:b/>
          <w:bCs/>
          <w:i/>
          <w:iCs/>
          <w:color w:val="1F4F69" w:themeColor="accent1" w:themeShade="80"/>
          <w:sz w:val="32"/>
          <w:szCs w:val="32"/>
          <w:u w:color="000000"/>
          <w:bdr w:val="nil"/>
          <w:lang w:eastAsia="en-US"/>
        </w:rPr>
      </w:pPr>
      <w:bookmarkStart w:id="26" w:name="_Toc40969254"/>
      <w:r w:rsidRPr="0043366B">
        <w:rPr>
          <w:rFonts w:cs="Arial"/>
          <w:szCs w:val="22"/>
        </w:rPr>
        <w:br w:type="page"/>
      </w:r>
    </w:p>
    <w:p w14:paraId="4FBB9242" w14:textId="77777777" w:rsidR="00AE7190" w:rsidRPr="0043366B" w:rsidRDefault="00AE7190" w:rsidP="00DF25FB">
      <w:pPr>
        <w:pStyle w:val="Heading1"/>
      </w:pPr>
      <w:bookmarkStart w:id="27" w:name="_Toc118206896"/>
      <w:r w:rsidRPr="0043366B">
        <w:lastRenderedPageBreak/>
        <w:t>Disclaimer</w:t>
      </w:r>
      <w:bookmarkEnd w:id="26"/>
      <w:bookmarkEnd w:id="27"/>
    </w:p>
    <w:p w14:paraId="71145905" w14:textId="3B707C6E" w:rsidR="00C25BFC" w:rsidRPr="0043366B" w:rsidRDefault="00C25BFC" w:rsidP="00AB6F3B">
      <w:pPr>
        <w:spacing w:before="300" w:after="300" w:line="276" w:lineRule="auto"/>
        <w:jc w:val="both"/>
        <w:rPr>
          <w:rFonts w:ascii="Arial" w:hAnsi="Arial" w:cs="Arial"/>
          <w:szCs w:val="22"/>
        </w:rPr>
      </w:pPr>
      <w:r w:rsidRPr="0043366B">
        <w:rPr>
          <w:rFonts w:ascii="Arial" w:hAnsi="Arial" w:cs="Arial"/>
          <w:b/>
          <w:bCs/>
          <w:color w:val="0B0C0C"/>
          <w:szCs w:val="22"/>
        </w:rPr>
        <w:t>Note</w:t>
      </w:r>
      <w:r w:rsidRPr="0043366B">
        <w:rPr>
          <w:rFonts w:ascii="Arial" w:hAnsi="Arial" w:cs="Arial"/>
          <w:color w:val="0B0C0C"/>
          <w:szCs w:val="22"/>
        </w:rPr>
        <w:t xml:space="preserve">: The Registration Authority cannot give technical or legal advice on </w:t>
      </w:r>
      <w:r w:rsidR="00061F92" w:rsidRPr="0043366B">
        <w:rPr>
          <w:rFonts w:ascii="Arial" w:hAnsi="Arial" w:cs="Arial"/>
          <w:color w:val="0B0C0C"/>
          <w:szCs w:val="22"/>
        </w:rPr>
        <w:t xml:space="preserve">a company’s </w:t>
      </w:r>
      <w:r w:rsidRPr="0043366B">
        <w:rPr>
          <w:rFonts w:ascii="Arial" w:hAnsi="Arial" w:cs="Arial"/>
          <w:color w:val="0B0C0C"/>
          <w:szCs w:val="22"/>
        </w:rPr>
        <w:t xml:space="preserve">accounts or the accounts obligations in </w:t>
      </w:r>
      <w:r w:rsidR="00061F92" w:rsidRPr="0043366B">
        <w:rPr>
          <w:rFonts w:ascii="Arial" w:hAnsi="Arial" w:cs="Arial"/>
          <w:color w:val="0B0C0C"/>
          <w:szCs w:val="22"/>
        </w:rPr>
        <w:t xml:space="preserve">individual company </w:t>
      </w:r>
      <w:r w:rsidRPr="0043366B">
        <w:rPr>
          <w:rFonts w:ascii="Arial" w:hAnsi="Arial" w:cs="Arial"/>
          <w:color w:val="0B0C0C"/>
          <w:szCs w:val="22"/>
        </w:rPr>
        <w:t xml:space="preserve">circumstances. The Registration Authority can only give general guidance. </w:t>
      </w:r>
      <w:r w:rsidR="00061F92" w:rsidRPr="0043366B">
        <w:rPr>
          <w:rFonts w:ascii="Arial" w:hAnsi="Arial" w:cs="Arial"/>
          <w:color w:val="0B0C0C"/>
          <w:szCs w:val="22"/>
        </w:rPr>
        <w:t xml:space="preserve">A </w:t>
      </w:r>
      <w:r w:rsidRPr="0043366B">
        <w:rPr>
          <w:rFonts w:ascii="Arial" w:hAnsi="Arial" w:cs="Arial"/>
          <w:color w:val="0B0C0C"/>
          <w:szCs w:val="22"/>
        </w:rPr>
        <w:t>company’s accounts are subject to legal requirements,</w:t>
      </w:r>
      <w:r w:rsidR="00061F92" w:rsidRPr="0043366B">
        <w:rPr>
          <w:rFonts w:ascii="Arial" w:hAnsi="Arial" w:cs="Arial"/>
          <w:color w:val="0B0C0C"/>
          <w:szCs w:val="22"/>
        </w:rPr>
        <w:t xml:space="preserve"> and a company </w:t>
      </w:r>
      <w:r w:rsidRPr="0043366B">
        <w:rPr>
          <w:rFonts w:ascii="Arial" w:hAnsi="Arial" w:cs="Arial"/>
          <w:color w:val="0B0C0C"/>
          <w:szCs w:val="22"/>
        </w:rPr>
        <w:t>may wish to consider consulting a professional if technical or legal advice</w:t>
      </w:r>
      <w:r w:rsidR="00061F92" w:rsidRPr="0043366B">
        <w:rPr>
          <w:rFonts w:ascii="Arial" w:hAnsi="Arial" w:cs="Arial"/>
          <w:color w:val="0B0C0C"/>
          <w:szCs w:val="22"/>
        </w:rPr>
        <w:t xml:space="preserve"> is required</w:t>
      </w:r>
      <w:r w:rsidRPr="0043366B">
        <w:rPr>
          <w:rFonts w:ascii="Arial" w:hAnsi="Arial" w:cs="Arial"/>
          <w:color w:val="0B0C0C"/>
          <w:szCs w:val="22"/>
        </w:rPr>
        <w:t>.</w:t>
      </w:r>
    </w:p>
    <w:p w14:paraId="564FE5CD" w14:textId="418134B6" w:rsidR="00702266" w:rsidRPr="00374351" w:rsidRDefault="00AE7190" w:rsidP="001E26ED">
      <w:pPr>
        <w:spacing w:line="276" w:lineRule="auto"/>
        <w:jc w:val="both"/>
        <w:rPr>
          <w:rFonts w:ascii="Arial" w:hAnsi="Arial" w:cs="Arial"/>
          <w:szCs w:val="22"/>
        </w:rPr>
      </w:pPr>
      <w:r w:rsidRPr="0043366B">
        <w:rPr>
          <w:rFonts w:ascii="Arial" w:hAnsi="Arial" w:cs="Arial"/>
          <w:szCs w:val="22"/>
        </w:rPr>
        <w:t>This Guid</w:t>
      </w:r>
      <w:r w:rsidR="00170B15" w:rsidRPr="0043366B">
        <w:rPr>
          <w:rFonts w:ascii="Arial" w:hAnsi="Arial" w:cs="Arial"/>
          <w:szCs w:val="22"/>
        </w:rPr>
        <w:t>anc</w:t>
      </w:r>
      <w:r w:rsidRPr="0043366B">
        <w:rPr>
          <w:rFonts w:ascii="Arial" w:hAnsi="Arial" w:cs="Arial"/>
          <w:szCs w:val="22"/>
        </w:rPr>
        <w:t xml:space="preserve">e is a non-binding indicative guide and should be read together with the relevant legislation, in particular the </w:t>
      </w:r>
      <w:r w:rsidR="009304B2" w:rsidRPr="0043366B">
        <w:rPr>
          <w:rFonts w:ascii="Arial" w:hAnsi="Arial" w:cs="Arial"/>
          <w:szCs w:val="22"/>
        </w:rPr>
        <w:t>CR</w:t>
      </w:r>
      <w:r w:rsidR="00A87066" w:rsidRPr="0043366B">
        <w:rPr>
          <w:rFonts w:ascii="Arial" w:hAnsi="Arial" w:cs="Arial"/>
          <w:szCs w:val="22"/>
        </w:rPr>
        <w:t xml:space="preserve"> </w:t>
      </w:r>
      <w:r w:rsidRPr="0043366B">
        <w:rPr>
          <w:rFonts w:ascii="Arial" w:hAnsi="Arial" w:cs="Arial"/>
          <w:szCs w:val="22"/>
        </w:rPr>
        <w:t>and any other relevant regulations and enabling rules, which may change over time without notice.  Information in this Guid</w:t>
      </w:r>
      <w:r w:rsidR="00170B15" w:rsidRPr="0043366B">
        <w:rPr>
          <w:rFonts w:ascii="Arial" w:hAnsi="Arial" w:cs="Arial"/>
          <w:szCs w:val="22"/>
        </w:rPr>
        <w:t>anc</w:t>
      </w:r>
      <w:r w:rsidRPr="0043366B">
        <w:rPr>
          <w:rFonts w:ascii="Arial" w:hAnsi="Arial" w:cs="Arial"/>
          <w:szCs w:val="22"/>
        </w:rPr>
        <w:t xml:space="preserve">e is not to be deemed, </w:t>
      </w:r>
      <w:proofErr w:type="gramStart"/>
      <w:r w:rsidRPr="0043366B">
        <w:rPr>
          <w:rFonts w:ascii="Arial" w:hAnsi="Arial" w:cs="Arial"/>
          <w:szCs w:val="22"/>
        </w:rPr>
        <w:t>considered</w:t>
      </w:r>
      <w:proofErr w:type="gramEnd"/>
      <w:r w:rsidRPr="0043366B">
        <w:rPr>
          <w:rFonts w:ascii="Arial" w:hAnsi="Arial" w:cs="Arial"/>
          <w:szCs w:val="22"/>
        </w:rPr>
        <w:t xml:space="preserve"> or relied upon as legal advice and should not be treated as a substitute for a specific advice concerning any individual situation.  Any action taken upon the information provided in this Guid</w:t>
      </w:r>
      <w:r w:rsidR="00170B15" w:rsidRPr="0043366B">
        <w:rPr>
          <w:rFonts w:ascii="Arial" w:hAnsi="Arial" w:cs="Arial"/>
          <w:szCs w:val="22"/>
        </w:rPr>
        <w:t>anc</w:t>
      </w:r>
      <w:r w:rsidRPr="0043366B">
        <w:rPr>
          <w:rFonts w:ascii="Arial" w:hAnsi="Arial" w:cs="Arial"/>
          <w:szCs w:val="22"/>
        </w:rPr>
        <w:t xml:space="preserve">e is strictly at </w:t>
      </w:r>
      <w:r w:rsidR="00103AE3" w:rsidRPr="0043366B">
        <w:rPr>
          <w:rFonts w:ascii="Arial" w:hAnsi="Arial" w:cs="Arial"/>
          <w:szCs w:val="22"/>
        </w:rPr>
        <w:t>the company’s risk</w:t>
      </w:r>
      <w:r w:rsidRPr="0043366B">
        <w:rPr>
          <w:rFonts w:ascii="Arial" w:hAnsi="Arial" w:cs="Arial"/>
          <w:szCs w:val="22"/>
        </w:rPr>
        <w:t xml:space="preserve"> and the Registration Authority will not be liable for any losses and damages in connection with the use of or reliance on information provided in this Guid</w:t>
      </w:r>
      <w:r w:rsidR="00170B15" w:rsidRPr="0043366B">
        <w:rPr>
          <w:rFonts w:ascii="Arial" w:hAnsi="Arial" w:cs="Arial"/>
          <w:szCs w:val="22"/>
        </w:rPr>
        <w:t>anc</w:t>
      </w:r>
      <w:r w:rsidRPr="0043366B">
        <w:rPr>
          <w:rFonts w:ascii="Arial" w:hAnsi="Arial" w:cs="Arial"/>
          <w:szCs w:val="22"/>
        </w:rPr>
        <w:t xml:space="preserve">e. The Registration Authority makes no representations as to the accuracy, completeness, </w:t>
      </w:r>
      <w:proofErr w:type="gramStart"/>
      <w:r w:rsidRPr="0043366B">
        <w:rPr>
          <w:rFonts w:ascii="Arial" w:hAnsi="Arial" w:cs="Arial"/>
          <w:szCs w:val="22"/>
        </w:rPr>
        <w:t>correctness</w:t>
      </w:r>
      <w:proofErr w:type="gramEnd"/>
      <w:r w:rsidRPr="0043366B">
        <w:rPr>
          <w:rFonts w:ascii="Arial" w:hAnsi="Arial" w:cs="Arial"/>
          <w:szCs w:val="22"/>
        </w:rPr>
        <w:t xml:space="preserve"> or suitability of any information provided in this Guid</w:t>
      </w:r>
      <w:r w:rsidR="00170B15" w:rsidRPr="0043366B">
        <w:rPr>
          <w:rFonts w:ascii="Arial" w:hAnsi="Arial" w:cs="Arial"/>
          <w:szCs w:val="22"/>
        </w:rPr>
        <w:t>anc</w:t>
      </w:r>
      <w:r w:rsidRPr="0043366B">
        <w:rPr>
          <w:rFonts w:ascii="Arial" w:hAnsi="Arial" w:cs="Arial"/>
          <w:szCs w:val="22"/>
        </w:rPr>
        <w:t>e.</w:t>
      </w:r>
      <w:bookmarkEnd w:id="25"/>
    </w:p>
    <w:p w14:paraId="522FDD89" w14:textId="77777777" w:rsidR="00011A70" w:rsidRPr="00374351" w:rsidRDefault="00011A70" w:rsidP="005117A2">
      <w:pPr>
        <w:spacing w:line="276" w:lineRule="auto"/>
        <w:jc w:val="both"/>
        <w:rPr>
          <w:rFonts w:ascii="Arial" w:hAnsi="Arial" w:cs="Arial"/>
          <w:szCs w:val="22"/>
        </w:rPr>
      </w:pPr>
    </w:p>
    <w:p w14:paraId="1152B879" w14:textId="43CAC989" w:rsidR="00011A70" w:rsidRPr="00374351" w:rsidRDefault="00011A70" w:rsidP="005117A2">
      <w:pPr>
        <w:pBdr>
          <w:top w:val="nil"/>
          <w:left w:val="nil"/>
          <w:bottom w:val="nil"/>
          <w:right w:val="nil"/>
          <w:between w:val="nil"/>
          <w:bar w:val="nil"/>
        </w:pBdr>
        <w:spacing w:line="276" w:lineRule="auto"/>
        <w:rPr>
          <w:rFonts w:ascii="Arial" w:hAnsi="Arial" w:cs="Arial"/>
          <w:szCs w:val="22"/>
        </w:rPr>
      </w:pPr>
    </w:p>
    <w:p w14:paraId="64A1C1DA" w14:textId="77777777" w:rsidR="00533EE8" w:rsidRPr="00374351" w:rsidRDefault="00533EE8" w:rsidP="00146039">
      <w:pPr>
        <w:spacing w:after="160" w:line="276" w:lineRule="auto"/>
        <w:rPr>
          <w:rFonts w:ascii="Arial" w:hAnsi="Arial" w:cs="Arial"/>
          <w:szCs w:val="22"/>
          <w:lang w:val="en-US"/>
        </w:rPr>
      </w:pPr>
      <w:bookmarkStart w:id="28" w:name="_APPENDIX_A"/>
      <w:bookmarkEnd w:id="28"/>
    </w:p>
    <w:sectPr w:rsidR="00533EE8" w:rsidRPr="00374351" w:rsidSect="0092525B">
      <w:pgSz w:w="11900" w:h="16840"/>
      <w:pgMar w:top="1702" w:right="1080" w:bottom="1985" w:left="1080" w:header="454" w:footer="51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176E5" w14:textId="77777777" w:rsidR="00AE0A95" w:rsidRDefault="00AE0A95" w:rsidP="00CC0A46">
      <w:r>
        <w:separator/>
      </w:r>
    </w:p>
  </w:endnote>
  <w:endnote w:type="continuationSeparator" w:id="0">
    <w:p w14:paraId="37C90A3E" w14:textId="77777777" w:rsidR="00AE0A95" w:rsidRDefault="00AE0A95" w:rsidP="00CC0A46">
      <w:r>
        <w:continuationSeparator/>
      </w:r>
    </w:p>
  </w:endnote>
  <w:endnote w:type="continuationNotice" w:id="1">
    <w:p w14:paraId="68FE035F" w14:textId="77777777" w:rsidR="00AE0A95" w:rsidRDefault="00AE0A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804"/>
      <w:gridCol w:w="2222"/>
    </w:tblGrid>
    <w:tr w:rsidR="00011A70" w:rsidRPr="00374351" w14:paraId="5AD804EA" w14:textId="77777777" w:rsidTr="00FA3B59">
      <w:trPr>
        <w:jc w:val="center"/>
      </w:trPr>
      <w:tc>
        <w:tcPr>
          <w:tcW w:w="6804" w:type="dxa"/>
        </w:tcPr>
        <w:p w14:paraId="7397F2F5" w14:textId="0B7988B5" w:rsidR="00011A70" w:rsidRPr="005A114C" w:rsidRDefault="00011A70" w:rsidP="007756A1">
          <w:pPr>
            <w:shd w:val="clear" w:color="auto" w:fill="FFFFFF"/>
            <w:outlineLvl w:val="0"/>
            <w:rPr>
              <w:rFonts w:ascii="Arial" w:hAnsi="Arial" w:cs="Arial"/>
              <w:kern w:val="36"/>
              <w:sz w:val="16"/>
              <w:szCs w:val="16"/>
              <w:lang w:val="en"/>
            </w:rPr>
          </w:pPr>
          <w:r w:rsidRPr="00374351">
            <w:rPr>
              <w:rFonts w:ascii="Arial" w:hAnsi="Arial" w:cs="Arial"/>
              <w:kern w:val="36"/>
              <w:sz w:val="16"/>
              <w:szCs w:val="22"/>
              <w:lang w:val="en"/>
            </w:rPr>
            <w:t>VER1.0</w:t>
          </w:r>
          <w:r w:rsidR="00491AAF" w:rsidRPr="00374351">
            <w:rPr>
              <w:rFonts w:ascii="Arial" w:hAnsi="Arial" w:cs="Arial"/>
              <w:kern w:val="36"/>
              <w:sz w:val="16"/>
              <w:szCs w:val="22"/>
              <w:lang w:val="en"/>
            </w:rPr>
            <w:t xml:space="preserve"> </w:t>
          </w:r>
          <w:r w:rsidR="005A114C" w:rsidRPr="00374351">
            <w:rPr>
              <w:rFonts w:ascii="Arial" w:hAnsi="Arial" w:cs="Arial"/>
              <w:kern w:val="36"/>
              <w:sz w:val="16"/>
              <w:szCs w:val="22"/>
              <w:lang w:val="en"/>
            </w:rPr>
            <w:t>09</w:t>
          </w:r>
          <w:r w:rsidR="00930C58" w:rsidRPr="00374351">
            <w:rPr>
              <w:rFonts w:ascii="Arial" w:hAnsi="Arial" w:cs="Arial"/>
              <w:kern w:val="36"/>
              <w:sz w:val="16"/>
              <w:szCs w:val="22"/>
              <w:lang w:val="en"/>
            </w:rPr>
            <w:t>0</w:t>
          </w:r>
          <w:r w:rsidR="00A926FB" w:rsidRPr="00374351">
            <w:rPr>
              <w:rFonts w:ascii="Arial" w:hAnsi="Arial" w:cs="Arial"/>
              <w:kern w:val="36"/>
              <w:sz w:val="16"/>
              <w:szCs w:val="22"/>
              <w:lang w:val="en"/>
            </w:rPr>
            <w:t>9</w:t>
          </w:r>
          <w:r w:rsidRPr="00374351">
            <w:rPr>
              <w:rFonts w:ascii="Arial" w:hAnsi="Arial" w:cs="Arial"/>
              <w:kern w:val="36"/>
              <w:sz w:val="16"/>
              <w:szCs w:val="22"/>
              <w:lang w:val="en"/>
            </w:rPr>
            <w:t>202</w:t>
          </w:r>
          <w:r w:rsidR="00930C58" w:rsidRPr="00374351">
            <w:rPr>
              <w:rFonts w:ascii="Arial" w:hAnsi="Arial" w:cs="Arial"/>
              <w:kern w:val="36"/>
              <w:sz w:val="16"/>
              <w:szCs w:val="22"/>
              <w:lang w:val="en"/>
            </w:rPr>
            <w:t>2</w:t>
          </w:r>
        </w:p>
      </w:tc>
      <w:tc>
        <w:tcPr>
          <w:tcW w:w="2222" w:type="dxa"/>
          <w:vAlign w:val="center"/>
        </w:tcPr>
        <w:sdt>
          <w:sdtPr>
            <w:rPr>
              <w:rFonts w:ascii="Arial" w:hAnsi="Arial" w:cs="Arial"/>
              <w:kern w:val="36"/>
              <w:sz w:val="16"/>
              <w:szCs w:val="16"/>
              <w:lang w:val="en" w:eastAsia="en-GB"/>
            </w:rPr>
            <w:id w:val="580260401"/>
            <w:docPartObj>
              <w:docPartGallery w:val="Page Numbers (Bottom of Page)"/>
              <w:docPartUnique/>
            </w:docPartObj>
          </w:sdtPr>
          <w:sdtEndPr>
            <w:rPr>
              <w:szCs w:val="22"/>
            </w:rPr>
          </w:sdtEndPr>
          <w:sdtContent>
            <w:sdt>
              <w:sdtPr>
                <w:rPr>
                  <w:rFonts w:ascii="Arial" w:hAnsi="Arial" w:cs="Arial"/>
                  <w:kern w:val="36"/>
                  <w:sz w:val="16"/>
                  <w:szCs w:val="16"/>
                  <w:lang w:val="en" w:eastAsia="en-GB"/>
                </w:rPr>
                <w:id w:val="1072700989"/>
                <w:docPartObj>
                  <w:docPartGallery w:val="Page Numbers (Top of Page)"/>
                  <w:docPartUnique/>
                </w:docPartObj>
              </w:sdtPr>
              <w:sdtEndPr>
                <w:rPr>
                  <w:szCs w:val="22"/>
                </w:rPr>
              </w:sdtEndPr>
              <w:sdtContent>
                <w:p w14:paraId="27509E5C" w14:textId="6CC8B21B" w:rsidR="00011A70" w:rsidRPr="00374351" w:rsidRDefault="00011A70" w:rsidP="007756A1">
                  <w:pPr>
                    <w:pStyle w:val="Footer"/>
                    <w:jc w:val="right"/>
                    <w:rPr>
                      <w:rFonts w:ascii="Arial" w:hAnsi="Arial" w:cs="Arial"/>
                      <w:kern w:val="36"/>
                      <w:sz w:val="16"/>
                      <w:szCs w:val="22"/>
                      <w:lang w:val="en" w:eastAsia="en-GB"/>
                    </w:rPr>
                  </w:pPr>
                  <w:r w:rsidRPr="00374351">
                    <w:rPr>
                      <w:rFonts w:ascii="Arial" w:hAnsi="Arial" w:cs="Arial"/>
                      <w:kern w:val="36"/>
                      <w:sz w:val="16"/>
                      <w:szCs w:val="22"/>
                      <w:lang w:val="en" w:eastAsia="en-GB"/>
                    </w:rPr>
                    <w:t xml:space="preserve">Page </w:t>
                  </w:r>
                  <w:r w:rsidRPr="00374351">
                    <w:rPr>
                      <w:rFonts w:ascii="Arial" w:hAnsi="Arial" w:cs="Arial"/>
                      <w:kern w:val="36"/>
                      <w:sz w:val="16"/>
                      <w:szCs w:val="22"/>
                      <w:lang w:val="en" w:eastAsia="en-GB"/>
                    </w:rPr>
                    <w:fldChar w:fldCharType="begin"/>
                  </w:r>
                  <w:r w:rsidRPr="00374351">
                    <w:rPr>
                      <w:rFonts w:ascii="Arial" w:hAnsi="Arial" w:cs="Arial"/>
                      <w:kern w:val="36"/>
                      <w:sz w:val="16"/>
                      <w:szCs w:val="22"/>
                      <w:lang w:val="en" w:eastAsia="en-GB"/>
                    </w:rPr>
                    <w:instrText xml:space="preserve"> PAGE </w:instrText>
                  </w:r>
                  <w:r w:rsidRPr="00374351">
                    <w:rPr>
                      <w:rFonts w:ascii="Arial" w:hAnsi="Arial" w:cs="Arial"/>
                      <w:kern w:val="36"/>
                      <w:sz w:val="16"/>
                      <w:szCs w:val="22"/>
                      <w:lang w:val="en" w:eastAsia="en-GB"/>
                    </w:rPr>
                    <w:fldChar w:fldCharType="separate"/>
                  </w:r>
                  <w:r w:rsidR="00105C6E">
                    <w:rPr>
                      <w:rFonts w:ascii="Arial" w:hAnsi="Arial" w:cs="Arial"/>
                      <w:noProof/>
                      <w:kern w:val="36"/>
                      <w:sz w:val="16"/>
                      <w:szCs w:val="22"/>
                      <w:lang w:val="en" w:eastAsia="en-GB"/>
                    </w:rPr>
                    <w:t>1</w:t>
                  </w:r>
                  <w:r w:rsidRPr="00374351">
                    <w:rPr>
                      <w:rFonts w:ascii="Arial" w:hAnsi="Arial" w:cs="Arial"/>
                      <w:kern w:val="36"/>
                      <w:sz w:val="16"/>
                      <w:szCs w:val="22"/>
                      <w:lang w:val="en" w:eastAsia="en-GB"/>
                    </w:rPr>
                    <w:fldChar w:fldCharType="end"/>
                  </w:r>
                  <w:r w:rsidRPr="00374351">
                    <w:rPr>
                      <w:rFonts w:ascii="Arial" w:hAnsi="Arial" w:cs="Arial"/>
                      <w:kern w:val="36"/>
                      <w:sz w:val="16"/>
                      <w:szCs w:val="22"/>
                      <w:lang w:val="en" w:eastAsia="en-GB"/>
                    </w:rPr>
                    <w:t xml:space="preserve"> of </w:t>
                  </w:r>
                  <w:r w:rsidRPr="00374351">
                    <w:rPr>
                      <w:rFonts w:ascii="Arial" w:hAnsi="Arial" w:cs="Arial"/>
                      <w:kern w:val="36"/>
                      <w:sz w:val="16"/>
                      <w:szCs w:val="22"/>
                      <w:lang w:val="en" w:eastAsia="en-GB"/>
                    </w:rPr>
                    <w:fldChar w:fldCharType="begin"/>
                  </w:r>
                  <w:r w:rsidRPr="00374351">
                    <w:rPr>
                      <w:rFonts w:ascii="Arial" w:hAnsi="Arial" w:cs="Arial"/>
                      <w:kern w:val="36"/>
                      <w:sz w:val="16"/>
                      <w:szCs w:val="22"/>
                      <w:lang w:val="en" w:eastAsia="en-GB"/>
                    </w:rPr>
                    <w:instrText xml:space="preserve"> NUMPAGES  </w:instrText>
                  </w:r>
                  <w:r w:rsidRPr="00374351">
                    <w:rPr>
                      <w:rFonts w:ascii="Arial" w:hAnsi="Arial" w:cs="Arial"/>
                      <w:kern w:val="36"/>
                      <w:sz w:val="16"/>
                      <w:szCs w:val="22"/>
                      <w:lang w:val="en" w:eastAsia="en-GB"/>
                    </w:rPr>
                    <w:fldChar w:fldCharType="separate"/>
                  </w:r>
                  <w:r w:rsidR="00105C6E">
                    <w:rPr>
                      <w:rFonts w:ascii="Arial" w:hAnsi="Arial" w:cs="Arial"/>
                      <w:noProof/>
                      <w:kern w:val="36"/>
                      <w:sz w:val="16"/>
                      <w:szCs w:val="22"/>
                      <w:lang w:val="en" w:eastAsia="en-GB"/>
                    </w:rPr>
                    <w:t>8</w:t>
                  </w:r>
                  <w:r w:rsidRPr="00374351">
                    <w:rPr>
                      <w:rFonts w:ascii="Arial" w:hAnsi="Arial" w:cs="Arial"/>
                      <w:kern w:val="36"/>
                      <w:sz w:val="16"/>
                      <w:szCs w:val="22"/>
                      <w:lang w:val="en" w:eastAsia="en-GB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2C416884" w14:textId="77777777" w:rsidR="00011A70" w:rsidRPr="00374351" w:rsidRDefault="00011A70" w:rsidP="00CC0A46">
    <w:pPr>
      <w:rPr>
        <w:rFonts w:cs="Arial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47151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7C0835" w14:textId="61D9195D" w:rsidR="002465CA" w:rsidRDefault="00000000">
        <w:pPr>
          <w:pStyle w:val="Footer"/>
          <w:jc w:val="right"/>
        </w:pPr>
      </w:p>
    </w:sdtContent>
  </w:sdt>
  <w:p w14:paraId="6A909625" w14:textId="3290A0F8" w:rsidR="00011A70" w:rsidRPr="00374351" w:rsidRDefault="00011A70" w:rsidP="00751E14">
    <w:pPr>
      <w:pStyle w:val="Footer"/>
      <w:tabs>
        <w:tab w:val="clear" w:pos="9185"/>
        <w:tab w:val="right" w:pos="9158"/>
      </w:tabs>
      <w:rPr>
        <w:rFonts w:cs="Arial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77401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  <w:szCs w:val="22"/>
      </w:rPr>
    </w:sdtEndPr>
    <w:sdtContent>
      <w:p w14:paraId="54744626" w14:textId="75251978" w:rsidR="00A05C7F" w:rsidRPr="0092525B" w:rsidRDefault="00A05C7F">
        <w:pPr>
          <w:pStyle w:val="Footer"/>
          <w:jc w:val="right"/>
          <w:rPr>
            <w:rFonts w:ascii="Arial" w:hAnsi="Arial" w:cs="Arial"/>
            <w:sz w:val="22"/>
            <w:szCs w:val="22"/>
          </w:rPr>
        </w:pPr>
        <w:r>
          <w:rPr>
            <w:noProof/>
            <w:lang w:eastAsia="en-GB"/>
          </w:rPr>
          <w:drawing>
            <wp:anchor distT="0" distB="0" distL="114300" distR="114300" simplePos="0" relativeHeight="251658243" behindDoc="1" locked="0" layoutInCell="1" allowOverlap="1" wp14:anchorId="2E72038C" wp14:editId="7087850F">
              <wp:simplePos x="0" y="0"/>
              <wp:positionH relativeFrom="page">
                <wp:align>left</wp:align>
              </wp:positionH>
              <wp:positionV relativeFrom="paragraph">
                <wp:posOffset>-944245</wp:posOffset>
              </wp:positionV>
              <wp:extent cx="7559040" cy="1874520"/>
              <wp:effectExtent l="0" t="0" r="3810" b="0"/>
              <wp:wrapNone/>
              <wp:docPr id="58" name="Picture 58" descr="Macintosh HD:Users:danfenton:Desktop:ADGM - NEW COLLATERALS:4. Digital:16. FSRA + RA templates:1. FSRA:1. Seperate assets:16184 ADGM FSRA footer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acintosh HD:Users:danfenton:Desktop:ADGM - NEW COLLATERALS:4. Digital:16. FSRA + RA templates:1. FSRA:1. Seperate assets:16184 ADGM FSRA footer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559040" cy="1874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92525B">
          <w:rPr>
            <w:rFonts w:ascii="Arial" w:hAnsi="Arial" w:cs="Arial"/>
            <w:sz w:val="22"/>
            <w:szCs w:val="22"/>
          </w:rPr>
          <w:fldChar w:fldCharType="begin"/>
        </w:r>
        <w:r w:rsidRPr="0092525B">
          <w:rPr>
            <w:rFonts w:ascii="Arial" w:hAnsi="Arial" w:cs="Arial"/>
            <w:sz w:val="22"/>
            <w:szCs w:val="22"/>
          </w:rPr>
          <w:instrText xml:space="preserve"> PAGE   \* MERGEFORMAT </w:instrText>
        </w:r>
        <w:r w:rsidRPr="0092525B">
          <w:rPr>
            <w:rFonts w:ascii="Arial" w:hAnsi="Arial" w:cs="Arial"/>
            <w:sz w:val="22"/>
            <w:szCs w:val="22"/>
          </w:rPr>
          <w:fldChar w:fldCharType="separate"/>
        </w:r>
        <w:r w:rsidRPr="0092525B">
          <w:rPr>
            <w:rFonts w:ascii="Arial" w:hAnsi="Arial" w:cs="Arial"/>
            <w:noProof/>
            <w:sz w:val="22"/>
            <w:szCs w:val="22"/>
          </w:rPr>
          <w:t>2</w:t>
        </w:r>
        <w:r w:rsidRPr="0092525B">
          <w:rPr>
            <w:rFonts w:ascii="Arial" w:hAnsi="Arial" w:cs="Arial"/>
            <w:noProof/>
            <w:sz w:val="22"/>
            <w:szCs w:val="22"/>
          </w:rPr>
          <w:fldChar w:fldCharType="end"/>
        </w:r>
      </w:p>
    </w:sdtContent>
  </w:sdt>
  <w:p w14:paraId="54F53881" w14:textId="37D157E1" w:rsidR="00146039" w:rsidRPr="00374351" w:rsidRDefault="00146039" w:rsidP="00146039">
    <w:pPr>
      <w:pStyle w:val="Footer"/>
      <w:rPr>
        <w:rFonts w:cs="Arial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22"/>
        <w:szCs w:val="22"/>
      </w:rPr>
      <w:id w:val="-9486957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B59FF3" w14:textId="4B73958A" w:rsidR="002465CA" w:rsidRPr="0092525B" w:rsidRDefault="00A05C7F">
        <w:pPr>
          <w:pStyle w:val="Footer"/>
          <w:jc w:val="right"/>
          <w:rPr>
            <w:rFonts w:ascii="Arial" w:hAnsi="Arial" w:cs="Arial"/>
            <w:sz w:val="22"/>
            <w:szCs w:val="22"/>
          </w:rPr>
        </w:pPr>
        <w:r>
          <w:rPr>
            <w:noProof/>
            <w:lang w:eastAsia="en-GB"/>
          </w:rPr>
          <w:drawing>
            <wp:anchor distT="0" distB="0" distL="114300" distR="114300" simplePos="0" relativeHeight="251658242" behindDoc="1" locked="0" layoutInCell="1" allowOverlap="1" wp14:anchorId="37557455" wp14:editId="4B88E627">
              <wp:simplePos x="0" y="0"/>
              <wp:positionH relativeFrom="page">
                <wp:align>left</wp:align>
              </wp:positionH>
              <wp:positionV relativeFrom="paragraph">
                <wp:posOffset>-953770</wp:posOffset>
              </wp:positionV>
              <wp:extent cx="7559040" cy="1874520"/>
              <wp:effectExtent l="0" t="0" r="3810" b="0"/>
              <wp:wrapNone/>
              <wp:docPr id="59" name="Picture 59" descr="Macintosh HD:Users:danfenton:Desktop:ADGM - NEW COLLATERALS:4. Digital:16. FSRA + RA templates:1. FSRA:1. Seperate assets:16184 ADGM FSRA footer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Macintosh HD:Users:danfenton:Desktop:ADGM - NEW COLLATERALS:4. Digital:16. FSRA + RA templates:1. FSRA:1. Seperate assets:16184 ADGM FSRA footer.pn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559040" cy="1874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2465CA" w:rsidRPr="0092525B">
          <w:rPr>
            <w:rFonts w:ascii="Arial" w:hAnsi="Arial" w:cs="Arial"/>
            <w:sz w:val="22"/>
            <w:szCs w:val="22"/>
          </w:rPr>
          <w:fldChar w:fldCharType="begin"/>
        </w:r>
        <w:r w:rsidR="002465CA" w:rsidRPr="0092525B">
          <w:rPr>
            <w:rFonts w:ascii="Arial" w:hAnsi="Arial" w:cs="Arial"/>
            <w:sz w:val="22"/>
            <w:szCs w:val="22"/>
          </w:rPr>
          <w:instrText xml:space="preserve"> PAGE   \* MERGEFORMAT </w:instrText>
        </w:r>
        <w:r w:rsidR="002465CA" w:rsidRPr="0092525B">
          <w:rPr>
            <w:rFonts w:ascii="Arial" w:hAnsi="Arial" w:cs="Arial"/>
            <w:sz w:val="22"/>
            <w:szCs w:val="22"/>
          </w:rPr>
          <w:fldChar w:fldCharType="separate"/>
        </w:r>
        <w:r w:rsidR="002465CA" w:rsidRPr="0092525B">
          <w:rPr>
            <w:rFonts w:ascii="Arial" w:hAnsi="Arial" w:cs="Arial"/>
            <w:noProof/>
            <w:sz w:val="22"/>
            <w:szCs w:val="22"/>
          </w:rPr>
          <w:t>2</w:t>
        </w:r>
        <w:r w:rsidR="002465CA" w:rsidRPr="0092525B">
          <w:rPr>
            <w:rFonts w:ascii="Arial" w:hAnsi="Arial" w:cs="Arial"/>
            <w:noProof/>
            <w:sz w:val="22"/>
            <w:szCs w:val="22"/>
          </w:rPr>
          <w:fldChar w:fldCharType="end"/>
        </w:r>
      </w:p>
    </w:sdtContent>
  </w:sdt>
  <w:p w14:paraId="3AAE4E0C" w14:textId="12F49137" w:rsidR="002465CA" w:rsidRPr="00374351" w:rsidRDefault="002465CA" w:rsidP="00751E14">
    <w:pPr>
      <w:pStyle w:val="Footer"/>
      <w:tabs>
        <w:tab w:val="clear" w:pos="9185"/>
        <w:tab w:val="right" w:pos="9158"/>
      </w:tabs>
      <w:rPr>
        <w:rFonts w:cs="Arial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A98FC" w14:textId="77777777" w:rsidR="00AE0A95" w:rsidRDefault="00AE0A95" w:rsidP="00CC0A46">
      <w:r>
        <w:separator/>
      </w:r>
    </w:p>
  </w:footnote>
  <w:footnote w:type="continuationSeparator" w:id="0">
    <w:p w14:paraId="7FDC44C1" w14:textId="77777777" w:rsidR="00AE0A95" w:rsidRDefault="00AE0A95" w:rsidP="00CC0A46">
      <w:r>
        <w:continuationSeparator/>
      </w:r>
    </w:p>
  </w:footnote>
  <w:footnote w:type="continuationNotice" w:id="1">
    <w:p w14:paraId="6F2824B0" w14:textId="77777777" w:rsidR="00AE0A95" w:rsidRDefault="00AE0A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32F6F" w14:textId="536FEC15" w:rsidR="00011A70" w:rsidRPr="00374351" w:rsidRDefault="00DE42A8" w:rsidP="0092525B">
    <w:pPr>
      <w:pStyle w:val="Header"/>
      <w:jc w:val="right"/>
      <w:rPr>
        <w:rFonts w:cs="Arial"/>
      </w:rPr>
    </w:pPr>
    <w:r>
      <w:rPr>
        <w:rFonts w:ascii="Arial" w:hAnsi="Arial" w:cs="Arial"/>
      </w:rPr>
      <w:t>VER01.040723</w:t>
    </w:r>
    <w:r w:rsidR="002802BC" w:rsidRPr="00BF427F">
      <w:rPr>
        <w:rFonts w:asciiTheme="minorBidi" w:hAnsiTheme="minorBidi"/>
        <w:noProof/>
      </w:rPr>
      <w:drawing>
        <wp:anchor distT="0" distB="0" distL="114300" distR="114300" simplePos="0" relativeHeight="251658241" behindDoc="0" locked="0" layoutInCell="1" allowOverlap="1" wp14:anchorId="6A545F74" wp14:editId="41DECCC4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899666" cy="539496"/>
          <wp:effectExtent l="0" t="0" r="5715" b="0"/>
          <wp:wrapNone/>
          <wp:docPr id="52" name="Picture 52" descr="Account Server:SWAP:Dan:1. ADGM Logo suite:ADGM Abbreviated Logo:ADGM_Abbreviated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count Server:SWAP:Dan:1. ADGM Logo suite:ADGM Abbreviated Logo:ADGM_Abbreviated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9666" cy="5394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8C737" w14:textId="6216D149" w:rsidR="00EB0D53" w:rsidRPr="0092525B" w:rsidRDefault="00EB0D53" w:rsidP="0092525B">
    <w:pPr>
      <w:pStyle w:val="Header"/>
      <w:jc w:val="right"/>
      <w:rPr>
        <w:rFonts w:ascii="Arial" w:hAnsi="Arial" w:cs="Arial"/>
      </w:rPr>
    </w:pPr>
    <w:r w:rsidRPr="00BF427F">
      <w:rPr>
        <w:rFonts w:asciiTheme="minorBidi" w:hAnsiTheme="minorBidi"/>
        <w:noProof/>
        <w:lang w:eastAsia="en-GB"/>
      </w:rPr>
      <w:drawing>
        <wp:anchor distT="0" distB="0" distL="114300" distR="114300" simplePos="0" relativeHeight="251658240" behindDoc="0" locked="0" layoutInCell="1" allowOverlap="1" wp14:anchorId="77C29CF5" wp14:editId="115DF4B2">
          <wp:simplePos x="0" y="0"/>
          <wp:positionH relativeFrom="margin">
            <wp:posOffset>0</wp:posOffset>
          </wp:positionH>
          <wp:positionV relativeFrom="paragraph">
            <wp:posOffset>208915</wp:posOffset>
          </wp:positionV>
          <wp:extent cx="1899666" cy="539496"/>
          <wp:effectExtent l="0" t="0" r="5715" b="0"/>
          <wp:wrapNone/>
          <wp:docPr id="53" name="Picture 53" descr="Account Server:SWAP:Dan:1. ADGM Logo suite:ADGM Abbreviated Logo:ADGM_Abbreviated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count Server:SWAP:Dan:1. ADGM Logo suite:ADGM Abbreviated Logo:ADGM_Abbreviated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9666" cy="5394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CC825" w14:textId="239E456C" w:rsidR="002D0A52" w:rsidRPr="0092525B" w:rsidRDefault="002D0A52" w:rsidP="0092525B">
    <w:pPr>
      <w:pStyle w:val="Header"/>
      <w:jc w:val="right"/>
      <w:rPr>
        <w:rFonts w:ascii="Arial" w:hAnsi="Arial" w:cs="Arial"/>
      </w:rPr>
    </w:pPr>
    <w:r>
      <w:rPr>
        <w:rFonts w:ascii="Arial" w:hAnsi="Arial" w:cs="Arial"/>
      </w:rPr>
      <w:t>VER01.040723</w:t>
    </w:r>
    <w:r w:rsidRPr="00BF427F">
      <w:rPr>
        <w:rFonts w:asciiTheme="minorBidi" w:hAnsiTheme="minorBidi"/>
        <w:noProof/>
        <w:lang w:eastAsia="en-GB"/>
      </w:rPr>
      <w:drawing>
        <wp:anchor distT="0" distB="0" distL="114300" distR="114300" simplePos="0" relativeHeight="251660291" behindDoc="0" locked="0" layoutInCell="1" allowOverlap="1" wp14:anchorId="1506ED10" wp14:editId="45C14C70">
          <wp:simplePos x="0" y="0"/>
          <wp:positionH relativeFrom="margin">
            <wp:posOffset>0</wp:posOffset>
          </wp:positionH>
          <wp:positionV relativeFrom="paragraph">
            <wp:posOffset>208915</wp:posOffset>
          </wp:positionV>
          <wp:extent cx="1899666" cy="539496"/>
          <wp:effectExtent l="0" t="0" r="5715" b="0"/>
          <wp:wrapNone/>
          <wp:docPr id="1" name="Picture 1" descr="Account Server:SWAP:Dan:1. ADGM Logo suite:ADGM Abbreviated Logo:ADGM_Abbreviated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count Server:SWAP:Dan:1. ADGM Logo suite:ADGM Abbreviated Logo:ADGM_Abbreviated_RG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9666" cy="5394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1007"/>
    <w:multiLevelType w:val="multilevel"/>
    <w:tmpl w:val="6B92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060812"/>
    <w:multiLevelType w:val="multilevel"/>
    <w:tmpl w:val="ABB2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76421A"/>
    <w:multiLevelType w:val="multilevel"/>
    <w:tmpl w:val="63C8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CF28BC"/>
    <w:multiLevelType w:val="hybridMultilevel"/>
    <w:tmpl w:val="876EF530"/>
    <w:lvl w:ilvl="0" w:tplc="D116B8C8">
      <w:start w:val="1"/>
      <w:numFmt w:val="lowerLetter"/>
      <w:lvlText w:val="%1."/>
      <w:lvlJc w:val="left"/>
      <w:pPr>
        <w:ind w:left="144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65A668E"/>
    <w:multiLevelType w:val="multilevel"/>
    <w:tmpl w:val="5B60D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037BED"/>
    <w:multiLevelType w:val="multilevel"/>
    <w:tmpl w:val="209A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2"/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915D48"/>
    <w:multiLevelType w:val="multilevel"/>
    <w:tmpl w:val="D026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D40727"/>
    <w:multiLevelType w:val="multilevel"/>
    <w:tmpl w:val="160C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A81915"/>
    <w:multiLevelType w:val="hybridMultilevel"/>
    <w:tmpl w:val="E4DC69DC"/>
    <w:lvl w:ilvl="0" w:tplc="6EAAE326">
      <w:start w:val="1"/>
      <w:numFmt w:val="lowerLetter"/>
      <w:lvlText w:val="(%1)"/>
      <w:lvlJc w:val="left"/>
      <w:pPr>
        <w:ind w:left="154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99"/>
        <w:sz w:val="24"/>
        <w:szCs w:val="24"/>
        <w:lang w:val="en-GB" w:eastAsia="en-US" w:bidi="ar-S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F36892"/>
    <w:multiLevelType w:val="multilevel"/>
    <w:tmpl w:val="E416C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383504"/>
    <w:multiLevelType w:val="multilevel"/>
    <w:tmpl w:val="2988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B54E14"/>
    <w:multiLevelType w:val="multilevel"/>
    <w:tmpl w:val="159C5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74E4A04"/>
    <w:multiLevelType w:val="multilevel"/>
    <w:tmpl w:val="5DAA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95D390A"/>
    <w:multiLevelType w:val="multilevel"/>
    <w:tmpl w:val="D28A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C406BE1"/>
    <w:multiLevelType w:val="multilevel"/>
    <w:tmpl w:val="5BF89F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E94439D"/>
    <w:multiLevelType w:val="multilevel"/>
    <w:tmpl w:val="3CAA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34A78D5"/>
    <w:multiLevelType w:val="hybridMultilevel"/>
    <w:tmpl w:val="3A6CB324"/>
    <w:lvl w:ilvl="0" w:tplc="F5487446">
      <w:start w:val="1"/>
      <w:numFmt w:val="decimal"/>
      <w:lvlRestart w:val="0"/>
      <w:pStyle w:val="BodyTextNumbered"/>
      <w:lvlText w:val="%1."/>
      <w:lvlJc w:val="left"/>
      <w:pPr>
        <w:tabs>
          <w:tab w:val="num" w:pos="2160"/>
        </w:tabs>
        <w:ind w:left="0" w:firstLine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A35EA2"/>
    <w:multiLevelType w:val="hybridMultilevel"/>
    <w:tmpl w:val="9AC858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B04F5F"/>
    <w:multiLevelType w:val="multilevel"/>
    <w:tmpl w:val="EB08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B272D1C"/>
    <w:multiLevelType w:val="multilevel"/>
    <w:tmpl w:val="7B70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DDE66AA"/>
    <w:multiLevelType w:val="multilevel"/>
    <w:tmpl w:val="A11C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2C44A02"/>
    <w:multiLevelType w:val="multilevel"/>
    <w:tmpl w:val="EADCC218"/>
    <w:styleLink w:val="List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♣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♣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♣"/>
      <w:lvlJc w:val="left"/>
      <w:rPr>
        <w:position w:val="0"/>
        <w:rtl w:val="0"/>
      </w:rPr>
    </w:lvl>
  </w:abstractNum>
  <w:abstractNum w:abstractNumId="22" w15:restartNumberingAfterBreak="0">
    <w:nsid w:val="33701A8D"/>
    <w:multiLevelType w:val="multilevel"/>
    <w:tmpl w:val="A6AE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3916CC4"/>
    <w:multiLevelType w:val="multilevel"/>
    <w:tmpl w:val="EDEE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4F272F7"/>
    <w:multiLevelType w:val="multilevel"/>
    <w:tmpl w:val="850A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75A438A"/>
    <w:multiLevelType w:val="multilevel"/>
    <w:tmpl w:val="748C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87516B2"/>
    <w:multiLevelType w:val="multilevel"/>
    <w:tmpl w:val="C022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9AB0275"/>
    <w:multiLevelType w:val="hybridMultilevel"/>
    <w:tmpl w:val="BAEC74E4"/>
    <w:lvl w:ilvl="0" w:tplc="DF5ED418">
      <w:start w:val="1"/>
      <w:numFmt w:val="bullet"/>
      <w:pStyle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3B7F4956"/>
    <w:multiLevelType w:val="multilevel"/>
    <w:tmpl w:val="6B92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C001C57"/>
    <w:multiLevelType w:val="hybridMultilevel"/>
    <w:tmpl w:val="9AC858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C0B321B"/>
    <w:multiLevelType w:val="hybridMultilevel"/>
    <w:tmpl w:val="E7CE5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000378"/>
    <w:multiLevelType w:val="multilevel"/>
    <w:tmpl w:val="A1024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9D774FC"/>
    <w:multiLevelType w:val="hybridMultilevel"/>
    <w:tmpl w:val="7C762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A084C0E"/>
    <w:multiLevelType w:val="multilevel"/>
    <w:tmpl w:val="FB50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FED014C"/>
    <w:multiLevelType w:val="multilevel"/>
    <w:tmpl w:val="CE3A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2A13D7A"/>
    <w:multiLevelType w:val="hybridMultilevel"/>
    <w:tmpl w:val="5A96A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613777"/>
    <w:multiLevelType w:val="multilevel"/>
    <w:tmpl w:val="586A3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BBD3958"/>
    <w:multiLevelType w:val="multilevel"/>
    <w:tmpl w:val="4FB6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D624FEA"/>
    <w:multiLevelType w:val="multilevel"/>
    <w:tmpl w:val="210A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10D6E82"/>
    <w:multiLevelType w:val="multilevel"/>
    <w:tmpl w:val="6B923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26C1F60"/>
    <w:multiLevelType w:val="multilevel"/>
    <w:tmpl w:val="D968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5232C40"/>
    <w:multiLevelType w:val="hybridMultilevel"/>
    <w:tmpl w:val="86388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B20868"/>
    <w:multiLevelType w:val="multilevel"/>
    <w:tmpl w:val="39DAE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B015551"/>
    <w:multiLevelType w:val="multilevel"/>
    <w:tmpl w:val="B0C2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0693846"/>
    <w:multiLevelType w:val="multilevel"/>
    <w:tmpl w:val="04B4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12A30D6"/>
    <w:multiLevelType w:val="hybridMultilevel"/>
    <w:tmpl w:val="5E622944"/>
    <w:lvl w:ilvl="0" w:tplc="B888CC0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EB0914"/>
    <w:multiLevelType w:val="hybridMultilevel"/>
    <w:tmpl w:val="9AC858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542934"/>
    <w:multiLevelType w:val="multilevel"/>
    <w:tmpl w:val="B0EA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C4824C0"/>
    <w:multiLevelType w:val="hybridMultilevel"/>
    <w:tmpl w:val="2BB654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40898612">
    <w:abstractNumId w:val="21"/>
  </w:num>
  <w:num w:numId="2" w16cid:durableId="616527201">
    <w:abstractNumId w:val="27"/>
  </w:num>
  <w:num w:numId="3" w16cid:durableId="859009169">
    <w:abstractNumId w:val="16"/>
  </w:num>
  <w:num w:numId="4" w16cid:durableId="1889609738">
    <w:abstractNumId w:val="5"/>
  </w:num>
  <w:num w:numId="5" w16cid:durableId="1898666329">
    <w:abstractNumId w:val="10"/>
  </w:num>
  <w:num w:numId="6" w16cid:durableId="1161233224">
    <w:abstractNumId w:val="13"/>
  </w:num>
  <w:num w:numId="7" w16cid:durableId="617567735">
    <w:abstractNumId w:val="11"/>
  </w:num>
  <w:num w:numId="8" w16cid:durableId="681862481">
    <w:abstractNumId w:val="1"/>
  </w:num>
  <w:num w:numId="9" w16cid:durableId="2110004639">
    <w:abstractNumId w:val="6"/>
  </w:num>
  <w:num w:numId="10" w16cid:durableId="723455907">
    <w:abstractNumId w:val="15"/>
  </w:num>
  <w:num w:numId="11" w16cid:durableId="1039285872">
    <w:abstractNumId w:val="40"/>
  </w:num>
  <w:num w:numId="12" w16cid:durableId="1820265784">
    <w:abstractNumId w:val="24"/>
  </w:num>
  <w:num w:numId="13" w16cid:durableId="1755592059">
    <w:abstractNumId w:val="44"/>
  </w:num>
  <w:num w:numId="14" w16cid:durableId="346686338">
    <w:abstractNumId w:val="38"/>
  </w:num>
  <w:num w:numId="15" w16cid:durableId="28260242">
    <w:abstractNumId w:val="12"/>
  </w:num>
  <w:num w:numId="16" w16cid:durableId="681904863">
    <w:abstractNumId w:val="37"/>
  </w:num>
  <w:num w:numId="17" w16cid:durableId="2147038442">
    <w:abstractNumId w:val="41"/>
  </w:num>
  <w:num w:numId="18" w16cid:durableId="1765809236">
    <w:abstractNumId w:val="19"/>
  </w:num>
  <w:num w:numId="19" w16cid:durableId="1796748189">
    <w:abstractNumId w:val="25"/>
  </w:num>
  <w:num w:numId="20" w16cid:durableId="540437120">
    <w:abstractNumId w:val="18"/>
  </w:num>
  <w:num w:numId="21" w16cid:durableId="756562205">
    <w:abstractNumId w:val="7"/>
  </w:num>
  <w:num w:numId="22" w16cid:durableId="671300166">
    <w:abstractNumId w:val="20"/>
  </w:num>
  <w:num w:numId="23" w16cid:durableId="2009862798">
    <w:abstractNumId w:val="2"/>
  </w:num>
  <w:num w:numId="24" w16cid:durableId="1237083969">
    <w:abstractNumId w:val="23"/>
  </w:num>
  <w:num w:numId="25" w16cid:durableId="1107118810">
    <w:abstractNumId w:val="26"/>
  </w:num>
  <w:num w:numId="26" w16cid:durableId="1048646869">
    <w:abstractNumId w:val="34"/>
  </w:num>
  <w:num w:numId="27" w16cid:durableId="1772971270">
    <w:abstractNumId w:val="42"/>
  </w:num>
  <w:num w:numId="28" w16cid:durableId="237374197">
    <w:abstractNumId w:val="22"/>
  </w:num>
  <w:num w:numId="29" w16cid:durableId="1335915633">
    <w:abstractNumId w:val="9"/>
  </w:num>
  <w:num w:numId="30" w16cid:durableId="1407531568">
    <w:abstractNumId w:val="43"/>
  </w:num>
  <w:num w:numId="31" w16cid:durableId="1331369006">
    <w:abstractNumId w:val="36"/>
  </w:num>
  <w:num w:numId="32" w16cid:durableId="634912798">
    <w:abstractNumId w:val="4"/>
  </w:num>
  <w:num w:numId="33" w16cid:durableId="1998071227">
    <w:abstractNumId w:val="33"/>
  </w:num>
  <w:num w:numId="34" w16cid:durableId="1487088353">
    <w:abstractNumId w:val="47"/>
  </w:num>
  <w:num w:numId="35" w16cid:durableId="451553991">
    <w:abstractNumId w:val="31"/>
  </w:num>
  <w:num w:numId="36" w16cid:durableId="732772472">
    <w:abstractNumId w:val="14"/>
  </w:num>
  <w:num w:numId="37" w16cid:durableId="1013148298">
    <w:abstractNumId w:val="0"/>
  </w:num>
  <w:num w:numId="38" w16cid:durableId="1707371750">
    <w:abstractNumId w:val="28"/>
  </w:num>
  <w:num w:numId="39" w16cid:durableId="899172693">
    <w:abstractNumId w:val="39"/>
  </w:num>
  <w:num w:numId="40" w16cid:durableId="1130629121">
    <w:abstractNumId w:val="32"/>
  </w:num>
  <w:num w:numId="41" w16cid:durableId="908735910">
    <w:abstractNumId w:val="35"/>
  </w:num>
  <w:num w:numId="42" w16cid:durableId="2128427158">
    <w:abstractNumId w:val="30"/>
  </w:num>
  <w:num w:numId="43" w16cid:durableId="1862083759">
    <w:abstractNumId w:val="45"/>
  </w:num>
  <w:num w:numId="44" w16cid:durableId="1352534634">
    <w:abstractNumId w:val="48"/>
  </w:num>
  <w:num w:numId="45" w16cid:durableId="1847211017">
    <w:abstractNumId w:val="29"/>
  </w:num>
  <w:num w:numId="46" w16cid:durableId="846090444">
    <w:abstractNumId w:val="46"/>
  </w:num>
  <w:num w:numId="47" w16cid:durableId="2071808475">
    <w:abstractNumId w:val="17"/>
  </w:num>
  <w:num w:numId="48" w16cid:durableId="1233930500">
    <w:abstractNumId w:val="8"/>
  </w:num>
  <w:num w:numId="49" w16cid:durableId="423575679">
    <w:abstractNumId w:val="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DB"/>
    <w:rsid w:val="000008CF"/>
    <w:rsid w:val="00000B7E"/>
    <w:rsid w:val="00000F79"/>
    <w:rsid w:val="00001585"/>
    <w:rsid w:val="00002EAE"/>
    <w:rsid w:val="00003F21"/>
    <w:rsid w:val="000042F6"/>
    <w:rsid w:val="0000449D"/>
    <w:rsid w:val="00004A3A"/>
    <w:rsid w:val="0000555D"/>
    <w:rsid w:val="00007D92"/>
    <w:rsid w:val="00010644"/>
    <w:rsid w:val="00011120"/>
    <w:rsid w:val="000114B8"/>
    <w:rsid w:val="000115F4"/>
    <w:rsid w:val="00011A70"/>
    <w:rsid w:val="00011CAC"/>
    <w:rsid w:val="000121DD"/>
    <w:rsid w:val="00013726"/>
    <w:rsid w:val="0001483D"/>
    <w:rsid w:val="00015E4A"/>
    <w:rsid w:val="00015F16"/>
    <w:rsid w:val="000170FE"/>
    <w:rsid w:val="0001715B"/>
    <w:rsid w:val="000176DD"/>
    <w:rsid w:val="000216D9"/>
    <w:rsid w:val="00022B1C"/>
    <w:rsid w:val="00023F6E"/>
    <w:rsid w:val="00024AC5"/>
    <w:rsid w:val="00025754"/>
    <w:rsid w:val="000266AC"/>
    <w:rsid w:val="00031BAB"/>
    <w:rsid w:val="00032A81"/>
    <w:rsid w:val="00033119"/>
    <w:rsid w:val="00033122"/>
    <w:rsid w:val="00033278"/>
    <w:rsid w:val="00035351"/>
    <w:rsid w:val="000370B0"/>
    <w:rsid w:val="000425D5"/>
    <w:rsid w:val="00045BE5"/>
    <w:rsid w:val="00046A9C"/>
    <w:rsid w:val="000470A4"/>
    <w:rsid w:val="000510CF"/>
    <w:rsid w:val="00051925"/>
    <w:rsid w:val="00051953"/>
    <w:rsid w:val="00051C62"/>
    <w:rsid w:val="00053454"/>
    <w:rsid w:val="000544CA"/>
    <w:rsid w:val="00057F94"/>
    <w:rsid w:val="000603D3"/>
    <w:rsid w:val="00061F92"/>
    <w:rsid w:val="000621CC"/>
    <w:rsid w:val="00064004"/>
    <w:rsid w:val="00064CC2"/>
    <w:rsid w:val="00065103"/>
    <w:rsid w:val="000673EE"/>
    <w:rsid w:val="00067B6F"/>
    <w:rsid w:val="0007223E"/>
    <w:rsid w:val="0007225D"/>
    <w:rsid w:val="000722DA"/>
    <w:rsid w:val="00072878"/>
    <w:rsid w:val="00074595"/>
    <w:rsid w:val="0007499F"/>
    <w:rsid w:val="000802C6"/>
    <w:rsid w:val="000804DF"/>
    <w:rsid w:val="000816E6"/>
    <w:rsid w:val="000818D1"/>
    <w:rsid w:val="00083185"/>
    <w:rsid w:val="000837D5"/>
    <w:rsid w:val="000841A8"/>
    <w:rsid w:val="00085053"/>
    <w:rsid w:val="000872FC"/>
    <w:rsid w:val="00091C21"/>
    <w:rsid w:val="00093268"/>
    <w:rsid w:val="00094ED4"/>
    <w:rsid w:val="00095970"/>
    <w:rsid w:val="0009757E"/>
    <w:rsid w:val="00097628"/>
    <w:rsid w:val="000A035E"/>
    <w:rsid w:val="000A0527"/>
    <w:rsid w:val="000A0C70"/>
    <w:rsid w:val="000A0ED4"/>
    <w:rsid w:val="000A53D3"/>
    <w:rsid w:val="000A6382"/>
    <w:rsid w:val="000A6E22"/>
    <w:rsid w:val="000A74BB"/>
    <w:rsid w:val="000A7A73"/>
    <w:rsid w:val="000B0357"/>
    <w:rsid w:val="000B0609"/>
    <w:rsid w:val="000B0A1C"/>
    <w:rsid w:val="000B211D"/>
    <w:rsid w:val="000B42C8"/>
    <w:rsid w:val="000B45D8"/>
    <w:rsid w:val="000B464B"/>
    <w:rsid w:val="000B47F9"/>
    <w:rsid w:val="000B5979"/>
    <w:rsid w:val="000B6111"/>
    <w:rsid w:val="000B78EF"/>
    <w:rsid w:val="000B79ED"/>
    <w:rsid w:val="000C05FA"/>
    <w:rsid w:val="000C0AA5"/>
    <w:rsid w:val="000C0D89"/>
    <w:rsid w:val="000C0EA5"/>
    <w:rsid w:val="000C1684"/>
    <w:rsid w:val="000C2E8B"/>
    <w:rsid w:val="000C4316"/>
    <w:rsid w:val="000C47FB"/>
    <w:rsid w:val="000C4B94"/>
    <w:rsid w:val="000C5051"/>
    <w:rsid w:val="000C52BE"/>
    <w:rsid w:val="000C54C8"/>
    <w:rsid w:val="000C57E2"/>
    <w:rsid w:val="000C6663"/>
    <w:rsid w:val="000C73B3"/>
    <w:rsid w:val="000C76D7"/>
    <w:rsid w:val="000C799A"/>
    <w:rsid w:val="000D0394"/>
    <w:rsid w:val="000D0CA3"/>
    <w:rsid w:val="000D1AE0"/>
    <w:rsid w:val="000D2200"/>
    <w:rsid w:val="000D27A8"/>
    <w:rsid w:val="000D455F"/>
    <w:rsid w:val="000D6747"/>
    <w:rsid w:val="000E0955"/>
    <w:rsid w:val="000E0C0D"/>
    <w:rsid w:val="000E1549"/>
    <w:rsid w:val="000E1D12"/>
    <w:rsid w:val="000E3BD4"/>
    <w:rsid w:val="000E4E4A"/>
    <w:rsid w:val="000E65BD"/>
    <w:rsid w:val="000E696F"/>
    <w:rsid w:val="000E6A38"/>
    <w:rsid w:val="000E75BD"/>
    <w:rsid w:val="000F35A3"/>
    <w:rsid w:val="000F5289"/>
    <w:rsid w:val="000F541B"/>
    <w:rsid w:val="000F60AB"/>
    <w:rsid w:val="00101C2E"/>
    <w:rsid w:val="0010241D"/>
    <w:rsid w:val="00102DA2"/>
    <w:rsid w:val="001031FE"/>
    <w:rsid w:val="00103478"/>
    <w:rsid w:val="001035EF"/>
    <w:rsid w:val="00103AE3"/>
    <w:rsid w:val="00104087"/>
    <w:rsid w:val="00104B85"/>
    <w:rsid w:val="00104CDD"/>
    <w:rsid w:val="00104DE3"/>
    <w:rsid w:val="00105C6E"/>
    <w:rsid w:val="001064E0"/>
    <w:rsid w:val="001110F2"/>
    <w:rsid w:val="001116D5"/>
    <w:rsid w:val="00111F2F"/>
    <w:rsid w:val="00113507"/>
    <w:rsid w:val="00113708"/>
    <w:rsid w:val="00113EA6"/>
    <w:rsid w:val="0011502D"/>
    <w:rsid w:val="001159A5"/>
    <w:rsid w:val="001212C7"/>
    <w:rsid w:val="00121DCF"/>
    <w:rsid w:val="0012217B"/>
    <w:rsid w:val="001231E1"/>
    <w:rsid w:val="00125BD0"/>
    <w:rsid w:val="0012693A"/>
    <w:rsid w:val="00127572"/>
    <w:rsid w:val="00130110"/>
    <w:rsid w:val="00130AB9"/>
    <w:rsid w:val="00130DF6"/>
    <w:rsid w:val="0013288E"/>
    <w:rsid w:val="00133E9F"/>
    <w:rsid w:val="00136363"/>
    <w:rsid w:val="00136C78"/>
    <w:rsid w:val="0014036F"/>
    <w:rsid w:val="00140B13"/>
    <w:rsid w:val="0014188D"/>
    <w:rsid w:val="00142F81"/>
    <w:rsid w:val="00142FBF"/>
    <w:rsid w:val="00145880"/>
    <w:rsid w:val="00145F73"/>
    <w:rsid w:val="00146039"/>
    <w:rsid w:val="00146A5F"/>
    <w:rsid w:val="00152902"/>
    <w:rsid w:val="00152C96"/>
    <w:rsid w:val="00153007"/>
    <w:rsid w:val="00153BE8"/>
    <w:rsid w:val="001555C1"/>
    <w:rsid w:val="001560B2"/>
    <w:rsid w:val="0015645C"/>
    <w:rsid w:val="00156F6B"/>
    <w:rsid w:val="00157AB5"/>
    <w:rsid w:val="00160614"/>
    <w:rsid w:val="001607E6"/>
    <w:rsid w:val="00160BEE"/>
    <w:rsid w:val="00161352"/>
    <w:rsid w:val="00161B9A"/>
    <w:rsid w:val="0016217A"/>
    <w:rsid w:val="00162EB3"/>
    <w:rsid w:val="00163694"/>
    <w:rsid w:val="0016470C"/>
    <w:rsid w:val="001655AC"/>
    <w:rsid w:val="001658D6"/>
    <w:rsid w:val="001659D9"/>
    <w:rsid w:val="001705C3"/>
    <w:rsid w:val="00170B15"/>
    <w:rsid w:val="00172E05"/>
    <w:rsid w:val="001733FB"/>
    <w:rsid w:val="001735D7"/>
    <w:rsid w:val="00173735"/>
    <w:rsid w:val="0017396C"/>
    <w:rsid w:val="0017481B"/>
    <w:rsid w:val="001754AE"/>
    <w:rsid w:val="001764C2"/>
    <w:rsid w:val="00177486"/>
    <w:rsid w:val="00180E6F"/>
    <w:rsid w:val="001810B5"/>
    <w:rsid w:val="00182DE8"/>
    <w:rsid w:val="00183549"/>
    <w:rsid w:val="00184E1C"/>
    <w:rsid w:val="001858D2"/>
    <w:rsid w:val="00186C2E"/>
    <w:rsid w:val="00186D51"/>
    <w:rsid w:val="00186FD7"/>
    <w:rsid w:val="001871E2"/>
    <w:rsid w:val="001900F4"/>
    <w:rsid w:val="001916A6"/>
    <w:rsid w:val="0019171C"/>
    <w:rsid w:val="00192324"/>
    <w:rsid w:val="00193084"/>
    <w:rsid w:val="001931BE"/>
    <w:rsid w:val="00193D6C"/>
    <w:rsid w:val="00193D95"/>
    <w:rsid w:val="00194A56"/>
    <w:rsid w:val="00194FB8"/>
    <w:rsid w:val="001971C9"/>
    <w:rsid w:val="001971D0"/>
    <w:rsid w:val="001A03E9"/>
    <w:rsid w:val="001A1668"/>
    <w:rsid w:val="001A1862"/>
    <w:rsid w:val="001A3977"/>
    <w:rsid w:val="001A5B83"/>
    <w:rsid w:val="001A5CC9"/>
    <w:rsid w:val="001A6516"/>
    <w:rsid w:val="001A68A7"/>
    <w:rsid w:val="001A6FD5"/>
    <w:rsid w:val="001A78FC"/>
    <w:rsid w:val="001B032A"/>
    <w:rsid w:val="001B0C24"/>
    <w:rsid w:val="001B236F"/>
    <w:rsid w:val="001B2DBF"/>
    <w:rsid w:val="001B2DF4"/>
    <w:rsid w:val="001B4B7D"/>
    <w:rsid w:val="001B594E"/>
    <w:rsid w:val="001B5A44"/>
    <w:rsid w:val="001B769E"/>
    <w:rsid w:val="001B9524"/>
    <w:rsid w:val="001C2782"/>
    <w:rsid w:val="001C5B09"/>
    <w:rsid w:val="001C62FE"/>
    <w:rsid w:val="001D01BD"/>
    <w:rsid w:val="001D0B53"/>
    <w:rsid w:val="001D1E95"/>
    <w:rsid w:val="001D4F88"/>
    <w:rsid w:val="001D68A7"/>
    <w:rsid w:val="001D6CB8"/>
    <w:rsid w:val="001D6D2C"/>
    <w:rsid w:val="001D6FF6"/>
    <w:rsid w:val="001D7F25"/>
    <w:rsid w:val="001E0F20"/>
    <w:rsid w:val="001E0FC3"/>
    <w:rsid w:val="001E180F"/>
    <w:rsid w:val="001E1A1A"/>
    <w:rsid w:val="001E26ED"/>
    <w:rsid w:val="001E2BF4"/>
    <w:rsid w:val="001E4E15"/>
    <w:rsid w:val="001E5B97"/>
    <w:rsid w:val="001E6241"/>
    <w:rsid w:val="001E7DA4"/>
    <w:rsid w:val="001F0E52"/>
    <w:rsid w:val="001F0E5B"/>
    <w:rsid w:val="001F14F9"/>
    <w:rsid w:val="001F1C5B"/>
    <w:rsid w:val="001F2710"/>
    <w:rsid w:val="001F371B"/>
    <w:rsid w:val="001F43A7"/>
    <w:rsid w:val="0020160E"/>
    <w:rsid w:val="00202BB5"/>
    <w:rsid w:val="00203A43"/>
    <w:rsid w:val="00203ECB"/>
    <w:rsid w:val="00204130"/>
    <w:rsid w:val="00206F37"/>
    <w:rsid w:val="00210C28"/>
    <w:rsid w:val="00210CC2"/>
    <w:rsid w:val="0021117A"/>
    <w:rsid w:val="00213AD5"/>
    <w:rsid w:val="0021402F"/>
    <w:rsid w:val="002149D3"/>
    <w:rsid w:val="00215BD6"/>
    <w:rsid w:val="0021698B"/>
    <w:rsid w:val="00216C2E"/>
    <w:rsid w:val="00217132"/>
    <w:rsid w:val="0022073B"/>
    <w:rsid w:val="00220BE6"/>
    <w:rsid w:val="00220C63"/>
    <w:rsid w:val="00221033"/>
    <w:rsid w:val="002215CB"/>
    <w:rsid w:val="0022416B"/>
    <w:rsid w:val="002249B5"/>
    <w:rsid w:val="00225D0B"/>
    <w:rsid w:val="002261EF"/>
    <w:rsid w:val="002265E5"/>
    <w:rsid w:val="00227D5E"/>
    <w:rsid w:val="0023094C"/>
    <w:rsid w:val="00230ADD"/>
    <w:rsid w:val="00231318"/>
    <w:rsid w:val="00233A78"/>
    <w:rsid w:val="00235E7F"/>
    <w:rsid w:val="00236DFC"/>
    <w:rsid w:val="00240971"/>
    <w:rsid w:val="0024288F"/>
    <w:rsid w:val="00243803"/>
    <w:rsid w:val="002465CA"/>
    <w:rsid w:val="00246D8C"/>
    <w:rsid w:val="0025129D"/>
    <w:rsid w:val="002516B0"/>
    <w:rsid w:val="0025370F"/>
    <w:rsid w:val="00255414"/>
    <w:rsid w:val="00257DA3"/>
    <w:rsid w:val="00257E2F"/>
    <w:rsid w:val="00261286"/>
    <w:rsid w:val="00261A96"/>
    <w:rsid w:val="00261BA0"/>
    <w:rsid w:val="0026344A"/>
    <w:rsid w:val="00263CAA"/>
    <w:rsid w:val="00264205"/>
    <w:rsid w:val="0026513C"/>
    <w:rsid w:val="002651A8"/>
    <w:rsid w:val="00265BE4"/>
    <w:rsid w:val="00266CC8"/>
    <w:rsid w:val="00267641"/>
    <w:rsid w:val="0026783B"/>
    <w:rsid w:val="00267BDC"/>
    <w:rsid w:val="0027005D"/>
    <w:rsid w:val="0027175C"/>
    <w:rsid w:val="00271A06"/>
    <w:rsid w:val="00273883"/>
    <w:rsid w:val="00275491"/>
    <w:rsid w:val="00275CD3"/>
    <w:rsid w:val="002802BC"/>
    <w:rsid w:val="002804EB"/>
    <w:rsid w:val="002813E7"/>
    <w:rsid w:val="002826F6"/>
    <w:rsid w:val="00282963"/>
    <w:rsid w:val="00283F06"/>
    <w:rsid w:val="002869F6"/>
    <w:rsid w:val="00290474"/>
    <w:rsid w:val="002925B6"/>
    <w:rsid w:val="002926F1"/>
    <w:rsid w:val="002931EC"/>
    <w:rsid w:val="00294D6F"/>
    <w:rsid w:val="00295C43"/>
    <w:rsid w:val="00297200"/>
    <w:rsid w:val="00297F00"/>
    <w:rsid w:val="002A0431"/>
    <w:rsid w:val="002A1D35"/>
    <w:rsid w:val="002A2629"/>
    <w:rsid w:val="002A2DBF"/>
    <w:rsid w:val="002A3623"/>
    <w:rsid w:val="002A4620"/>
    <w:rsid w:val="002A6164"/>
    <w:rsid w:val="002A6FB0"/>
    <w:rsid w:val="002A7D87"/>
    <w:rsid w:val="002A7E63"/>
    <w:rsid w:val="002B05E6"/>
    <w:rsid w:val="002B17C7"/>
    <w:rsid w:val="002B27F1"/>
    <w:rsid w:val="002B2826"/>
    <w:rsid w:val="002B2CDB"/>
    <w:rsid w:val="002B3B18"/>
    <w:rsid w:val="002B4EDF"/>
    <w:rsid w:val="002C1310"/>
    <w:rsid w:val="002C14B9"/>
    <w:rsid w:val="002C19BE"/>
    <w:rsid w:val="002C3172"/>
    <w:rsid w:val="002C3DA2"/>
    <w:rsid w:val="002C4380"/>
    <w:rsid w:val="002D0A52"/>
    <w:rsid w:val="002D300C"/>
    <w:rsid w:val="002D376A"/>
    <w:rsid w:val="002D5509"/>
    <w:rsid w:val="002D6AC7"/>
    <w:rsid w:val="002D717F"/>
    <w:rsid w:val="002E00D0"/>
    <w:rsid w:val="002E14DB"/>
    <w:rsid w:val="002E269D"/>
    <w:rsid w:val="002E2E57"/>
    <w:rsid w:val="002E4201"/>
    <w:rsid w:val="002E4C1F"/>
    <w:rsid w:val="002E5DF0"/>
    <w:rsid w:val="002E6CDC"/>
    <w:rsid w:val="002E6E32"/>
    <w:rsid w:val="002E726E"/>
    <w:rsid w:val="002F013B"/>
    <w:rsid w:val="002F0ACF"/>
    <w:rsid w:val="002F159C"/>
    <w:rsid w:val="002F447B"/>
    <w:rsid w:val="002F44BD"/>
    <w:rsid w:val="002F5429"/>
    <w:rsid w:val="002F5FB9"/>
    <w:rsid w:val="002F6ADC"/>
    <w:rsid w:val="002F6F0A"/>
    <w:rsid w:val="003001E0"/>
    <w:rsid w:val="003003F1"/>
    <w:rsid w:val="00301E0F"/>
    <w:rsid w:val="0030225B"/>
    <w:rsid w:val="003030B5"/>
    <w:rsid w:val="00303751"/>
    <w:rsid w:val="00303ED7"/>
    <w:rsid w:val="00305353"/>
    <w:rsid w:val="003057D0"/>
    <w:rsid w:val="00305A77"/>
    <w:rsid w:val="003061C9"/>
    <w:rsid w:val="00306364"/>
    <w:rsid w:val="00307C00"/>
    <w:rsid w:val="00307FDF"/>
    <w:rsid w:val="00311F97"/>
    <w:rsid w:val="00311FE4"/>
    <w:rsid w:val="00314C88"/>
    <w:rsid w:val="003154E1"/>
    <w:rsid w:val="003163CC"/>
    <w:rsid w:val="00317FE8"/>
    <w:rsid w:val="00321296"/>
    <w:rsid w:val="003213E7"/>
    <w:rsid w:val="0032149E"/>
    <w:rsid w:val="003228D8"/>
    <w:rsid w:val="00322F00"/>
    <w:rsid w:val="00324F6C"/>
    <w:rsid w:val="00330014"/>
    <w:rsid w:val="0033068C"/>
    <w:rsid w:val="0033085F"/>
    <w:rsid w:val="00331477"/>
    <w:rsid w:val="0033224F"/>
    <w:rsid w:val="00332C25"/>
    <w:rsid w:val="00333CB2"/>
    <w:rsid w:val="0033588F"/>
    <w:rsid w:val="00335CF1"/>
    <w:rsid w:val="003365A1"/>
    <w:rsid w:val="0033666F"/>
    <w:rsid w:val="0033669D"/>
    <w:rsid w:val="00337FE4"/>
    <w:rsid w:val="00340FC6"/>
    <w:rsid w:val="00341156"/>
    <w:rsid w:val="00342F0F"/>
    <w:rsid w:val="00343972"/>
    <w:rsid w:val="00343EC4"/>
    <w:rsid w:val="00344672"/>
    <w:rsid w:val="00344FE4"/>
    <w:rsid w:val="003452DC"/>
    <w:rsid w:val="00346CDE"/>
    <w:rsid w:val="00350818"/>
    <w:rsid w:val="00350B84"/>
    <w:rsid w:val="003513DC"/>
    <w:rsid w:val="003524FF"/>
    <w:rsid w:val="0035371F"/>
    <w:rsid w:val="00355803"/>
    <w:rsid w:val="00356A90"/>
    <w:rsid w:val="003573C6"/>
    <w:rsid w:val="0036082B"/>
    <w:rsid w:val="00361B8B"/>
    <w:rsid w:val="00362253"/>
    <w:rsid w:val="0036225F"/>
    <w:rsid w:val="00362DCC"/>
    <w:rsid w:val="003659AB"/>
    <w:rsid w:val="00365D35"/>
    <w:rsid w:val="003664BD"/>
    <w:rsid w:val="00366863"/>
    <w:rsid w:val="00366F4B"/>
    <w:rsid w:val="0037002A"/>
    <w:rsid w:val="003720C6"/>
    <w:rsid w:val="00374351"/>
    <w:rsid w:val="00374BA0"/>
    <w:rsid w:val="003754FE"/>
    <w:rsid w:val="00377934"/>
    <w:rsid w:val="00380D1A"/>
    <w:rsid w:val="00381504"/>
    <w:rsid w:val="00381683"/>
    <w:rsid w:val="0038185B"/>
    <w:rsid w:val="00382635"/>
    <w:rsid w:val="00382DB1"/>
    <w:rsid w:val="00383233"/>
    <w:rsid w:val="00383DDD"/>
    <w:rsid w:val="00384252"/>
    <w:rsid w:val="00385E5A"/>
    <w:rsid w:val="003904CF"/>
    <w:rsid w:val="00392848"/>
    <w:rsid w:val="00393713"/>
    <w:rsid w:val="003938D5"/>
    <w:rsid w:val="00394795"/>
    <w:rsid w:val="00396F04"/>
    <w:rsid w:val="003976C7"/>
    <w:rsid w:val="00397ABC"/>
    <w:rsid w:val="003A029D"/>
    <w:rsid w:val="003A085F"/>
    <w:rsid w:val="003A1DB5"/>
    <w:rsid w:val="003A56AA"/>
    <w:rsid w:val="003A5913"/>
    <w:rsid w:val="003A64E6"/>
    <w:rsid w:val="003A6C35"/>
    <w:rsid w:val="003A7809"/>
    <w:rsid w:val="003B14A6"/>
    <w:rsid w:val="003B181C"/>
    <w:rsid w:val="003B1B55"/>
    <w:rsid w:val="003B1E04"/>
    <w:rsid w:val="003B21FB"/>
    <w:rsid w:val="003B25CA"/>
    <w:rsid w:val="003B3244"/>
    <w:rsid w:val="003B4D68"/>
    <w:rsid w:val="003B71B0"/>
    <w:rsid w:val="003B7BE1"/>
    <w:rsid w:val="003C0A23"/>
    <w:rsid w:val="003C348F"/>
    <w:rsid w:val="003C3CF7"/>
    <w:rsid w:val="003C49F0"/>
    <w:rsid w:val="003C6214"/>
    <w:rsid w:val="003C6847"/>
    <w:rsid w:val="003C69C3"/>
    <w:rsid w:val="003D0B5B"/>
    <w:rsid w:val="003D1474"/>
    <w:rsid w:val="003D1998"/>
    <w:rsid w:val="003D299F"/>
    <w:rsid w:val="003D2A4B"/>
    <w:rsid w:val="003D6665"/>
    <w:rsid w:val="003E129B"/>
    <w:rsid w:val="003E1442"/>
    <w:rsid w:val="003E1919"/>
    <w:rsid w:val="003E1DE6"/>
    <w:rsid w:val="003E2C66"/>
    <w:rsid w:val="003E365A"/>
    <w:rsid w:val="003E5E82"/>
    <w:rsid w:val="003E6C58"/>
    <w:rsid w:val="003E6D0B"/>
    <w:rsid w:val="003E7F4D"/>
    <w:rsid w:val="003F0334"/>
    <w:rsid w:val="003F038D"/>
    <w:rsid w:val="003F2EA5"/>
    <w:rsid w:val="003F3A63"/>
    <w:rsid w:val="003F3F19"/>
    <w:rsid w:val="003F4978"/>
    <w:rsid w:val="003F4B3D"/>
    <w:rsid w:val="003F54D0"/>
    <w:rsid w:val="00401D3F"/>
    <w:rsid w:val="004028F2"/>
    <w:rsid w:val="00403F3A"/>
    <w:rsid w:val="004044EB"/>
    <w:rsid w:val="00404656"/>
    <w:rsid w:val="00406199"/>
    <w:rsid w:val="00407018"/>
    <w:rsid w:val="004072E6"/>
    <w:rsid w:val="00407448"/>
    <w:rsid w:val="00410ED8"/>
    <w:rsid w:val="0041183A"/>
    <w:rsid w:val="00412249"/>
    <w:rsid w:val="00412740"/>
    <w:rsid w:val="004153BF"/>
    <w:rsid w:val="004155B6"/>
    <w:rsid w:val="00415C48"/>
    <w:rsid w:val="00416104"/>
    <w:rsid w:val="00417B69"/>
    <w:rsid w:val="00417CC8"/>
    <w:rsid w:val="00420691"/>
    <w:rsid w:val="00421A5E"/>
    <w:rsid w:val="00422E57"/>
    <w:rsid w:val="00424086"/>
    <w:rsid w:val="004247E5"/>
    <w:rsid w:val="004249C2"/>
    <w:rsid w:val="00426CF9"/>
    <w:rsid w:val="00426F89"/>
    <w:rsid w:val="00427277"/>
    <w:rsid w:val="004302B2"/>
    <w:rsid w:val="0043202F"/>
    <w:rsid w:val="0043276E"/>
    <w:rsid w:val="0043308E"/>
    <w:rsid w:val="0043366B"/>
    <w:rsid w:val="00434391"/>
    <w:rsid w:val="00434648"/>
    <w:rsid w:val="0043599F"/>
    <w:rsid w:val="004368B3"/>
    <w:rsid w:val="00436BAF"/>
    <w:rsid w:val="00437205"/>
    <w:rsid w:val="00440166"/>
    <w:rsid w:val="00440CD8"/>
    <w:rsid w:val="00441BBC"/>
    <w:rsid w:val="00441C13"/>
    <w:rsid w:val="00441EF4"/>
    <w:rsid w:val="00442D48"/>
    <w:rsid w:val="0044319C"/>
    <w:rsid w:val="00444201"/>
    <w:rsid w:val="00445DCF"/>
    <w:rsid w:val="00447A9E"/>
    <w:rsid w:val="00447DDC"/>
    <w:rsid w:val="00450381"/>
    <w:rsid w:val="004509F2"/>
    <w:rsid w:val="00450AE8"/>
    <w:rsid w:val="00450FD4"/>
    <w:rsid w:val="00452FB1"/>
    <w:rsid w:val="0045311F"/>
    <w:rsid w:val="004537B2"/>
    <w:rsid w:val="00453AF7"/>
    <w:rsid w:val="00454239"/>
    <w:rsid w:val="00454451"/>
    <w:rsid w:val="00456589"/>
    <w:rsid w:val="00457808"/>
    <w:rsid w:val="00457C90"/>
    <w:rsid w:val="00460086"/>
    <w:rsid w:val="004612A5"/>
    <w:rsid w:val="00461455"/>
    <w:rsid w:val="0046190A"/>
    <w:rsid w:val="00461EA5"/>
    <w:rsid w:val="004655D6"/>
    <w:rsid w:val="00465E8F"/>
    <w:rsid w:val="004701C6"/>
    <w:rsid w:val="00471068"/>
    <w:rsid w:val="00473546"/>
    <w:rsid w:val="00477821"/>
    <w:rsid w:val="004804AC"/>
    <w:rsid w:val="00481950"/>
    <w:rsid w:val="00481F76"/>
    <w:rsid w:val="00482153"/>
    <w:rsid w:val="00482F73"/>
    <w:rsid w:val="00484751"/>
    <w:rsid w:val="00485514"/>
    <w:rsid w:val="00487894"/>
    <w:rsid w:val="00487BD7"/>
    <w:rsid w:val="00487D6E"/>
    <w:rsid w:val="00490060"/>
    <w:rsid w:val="00491AAF"/>
    <w:rsid w:val="00491C82"/>
    <w:rsid w:val="00492661"/>
    <w:rsid w:val="00492796"/>
    <w:rsid w:val="00494403"/>
    <w:rsid w:val="0049445D"/>
    <w:rsid w:val="00494722"/>
    <w:rsid w:val="00494AB3"/>
    <w:rsid w:val="004953F8"/>
    <w:rsid w:val="00495ACA"/>
    <w:rsid w:val="00496ECC"/>
    <w:rsid w:val="0049710B"/>
    <w:rsid w:val="0049748A"/>
    <w:rsid w:val="0049761C"/>
    <w:rsid w:val="004A07C0"/>
    <w:rsid w:val="004A1B95"/>
    <w:rsid w:val="004A2208"/>
    <w:rsid w:val="004A2BDD"/>
    <w:rsid w:val="004A4265"/>
    <w:rsid w:val="004A451B"/>
    <w:rsid w:val="004A4966"/>
    <w:rsid w:val="004A58CA"/>
    <w:rsid w:val="004A650F"/>
    <w:rsid w:val="004A7686"/>
    <w:rsid w:val="004B0C30"/>
    <w:rsid w:val="004B1074"/>
    <w:rsid w:val="004B329E"/>
    <w:rsid w:val="004B3E1A"/>
    <w:rsid w:val="004B4020"/>
    <w:rsid w:val="004B520A"/>
    <w:rsid w:val="004B67C6"/>
    <w:rsid w:val="004B71FB"/>
    <w:rsid w:val="004B77C4"/>
    <w:rsid w:val="004C1C5C"/>
    <w:rsid w:val="004C1D7F"/>
    <w:rsid w:val="004C5BD4"/>
    <w:rsid w:val="004C6250"/>
    <w:rsid w:val="004C672C"/>
    <w:rsid w:val="004C6D71"/>
    <w:rsid w:val="004C6ECC"/>
    <w:rsid w:val="004C7AFD"/>
    <w:rsid w:val="004C7BC2"/>
    <w:rsid w:val="004D0042"/>
    <w:rsid w:val="004D07B5"/>
    <w:rsid w:val="004D092C"/>
    <w:rsid w:val="004D1409"/>
    <w:rsid w:val="004D19B7"/>
    <w:rsid w:val="004D2EEF"/>
    <w:rsid w:val="004D2EF1"/>
    <w:rsid w:val="004D3540"/>
    <w:rsid w:val="004D4910"/>
    <w:rsid w:val="004D6435"/>
    <w:rsid w:val="004D7961"/>
    <w:rsid w:val="004E05FF"/>
    <w:rsid w:val="004E153A"/>
    <w:rsid w:val="004E165B"/>
    <w:rsid w:val="004E2300"/>
    <w:rsid w:val="004E247D"/>
    <w:rsid w:val="004E39B7"/>
    <w:rsid w:val="004E3BD0"/>
    <w:rsid w:val="004E4745"/>
    <w:rsid w:val="004E4C0D"/>
    <w:rsid w:val="004E4FE8"/>
    <w:rsid w:val="004E5E4C"/>
    <w:rsid w:val="004E6206"/>
    <w:rsid w:val="004E65D8"/>
    <w:rsid w:val="004E678C"/>
    <w:rsid w:val="004E7879"/>
    <w:rsid w:val="004E7C13"/>
    <w:rsid w:val="004F09EA"/>
    <w:rsid w:val="004F163B"/>
    <w:rsid w:val="004F1700"/>
    <w:rsid w:val="004F28DF"/>
    <w:rsid w:val="004F37AD"/>
    <w:rsid w:val="004F427D"/>
    <w:rsid w:val="004F4586"/>
    <w:rsid w:val="004F6C20"/>
    <w:rsid w:val="004F6E16"/>
    <w:rsid w:val="004F7512"/>
    <w:rsid w:val="004F7F5B"/>
    <w:rsid w:val="005026BE"/>
    <w:rsid w:val="00502EF0"/>
    <w:rsid w:val="005036A3"/>
    <w:rsid w:val="005044AB"/>
    <w:rsid w:val="00504FE9"/>
    <w:rsid w:val="005052E9"/>
    <w:rsid w:val="0050566A"/>
    <w:rsid w:val="005058D4"/>
    <w:rsid w:val="005066FD"/>
    <w:rsid w:val="00506D0B"/>
    <w:rsid w:val="00506ED2"/>
    <w:rsid w:val="00507471"/>
    <w:rsid w:val="00507F85"/>
    <w:rsid w:val="00510729"/>
    <w:rsid w:val="005114AB"/>
    <w:rsid w:val="005117A2"/>
    <w:rsid w:val="005126AC"/>
    <w:rsid w:val="0051356C"/>
    <w:rsid w:val="005135B5"/>
    <w:rsid w:val="00513A2E"/>
    <w:rsid w:val="00515B3D"/>
    <w:rsid w:val="00520F75"/>
    <w:rsid w:val="00521239"/>
    <w:rsid w:val="005215A9"/>
    <w:rsid w:val="00521829"/>
    <w:rsid w:val="0052355B"/>
    <w:rsid w:val="0052370B"/>
    <w:rsid w:val="00524030"/>
    <w:rsid w:val="005263F2"/>
    <w:rsid w:val="0053032F"/>
    <w:rsid w:val="00530AAF"/>
    <w:rsid w:val="00531F1E"/>
    <w:rsid w:val="00532AF4"/>
    <w:rsid w:val="0053329C"/>
    <w:rsid w:val="00533EE8"/>
    <w:rsid w:val="005347BA"/>
    <w:rsid w:val="00534B0E"/>
    <w:rsid w:val="005357E0"/>
    <w:rsid w:val="00535C4E"/>
    <w:rsid w:val="005363DC"/>
    <w:rsid w:val="00536473"/>
    <w:rsid w:val="005365FE"/>
    <w:rsid w:val="00536F44"/>
    <w:rsid w:val="005377B7"/>
    <w:rsid w:val="005425FA"/>
    <w:rsid w:val="005434F4"/>
    <w:rsid w:val="00543C9B"/>
    <w:rsid w:val="00545373"/>
    <w:rsid w:val="00546066"/>
    <w:rsid w:val="00547347"/>
    <w:rsid w:val="005507F5"/>
    <w:rsid w:val="005509C7"/>
    <w:rsid w:val="00550EB2"/>
    <w:rsid w:val="00553B5C"/>
    <w:rsid w:val="00554ED4"/>
    <w:rsid w:val="0055605B"/>
    <w:rsid w:val="00560859"/>
    <w:rsid w:val="00560BDC"/>
    <w:rsid w:val="00560C92"/>
    <w:rsid w:val="0056105B"/>
    <w:rsid w:val="00561E81"/>
    <w:rsid w:val="00563227"/>
    <w:rsid w:val="00563B9B"/>
    <w:rsid w:val="0056477C"/>
    <w:rsid w:val="0056543B"/>
    <w:rsid w:val="00565726"/>
    <w:rsid w:val="005664DA"/>
    <w:rsid w:val="00566CF3"/>
    <w:rsid w:val="005675B4"/>
    <w:rsid w:val="00567FC3"/>
    <w:rsid w:val="00571BB8"/>
    <w:rsid w:val="00571ED6"/>
    <w:rsid w:val="00572508"/>
    <w:rsid w:val="0057355A"/>
    <w:rsid w:val="00574059"/>
    <w:rsid w:val="00577939"/>
    <w:rsid w:val="005800B0"/>
    <w:rsid w:val="00582EEC"/>
    <w:rsid w:val="005840CA"/>
    <w:rsid w:val="00584765"/>
    <w:rsid w:val="00584C71"/>
    <w:rsid w:val="0058686A"/>
    <w:rsid w:val="00592613"/>
    <w:rsid w:val="005936CF"/>
    <w:rsid w:val="00595133"/>
    <w:rsid w:val="005A0A52"/>
    <w:rsid w:val="005A111B"/>
    <w:rsid w:val="005A114C"/>
    <w:rsid w:val="005A1344"/>
    <w:rsid w:val="005A1347"/>
    <w:rsid w:val="005A150D"/>
    <w:rsid w:val="005A33AF"/>
    <w:rsid w:val="005A34E0"/>
    <w:rsid w:val="005A5FFE"/>
    <w:rsid w:val="005A70BC"/>
    <w:rsid w:val="005A7432"/>
    <w:rsid w:val="005B1355"/>
    <w:rsid w:val="005B2933"/>
    <w:rsid w:val="005B2E1E"/>
    <w:rsid w:val="005B321D"/>
    <w:rsid w:val="005B41F7"/>
    <w:rsid w:val="005B445F"/>
    <w:rsid w:val="005B451D"/>
    <w:rsid w:val="005B65B6"/>
    <w:rsid w:val="005B7934"/>
    <w:rsid w:val="005B7E90"/>
    <w:rsid w:val="005B7EB9"/>
    <w:rsid w:val="005C27B5"/>
    <w:rsid w:val="005C3293"/>
    <w:rsid w:val="005C4A1C"/>
    <w:rsid w:val="005C5224"/>
    <w:rsid w:val="005C5C76"/>
    <w:rsid w:val="005C5E57"/>
    <w:rsid w:val="005C744F"/>
    <w:rsid w:val="005C75D9"/>
    <w:rsid w:val="005C7AB4"/>
    <w:rsid w:val="005D2180"/>
    <w:rsid w:val="005D23BA"/>
    <w:rsid w:val="005D269A"/>
    <w:rsid w:val="005D2CC6"/>
    <w:rsid w:val="005D30E4"/>
    <w:rsid w:val="005D3103"/>
    <w:rsid w:val="005D3CDF"/>
    <w:rsid w:val="005D5064"/>
    <w:rsid w:val="005D65AC"/>
    <w:rsid w:val="005D77E8"/>
    <w:rsid w:val="005E08F8"/>
    <w:rsid w:val="005E0F56"/>
    <w:rsid w:val="005E1830"/>
    <w:rsid w:val="005E3706"/>
    <w:rsid w:val="005E3B4C"/>
    <w:rsid w:val="005E44B9"/>
    <w:rsid w:val="005E4D3B"/>
    <w:rsid w:val="005E61F4"/>
    <w:rsid w:val="005E7EA1"/>
    <w:rsid w:val="005F0CBF"/>
    <w:rsid w:val="005F1D9A"/>
    <w:rsid w:val="005F3350"/>
    <w:rsid w:val="005F4F3C"/>
    <w:rsid w:val="005F50CB"/>
    <w:rsid w:val="00600D66"/>
    <w:rsid w:val="00600ED1"/>
    <w:rsid w:val="0060150B"/>
    <w:rsid w:val="00601F8C"/>
    <w:rsid w:val="00604688"/>
    <w:rsid w:val="00604E24"/>
    <w:rsid w:val="00605FB5"/>
    <w:rsid w:val="0061020E"/>
    <w:rsid w:val="006106DB"/>
    <w:rsid w:val="00610BC0"/>
    <w:rsid w:val="00611C40"/>
    <w:rsid w:val="00612C33"/>
    <w:rsid w:val="006137CE"/>
    <w:rsid w:val="0061538E"/>
    <w:rsid w:val="00616912"/>
    <w:rsid w:val="00617353"/>
    <w:rsid w:val="00617B48"/>
    <w:rsid w:val="006231A8"/>
    <w:rsid w:val="00623A07"/>
    <w:rsid w:val="0062469A"/>
    <w:rsid w:val="00625D99"/>
    <w:rsid w:val="00626AF3"/>
    <w:rsid w:val="00626DBC"/>
    <w:rsid w:val="00627672"/>
    <w:rsid w:val="006309FB"/>
    <w:rsid w:val="0063134D"/>
    <w:rsid w:val="00631A5D"/>
    <w:rsid w:val="00631FFF"/>
    <w:rsid w:val="00632670"/>
    <w:rsid w:val="00632D8F"/>
    <w:rsid w:val="00634B19"/>
    <w:rsid w:val="00634EC7"/>
    <w:rsid w:val="0063683B"/>
    <w:rsid w:val="00636E34"/>
    <w:rsid w:val="006428CF"/>
    <w:rsid w:val="00642E1C"/>
    <w:rsid w:val="00643175"/>
    <w:rsid w:val="00643609"/>
    <w:rsid w:val="00643AEF"/>
    <w:rsid w:val="00646DE7"/>
    <w:rsid w:val="00650BA7"/>
    <w:rsid w:val="006510D1"/>
    <w:rsid w:val="00651B40"/>
    <w:rsid w:val="0065334D"/>
    <w:rsid w:val="006540EC"/>
    <w:rsid w:val="006545C3"/>
    <w:rsid w:val="00656B3A"/>
    <w:rsid w:val="00657466"/>
    <w:rsid w:val="0066139A"/>
    <w:rsid w:val="0066166C"/>
    <w:rsid w:val="00661B63"/>
    <w:rsid w:val="00662FB9"/>
    <w:rsid w:val="006635E6"/>
    <w:rsid w:val="00664B31"/>
    <w:rsid w:val="00665AE7"/>
    <w:rsid w:val="00667B79"/>
    <w:rsid w:val="00671173"/>
    <w:rsid w:val="006714FC"/>
    <w:rsid w:val="006735F4"/>
    <w:rsid w:val="00674794"/>
    <w:rsid w:val="006747DC"/>
    <w:rsid w:val="0067509D"/>
    <w:rsid w:val="006753F7"/>
    <w:rsid w:val="00675959"/>
    <w:rsid w:val="00676C73"/>
    <w:rsid w:val="00684CA0"/>
    <w:rsid w:val="00685718"/>
    <w:rsid w:val="00685C16"/>
    <w:rsid w:val="0068674B"/>
    <w:rsid w:val="00686ABB"/>
    <w:rsid w:val="00687773"/>
    <w:rsid w:val="00690594"/>
    <w:rsid w:val="00690B05"/>
    <w:rsid w:val="006915F8"/>
    <w:rsid w:val="00691F32"/>
    <w:rsid w:val="00692081"/>
    <w:rsid w:val="006926B2"/>
    <w:rsid w:val="006939D1"/>
    <w:rsid w:val="00694326"/>
    <w:rsid w:val="00695B79"/>
    <w:rsid w:val="00695F3E"/>
    <w:rsid w:val="006963FE"/>
    <w:rsid w:val="00696BC0"/>
    <w:rsid w:val="00696DB3"/>
    <w:rsid w:val="00697B29"/>
    <w:rsid w:val="006A2B9F"/>
    <w:rsid w:val="006A2F9F"/>
    <w:rsid w:val="006A3BF2"/>
    <w:rsid w:val="006A3DC3"/>
    <w:rsid w:val="006A446B"/>
    <w:rsid w:val="006A62F5"/>
    <w:rsid w:val="006B0EAF"/>
    <w:rsid w:val="006B1A5D"/>
    <w:rsid w:val="006B1BAA"/>
    <w:rsid w:val="006B1D51"/>
    <w:rsid w:val="006B3500"/>
    <w:rsid w:val="006B3F52"/>
    <w:rsid w:val="006B4586"/>
    <w:rsid w:val="006B56CA"/>
    <w:rsid w:val="006B5E1F"/>
    <w:rsid w:val="006B5F3A"/>
    <w:rsid w:val="006C0B74"/>
    <w:rsid w:val="006C36B0"/>
    <w:rsid w:val="006C3E43"/>
    <w:rsid w:val="006C4F9D"/>
    <w:rsid w:val="006D1833"/>
    <w:rsid w:val="006D1CBA"/>
    <w:rsid w:val="006D2189"/>
    <w:rsid w:val="006D4457"/>
    <w:rsid w:val="006D4B59"/>
    <w:rsid w:val="006D6B80"/>
    <w:rsid w:val="006D7317"/>
    <w:rsid w:val="006E13B6"/>
    <w:rsid w:val="006E1989"/>
    <w:rsid w:val="006E1A00"/>
    <w:rsid w:val="006E2DE9"/>
    <w:rsid w:val="006E31C1"/>
    <w:rsid w:val="006E3CC8"/>
    <w:rsid w:val="006E41A2"/>
    <w:rsid w:val="006E4F8F"/>
    <w:rsid w:val="006E7CE6"/>
    <w:rsid w:val="006E7F76"/>
    <w:rsid w:val="006F22EF"/>
    <w:rsid w:val="006F2922"/>
    <w:rsid w:val="006F2A71"/>
    <w:rsid w:val="006F373C"/>
    <w:rsid w:val="006F4B6B"/>
    <w:rsid w:val="006F557F"/>
    <w:rsid w:val="006F56CD"/>
    <w:rsid w:val="006F5AEA"/>
    <w:rsid w:val="006F5C8E"/>
    <w:rsid w:val="006F5F81"/>
    <w:rsid w:val="006F6B84"/>
    <w:rsid w:val="006F6C27"/>
    <w:rsid w:val="006F6EBA"/>
    <w:rsid w:val="006F7B6E"/>
    <w:rsid w:val="00700199"/>
    <w:rsid w:val="00700DB5"/>
    <w:rsid w:val="00702266"/>
    <w:rsid w:val="007030E4"/>
    <w:rsid w:val="00704847"/>
    <w:rsid w:val="00705808"/>
    <w:rsid w:val="00707E5D"/>
    <w:rsid w:val="00707F3B"/>
    <w:rsid w:val="0071269E"/>
    <w:rsid w:val="00712C6B"/>
    <w:rsid w:val="00713DE5"/>
    <w:rsid w:val="00714433"/>
    <w:rsid w:val="007158F5"/>
    <w:rsid w:val="00717BCA"/>
    <w:rsid w:val="00720C06"/>
    <w:rsid w:val="00721154"/>
    <w:rsid w:val="00721C11"/>
    <w:rsid w:val="00722152"/>
    <w:rsid w:val="007222D1"/>
    <w:rsid w:val="00722DA8"/>
    <w:rsid w:val="007233C9"/>
    <w:rsid w:val="007242AA"/>
    <w:rsid w:val="00724368"/>
    <w:rsid w:val="00726A10"/>
    <w:rsid w:val="00730A9B"/>
    <w:rsid w:val="007318D5"/>
    <w:rsid w:val="00731E0A"/>
    <w:rsid w:val="007329CD"/>
    <w:rsid w:val="00736C82"/>
    <w:rsid w:val="00737092"/>
    <w:rsid w:val="00737F58"/>
    <w:rsid w:val="00740549"/>
    <w:rsid w:val="00741A9E"/>
    <w:rsid w:val="00741E8F"/>
    <w:rsid w:val="00743C3C"/>
    <w:rsid w:val="00744CA3"/>
    <w:rsid w:val="00744FDF"/>
    <w:rsid w:val="007455B9"/>
    <w:rsid w:val="0074643B"/>
    <w:rsid w:val="00746CC5"/>
    <w:rsid w:val="00746FA7"/>
    <w:rsid w:val="00747955"/>
    <w:rsid w:val="00750012"/>
    <w:rsid w:val="00750695"/>
    <w:rsid w:val="00751AEA"/>
    <w:rsid w:val="00751B94"/>
    <w:rsid w:val="00751E14"/>
    <w:rsid w:val="007528CA"/>
    <w:rsid w:val="00752ECB"/>
    <w:rsid w:val="0075367C"/>
    <w:rsid w:val="00753CC6"/>
    <w:rsid w:val="00753E97"/>
    <w:rsid w:val="00755522"/>
    <w:rsid w:val="00756018"/>
    <w:rsid w:val="007570F6"/>
    <w:rsid w:val="0076230B"/>
    <w:rsid w:val="00763756"/>
    <w:rsid w:val="007658E4"/>
    <w:rsid w:val="00765D91"/>
    <w:rsid w:val="00766BBA"/>
    <w:rsid w:val="00766EAD"/>
    <w:rsid w:val="00770A0F"/>
    <w:rsid w:val="00771E02"/>
    <w:rsid w:val="007728A0"/>
    <w:rsid w:val="00772D13"/>
    <w:rsid w:val="00773273"/>
    <w:rsid w:val="00773873"/>
    <w:rsid w:val="00774467"/>
    <w:rsid w:val="00774C3F"/>
    <w:rsid w:val="00774E7D"/>
    <w:rsid w:val="007755A6"/>
    <w:rsid w:val="007756A1"/>
    <w:rsid w:val="00775AC6"/>
    <w:rsid w:val="0077677B"/>
    <w:rsid w:val="007773B8"/>
    <w:rsid w:val="00777976"/>
    <w:rsid w:val="00777E78"/>
    <w:rsid w:val="0078059F"/>
    <w:rsid w:val="007805D7"/>
    <w:rsid w:val="00781AAA"/>
    <w:rsid w:val="00782B1E"/>
    <w:rsid w:val="00783455"/>
    <w:rsid w:val="007840EB"/>
    <w:rsid w:val="00784683"/>
    <w:rsid w:val="007857FE"/>
    <w:rsid w:val="00787C19"/>
    <w:rsid w:val="00790684"/>
    <w:rsid w:val="00791BF5"/>
    <w:rsid w:val="007933A9"/>
    <w:rsid w:val="00793E5A"/>
    <w:rsid w:val="00794AFC"/>
    <w:rsid w:val="00795120"/>
    <w:rsid w:val="00795BEC"/>
    <w:rsid w:val="007961F3"/>
    <w:rsid w:val="007964EE"/>
    <w:rsid w:val="007966E8"/>
    <w:rsid w:val="00797065"/>
    <w:rsid w:val="007A109B"/>
    <w:rsid w:val="007A198B"/>
    <w:rsid w:val="007A1D08"/>
    <w:rsid w:val="007A1F01"/>
    <w:rsid w:val="007A25F1"/>
    <w:rsid w:val="007A295F"/>
    <w:rsid w:val="007A39A3"/>
    <w:rsid w:val="007A41FA"/>
    <w:rsid w:val="007A4B8B"/>
    <w:rsid w:val="007A71D0"/>
    <w:rsid w:val="007A74B9"/>
    <w:rsid w:val="007A77AD"/>
    <w:rsid w:val="007A7B4A"/>
    <w:rsid w:val="007B08BE"/>
    <w:rsid w:val="007B30F0"/>
    <w:rsid w:val="007B5ABB"/>
    <w:rsid w:val="007B5E32"/>
    <w:rsid w:val="007B600D"/>
    <w:rsid w:val="007C238D"/>
    <w:rsid w:val="007C2A3C"/>
    <w:rsid w:val="007C2CF5"/>
    <w:rsid w:val="007C3B12"/>
    <w:rsid w:val="007C766F"/>
    <w:rsid w:val="007D07BF"/>
    <w:rsid w:val="007D0C7B"/>
    <w:rsid w:val="007D0CEA"/>
    <w:rsid w:val="007D16B6"/>
    <w:rsid w:val="007D229C"/>
    <w:rsid w:val="007D5D9B"/>
    <w:rsid w:val="007E0F93"/>
    <w:rsid w:val="007E2BD0"/>
    <w:rsid w:val="007E33FC"/>
    <w:rsid w:val="007E3673"/>
    <w:rsid w:val="007E4B7C"/>
    <w:rsid w:val="007E4E4B"/>
    <w:rsid w:val="007E506F"/>
    <w:rsid w:val="007E65C9"/>
    <w:rsid w:val="007E6F34"/>
    <w:rsid w:val="007E706D"/>
    <w:rsid w:val="007E709E"/>
    <w:rsid w:val="007E7202"/>
    <w:rsid w:val="007E746D"/>
    <w:rsid w:val="007E79AD"/>
    <w:rsid w:val="007F0CA8"/>
    <w:rsid w:val="007F13B5"/>
    <w:rsid w:val="007F15F6"/>
    <w:rsid w:val="007F4F39"/>
    <w:rsid w:val="007F51C1"/>
    <w:rsid w:val="007F6F3F"/>
    <w:rsid w:val="007F763F"/>
    <w:rsid w:val="007F7DA4"/>
    <w:rsid w:val="008004C4"/>
    <w:rsid w:val="00802021"/>
    <w:rsid w:val="008028FA"/>
    <w:rsid w:val="00804D41"/>
    <w:rsid w:val="00804F90"/>
    <w:rsid w:val="00806899"/>
    <w:rsid w:val="00812680"/>
    <w:rsid w:val="008135AF"/>
    <w:rsid w:val="008143C0"/>
    <w:rsid w:val="00814C29"/>
    <w:rsid w:val="00817591"/>
    <w:rsid w:val="008214AC"/>
    <w:rsid w:val="008216BF"/>
    <w:rsid w:val="008226CC"/>
    <w:rsid w:val="008229F0"/>
    <w:rsid w:val="008236A8"/>
    <w:rsid w:val="00823D47"/>
    <w:rsid w:val="00824423"/>
    <w:rsid w:val="008259DF"/>
    <w:rsid w:val="00826D3F"/>
    <w:rsid w:val="00826F94"/>
    <w:rsid w:val="0082731C"/>
    <w:rsid w:val="00827DCA"/>
    <w:rsid w:val="0083135D"/>
    <w:rsid w:val="008316FB"/>
    <w:rsid w:val="00831C2F"/>
    <w:rsid w:val="00831E46"/>
    <w:rsid w:val="00832E9F"/>
    <w:rsid w:val="00833ED0"/>
    <w:rsid w:val="00834700"/>
    <w:rsid w:val="008352B6"/>
    <w:rsid w:val="00835A39"/>
    <w:rsid w:val="008360DD"/>
    <w:rsid w:val="008409AA"/>
    <w:rsid w:val="00841666"/>
    <w:rsid w:val="0084241F"/>
    <w:rsid w:val="00842A68"/>
    <w:rsid w:val="00843442"/>
    <w:rsid w:val="008441A0"/>
    <w:rsid w:val="00844B6D"/>
    <w:rsid w:val="0084585A"/>
    <w:rsid w:val="00846852"/>
    <w:rsid w:val="00846BE6"/>
    <w:rsid w:val="00847269"/>
    <w:rsid w:val="00847BA0"/>
    <w:rsid w:val="00850504"/>
    <w:rsid w:val="00853633"/>
    <w:rsid w:val="00853A72"/>
    <w:rsid w:val="00854F26"/>
    <w:rsid w:val="00855550"/>
    <w:rsid w:val="008568E7"/>
    <w:rsid w:val="00857BEE"/>
    <w:rsid w:val="00860203"/>
    <w:rsid w:val="00860854"/>
    <w:rsid w:val="00860FDC"/>
    <w:rsid w:val="00865E76"/>
    <w:rsid w:val="00870C35"/>
    <w:rsid w:val="00870D1A"/>
    <w:rsid w:val="008720FB"/>
    <w:rsid w:val="008734C3"/>
    <w:rsid w:val="00874528"/>
    <w:rsid w:val="00874F65"/>
    <w:rsid w:val="00875EDC"/>
    <w:rsid w:val="0087671C"/>
    <w:rsid w:val="0087701B"/>
    <w:rsid w:val="00877F21"/>
    <w:rsid w:val="00880511"/>
    <w:rsid w:val="00880C2E"/>
    <w:rsid w:val="00880F0C"/>
    <w:rsid w:val="008819B0"/>
    <w:rsid w:val="008822AF"/>
    <w:rsid w:val="0088271A"/>
    <w:rsid w:val="0088280D"/>
    <w:rsid w:val="008838D6"/>
    <w:rsid w:val="008846AB"/>
    <w:rsid w:val="00885212"/>
    <w:rsid w:val="00885FCD"/>
    <w:rsid w:val="00886443"/>
    <w:rsid w:val="00887249"/>
    <w:rsid w:val="008912E3"/>
    <w:rsid w:val="00892CE8"/>
    <w:rsid w:val="008942BD"/>
    <w:rsid w:val="00896915"/>
    <w:rsid w:val="00896D06"/>
    <w:rsid w:val="00897C36"/>
    <w:rsid w:val="008A0C80"/>
    <w:rsid w:val="008A0FD5"/>
    <w:rsid w:val="008A291A"/>
    <w:rsid w:val="008A3045"/>
    <w:rsid w:val="008A35A0"/>
    <w:rsid w:val="008B101A"/>
    <w:rsid w:val="008B451E"/>
    <w:rsid w:val="008B488C"/>
    <w:rsid w:val="008B4E1A"/>
    <w:rsid w:val="008B4EAE"/>
    <w:rsid w:val="008B503C"/>
    <w:rsid w:val="008B6696"/>
    <w:rsid w:val="008B6A08"/>
    <w:rsid w:val="008B79D9"/>
    <w:rsid w:val="008C03E9"/>
    <w:rsid w:val="008C060E"/>
    <w:rsid w:val="008C0D03"/>
    <w:rsid w:val="008C0D36"/>
    <w:rsid w:val="008C1D05"/>
    <w:rsid w:val="008C22BE"/>
    <w:rsid w:val="008C482D"/>
    <w:rsid w:val="008C6F03"/>
    <w:rsid w:val="008C7E14"/>
    <w:rsid w:val="008D086E"/>
    <w:rsid w:val="008D0C3B"/>
    <w:rsid w:val="008D18B5"/>
    <w:rsid w:val="008D1D65"/>
    <w:rsid w:val="008D260A"/>
    <w:rsid w:val="008D3681"/>
    <w:rsid w:val="008D3F12"/>
    <w:rsid w:val="008D45B3"/>
    <w:rsid w:val="008D498D"/>
    <w:rsid w:val="008D4C10"/>
    <w:rsid w:val="008D5810"/>
    <w:rsid w:val="008E0288"/>
    <w:rsid w:val="008E133E"/>
    <w:rsid w:val="008E1D0F"/>
    <w:rsid w:val="008E225B"/>
    <w:rsid w:val="008E2DD3"/>
    <w:rsid w:val="008E38C7"/>
    <w:rsid w:val="008E39E1"/>
    <w:rsid w:val="008E4109"/>
    <w:rsid w:val="008E47B7"/>
    <w:rsid w:val="008E6477"/>
    <w:rsid w:val="008E6C9E"/>
    <w:rsid w:val="008E7348"/>
    <w:rsid w:val="008E78A0"/>
    <w:rsid w:val="008F0803"/>
    <w:rsid w:val="008F0D40"/>
    <w:rsid w:val="008F1F7E"/>
    <w:rsid w:val="008F22B3"/>
    <w:rsid w:val="008F2746"/>
    <w:rsid w:val="008F2BD0"/>
    <w:rsid w:val="008F3B87"/>
    <w:rsid w:val="008F3E6F"/>
    <w:rsid w:val="008F5CE9"/>
    <w:rsid w:val="0090069E"/>
    <w:rsid w:val="009021FE"/>
    <w:rsid w:val="00902B34"/>
    <w:rsid w:val="009048C7"/>
    <w:rsid w:val="009049C8"/>
    <w:rsid w:val="00904FA1"/>
    <w:rsid w:val="00905BF4"/>
    <w:rsid w:val="00905EFF"/>
    <w:rsid w:val="009063E9"/>
    <w:rsid w:val="00906A34"/>
    <w:rsid w:val="0090743C"/>
    <w:rsid w:val="00907C02"/>
    <w:rsid w:val="00910031"/>
    <w:rsid w:val="0091148B"/>
    <w:rsid w:val="0091207F"/>
    <w:rsid w:val="009120F7"/>
    <w:rsid w:val="0091265D"/>
    <w:rsid w:val="00915F29"/>
    <w:rsid w:val="0091774D"/>
    <w:rsid w:val="00920500"/>
    <w:rsid w:val="00920836"/>
    <w:rsid w:val="00920C15"/>
    <w:rsid w:val="00921E44"/>
    <w:rsid w:val="0092525B"/>
    <w:rsid w:val="009265D4"/>
    <w:rsid w:val="0092718F"/>
    <w:rsid w:val="00927A78"/>
    <w:rsid w:val="009304B2"/>
    <w:rsid w:val="00930C58"/>
    <w:rsid w:val="009310F6"/>
    <w:rsid w:val="00931611"/>
    <w:rsid w:val="009316E7"/>
    <w:rsid w:val="00934290"/>
    <w:rsid w:val="009344FA"/>
    <w:rsid w:val="00934CF7"/>
    <w:rsid w:val="00935593"/>
    <w:rsid w:val="009377C0"/>
    <w:rsid w:val="0094026C"/>
    <w:rsid w:val="0094080A"/>
    <w:rsid w:val="00941B21"/>
    <w:rsid w:val="00941F75"/>
    <w:rsid w:val="00946036"/>
    <w:rsid w:val="00947A41"/>
    <w:rsid w:val="00947F74"/>
    <w:rsid w:val="00952877"/>
    <w:rsid w:val="00954109"/>
    <w:rsid w:val="00954930"/>
    <w:rsid w:val="0095534D"/>
    <w:rsid w:val="009559E7"/>
    <w:rsid w:val="00955B75"/>
    <w:rsid w:val="00957727"/>
    <w:rsid w:val="00957A5E"/>
    <w:rsid w:val="009600C4"/>
    <w:rsid w:val="00962CD2"/>
    <w:rsid w:val="00963026"/>
    <w:rsid w:val="00963AD3"/>
    <w:rsid w:val="00963E4A"/>
    <w:rsid w:val="00963F04"/>
    <w:rsid w:val="00964823"/>
    <w:rsid w:val="009654D7"/>
    <w:rsid w:val="00966245"/>
    <w:rsid w:val="00967663"/>
    <w:rsid w:val="00970765"/>
    <w:rsid w:val="00970D62"/>
    <w:rsid w:val="00971E2A"/>
    <w:rsid w:val="00972279"/>
    <w:rsid w:val="00972A6B"/>
    <w:rsid w:val="0097485F"/>
    <w:rsid w:val="00974D27"/>
    <w:rsid w:val="00976C39"/>
    <w:rsid w:val="00977495"/>
    <w:rsid w:val="0097767A"/>
    <w:rsid w:val="00980041"/>
    <w:rsid w:val="00980BAD"/>
    <w:rsid w:val="00980CAA"/>
    <w:rsid w:val="009810A9"/>
    <w:rsid w:val="00981AB1"/>
    <w:rsid w:val="009839EB"/>
    <w:rsid w:val="00983E3B"/>
    <w:rsid w:val="00985257"/>
    <w:rsid w:val="0098546D"/>
    <w:rsid w:val="00985ACD"/>
    <w:rsid w:val="00986198"/>
    <w:rsid w:val="0098619D"/>
    <w:rsid w:val="00991153"/>
    <w:rsid w:val="00993A02"/>
    <w:rsid w:val="00993DD1"/>
    <w:rsid w:val="009948D5"/>
    <w:rsid w:val="00995663"/>
    <w:rsid w:val="0099732B"/>
    <w:rsid w:val="009977F8"/>
    <w:rsid w:val="00997CE6"/>
    <w:rsid w:val="009A159D"/>
    <w:rsid w:val="009A1EFD"/>
    <w:rsid w:val="009A2D95"/>
    <w:rsid w:val="009A3039"/>
    <w:rsid w:val="009A3EC5"/>
    <w:rsid w:val="009A4A6B"/>
    <w:rsid w:val="009A6071"/>
    <w:rsid w:val="009A625E"/>
    <w:rsid w:val="009A6C0C"/>
    <w:rsid w:val="009B11A8"/>
    <w:rsid w:val="009B27B3"/>
    <w:rsid w:val="009B36C9"/>
    <w:rsid w:val="009B423C"/>
    <w:rsid w:val="009B4E22"/>
    <w:rsid w:val="009B4FDD"/>
    <w:rsid w:val="009B7715"/>
    <w:rsid w:val="009C0B6A"/>
    <w:rsid w:val="009C3D96"/>
    <w:rsid w:val="009C509F"/>
    <w:rsid w:val="009C5922"/>
    <w:rsid w:val="009D50B0"/>
    <w:rsid w:val="009D61E5"/>
    <w:rsid w:val="009D66B9"/>
    <w:rsid w:val="009E0096"/>
    <w:rsid w:val="009E1643"/>
    <w:rsid w:val="009E19E0"/>
    <w:rsid w:val="009E2CD4"/>
    <w:rsid w:val="009E39FE"/>
    <w:rsid w:val="009E494A"/>
    <w:rsid w:val="009E6B26"/>
    <w:rsid w:val="009E74D8"/>
    <w:rsid w:val="009F0461"/>
    <w:rsid w:val="009F05A5"/>
    <w:rsid w:val="009F0DDA"/>
    <w:rsid w:val="009F13C7"/>
    <w:rsid w:val="009F234B"/>
    <w:rsid w:val="009F235B"/>
    <w:rsid w:val="009F3141"/>
    <w:rsid w:val="009F3267"/>
    <w:rsid w:val="009F3922"/>
    <w:rsid w:val="009F53DC"/>
    <w:rsid w:val="009F5516"/>
    <w:rsid w:val="009F5642"/>
    <w:rsid w:val="00A00642"/>
    <w:rsid w:val="00A00D4D"/>
    <w:rsid w:val="00A01A45"/>
    <w:rsid w:val="00A01B89"/>
    <w:rsid w:val="00A02903"/>
    <w:rsid w:val="00A0518A"/>
    <w:rsid w:val="00A05C7F"/>
    <w:rsid w:val="00A05E75"/>
    <w:rsid w:val="00A06793"/>
    <w:rsid w:val="00A072DA"/>
    <w:rsid w:val="00A079EB"/>
    <w:rsid w:val="00A10E7B"/>
    <w:rsid w:val="00A12B35"/>
    <w:rsid w:val="00A1344A"/>
    <w:rsid w:val="00A14214"/>
    <w:rsid w:val="00A14ADC"/>
    <w:rsid w:val="00A14DF0"/>
    <w:rsid w:val="00A160D4"/>
    <w:rsid w:val="00A161B9"/>
    <w:rsid w:val="00A167EB"/>
    <w:rsid w:val="00A16DAB"/>
    <w:rsid w:val="00A17CA2"/>
    <w:rsid w:val="00A17FAA"/>
    <w:rsid w:val="00A22D94"/>
    <w:rsid w:val="00A242BE"/>
    <w:rsid w:val="00A244CA"/>
    <w:rsid w:val="00A26026"/>
    <w:rsid w:val="00A2775A"/>
    <w:rsid w:val="00A27F55"/>
    <w:rsid w:val="00A3209C"/>
    <w:rsid w:val="00A33AEC"/>
    <w:rsid w:val="00A3414F"/>
    <w:rsid w:val="00A34493"/>
    <w:rsid w:val="00A34537"/>
    <w:rsid w:val="00A34568"/>
    <w:rsid w:val="00A35721"/>
    <w:rsid w:val="00A359AC"/>
    <w:rsid w:val="00A3665F"/>
    <w:rsid w:val="00A3698A"/>
    <w:rsid w:val="00A41EDA"/>
    <w:rsid w:val="00A423CD"/>
    <w:rsid w:val="00A43086"/>
    <w:rsid w:val="00A4372B"/>
    <w:rsid w:val="00A4462A"/>
    <w:rsid w:val="00A45EAE"/>
    <w:rsid w:val="00A461A2"/>
    <w:rsid w:val="00A47861"/>
    <w:rsid w:val="00A50F1F"/>
    <w:rsid w:val="00A510DB"/>
    <w:rsid w:val="00A516D3"/>
    <w:rsid w:val="00A52EC8"/>
    <w:rsid w:val="00A538E9"/>
    <w:rsid w:val="00A53BD4"/>
    <w:rsid w:val="00A5486E"/>
    <w:rsid w:val="00A551C8"/>
    <w:rsid w:val="00A57A82"/>
    <w:rsid w:val="00A57CB1"/>
    <w:rsid w:val="00A601A6"/>
    <w:rsid w:val="00A61FBD"/>
    <w:rsid w:val="00A622B0"/>
    <w:rsid w:val="00A663A6"/>
    <w:rsid w:val="00A679D8"/>
    <w:rsid w:val="00A67D25"/>
    <w:rsid w:val="00A71482"/>
    <w:rsid w:val="00A71B1A"/>
    <w:rsid w:val="00A72011"/>
    <w:rsid w:val="00A7449A"/>
    <w:rsid w:val="00A745D6"/>
    <w:rsid w:val="00A748D4"/>
    <w:rsid w:val="00A76555"/>
    <w:rsid w:val="00A76730"/>
    <w:rsid w:val="00A76CC3"/>
    <w:rsid w:val="00A824D2"/>
    <w:rsid w:val="00A82543"/>
    <w:rsid w:val="00A83F92"/>
    <w:rsid w:val="00A8433E"/>
    <w:rsid w:val="00A84940"/>
    <w:rsid w:val="00A84F92"/>
    <w:rsid w:val="00A85B10"/>
    <w:rsid w:val="00A85C87"/>
    <w:rsid w:val="00A867B4"/>
    <w:rsid w:val="00A87066"/>
    <w:rsid w:val="00A87372"/>
    <w:rsid w:val="00A87B53"/>
    <w:rsid w:val="00A90CF7"/>
    <w:rsid w:val="00A91C0C"/>
    <w:rsid w:val="00A926FB"/>
    <w:rsid w:val="00A93239"/>
    <w:rsid w:val="00A96A0B"/>
    <w:rsid w:val="00A97D45"/>
    <w:rsid w:val="00AA18B0"/>
    <w:rsid w:val="00AA38F4"/>
    <w:rsid w:val="00AA443C"/>
    <w:rsid w:val="00AA5972"/>
    <w:rsid w:val="00AA5E77"/>
    <w:rsid w:val="00AA5EA8"/>
    <w:rsid w:val="00AA7D8E"/>
    <w:rsid w:val="00AB08D9"/>
    <w:rsid w:val="00AB24A8"/>
    <w:rsid w:val="00AB2669"/>
    <w:rsid w:val="00AB361E"/>
    <w:rsid w:val="00AB45F3"/>
    <w:rsid w:val="00AB4AF2"/>
    <w:rsid w:val="00AB4D46"/>
    <w:rsid w:val="00AB5F85"/>
    <w:rsid w:val="00AB60A8"/>
    <w:rsid w:val="00AB6F3B"/>
    <w:rsid w:val="00AB761F"/>
    <w:rsid w:val="00AC52AC"/>
    <w:rsid w:val="00AC7332"/>
    <w:rsid w:val="00AD12CC"/>
    <w:rsid w:val="00AD1FAC"/>
    <w:rsid w:val="00AD2DFE"/>
    <w:rsid w:val="00AD2ED1"/>
    <w:rsid w:val="00AD53C1"/>
    <w:rsid w:val="00AD5D44"/>
    <w:rsid w:val="00AD5EF6"/>
    <w:rsid w:val="00AE00A8"/>
    <w:rsid w:val="00AE0A95"/>
    <w:rsid w:val="00AE0EE9"/>
    <w:rsid w:val="00AE14CB"/>
    <w:rsid w:val="00AE271A"/>
    <w:rsid w:val="00AE347D"/>
    <w:rsid w:val="00AE4F20"/>
    <w:rsid w:val="00AE5F88"/>
    <w:rsid w:val="00AE69F9"/>
    <w:rsid w:val="00AE7190"/>
    <w:rsid w:val="00AF1420"/>
    <w:rsid w:val="00AF2CE7"/>
    <w:rsid w:val="00AF2F03"/>
    <w:rsid w:val="00AF4359"/>
    <w:rsid w:val="00AF48E4"/>
    <w:rsid w:val="00AF4C72"/>
    <w:rsid w:val="00AF5944"/>
    <w:rsid w:val="00AF6292"/>
    <w:rsid w:val="00AF6A2B"/>
    <w:rsid w:val="00AF7E46"/>
    <w:rsid w:val="00B01305"/>
    <w:rsid w:val="00B02C99"/>
    <w:rsid w:val="00B03B26"/>
    <w:rsid w:val="00B0492A"/>
    <w:rsid w:val="00B05345"/>
    <w:rsid w:val="00B05CA4"/>
    <w:rsid w:val="00B06D82"/>
    <w:rsid w:val="00B0735E"/>
    <w:rsid w:val="00B0751D"/>
    <w:rsid w:val="00B07DF2"/>
    <w:rsid w:val="00B07F9A"/>
    <w:rsid w:val="00B10287"/>
    <w:rsid w:val="00B105A9"/>
    <w:rsid w:val="00B16107"/>
    <w:rsid w:val="00B17906"/>
    <w:rsid w:val="00B22F5E"/>
    <w:rsid w:val="00B25970"/>
    <w:rsid w:val="00B2659A"/>
    <w:rsid w:val="00B27251"/>
    <w:rsid w:val="00B31429"/>
    <w:rsid w:val="00B3263E"/>
    <w:rsid w:val="00B33BE4"/>
    <w:rsid w:val="00B34C9D"/>
    <w:rsid w:val="00B34E50"/>
    <w:rsid w:val="00B37AF6"/>
    <w:rsid w:val="00B40388"/>
    <w:rsid w:val="00B4215C"/>
    <w:rsid w:val="00B42467"/>
    <w:rsid w:val="00B427FB"/>
    <w:rsid w:val="00B430E3"/>
    <w:rsid w:val="00B44ADD"/>
    <w:rsid w:val="00B45E20"/>
    <w:rsid w:val="00B46ADD"/>
    <w:rsid w:val="00B47412"/>
    <w:rsid w:val="00B4748D"/>
    <w:rsid w:val="00B47EA3"/>
    <w:rsid w:val="00B50160"/>
    <w:rsid w:val="00B5103B"/>
    <w:rsid w:val="00B510DF"/>
    <w:rsid w:val="00B51718"/>
    <w:rsid w:val="00B52FA9"/>
    <w:rsid w:val="00B53682"/>
    <w:rsid w:val="00B565D5"/>
    <w:rsid w:val="00B6124B"/>
    <w:rsid w:val="00B6153C"/>
    <w:rsid w:val="00B61CCB"/>
    <w:rsid w:val="00B6200F"/>
    <w:rsid w:val="00B62A7E"/>
    <w:rsid w:val="00B62C4A"/>
    <w:rsid w:val="00B62F1E"/>
    <w:rsid w:val="00B65BC5"/>
    <w:rsid w:val="00B65F1B"/>
    <w:rsid w:val="00B6710B"/>
    <w:rsid w:val="00B67F5D"/>
    <w:rsid w:val="00B710A9"/>
    <w:rsid w:val="00B71D46"/>
    <w:rsid w:val="00B75311"/>
    <w:rsid w:val="00B75343"/>
    <w:rsid w:val="00B767F3"/>
    <w:rsid w:val="00B769A5"/>
    <w:rsid w:val="00B8137F"/>
    <w:rsid w:val="00B819E9"/>
    <w:rsid w:val="00B81F4B"/>
    <w:rsid w:val="00B82463"/>
    <w:rsid w:val="00B84A17"/>
    <w:rsid w:val="00B84C16"/>
    <w:rsid w:val="00B85F1E"/>
    <w:rsid w:val="00B8682E"/>
    <w:rsid w:val="00B86B59"/>
    <w:rsid w:val="00B872C2"/>
    <w:rsid w:val="00B90F6F"/>
    <w:rsid w:val="00B9185E"/>
    <w:rsid w:val="00B91EE0"/>
    <w:rsid w:val="00B91F54"/>
    <w:rsid w:val="00B9238B"/>
    <w:rsid w:val="00B92843"/>
    <w:rsid w:val="00B92A7B"/>
    <w:rsid w:val="00B9313E"/>
    <w:rsid w:val="00B933E4"/>
    <w:rsid w:val="00B9365A"/>
    <w:rsid w:val="00B937F2"/>
    <w:rsid w:val="00B951FC"/>
    <w:rsid w:val="00B9530A"/>
    <w:rsid w:val="00B95650"/>
    <w:rsid w:val="00B95BBE"/>
    <w:rsid w:val="00B95CDA"/>
    <w:rsid w:val="00B95F14"/>
    <w:rsid w:val="00B95F1E"/>
    <w:rsid w:val="00B971FC"/>
    <w:rsid w:val="00B97303"/>
    <w:rsid w:val="00B97334"/>
    <w:rsid w:val="00BA045C"/>
    <w:rsid w:val="00BA20DB"/>
    <w:rsid w:val="00BA2570"/>
    <w:rsid w:val="00BA33D9"/>
    <w:rsid w:val="00BA41C5"/>
    <w:rsid w:val="00BA513A"/>
    <w:rsid w:val="00BA5996"/>
    <w:rsid w:val="00BA672A"/>
    <w:rsid w:val="00BA7217"/>
    <w:rsid w:val="00BA7C73"/>
    <w:rsid w:val="00BB1DA1"/>
    <w:rsid w:val="00BB2D28"/>
    <w:rsid w:val="00BB2E38"/>
    <w:rsid w:val="00BB330F"/>
    <w:rsid w:val="00BB3C32"/>
    <w:rsid w:val="00BB4004"/>
    <w:rsid w:val="00BB41F5"/>
    <w:rsid w:val="00BB54FF"/>
    <w:rsid w:val="00BB61B4"/>
    <w:rsid w:val="00BB6EDF"/>
    <w:rsid w:val="00BB7B0D"/>
    <w:rsid w:val="00BC053F"/>
    <w:rsid w:val="00BC0D2F"/>
    <w:rsid w:val="00BC1691"/>
    <w:rsid w:val="00BC1A4E"/>
    <w:rsid w:val="00BC50CF"/>
    <w:rsid w:val="00BC5734"/>
    <w:rsid w:val="00BC7663"/>
    <w:rsid w:val="00BC79F3"/>
    <w:rsid w:val="00BC7F02"/>
    <w:rsid w:val="00BD0062"/>
    <w:rsid w:val="00BD0C31"/>
    <w:rsid w:val="00BD199C"/>
    <w:rsid w:val="00BD5672"/>
    <w:rsid w:val="00BD6532"/>
    <w:rsid w:val="00BD68A8"/>
    <w:rsid w:val="00BD6902"/>
    <w:rsid w:val="00BD6B32"/>
    <w:rsid w:val="00BE20CA"/>
    <w:rsid w:val="00BE2AF8"/>
    <w:rsid w:val="00BE4BCA"/>
    <w:rsid w:val="00BE5C7B"/>
    <w:rsid w:val="00BF25C8"/>
    <w:rsid w:val="00BF294D"/>
    <w:rsid w:val="00BF313A"/>
    <w:rsid w:val="00BF32F0"/>
    <w:rsid w:val="00BF5B9E"/>
    <w:rsid w:val="00BF6501"/>
    <w:rsid w:val="00BF6E90"/>
    <w:rsid w:val="00C00E9D"/>
    <w:rsid w:val="00C03E78"/>
    <w:rsid w:val="00C069B9"/>
    <w:rsid w:val="00C06D92"/>
    <w:rsid w:val="00C06FF5"/>
    <w:rsid w:val="00C07A1E"/>
    <w:rsid w:val="00C121B3"/>
    <w:rsid w:val="00C14213"/>
    <w:rsid w:val="00C14E6E"/>
    <w:rsid w:val="00C16BAB"/>
    <w:rsid w:val="00C20E09"/>
    <w:rsid w:val="00C214E3"/>
    <w:rsid w:val="00C22F4B"/>
    <w:rsid w:val="00C24FCD"/>
    <w:rsid w:val="00C2535C"/>
    <w:rsid w:val="00C257C9"/>
    <w:rsid w:val="00C25A26"/>
    <w:rsid w:val="00C25BD0"/>
    <w:rsid w:val="00C25BFC"/>
    <w:rsid w:val="00C25C18"/>
    <w:rsid w:val="00C26441"/>
    <w:rsid w:val="00C27EB1"/>
    <w:rsid w:val="00C329C9"/>
    <w:rsid w:val="00C36B1C"/>
    <w:rsid w:val="00C40FA9"/>
    <w:rsid w:val="00C4100C"/>
    <w:rsid w:val="00C4161F"/>
    <w:rsid w:val="00C424D4"/>
    <w:rsid w:val="00C4324B"/>
    <w:rsid w:val="00C44774"/>
    <w:rsid w:val="00C47412"/>
    <w:rsid w:val="00C52AB6"/>
    <w:rsid w:val="00C52B2D"/>
    <w:rsid w:val="00C53574"/>
    <w:rsid w:val="00C53C18"/>
    <w:rsid w:val="00C54D12"/>
    <w:rsid w:val="00C552BB"/>
    <w:rsid w:val="00C565E1"/>
    <w:rsid w:val="00C56F75"/>
    <w:rsid w:val="00C57055"/>
    <w:rsid w:val="00C572E9"/>
    <w:rsid w:val="00C57DDB"/>
    <w:rsid w:val="00C6237A"/>
    <w:rsid w:val="00C67CAB"/>
    <w:rsid w:val="00C7080E"/>
    <w:rsid w:val="00C70D5C"/>
    <w:rsid w:val="00C7117B"/>
    <w:rsid w:val="00C71373"/>
    <w:rsid w:val="00C716CB"/>
    <w:rsid w:val="00C7214F"/>
    <w:rsid w:val="00C72EE3"/>
    <w:rsid w:val="00C73255"/>
    <w:rsid w:val="00C74B62"/>
    <w:rsid w:val="00C75B01"/>
    <w:rsid w:val="00C8017A"/>
    <w:rsid w:val="00C822D0"/>
    <w:rsid w:val="00C822D8"/>
    <w:rsid w:val="00C826C2"/>
    <w:rsid w:val="00C838B8"/>
    <w:rsid w:val="00C8545C"/>
    <w:rsid w:val="00C855F2"/>
    <w:rsid w:val="00C869F5"/>
    <w:rsid w:val="00C92BAB"/>
    <w:rsid w:val="00C92C50"/>
    <w:rsid w:val="00C93379"/>
    <w:rsid w:val="00C933F6"/>
    <w:rsid w:val="00C94CBC"/>
    <w:rsid w:val="00C968CE"/>
    <w:rsid w:val="00C96A01"/>
    <w:rsid w:val="00CA20E1"/>
    <w:rsid w:val="00CA42A8"/>
    <w:rsid w:val="00CA4D19"/>
    <w:rsid w:val="00CA4DC8"/>
    <w:rsid w:val="00CA75A5"/>
    <w:rsid w:val="00CA7857"/>
    <w:rsid w:val="00CA7AC3"/>
    <w:rsid w:val="00CB153C"/>
    <w:rsid w:val="00CB1F9D"/>
    <w:rsid w:val="00CB345A"/>
    <w:rsid w:val="00CB4841"/>
    <w:rsid w:val="00CB4848"/>
    <w:rsid w:val="00CB4EC3"/>
    <w:rsid w:val="00CB6048"/>
    <w:rsid w:val="00CB60D8"/>
    <w:rsid w:val="00CB659C"/>
    <w:rsid w:val="00CB7CC8"/>
    <w:rsid w:val="00CC0597"/>
    <w:rsid w:val="00CC0A46"/>
    <w:rsid w:val="00CC0A86"/>
    <w:rsid w:val="00CC1490"/>
    <w:rsid w:val="00CC18EC"/>
    <w:rsid w:val="00CC1C89"/>
    <w:rsid w:val="00CC2FE9"/>
    <w:rsid w:val="00CC3169"/>
    <w:rsid w:val="00CC557F"/>
    <w:rsid w:val="00CC6B5E"/>
    <w:rsid w:val="00CD09D8"/>
    <w:rsid w:val="00CD2F22"/>
    <w:rsid w:val="00CD30D4"/>
    <w:rsid w:val="00CD38CD"/>
    <w:rsid w:val="00CD4A44"/>
    <w:rsid w:val="00CD4FC3"/>
    <w:rsid w:val="00CD5A88"/>
    <w:rsid w:val="00CD6484"/>
    <w:rsid w:val="00CD6E0D"/>
    <w:rsid w:val="00CE01DE"/>
    <w:rsid w:val="00CE02E6"/>
    <w:rsid w:val="00CE219D"/>
    <w:rsid w:val="00CE22CE"/>
    <w:rsid w:val="00CE2C29"/>
    <w:rsid w:val="00CE3452"/>
    <w:rsid w:val="00CE45CB"/>
    <w:rsid w:val="00CE7B57"/>
    <w:rsid w:val="00CF354D"/>
    <w:rsid w:val="00CF3C56"/>
    <w:rsid w:val="00CF41D8"/>
    <w:rsid w:val="00CF4914"/>
    <w:rsid w:val="00CF5463"/>
    <w:rsid w:val="00CF5B1E"/>
    <w:rsid w:val="00CF5E94"/>
    <w:rsid w:val="00CF665F"/>
    <w:rsid w:val="00CF6FF3"/>
    <w:rsid w:val="00D00E54"/>
    <w:rsid w:val="00D0190F"/>
    <w:rsid w:val="00D01F33"/>
    <w:rsid w:val="00D02286"/>
    <w:rsid w:val="00D05D85"/>
    <w:rsid w:val="00D07198"/>
    <w:rsid w:val="00D073BB"/>
    <w:rsid w:val="00D07E9F"/>
    <w:rsid w:val="00D10CBE"/>
    <w:rsid w:val="00D111F8"/>
    <w:rsid w:val="00D11318"/>
    <w:rsid w:val="00D11B42"/>
    <w:rsid w:val="00D12E68"/>
    <w:rsid w:val="00D136FF"/>
    <w:rsid w:val="00D13D6A"/>
    <w:rsid w:val="00D22CF1"/>
    <w:rsid w:val="00D234FF"/>
    <w:rsid w:val="00D23BCD"/>
    <w:rsid w:val="00D24EEA"/>
    <w:rsid w:val="00D25A83"/>
    <w:rsid w:val="00D27298"/>
    <w:rsid w:val="00D31591"/>
    <w:rsid w:val="00D319A4"/>
    <w:rsid w:val="00D31D01"/>
    <w:rsid w:val="00D323F7"/>
    <w:rsid w:val="00D32B69"/>
    <w:rsid w:val="00D32DCA"/>
    <w:rsid w:val="00D336BF"/>
    <w:rsid w:val="00D33C6E"/>
    <w:rsid w:val="00D355FE"/>
    <w:rsid w:val="00D3576B"/>
    <w:rsid w:val="00D36027"/>
    <w:rsid w:val="00D37131"/>
    <w:rsid w:val="00D37627"/>
    <w:rsid w:val="00D37968"/>
    <w:rsid w:val="00D41CB9"/>
    <w:rsid w:val="00D42965"/>
    <w:rsid w:val="00D42B76"/>
    <w:rsid w:val="00D42C51"/>
    <w:rsid w:val="00D43C47"/>
    <w:rsid w:val="00D44239"/>
    <w:rsid w:val="00D44570"/>
    <w:rsid w:val="00D44970"/>
    <w:rsid w:val="00D44CE4"/>
    <w:rsid w:val="00D453EF"/>
    <w:rsid w:val="00D45863"/>
    <w:rsid w:val="00D47D8D"/>
    <w:rsid w:val="00D50347"/>
    <w:rsid w:val="00D531F5"/>
    <w:rsid w:val="00D5394B"/>
    <w:rsid w:val="00D53956"/>
    <w:rsid w:val="00D53BD0"/>
    <w:rsid w:val="00D53BD5"/>
    <w:rsid w:val="00D53FDC"/>
    <w:rsid w:val="00D54068"/>
    <w:rsid w:val="00D54374"/>
    <w:rsid w:val="00D55562"/>
    <w:rsid w:val="00D57B89"/>
    <w:rsid w:val="00D61875"/>
    <w:rsid w:val="00D62A4B"/>
    <w:rsid w:val="00D6342C"/>
    <w:rsid w:val="00D6362C"/>
    <w:rsid w:val="00D64319"/>
    <w:rsid w:val="00D65E59"/>
    <w:rsid w:val="00D66A6A"/>
    <w:rsid w:val="00D7194C"/>
    <w:rsid w:val="00D71D7E"/>
    <w:rsid w:val="00D71DD6"/>
    <w:rsid w:val="00D741DE"/>
    <w:rsid w:val="00D762CA"/>
    <w:rsid w:val="00D817A9"/>
    <w:rsid w:val="00D838E1"/>
    <w:rsid w:val="00D8455F"/>
    <w:rsid w:val="00D849E9"/>
    <w:rsid w:val="00D85AD2"/>
    <w:rsid w:val="00D91988"/>
    <w:rsid w:val="00D946AE"/>
    <w:rsid w:val="00D94A65"/>
    <w:rsid w:val="00D95F95"/>
    <w:rsid w:val="00D963F7"/>
    <w:rsid w:val="00D9752C"/>
    <w:rsid w:val="00D97999"/>
    <w:rsid w:val="00DA0002"/>
    <w:rsid w:val="00DA2087"/>
    <w:rsid w:val="00DA22D0"/>
    <w:rsid w:val="00DA2C82"/>
    <w:rsid w:val="00DA2DD7"/>
    <w:rsid w:val="00DA45C4"/>
    <w:rsid w:val="00DA472B"/>
    <w:rsid w:val="00DA507C"/>
    <w:rsid w:val="00DA6496"/>
    <w:rsid w:val="00DA673C"/>
    <w:rsid w:val="00DA6DA1"/>
    <w:rsid w:val="00DA7DEA"/>
    <w:rsid w:val="00DB1825"/>
    <w:rsid w:val="00DB30B1"/>
    <w:rsid w:val="00DB383A"/>
    <w:rsid w:val="00DB5A55"/>
    <w:rsid w:val="00DB5BCA"/>
    <w:rsid w:val="00DB7044"/>
    <w:rsid w:val="00DC0203"/>
    <w:rsid w:val="00DC0E7A"/>
    <w:rsid w:val="00DC12C0"/>
    <w:rsid w:val="00DC1795"/>
    <w:rsid w:val="00DC1E31"/>
    <w:rsid w:val="00DC2960"/>
    <w:rsid w:val="00DC36EE"/>
    <w:rsid w:val="00DC3836"/>
    <w:rsid w:val="00DC3961"/>
    <w:rsid w:val="00DC5776"/>
    <w:rsid w:val="00DC5B65"/>
    <w:rsid w:val="00DC5E81"/>
    <w:rsid w:val="00DC6A2F"/>
    <w:rsid w:val="00DC7B3A"/>
    <w:rsid w:val="00DC7B3E"/>
    <w:rsid w:val="00DC7F7E"/>
    <w:rsid w:val="00DD0E35"/>
    <w:rsid w:val="00DD0E89"/>
    <w:rsid w:val="00DD1605"/>
    <w:rsid w:val="00DD2331"/>
    <w:rsid w:val="00DD3312"/>
    <w:rsid w:val="00DD34DF"/>
    <w:rsid w:val="00DD3710"/>
    <w:rsid w:val="00DD3B47"/>
    <w:rsid w:val="00DD5C17"/>
    <w:rsid w:val="00DD5F54"/>
    <w:rsid w:val="00DD6E62"/>
    <w:rsid w:val="00DE0C4C"/>
    <w:rsid w:val="00DE1A77"/>
    <w:rsid w:val="00DE1EC1"/>
    <w:rsid w:val="00DE3041"/>
    <w:rsid w:val="00DE42A8"/>
    <w:rsid w:val="00DE5954"/>
    <w:rsid w:val="00DE67DA"/>
    <w:rsid w:val="00DE6DFB"/>
    <w:rsid w:val="00DE7959"/>
    <w:rsid w:val="00DF0060"/>
    <w:rsid w:val="00DF0ABC"/>
    <w:rsid w:val="00DF0DA2"/>
    <w:rsid w:val="00DF1714"/>
    <w:rsid w:val="00DF2279"/>
    <w:rsid w:val="00DF25FB"/>
    <w:rsid w:val="00DF300A"/>
    <w:rsid w:val="00DF45BA"/>
    <w:rsid w:val="00DF4BB7"/>
    <w:rsid w:val="00DF4CE0"/>
    <w:rsid w:val="00DF51D2"/>
    <w:rsid w:val="00DF5DCE"/>
    <w:rsid w:val="00DF6686"/>
    <w:rsid w:val="00DF68FC"/>
    <w:rsid w:val="00DF726F"/>
    <w:rsid w:val="00DF7706"/>
    <w:rsid w:val="00DF7C36"/>
    <w:rsid w:val="00E00E94"/>
    <w:rsid w:val="00E00F3F"/>
    <w:rsid w:val="00E01745"/>
    <w:rsid w:val="00E027C3"/>
    <w:rsid w:val="00E041E3"/>
    <w:rsid w:val="00E045E9"/>
    <w:rsid w:val="00E067F8"/>
    <w:rsid w:val="00E06ECE"/>
    <w:rsid w:val="00E078A4"/>
    <w:rsid w:val="00E1082E"/>
    <w:rsid w:val="00E10DF3"/>
    <w:rsid w:val="00E1299B"/>
    <w:rsid w:val="00E12F11"/>
    <w:rsid w:val="00E141BA"/>
    <w:rsid w:val="00E16176"/>
    <w:rsid w:val="00E16C5B"/>
    <w:rsid w:val="00E20A3D"/>
    <w:rsid w:val="00E214D1"/>
    <w:rsid w:val="00E2266D"/>
    <w:rsid w:val="00E22790"/>
    <w:rsid w:val="00E25007"/>
    <w:rsid w:val="00E25425"/>
    <w:rsid w:val="00E26DEA"/>
    <w:rsid w:val="00E26E01"/>
    <w:rsid w:val="00E2736E"/>
    <w:rsid w:val="00E311AC"/>
    <w:rsid w:val="00E31284"/>
    <w:rsid w:val="00E31715"/>
    <w:rsid w:val="00E3652C"/>
    <w:rsid w:val="00E366A1"/>
    <w:rsid w:val="00E370BF"/>
    <w:rsid w:val="00E4107F"/>
    <w:rsid w:val="00E41214"/>
    <w:rsid w:val="00E42DE7"/>
    <w:rsid w:val="00E44B67"/>
    <w:rsid w:val="00E450B3"/>
    <w:rsid w:val="00E46039"/>
    <w:rsid w:val="00E46768"/>
    <w:rsid w:val="00E4738C"/>
    <w:rsid w:val="00E47E5C"/>
    <w:rsid w:val="00E50669"/>
    <w:rsid w:val="00E5132F"/>
    <w:rsid w:val="00E51752"/>
    <w:rsid w:val="00E51CF0"/>
    <w:rsid w:val="00E54BAB"/>
    <w:rsid w:val="00E54E33"/>
    <w:rsid w:val="00E56046"/>
    <w:rsid w:val="00E56C78"/>
    <w:rsid w:val="00E603DC"/>
    <w:rsid w:val="00E60402"/>
    <w:rsid w:val="00E60EEE"/>
    <w:rsid w:val="00E617A0"/>
    <w:rsid w:val="00E62613"/>
    <w:rsid w:val="00E62C36"/>
    <w:rsid w:val="00E63010"/>
    <w:rsid w:val="00E63551"/>
    <w:rsid w:val="00E6474D"/>
    <w:rsid w:val="00E65057"/>
    <w:rsid w:val="00E66E56"/>
    <w:rsid w:val="00E67C27"/>
    <w:rsid w:val="00E70536"/>
    <w:rsid w:val="00E70A86"/>
    <w:rsid w:val="00E712F9"/>
    <w:rsid w:val="00E71F65"/>
    <w:rsid w:val="00E764EE"/>
    <w:rsid w:val="00E76B4B"/>
    <w:rsid w:val="00E76FF4"/>
    <w:rsid w:val="00E76FFB"/>
    <w:rsid w:val="00E771B5"/>
    <w:rsid w:val="00E77547"/>
    <w:rsid w:val="00E805F7"/>
    <w:rsid w:val="00E82AAD"/>
    <w:rsid w:val="00E83191"/>
    <w:rsid w:val="00E836A8"/>
    <w:rsid w:val="00E841D1"/>
    <w:rsid w:val="00E84D6E"/>
    <w:rsid w:val="00E85B3D"/>
    <w:rsid w:val="00E9026D"/>
    <w:rsid w:val="00E90C96"/>
    <w:rsid w:val="00E91E12"/>
    <w:rsid w:val="00E929E5"/>
    <w:rsid w:val="00E930FC"/>
    <w:rsid w:val="00E952E1"/>
    <w:rsid w:val="00E96BBB"/>
    <w:rsid w:val="00E977BA"/>
    <w:rsid w:val="00E97CE8"/>
    <w:rsid w:val="00EA04B4"/>
    <w:rsid w:val="00EA0D57"/>
    <w:rsid w:val="00EA2757"/>
    <w:rsid w:val="00EA28DA"/>
    <w:rsid w:val="00EA3AEA"/>
    <w:rsid w:val="00EA3B22"/>
    <w:rsid w:val="00EA40AF"/>
    <w:rsid w:val="00EA4364"/>
    <w:rsid w:val="00EA49F7"/>
    <w:rsid w:val="00EA4AE0"/>
    <w:rsid w:val="00EA5E8C"/>
    <w:rsid w:val="00EA6799"/>
    <w:rsid w:val="00EA71E0"/>
    <w:rsid w:val="00EA7762"/>
    <w:rsid w:val="00EB05CC"/>
    <w:rsid w:val="00EB0734"/>
    <w:rsid w:val="00EB0D53"/>
    <w:rsid w:val="00EB0EDD"/>
    <w:rsid w:val="00EB2EE2"/>
    <w:rsid w:val="00EB2F51"/>
    <w:rsid w:val="00EB325F"/>
    <w:rsid w:val="00EB4111"/>
    <w:rsid w:val="00EB49A1"/>
    <w:rsid w:val="00EB5354"/>
    <w:rsid w:val="00EB67D5"/>
    <w:rsid w:val="00EB7080"/>
    <w:rsid w:val="00EB7D7A"/>
    <w:rsid w:val="00EB7ED3"/>
    <w:rsid w:val="00EB7F67"/>
    <w:rsid w:val="00EC024D"/>
    <w:rsid w:val="00EC1D97"/>
    <w:rsid w:val="00EC3259"/>
    <w:rsid w:val="00EC3817"/>
    <w:rsid w:val="00EC6C94"/>
    <w:rsid w:val="00EC70A3"/>
    <w:rsid w:val="00EC7466"/>
    <w:rsid w:val="00EC7B52"/>
    <w:rsid w:val="00EC7E31"/>
    <w:rsid w:val="00ED014B"/>
    <w:rsid w:val="00ED04A1"/>
    <w:rsid w:val="00ED188D"/>
    <w:rsid w:val="00ED2583"/>
    <w:rsid w:val="00ED4575"/>
    <w:rsid w:val="00ED47BC"/>
    <w:rsid w:val="00ED4BD7"/>
    <w:rsid w:val="00EE0D3E"/>
    <w:rsid w:val="00EE151C"/>
    <w:rsid w:val="00EE34A4"/>
    <w:rsid w:val="00EE58B7"/>
    <w:rsid w:val="00EE5C69"/>
    <w:rsid w:val="00EE657D"/>
    <w:rsid w:val="00EE6739"/>
    <w:rsid w:val="00EE773C"/>
    <w:rsid w:val="00EF0FFD"/>
    <w:rsid w:val="00EF1A58"/>
    <w:rsid w:val="00EF3854"/>
    <w:rsid w:val="00EF42F8"/>
    <w:rsid w:val="00EF53A8"/>
    <w:rsid w:val="00EF5C04"/>
    <w:rsid w:val="00EF5FA8"/>
    <w:rsid w:val="00EF79F4"/>
    <w:rsid w:val="00EF7E0B"/>
    <w:rsid w:val="00F02A64"/>
    <w:rsid w:val="00F02AB9"/>
    <w:rsid w:val="00F02F00"/>
    <w:rsid w:val="00F0381B"/>
    <w:rsid w:val="00F038B7"/>
    <w:rsid w:val="00F03BC4"/>
    <w:rsid w:val="00F047EF"/>
    <w:rsid w:val="00F0539D"/>
    <w:rsid w:val="00F057B9"/>
    <w:rsid w:val="00F05925"/>
    <w:rsid w:val="00F05FFE"/>
    <w:rsid w:val="00F07C36"/>
    <w:rsid w:val="00F07E79"/>
    <w:rsid w:val="00F07FE1"/>
    <w:rsid w:val="00F10521"/>
    <w:rsid w:val="00F115A3"/>
    <w:rsid w:val="00F12D97"/>
    <w:rsid w:val="00F142C4"/>
    <w:rsid w:val="00F14E19"/>
    <w:rsid w:val="00F1656A"/>
    <w:rsid w:val="00F16AED"/>
    <w:rsid w:val="00F16CFF"/>
    <w:rsid w:val="00F20F6C"/>
    <w:rsid w:val="00F237D1"/>
    <w:rsid w:val="00F24C04"/>
    <w:rsid w:val="00F3065A"/>
    <w:rsid w:val="00F30833"/>
    <w:rsid w:val="00F31B74"/>
    <w:rsid w:val="00F31C16"/>
    <w:rsid w:val="00F31C71"/>
    <w:rsid w:val="00F3382C"/>
    <w:rsid w:val="00F33F8F"/>
    <w:rsid w:val="00F33FD9"/>
    <w:rsid w:val="00F40206"/>
    <w:rsid w:val="00F4078F"/>
    <w:rsid w:val="00F40AC6"/>
    <w:rsid w:val="00F41D2C"/>
    <w:rsid w:val="00F42239"/>
    <w:rsid w:val="00F426B3"/>
    <w:rsid w:val="00F43281"/>
    <w:rsid w:val="00F450A9"/>
    <w:rsid w:val="00F4654E"/>
    <w:rsid w:val="00F46CF0"/>
    <w:rsid w:val="00F5202D"/>
    <w:rsid w:val="00F53984"/>
    <w:rsid w:val="00F54860"/>
    <w:rsid w:val="00F55DE5"/>
    <w:rsid w:val="00F611C0"/>
    <w:rsid w:val="00F64021"/>
    <w:rsid w:val="00F65F64"/>
    <w:rsid w:val="00F674F7"/>
    <w:rsid w:val="00F7256D"/>
    <w:rsid w:val="00F748B1"/>
    <w:rsid w:val="00F74C7A"/>
    <w:rsid w:val="00F74D47"/>
    <w:rsid w:val="00F74F1E"/>
    <w:rsid w:val="00F75241"/>
    <w:rsid w:val="00F76C2D"/>
    <w:rsid w:val="00F80F12"/>
    <w:rsid w:val="00F8195C"/>
    <w:rsid w:val="00F8375C"/>
    <w:rsid w:val="00F84382"/>
    <w:rsid w:val="00F845F1"/>
    <w:rsid w:val="00F84C06"/>
    <w:rsid w:val="00F84D1B"/>
    <w:rsid w:val="00F84E12"/>
    <w:rsid w:val="00F84E2E"/>
    <w:rsid w:val="00F86F70"/>
    <w:rsid w:val="00F87B67"/>
    <w:rsid w:val="00F920CE"/>
    <w:rsid w:val="00F9293D"/>
    <w:rsid w:val="00F93278"/>
    <w:rsid w:val="00F93DF6"/>
    <w:rsid w:val="00F94372"/>
    <w:rsid w:val="00F95869"/>
    <w:rsid w:val="00F9692A"/>
    <w:rsid w:val="00F96DDA"/>
    <w:rsid w:val="00F9730D"/>
    <w:rsid w:val="00F978E5"/>
    <w:rsid w:val="00F97A52"/>
    <w:rsid w:val="00FA10CB"/>
    <w:rsid w:val="00FA2526"/>
    <w:rsid w:val="00FA3B59"/>
    <w:rsid w:val="00FA6240"/>
    <w:rsid w:val="00FA6275"/>
    <w:rsid w:val="00FA684B"/>
    <w:rsid w:val="00FA6D40"/>
    <w:rsid w:val="00FB31BE"/>
    <w:rsid w:val="00FB46E2"/>
    <w:rsid w:val="00FB4FBD"/>
    <w:rsid w:val="00FB639A"/>
    <w:rsid w:val="00FB7CB3"/>
    <w:rsid w:val="00FC01C5"/>
    <w:rsid w:val="00FC060A"/>
    <w:rsid w:val="00FC0AD1"/>
    <w:rsid w:val="00FC2A2D"/>
    <w:rsid w:val="00FC3660"/>
    <w:rsid w:val="00FC36B7"/>
    <w:rsid w:val="00FC3A53"/>
    <w:rsid w:val="00FC3D8B"/>
    <w:rsid w:val="00FC53A7"/>
    <w:rsid w:val="00FC680B"/>
    <w:rsid w:val="00FC6E3B"/>
    <w:rsid w:val="00FC73ED"/>
    <w:rsid w:val="00FC7E80"/>
    <w:rsid w:val="00FD0161"/>
    <w:rsid w:val="00FD0672"/>
    <w:rsid w:val="00FD146E"/>
    <w:rsid w:val="00FD17CE"/>
    <w:rsid w:val="00FD1A97"/>
    <w:rsid w:val="00FD2101"/>
    <w:rsid w:val="00FD39E2"/>
    <w:rsid w:val="00FD5192"/>
    <w:rsid w:val="00FD7956"/>
    <w:rsid w:val="00FD7DC0"/>
    <w:rsid w:val="00FE0831"/>
    <w:rsid w:val="00FE09BF"/>
    <w:rsid w:val="00FE0EB2"/>
    <w:rsid w:val="00FE27C7"/>
    <w:rsid w:val="00FE4C61"/>
    <w:rsid w:val="00FE4ED4"/>
    <w:rsid w:val="00FE6060"/>
    <w:rsid w:val="00FE68E5"/>
    <w:rsid w:val="00FE6DFE"/>
    <w:rsid w:val="00FE7B64"/>
    <w:rsid w:val="00FF0EC5"/>
    <w:rsid w:val="00FF10E1"/>
    <w:rsid w:val="00FF166D"/>
    <w:rsid w:val="00FF2520"/>
    <w:rsid w:val="00FF2AF5"/>
    <w:rsid w:val="00FF638A"/>
    <w:rsid w:val="00FF68B6"/>
    <w:rsid w:val="021F2B02"/>
    <w:rsid w:val="04F4B164"/>
    <w:rsid w:val="06403F69"/>
    <w:rsid w:val="06E25D6D"/>
    <w:rsid w:val="076CAFF2"/>
    <w:rsid w:val="07C908D6"/>
    <w:rsid w:val="0832DDEB"/>
    <w:rsid w:val="0850015C"/>
    <w:rsid w:val="087EC546"/>
    <w:rsid w:val="091A2152"/>
    <w:rsid w:val="094BB0DA"/>
    <w:rsid w:val="094C787F"/>
    <w:rsid w:val="0A762442"/>
    <w:rsid w:val="0B44A468"/>
    <w:rsid w:val="0D8FA574"/>
    <w:rsid w:val="0DDAF557"/>
    <w:rsid w:val="0F5FC86A"/>
    <w:rsid w:val="0FC0C941"/>
    <w:rsid w:val="0FD44D8C"/>
    <w:rsid w:val="108AA174"/>
    <w:rsid w:val="10B07BB9"/>
    <w:rsid w:val="114D7A21"/>
    <w:rsid w:val="11EE2CCE"/>
    <w:rsid w:val="12520D96"/>
    <w:rsid w:val="12F4B570"/>
    <w:rsid w:val="13A3585D"/>
    <w:rsid w:val="13E09497"/>
    <w:rsid w:val="14BF209F"/>
    <w:rsid w:val="151160F3"/>
    <w:rsid w:val="153F28BE"/>
    <w:rsid w:val="158153B4"/>
    <w:rsid w:val="16C3FBD1"/>
    <w:rsid w:val="18A9ED25"/>
    <w:rsid w:val="19968CDB"/>
    <w:rsid w:val="19FB051B"/>
    <w:rsid w:val="1F563669"/>
    <w:rsid w:val="1F8462DB"/>
    <w:rsid w:val="1FFE794C"/>
    <w:rsid w:val="20422740"/>
    <w:rsid w:val="2051BBE8"/>
    <w:rsid w:val="209C628D"/>
    <w:rsid w:val="2173A51F"/>
    <w:rsid w:val="2221CA4F"/>
    <w:rsid w:val="22B515D5"/>
    <w:rsid w:val="22C94FA1"/>
    <w:rsid w:val="22D3FFAE"/>
    <w:rsid w:val="2412ACE2"/>
    <w:rsid w:val="24C3D6C6"/>
    <w:rsid w:val="24D3E333"/>
    <w:rsid w:val="24D84363"/>
    <w:rsid w:val="24F7C4B4"/>
    <w:rsid w:val="25E29E02"/>
    <w:rsid w:val="28748F36"/>
    <w:rsid w:val="28DFF7E2"/>
    <w:rsid w:val="297F4E7C"/>
    <w:rsid w:val="299E6B26"/>
    <w:rsid w:val="2ABEF8CA"/>
    <w:rsid w:val="2BEF2DAE"/>
    <w:rsid w:val="2CEB74A4"/>
    <w:rsid w:val="2D571021"/>
    <w:rsid w:val="2D9A0DD7"/>
    <w:rsid w:val="2E1DA347"/>
    <w:rsid w:val="2ED3F6A9"/>
    <w:rsid w:val="301E6128"/>
    <w:rsid w:val="30969DF4"/>
    <w:rsid w:val="30C5DADD"/>
    <w:rsid w:val="31C2F071"/>
    <w:rsid w:val="331E4437"/>
    <w:rsid w:val="332DEB77"/>
    <w:rsid w:val="33A7FF44"/>
    <w:rsid w:val="34A1810F"/>
    <w:rsid w:val="350923A7"/>
    <w:rsid w:val="37858265"/>
    <w:rsid w:val="37864CAE"/>
    <w:rsid w:val="37E0AC59"/>
    <w:rsid w:val="38174BA4"/>
    <w:rsid w:val="38A57891"/>
    <w:rsid w:val="3936EE53"/>
    <w:rsid w:val="3A1899D7"/>
    <w:rsid w:val="3ABDA59D"/>
    <w:rsid w:val="3AE8F1B9"/>
    <w:rsid w:val="3BB7A3B5"/>
    <w:rsid w:val="3D205071"/>
    <w:rsid w:val="3D6B08DC"/>
    <w:rsid w:val="3E9C9F81"/>
    <w:rsid w:val="3F2C1C0A"/>
    <w:rsid w:val="406EBBB0"/>
    <w:rsid w:val="42A84C70"/>
    <w:rsid w:val="43EC5006"/>
    <w:rsid w:val="45C9BCD1"/>
    <w:rsid w:val="47EF7B96"/>
    <w:rsid w:val="47FE238D"/>
    <w:rsid w:val="485033AF"/>
    <w:rsid w:val="49AEC7D6"/>
    <w:rsid w:val="4AEA443F"/>
    <w:rsid w:val="4BBEEA88"/>
    <w:rsid w:val="4BCCFE31"/>
    <w:rsid w:val="4BF240FE"/>
    <w:rsid w:val="4C6E4E04"/>
    <w:rsid w:val="4C7BFC0B"/>
    <w:rsid w:val="4CD19754"/>
    <w:rsid w:val="4E117378"/>
    <w:rsid w:val="4E3E4F81"/>
    <w:rsid w:val="4E5D8DA4"/>
    <w:rsid w:val="4EC8F650"/>
    <w:rsid w:val="4F48CB99"/>
    <w:rsid w:val="4F4DC0FC"/>
    <w:rsid w:val="4F9C6DA9"/>
    <w:rsid w:val="502E7AE3"/>
    <w:rsid w:val="50AEE7A4"/>
    <w:rsid w:val="50FACEFF"/>
    <w:rsid w:val="51601188"/>
    <w:rsid w:val="52530A32"/>
    <w:rsid w:val="541C3CBC"/>
    <w:rsid w:val="548E63FE"/>
    <w:rsid w:val="5527A590"/>
    <w:rsid w:val="5731D43D"/>
    <w:rsid w:val="57A77F8E"/>
    <w:rsid w:val="57F39716"/>
    <w:rsid w:val="58AC18B1"/>
    <w:rsid w:val="58B96211"/>
    <w:rsid w:val="59868076"/>
    <w:rsid w:val="5A2EC0B5"/>
    <w:rsid w:val="5A38BA5C"/>
    <w:rsid w:val="5A7AA810"/>
    <w:rsid w:val="5AA3AA7E"/>
    <w:rsid w:val="5ADC9143"/>
    <w:rsid w:val="5B8FB2BC"/>
    <w:rsid w:val="5BB58D01"/>
    <w:rsid w:val="5BC5FE8A"/>
    <w:rsid w:val="5BDA6B27"/>
    <w:rsid w:val="5C3C6965"/>
    <w:rsid w:val="5C5C06D8"/>
    <w:rsid w:val="5CAFA8E8"/>
    <w:rsid w:val="5CFB9043"/>
    <w:rsid w:val="5D3A936B"/>
    <w:rsid w:val="5E367534"/>
    <w:rsid w:val="5EEBF474"/>
    <w:rsid w:val="5F56B2F0"/>
    <w:rsid w:val="5F664571"/>
    <w:rsid w:val="6041DC26"/>
    <w:rsid w:val="6071CF00"/>
    <w:rsid w:val="61B2756D"/>
    <w:rsid w:val="61D6BC1B"/>
    <w:rsid w:val="62F02682"/>
    <w:rsid w:val="637C62DC"/>
    <w:rsid w:val="63AA4778"/>
    <w:rsid w:val="64E22700"/>
    <w:rsid w:val="651BB22C"/>
    <w:rsid w:val="66E11084"/>
    <w:rsid w:val="66FF2A33"/>
    <w:rsid w:val="6872FB21"/>
    <w:rsid w:val="68EE3DDE"/>
    <w:rsid w:val="6A906733"/>
    <w:rsid w:val="6C5A6406"/>
    <w:rsid w:val="6C823784"/>
    <w:rsid w:val="6D00DDDD"/>
    <w:rsid w:val="6D453D54"/>
    <w:rsid w:val="6D557C0C"/>
    <w:rsid w:val="6E2460D9"/>
    <w:rsid w:val="6E53BC3B"/>
    <w:rsid w:val="6E717724"/>
    <w:rsid w:val="6F916D50"/>
    <w:rsid w:val="6FED2EBC"/>
    <w:rsid w:val="70C4CAE3"/>
    <w:rsid w:val="70FE79C7"/>
    <w:rsid w:val="715B6A23"/>
    <w:rsid w:val="71A8806E"/>
    <w:rsid w:val="7273D86B"/>
    <w:rsid w:val="7445F49A"/>
    <w:rsid w:val="75630341"/>
    <w:rsid w:val="75F9C6AB"/>
    <w:rsid w:val="762FA58F"/>
    <w:rsid w:val="784BE2B1"/>
    <w:rsid w:val="7887EFFB"/>
    <w:rsid w:val="7A3DBC95"/>
    <w:rsid w:val="7C506F07"/>
    <w:rsid w:val="7C95FD6E"/>
    <w:rsid w:val="7CB44FCF"/>
    <w:rsid w:val="7D251550"/>
    <w:rsid w:val="7D8A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071F8FA"/>
  <w15:docId w15:val="{28C23358-1BE4-4FBB-A002-9C9DAB983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GB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96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ajorHAnsi" w:eastAsia="Times New Roman" w:hAnsiTheme="majorHAnsi"/>
      <w:sz w:val="22"/>
      <w:szCs w:val="24"/>
      <w:bdr w:val="none" w:sz="0" w:space="0" w:color="auto"/>
      <w:lang w:eastAsia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F25FB"/>
    <w:pPr>
      <w:keepNext/>
      <w:keepLines/>
      <w:spacing w:line="276" w:lineRule="auto"/>
      <w:outlineLvl w:val="0"/>
    </w:pPr>
    <w:rPr>
      <w:rFonts w:ascii="Arial" w:eastAsiaTheme="majorEastAsia" w:hAnsi="Arial" w:cs="Arial"/>
      <w:b/>
      <w:bCs/>
      <w:iCs/>
      <w:sz w:val="24"/>
      <w:szCs w:val="32"/>
      <w:u w:color="000000"/>
      <w:bdr w:val="nil"/>
      <w:lang w:eastAsia="en-US"/>
    </w:rPr>
  </w:style>
  <w:style w:type="paragraph" w:styleId="Heading2">
    <w:name w:val="heading 2"/>
    <w:next w:val="Body"/>
    <w:link w:val="Heading2Char"/>
    <w:uiPriority w:val="1"/>
    <w:qFormat/>
    <w:rsid w:val="00744CA3"/>
    <w:pPr>
      <w:keepNext/>
      <w:keepLines/>
      <w:spacing w:before="280" w:line="280" w:lineRule="exact"/>
      <w:outlineLvl w:val="1"/>
    </w:pPr>
    <w:rPr>
      <w:rFonts w:ascii="Arial" w:hAnsi="Arial" w:cs="Arial Unicode MS"/>
      <w:bCs/>
      <w:iCs/>
      <w:color w:val="1F4F69" w:themeColor="accent1" w:themeShade="80"/>
      <w:sz w:val="22"/>
      <w:szCs w:val="22"/>
      <w:u w:color="000000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A78"/>
    <w:pPr>
      <w:keepNext/>
      <w:keepLines/>
      <w:spacing w:before="40" w:line="259" w:lineRule="auto"/>
      <w:outlineLvl w:val="2"/>
    </w:pPr>
    <w:rPr>
      <w:rFonts w:eastAsiaTheme="majorEastAsia" w:cstheme="majorBidi"/>
      <w:color w:val="1F4E69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55F2"/>
    <w:pPr>
      <w:keepNext/>
      <w:keepLines/>
      <w:spacing w:before="40"/>
      <w:outlineLvl w:val="3"/>
    </w:pPr>
    <w:rPr>
      <w:rFonts w:eastAsiaTheme="majorEastAsia" w:cstheme="majorBidi"/>
      <w:i/>
      <w:iCs/>
      <w:color w:val="2F759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91988"/>
    <w:pPr>
      <w:keepNext/>
      <w:keepLines/>
      <w:spacing w:before="40"/>
      <w:outlineLvl w:val="4"/>
    </w:pPr>
    <w:rPr>
      <w:rFonts w:eastAsiaTheme="majorEastAsia" w:cstheme="majorBidi"/>
      <w:color w:val="2F759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4B3E1A"/>
    <w:rPr>
      <w:rFonts w:ascii="Arial" w:hAnsi="Arial"/>
      <w:sz w:val="22"/>
      <w:u w:val="single"/>
    </w:rPr>
  </w:style>
  <w:style w:type="paragraph" w:styleId="Header">
    <w:name w:val="header"/>
    <w:link w:val="HeaderChar"/>
    <w:uiPriority w:val="99"/>
    <w:pPr>
      <w:tabs>
        <w:tab w:val="center" w:pos="4320"/>
        <w:tab w:val="right" w:pos="8640"/>
      </w:tabs>
      <w:spacing w:after="280" w:line="280" w:lineRule="exact"/>
    </w:pPr>
    <w:rPr>
      <w:rFonts w:ascii="Calibri" w:hAnsi="Arial Unicode MS" w:cs="Arial Unicode MS"/>
      <w:color w:val="000000"/>
      <w:sz w:val="22"/>
      <w:szCs w:val="22"/>
      <w:u w:color="000000"/>
      <w:lang w:val="en-US"/>
    </w:rPr>
  </w:style>
  <w:style w:type="paragraph" w:styleId="Footer">
    <w:name w:val="footer"/>
    <w:link w:val="FooterChar"/>
    <w:uiPriority w:val="99"/>
    <w:pPr>
      <w:tabs>
        <w:tab w:val="center" w:pos="4593"/>
        <w:tab w:val="right" w:pos="9185"/>
      </w:tabs>
    </w:pPr>
    <w:rPr>
      <w:rFonts w:ascii="Calibri" w:hAnsi="Arial Unicode MS" w:cs="Arial Unicode MS"/>
      <w:color w:val="7F7F7F"/>
      <w:sz w:val="18"/>
      <w:szCs w:val="18"/>
      <w:u w:color="7F7F7F"/>
      <w:lang w:val="en-US"/>
    </w:rPr>
  </w:style>
  <w:style w:type="paragraph" w:customStyle="1" w:styleId="Addressing">
    <w:name w:val="Addressing"/>
    <w:pPr>
      <w:spacing w:line="280" w:lineRule="exact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Date">
    <w:name w:val="Date"/>
    <w:next w:val="Body"/>
    <w:link w:val="DateChar"/>
    <w:uiPriority w:val="99"/>
    <w:pPr>
      <w:spacing w:before="280" w:after="560" w:line="280" w:lineRule="exact"/>
    </w:pPr>
    <w:rPr>
      <w:rFonts w:ascii="Calibri" w:hAnsi="Arial Unicode MS" w:cs="Arial Unicode MS"/>
      <w:color w:val="000000"/>
      <w:sz w:val="22"/>
      <w:szCs w:val="22"/>
      <w:u w:color="000000"/>
      <w:lang w:val="en-US"/>
    </w:rPr>
  </w:style>
  <w:style w:type="paragraph" w:customStyle="1" w:styleId="Body">
    <w:name w:val="Body"/>
    <w:pPr>
      <w:spacing w:after="280" w:line="280" w:lineRule="exact"/>
    </w:pPr>
    <w:rPr>
      <w:rFonts w:ascii="Calibri" w:hAnsi="Arial Unicode MS" w:cs="Arial Unicode MS"/>
      <w:color w:val="000000"/>
      <w:sz w:val="22"/>
      <w:szCs w:val="22"/>
      <w:u w:color="000000"/>
      <w:lang w:val="en-US"/>
    </w:rPr>
  </w:style>
  <w:style w:type="paragraph" w:styleId="Title">
    <w:name w:val="Title"/>
    <w:next w:val="Body"/>
    <w:link w:val="TitleChar"/>
    <w:uiPriority w:val="10"/>
    <w:qFormat/>
    <w:pPr>
      <w:spacing w:before="280" w:after="280" w:line="280" w:lineRule="exact"/>
    </w:pPr>
    <w:rPr>
      <w:rFonts w:ascii="Calibri" w:eastAsia="Calibri" w:hAnsi="Calibri" w:cs="Calibri"/>
      <w:b/>
      <w:bCs/>
      <w:color w:val="000000"/>
      <w:sz w:val="24"/>
      <w:szCs w:val="24"/>
      <w:u w:color="000000"/>
      <w:lang w:val="en-US"/>
    </w:rPr>
  </w:style>
  <w:style w:type="paragraph" w:customStyle="1" w:styleId="Heading">
    <w:name w:val="Heading"/>
    <w:next w:val="Body"/>
    <w:pPr>
      <w:spacing w:before="280" w:line="280" w:lineRule="exact"/>
      <w:outlineLvl w:val="0"/>
    </w:pPr>
    <w:rPr>
      <w:rFonts w:ascii="Calibri" w:hAnsi="Arial Unicode MS" w:cs="Arial Unicode MS"/>
      <w:b/>
      <w:bCs/>
      <w:color w:val="000000"/>
      <w:sz w:val="22"/>
      <w:szCs w:val="22"/>
      <w:u w:color="000000"/>
      <w:lang w:val="en-US"/>
    </w:rPr>
  </w:style>
  <w:style w:type="paragraph" w:customStyle="1" w:styleId="BulletA">
    <w:name w:val="Bullet A"/>
    <w:pPr>
      <w:spacing w:after="280" w:line="280" w:lineRule="exact"/>
      <w:ind w:left="567" w:hanging="283"/>
    </w:pPr>
    <w:rPr>
      <w:rFonts w:ascii="Calibri" w:hAnsi="Arial Unicode MS" w:cs="Arial Unicode MS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NoList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F25FB"/>
    <w:rPr>
      <w:rFonts w:ascii="Arial" w:eastAsiaTheme="majorEastAsia" w:hAnsi="Arial" w:cs="Arial"/>
      <w:b/>
      <w:bCs/>
      <w:iCs/>
      <w:sz w:val="24"/>
      <w:szCs w:val="32"/>
      <w:u w:color="000000"/>
    </w:rPr>
  </w:style>
  <w:style w:type="character" w:customStyle="1" w:styleId="TitleChar">
    <w:name w:val="Title Char"/>
    <w:basedOn w:val="DefaultParagraphFont"/>
    <w:link w:val="Title"/>
    <w:uiPriority w:val="10"/>
    <w:rsid w:val="00F237D1"/>
    <w:rPr>
      <w:rFonts w:ascii="Calibri" w:eastAsia="Calibri" w:hAnsi="Calibri" w:cs="Calibri"/>
      <w:b/>
      <w:bCs/>
      <w:color w:val="000000"/>
      <w:sz w:val="24"/>
      <w:szCs w:val="24"/>
      <w:u w:color="000000"/>
      <w:lang w:val="en-US"/>
    </w:rPr>
  </w:style>
  <w:style w:type="paragraph" w:customStyle="1" w:styleId="Bullet">
    <w:name w:val="Bullet"/>
    <w:basedOn w:val="ListParagraph"/>
    <w:qFormat/>
    <w:rsid w:val="00F237D1"/>
    <w:pPr>
      <w:numPr>
        <w:numId w:val="2"/>
      </w:numPr>
      <w:autoSpaceDE w:val="0"/>
      <w:autoSpaceDN w:val="0"/>
      <w:adjustRightInd w:val="0"/>
      <w:spacing w:after="280" w:line="280" w:lineRule="exact"/>
      <w:contextualSpacing w:val="0"/>
    </w:pPr>
    <w:rPr>
      <w:rFonts w:asciiTheme="minorHAnsi" w:eastAsiaTheme="minorEastAsia" w:hAnsiTheme="minorHAnsi" w:cs="Times"/>
      <w:szCs w:val="2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F237D1"/>
    <w:rPr>
      <w:rFonts w:ascii="Calibri" w:hAnsi="Arial Unicode MS" w:cs="Arial Unicode MS"/>
      <w:color w:val="000000"/>
      <w:sz w:val="22"/>
      <w:szCs w:val="22"/>
      <w:u w:color="000000"/>
      <w:lang w:val="en-US"/>
    </w:rPr>
  </w:style>
  <w:style w:type="character" w:styleId="Strong">
    <w:name w:val="Strong"/>
    <w:basedOn w:val="DefaultParagraphFont"/>
    <w:uiPriority w:val="22"/>
    <w:qFormat/>
    <w:rsid w:val="002802B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237D1"/>
    <w:rPr>
      <w:i/>
      <w:iCs/>
    </w:rPr>
  </w:style>
  <w:style w:type="paragraph" w:styleId="ListParagraph">
    <w:name w:val="List Paragraph"/>
    <w:basedOn w:val="Normal"/>
    <w:link w:val="ListParagraphChar"/>
    <w:uiPriority w:val="34"/>
    <w:qFormat/>
    <w:rsid w:val="00F237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1E1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E14"/>
    <w:rPr>
      <w:rFonts w:ascii="Lucida Grande" w:hAnsi="Lucida Grande" w:cs="Lucida Grande"/>
      <w:sz w:val="18"/>
      <w:szCs w:val="18"/>
      <w:lang w:val="en-US"/>
    </w:rPr>
  </w:style>
  <w:style w:type="paragraph" w:styleId="BodyText">
    <w:name w:val="Body Text"/>
    <w:basedOn w:val="Normal"/>
    <w:link w:val="BodyTextChar"/>
    <w:rsid w:val="00C03E78"/>
    <w:pPr>
      <w:tabs>
        <w:tab w:val="right" w:pos="450"/>
      </w:tabs>
      <w:autoSpaceDE w:val="0"/>
      <w:autoSpaceDN w:val="0"/>
      <w:jc w:val="both"/>
    </w:pPr>
    <w:rPr>
      <w:rFonts w:ascii="Times New Roman" w:hAnsi="Times New Roman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C03E78"/>
    <w:rPr>
      <w:rFonts w:eastAsia="Times New Roman"/>
      <w:szCs w:val="24"/>
      <w:bdr w:val="none" w:sz="0" w:space="0" w:color="auto"/>
      <w:lang w:val="en-US" w:eastAsia="ar-SA"/>
    </w:rPr>
  </w:style>
  <w:style w:type="table" w:styleId="TableGrid">
    <w:name w:val="Table Grid"/>
    <w:basedOn w:val="TableNormal"/>
    <w:uiPriority w:val="39"/>
    <w:rsid w:val="00C03E7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bdr w:val="none" w:sz="0" w:space="0" w:color="auto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33A78"/>
    <w:rPr>
      <w:rFonts w:asciiTheme="majorHAnsi" w:eastAsiaTheme="majorEastAsia" w:hAnsiTheme="majorHAnsi" w:cstheme="majorBidi"/>
      <w:color w:val="1F4E69" w:themeColor="accent1" w:themeShade="7F"/>
      <w:sz w:val="24"/>
      <w:szCs w:val="24"/>
      <w:bdr w:val="none" w:sz="0" w:space="0" w:color="auto"/>
      <w:lang w:val="en-US"/>
    </w:rPr>
  </w:style>
  <w:style w:type="paragraph" w:customStyle="1" w:styleId="Default">
    <w:name w:val="Default"/>
    <w:rsid w:val="00233A7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bdr w:val="none" w:sz="0" w:space="0" w:color="auto"/>
      <w:lang w:val="en-US"/>
    </w:rPr>
  </w:style>
  <w:style w:type="paragraph" w:customStyle="1" w:styleId="BodyTextNumbered">
    <w:name w:val="Body Text Numbered"/>
    <w:basedOn w:val="Normal"/>
    <w:rsid w:val="00233A78"/>
    <w:pPr>
      <w:numPr>
        <w:numId w:val="3"/>
      </w:numPr>
      <w:spacing w:line="276" w:lineRule="auto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printlink1">
    <w:name w:val="printlink1"/>
    <w:basedOn w:val="DefaultParagraphFont"/>
    <w:rsid w:val="00233A78"/>
    <w:rPr>
      <w:vanish/>
      <w:webHidden w:val="0"/>
      <w:specVanish w:val="0"/>
    </w:rPr>
  </w:style>
  <w:style w:type="paragraph" w:customStyle="1" w:styleId="CM45">
    <w:name w:val="CM45"/>
    <w:basedOn w:val="Default"/>
    <w:next w:val="Default"/>
    <w:uiPriority w:val="99"/>
    <w:rsid w:val="00233A78"/>
    <w:rPr>
      <w:color w:val="auto"/>
      <w:lang w:val="en-GB"/>
    </w:rPr>
  </w:style>
  <w:style w:type="paragraph" w:styleId="BlockText">
    <w:name w:val="Block Text"/>
    <w:basedOn w:val="Normal"/>
    <w:link w:val="BlockTextChar"/>
    <w:qFormat/>
    <w:rsid w:val="00233A78"/>
    <w:pPr>
      <w:spacing w:line="246" w:lineRule="atLeast"/>
      <w:jc w:val="both"/>
    </w:pPr>
    <w:rPr>
      <w:rFonts w:ascii="Times New Roman" w:eastAsiaTheme="minorEastAsia" w:hAnsi="Times New Roman" w:cstheme="minorBidi"/>
      <w:iCs/>
      <w:sz w:val="24"/>
    </w:rPr>
  </w:style>
  <w:style w:type="character" w:customStyle="1" w:styleId="BlockTextChar">
    <w:name w:val="Block Text Char"/>
    <w:basedOn w:val="DefaultParagraphFont"/>
    <w:link w:val="BlockText"/>
    <w:rsid w:val="00233A78"/>
    <w:rPr>
      <w:rFonts w:eastAsiaTheme="minorEastAsia" w:cstheme="minorBidi"/>
      <w:iCs/>
      <w:sz w:val="24"/>
      <w:szCs w:val="24"/>
      <w:bdr w:val="none" w:sz="0" w:space="0" w:color="auto"/>
      <w:lang w:val="en-US"/>
    </w:rPr>
  </w:style>
  <w:style w:type="paragraph" w:customStyle="1" w:styleId="list1">
    <w:name w:val="list 1"/>
    <w:basedOn w:val="Normal"/>
    <w:rsid w:val="00233A78"/>
    <w:pPr>
      <w:spacing w:line="246" w:lineRule="atLeast"/>
      <w:ind w:left="720" w:hanging="720"/>
      <w:jc w:val="both"/>
    </w:pPr>
    <w:rPr>
      <w:rFonts w:ascii="Times New Roman" w:eastAsiaTheme="minorHAnsi" w:hAnsi="Times New Roman" w:cstheme="minorBidi"/>
      <w:sz w:val="24"/>
    </w:rPr>
  </w:style>
  <w:style w:type="paragraph" w:customStyle="1" w:styleId="Style2">
    <w:name w:val="Style2"/>
    <w:basedOn w:val="Heading2"/>
    <w:link w:val="Style2Char"/>
    <w:qFormat/>
    <w:rsid w:val="00233A78"/>
    <w:rPr>
      <w:rFonts w:asciiTheme="majorBidi" w:hAnsiTheme="majorBidi"/>
    </w:rPr>
  </w:style>
  <w:style w:type="paragraph" w:styleId="TOCHeading">
    <w:name w:val="TOC Heading"/>
    <w:basedOn w:val="Heading1"/>
    <w:next w:val="Normal"/>
    <w:uiPriority w:val="39"/>
    <w:unhideWhenUsed/>
    <w:qFormat/>
    <w:rsid w:val="00CC557F"/>
    <w:pPr>
      <w:outlineLvl w:val="9"/>
    </w:pPr>
    <w:rPr>
      <w:b w:val="0"/>
      <w:bCs w:val="0"/>
    </w:rPr>
  </w:style>
  <w:style w:type="character" w:customStyle="1" w:styleId="Heading2Char">
    <w:name w:val="Heading 2 Char"/>
    <w:basedOn w:val="DefaultParagraphFont"/>
    <w:link w:val="Heading2"/>
    <w:uiPriority w:val="1"/>
    <w:rsid w:val="00744CA3"/>
    <w:rPr>
      <w:rFonts w:ascii="Arial" w:hAnsi="Arial" w:cs="Arial Unicode MS"/>
      <w:bCs/>
      <w:iCs/>
      <w:color w:val="1F4F69" w:themeColor="accent1" w:themeShade="80"/>
      <w:sz w:val="22"/>
      <w:szCs w:val="22"/>
      <w:u w:color="000000"/>
      <w:lang w:val="en-US"/>
    </w:rPr>
  </w:style>
  <w:style w:type="character" w:customStyle="1" w:styleId="Style2Char">
    <w:name w:val="Style2 Char"/>
    <w:basedOn w:val="Heading2Char"/>
    <w:link w:val="Style2"/>
    <w:rsid w:val="00233A78"/>
    <w:rPr>
      <w:rFonts w:asciiTheme="majorBidi" w:hAnsiTheme="majorBidi" w:cs="Arial Unicode MS"/>
      <w:b w:val="0"/>
      <w:bCs/>
      <w:i w:val="0"/>
      <w:iCs/>
      <w:color w:val="000000"/>
      <w:sz w:val="22"/>
      <w:szCs w:val="22"/>
      <w:u w:color="00000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33CB2"/>
    <w:pPr>
      <w:tabs>
        <w:tab w:val="right" w:leader="dot" w:pos="9730"/>
      </w:tabs>
      <w:spacing w:line="48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D71D7E"/>
    <w:pPr>
      <w:tabs>
        <w:tab w:val="right" w:leader="dot" w:pos="9730"/>
      </w:tabs>
    </w:pPr>
  </w:style>
  <w:style w:type="paragraph" w:customStyle="1" w:styleId="Style3">
    <w:name w:val="Style3"/>
    <w:basedOn w:val="CM45"/>
    <w:rsid w:val="00BA045C"/>
    <w:pPr>
      <w:jc w:val="both"/>
    </w:pPr>
    <w:rPr>
      <w:rFonts w:asciiTheme="majorBidi" w:hAnsiTheme="majorBidi"/>
      <w:b/>
      <w:bCs/>
      <w:color w:val="00000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F763F"/>
    <w:pPr>
      <w:ind w:left="440"/>
    </w:pPr>
  </w:style>
  <w:style w:type="paragraph" w:customStyle="1" w:styleId="UK12Block05">
    <w:name w:val="UK12 Block 0.5"/>
    <w:basedOn w:val="Normal"/>
    <w:rsid w:val="00BF32F0"/>
    <w:pPr>
      <w:spacing w:line="246" w:lineRule="atLeast"/>
      <w:ind w:left="720"/>
      <w:jc w:val="both"/>
    </w:pPr>
    <w:rPr>
      <w:rFonts w:ascii="Times New Roman" w:hAnsi="Times New Roman"/>
      <w:sz w:val="24"/>
      <w:szCs w:val="20"/>
    </w:rPr>
  </w:style>
  <w:style w:type="paragraph" w:customStyle="1" w:styleId="BodyTextJ">
    <w:name w:val="Body Text J"/>
    <w:basedOn w:val="BodyText"/>
    <w:link w:val="BodyTextJChar"/>
    <w:qFormat/>
    <w:rsid w:val="00BF32F0"/>
    <w:pPr>
      <w:tabs>
        <w:tab w:val="clear" w:pos="450"/>
      </w:tabs>
      <w:autoSpaceDE/>
      <w:autoSpaceDN/>
      <w:spacing w:after="240"/>
      <w:ind w:left="720"/>
    </w:pPr>
    <w:rPr>
      <w:rFonts w:eastAsiaTheme="minorHAnsi" w:cstheme="minorBidi"/>
      <w:sz w:val="24"/>
    </w:rPr>
  </w:style>
  <w:style w:type="character" w:customStyle="1" w:styleId="BodyTextJChar">
    <w:name w:val="Body Text J Char"/>
    <w:basedOn w:val="BodyTextChar"/>
    <w:link w:val="BodyTextJ"/>
    <w:rsid w:val="00BF32F0"/>
    <w:rPr>
      <w:rFonts w:eastAsiaTheme="minorHAnsi" w:cstheme="minorBidi"/>
      <w:sz w:val="24"/>
      <w:szCs w:val="24"/>
      <w:bdr w:val="none" w:sz="0" w:space="0" w:color="auto"/>
      <w:lang w:val="en-US"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4531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531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5311F"/>
    <w:rPr>
      <w:rFonts w:asciiTheme="majorHAnsi" w:hAnsiTheme="majorHAnsi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31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311F"/>
    <w:rPr>
      <w:rFonts w:asciiTheme="majorHAnsi" w:hAnsiTheme="majorHAnsi"/>
      <w:b/>
      <w:bCs/>
      <w:lang w:val="en-US"/>
    </w:rPr>
  </w:style>
  <w:style w:type="paragraph" w:customStyle="1" w:styleId="TableText">
    <w:name w:val="Table Text"/>
    <w:basedOn w:val="Normal"/>
    <w:qFormat/>
    <w:rsid w:val="0049748A"/>
    <w:pPr>
      <w:spacing w:before="50" w:after="50"/>
      <w:ind w:left="113"/>
      <w:jc w:val="both"/>
    </w:pPr>
    <w:rPr>
      <w:rFonts w:asciiTheme="minorHAnsi" w:hAnsiTheme="minorHAnsi" w:cstheme="minorBidi"/>
      <w:color w:val="000000"/>
      <w:sz w:val="20"/>
      <w:szCs w:val="18"/>
    </w:rPr>
  </w:style>
  <w:style w:type="table" w:styleId="TableGridLight">
    <w:name w:val="Grid Table Light"/>
    <w:basedOn w:val="TableNormal"/>
    <w:uiPriority w:val="99"/>
    <w:rsid w:val="000370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4"/>
      <w:szCs w:val="24"/>
      <w:bdr w:val="none" w:sz="0" w:space="0" w:color="auto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855F2"/>
    <w:rPr>
      <w:rFonts w:asciiTheme="majorHAnsi" w:eastAsiaTheme="majorEastAsia" w:hAnsiTheme="majorHAnsi" w:cstheme="majorBidi"/>
      <w:i/>
      <w:iCs/>
      <w:color w:val="2F759E" w:themeColor="accent1" w:themeShade="BF"/>
      <w:sz w:val="22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D91988"/>
    <w:rPr>
      <w:rFonts w:asciiTheme="majorHAnsi" w:eastAsiaTheme="majorEastAsia" w:hAnsiTheme="majorHAnsi" w:cstheme="majorBidi"/>
      <w:color w:val="2F759E" w:themeColor="accent1" w:themeShade="BF"/>
      <w:sz w:val="22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632D8F"/>
    <w:rPr>
      <w:rFonts w:ascii="Times New Roman" w:hAnsi="Times New Roman"/>
      <w:sz w:val="24"/>
    </w:rPr>
  </w:style>
  <w:style w:type="character" w:customStyle="1" w:styleId="cosearchterm10">
    <w:name w:val="co_searchterm10"/>
    <w:basedOn w:val="DefaultParagraphFont"/>
    <w:rsid w:val="00E4107F"/>
    <w:rPr>
      <w:b/>
      <w:bCs/>
      <w:color w:val="252525"/>
    </w:rPr>
  </w:style>
  <w:style w:type="character" w:styleId="FollowedHyperlink">
    <w:name w:val="FollowedHyperlink"/>
    <w:basedOn w:val="DefaultParagraphFont"/>
    <w:uiPriority w:val="99"/>
    <w:semiHidden/>
    <w:unhideWhenUsed/>
    <w:rsid w:val="00565726"/>
    <w:rPr>
      <w:color w:val="FF00FF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540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40EC"/>
    <w:rPr>
      <w:rFonts w:asciiTheme="majorHAnsi" w:eastAsia="Times New Roman" w:hAnsiTheme="majorHAnsi"/>
      <w:bdr w:val="none" w:sz="0" w:space="0" w:color="auto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6540EC"/>
    <w:rPr>
      <w:vertAlign w:val="superscript"/>
    </w:rPr>
  </w:style>
  <w:style w:type="paragraph" w:styleId="Revision">
    <w:name w:val="Revision"/>
    <w:hidden/>
    <w:uiPriority w:val="99"/>
    <w:semiHidden/>
    <w:rsid w:val="00335C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ajorHAnsi" w:eastAsia="Times New Roman" w:hAnsiTheme="majorHAnsi"/>
      <w:sz w:val="22"/>
      <w:szCs w:val="24"/>
      <w:bdr w:val="none" w:sz="0" w:space="0" w:color="auto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6231A8"/>
    <w:rPr>
      <w:rFonts w:ascii="Calibri" w:hAnsi="Arial Unicode MS" w:cs="Arial Unicode MS"/>
      <w:color w:val="000000"/>
      <w:sz w:val="22"/>
      <w:szCs w:val="22"/>
      <w:u w:color="000000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E2BD0"/>
    <w:rPr>
      <w:rFonts w:ascii="Calibri" w:hAnsi="Arial Unicode MS" w:cs="Arial Unicode MS"/>
      <w:color w:val="7F7F7F"/>
      <w:sz w:val="18"/>
      <w:szCs w:val="18"/>
      <w:u w:color="7F7F7F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A3B59"/>
    <w:rPr>
      <w:rFonts w:asciiTheme="majorHAnsi" w:eastAsia="Times New Roman" w:hAnsiTheme="majorHAnsi"/>
      <w:sz w:val="22"/>
      <w:szCs w:val="24"/>
      <w:bdr w:val="none" w:sz="0" w:space="0" w:color="auto"/>
      <w:lang w:eastAsia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2C36"/>
    <w:rPr>
      <w:color w:val="605E5C"/>
      <w:shd w:val="clear" w:color="auto" w:fill="E1DFDD"/>
    </w:rPr>
  </w:style>
  <w:style w:type="character" w:customStyle="1" w:styleId="Mention1">
    <w:name w:val="Mention1"/>
    <w:basedOn w:val="DefaultParagraphFont"/>
    <w:uiPriority w:val="99"/>
    <w:unhideWhenUsed/>
    <w:rsid w:val="00DD1605"/>
    <w:rPr>
      <w:color w:val="2B579A"/>
      <w:shd w:val="clear" w:color="auto" w:fill="E1DFDD"/>
    </w:rPr>
  </w:style>
  <w:style w:type="paragraph" w:customStyle="1" w:styleId="pf0">
    <w:name w:val="pf0"/>
    <w:basedOn w:val="Normal"/>
    <w:rsid w:val="0048551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cf01">
    <w:name w:val="cf01"/>
    <w:basedOn w:val="DefaultParagraphFont"/>
    <w:rsid w:val="00485514"/>
    <w:rPr>
      <w:rFonts w:ascii="Segoe UI" w:hAnsi="Segoe UI" w:cs="Segoe UI" w:hint="default"/>
      <w:sz w:val="18"/>
      <w:szCs w:val="18"/>
    </w:rPr>
  </w:style>
  <w:style w:type="character" w:customStyle="1" w:styleId="field">
    <w:name w:val="field"/>
    <w:basedOn w:val="DefaultParagraphFont"/>
    <w:rsid w:val="00A7449A"/>
  </w:style>
  <w:style w:type="character" w:styleId="UnresolvedMention">
    <w:name w:val="Unresolved Mention"/>
    <w:basedOn w:val="DefaultParagraphFont"/>
    <w:uiPriority w:val="99"/>
    <w:semiHidden/>
    <w:unhideWhenUsed/>
    <w:rsid w:val="003A7809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765D91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32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39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96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50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18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3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86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07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2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353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8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1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388">
          <w:marLeft w:val="0"/>
          <w:marRight w:val="0"/>
          <w:marTop w:val="480"/>
          <w:marBottom w:val="480"/>
          <w:divBdr>
            <w:top w:val="none" w:sz="0" w:space="0" w:color="auto"/>
            <w:left w:val="single" w:sz="48" w:space="12" w:color="B1B4B6"/>
            <w:bottom w:val="none" w:sz="0" w:space="0" w:color="auto"/>
            <w:right w:val="none" w:sz="0" w:space="0" w:color="auto"/>
          </w:divBdr>
        </w:div>
        <w:div w:id="25074472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69884">
          <w:marLeft w:val="0"/>
          <w:marRight w:val="0"/>
          <w:marTop w:val="480"/>
          <w:marBottom w:val="480"/>
          <w:divBdr>
            <w:top w:val="none" w:sz="0" w:space="0" w:color="auto"/>
            <w:left w:val="single" w:sz="48" w:space="12" w:color="B1B4B6"/>
            <w:bottom w:val="none" w:sz="0" w:space="0" w:color="auto"/>
            <w:right w:val="none" w:sz="0" w:space="0" w:color="auto"/>
          </w:divBdr>
        </w:div>
        <w:div w:id="1476532343">
          <w:marLeft w:val="0"/>
          <w:marRight w:val="0"/>
          <w:marTop w:val="480"/>
          <w:marBottom w:val="480"/>
          <w:divBdr>
            <w:top w:val="none" w:sz="0" w:space="0" w:color="auto"/>
            <w:left w:val="single" w:sz="48" w:space="12" w:color="B1B4B6"/>
            <w:bottom w:val="none" w:sz="0" w:space="0" w:color="auto"/>
            <w:right w:val="none" w:sz="0" w:space="0" w:color="auto"/>
          </w:divBdr>
        </w:div>
        <w:div w:id="158822978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684">
          <w:marLeft w:val="0"/>
          <w:marRight w:val="0"/>
          <w:marTop w:val="450"/>
          <w:marBottom w:val="450"/>
          <w:divBdr>
            <w:top w:val="none" w:sz="0" w:space="0" w:color="auto"/>
            <w:left w:val="single" w:sz="6" w:space="11" w:color="B1B4B6"/>
            <w:bottom w:val="none" w:sz="0" w:space="0" w:color="auto"/>
            <w:right w:val="none" w:sz="0" w:space="0" w:color="auto"/>
          </w:divBdr>
          <w:divsChild>
            <w:div w:id="983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39904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081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3483">
          <w:marLeft w:val="0"/>
          <w:marRight w:val="0"/>
          <w:marTop w:val="450"/>
          <w:marBottom w:val="450"/>
          <w:divBdr>
            <w:top w:val="none" w:sz="0" w:space="0" w:color="auto"/>
            <w:left w:val="single" w:sz="6" w:space="11" w:color="B1B4B6"/>
            <w:bottom w:val="none" w:sz="0" w:space="0" w:color="auto"/>
            <w:right w:val="none" w:sz="0" w:space="0" w:color="auto"/>
          </w:divBdr>
          <w:divsChild>
            <w:div w:id="16042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1390">
          <w:marLeft w:val="0"/>
          <w:marRight w:val="0"/>
          <w:marTop w:val="450"/>
          <w:marBottom w:val="450"/>
          <w:divBdr>
            <w:top w:val="none" w:sz="0" w:space="0" w:color="auto"/>
            <w:left w:val="single" w:sz="6" w:space="11" w:color="B1B4B6"/>
            <w:bottom w:val="none" w:sz="0" w:space="0" w:color="auto"/>
            <w:right w:val="none" w:sz="0" w:space="0" w:color="auto"/>
          </w:divBdr>
          <w:divsChild>
            <w:div w:id="116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67621">
          <w:marLeft w:val="0"/>
          <w:marRight w:val="0"/>
          <w:marTop w:val="450"/>
          <w:marBottom w:val="450"/>
          <w:divBdr>
            <w:top w:val="none" w:sz="0" w:space="0" w:color="auto"/>
            <w:left w:val="single" w:sz="6" w:space="11" w:color="B1B4B6"/>
            <w:bottom w:val="none" w:sz="0" w:space="0" w:color="auto"/>
            <w:right w:val="none" w:sz="0" w:space="0" w:color="auto"/>
          </w:divBdr>
          <w:divsChild>
            <w:div w:id="758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79457">
          <w:marLeft w:val="0"/>
          <w:marRight w:val="0"/>
          <w:marTop w:val="450"/>
          <w:marBottom w:val="450"/>
          <w:divBdr>
            <w:top w:val="none" w:sz="0" w:space="0" w:color="auto"/>
            <w:left w:val="single" w:sz="6" w:space="11" w:color="B1B4B6"/>
            <w:bottom w:val="none" w:sz="0" w:space="0" w:color="auto"/>
            <w:right w:val="none" w:sz="0" w:space="0" w:color="auto"/>
          </w:divBdr>
          <w:divsChild>
            <w:div w:id="1186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3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4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31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164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190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404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04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0193">
          <w:marLeft w:val="0"/>
          <w:marRight w:val="0"/>
          <w:marTop w:val="480"/>
          <w:marBottom w:val="480"/>
          <w:divBdr>
            <w:top w:val="none" w:sz="0" w:space="0" w:color="auto"/>
            <w:left w:val="single" w:sz="48" w:space="12" w:color="B1B4B6"/>
            <w:bottom w:val="none" w:sz="0" w:space="0" w:color="auto"/>
            <w:right w:val="none" w:sz="0" w:space="0" w:color="auto"/>
          </w:divBdr>
        </w:div>
        <w:div w:id="834036019">
          <w:marLeft w:val="0"/>
          <w:marRight w:val="0"/>
          <w:marTop w:val="480"/>
          <w:marBottom w:val="480"/>
          <w:divBdr>
            <w:top w:val="none" w:sz="0" w:space="0" w:color="auto"/>
            <w:left w:val="single" w:sz="48" w:space="12" w:color="B1B4B6"/>
            <w:bottom w:val="none" w:sz="0" w:space="0" w:color="auto"/>
            <w:right w:val="none" w:sz="0" w:space="0" w:color="auto"/>
          </w:divBdr>
        </w:div>
        <w:div w:id="1551989910">
          <w:marLeft w:val="0"/>
          <w:marRight w:val="0"/>
          <w:marTop w:val="480"/>
          <w:marBottom w:val="480"/>
          <w:divBdr>
            <w:top w:val="none" w:sz="0" w:space="0" w:color="auto"/>
            <w:left w:val="single" w:sz="48" w:space="12" w:color="B1B4B6"/>
            <w:bottom w:val="none" w:sz="0" w:space="0" w:color="auto"/>
            <w:right w:val="none" w:sz="0" w:space="0" w:color="auto"/>
          </w:divBdr>
        </w:div>
        <w:div w:id="160838905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395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0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55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0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100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370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5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7161">
          <w:marLeft w:val="0"/>
          <w:marRight w:val="0"/>
          <w:marTop w:val="480"/>
          <w:marBottom w:val="480"/>
          <w:divBdr>
            <w:top w:val="none" w:sz="0" w:space="0" w:color="auto"/>
            <w:left w:val="single" w:sz="48" w:space="12" w:color="B1B4B6"/>
            <w:bottom w:val="none" w:sz="0" w:space="0" w:color="auto"/>
            <w:right w:val="none" w:sz="0" w:space="0" w:color="auto"/>
          </w:divBdr>
        </w:div>
        <w:div w:id="1321888163">
          <w:marLeft w:val="0"/>
          <w:marRight w:val="0"/>
          <w:marTop w:val="480"/>
          <w:marBottom w:val="480"/>
          <w:divBdr>
            <w:top w:val="none" w:sz="0" w:space="0" w:color="auto"/>
            <w:left w:val="single" w:sz="48" w:space="12" w:color="B1B4B6"/>
            <w:bottom w:val="none" w:sz="0" w:space="0" w:color="auto"/>
            <w:right w:val="none" w:sz="0" w:space="0" w:color="auto"/>
          </w:divBdr>
        </w:div>
      </w:divsChild>
    </w:div>
    <w:div w:id="1712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41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088468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059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783154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95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61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32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695814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14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807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473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702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037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553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17066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02773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0867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90812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02609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3594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0234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092150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9372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52636112">
                                                                                                              <w:marLeft w:val="30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5219989">
                                                                                                                  <w:marLeft w:val="-30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670085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40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6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21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78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5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28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4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90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17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9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73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37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59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yperlink" Target="https://en.adgm.thomsonreuters.com/rulebook/companies-regulations-2020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s://en.adgm.thomsonreuters.com/sites/default/files/net_file_store/ADGM1547_16019_VER2015.pdf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yperlink" Target="mailto:monitoring@adgm.com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hyperlink" Target="https://en.adgm.thomsonreuters.com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"/>
        <a:ea typeface="Calibri"/>
        <a:cs typeface="Calibri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ts val="1400"/>
          </a:lnSpc>
          <a:spcBef>
            <a:spcPts val="14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67B916FFF9174BB0503E07B2113F2E" ma:contentTypeVersion="13" ma:contentTypeDescription="Create a new document." ma:contentTypeScope="" ma:versionID="52ffe6b0e8d4b2c735abc42671142b96">
  <xsd:schema xmlns:xsd="http://www.w3.org/2001/XMLSchema" xmlns:xs="http://www.w3.org/2001/XMLSchema" xmlns:p="http://schemas.microsoft.com/office/2006/metadata/properties" xmlns:ns3="ee6d1dd0-4517-4404-b7ae-4cb5aa4cf7e2" xmlns:ns4="ae73e6d6-78fd-4234-83bc-0070389bfaf4" targetNamespace="http://schemas.microsoft.com/office/2006/metadata/properties" ma:root="true" ma:fieldsID="69dd06efac0dfde61600673e5d5a50c2" ns3:_="" ns4:_="">
    <xsd:import namespace="ee6d1dd0-4517-4404-b7ae-4cb5aa4cf7e2"/>
    <xsd:import namespace="ae73e6d6-78fd-4234-83bc-0070389bfaf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d1dd0-4517-4404-b7ae-4cb5aa4cf7e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73e6d6-78fd-4234-83bc-0070389bfa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��< ? x m l   v e r s i o n = " 1 . 0 "   e n c o d i n g = " u t f - 1 6 " ? > < p r o p e r t i e s   x m l n s = " h t t p : / / w w w . i m a n a g e . c o m / w o r k / x m l s c h e m a " >  
     < d o c u m e n t i d > D B O 1 ! 2 0 0 2 8 5 3 7 5 0 . 1 < / d o c u m e n t i d >  
     < s e n d e r i d > N O R M A N J < / s e n d e r i d >  
     < s e n d e r e m a i l > J O D I . N O R M A N @ A L L E N O V E R Y . C O M < / s e n d e r e m a i l >  
     < l a s t m o d i f i e d > 2 0 2 2 - 1 0 - 0 4 T 1 0 : 3 4 : 0 0 . 0 0 0 0 0 0 0 + 0 4 : 0 0 < / l a s t m o d i f i e d >  
     < d a t a b a s e > D B O 1 < / d a t a b a s e >  
 < / p r o p e r t i e s > 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4920FF82-2B20-4729-85FE-CA51AC7AFE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e6d1dd0-4517-4404-b7ae-4cb5aa4cf7e2"/>
    <ds:schemaRef ds:uri="ae73e6d6-78fd-4234-83bc-0070389bfa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CCA411-4626-4DBF-8F89-E5A98A1F28F3}">
  <ds:schemaRefs>
    <ds:schemaRef ds:uri="http://www.imanage.com/work/xmlschema"/>
  </ds:schemaRefs>
</ds:datastoreItem>
</file>

<file path=customXml/itemProps3.xml><?xml version="1.0" encoding="utf-8"?>
<ds:datastoreItem xmlns:ds="http://schemas.openxmlformats.org/officeDocument/2006/customXml" ds:itemID="{EF767576-2B01-49DD-BA77-5554DA21A8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7D3C25-7515-48C6-98D8-86B66FFD04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90AB1C38-F629-441A-9F58-3995FD34B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1860</Words>
  <Characters>10196</Characters>
  <Application>Microsoft Office Word</Application>
  <DocSecurity>0</DocSecurity>
  <Lines>377</Lines>
  <Paragraphs>267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AAB</Company>
  <LinksUpToDate>false</LinksUpToDate>
  <CharactersWithSpaces>11789</CharactersWithSpaces>
  <SharedDoc>false</SharedDoc>
  <HLinks>
    <vt:vector size="102" baseType="variant">
      <vt:variant>
        <vt:i4>5111914</vt:i4>
      </vt:variant>
      <vt:variant>
        <vt:i4>99</vt:i4>
      </vt:variant>
      <vt:variant>
        <vt:i4>0</vt:i4>
      </vt:variant>
      <vt:variant>
        <vt:i4>5</vt:i4>
      </vt:variant>
      <vt:variant>
        <vt:lpwstr>mailto:monitoring@adgm.com</vt:lpwstr>
      </vt:variant>
      <vt:variant>
        <vt:lpwstr/>
      </vt:variant>
      <vt:variant>
        <vt:i4>4390989</vt:i4>
      </vt:variant>
      <vt:variant>
        <vt:i4>90</vt:i4>
      </vt:variant>
      <vt:variant>
        <vt:i4>0</vt:i4>
      </vt:variant>
      <vt:variant>
        <vt:i4>5</vt:i4>
      </vt:variant>
      <vt:variant>
        <vt:lpwstr>http://www.ifrs.org/</vt:lpwstr>
      </vt:variant>
      <vt:variant>
        <vt:lpwstr/>
      </vt:variant>
      <vt:variant>
        <vt:i4>2228262</vt:i4>
      </vt:variant>
      <vt:variant>
        <vt:i4>81</vt:i4>
      </vt:variant>
      <vt:variant>
        <vt:i4>0</vt:i4>
      </vt:variant>
      <vt:variant>
        <vt:i4>5</vt:i4>
      </vt:variant>
      <vt:variant>
        <vt:lpwstr>https://en.adgm.thomsonreuters.com/</vt:lpwstr>
      </vt:variant>
      <vt:variant>
        <vt:lpwstr/>
      </vt:variant>
      <vt:variant>
        <vt:i4>8126585</vt:i4>
      </vt:variant>
      <vt:variant>
        <vt:i4>78</vt:i4>
      </vt:variant>
      <vt:variant>
        <vt:i4>0</vt:i4>
      </vt:variant>
      <vt:variant>
        <vt:i4>5</vt:i4>
      </vt:variant>
      <vt:variant>
        <vt:lpwstr>https://en.adgm.thomsonreuters.com/rulebook/companies-regulations-2020</vt:lpwstr>
      </vt:variant>
      <vt:variant>
        <vt:lpwstr/>
      </vt:variant>
      <vt:variant>
        <vt:i4>7209001</vt:i4>
      </vt:variant>
      <vt:variant>
        <vt:i4>75</vt:i4>
      </vt:variant>
      <vt:variant>
        <vt:i4>0</vt:i4>
      </vt:variant>
      <vt:variant>
        <vt:i4>5</vt:i4>
      </vt:variant>
      <vt:variant>
        <vt:lpwstr>https://en.adgm.thomsonreuters.com/sites/default/files/net_file_store/ADGM1547_16019_VER2015.pdf</vt:lpwstr>
      </vt:variant>
      <vt:variant>
        <vt:lpwstr/>
      </vt:variant>
      <vt:variant>
        <vt:i4>1048634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_Toc114482701</vt:lpwstr>
      </vt:variant>
      <vt:variant>
        <vt:i4>1048634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_Toc114482700</vt:lpwstr>
      </vt:variant>
      <vt:variant>
        <vt:i4>1638459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_Toc114482699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_Toc114482698</vt:lpwstr>
      </vt:variant>
      <vt:variant>
        <vt:i4>1638459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_Toc114482697</vt:lpwstr>
      </vt:variant>
      <vt:variant>
        <vt:i4>1638459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_Toc114482696</vt:lpwstr>
      </vt:variant>
      <vt:variant>
        <vt:i4>1638459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_Toc114482695</vt:lpwstr>
      </vt:variant>
      <vt:variant>
        <vt:i4>1638459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_Toc114482694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_Toc114482693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_Toc114482692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_Toc114482691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_Toc114482690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Fakhera Naser Abdulla Al Zaabi</dc:creator>
  <cp:keywords/>
  <dc:description/>
  <cp:lastModifiedBy>Michaela Crawford</cp:lastModifiedBy>
  <cp:revision>6</cp:revision>
  <cp:lastPrinted>2023-06-23T07:12:00Z</cp:lastPrinted>
  <dcterms:created xsi:type="dcterms:W3CDTF">2023-06-20T14:20:00Z</dcterms:created>
  <dcterms:modified xsi:type="dcterms:W3CDTF">2023-06-23T07:12:00Z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0x0101008367B916FFF9174BB0503E07B2113F2E</vt:lpwstr>
  </property>
  <property fmtid="{D5CDD505-2E9C-101B-9397-08002B2CF9AE}" pid="3" name="MSIP_Label_42e67a54-274b-43d7-8098-b3ba5f50e576_Enabled">
    <vt:lpwstr>true</vt:lpwstr>
  </property>
  <property fmtid="{D5CDD505-2E9C-101B-9397-08002B2CF9AE}" pid="4" name="MSIP_Label_42e67a54-274b-43d7-8098-b3ba5f50e576_SetDate">
    <vt:lpwstr>2022-10-04T05:53:20Z</vt:lpwstr>
  </property>
  <property fmtid="{D5CDD505-2E9C-101B-9397-08002B2CF9AE}" pid="5" name="MSIP_Label_42e67a54-274b-43d7-8098-b3ba5f50e576_Method">
    <vt:lpwstr>Standard</vt:lpwstr>
  </property>
  <property fmtid="{D5CDD505-2E9C-101B-9397-08002B2CF9AE}" pid="6" name="MSIP_Label_42e67a54-274b-43d7-8098-b3ba5f50e576_Name">
    <vt:lpwstr>42e67a54-274b-43d7-8098-b3ba5f50e576</vt:lpwstr>
  </property>
  <property fmtid="{D5CDD505-2E9C-101B-9397-08002B2CF9AE}" pid="7" name="MSIP_Label_42e67a54-274b-43d7-8098-b3ba5f50e576_SiteId">
    <vt:lpwstr>7f0b44d2-04f8-4672-bf5d-4676796468a3</vt:lpwstr>
  </property>
  <property fmtid="{D5CDD505-2E9C-101B-9397-08002B2CF9AE}" pid="8" name="MSIP_Label_42e67a54-274b-43d7-8098-b3ba5f50e576_ActionId">
    <vt:lpwstr>3f14cc6d-d94d-4eb5-9f64-9deda65c282f</vt:lpwstr>
  </property>
  <property fmtid="{D5CDD505-2E9C-101B-9397-08002B2CF9AE}" pid="9" name="MSIP_Label_42e67a54-274b-43d7-8098-b3ba5f50e576_ContentBits">
    <vt:lpwstr>0</vt:lpwstr>
  </property>
  <property fmtid="{D5CDD505-2E9C-101B-9397-08002B2CF9AE}" pid="10" name="Client">
    <vt:lpwstr>0109584</vt:lpwstr>
  </property>
  <property fmtid="{D5CDD505-2E9C-101B-9397-08002B2CF9AE}" pid="11" name="Matter">
    <vt:lpwstr>0000010</vt:lpwstr>
  </property>
  <property fmtid="{D5CDD505-2E9C-101B-9397-08002B2CF9AE}" pid="12" name="cpDocRef">
    <vt:lpwstr>DBO1: 2002853750.1</vt:lpwstr>
  </property>
  <property fmtid="{D5CDD505-2E9C-101B-9397-08002B2CF9AE}" pid="13" name="cpClientMatter">
    <vt:lpwstr>0109584-0000010</vt:lpwstr>
  </property>
  <property fmtid="{D5CDD505-2E9C-101B-9397-08002B2CF9AE}" pid="14" name="cpCombinedRef">
    <vt:lpwstr>0109584-0000010 DBO1: 2002853750.1</vt:lpwstr>
  </property>
</Properties>
</file>