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42791" w14:textId="77777777" w:rsidR="006261AA" w:rsidRPr="00D3784A" w:rsidRDefault="006261AA" w:rsidP="006261AA">
      <w:pPr>
        <w:rPr>
          <w:sz w:val="28"/>
          <w:szCs w:val="28"/>
        </w:rPr>
      </w:pPr>
      <w:bookmarkStart w:id="0" w:name="_GoBack"/>
      <w:bookmarkEnd w:id="0"/>
    </w:p>
    <w:p w14:paraId="558E9973" w14:textId="77777777" w:rsidR="006261AA" w:rsidRPr="00D3784A" w:rsidRDefault="006261AA" w:rsidP="006261AA">
      <w:pPr>
        <w:rPr>
          <w:sz w:val="28"/>
          <w:szCs w:val="28"/>
        </w:rPr>
      </w:pPr>
    </w:p>
    <w:p w14:paraId="5AA1BE52" w14:textId="77777777" w:rsidR="006261AA" w:rsidRPr="00D3784A" w:rsidRDefault="006261AA" w:rsidP="006261AA">
      <w:pPr>
        <w:rPr>
          <w:sz w:val="28"/>
          <w:szCs w:val="28"/>
        </w:rPr>
      </w:pPr>
    </w:p>
    <w:p w14:paraId="0A0F3F10" w14:textId="77777777" w:rsidR="006261AA" w:rsidRPr="00D3784A" w:rsidRDefault="006261AA" w:rsidP="006261AA">
      <w:pPr>
        <w:rPr>
          <w:sz w:val="28"/>
          <w:szCs w:val="28"/>
        </w:rPr>
      </w:pPr>
    </w:p>
    <w:p w14:paraId="05F2F22D" w14:textId="77777777" w:rsidR="006261AA" w:rsidRPr="00D3784A" w:rsidRDefault="006261AA" w:rsidP="006261AA">
      <w:pPr>
        <w:rPr>
          <w:sz w:val="28"/>
          <w:szCs w:val="28"/>
        </w:rPr>
      </w:pPr>
    </w:p>
    <w:p w14:paraId="54416603" w14:textId="77777777" w:rsidR="006261AA" w:rsidRPr="00D3784A" w:rsidRDefault="006261AA" w:rsidP="006261AA">
      <w:pPr>
        <w:rPr>
          <w:sz w:val="28"/>
          <w:szCs w:val="28"/>
        </w:rPr>
      </w:pPr>
    </w:p>
    <w:p w14:paraId="6BF36DBC" w14:textId="77777777" w:rsidR="006261AA" w:rsidRPr="00D3784A" w:rsidRDefault="006261AA" w:rsidP="006261AA">
      <w:pPr>
        <w:rPr>
          <w:sz w:val="28"/>
          <w:szCs w:val="28"/>
        </w:rPr>
      </w:pPr>
    </w:p>
    <w:p w14:paraId="74C5ADAB" w14:textId="77777777" w:rsidR="006261AA" w:rsidRPr="001026E6" w:rsidRDefault="006261AA" w:rsidP="006261AA">
      <w:pPr>
        <w:rPr>
          <w:sz w:val="28"/>
          <w:szCs w:val="28"/>
        </w:rPr>
      </w:pPr>
      <w:r w:rsidRPr="001026E6">
        <w:rPr>
          <w:noProof/>
          <w:sz w:val="28"/>
          <w:szCs w:val="28"/>
          <w:lang w:eastAsia="en-GB"/>
        </w:rPr>
        <w:drawing>
          <wp:anchor distT="0" distB="0" distL="114300" distR="114300" simplePos="0" relativeHeight="251659264" behindDoc="0" locked="0" layoutInCell="1" allowOverlap="1" wp14:anchorId="7469A86A" wp14:editId="146EE29F">
            <wp:simplePos x="0" y="0"/>
            <wp:positionH relativeFrom="page">
              <wp:posOffset>528955</wp:posOffset>
            </wp:positionH>
            <wp:positionV relativeFrom="paragraph">
              <wp:posOffset>101710</wp:posOffset>
            </wp:positionV>
            <wp:extent cx="4658360" cy="904240"/>
            <wp:effectExtent l="0" t="0" r="8890" b="0"/>
            <wp:wrapNone/>
            <wp:docPr id="5" name="Picture 5" descr="Z:\MarComms To Update\GIRA-Form-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arComms To Update\GIRA-Form-Footer.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367" r="46027"/>
                    <a:stretch/>
                  </pic:blipFill>
                  <pic:spPr bwMode="auto">
                    <a:xfrm>
                      <a:off x="0" y="0"/>
                      <a:ext cx="4658360" cy="90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A47A5F" w14:textId="77777777" w:rsidR="006261AA" w:rsidRPr="001026E6" w:rsidRDefault="006261AA" w:rsidP="006261AA">
      <w:pPr>
        <w:tabs>
          <w:tab w:val="left" w:pos="1230"/>
        </w:tabs>
        <w:rPr>
          <w:b/>
          <w:bCs/>
          <w:sz w:val="28"/>
          <w:szCs w:val="28"/>
        </w:rPr>
      </w:pPr>
      <w:r w:rsidRPr="001026E6">
        <w:rPr>
          <w:b/>
          <w:bCs/>
          <w:sz w:val="28"/>
          <w:szCs w:val="28"/>
        </w:rPr>
        <w:tab/>
      </w:r>
    </w:p>
    <w:p w14:paraId="66F77516" w14:textId="77777777" w:rsidR="006261AA" w:rsidRPr="001026E6" w:rsidRDefault="006261AA" w:rsidP="006261AA">
      <w:pPr>
        <w:jc w:val="center"/>
        <w:rPr>
          <w:b/>
          <w:bCs/>
          <w:sz w:val="28"/>
          <w:szCs w:val="28"/>
        </w:rPr>
      </w:pPr>
    </w:p>
    <w:p w14:paraId="3E53C062" w14:textId="77777777" w:rsidR="006261AA" w:rsidRPr="001026E6" w:rsidRDefault="006261AA" w:rsidP="006261AA">
      <w:pPr>
        <w:jc w:val="center"/>
        <w:rPr>
          <w:b/>
          <w:bCs/>
          <w:sz w:val="28"/>
          <w:szCs w:val="28"/>
        </w:rPr>
      </w:pPr>
    </w:p>
    <w:p w14:paraId="2E083EF4" w14:textId="77777777" w:rsidR="006261AA" w:rsidRPr="001026E6" w:rsidRDefault="006261AA" w:rsidP="006261AA">
      <w:pPr>
        <w:jc w:val="center"/>
        <w:rPr>
          <w:b/>
          <w:bCs/>
          <w:sz w:val="28"/>
          <w:szCs w:val="28"/>
        </w:rPr>
      </w:pPr>
    </w:p>
    <w:p w14:paraId="0D63D7D5" w14:textId="54D4B246" w:rsidR="006261AA" w:rsidRPr="001026E6" w:rsidRDefault="00206FFA" w:rsidP="00234CCA">
      <w:pPr>
        <w:rPr>
          <w:b/>
          <w:bCs/>
          <w:color w:val="AD9961"/>
          <w:sz w:val="28"/>
          <w:szCs w:val="28"/>
        </w:rPr>
      </w:pPr>
      <w:r w:rsidRPr="001026E6">
        <w:rPr>
          <w:b/>
          <w:bCs/>
          <w:color w:val="AD9961"/>
          <w:sz w:val="28"/>
          <w:szCs w:val="28"/>
        </w:rPr>
        <w:t xml:space="preserve">Guidance </w:t>
      </w:r>
      <w:r w:rsidR="004C2B7F" w:rsidRPr="001026E6">
        <w:rPr>
          <w:b/>
          <w:bCs/>
          <w:color w:val="AD9961"/>
          <w:sz w:val="28"/>
          <w:szCs w:val="28"/>
        </w:rPr>
        <w:t>–</w:t>
      </w:r>
      <w:r w:rsidRPr="001026E6">
        <w:rPr>
          <w:b/>
          <w:bCs/>
          <w:color w:val="AD9961"/>
          <w:sz w:val="28"/>
          <w:szCs w:val="28"/>
        </w:rPr>
        <w:t xml:space="preserve"> </w:t>
      </w:r>
      <w:r w:rsidR="00C710E7" w:rsidRPr="001026E6">
        <w:rPr>
          <w:b/>
          <w:bCs/>
          <w:color w:val="AD9961"/>
          <w:sz w:val="28"/>
          <w:szCs w:val="28"/>
        </w:rPr>
        <w:t xml:space="preserve">Regulation of Digital Securities </w:t>
      </w:r>
      <w:r w:rsidR="00234CCA" w:rsidRPr="001026E6">
        <w:rPr>
          <w:b/>
          <w:bCs/>
          <w:color w:val="AD9961"/>
          <w:sz w:val="28"/>
          <w:szCs w:val="28"/>
        </w:rPr>
        <w:t xml:space="preserve">Activities </w:t>
      </w:r>
      <w:r w:rsidR="00C710E7" w:rsidRPr="001026E6">
        <w:rPr>
          <w:b/>
          <w:bCs/>
          <w:color w:val="AD9961"/>
          <w:sz w:val="28"/>
          <w:szCs w:val="28"/>
        </w:rPr>
        <w:t>in ADGM</w:t>
      </w:r>
    </w:p>
    <w:p w14:paraId="4A5BBAE7" w14:textId="77777777" w:rsidR="005129B4" w:rsidRPr="001026E6" w:rsidRDefault="005129B4" w:rsidP="00C710E7">
      <w:pPr>
        <w:rPr>
          <w:b/>
          <w:bCs/>
          <w:color w:val="AD9961"/>
          <w:sz w:val="28"/>
          <w:szCs w:val="28"/>
        </w:rPr>
      </w:pPr>
    </w:p>
    <w:p w14:paraId="694EF34A" w14:textId="77777777" w:rsidR="006261AA" w:rsidRPr="001026E6" w:rsidRDefault="006261AA" w:rsidP="00945345">
      <w:pPr>
        <w:rPr>
          <w:b/>
          <w:bCs/>
          <w:color w:val="AD9961"/>
          <w:sz w:val="28"/>
          <w:szCs w:val="28"/>
        </w:rPr>
      </w:pPr>
    </w:p>
    <w:p w14:paraId="14D857B8" w14:textId="77777777" w:rsidR="006261AA" w:rsidRPr="001026E6" w:rsidRDefault="006261AA" w:rsidP="006261AA">
      <w:pPr>
        <w:pStyle w:val="ListParagraph"/>
        <w:rPr>
          <w:b/>
          <w:bCs/>
          <w:color w:val="AD9961"/>
          <w:sz w:val="28"/>
          <w:szCs w:val="28"/>
        </w:rPr>
      </w:pPr>
    </w:p>
    <w:p w14:paraId="4AA9EEA8" w14:textId="77777777" w:rsidR="006261AA" w:rsidRPr="001026E6" w:rsidRDefault="006261AA" w:rsidP="006261AA">
      <w:pPr>
        <w:pStyle w:val="ListParagraph"/>
        <w:rPr>
          <w:b/>
          <w:bCs/>
          <w:color w:val="AD9961"/>
          <w:sz w:val="28"/>
          <w:szCs w:val="28"/>
        </w:rPr>
      </w:pPr>
    </w:p>
    <w:p w14:paraId="74358170" w14:textId="77777777" w:rsidR="006261AA" w:rsidRPr="001026E6" w:rsidRDefault="006261AA" w:rsidP="006261AA">
      <w:pPr>
        <w:pStyle w:val="ListParagraph"/>
        <w:rPr>
          <w:b/>
          <w:bCs/>
          <w:color w:val="AD9961"/>
          <w:sz w:val="28"/>
          <w:szCs w:val="28"/>
        </w:rPr>
      </w:pPr>
    </w:p>
    <w:p w14:paraId="43B3A0CB" w14:textId="77777777" w:rsidR="003F43D8" w:rsidRPr="001026E6" w:rsidRDefault="003F43D8" w:rsidP="00945345">
      <w:pPr>
        <w:pStyle w:val="ListParagraph"/>
        <w:rPr>
          <w:b/>
          <w:bCs/>
          <w:color w:val="AD9961"/>
          <w:sz w:val="28"/>
          <w:szCs w:val="28"/>
        </w:rPr>
      </w:pPr>
    </w:p>
    <w:p w14:paraId="5D2C765E" w14:textId="77777777" w:rsidR="003F43D8" w:rsidRPr="001026E6" w:rsidRDefault="003F43D8" w:rsidP="00945345">
      <w:pPr>
        <w:pStyle w:val="ListParagraph"/>
        <w:jc w:val="center"/>
        <w:rPr>
          <w:b/>
          <w:bCs/>
          <w:color w:val="AD9961"/>
          <w:sz w:val="28"/>
          <w:szCs w:val="28"/>
        </w:rPr>
      </w:pPr>
    </w:p>
    <w:p w14:paraId="0DC5E033" w14:textId="77777777" w:rsidR="003F43D8" w:rsidRPr="001026E6" w:rsidRDefault="003F43D8" w:rsidP="006261AA">
      <w:pPr>
        <w:pStyle w:val="ListParagraph"/>
        <w:rPr>
          <w:b/>
          <w:bCs/>
          <w:color w:val="AD9961"/>
          <w:sz w:val="28"/>
          <w:szCs w:val="28"/>
        </w:rPr>
      </w:pPr>
    </w:p>
    <w:p w14:paraId="7B36B527" w14:textId="77777777" w:rsidR="003F43D8" w:rsidRPr="001026E6" w:rsidRDefault="003F43D8" w:rsidP="006261AA">
      <w:pPr>
        <w:pStyle w:val="ListParagraph"/>
        <w:rPr>
          <w:b/>
          <w:bCs/>
          <w:color w:val="AD9961"/>
          <w:sz w:val="28"/>
          <w:szCs w:val="28"/>
        </w:rPr>
      </w:pPr>
    </w:p>
    <w:p w14:paraId="7CD094F2" w14:textId="77777777" w:rsidR="003F43D8" w:rsidRPr="001026E6" w:rsidRDefault="003F43D8" w:rsidP="006261AA">
      <w:pPr>
        <w:pStyle w:val="ListParagraph"/>
        <w:rPr>
          <w:b/>
          <w:bCs/>
          <w:color w:val="AD9961"/>
          <w:sz w:val="28"/>
          <w:szCs w:val="28"/>
        </w:rPr>
      </w:pPr>
    </w:p>
    <w:p w14:paraId="68EF0AD0" w14:textId="77777777" w:rsidR="003F43D8" w:rsidRPr="001026E6" w:rsidRDefault="003F43D8" w:rsidP="006261AA">
      <w:pPr>
        <w:pStyle w:val="ListParagraph"/>
        <w:rPr>
          <w:b/>
          <w:bCs/>
          <w:color w:val="AD9961"/>
          <w:sz w:val="28"/>
          <w:szCs w:val="28"/>
        </w:rPr>
      </w:pPr>
    </w:p>
    <w:p w14:paraId="357EB3FE" w14:textId="77777777" w:rsidR="003F43D8" w:rsidRPr="001026E6" w:rsidRDefault="003F43D8" w:rsidP="006261AA">
      <w:pPr>
        <w:pStyle w:val="ListParagraph"/>
        <w:rPr>
          <w:b/>
          <w:bCs/>
          <w:color w:val="AD9961"/>
          <w:sz w:val="28"/>
          <w:szCs w:val="28"/>
        </w:rPr>
      </w:pPr>
    </w:p>
    <w:p w14:paraId="58CBD65D" w14:textId="77777777" w:rsidR="003F43D8" w:rsidRPr="001026E6" w:rsidRDefault="003F43D8" w:rsidP="006261AA">
      <w:pPr>
        <w:pStyle w:val="ListParagraph"/>
        <w:rPr>
          <w:b/>
          <w:bCs/>
          <w:color w:val="AD9961"/>
          <w:sz w:val="28"/>
          <w:szCs w:val="28"/>
        </w:rPr>
      </w:pPr>
    </w:p>
    <w:p w14:paraId="1EEB8561" w14:textId="77777777" w:rsidR="003F43D8" w:rsidRPr="001026E6" w:rsidRDefault="003F43D8" w:rsidP="006261AA">
      <w:pPr>
        <w:pStyle w:val="ListParagraph"/>
        <w:rPr>
          <w:b/>
          <w:bCs/>
          <w:color w:val="AD9961"/>
          <w:sz w:val="28"/>
          <w:szCs w:val="28"/>
        </w:rPr>
      </w:pPr>
    </w:p>
    <w:p w14:paraId="4C689AAD" w14:textId="77777777" w:rsidR="003F43D8" w:rsidRPr="001026E6" w:rsidRDefault="003F43D8" w:rsidP="006261AA">
      <w:pPr>
        <w:pStyle w:val="ListParagraph"/>
        <w:rPr>
          <w:b/>
          <w:bCs/>
          <w:color w:val="AD9961"/>
          <w:sz w:val="28"/>
          <w:szCs w:val="28"/>
        </w:rPr>
      </w:pPr>
    </w:p>
    <w:p w14:paraId="6402C0C7" w14:textId="77777777" w:rsidR="003F43D8" w:rsidRPr="001026E6" w:rsidRDefault="003F43D8" w:rsidP="006261AA">
      <w:pPr>
        <w:pStyle w:val="ListParagraph"/>
        <w:rPr>
          <w:b/>
          <w:bCs/>
          <w:color w:val="AD9961"/>
          <w:sz w:val="28"/>
          <w:szCs w:val="28"/>
        </w:rPr>
      </w:pPr>
    </w:p>
    <w:p w14:paraId="58AA7BA4" w14:textId="77777777" w:rsidR="003F43D8" w:rsidRPr="001026E6" w:rsidRDefault="003F43D8" w:rsidP="006261AA">
      <w:pPr>
        <w:pStyle w:val="ListParagraph"/>
        <w:rPr>
          <w:b/>
          <w:bCs/>
          <w:color w:val="AD9961"/>
          <w:sz w:val="28"/>
          <w:szCs w:val="28"/>
        </w:rPr>
      </w:pPr>
    </w:p>
    <w:p w14:paraId="1F562B41" w14:textId="0FFEAF80" w:rsidR="006261AA" w:rsidRPr="001026E6" w:rsidRDefault="003F43D8" w:rsidP="00E00E05">
      <w:pPr>
        <w:pStyle w:val="ListParagraph"/>
        <w:jc w:val="right"/>
        <w:rPr>
          <w:b/>
          <w:bCs/>
          <w:color w:val="AD9961"/>
          <w:sz w:val="28"/>
          <w:szCs w:val="28"/>
        </w:rPr>
      </w:pPr>
      <w:r w:rsidRPr="001026E6">
        <w:rPr>
          <w:b/>
          <w:bCs/>
          <w:color w:val="AD9961"/>
          <w:sz w:val="28"/>
          <w:szCs w:val="28"/>
        </w:rPr>
        <w:t xml:space="preserve">DATE: </w:t>
      </w:r>
      <w:r w:rsidR="002745E5" w:rsidRPr="001026E6">
        <w:rPr>
          <w:b/>
          <w:bCs/>
          <w:color w:val="AD9961"/>
          <w:sz w:val="28"/>
          <w:szCs w:val="28"/>
        </w:rPr>
        <w:t xml:space="preserve">24 </w:t>
      </w:r>
      <w:r w:rsidR="00E00E05" w:rsidRPr="001026E6">
        <w:rPr>
          <w:b/>
          <w:bCs/>
          <w:color w:val="AD9961"/>
          <w:sz w:val="28"/>
          <w:szCs w:val="28"/>
        </w:rPr>
        <w:t>February</w:t>
      </w:r>
      <w:r w:rsidR="002133E3" w:rsidRPr="001026E6">
        <w:rPr>
          <w:b/>
          <w:color w:val="AD9961"/>
          <w:sz w:val="28"/>
        </w:rPr>
        <w:t xml:space="preserve"> </w:t>
      </w:r>
      <w:r w:rsidR="00E00E05" w:rsidRPr="001026E6">
        <w:rPr>
          <w:b/>
          <w:color w:val="AD9961"/>
          <w:sz w:val="28"/>
        </w:rPr>
        <w:t>2020</w:t>
      </w:r>
    </w:p>
    <w:p w14:paraId="47C62CF0" w14:textId="77777777" w:rsidR="006261AA" w:rsidRPr="001026E6" w:rsidRDefault="006261AA" w:rsidP="006261AA">
      <w:pPr>
        <w:pStyle w:val="ListParagraph"/>
        <w:rPr>
          <w:b/>
          <w:bCs/>
          <w:color w:val="AD9961"/>
          <w:sz w:val="28"/>
          <w:szCs w:val="28"/>
        </w:rPr>
      </w:pPr>
    </w:p>
    <w:p w14:paraId="18B6C23D" w14:textId="77777777" w:rsidR="006261AA" w:rsidRPr="001026E6" w:rsidRDefault="006261AA" w:rsidP="00206FFA">
      <w:pPr>
        <w:ind w:left="360"/>
        <w:rPr>
          <w:b/>
          <w:bCs/>
          <w:color w:val="AD9961"/>
          <w:sz w:val="28"/>
          <w:szCs w:val="28"/>
        </w:rPr>
      </w:pPr>
    </w:p>
    <w:p w14:paraId="364669D7" w14:textId="77777777" w:rsidR="003D42CD" w:rsidRPr="001026E6" w:rsidRDefault="003D42CD" w:rsidP="00206FFA">
      <w:pPr>
        <w:ind w:left="360"/>
        <w:rPr>
          <w:b/>
          <w:bCs/>
          <w:color w:val="AD9961"/>
          <w:sz w:val="28"/>
          <w:szCs w:val="28"/>
        </w:rPr>
      </w:pPr>
    </w:p>
    <w:p w14:paraId="4657221D" w14:textId="77777777" w:rsidR="006261AA" w:rsidRPr="001026E6" w:rsidRDefault="006261AA" w:rsidP="006261AA">
      <w:pPr>
        <w:jc w:val="center"/>
        <w:rPr>
          <w:sz w:val="28"/>
          <w:szCs w:val="28"/>
        </w:rPr>
      </w:pPr>
    </w:p>
    <w:p w14:paraId="17C4978B" w14:textId="77777777" w:rsidR="006261AA" w:rsidRPr="001026E6" w:rsidRDefault="006261AA" w:rsidP="006261AA">
      <w:pPr>
        <w:spacing w:before="120" w:after="120"/>
        <w:rPr>
          <w:b/>
          <w:bCs/>
          <w:sz w:val="24"/>
          <w:szCs w:val="24"/>
        </w:rPr>
      </w:pPr>
      <w:r w:rsidRPr="001026E6">
        <w:rPr>
          <w:b/>
          <w:bCs/>
          <w:sz w:val="28"/>
          <w:szCs w:val="28"/>
        </w:rPr>
        <w:br w:type="page"/>
      </w:r>
    </w:p>
    <w:sdt>
      <w:sdtPr>
        <w:rPr>
          <w:rFonts w:asciiTheme="minorHAnsi" w:eastAsiaTheme="minorHAnsi" w:hAnsiTheme="minorHAnsi" w:cstheme="minorBidi"/>
          <w:b w:val="0"/>
          <w:sz w:val="22"/>
          <w:szCs w:val="22"/>
          <w:lang w:val="en-GB"/>
        </w:rPr>
        <w:id w:val="-1187207621"/>
        <w:docPartObj>
          <w:docPartGallery w:val="Table of Contents"/>
          <w:docPartUnique/>
        </w:docPartObj>
      </w:sdtPr>
      <w:sdtEndPr>
        <w:rPr>
          <w:bCs/>
          <w:noProof/>
        </w:rPr>
      </w:sdtEndPr>
      <w:sdtContent>
        <w:p w14:paraId="6BF65D46" w14:textId="77777777" w:rsidR="006261AA" w:rsidRPr="001026E6" w:rsidRDefault="006261AA">
          <w:pPr>
            <w:pStyle w:val="TOCHeading"/>
          </w:pPr>
          <w:r w:rsidRPr="001026E6">
            <w:t>Table of Contents</w:t>
          </w:r>
        </w:p>
        <w:p w14:paraId="5E645FF1" w14:textId="1CAE941D" w:rsidR="001026E6" w:rsidRDefault="006261AA">
          <w:pPr>
            <w:pStyle w:val="TOC1"/>
            <w:rPr>
              <w:rFonts w:eastAsiaTheme="minorEastAsia"/>
              <w:noProof/>
              <w:lang w:eastAsia="en-GB"/>
            </w:rPr>
          </w:pPr>
          <w:r w:rsidRPr="001026E6">
            <w:fldChar w:fldCharType="begin"/>
          </w:r>
          <w:r w:rsidRPr="001026E6">
            <w:instrText xml:space="preserve"> TOC \o "1-3" \h \z \u </w:instrText>
          </w:r>
          <w:r w:rsidRPr="001026E6">
            <w:fldChar w:fldCharType="separate"/>
          </w:r>
          <w:hyperlink w:anchor="_Toc33443067" w:history="1">
            <w:r w:rsidR="001026E6" w:rsidRPr="008574D7">
              <w:rPr>
                <w:rStyle w:val="Hyperlink"/>
                <w:noProof/>
              </w:rPr>
              <w:t>INTRODUCTION</w:t>
            </w:r>
            <w:r w:rsidR="001026E6">
              <w:rPr>
                <w:noProof/>
                <w:webHidden/>
              </w:rPr>
              <w:tab/>
            </w:r>
            <w:r w:rsidR="001026E6">
              <w:rPr>
                <w:noProof/>
                <w:webHidden/>
              </w:rPr>
              <w:fldChar w:fldCharType="begin"/>
            </w:r>
            <w:r w:rsidR="001026E6">
              <w:rPr>
                <w:noProof/>
                <w:webHidden/>
              </w:rPr>
              <w:instrText xml:space="preserve"> PAGEREF _Toc33443067 \h </w:instrText>
            </w:r>
            <w:r w:rsidR="001026E6">
              <w:rPr>
                <w:noProof/>
                <w:webHidden/>
              </w:rPr>
            </w:r>
            <w:r w:rsidR="001026E6">
              <w:rPr>
                <w:noProof/>
                <w:webHidden/>
              </w:rPr>
              <w:fldChar w:fldCharType="separate"/>
            </w:r>
            <w:r w:rsidR="007E7388">
              <w:rPr>
                <w:noProof/>
                <w:webHidden/>
              </w:rPr>
              <w:t>4</w:t>
            </w:r>
            <w:r w:rsidR="001026E6">
              <w:rPr>
                <w:noProof/>
                <w:webHidden/>
              </w:rPr>
              <w:fldChar w:fldCharType="end"/>
            </w:r>
          </w:hyperlink>
        </w:p>
        <w:p w14:paraId="4BC18DA5" w14:textId="7B3529E0" w:rsidR="001026E6" w:rsidRDefault="00447617">
          <w:pPr>
            <w:pStyle w:val="TOC1"/>
            <w:rPr>
              <w:rFonts w:eastAsiaTheme="minorEastAsia"/>
              <w:noProof/>
              <w:lang w:eastAsia="en-GB"/>
            </w:rPr>
          </w:pPr>
          <w:hyperlink w:anchor="_Toc33443068" w:history="1">
            <w:r w:rsidR="001026E6" w:rsidRPr="008574D7">
              <w:rPr>
                <w:rStyle w:val="Hyperlink"/>
                <w:noProof/>
              </w:rPr>
              <w:t>BACKGROUND</w:t>
            </w:r>
            <w:r w:rsidR="001026E6">
              <w:rPr>
                <w:noProof/>
                <w:webHidden/>
              </w:rPr>
              <w:tab/>
            </w:r>
            <w:r w:rsidR="001026E6">
              <w:rPr>
                <w:noProof/>
                <w:webHidden/>
              </w:rPr>
              <w:fldChar w:fldCharType="begin"/>
            </w:r>
            <w:r w:rsidR="001026E6">
              <w:rPr>
                <w:noProof/>
                <w:webHidden/>
              </w:rPr>
              <w:instrText xml:space="preserve"> PAGEREF _Toc33443068 \h </w:instrText>
            </w:r>
            <w:r w:rsidR="001026E6">
              <w:rPr>
                <w:noProof/>
                <w:webHidden/>
              </w:rPr>
            </w:r>
            <w:r w:rsidR="001026E6">
              <w:rPr>
                <w:noProof/>
                <w:webHidden/>
              </w:rPr>
              <w:fldChar w:fldCharType="separate"/>
            </w:r>
            <w:r w:rsidR="007E7388">
              <w:rPr>
                <w:noProof/>
                <w:webHidden/>
              </w:rPr>
              <w:t>6</w:t>
            </w:r>
            <w:r w:rsidR="001026E6">
              <w:rPr>
                <w:noProof/>
                <w:webHidden/>
              </w:rPr>
              <w:fldChar w:fldCharType="end"/>
            </w:r>
          </w:hyperlink>
        </w:p>
        <w:p w14:paraId="5B63DEC3" w14:textId="749EFFA7" w:rsidR="001026E6" w:rsidRDefault="00447617">
          <w:pPr>
            <w:pStyle w:val="TOC1"/>
            <w:rPr>
              <w:rFonts w:eastAsiaTheme="minorEastAsia"/>
              <w:noProof/>
              <w:lang w:eastAsia="en-GB"/>
            </w:rPr>
          </w:pPr>
          <w:hyperlink w:anchor="_Toc33443069" w:history="1">
            <w:r w:rsidR="001026E6" w:rsidRPr="008574D7">
              <w:rPr>
                <w:rStyle w:val="Hyperlink"/>
                <w:noProof/>
              </w:rPr>
              <w:t>REGULATORY TREATMENT OF DIGITAL SECURITIES</w:t>
            </w:r>
            <w:r w:rsidR="001026E6">
              <w:rPr>
                <w:noProof/>
                <w:webHidden/>
              </w:rPr>
              <w:tab/>
            </w:r>
            <w:r w:rsidR="001026E6">
              <w:rPr>
                <w:noProof/>
                <w:webHidden/>
              </w:rPr>
              <w:fldChar w:fldCharType="begin"/>
            </w:r>
            <w:r w:rsidR="001026E6">
              <w:rPr>
                <w:noProof/>
                <w:webHidden/>
              </w:rPr>
              <w:instrText xml:space="preserve"> PAGEREF _Toc33443069 \h </w:instrText>
            </w:r>
            <w:r w:rsidR="001026E6">
              <w:rPr>
                <w:noProof/>
                <w:webHidden/>
              </w:rPr>
            </w:r>
            <w:r w:rsidR="001026E6">
              <w:rPr>
                <w:noProof/>
                <w:webHidden/>
              </w:rPr>
              <w:fldChar w:fldCharType="separate"/>
            </w:r>
            <w:r w:rsidR="007E7388">
              <w:rPr>
                <w:noProof/>
                <w:webHidden/>
              </w:rPr>
              <w:t>8</w:t>
            </w:r>
            <w:r w:rsidR="001026E6">
              <w:rPr>
                <w:noProof/>
                <w:webHidden/>
              </w:rPr>
              <w:fldChar w:fldCharType="end"/>
            </w:r>
          </w:hyperlink>
        </w:p>
        <w:p w14:paraId="2165C74B" w14:textId="4E46E100" w:rsidR="001026E6" w:rsidRDefault="00447617">
          <w:pPr>
            <w:pStyle w:val="TOC1"/>
            <w:rPr>
              <w:rFonts w:eastAsiaTheme="minorEastAsia"/>
              <w:noProof/>
              <w:lang w:eastAsia="en-GB"/>
            </w:rPr>
          </w:pPr>
          <w:hyperlink w:anchor="_Toc33443070" w:history="1">
            <w:r w:rsidR="001026E6" w:rsidRPr="008574D7">
              <w:rPr>
                <w:rStyle w:val="Hyperlink"/>
                <w:noProof/>
              </w:rPr>
              <w:t>MARKETS RULES – OFFERS OF SECURITIES TO THE PUBLIC</w:t>
            </w:r>
            <w:r w:rsidR="001026E6">
              <w:rPr>
                <w:noProof/>
                <w:webHidden/>
              </w:rPr>
              <w:tab/>
            </w:r>
            <w:r w:rsidR="001026E6">
              <w:rPr>
                <w:noProof/>
                <w:webHidden/>
              </w:rPr>
              <w:fldChar w:fldCharType="begin"/>
            </w:r>
            <w:r w:rsidR="001026E6">
              <w:rPr>
                <w:noProof/>
                <w:webHidden/>
              </w:rPr>
              <w:instrText xml:space="preserve"> PAGEREF _Toc33443070 \h </w:instrText>
            </w:r>
            <w:r w:rsidR="001026E6">
              <w:rPr>
                <w:noProof/>
                <w:webHidden/>
              </w:rPr>
            </w:r>
            <w:r w:rsidR="001026E6">
              <w:rPr>
                <w:noProof/>
                <w:webHidden/>
              </w:rPr>
              <w:fldChar w:fldCharType="separate"/>
            </w:r>
            <w:r w:rsidR="007E7388">
              <w:rPr>
                <w:noProof/>
                <w:webHidden/>
              </w:rPr>
              <w:t>9</w:t>
            </w:r>
            <w:r w:rsidR="001026E6">
              <w:rPr>
                <w:noProof/>
                <w:webHidden/>
              </w:rPr>
              <w:fldChar w:fldCharType="end"/>
            </w:r>
          </w:hyperlink>
        </w:p>
        <w:p w14:paraId="589B43AA" w14:textId="013317E0" w:rsidR="001026E6" w:rsidRDefault="00447617">
          <w:pPr>
            <w:pStyle w:val="TOC2"/>
            <w:tabs>
              <w:tab w:val="right" w:leader="dot" w:pos="9016"/>
            </w:tabs>
            <w:rPr>
              <w:rFonts w:eastAsiaTheme="minorEastAsia"/>
              <w:noProof/>
              <w:lang w:eastAsia="en-GB"/>
            </w:rPr>
          </w:pPr>
          <w:hyperlink w:anchor="_Toc33443071" w:history="1">
            <w:r w:rsidR="001026E6" w:rsidRPr="008574D7">
              <w:rPr>
                <w:rStyle w:val="Hyperlink"/>
                <w:noProof/>
              </w:rPr>
              <w:t>Offers of Securities</w:t>
            </w:r>
            <w:r w:rsidR="001026E6">
              <w:rPr>
                <w:noProof/>
                <w:webHidden/>
              </w:rPr>
              <w:tab/>
            </w:r>
            <w:r w:rsidR="001026E6">
              <w:rPr>
                <w:noProof/>
                <w:webHidden/>
              </w:rPr>
              <w:fldChar w:fldCharType="begin"/>
            </w:r>
            <w:r w:rsidR="001026E6">
              <w:rPr>
                <w:noProof/>
                <w:webHidden/>
              </w:rPr>
              <w:instrText xml:space="preserve"> PAGEREF _Toc33443071 \h </w:instrText>
            </w:r>
            <w:r w:rsidR="001026E6">
              <w:rPr>
                <w:noProof/>
                <w:webHidden/>
              </w:rPr>
            </w:r>
            <w:r w:rsidR="001026E6">
              <w:rPr>
                <w:noProof/>
                <w:webHidden/>
              </w:rPr>
              <w:fldChar w:fldCharType="separate"/>
            </w:r>
            <w:r w:rsidR="007E7388">
              <w:rPr>
                <w:noProof/>
                <w:webHidden/>
              </w:rPr>
              <w:t>9</w:t>
            </w:r>
            <w:r w:rsidR="001026E6">
              <w:rPr>
                <w:noProof/>
                <w:webHidden/>
              </w:rPr>
              <w:fldChar w:fldCharType="end"/>
            </w:r>
          </w:hyperlink>
        </w:p>
        <w:p w14:paraId="577FAC2B" w14:textId="29E1AEBE" w:rsidR="001026E6" w:rsidRDefault="00447617">
          <w:pPr>
            <w:pStyle w:val="TOC2"/>
            <w:tabs>
              <w:tab w:val="right" w:leader="dot" w:pos="9016"/>
            </w:tabs>
            <w:rPr>
              <w:rFonts w:eastAsiaTheme="minorEastAsia"/>
              <w:noProof/>
              <w:lang w:eastAsia="en-GB"/>
            </w:rPr>
          </w:pPr>
          <w:hyperlink w:anchor="_Toc33443072" w:history="1">
            <w:r w:rsidR="001026E6" w:rsidRPr="008574D7">
              <w:rPr>
                <w:rStyle w:val="Hyperlink"/>
                <w:noProof/>
              </w:rPr>
              <w:t>Prospectus content for an Offer of Digital Securities</w:t>
            </w:r>
            <w:r w:rsidR="001026E6">
              <w:rPr>
                <w:noProof/>
                <w:webHidden/>
              </w:rPr>
              <w:tab/>
            </w:r>
            <w:r w:rsidR="001026E6">
              <w:rPr>
                <w:noProof/>
                <w:webHidden/>
              </w:rPr>
              <w:fldChar w:fldCharType="begin"/>
            </w:r>
            <w:r w:rsidR="001026E6">
              <w:rPr>
                <w:noProof/>
                <w:webHidden/>
              </w:rPr>
              <w:instrText xml:space="preserve"> PAGEREF _Toc33443072 \h </w:instrText>
            </w:r>
            <w:r w:rsidR="001026E6">
              <w:rPr>
                <w:noProof/>
                <w:webHidden/>
              </w:rPr>
            </w:r>
            <w:r w:rsidR="001026E6">
              <w:rPr>
                <w:noProof/>
                <w:webHidden/>
              </w:rPr>
              <w:fldChar w:fldCharType="separate"/>
            </w:r>
            <w:r w:rsidR="007E7388">
              <w:rPr>
                <w:noProof/>
                <w:webHidden/>
              </w:rPr>
              <w:t>10</w:t>
            </w:r>
            <w:r w:rsidR="001026E6">
              <w:rPr>
                <w:noProof/>
                <w:webHidden/>
              </w:rPr>
              <w:fldChar w:fldCharType="end"/>
            </w:r>
          </w:hyperlink>
        </w:p>
        <w:p w14:paraId="57FCDE89" w14:textId="6AF4DFB0" w:rsidR="001026E6" w:rsidRDefault="00447617">
          <w:pPr>
            <w:pStyle w:val="TOC2"/>
            <w:tabs>
              <w:tab w:val="right" w:leader="dot" w:pos="9016"/>
            </w:tabs>
            <w:rPr>
              <w:rFonts w:eastAsiaTheme="minorEastAsia"/>
              <w:noProof/>
              <w:lang w:eastAsia="en-GB"/>
            </w:rPr>
          </w:pPr>
          <w:hyperlink w:anchor="_Toc33443073" w:history="1">
            <w:r w:rsidR="001026E6" w:rsidRPr="008574D7">
              <w:rPr>
                <w:rStyle w:val="Hyperlink"/>
                <w:noProof/>
              </w:rPr>
              <w:t>Exempt Offers</w:t>
            </w:r>
            <w:r w:rsidR="001026E6">
              <w:rPr>
                <w:noProof/>
                <w:webHidden/>
              </w:rPr>
              <w:tab/>
            </w:r>
            <w:r w:rsidR="001026E6">
              <w:rPr>
                <w:noProof/>
                <w:webHidden/>
              </w:rPr>
              <w:fldChar w:fldCharType="begin"/>
            </w:r>
            <w:r w:rsidR="001026E6">
              <w:rPr>
                <w:noProof/>
                <w:webHidden/>
              </w:rPr>
              <w:instrText xml:space="preserve"> PAGEREF _Toc33443073 \h </w:instrText>
            </w:r>
            <w:r w:rsidR="001026E6">
              <w:rPr>
                <w:noProof/>
                <w:webHidden/>
              </w:rPr>
            </w:r>
            <w:r w:rsidR="001026E6">
              <w:rPr>
                <w:noProof/>
                <w:webHidden/>
              </w:rPr>
              <w:fldChar w:fldCharType="separate"/>
            </w:r>
            <w:r w:rsidR="007E7388">
              <w:rPr>
                <w:noProof/>
                <w:webHidden/>
              </w:rPr>
              <w:t>12</w:t>
            </w:r>
            <w:r w:rsidR="001026E6">
              <w:rPr>
                <w:noProof/>
                <w:webHidden/>
              </w:rPr>
              <w:fldChar w:fldCharType="end"/>
            </w:r>
          </w:hyperlink>
        </w:p>
        <w:p w14:paraId="1AF223B6" w14:textId="6FEE82CB" w:rsidR="001026E6" w:rsidRDefault="00447617">
          <w:pPr>
            <w:pStyle w:val="TOC2"/>
            <w:tabs>
              <w:tab w:val="right" w:leader="dot" w:pos="9016"/>
            </w:tabs>
            <w:rPr>
              <w:rFonts w:eastAsiaTheme="minorEastAsia"/>
              <w:noProof/>
              <w:lang w:eastAsia="en-GB"/>
            </w:rPr>
          </w:pPr>
          <w:hyperlink w:anchor="_Toc33443074" w:history="1">
            <w:r w:rsidR="001026E6" w:rsidRPr="008574D7">
              <w:rPr>
                <w:rStyle w:val="Hyperlink"/>
                <w:noProof/>
              </w:rPr>
              <w:t>Appointment of Legal Advisers</w:t>
            </w:r>
            <w:r w:rsidR="001026E6">
              <w:rPr>
                <w:noProof/>
                <w:webHidden/>
              </w:rPr>
              <w:tab/>
            </w:r>
            <w:r w:rsidR="001026E6">
              <w:rPr>
                <w:noProof/>
                <w:webHidden/>
              </w:rPr>
              <w:fldChar w:fldCharType="begin"/>
            </w:r>
            <w:r w:rsidR="001026E6">
              <w:rPr>
                <w:noProof/>
                <w:webHidden/>
              </w:rPr>
              <w:instrText xml:space="preserve"> PAGEREF _Toc33443074 \h </w:instrText>
            </w:r>
            <w:r w:rsidR="001026E6">
              <w:rPr>
                <w:noProof/>
                <w:webHidden/>
              </w:rPr>
            </w:r>
            <w:r w:rsidR="001026E6">
              <w:rPr>
                <w:noProof/>
                <w:webHidden/>
              </w:rPr>
              <w:fldChar w:fldCharType="separate"/>
            </w:r>
            <w:r w:rsidR="007E7388">
              <w:rPr>
                <w:noProof/>
                <w:webHidden/>
              </w:rPr>
              <w:t>12</w:t>
            </w:r>
            <w:r w:rsidR="001026E6">
              <w:rPr>
                <w:noProof/>
                <w:webHidden/>
              </w:rPr>
              <w:fldChar w:fldCharType="end"/>
            </w:r>
          </w:hyperlink>
        </w:p>
        <w:p w14:paraId="5650ACD8" w14:textId="5DFDFC4D" w:rsidR="001026E6" w:rsidRDefault="00447617">
          <w:pPr>
            <w:pStyle w:val="TOC1"/>
            <w:rPr>
              <w:rFonts w:eastAsiaTheme="minorEastAsia"/>
              <w:noProof/>
              <w:lang w:eastAsia="en-GB"/>
            </w:rPr>
          </w:pPr>
          <w:hyperlink w:anchor="_Toc33443075" w:history="1">
            <w:r w:rsidR="001026E6" w:rsidRPr="008574D7">
              <w:rPr>
                <w:rStyle w:val="Hyperlink"/>
                <w:noProof/>
              </w:rPr>
              <w:t>MARKETS RULES – LISTING RULES</w:t>
            </w:r>
            <w:r w:rsidR="001026E6">
              <w:rPr>
                <w:noProof/>
                <w:webHidden/>
              </w:rPr>
              <w:tab/>
            </w:r>
            <w:r w:rsidR="001026E6">
              <w:rPr>
                <w:noProof/>
                <w:webHidden/>
              </w:rPr>
              <w:fldChar w:fldCharType="begin"/>
            </w:r>
            <w:r w:rsidR="001026E6">
              <w:rPr>
                <w:noProof/>
                <w:webHidden/>
              </w:rPr>
              <w:instrText xml:space="preserve"> PAGEREF _Toc33443075 \h </w:instrText>
            </w:r>
            <w:r w:rsidR="001026E6">
              <w:rPr>
                <w:noProof/>
                <w:webHidden/>
              </w:rPr>
            </w:r>
            <w:r w:rsidR="001026E6">
              <w:rPr>
                <w:noProof/>
                <w:webHidden/>
              </w:rPr>
              <w:fldChar w:fldCharType="separate"/>
            </w:r>
            <w:r w:rsidR="007E7388">
              <w:rPr>
                <w:noProof/>
                <w:webHidden/>
              </w:rPr>
              <w:t>12</w:t>
            </w:r>
            <w:r w:rsidR="001026E6">
              <w:rPr>
                <w:noProof/>
                <w:webHidden/>
              </w:rPr>
              <w:fldChar w:fldCharType="end"/>
            </w:r>
          </w:hyperlink>
        </w:p>
        <w:p w14:paraId="7003CF5B" w14:textId="6869CB1E" w:rsidR="001026E6" w:rsidRDefault="00447617">
          <w:pPr>
            <w:pStyle w:val="TOC1"/>
            <w:rPr>
              <w:rFonts w:eastAsiaTheme="minorEastAsia"/>
              <w:noProof/>
              <w:lang w:eastAsia="en-GB"/>
            </w:rPr>
          </w:pPr>
          <w:hyperlink w:anchor="_Toc33443076" w:history="1">
            <w:r w:rsidR="001026E6" w:rsidRPr="008574D7">
              <w:rPr>
                <w:rStyle w:val="Hyperlink"/>
                <w:noProof/>
              </w:rPr>
              <w:t>DIGITAL SECURITIES &amp; TRADING VENUES</w:t>
            </w:r>
            <w:r w:rsidR="001026E6">
              <w:rPr>
                <w:noProof/>
                <w:webHidden/>
              </w:rPr>
              <w:tab/>
            </w:r>
            <w:r w:rsidR="001026E6">
              <w:rPr>
                <w:noProof/>
                <w:webHidden/>
              </w:rPr>
              <w:fldChar w:fldCharType="begin"/>
            </w:r>
            <w:r w:rsidR="001026E6">
              <w:rPr>
                <w:noProof/>
                <w:webHidden/>
              </w:rPr>
              <w:instrText xml:space="preserve"> PAGEREF _Toc33443076 \h </w:instrText>
            </w:r>
            <w:r w:rsidR="001026E6">
              <w:rPr>
                <w:noProof/>
                <w:webHidden/>
              </w:rPr>
            </w:r>
            <w:r w:rsidR="001026E6">
              <w:rPr>
                <w:noProof/>
                <w:webHidden/>
              </w:rPr>
              <w:fldChar w:fldCharType="separate"/>
            </w:r>
            <w:r w:rsidR="007E7388">
              <w:rPr>
                <w:noProof/>
                <w:webHidden/>
              </w:rPr>
              <w:t>14</w:t>
            </w:r>
            <w:r w:rsidR="001026E6">
              <w:rPr>
                <w:noProof/>
                <w:webHidden/>
              </w:rPr>
              <w:fldChar w:fldCharType="end"/>
            </w:r>
          </w:hyperlink>
        </w:p>
        <w:p w14:paraId="5D36BDAF" w14:textId="0F6134BB" w:rsidR="001026E6" w:rsidRDefault="00447617">
          <w:pPr>
            <w:pStyle w:val="TOC2"/>
            <w:tabs>
              <w:tab w:val="right" w:leader="dot" w:pos="9016"/>
            </w:tabs>
            <w:rPr>
              <w:rFonts w:eastAsiaTheme="minorEastAsia"/>
              <w:noProof/>
              <w:lang w:eastAsia="en-GB"/>
            </w:rPr>
          </w:pPr>
          <w:hyperlink w:anchor="_Toc33443077" w:history="1">
            <w:r w:rsidR="001026E6" w:rsidRPr="008574D7">
              <w:rPr>
                <w:rStyle w:val="Hyperlink"/>
                <w:noProof/>
              </w:rPr>
              <w:t>Recognised Investment Exchanges (RIEs)</w:t>
            </w:r>
            <w:r w:rsidR="001026E6">
              <w:rPr>
                <w:noProof/>
                <w:webHidden/>
              </w:rPr>
              <w:tab/>
            </w:r>
            <w:r w:rsidR="001026E6">
              <w:rPr>
                <w:noProof/>
                <w:webHidden/>
              </w:rPr>
              <w:fldChar w:fldCharType="begin"/>
            </w:r>
            <w:r w:rsidR="001026E6">
              <w:rPr>
                <w:noProof/>
                <w:webHidden/>
              </w:rPr>
              <w:instrText xml:space="preserve"> PAGEREF _Toc33443077 \h </w:instrText>
            </w:r>
            <w:r w:rsidR="001026E6">
              <w:rPr>
                <w:noProof/>
                <w:webHidden/>
              </w:rPr>
            </w:r>
            <w:r w:rsidR="001026E6">
              <w:rPr>
                <w:noProof/>
                <w:webHidden/>
              </w:rPr>
              <w:fldChar w:fldCharType="separate"/>
            </w:r>
            <w:r w:rsidR="007E7388">
              <w:rPr>
                <w:noProof/>
                <w:webHidden/>
              </w:rPr>
              <w:t>14</w:t>
            </w:r>
            <w:r w:rsidR="001026E6">
              <w:rPr>
                <w:noProof/>
                <w:webHidden/>
              </w:rPr>
              <w:fldChar w:fldCharType="end"/>
            </w:r>
          </w:hyperlink>
        </w:p>
        <w:p w14:paraId="1817C482" w14:textId="281C0AEC" w:rsidR="001026E6" w:rsidRDefault="00447617">
          <w:pPr>
            <w:pStyle w:val="TOC2"/>
            <w:tabs>
              <w:tab w:val="right" w:leader="dot" w:pos="9016"/>
            </w:tabs>
            <w:rPr>
              <w:rFonts w:eastAsiaTheme="minorEastAsia"/>
              <w:noProof/>
              <w:lang w:eastAsia="en-GB"/>
            </w:rPr>
          </w:pPr>
          <w:hyperlink w:anchor="_Toc33443078" w:history="1">
            <w:r w:rsidR="001026E6" w:rsidRPr="008574D7">
              <w:rPr>
                <w:rStyle w:val="Hyperlink"/>
                <w:noProof/>
              </w:rPr>
              <w:t>Multilateral Trading Facilities (MTFs)</w:t>
            </w:r>
            <w:r w:rsidR="001026E6">
              <w:rPr>
                <w:noProof/>
                <w:webHidden/>
              </w:rPr>
              <w:tab/>
            </w:r>
            <w:r w:rsidR="001026E6">
              <w:rPr>
                <w:noProof/>
                <w:webHidden/>
              </w:rPr>
              <w:fldChar w:fldCharType="begin"/>
            </w:r>
            <w:r w:rsidR="001026E6">
              <w:rPr>
                <w:noProof/>
                <w:webHidden/>
              </w:rPr>
              <w:instrText xml:space="preserve"> PAGEREF _Toc33443078 \h </w:instrText>
            </w:r>
            <w:r w:rsidR="001026E6">
              <w:rPr>
                <w:noProof/>
                <w:webHidden/>
              </w:rPr>
            </w:r>
            <w:r w:rsidR="001026E6">
              <w:rPr>
                <w:noProof/>
                <w:webHidden/>
              </w:rPr>
              <w:fldChar w:fldCharType="separate"/>
            </w:r>
            <w:r w:rsidR="007E7388">
              <w:rPr>
                <w:noProof/>
                <w:webHidden/>
              </w:rPr>
              <w:t>16</w:t>
            </w:r>
            <w:r w:rsidR="001026E6">
              <w:rPr>
                <w:noProof/>
                <w:webHidden/>
              </w:rPr>
              <w:fldChar w:fldCharType="end"/>
            </w:r>
          </w:hyperlink>
        </w:p>
        <w:p w14:paraId="62DA7236" w14:textId="4612294E" w:rsidR="001026E6" w:rsidRDefault="00447617">
          <w:pPr>
            <w:pStyle w:val="TOC2"/>
            <w:tabs>
              <w:tab w:val="right" w:leader="dot" w:pos="9016"/>
            </w:tabs>
            <w:rPr>
              <w:rFonts w:eastAsiaTheme="minorEastAsia"/>
              <w:noProof/>
              <w:lang w:eastAsia="en-GB"/>
            </w:rPr>
          </w:pPr>
          <w:hyperlink w:anchor="_Toc33443079" w:history="1">
            <w:r w:rsidR="001026E6" w:rsidRPr="008574D7">
              <w:rPr>
                <w:rStyle w:val="Hyperlink"/>
                <w:noProof/>
              </w:rPr>
              <w:t>Organised Trading Facilities (OTFs)</w:t>
            </w:r>
            <w:r w:rsidR="001026E6">
              <w:rPr>
                <w:noProof/>
                <w:webHidden/>
              </w:rPr>
              <w:tab/>
            </w:r>
            <w:r w:rsidR="001026E6">
              <w:rPr>
                <w:noProof/>
                <w:webHidden/>
              </w:rPr>
              <w:fldChar w:fldCharType="begin"/>
            </w:r>
            <w:r w:rsidR="001026E6">
              <w:rPr>
                <w:noProof/>
                <w:webHidden/>
              </w:rPr>
              <w:instrText xml:space="preserve"> PAGEREF _Toc33443079 \h </w:instrText>
            </w:r>
            <w:r w:rsidR="001026E6">
              <w:rPr>
                <w:noProof/>
                <w:webHidden/>
              </w:rPr>
            </w:r>
            <w:r w:rsidR="001026E6">
              <w:rPr>
                <w:noProof/>
                <w:webHidden/>
              </w:rPr>
              <w:fldChar w:fldCharType="separate"/>
            </w:r>
            <w:r w:rsidR="007E7388">
              <w:rPr>
                <w:noProof/>
                <w:webHidden/>
              </w:rPr>
              <w:t>16</w:t>
            </w:r>
            <w:r w:rsidR="001026E6">
              <w:rPr>
                <w:noProof/>
                <w:webHidden/>
              </w:rPr>
              <w:fldChar w:fldCharType="end"/>
            </w:r>
          </w:hyperlink>
        </w:p>
        <w:p w14:paraId="715C6A4A" w14:textId="1C14D69B" w:rsidR="001026E6" w:rsidRDefault="00447617">
          <w:pPr>
            <w:pStyle w:val="TOC1"/>
            <w:rPr>
              <w:rFonts w:eastAsiaTheme="minorEastAsia"/>
              <w:noProof/>
              <w:lang w:eastAsia="en-GB"/>
            </w:rPr>
          </w:pPr>
          <w:hyperlink w:anchor="_Toc33443080" w:history="1">
            <w:r w:rsidR="001026E6" w:rsidRPr="008574D7">
              <w:rPr>
                <w:rStyle w:val="Hyperlink"/>
                <w:noProof/>
              </w:rPr>
              <w:t>DIGITAL SECURITIES SETTLEMENT</w:t>
            </w:r>
            <w:r w:rsidR="001026E6">
              <w:rPr>
                <w:noProof/>
                <w:webHidden/>
              </w:rPr>
              <w:tab/>
            </w:r>
            <w:r w:rsidR="001026E6">
              <w:rPr>
                <w:noProof/>
                <w:webHidden/>
              </w:rPr>
              <w:fldChar w:fldCharType="begin"/>
            </w:r>
            <w:r w:rsidR="001026E6">
              <w:rPr>
                <w:noProof/>
                <w:webHidden/>
              </w:rPr>
              <w:instrText xml:space="preserve"> PAGEREF _Toc33443080 \h </w:instrText>
            </w:r>
            <w:r w:rsidR="001026E6">
              <w:rPr>
                <w:noProof/>
                <w:webHidden/>
              </w:rPr>
            </w:r>
            <w:r w:rsidR="001026E6">
              <w:rPr>
                <w:noProof/>
                <w:webHidden/>
              </w:rPr>
              <w:fldChar w:fldCharType="separate"/>
            </w:r>
            <w:r w:rsidR="007E7388">
              <w:rPr>
                <w:noProof/>
                <w:webHidden/>
              </w:rPr>
              <w:t>16</w:t>
            </w:r>
            <w:r w:rsidR="001026E6">
              <w:rPr>
                <w:noProof/>
                <w:webHidden/>
              </w:rPr>
              <w:fldChar w:fldCharType="end"/>
            </w:r>
          </w:hyperlink>
        </w:p>
        <w:p w14:paraId="01668F93" w14:textId="68A2A2F1" w:rsidR="001026E6" w:rsidRDefault="00447617">
          <w:pPr>
            <w:pStyle w:val="TOC2"/>
            <w:tabs>
              <w:tab w:val="right" w:leader="dot" w:pos="9016"/>
            </w:tabs>
            <w:rPr>
              <w:rFonts w:eastAsiaTheme="minorEastAsia"/>
              <w:noProof/>
              <w:lang w:eastAsia="en-GB"/>
            </w:rPr>
          </w:pPr>
          <w:hyperlink w:anchor="_Toc33443081" w:history="1">
            <w:r w:rsidR="001026E6" w:rsidRPr="008574D7">
              <w:rPr>
                <w:rStyle w:val="Hyperlink"/>
                <w:noProof/>
              </w:rPr>
              <w:t>Recognised Clearing Houses (RCHs)</w:t>
            </w:r>
            <w:r w:rsidR="001026E6">
              <w:rPr>
                <w:noProof/>
                <w:webHidden/>
              </w:rPr>
              <w:tab/>
            </w:r>
            <w:r w:rsidR="001026E6">
              <w:rPr>
                <w:noProof/>
                <w:webHidden/>
              </w:rPr>
              <w:fldChar w:fldCharType="begin"/>
            </w:r>
            <w:r w:rsidR="001026E6">
              <w:rPr>
                <w:noProof/>
                <w:webHidden/>
              </w:rPr>
              <w:instrText xml:space="preserve"> PAGEREF _Toc33443081 \h </w:instrText>
            </w:r>
            <w:r w:rsidR="001026E6">
              <w:rPr>
                <w:noProof/>
                <w:webHidden/>
              </w:rPr>
            </w:r>
            <w:r w:rsidR="001026E6">
              <w:rPr>
                <w:noProof/>
                <w:webHidden/>
              </w:rPr>
              <w:fldChar w:fldCharType="separate"/>
            </w:r>
            <w:r w:rsidR="007E7388">
              <w:rPr>
                <w:noProof/>
                <w:webHidden/>
              </w:rPr>
              <w:t>17</w:t>
            </w:r>
            <w:r w:rsidR="001026E6">
              <w:rPr>
                <w:noProof/>
                <w:webHidden/>
              </w:rPr>
              <w:fldChar w:fldCharType="end"/>
            </w:r>
          </w:hyperlink>
        </w:p>
        <w:p w14:paraId="569EA316" w14:textId="5C9204AF" w:rsidR="001026E6" w:rsidRDefault="00447617">
          <w:pPr>
            <w:pStyle w:val="TOC2"/>
            <w:tabs>
              <w:tab w:val="right" w:leader="dot" w:pos="9016"/>
            </w:tabs>
            <w:rPr>
              <w:rFonts w:eastAsiaTheme="minorEastAsia"/>
              <w:noProof/>
              <w:lang w:eastAsia="en-GB"/>
            </w:rPr>
          </w:pPr>
          <w:hyperlink w:anchor="_Toc33443082" w:history="1">
            <w:r w:rsidR="001026E6" w:rsidRPr="008574D7">
              <w:rPr>
                <w:rStyle w:val="Hyperlink"/>
                <w:noProof/>
              </w:rPr>
              <w:t>Digital Settlement Facilities (DSFs)</w:t>
            </w:r>
            <w:r w:rsidR="001026E6">
              <w:rPr>
                <w:noProof/>
                <w:webHidden/>
              </w:rPr>
              <w:tab/>
            </w:r>
            <w:r w:rsidR="001026E6">
              <w:rPr>
                <w:noProof/>
                <w:webHidden/>
              </w:rPr>
              <w:fldChar w:fldCharType="begin"/>
            </w:r>
            <w:r w:rsidR="001026E6">
              <w:rPr>
                <w:noProof/>
                <w:webHidden/>
              </w:rPr>
              <w:instrText xml:space="preserve"> PAGEREF _Toc33443082 \h </w:instrText>
            </w:r>
            <w:r w:rsidR="001026E6">
              <w:rPr>
                <w:noProof/>
                <w:webHidden/>
              </w:rPr>
            </w:r>
            <w:r w:rsidR="001026E6">
              <w:rPr>
                <w:noProof/>
                <w:webHidden/>
              </w:rPr>
              <w:fldChar w:fldCharType="separate"/>
            </w:r>
            <w:r w:rsidR="007E7388">
              <w:rPr>
                <w:noProof/>
                <w:webHidden/>
              </w:rPr>
              <w:t>17</w:t>
            </w:r>
            <w:r w:rsidR="001026E6">
              <w:rPr>
                <w:noProof/>
                <w:webHidden/>
              </w:rPr>
              <w:fldChar w:fldCharType="end"/>
            </w:r>
          </w:hyperlink>
        </w:p>
        <w:p w14:paraId="1EE37509" w14:textId="3BFC07B7" w:rsidR="001026E6" w:rsidRDefault="00447617">
          <w:pPr>
            <w:pStyle w:val="TOC1"/>
            <w:rPr>
              <w:rFonts w:eastAsiaTheme="minorEastAsia"/>
              <w:noProof/>
              <w:lang w:eastAsia="en-GB"/>
            </w:rPr>
          </w:pPr>
          <w:hyperlink w:anchor="_Toc33443083" w:history="1">
            <w:r w:rsidR="001026E6" w:rsidRPr="008574D7">
              <w:rPr>
                <w:rStyle w:val="Hyperlink"/>
                <w:noProof/>
              </w:rPr>
              <w:t>AUTHORISED PERSONS CONDUCTING A REGULATED ACTIVITY IN RELATION TO VIRTUAL ASSETS – EXTENSION INTO TO DIGITAL SECURITIES ACTIVITIES</w:t>
            </w:r>
            <w:r w:rsidR="001026E6">
              <w:rPr>
                <w:noProof/>
                <w:webHidden/>
              </w:rPr>
              <w:tab/>
            </w:r>
            <w:r w:rsidR="001026E6">
              <w:rPr>
                <w:noProof/>
                <w:webHidden/>
              </w:rPr>
              <w:fldChar w:fldCharType="begin"/>
            </w:r>
            <w:r w:rsidR="001026E6">
              <w:rPr>
                <w:noProof/>
                <w:webHidden/>
              </w:rPr>
              <w:instrText xml:space="preserve"> PAGEREF _Toc33443083 \h </w:instrText>
            </w:r>
            <w:r w:rsidR="001026E6">
              <w:rPr>
                <w:noProof/>
                <w:webHidden/>
              </w:rPr>
            </w:r>
            <w:r w:rsidR="001026E6">
              <w:rPr>
                <w:noProof/>
                <w:webHidden/>
              </w:rPr>
              <w:fldChar w:fldCharType="separate"/>
            </w:r>
            <w:r w:rsidR="007E7388">
              <w:rPr>
                <w:noProof/>
                <w:webHidden/>
              </w:rPr>
              <w:t>19</w:t>
            </w:r>
            <w:r w:rsidR="001026E6">
              <w:rPr>
                <w:noProof/>
                <w:webHidden/>
              </w:rPr>
              <w:fldChar w:fldCharType="end"/>
            </w:r>
          </w:hyperlink>
        </w:p>
        <w:p w14:paraId="170DAABF" w14:textId="569E0349" w:rsidR="001026E6" w:rsidRDefault="00447617">
          <w:pPr>
            <w:pStyle w:val="TOC2"/>
            <w:tabs>
              <w:tab w:val="right" w:leader="dot" w:pos="9016"/>
            </w:tabs>
            <w:rPr>
              <w:rFonts w:eastAsiaTheme="minorEastAsia"/>
              <w:noProof/>
              <w:lang w:eastAsia="en-GB"/>
            </w:rPr>
          </w:pPr>
          <w:hyperlink w:anchor="_Toc33443084" w:history="1">
            <w:r w:rsidR="001026E6" w:rsidRPr="008574D7">
              <w:rPr>
                <w:rStyle w:val="Hyperlink"/>
                <w:noProof/>
              </w:rPr>
              <w:t>MTFs using Virtual Assets – Extension into trading of Digital Securities</w:t>
            </w:r>
            <w:r w:rsidR="001026E6">
              <w:rPr>
                <w:noProof/>
                <w:webHidden/>
              </w:rPr>
              <w:tab/>
            </w:r>
            <w:r w:rsidR="001026E6">
              <w:rPr>
                <w:noProof/>
                <w:webHidden/>
              </w:rPr>
              <w:fldChar w:fldCharType="begin"/>
            </w:r>
            <w:r w:rsidR="001026E6">
              <w:rPr>
                <w:noProof/>
                <w:webHidden/>
              </w:rPr>
              <w:instrText xml:space="preserve"> PAGEREF _Toc33443084 \h </w:instrText>
            </w:r>
            <w:r w:rsidR="001026E6">
              <w:rPr>
                <w:noProof/>
                <w:webHidden/>
              </w:rPr>
            </w:r>
            <w:r w:rsidR="001026E6">
              <w:rPr>
                <w:noProof/>
                <w:webHidden/>
              </w:rPr>
              <w:fldChar w:fldCharType="separate"/>
            </w:r>
            <w:r w:rsidR="007E7388">
              <w:rPr>
                <w:noProof/>
                <w:webHidden/>
              </w:rPr>
              <w:t>20</w:t>
            </w:r>
            <w:r w:rsidR="001026E6">
              <w:rPr>
                <w:noProof/>
                <w:webHidden/>
              </w:rPr>
              <w:fldChar w:fldCharType="end"/>
            </w:r>
          </w:hyperlink>
        </w:p>
        <w:p w14:paraId="025C1803" w14:textId="65FBEA4F" w:rsidR="001026E6" w:rsidRDefault="00447617">
          <w:pPr>
            <w:pStyle w:val="TOC2"/>
            <w:tabs>
              <w:tab w:val="right" w:leader="dot" w:pos="9016"/>
            </w:tabs>
            <w:rPr>
              <w:rFonts w:eastAsiaTheme="minorEastAsia"/>
              <w:noProof/>
              <w:lang w:eastAsia="en-GB"/>
            </w:rPr>
          </w:pPr>
          <w:hyperlink w:anchor="_Toc33443085" w:history="1">
            <w:r w:rsidR="001026E6" w:rsidRPr="008574D7">
              <w:rPr>
                <w:rStyle w:val="Hyperlink"/>
                <w:noProof/>
              </w:rPr>
              <w:t>MTFs using Virtual Assets – Becoming a Digital Securities RIE</w:t>
            </w:r>
            <w:r w:rsidR="001026E6">
              <w:rPr>
                <w:noProof/>
                <w:webHidden/>
              </w:rPr>
              <w:tab/>
            </w:r>
            <w:r w:rsidR="001026E6">
              <w:rPr>
                <w:noProof/>
                <w:webHidden/>
              </w:rPr>
              <w:fldChar w:fldCharType="begin"/>
            </w:r>
            <w:r w:rsidR="001026E6">
              <w:rPr>
                <w:noProof/>
                <w:webHidden/>
              </w:rPr>
              <w:instrText xml:space="preserve"> PAGEREF _Toc33443085 \h </w:instrText>
            </w:r>
            <w:r w:rsidR="001026E6">
              <w:rPr>
                <w:noProof/>
                <w:webHidden/>
              </w:rPr>
            </w:r>
            <w:r w:rsidR="001026E6">
              <w:rPr>
                <w:noProof/>
                <w:webHidden/>
              </w:rPr>
              <w:fldChar w:fldCharType="separate"/>
            </w:r>
            <w:r w:rsidR="007E7388">
              <w:rPr>
                <w:noProof/>
                <w:webHidden/>
              </w:rPr>
              <w:t>21</w:t>
            </w:r>
            <w:r w:rsidR="001026E6">
              <w:rPr>
                <w:noProof/>
                <w:webHidden/>
              </w:rPr>
              <w:fldChar w:fldCharType="end"/>
            </w:r>
          </w:hyperlink>
        </w:p>
        <w:p w14:paraId="2211EE87" w14:textId="474C6A2D" w:rsidR="001026E6" w:rsidRDefault="00447617">
          <w:pPr>
            <w:pStyle w:val="TOC2"/>
            <w:tabs>
              <w:tab w:val="right" w:leader="dot" w:pos="9016"/>
            </w:tabs>
            <w:rPr>
              <w:rFonts w:eastAsiaTheme="minorEastAsia"/>
              <w:noProof/>
              <w:lang w:eastAsia="en-GB"/>
            </w:rPr>
          </w:pPr>
          <w:hyperlink w:anchor="_Toc33443086" w:history="1">
            <w:r w:rsidR="001026E6" w:rsidRPr="008574D7">
              <w:rPr>
                <w:rStyle w:val="Hyperlink"/>
                <w:noProof/>
              </w:rPr>
              <w:t>Virtual Asset Custodian – Becoming a DSF</w:t>
            </w:r>
            <w:r w:rsidR="001026E6">
              <w:rPr>
                <w:noProof/>
                <w:webHidden/>
              </w:rPr>
              <w:tab/>
            </w:r>
            <w:r w:rsidR="001026E6">
              <w:rPr>
                <w:noProof/>
                <w:webHidden/>
              </w:rPr>
              <w:fldChar w:fldCharType="begin"/>
            </w:r>
            <w:r w:rsidR="001026E6">
              <w:rPr>
                <w:noProof/>
                <w:webHidden/>
              </w:rPr>
              <w:instrText xml:space="preserve"> PAGEREF _Toc33443086 \h </w:instrText>
            </w:r>
            <w:r w:rsidR="001026E6">
              <w:rPr>
                <w:noProof/>
                <w:webHidden/>
              </w:rPr>
            </w:r>
            <w:r w:rsidR="001026E6">
              <w:rPr>
                <w:noProof/>
                <w:webHidden/>
              </w:rPr>
              <w:fldChar w:fldCharType="separate"/>
            </w:r>
            <w:r w:rsidR="007E7388">
              <w:rPr>
                <w:noProof/>
                <w:webHidden/>
              </w:rPr>
              <w:t>21</w:t>
            </w:r>
            <w:r w:rsidR="001026E6">
              <w:rPr>
                <w:noProof/>
                <w:webHidden/>
              </w:rPr>
              <w:fldChar w:fldCharType="end"/>
            </w:r>
          </w:hyperlink>
        </w:p>
        <w:p w14:paraId="24F876CE" w14:textId="55CCAC0E" w:rsidR="001026E6" w:rsidRDefault="00447617">
          <w:pPr>
            <w:pStyle w:val="TOC1"/>
            <w:rPr>
              <w:rFonts w:eastAsiaTheme="minorEastAsia"/>
              <w:noProof/>
              <w:lang w:eastAsia="en-GB"/>
            </w:rPr>
          </w:pPr>
          <w:hyperlink w:anchor="_Toc33443087" w:history="1">
            <w:r w:rsidR="001026E6" w:rsidRPr="008574D7">
              <w:rPr>
                <w:rStyle w:val="Hyperlink"/>
                <w:noProof/>
              </w:rPr>
              <w:t>CONVENTIONAL MARKET INFRASTRUCTURES &amp; DIGITAL SECURITIES</w:t>
            </w:r>
            <w:r w:rsidR="001026E6">
              <w:rPr>
                <w:noProof/>
                <w:webHidden/>
              </w:rPr>
              <w:tab/>
            </w:r>
            <w:r w:rsidR="001026E6">
              <w:rPr>
                <w:noProof/>
                <w:webHidden/>
              </w:rPr>
              <w:fldChar w:fldCharType="begin"/>
            </w:r>
            <w:r w:rsidR="001026E6">
              <w:rPr>
                <w:noProof/>
                <w:webHidden/>
              </w:rPr>
              <w:instrText xml:space="preserve"> PAGEREF _Toc33443087 \h </w:instrText>
            </w:r>
            <w:r w:rsidR="001026E6">
              <w:rPr>
                <w:noProof/>
                <w:webHidden/>
              </w:rPr>
            </w:r>
            <w:r w:rsidR="001026E6">
              <w:rPr>
                <w:noProof/>
                <w:webHidden/>
              </w:rPr>
              <w:fldChar w:fldCharType="separate"/>
            </w:r>
            <w:r w:rsidR="007E7388">
              <w:rPr>
                <w:noProof/>
                <w:webHidden/>
              </w:rPr>
              <w:t>22</w:t>
            </w:r>
            <w:r w:rsidR="001026E6">
              <w:rPr>
                <w:noProof/>
                <w:webHidden/>
              </w:rPr>
              <w:fldChar w:fldCharType="end"/>
            </w:r>
          </w:hyperlink>
        </w:p>
        <w:p w14:paraId="6AF28B6F" w14:textId="76EB2CBA" w:rsidR="001026E6" w:rsidRDefault="00447617">
          <w:pPr>
            <w:pStyle w:val="TOC2"/>
            <w:tabs>
              <w:tab w:val="right" w:leader="dot" w:pos="9016"/>
            </w:tabs>
            <w:rPr>
              <w:rFonts w:eastAsiaTheme="minorEastAsia"/>
              <w:noProof/>
              <w:lang w:eastAsia="en-GB"/>
            </w:rPr>
          </w:pPr>
          <w:hyperlink w:anchor="_Toc33443088" w:history="1">
            <w:r w:rsidR="001026E6" w:rsidRPr="008574D7">
              <w:rPr>
                <w:rStyle w:val="Hyperlink"/>
                <w:noProof/>
              </w:rPr>
              <w:t>RIEs &amp; Digital Securities</w:t>
            </w:r>
            <w:r w:rsidR="001026E6">
              <w:rPr>
                <w:noProof/>
                <w:webHidden/>
              </w:rPr>
              <w:tab/>
            </w:r>
            <w:r w:rsidR="001026E6">
              <w:rPr>
                <w:noProof/>
                <w:webHidden/>
              </w:rPr>
              <w:fldChar w:fldCharType="begin"/>
            </w:r>
            <w:r w:rsidR="001026E6">
              <w:rPr>
                <w:noProof/>
                <w:webHidden/>
              </w:rPr>
              <w:instrText xml:space="preserve"> PAGEREF _Toc33443088 \h </w:instrText>
            </w:r>
            <w:r w:rsidR="001026E6">
              <w:rPr>
                <w:noProof/>
                <w:webHidden/>
              </w:rPr>
            </w:r>
            <w:r w:rsidR="001026E6">
              <w:rPr>
                <w:noProof/>
                <w:webHidden/>
              </w:rPr>
              <w:fldChar w:fldCharType="separate"/>
            </w:r>
            <w:r w:rsidR="007E7388">
              <w:rPr>
                <w:noProof/>
                <w:webHidden/>
              </w:rPr>
              <w:t>22</w:t>
            </w:r>
            <w:r w:rsidR="001026E6">
              <w:rPr>
                <w:noProof/>
                <w:webHidden/>
              </w:rPr>
              <w:fldChar w:fldCharType="end"/>
            </w:r>
          </w:hyperlink>
        </w:p>
        <w:p w14:paraId="75DC0FEA" w14:textId="5D6FBEF7" w:rsidR="001026E6" w:rsidRDefault="00447617">
          <w:pPr>
            <w:pStyle w:val="TOC2"/>
            <w:tabs>
              <w:tab w:val="right" w:leader="dot" w:pos="9016"/>
            </w:tabs>
            <w:rPr>
              <w:rFonts w:eastAsiaTheme="minorEastAsia"/>
              <w:noProof/>
              <w:lang w:eastAsia="en-GB"/>
            </w:rPr>
          </w:pPr>
          <w:hyperlink w:anchor="_Toc33443089" w:history="1">
            <w:r w:rsidR="001026E6" w:rsidRPr="008574D7">
              <w:rPr>
                <w:rStyle w:val="Hyperlink"/>
                <w:noProof/>
              </w:rPr>
              <w:t>MTFs &amp; Digital Securities</w:t>
            </w:r>
            <w:r w:rsidR="001026E6">
              <w:rPr>
                <w:noProof/>
                <w:webHidden/>
              </w:rPr>
              <w:tab/>
            </w:r>
            <w:r w:rsidR="001026E6">
              <w:rPr>
                <w:noProof/>
                <w:webHidden/>
              </w:rPr>
              <w:fldChar w:fldCharType="begin"/>
            </w:r>
            <w:r w:rsidR="001026E6">
              <w:rPr>
                <w:noProof/>
                <w:webHidden/>
              </w:rPr>
              <w:instrText xml:space="preserve"> PAGEREF _Toc33443089 \h </w:instrText>
            </w:r>
            <w:r w:rsidR="001026E6">
              <w:rPr>
                <w:noProof/>
                <w:webHidden/>
              </w:rPr>
            </w:r>
            <w:r w:rsidR="001026E6">
              <w:rPr>
                <w:noProof/>
                <w:webHidden/>
              </w:rPr>
              <w:fldChar w:fldCharType="separate"/>
            </w:r>
            <w:r w:rsidR="007E7388">
              <w:rPr>
                <w:noProof/>
                <w:webHidden/>
              </w:rPr>
              <w:t>23</w:t>
            </w:r>
            <w:r w:rsidR="001026E6">
              <w:rPr>
                <w:noProof/>
                <w:webHidden/>
              </w:rPr>
              <w:fldChar w:fldCharType="end"/>
            </w:r>
          </w:hyperlink>
        </w:p>
        <w:p w14:paraId="165B881C" w14:textId="0590D5DB" w:rsidR="001026E6" w:rsidRDefault="00447617">
          <w:pPr>
            <w:pStyle w:val="TOC2"/>
            <w:tabs>
              <w:tab w:val="right" w:leader="dot" w:pos="9016"/>
            </w:tabs>
            <w:rPr>
              <w:rFonts w:eastAsiaTheme="minorEastAsia"/>
              <w:noProof/>
              <w:lang w:eastAsia="en-GB"/>
            </w:rPr>
          </w:pPr>
          <w:hyperlink w:anchor="_Toc33443090" w:history="1">
            <w:r w:rsidR="001026E6" w:rsidRPr="008574D7">
              <w:rPr>
                <w:rStyle w:val="Hyperlink"/>
                <w:noProof/>
              </w:rPr>
              <w:t>RCHs &amp; Digital Securities</w:t>
            </w:r>
            <w:r w:rsidR="001026E6">
              <w:rPr>
                <w:noProof/>
                <w:webHidden/>
              </w:rPr>
              <w:tab/>
            </w:r>
            <w:r w:rsidR="001026E6">
              <w:rPr>
                <w:noProof/>
                <w:webHidden/>
              </w:rPr>
              <w:fldChar w:fldCharType="begin"/>
            </w:r>
            <w:r w:rsidR="001026E6">
              <w:rPr>
                <w:noProof/>
                <w:webHidden/>
              </w:rPr>
              <w:instrText xml:space="preserve"> PAGEREF _Toc33443090 \h </w:instrText>
            </w:r>
            <w:r w:rsidR="001026E6">
              <w:rPr>
                <w:noProof/>
                <w:webHidden/>
              </w:rPr>
            </w:r>
            <w:r w:rsidR="001026E6">
              <w:rPr>
                <w:noProof/>
                <w:webHidden/>
              </w:rPr>
              <w:fldChar w:fldCharType="separate"/>
            </w:r>
            <w:r w:rsidR="007E7388">
              <w:rPr>
                <w:noProof/>
                <w:webHidden/>
              </w:rPr>
              <w:t>23</w:t>
            </w:r>
            <w:r w:rsidR="001026E6">
              <w:rPr>
                <w:noProof/>
                <w:webHidden/>
              </w:rPr>
              <w:fldChar w:fldCharType="end"/>
            </w:r>
          </w:hyperlink>
        </w:p>
        <w:p w14:paraId="508156A3" w14:textId="72CC5EC2" w:rsidR="001026E6" w:rsidRDefault="00447617">
          <w:pPr>
            <w:pStyle w:val="TOC1"/>
            <w:rPr>
              <w:rFonts w:eastAsiaTheme="minorEastAsia"/>
              <w:noProof/>
              <w:lang w:eastAsia="en-GB"/>
            </w:rPr>
          </w:pPr>
          <w:hyperlink w:anchor="_Toc33443091" w:history="1">
            <w:r w:rsidR="001026E6" w:rsidRPr="008574D7">
              <w:rPr>
                <w:rStyle w:val="Hyperlink"/>
                <w:noProof/>
              </w:rPr>
              <w:t>DIGITAL SECURITIES – INTERMEDIARIES</w:t>
            </w:r>
            <w:r w:rsidR="001026E6">
              <w:rPr>
                <w:noProof/>
                <w:webHidden/>
              </w:rPr>
              <w:tab/>
            </w:r>
            <w:r w:rsidR="001026E6">
              <w:rPr>
                <w:noProof/>
                <w:webHidden/>
              </w:rPr>
              <w:fldChar w:fldCharType="begin"/>
            </w:r>
            <w:r w:rsidR="001026E6">
              <w:rPr>
                <w:noProof/>
                <w:webHidden/>
              </w:rPr>
              <w:instrText xml:space="preserve"> PAGEREF _Toc33443091 \h </w:instrText>
            </w:r>
            <w:r w:rsidR="001026E6">
              <w:rPr>
                <w:noProof/>
                <w:webHidden/>
              </w:rPr>
            </w:r>
            <w:r w:rsidR="001026E6">
              <w:rPr>
                <w:noProof/>
                <w:webHidden/>
              </w:rPr>
              <w:fldChar w:fldCharType="separate"/>
            </w:r>
            <w:r w:rsidR="007E7388">
              <w:rPr>
                <w:noProof/>
                <w:webHidden/>
              </w:rPr>
              <w:t>24</w:t>
            </w:r>
            <w:r w:rsidR="001026E6">
              <w:rPr>
                <w:noProof/>
                <w:webHidden/>
              </w:rPr>
              <w:fldChar w:fldCharType="end"/>
            </w:r>
          </w:hyperlink>
        </w:p>
        <w:p w14:paraId="0CE59B76" w14:textId="5CF1A8A6" w:rsidR="001026E6" w:rsidRDefault="00447617">
          <w:pPr>
            <w:pStyle w:val="TOC2"/>
            <w:tabs>
              <w:tab w:val="right" w:leader="dot" w:pos="9016"/>
            </w:tabs>
            <w:rPr>
              <w:rFonts w:eastAsiaTheme="minorEastAsia"/>
              <w:noProof/>
              <w:lang w:eastAsia="en-GB"/>
            </w:rPr>
          </w:pPr>
          <w:hyperlink w:anchor="_Toc33443092" w:history="1">
            <w:r w:rsidR="001026E6" w:rsidRPr="008574D7">
              <w:rPr>
                <w:rStyle w:val="Hyperlink"/>
                <w:noProof/>
              </w:rPr>
              <w:t>Conventional Intermediaries – Digital Securities</w:t>
            </w:r>
            <w:r w:rsidR="001026E6">
              <w:rPr>
                <w:noProof/>
                <w:webHidden/>
              </w:rPr>
              <w:tab/>
            </w:r>
            <w:r w:rsidR="001026E6">
              <w:rPr>
                <w:noProof/>
                <w:webHidden/>
              </w:rPr>
              <w:fldChar w:fldCharType="begin"/>
            </w:r>
            <w:r w:rsidR="001026E6">
              <w:rPr>
                <w:noProof/>
                <w:webHidden/>
              </w:rPr>
              <w:instrText xml:space="preserve"> PAGEREF _Toc33443092 \h </w:instrText>
            </w:r>
            <w:r w:rsidR="001026E6">
              <w:rPr>
                <w:noProof/>
                <w:webHidden/>
              </w:rPr>
            </w:r>
            <w:r w:rsidR="001026E6">
              <w:rPr>
                <w:noProof/>
                <w:webHidden/>
              </w:rPr>
              <w:fldChar w:fldCharType="separate"/>
            </w:r>
            <w:r w:rsidR="007E7388">
              <w:rPr>
                <w:noProof/>
                <w:webHidden/>
              </w:rPr>
              <w:t>24</w:t>
            </w:r>
            <w:r w:rsidR="001026E6">
              <w:rPr>
                <w:noProof/>
                <w:webHidden/>
              </w:rPr>
              <w:fldChar w:fldCharType="end"/>
            </w:r>
          </w:hyperlink>
        </w:p>
        <w:p w14:paraId="5F89B516" w14:textId="508BC48C" w:rsidR="001026E6" w:rsidRDefault="00447617">
          <w:pPr>
            <w:pStyle w:val="TOC2"/>
            <w:tabs>
              <w:tab w:val="right" w:leader="dot" w:pos="9016"/>
            </w:tabs>
            <w:rPr>
              <w:rFonts w:eastAsiaTheme="minorEastAsia"/>
              <w:noProof/>
              <w:lang w:eastAsia="en-GB"/>
            </w:rPr>
          </w:pPr>
          <w:hyperlink w:anchor="_Toc33443093" w:history="1">
            <w:r w:rsidR="001026E6" w:rsidRPr="008574D7">
              <w:rPr>
                <w:rStyle w:val="Hyperlink"/>
                <w:noProof/>
              </w:rPr>
              <w:t>Intermediaries conducting a Regulated Activity in relation to Virtual Assets</w:t>
            </w:r>
            <w:r w:rsidR="001026E6" w:rsidRPr="008574D7">
              <w:rPr>
                <w:rStyle w:val="Hyperlink"/>
                <w:i/>
                <w:iCs/>
                <w:noProof/>
              </w:rPr>
              <w:t xml:space="preserve"> – </w:t>
            </w:r>
            <w:r w:rsidR="001026E6" w:rsidRPr="008574D7">
              <w:rPr>
                <w:rStyle w:val="Hyperlink"/>
                <w:noProof/>
              </w:rPr>
              <w:t>Extension into Digital Securities</w:t>
            </w:r>
            <w:r w:rsidR="001026E6">
              <w:rPr>
                <w:noProof/>
                <w:webHidden/>
              </w:rPr>
              <w:tab/>
            </w:r>
            <w:r w:rsidR="001026E6">
              <w:rPr>
                <w:noProof/>
                <w:webHidden/>
              </w:rPr>
              <w:fldChar w:fldCharType="begin"/>
            </w:r>
            <w:r w:rsidR="001026E6">
              <w:rPr>
                <w:noProof/>
                <w:webHidden/>
              </w:rPr>
              <w:instrText xml:space="preserve"> PAGEREF _Toc33443093 \h </w:instrText>
            </w:r>
            <w:r w:rsidR="001026E6">
              <w:rPr>
                <w:noProof/>
                <w:webHidden/>
              </w:rPr>
            </w:r>
            <w:r w:rsidR="001026E6">
              <w:rPr>
                <w:noProof/>
                <w:webHidden/>
              </w:rPr>
              <w:fldChar w:fldCharType="separate"/>
            </w:r>
            <w:r w:rsidR="007E7388">
              <w:rPr>
                <w:noProof/>
                <w:webHidden/>
              </w:rPr>
              <w:t>24</w:t>
            </w:r>
            <w:r w:rsidR="001026E6">
              <w:rPr>
                <w:noProof/>
                <w:webHidden/>
              </w:rPr>
              <w:fldChar w:fldCharType="end"/>
            </w:r>
          </w:hyperlink>
        </w:p>
        <w:p w14:paraId="40F5082D" w14:textId="25466D9B" w:rsidR="001026E6" w:rsidRDefault="00447617">
          <w:pPr>
            <w:pStyle w:val="TOC2"/>
            <w:tabs>
              <w:tab w:val="right" w:leader="dot" w:pos="9016"/>
            </w:tabs>
            <w:rPr>
              <w:rFonts w:eastAsiaTheme="minorEastAsia"/>
              <w:noProof/>
              <w:lang w:eastAsia="en-GB"/>
            </w:rPr>
          </w:pPr>
          <w:hyperlink w:anchor="_Toc33443094" w:history="1">
            <w:r w:rsidR="001026E6" w:rsidRPr="008574D7">
              <w:rPr>
                <w:rStyle w:val="Hyperlink"/>
                <w:noProof/>
              </w:rPr>
              <w:t>Private Financing Platforms (PFPs)</w:t>
            </w:r>
            <w:r w:rsidR="001026E6">
              <w:rPr>
                <w:noProof/>
                <w:webHidden/>
              </w:rPr>
              <w:tab/>
            </w:r>
            <w:r w:rsidR="001026E6">
              <w:rPr>
                <w:noProof/>
                <w:webHidden/>
              </w:rPr>
              <w:fldChar w:fldCharType="begin"/>
            </w:r>
            <w:r w:rsidR="001026E6">
              <w:rPr>
                <w:noProof/>
                <w:webHidden/>
              </w:rPr>
              <w:instrText xml:space="preserve"> PAGEREF _Toc33443094 \h </w:instrText>
            </w:r>
            <w:r w:rsidR="001026E6">
              <w:rPr>
                <w:noProof/>
                <w:webHidden/>
              </w:rPr>
            </w:r>
            <w:r w:rsidR="001026E6">
              <w:rPr>
                <w:noProof/>
                <w:webHidden/>
              </w:rPr>
              <w:fldChar w:fldCharType="separate"/>
            </w:r>
            <w:r w:rsidR="007E7388">
              <w:rPr>
                <w:noProof/>
                <w:webHidden/>
              </w:rPr>
              <w:t>25</w:t>
            </w:r>
            <w:r w:rsidR="001026E6">
              <w:rPr>
                <w:noProof/>
                <w:webHidden/>
              </w:rPr>
              <w:fldChar w:fldCharType="end"/>
            </w:r>
          </w:hyperlink>
        </w:p>
        <w:p w14:paraId="13477181" w14:textId="666C0DAD" w:rsidR="001026E6" w:rsidRDefault="00447617">
          <w:pPr>
            <w:pStyle w:val="TOC1"/>
            <w:rPr>
              <w:rFonts w:eastAsiaTheme="minorEastAsia"/>
              <w:noProof/>
              <w:lang w:eastAsia="en-GB"/>
            </w:rPr>
          </w:pPr>
          <w:hyperlink w:anchor="_Toc33443095" w:history="1">
            <w:r w:rsidR="001026E6" w:rsidRPr="008574D7">
              <w:rPr>
                <w:rStyle w:val="Hyperlink"/>
                <w:noProof/>
              </w:rPr>
              <w:t>DIGITAL SECURITIES – SPECIFIC REGULATORY CONSIDERATIONS</w:t>
            </w:r>
            <w:r w:rsidR="001026E6">
              <w:rPr>
                <w:noProof/>
                <w:webHidden/>
              </w:rPr>
              <w:tab/>
            </w:r>
            <w:r w:rsidR="001026E6">
              <w:rPr>
                <w:noProof/>
                <w:webHidden/>
              </w:rPr>
              <w:fldChar w:fldCharType="begin"/>
            </w:r>
            <w:r w:rsidR="001026E6">
              <w:rPr>
                <w:noProof/>
                <w:webHidden/>
              </w:rPr>
              <w:instrText xml:space="preserve"> PAGEREF _Toc33443095 \h </w:instrText>
            </w:r>
            <w:r w:rsidR="001026E6">
              <w:rPr>
                <w:noProof/>
                <w:webHidden/>
              </w:rPr>
            </w:r>
            <w:r w:rsidR="001026E6">
              <w:rPr>
                <w:noProof/>
                <w:webHidden/>
              </w:rPr>
              <w:fldChar w:fldCharType="separate"/>
            </w:r>
            <w:r w:rsidR="007E7388">
              <w:rPr>
                <w:noProof/>
                <w:webHidden/>
              </w:rPr>
              <w:t>25</w:t>
            </w:r>
            <w:r w:rsidR="001026E6">
              <w:rPr>
                <w:noProof/>
                <w:webHidden/>
              </w:rPr>
              <w:fldChar w:fldCharType="end"/>
            </w:r>
          </w:hyperlink>
        </w:p>
        <w:p w14:paraId="36DA1C75" w14:textId="1EA5A260" w:rsidR="001026E6" w:rsidRDefault="00447617">
          <w:pPr>
            <w:pStyle w:val="TOC2"/>
            <w:tabs>
              <w:tab w:val="right" w:leader="dot" w:pos="9016"/>
            </w:tabs>
            <w:rPr>
              <w:rFonts w:eastAsiaTheme="minorEastAsia"/>
              <w:noProof/>
              <w:lang w:eastAsia="en-GB"/>
            </w:rPr>
          </w:pPr>
          <w:hyperlink w:anchor="_Toc33443096" w:history="1">
            <w:r w:rsidR="001026E6" w:rsidRPr="008574D7">
              <w:rPr>
                <w:rStyle w:val="Hyperlink"/>
                <w:noProof/>
              </w:rPr>
              <w:t>Technology Governance and Controls</w:t>
            </w:r>
            <w:r w:rsidR="001026E6">
              <w:rPr>
                <w:noProof/>
                <w:webHidden/>
              </w:rPr>
              <w:tab/>
            </w:r>
            <w:r w:rsidR="001026E6">
              <w:rPr>
                <w:noProof/>
                <w:webHidden/>
              </w:rPr>
              <w:fldChar w:fldCharType="begin"/>
            </w:r>
            <w:r w:rsidR="001026E6">
              <w:rPr>
                <w:noProof/>
                <w:webHidden/>
              </w:rPr>
              <w:instrText xml:space="preserve"> PAGEREF _Toc33443096 \h </w:instrText>
            </w:r>
            <w:r w:rsidR="001026E6">
              <w:rPr>
                <w:noProof/>
                <w:webHidden/>
              </w:rPr>
            </w:r>
            <w:r w:rsidR="001026E6">
              <w:rPr>
                <w:noProof/>
                <w:webHidden/>
              </w:rPr>
              <w:fldChar w:fldCharType="separate"/>
            </w:r>
            <w:r w:rsidR="007E7388">
              <w:rPr>
                <w:noProof/>
                <w:webHidden/>
              </w:rPr>
              <w:t>25</w:t>
            </w:r>
            <w:r w:rsidR="001026E6">
              <w:rPr>
                <w:noProof/>
                <w:webHidden/>
              </w:rPr>
              <w:fldChar w:fldCharType="end"/>
            </w:r>
          </w:hyperlink>
        </w:p>
        <w:p w14:paraId="68828FFD" w14:textId="34B266A1" w:rsidR="001026E6" w:rsidRDefault="00447617">
          <w:pPr>
            <w:pStyle w:val="TOC2"/>
            <w:tabs>
              <w:tab w:val="right" w:leader="dot" w:pos="9016"/>
            </w:tabs>
            <w:rPr>
              <w:rFonts w:eastAsiaTheme="minorEastAsia"/>
              <w:noProof/>
              <w:lang w:eastAsia="en-GB"/>
            </w:rPr>
          </w:pPr>
          <w:hyperlink w:anchor="_Toc33443097" w:history="1">
            <w:r w:rsidR="001026E6" w:rsidRPr="008574D7">
              <w:rPr>
                <w:rStyle w:val="Hyperlink"/>
                <w:noProof/>
              </w:rPr>
              <w:t>DLT Access Implications - Offers, Issuance &amp; Trading</w:t>
            </w:r>
            <w:r w:rsidR="001026E6">
              <w:rPr>
                <w:noProof/>
                <w:webHidden/>
              </w:rPr>
              <w:tab/>
            </w:r>
            <w:r w:rsidR="001026E6">
              <w:rPr>
                <w:noProof/>
                <w:webHidden/>
              </w:rPr>
              <w:fldChar w:fldCharType="begin"/>
            </w:r>
            <w:r w:rsidR="001026E6">
              <w:rPr>
                <w:noProof/>
                <w:webHidden/>
              </w:rPr>
              <w:instrText xml:space="preserve"> PAGEREF _Toc33443097 \h </w:instrText>
            </w:r>
            <w:r w:rsidR="001026E6">
              <w:rPr>
                <w:noProof/>
                <w:webHidden/>
              </w:rPr>
            </w:r>
            <w:r w:rsidR="001026E6">
              <w:rPr>
                <w:noProof/>
                <w:webHidden/>
              </w:rPr>
              <w:fldChar w:fldCharType="separate"/>
            </w:r>
            <w:r w:rsidR="007E7388">
              <w:rPr>
                <w:noProof/>
                <w:webHidden/>
              </w:rPr>
              <w:t>26</w:t>
            </w:r>
            <w:r w:rsidR="001026E6">
              <w:rPr>
                <w:noProof/>
                <w:webHidden/>
              </w:rPr>
              <w:fldChar w:fldCharType="end"/>
            </w:r>
          </w:hyperlink>
        </w:p>
        <w:p w14:paraId="73DAD4CB" w14:textId="223B44C1" w:rsidR="001026E6" w:rsidRDefault="00447617">
          <w:pPr>
            <w:pStyle w:val="TOC2"/>
            <w:tabs>
              <w:tab w:val="right" w:leader="dot" w:pos="9016"/>
            </w:tabs>
            <w:rPr>
              <w:rFonts w:eastAsiaTheme="minorEastAsia"/>
              <w:noProof/>
              <w:lang w:eastAsia="en-GB"/>
            </w:rPr>
          </w:pPr>
          <w:hyperlink w:anchor="_Toc33443098" w:history="1">
            <w:r w:rsidR="001026E6" w:rsidRPr="008574D7">
              <w:rPr>
                <w:rStyle w:val="Hyperlink"/>
                <w:noProof/>
              </w:rPr>
              <w:t>Subscriptions to an Offer of Digital Securities</w:t>
            </w:r>
            <w:r w:rsidR="001026E6">
              <w:rPr>
                <w:noProof/>
                <w:webHidden/>
              </w:rPr>
              <w:tab/>
            </w:r>
            <w:r w:rsidR="001026E6">
              <w:rPr>
                <w:noProof/>
                <w:webHidden/>
              </w:rPr>
              <w:fldChar w:fldCharType="begin"/>
            </w:r>
            <w:r w:rsidR="001026E6">
              <w:rPr>
                <w:noProof/>
                <w:webHidden/>
              </w:rPr>
              <w:instrText xml:space="preserve"> PAGEREF _Toc33443098 \h </w:instrText>
            </w:r>
            <w:r w:rsidR="001026E6">
              <w:rPr>
                <w:noProof/>
                <w:webHidden/>
              </w:rPr>
            </w:r>
            <w:r w:rsidR="001026E6">
              <w:rPr>
                <w:noProof/>
                <w:webHidden/>
              </w:rPr>
              <w:fldChar w:fldCharType="separate"/>
            </w:r>
            <w:r w:rsidR="007E7388">
              <w:rPr>
                <w:noProof/>
                <w:webHidden/>
              </w:rPr>
              <w:t>26</w:t>
            </w:r>
            <w:r w:rsidR="001026E6">
              <w:rPr>
                <w:noProof/>
                <w:webHidden/>
              </w:rPr>
              <w:fldChar w:fldCharType="end"/>
            </w:r>
          </w:hyperlink>
        </w:p>
        <w:p w14:paraId="2D226190" w14:textId="04FD3501" w:rsidR="001026E6" w:rsidRDefault="00447617">
          <w:pPr>
            <w:pStyle w:val="TOC2"/>
            <w:tabs>
              <w:tab w:val="right" w:leader="dot" w:pos="9016"/>
            </w:tabs>
            <w:rPr>
              <w:rFonts w:eastAsiaTheme="minorEastAsia"/>
              <w:noProof/>
              <w:lang w:eastAsia="en-GB"/>
            </w:rPr>
          </w:pPr>
          <w:hyperlink w:anchor="_Toc33443099" w:history="1">
            <w:r w:rsidR="001026E6" w:rsidRPr="008574D7">
              <w:rPr>
                <w:rStyle w:val="Hyperlink"/>
                <w:noProof/>
              </w:rPr>
              <w:t>Market Abuse, Transaction Reporting and Misleading Impressions (FSMR)</w:t>
            </w:r>
            <w:r w:rsidR="001026E6">
              <w:rPr>
                <w:noProof/>
                <w:webHidden/>
              </w:rPr>
              <w:tab/>
            </w:r>
            <w:r w:rsidR="001026E6">
              <w:rPr>
                <w:noProof/>
                <w:webHidden/>
              </w:rPr>
              <w:fldChar w:fldCharType="begin"/>
            </w:r>
            <w:r w:rsidR="001026E6">
              <w:rPr>
                <w:noProof/>
                <w:webHidden/>
              </w:rPr>
              <w:instrText xml:space="preserve"> PAGEREF _Toc33443099 \h </w:instrText>
            </w:r>
            <w:r w:rsidR="001026E6">
              <w:rPr>
                <w:noProof/>
                <w:webHidden/>
              </w:rPr>
            </w:r>
            <w:r w:rsidR="001026E6">
              <w:rPr>
                <w:noProof/>
                <w:webHidden/>
              </w:rPr>
              <w:fldChar w:fldCharType="separate"/>
            </w:r>
            <w:r w:rsidR="007E7388">
              <w:rPr>
                <w:noProof/>
                <w:webHidden/>
              </w:rPr>
              <w:t>26</w:t>
            </w:r>
            <w:r w:rsidR="001026E6">
              <w:rPr>
                <w:noProof/>
                <w:webHidden/>
              </w:rPr>
              <w:fldChar w:fldCharType="end"/>
            </w:r>
          </w:hyperlink>
        </w:p>
        <w:p w14:paraId="1B05A7DB" w14:textId="3E4DCCA6" w:rsidR="001026E6" w:rsidRDefault="00447617">
          <w:pPr>
            <w:pStyle w:val="TOC2"/>
            <w:tabs>
              <w:tab w:val="right" w:leader="dot" w:pos="9016"/>
            </w:tabs>
            <w:rPr>
              <w:rFonts w:eastAsiaTheme="minorEastAsia"/>
              <w:noProof/>
              <w:lang w:eastAsia="en-GB"/>
            </w:rPr>
          </w:pPr>
          <w:hyperlink w:anchor="_Toc33443100" w:history="1">
            <w:r w:rsidR="001026E6" w:rsidRPr="008574D7">
              <w:rPr>
                <w:rStyle w:val="Hyperlink"/>
                <w:noProof/>
              </w:rPr>
              <w:t>Substance requirements</w:t>
            </w:r>
            <w:r w:rsidR="001026E6">
              <w:rPr>
                <w:noProof/>
                <w:webHidden/>
              </w:rPr>
              <w:tab/>
            </w:r>
            <w:r w:rsidR="001026E6">
              <w:rPr>
                <w:noProof/>
                <w:webHidden/>
              </w:rPr>
              <w:fldChar w:fldCharType="begin"/>
            </w:r>
            <w:r w:rsidR="001026E6">
              <w:rPr>
                <w:noProof/>
                <w:webHidden/>
              </w:rPr>
              <w:instrText xml:space="preserve"> PAGEREF _Toc33443100 \h </w:instrText>
            </w:r>
            <w:r w:rsidR="001026E6">
              <w:rPr>
                <w:noProof/>
                <w:webHidden/>
              </w:rPr>
            </w:r>
            <w:r w:rsidR="001026E6">
              <w:rPr>
                <w:noProof/>
                <w:webHidden/>
              </w:rPr>
              <w:fldChar w:fldCharType="separate"/>
            </w:r>
            <w:r w:rsidR="007E7388">
              <w:rPr>
                <w:noProof/>
                <w:webHidden/>
              </w:rPr>
              <w:t>27</w:t>
            </w:r>
            <w:r w:rsidR="001026E6">
              <w:rPr>
                <w:noProof/>
                <w:webHidden/>
              </w:rPr>
              <w:fldChar w:fldCharType="end"/>
            </w:r>
          </w:hyperlink>
        </w:p>
        <w:p w14:paraId="43054E88" w14:textId="1CBE6CFD" w:rsidR="001026E6" w:rsidRDefault="00447617">
          <w:pPr>
            <w:pStyle w:val="TOC2"/>
            <w:tabs>
              <w:tab w:val="right" w:leader="dot" w:pos="9016"/>
            </w:tabs>
            <w:rPr>
              <w:rFonts w:eastAsiaTheme="minorEastAsia"/>
              <w:noProof/>
              <w:lang w:eastAsia="en-GB"/>
            </w:rPr>
          </w:pPr>
          <w:hyperlink w:anchor="_Toc33443101" w:history="1">
            <w:r w:rsidR="001026E6" w:rsidRPr="008574D7">
              <w:rPr>
                <w:rStyle w:val="Hyperlink"/>
                <w:noProof/>
              </w:rPr>
              <w:t>Third party outsourcing</w:t>
            </w:r>
            <w:r w:rsidR="001026E6">
              <w:rPr>
                <w:noProof/>
                <w:webHidden/>
              </w:rPr>
              <w:tab/>
            </w:r>
            <w:r w:rsidR="001026E6">
              <w:rPr>
                <w:noProof/>
                <w:webHidden/>
              </w:rPr>
              <w:fldChar w:fldCharType="begin"/>
            </w:r>
            <w:r w:rsidR="001026E6">
              <w:rPr>
                <w:noProof/>
                <w:webHidden/>
              </w:rPr>
              <w:instrText xml:space="preserve"> PAGEREF _Toc33443101 \h </w:instrText>
            </w:r>
            <w:r w:rsidR="001026E6">
              <w:rPr>
                <w:noProof/>
                <w:webHidden/>
              </w:rPr>
            </w:r>
            <w:r w:rsidR="001026E6">
              <w:rPr>
                <w:noProof/>
                <w:webHidden/>
              </w:rPr>
              <w:fldChar w:fldCharType="separate"/>
            </w:r>
            <w:r w:rsidR="007E7388">
              <w:rPr>
                <w:noProof/>
                <w:webHidden/>
              </w:rPr>
              <w:t>27</w:t>
            </w:r>
            <w:r w:rsidR="001026E6">
              <w:rPr>
                <w:noProof/>
                <w:webHidden/>
              </w:rPr>
              <w:fldChar w:fldCharType="end"/>
            </w:r>
          </w:hyperlink>
        </w:p>
        <w:p w14:paraId="3DA2864E" w14:textId="3EF98F5F" w:rsidR="001026E6" w:rsidRDefault="00447617">
          <w:pPr>
            <w:pStyle w:val="TOC2"/>
            <w:tabs>
              <w:tab w:val="right" w:leader="dot" w:pos="9016"/>
            </w:tabs>
            <w:rPr>
              <w:rFonts w:eastAsiaTheme="minorEastAsia"/>
              <w:noProof/>
              <w:lang w:eastAsia="en-GB"/>
            </w:rPr>
          </w:pPr>
          <w:hyperlink w:anchor="_Toc33443102" w:history="1">
            <w:r w:rsidR="001026E6" w:rsidRPr="008574D7">
              <w:rPr>
                <w:rStyle w:val="Hyperlink"/>
                <w:noProof/>
              </w:rPr>
              <w:t>Anti-Money Laundering and Countering Financing of Terrorism</w:t>
            </w:r>
            <w:r w:rsidR="001026E6">
              <w:rPr>
                <w:noProof/>
                <w:webHidden/>
              </w:rPr>
              <w:tab/>
            </w:r>
            <w:r w:rsidR="001026E6">
              <w:rPr>
                <w:noProof/>
                <w:webHidden/>
              </w:rPr>
              <w:fldChar w:fldCharType="begin"/>
            </w:r>
            <w:r w:rsidR="001026E6">
              <w:rPr>
                <w:noProof/>
                <w:webHidden/>
              </w:rPr>
              <w:instrText xml:space="preserve"> PAGEREF _Toc33443102 \h </w:instrText>
            </w:r>
            <w:r w:rsidR="001026E6">
              <w:rPr>
                <w:noProof/>
                <w:webHidden/>
              </w:rPr>
            </w:r>
            <w:r w:rsidR="001026E6">
              <w:rPr>
                <w:noProof/>
                <w:webHidden/>
              </w:rPr>
              <w:fldChar w:fldCharType="separate"/>
            </w:r>
            <w:r w:rsidR="007E7388">
              <w:rPr>
                <w:noProof/>
                <w:webHidden/>
              </w:rPr>
              <w:t>27</w:t>
            </w:r>
            <w:r w:rsidR="001026E6">
              <w:rPr>
                <w:noProof/>
                <w:webHidden/>
              </w:rPr>
              <w:fldChar w:fldCharType="end"/>
            </w:r>
          </w:hyperlink>
        </w:p>
        <w:p w14:paraId="1F074271" w14:textId="5CF87980" w:rsidR="001026E6" w:rsidRDefault="00447617">
          <w:pPr>
            <w:pStyle w:val="TOC2"/>
            <w:tabs>
              <w:tab w:val="right" w:leader="dot" w:pos="9016"/>
            </w:tabs>
            <w:rPr>
              <w:rFonts w:eastAsiaTheme="minorEastAsia"/>
              <w:noProof/>
              <w:lang w:eastAsia="en-GB"/>
            </w:rPr>
          </w:pPr>
          <w:hyperlink w:anchor="_Toc33443103" w:history="1">
            <w:r w:rsidR="001026E6" w:rsidRPr="008574D7">
              <w:rPr>
                <w:rStyle w:val="Hyperlink"/>
                <w:noProof/>
              </w:rPr>
              <w:t>International Tax Reporting Obligations</w:t>
            </w:r>
            <w:r w:rsidR="001026E6">
              <w:rPr>
                <w:noProof/>
                <w:webHidden/>
              </w:rPr>
              <w:tab/>
            </w:r>
            <w:r w:rsidR="001026E6">
              <w:rPr>
                <w:noProof/>
                <w:webHidden/>
              </w:rPr>
              <w:fldChar w:fldCharType="begin"/>
            </w:r>
            <w:r w:rsidR="001026E6">
              <w:rPr>
                <w:noProof/>
                <w:webHidden/>
              </w:rPr>
              <w:instrText xml:space="preserve"> PAGEREF _Toc33443103 \h </w:instrText>
            </w:r>
            <w:r w:rsidR="001026E6">
              <w:rPr>
                <w:noProof/>
                <w:webHidden/>
              </w:rPr>
            </w:r>
            <w:r w:rsidR="001026E6">
              <w:rPr>
                <w:noProof/>
                <w:webHidden/>
              </w:rPr>
              <w:fldChar w:fldCharType="separate"/>
            </w:r>
            <w:r w:rsidR="007E7388">
              <w:rPr>
                <w:noProof/>
                <w:webHidden/>
              </w:rPr>
              <w:t>28</w:t>
            </w:r>
            <w:r w:rsidR="001026E6">
              <w:rPr>
                <w:noProof/>
                <w:webHidden/>
              </w:rPr>
              <w:fldChar w:fldCharType="end"/>
            </w:r>
          </w:hyperlink>
        </w:p>
        <w:p w14:paraId="748CB64D" w14:textId="713E62E9" w:rsidR="001026E6" w:rsidRDefault="00447617">
          <w:pPr>
            <w:pStyle w:val="TOC2"/>
            <w:tabs>
              <w:tab w:val="right" w:leader="dot" w:pos="9016"/>
            </w:tabs>
            <w:rPr>
              <w:rFonts w:eastAsiaTheme="minorEastAsia"/>
              <w:noProof/>
              <w:lang w:eastAsia="en-GB"/>
            </w:rPr>
          </w:pPr>
          <w:hyperlink w:anchor="_Toc33443104" w:history="1">
            <w:r w:rsidR="001026E6" w:rsidRPr="008574D7">
              <w:rPr>
                <w:rStyle w:val="Hyperlink"/>
                <w:noProof/>
              </w:rPr>
              <w:t>Margin trading</w:t>
            </w:r>
            <w:r w:rsidR="001026E6">
              <w:rPr>
                <w:noProof/>
                <w:webHidden/>
              </w:rPr>
              <w:tab/>
            </w:r>
            <w:r w:rsidR="001026E6">
              <w:rPr>
                <w:noProof/>
                <w:webHidden/>
              </w:rPr>
              <w:fldChar w:fldCharType="begin"/>
            </w:r>
            <w:r w:rsidR="001026E6">
              <w:rPr>
                <w:noProof/>
                <w:webHidden/>
              </w:rPr>
              <w:instrText xml:space="preserve"> PAGEREF _Toc33443104 \h </w:instrText>
            </w:r>
            <w:r w:rsidR="001026E6">
              <w:rPr>
                <w:noProof/>
                <w:webHidden/>
              </w:rPr>
            </w:r>
            <w:r w:rsidR="001026E6">
              <w:rPr>
                <w:noProof/>
                <w:webHidden/>
              </w:rPr>
              <w:fldChar w:fldCharType="separate"/>
            </w:r>
            <w:r w:rsidR="007E7388">
              <w:rPr>
                <w:noProof/>
                <w:webHidden/>
              </w:rPr>
              <w:t>28</w:t>
            </w:r>
            <w:r w:rsidR="001026E6">
              <w:rPr>
                <w:noProof/>
                <w:webHidden/>
              </w:rPr>
              <w:fldChar w:fldCharType="end"/>
            </w:r>
          </w:hyperlink>
        </w:p>
        <w:p w14:paraId="553A8C3A" w14:textId="2A78FAB1" w:rsidR="001026E6" w:rsidRDefault="00447617">
          <w:pPr>
            <w:pStyle w:val="TOC2"/>
            <w:tabs>
              <w:tab w:val="right" w:leader="dot" w:pos="9016"/>
            </w:tabs>
            <w:rPr>
              <w:rFonts w:eastAsiaTheme="minorEastAsia"/>
              <w:noProof/>
              <w:lang w:eastAsia="en-GB"/>
            </w:rPr>
          </w:pPr>
          <w:hyperlink w:anchor="_Toc33443105" w:history="1">
            <w:r w:rsidR="001026E6" w:rsidRPr="008574D7">
              <w:rPr>
                <w:rStyle w:val="Hyperlink"/>
                <w:noProof/>
              </w:rPr>
              <w:t>Islamic Finance Rules</w:t>
            </w:r>
            <w:r w:rsidR="001026E6">
              <w:rPr>
                <w:noProof/>
                <w:webHidden/>
              </w:rPr>
              <w:tab/>
            </w:r>
            <w:r w:rsidR="001026E6">
              <w:rPr>
                <w:noProof/>
                <w:webHidden/>
              </w:rPr>
              <w:fldChar w:fldCharType="begin"/>
            </w:r>
            <w:r w:rsidR="001026E6">
              <w:rPr>
                <w:noProof/>
                <w:webHidden/>
              </w:rPr>
              <w:instrText xml:space="preserve"> PAGEREF _Toc33443105 \h </w:instrText>
            </w:r>
            <w:r w:rsidR="001026E6">
              <w:rPr>
                <w:noProof/>
                <w:webHidden/>
              </w:rPr>
            </w:r>
            <w:r w:rsidR="001026E6">
              <w:rPr>
                <w:noProof/>
                <w:webHidden/>
              </w:rPr>
              <w:fldChar w:fldCharType="separate"/>
            </w:r>
            <w:r w:rsidR="007E7388">
              <w:rPr>
                <w:noProof/>
                <w:webHidden/>
              </w:rPr>
              <w:t>28</w:t>
            </w:r>
            <w:r w:rsidR="001026E6">
              <w:rPr>
                <w:noProof/>
                <w:webHidden/>
              </w:rPr>
              <w:fldChar w:fldCharType="end"/>
            </w:r>
          </w:hyperlink>
        </w:p>
        <w:p w14:paraId="42226868" w14:textId="7B2F45CC" w:rsidR="001026E6" w:rsidRDefault="00447617">
          <w:pPr>
            <w:pStyle w:val="TOC1"/>
            <w:rPr>
              <w:rFonts w:eastAsiaTheme="minorEastAsia"/>
              <w:noProof/>
              <w:lang w:eastAsia="en-GB"/>
            </w:rPr>
          </w:pPr>
          <w:hyperlink w:anchor="_Toc33443106" w:history="1">
            <w:r w:rsidR="001026E6" w:rsidRPr="008574D7">
              <w:rPr>
                <w:rStyle w:val="Hyperlink"/>
                <w:noProof/>
              </w:rPr>
              <w:t>STABLECOINS</w:t>
            </w:r>
            <w:r w:rsidR="001026E6">
              <w:rPr>
                <w:noProof/>
                <w:webHidden/>
              </w:rPr>
              <w:tab/>
            </w:r>
            <w:r w:rsidR="001026E6">
              <w:rPr>
                <w:noProof/>
                <w:webHidden/>
              </w:rPr>
              <w:fldChar w:fldCharType="begin"/>
            </w:r>
            <w:r w:rsidR="001026E6">
              <w:rPr>
                <w:noProof/>
                <w:webHidden/>
              </w:rPr>
              <w:instrText xml:space="preserve"> PAGEREF _Toc33443106 \h </w:instrText>
            </w:r>
            <w:r w:rsidR="001026E6">
              <w:rPr>
                <w:noProof/>
                <w:webHidden/>
              </w:rPr>
            </w:r>
            <w:r w:rsidR="001026E6">
              <w:rPr>
                <w:noProof/>
                <w:webHidden/>
              </w:rPr>
              <w:fldChar w:fldCharType="separate"/>
            </w:r>
            <w:r w:rsidR="007E7388">
              <w:rPr>
                <w:noProof/>
                <w:webHidden/>
              </w:rPr>
              <w:t>29</w:t>
            </w:r>
            <w:r w:rsidR="001026E6">
              <w:rPr>
                <w:noProof/>
                <w:webHidden/>
              </w:rPr>
              <w:fldChar w:fldCharType="end"/>
            </w:r>
          </w:hyperlink>
        </w:p>
        <w:p w14:paraId="3D0C47BB" w14:textId="0BA9BA2C" w:rsidR="001026E6" w:rsidRDefault="00447617">
          <w:pPr>
            <w:pStyle w:val="TOC1"/>
            <w:rPr>
              <w:rFonts w:eastAsiaTheme="minorEastAsia"/>
              <w:noProof/>
              <w:lang w:eastAsia="en-GB"/>
            </w:rPr>
          </w:pPr>
          <w:hyperlink w:anchor="_Toc33443107" w:history="1">
            <w:r w:rsidR="001026E6" w:rsidRPr="008574D7">
              <w:rPr>
                <w:rStyle w:val="Hyperlink"/>
                <w:noProof/>
              </w:rPr>
              <w:t>APPLICATION PROCESS</w:t>
            </w:r>
            <w:r w:rsidR="001026E6">
              <w:rPr>
                <w:noProof/>
                <w:webHidden/>
              </w:rPr>
              <w:tab/>
            </w:r>
            <w:r w:rsidR="001026E6">
              <w:rPr>
                <w:noProof/>
                <w:webHidden/>
              </w:rPr>
              <w:fldChar w:fldCharType="begin"/>
            </w:r>
            <w:r w:rsidR="001026E6">
              <w:rPr>
                <w:noProof/>
                <w:webHidden/>
              </w:rPr>
              <w:instrText xml:space="preserve"> PAGEREF _Toc33443107 \h </w:instrText>
            </w:r>
            <w:r w:rsidR="001026E6">
              <w:rPr>
                <w:noProof/>
                <w:webHidden/>
              </w:rPr>
            </w:r>
            <w:r w:rsidR="001026E6">
              <w:rPr>
                <w:noProof/>
                <w:webHidden/>
              </w:rPr>
              <w:fldChar w:fldCharType="separate"/>
            </w:r>
            <w:r w:rsidR="007E7388">
              <w:rPr>
                <w:noProof/>
                <w:webHidden/>
              </w:rPr>
              <w:t>29</w:t>
            </w:r>
            <w:r w:rsidR="001026E6">
              <w:rPr>
                <w:noProof/>
                <w:webHidden/>
              </w:rPr>
              <w:fldChar w:fldCharType="end"/>
            </w:r>
          </w:hyperlink>
        </w:p>
        <w:p w14:paraId="1B28A4A2" w14:textId="0DBA884E" w:rsidR="001026E6" w:rsidRDefault="00447617">
          <w:pPr>
            <w:pStyle w:val="TOC1"/>
            <w:rPr>
              <w:rFonts w:eastAsiaTheme="minorEastAsia"/>
              <w:noProof/>
              <w:lang w:eastAsia="en-GB"/>
            </w:rPr>
          </w:pPr>
          <w:hyperlink w:anchor="_Toc33443108" w:history="1">
            <w:r w:rsidR="001026E6" w:rsidRPr="008574D7">
              <w:rPr>
                <w:rStyle w:val="Hyperlink"/>
                <w:noProof/>
              </w:rPr>
              <w:t>FEES</w:t>
            </w:r>
            <w:r w:rsidR="001026E6">
              <w:rPr>
                <w:noProof/>
                <w:webHidden/>
              </w:rPr>
              <w:tab/>
            </w:r>
            <w:r w:rsidR="001026E6">
              <w:rPr>
                <w:noProof/>
                <w:webHidden/>
              </w:rPr>
              <w:fldChar w:fldCharType="begin"/>
            </w:r>
            <w:r w:rsidR="001026E6">
              <w:rPr>
                <w:noProof/>
                <w:webHidden/>
              </w:rPr>
              <w:instrText xml:space="preserve"> PAGEREF _Toc33443108 \h </w:instrText>
            </w:r>
            <w:r w:rsidR="001026E6">
              <w:rPr>
                <w:noProof/>
                <w:webHidden/>
              </w:rPr>
            </w:r>
            <w:r w:rsidR="001026E6">
              <w:rPr>
                <w:noProof/>
                <w:webHidden/>
              </w:rPr>
              <w:fldChar w:fldCharType="separate"/>
            </w:r>
            <w:r w:rsidR="007E7388">
              <w:rPr>
                <w:noProof/>
                <w:webHidden/>
              </w:rPr>
              <w:t>31</w:t>
            </w:r>
            <w:r w:rsidR="001026E6">
              <w:rPr>
                <w:noProof/>
                <w:webHidden/>
              </w:rPr>
              <w:fldChar w:fldCharType="end"/>
            </w:r>
          </w:hyperlink>
        </w:p>
        <w:p w14:paraId="32998B8A" w14:textId="12583E8D" w:rsidR="006261AA" w:rsidRPr="001026E6" w:rsidRDefault="006261AA">
          <w:r w:rsidRPr="001026E6">
            <w:rPr>
              <w:b/>
              <w:bCs/>
              <w:noProof/>
            </w:rPr>
            <w:fldChar w:fldCharType="end"/>
          </w:r>
        </w:p>
      </w:sdtContent>
    </w:sdt>
    <w:p w14:paraId="478AFC2F" w14:textId="77777777" w:rsidR="00A010DD" w:rsidRPr="001026E6" w:rsidRDefault="00A010DD">
      <w:pPr>
        <w:spacing w:after="160" w:line="259" w:lineRule="auto"/>
        <w:rPr>
          <w:b/>
          <w:sz w:val="24"/>
        </w:rPr>
      </w:pPr>
      <w:bookmarkStart w:id="1" w:name="_Toc511714334"/>
      <w:bookmarkStart w:id="2" w:name="_Toc512695598"/>
      <w:bookmarkStart w:id="3" w:name="_Toc514588767"/>
      <w:bookmarkStart w:id="4" w:name="_Toc517602837"/>
      <w:r w:rsidRPr="001026E6">
        <w:rPr>
          <w:sz w:val="24"/>
        </w:rPr>
        <w:br w:type="page"/>
      </w:r>
    </w:p>
    <w:p w14:paraId="39F962C1" w14:textId="77777777" w:rsidR="006261AA" w:rsidRPr="001026E6" w:rsidRDefault="006261AA" w:rsidP="006261AA">
      <w:pPr>
        <w:pStyle w:val="Heading1"/>
        <w:keepLines w:val="0"/>
        <w:spacing w:before="0" w:after="240" w:line="246" w:lineRule="atLeast"/>
        <w:jc w:val="both"/>
        <w:rPr>
          <w:rFonts w:asciiTheme="minorHAnsi" w:hAnsiTheme="minorHAnsi"/>
          <w:sz w:val="24"/>
          <w:szCs w:val="24"/>
        </w:rPr>
      </w:pPr>
      <w:bookmarkStart w:id="5" w:name="_Toc18571316"/>
      <w:bookmarkStart w:id="6" w:name="_Toc33443067"/>
      <w:r w:rsidRPr="001026E6">
        <w:rPr>
          <w:rFonts w:asciiTheme="minorHAnsi" w:hAnsiTheme="minorHAnsi"/>
          <w:sz w:val="24"/>
          <w:szCs w:val="24"/>
        </w:rPr>
        <w:lastRenderedPageBreak/>
        <w:t>INTRODUCTION</w:t>
      </w:r>
      <w:bookmarkEnd w:id="1"/>
      <w:bookmarkEnd w:id="2"/>
      <w:bookmarkEnd w:id="3"/>
      <w:bookmarkEnd w:id="4"/>
      <w:bookmarkEnd w:id="5"/>
      <w:bookmarkEnd w:id="6"/>
    </w:p>
    <w:p w14:paraId="2F4E4B20" w14:textId="6DDB0F22" w:rsidR="006261AA" w:rsidRPr="001026E6" w:rsidRDefault="006261AA" w:rsidP="00BC0C97">
      <w:pPr>
        <w:pStyle w:val="ListParagraph"/>
        <w:numPr>
          <w:ilvl w:val="0"/>
          <w:numId w:val="1"/>
        </w:numPr>
        <w:ind w:left="426"/>
        <w:jc w:val="both"/>
      </w:pPr>
      <w:r w:rsidRPr="001026E6">
        <w:rPr>
          <w:rFonts w:cs="Helvetica"/>
          <w:sz w:val="24"/>
          <w:szCs w:val="24"/>
        </w:rPr>
        <w:t xml:space="preserve">This Guidance is issued under section 15(2) of the Financial Services and Markets Regulations 2015 (“FSMR”).  It should be read in conjunction with FSMR, </w:t>
      </w:r>
      <w:r w:rsidR="009861A1" w:rsidRPr="001026E6">
        <w:rPr>
          <w:rFonts w:cs="Helvetica"/>
          <w:sz w:val="24"/>
          <w:szCs w:val="24"/>
        </w:rPr>
        <w:t xml:space="preserve">the relevant Rulebooks of the Financial Services Regulatory Authority (“FSRA”), the </w:t>
      </w:r>
      <w:r w:rsidR="00B77F03" w:rsidRPr="001026E6">
        <w:rPr>
          <w:rFonts w:cs="Helvetica"/>
          <w:sz w:val="24"/>
          <w:szCs w:val="24"/>
        </w:rPr>
        <w:t xml:space="preserve">FSRA’s </w:t>
      </w:r>
      <w:r w:rsidR="009861A1" w:rsidRPr="001026E6">
        <w:rPr>
          <w:rFonts w:cs="Helvetica"/>
          <w:sz w:val="24"/>
          <w:szCs w:val="24"/>
        </w:rPr>
        <w:t>Guidance &amp; Policies Manual</w:t>
      </w:r>
      <w:r w:rsidR="005259D3" w:rsidRPr="001026E6">
        <w:rPr>
          <w:rFonts w:cs="Helvetica"/>
          <w:sz w:val="24"/>
          <w:szCs w:val="24"/>
        </w:rPr>
        <w:t xml:space="preserve">, </w:t>
      </w:r>
      <w:r w:rsidR="00C75ADF" w:rsidRPr="001026E6">
        <w:rPr>
          <w:rFonts w:cs="Helvetica"/>
          <w:sz w:val="24"/>
          <w:szCs w:val="24"/>
        </w:rPr>
        <w:t>its</w:t>
      </w:r>
      <w:r w:rsidR="009861A1" w:rsidRPr="001026E6">
        <w:rPr>
          <w:rFonts w:cs="Helvetica"/>
          <w:sz w:val="24"/>
          <w:szCs w:val="24"/>
        </w:rPr>
        <w:t xml:space="preserve"> </w:t>
      </w:r>
      <w:r w:rsidR="009861A1" w:rsidRPr="001026E6">
        <w:rPr>
          <w:rFonts w:cs="Helvetica"/>
          <w:i/>
          <w:iCs/>
          <w:sz w:val="24"/>
          <w:szCs w:val="24"/>
        </w:rPr>
        <w:t xml:space="preserve">‘Guidance – Regulation of </w:t>
      </w:r>
      <w:r w:rsidR="00BC0C97" w:rsidRPr="001026E6">
        <w:rPr>
          <w:rFonts w:cs="Helvetica"/>
          <w:i/>
          <w:iCs/>
          <w:sz w:val="24"/>
          <w:szCs w:val="24"/>
        </w:rPr>
        <w:t xml:space="preserve">Digital Security </w:t>
      </w:r>
      <w:r w:rsidR="009861A1" w:rsidRPr="001026E6">
        <w:rPr>
          <w:rFonts w:cs="Helvetica"/>
          <w:i/>
          <w:iCs/>
          <w:sz w:val="24"/>
          <w:szCs w:val="24"/>
        </w:rPr>
        <w:t xml:space="preserve">Offerings (ICOs) and </w:t>
      </w:r>
      <w:r w:rsidR="00E00E05" w:rsidRPr="001026E6">
        <w:rPr>
          <w:rFonts w:cs="Helvetica"/>
          <w:i/>
          <w:iCs/>
          <w:sz w:val="24"/>
          <w:szCs w:val="24"/>
        </w:rPr>
        <w:t>Virtual Asset</w:t>
      </w:r>
      <w:r w:rsidR="00310A6F" w:rsidRPr="001026E6">
        <w:rPr>
          <w:rFonts w:cs="Helvetica"/>
          <w:i/>
          <w:iCs/>
          <w:sz w:val="24"/>
          <w:szCs w:val="24"/>
        </w:rPr>
        <w:t>s</w:t>
      </w:r>
      <w:r w:rsidR="009861A1" w:rsidRPr="001026E6">
        <w:rPr>
          <w:rFonts w:cs="Helvetica"/>
          <w:i/>
          <w:iCs/>
          <w:sz w:val="24"/>
          <w:szCs w:val="24"/>
        </w:rPr>
        <w:t xml:space="preserve"> under the FSMR’</w:t>
      </w:r>
      <w:r w:rsidR="009861A1" w:rsidRPr="001026E6">
        <w:rPr>
          <w:rFonts w:cs="Helvetica"/>
          <w:sz w:val="24"/>
          <w:szCs w:val="24"/>
        </w:rPr>
        <w:t xml:space="preserve"> </w:t>
      </w:r>
      <w:r w:rsidR="001467AD" w:rsidRPr="001026E6">
        <w:rPr>
          <w:rFonts w:cs="Helvetica"/>
          <w:sz w:val="24"/>
          <w:szCs w:val="24"/>
        </w:rPr>
        <w:t>(“ICO Guidance”)</w:t>
      </w:r>
      <w:r w:rsidR="008E6A87" w:rsidRPr="001026E6">
        <w:rPr>
          <w:rFonts w:cs="Helvetica"/>
          <w:sz w:val="24"/>
          <w:szCs w:val="24"/>
        </w:rPr>
        <w:t>,</w:t>
      </w:r>
      <w:r w:rsidR="000F6573" w:rsidRPr="001026E6">
        <w:rPr>
          <w:rStyle w:val="FootnoteReference"/>
          <w:rFonts w:cs="Helvetica"/>
          <w:sz w:val="24"/>
          <w:szCs w:val="24"/>
        </w:rPr>
        <w:footnoteReference w:id="2"/>
      </w:r>
      <w:r w:rsidR="008E6A87" w:rsidRPr="001026E6">
        <w:rPr>
          <w:rFonts w:cs="Helvetica"/>
          <w:sz w:val="24"/>
          <w:szCs w:val="24"/>
        </w:rPr>
        <w:t xml:space="preserve"> </w:t>
      </w:r>
      <w:r w:rsidR="005259D3" w:rsidRPr="001026E6">
        <w:rPr>
          <w:rFonts w:cs="Helvetica"/>
          <w:sz w:val="24"/>
          <w:szCs w:val="24"/>
        </w:rPr>
        <w:t xml:space="preserve">its </w:t>
      </w:r>
      <w:r w:rsidR="005259D3" w:rsidRPr="001026E6">
        <w:rPr>
          <w:rFonts w:cs="Helvetica"/>
          <w:i/>
          <w:iCs/>
          <w:sz w:val="24"/>
          <w:szCs w:val="24"/>
        </w:rPr>
        <w:t xml:space="preserve">‘Guidance – Regulation of </w:t>
      </w:r>
      <w:r w:rsidR="00E00E05" w:rsidRPr="001026E6">
        <w:rPr>
          <w:rFonts w:cs="Helvetica"/>
          <w:i/>
          <w:iCs/>
          <w:sz w:val="24"/>
          <w:szCs w:val="24"/>
        </w:rPr>
        <w:t xml:space="preserve">Virtual </w:t>
      </w:r>
      <w:r w:rsidR="005259D3" w:rsidRPr="001026E6">
        <w:rPr>
          <w:rFonts w:cs="Helvetica"/>
          <w:i/>
          <w:iCs/>
          <w:sz w:val="24"/>
          <w:szCs w:val="24"/>
        </w:rPr>
        <w:t xml:space="preserve">Asset Activities in ADGM’ </w:t>
      </w:r>
      <w:r w:rsidR="005259D3" w:rsidRPr="001026E6">
        <w:rPr>
          <w:rFonts w:cs="Helvetica"/>
          <w:sz w:val="24"/>
          <w:szCs w:val="24"/>
        </w:rPr>
        <w:t>(“</w:t>
      </w:r>
      <w:r w:rsidR="00E00E05" w:rsidRPr="001026E6">
        <w:rPr>
          <w:rFonts w:cs="Helvetica"/>
          <w:sz w:val="24"/>
          <w:szCs w:val="24"/>
        </w:rPr>
        <w:t xml:space="preserve">Virtual Asset </w:t>
      </w:r>
      <w:r w:rsidR="005259D3" w:rsidRPr="001026E6">
        <w:rPr>
          <w:rFonts w:cs="Helvetica"/>
          <w:sz w:val="24"/>
          <w:szCs w:val="24"/>
        </w:rPr>
        <w:t>Guidance”)</w:t>
      </w:r>
      <w:r w:rsidR="00706DDB" w:rsidRPr="001026E6">
        <w:rPr>
          <w:rStyle w:val="FootnoteReference"/>
          <w:rFonts w:cs="Helvetica"/>
          <w:sz w:val="24"/>
          <w:szCs w:val="24"/>
        </w:rPr>
        <w:footnoteReference w:id="3"/>
      </w:r>
      <w:r w:rsidR="00667EE6" w:rsidRPr="001026E6">
        <w:rPr>
          <w:rFonts w:cs="Helvetica"/>
          <w:sz w:val="24"/>
          <w:szCs w:val="24"/>
        </w:rPr>
        <w:t>,</w:t>
      </w:r>
      <w:r w:rsidR="008E6A87" w:rsidRPr="001026E6">
        <w:rPr>
          <w:rFonts w:cs="Helvetica"/>
          <w:sz w:val="24"/>
          <w:szCs w:val="24"/>
        </w:rPr>
        <w:t xml:space="preserve"> and its </w:t>
      </w:r>
      <w:r w:rsidR="008E6A87" w:rsidRPr="001026E6">
        <w:rPr>
          <w:rFonts w:cs="Helvetica"/>
          <w:i/>
          <w:iCs/>
          <w:sz w:val="24"/>
          <w:szCs w:val="24"/>
        </w:rPr>
        <w:t>‘Guidance – Regulatory Framework for Private Financing Platforms’</w:t>
      </w:r>
      <w:r w:rsidR="00551076" w:rsidRPr="001026E6">
        <w:rPr>
          <w:rFonts w:cs="Helvetica"/>
          <w:i/>
          <w:iCs/>
          <w:sz w:val="24"/>
          <w:szCs w:val="24"/>
        </w:rPr>
        <w:t>.</w:t>
      </w:r>
      <w:r w:rsidR="008E6A87" w:rsidRPr="001026E6">
        <w:rPr>
          <w:rStyle w:val="FootnoteReference"/>
          <w:rFonts w:cs="Helvetica"/>
          <w:i/>
          <w:iCs/>
          <w:sz w:val="24"/>
          <w:szCs w:val="24"/>
        </w:rPr>
        <w:footnoteReference w:id="4"/>
      </w:r>
    </w:p>
    <w:p w14:paraId="69A4C943" w14:textId="77777777" w:rsidR="006261AA" w:rsidRPr="001026E6" w:rsidRDefault="006261AA" w:rsidP="006261AA">
      <w:pPr>
        <w:pStyle w:val="ListParagraph"/>
        <w:ind w:left="426"/>
        <w:jc w:val="both"/>
      </w:pPr>
    </w:p>
    <w:p w14:paraId="71CA09D8" w14:textId="1240763F" w:rsidR="000F6573" w:rsidRPr="001026E6" w:rsidRDefault="000F6573">
      <w:pPr>
        <w:pStyle w:val="ListParagraph"/>
        <w:numPr>
          <w:ilvl w:val="0"/>
          <w:numId w:val="1"/>
        </w:numPr>
        <w:ind w:left="426"/>
        <w:jc w:val="both"/>
        <w:rPr>
          <w:rFonts w:cs="Helvetica"/>
          <w:sz w:val="24"/>
          <w:szCs w:val="24"/>
        </w:rPr>
      </w:pPr>
      <w:r w:rsidRPr="001026E6">
        <w:rPr>
          <w:rFonts w:cs="Helvetica"/>
          <w:sz w:val="24"/>
          <w:szCs w:val="24"/>
        </w:rPr>
        <w:t xml:space="preserve">This Guidance </w:t>
      </w:r>
      <w:r w:rsidR="00CD3935" w:rsidRPr="001026E6">
        <w:rPr>
          <w:rFonts w:cs="Helvetica"/>
          <w:sz w:val="24"/>
          <w:szCs w:val="24"/>
        </w:rPr>
        <w:t>is applicable to entities considering the use of</w:t>
      </w:r>
      <w:r w:rsidR="00105FF3" w:rsidRPr="001026E6">
        <w:rPr>
          <w:rFonts w:cs="Helvetica"/>
          <w:sz w:val="24"/>
          <w:szCs w:val="24"/>
        </w:rPr>
        <w:t>, or using,</w:t>
      </w:r>
      <w:r w:rsidR="00CD3935" w:rsidRPr="001026E6">
        <w:rPr>
          <w:rFonts w:cs="Helvetica"/>
          <w:sz w:val="24"/>
          <w:szCs w:val="24"/>
        </w:rPr>
        <w:t xml:space="preserve"> ‘Digital Securities’ within ADGM, including activities undertaken by </w:t>
      </w:r>
      <w:r w:rsidR="008A7836" w:rsidRPr="001026E6">
        <w:rPr>
          <w:rFonts w:cs="Helvetica"/>
          <w:sz w:val="24"/>
          <w:szCs w:val="24"/>
        </w:rPr>
        <w:t xml:space="preserve">Recognised Investment Exchanges (RIEs), Multilateral Trading Facilities (MTFs), </w:t>
      </w:r>
      <w:r w:rsidR="00F33803" w:rsidRPr="001026E6">
        <w:rPr>
          <w:rFonts w:cs="Helvetica"/>
          <w:sz w:val="24"/>
          <w:szCs w:val="24"/>
        </w:rPr>
        <w:t>I</w:t>
      </w:r>
      <w:r w:rsidR="008A7836" w:rsidRPr="001026E6">
        <w:rPr>
          <w:rFonts w:cs="Helvetica"/>
          <w:sz w:val="24"/>
          <w:szCs w:val="24"/>
        </w:rPr>
        <w:t xml:space="preserve">ssuers, Reporting Entities, </w:t>
      </w:r>
      <w:r w:rsidR="00667EE6" w:rsidRPr="001026E6">
        <w:rPr>
          <w:rFonts w:cs="Helvetica"/>
          <w:sz w:val="24"/>
          <w:szCs w:val="24"/>
        </w:rPr>
        <w:t>Authorised Persons conducting</w:t>
      </w:r>
      <w:r w:rsidR="008A7836" w:rsidRPr="001026E6">
        <w:rPr>
          <w:rFonts w:cs="Helvetica"/>
          <w:sz w:val="24"/>
          <w:szCs w:val="24"/>
        </w:rPr>
        <w:t xml:space="preserve"> </w:t>
      </w:r>
      <w:r w:rsidR="00667EE6" w:rsidRPr="001026E6">
        <w:rPr>
          <w:rFonts w:cs="Helvetica"/>
          <w:sz w:val="24"/>
          <w:szCs w:val="24"/>
        </w:rPr>
        <w:t xml:space="preserve">a </w:t>
      </w:r>
      <w:r w:rsidR="008A7836" w:rsidRPr="001026E6">
        <w:rPr>
          <w:rFonts w:cs="Helvetica"/>
          <w:sz w:val="24"/>
          <w:szCs w:val="24"/>
        </w:rPr>
        <w:t>Regulated Activit</w:t>
      </w:r>
      <w:r w:rsidR="00667EE6" w:rsidRPr="001026E6">
        <w:rPr>
          <w:rFonts w:cs="Helvetica"/>
          <w:sz w:val="24"/>
          <w:szCs w:val="24"/>
        </w:rPr>
        <w:t>y</w:t>
      </w:r>
      <w:r w:rsidR="003442A6" w:rsidRPr="001026E6">
        <w:rPr>
          <w:rFonts w:cs="Helvetica"/>
          <w:sz w:val="24"/>
          <w:szCs w:val="24"/>
        </w:rPr>
        <w:t xml:space="preserve"> </w:t>
      </w:r>
      <w:r w:rsidR="00667EE6" w:rsidRPr="001026E6">
        <w:rPr>
          <w:rFonts w:cs="Helvetica"/>
          <w:sz w:val="24"/>
          <w:szCs w:val="24"/>
        </w:rPr>
        <w:t>in relation to</w:t>
      </w:r>
      <w:r w:rsidR="003442A6" w:rsidRPr="001026E6">
        <w:rPr>
          <w:rFonts w:cs="Helvetica"/>
          <w:sz w:val="24"/>
          <w:szCs w:val="24"/>
        </w:rPr>
        <w:t xml:space="preserve"> Virtual Assets</w:t>
      </w:r>
      <w:r w:rsidR="0092471C" w:rsidRPr="001026E6">
        <w:rPr>
          <w:rFonts w:cs="Helvetica"/>
          <w:sz w:val="24"/>
          <w:szCs w:val="24"/>
        </w:rPr>
        <w:t>,</w:t>
      </w:r>
      <w:r w:rsidR="00531DC5" w:rsidRPr="001026E6">
        <w:rPr>
          <w:rFonts w:cs="Helvetica"/>
          <w:sz w:val="24"/>
          <w:szCs w:val="24"/>
        </w:rPr>
        <w:t xml:space="preserve"> and </w:t>
      </w:r>
      <w:r w:rsidR="00667EE6" w:rsidRPr="001026E6">
        <w:rPr>
          <w:rFonts w:cs="Helvetica"/>
          <w:sz w:val="24"/>
          <w:szCs w:val="24"/>
        </w:rPr>
        <w:t>Authorised Persons</w:t>
      </w:r>
      <w:r w:rsidR="00F33803" w:rsidRPr="001026E6">
        <w:rPr>
          <w:rFonts w:cs="Helvetica"/>
          <w:sz w:val="24"/>
          <w:szCs w:val="24"/>
        </w:rPr>
        <w:t xml:space="preserve"> </w:t>
      </w:r>
      <w:r w:rsidR="0092471C" w:rsidRPr="001026E6">
        <w:rPr>
          <w:rFonts w:cs="Helvetica"/>
          <w:sz w:val="24"/>
          <w:szCs w:val="24"/>
        </w:rPr>
        <w:t xml:space="preserve">Providing Custody or </w:t>
      </w:r>
      <w:r w:rsidR="00531DC5" w:rsidRPr="001026E6">
        <w:rPr>
          <w:rFonts w:cs="Helvetica"/>
          <w:sz w:val="24"/>
          <w:szCs w:val="24"/>
        </w:rPr>
        <w:t xml:space="preserve">Operating a Private Financing Platform (‘PFP’), </w:t>
      </w:r>
      <w:r w:rsidR="00CD3935" w:rsidRPr="001026E6">
        <w:rPr>
          <w:rFonts w:cs="Helvetica"/>
          <w:sz w:val="24"/>
          <w:szCs w:val="24"/>
        </w:rPr>
        <w:t>amongst others.</w:t>
      </w:r>
      <w:r w:rsidR="00037AA9" w:rsidRPr="001026E6">
        <w:rPr>
          <w:rFonts w:cs="Helvetica"/>
          <w:sz w:val="24"/>
          <w:szCs w:val="24"/>
        </w:rPr>
        <w:t xml:space="preserve">  The Guidance clari</w:t>
      </w:r>
      <w:r w:rsidR="0092471C" w:rsidRPr="001026E6">
        <w:rPr>
          <w:rFonts w:cs="Helvetica"/>
          <w:sz w:val="24"/>
          <w:szCs w:val="24"/>
        </w:rPr>
        <w:t>fies</w:t>
      </w:r>
      <w:r w:rsidR="00037AA9" w:rsidRPr="001026E6">
        <w:rPr>
          <w:rFonts w:cs="Helvetica"/>
          <w:sz w:val="24"/>
          <w:szCs w:val="24"/>
        </w:rPr>
        <w:t xml:space="preserve"> the use of Digital Securities </w:t>
      </w:r>
      <w:r w:rsidR="0092471C" w:rsidRPr="001026E6">
        <w:rPr>
          <w:rFonts w:cs="Helvetica"/>
          <w:sz w:val="24"/>
          <w:szCs w:val="24"/>
        </w:rPr>
        <w:t xml:space="preserve">within ADGM for </w:t>
      </w:r>
      <w:r w:rsidR="00037AA9" w:rsidRPr="001026E6">
        <w:rPr>
          <w:rFonts w:cs="Helvetica"/>
          <w:sz w:val="24"/>
          <w:szCs w:val="24"/>
        </w:rPr>
        <w:t>both primary market and secondary market context</w:t>
      </w:r>
      <w:r w:rsidR="00807445" w:rsidRPr="001026E6">
        <w:rPr>
          <w:rFonts w:cs="Helvetica"/>
          <w:sz w:val="24"/>
          <w:szCs w:val="24"/>
        </w:rPr>
        <w:t>s</w:t>
      </w:r>
      <w:r w:rsidR="00037AA9" w:rsidRPr="001026E6">
        <w:rPr>
          <w:rFonts w:cs="Helvetica"/>
          <w:sz w:val="24"/>
          <w:szCs w:val="24"/>
        </w:rPr>
        <w:t>.</w:t>
      </w:r>
      <w:r w:rsidR="00B65984" w:rsidRPr="001026E6">
        <w:rPr>
          <w:rFonts w:cs="Helvetica"/>
          <w:sz w:val="24"/>
          <w:szCs w:val="24"/>
        </w:rPr>
        <w:t xml:space="preserve"> </w:t>
      </w:r>
      <w:r w:rsidR="005B148C" w:rsidRPr="001026E6">
        <w:rPr>
          <w:rFonts w:cs="Helvetica"/>
          <w:sz w:val="24"/>
          <w:szCs w:val="24"/>
        </w:rPr>
        <w:t xml:space="preserve"> Readers seeking clarity on the licensing requirements for activities </w:t>
      </w:r>
      <w:r w:rsidR="00E00E05" w:rsidRPr="001026E6">
        <w:rPr>
          <w:rFonts w:cs="Helvetica"/>
          <w:sz w:val="24"/>
          <w:szCs w:val="24"/>
        </w:rPr>
        <w:t xml:space="preserve">in relation to Virtual Assets </w:t>
      </w:r>
      <w:r w:rsidR="005B148C" w:rsidRPr="001026E6">
        <w:rPr>
          <w:rFonts w:cs="Helvetica"/>
          <w:sz w:val="24"/>
          <w:szCs w:val="24"/>
        </w:rPr>
        <w:t xml:space="preserve">should refer to the </w:t>
      </w:r>
      <w:r w:rsidR="00E00E05" w:rsidRPr="001026E6">
        <w:rPr>
          <w:rFonts w:cs="Helvetica"/>
          <w:sz w:val="24"/>
          <w:szCs w:val="24"/>
        </w:rPr>
        <w:t xml:space="preserve">Virtual Asset </w:t>
      </w:r>
      <w:r w:rsidR="005B148C" w:rsidRPr="001026E6">
        <w:rPr>
          <w:rFonts w:cs="Helvetica"/>
          <w:sz w:val="24"/>
          <w:szCs w:val="24"/>
        </w:rPr>
        <w:t xml:space="preserve">Guidance. </w:t>
      </w:r>
    </w:p>
    <w:p w14:paraId="6EE8A2FF" w14:textId="77777777" w:rsidR="000F6573" w:rsidRPr="001026E6" w:rsidRDefault="000F6573" w:rsidP="000F6573">
      <w:pPr>
        <w:pStyle w:val="ListParagraph"/>
        <w:rPr>
          <w:rFonts w:cs="Helvetica"/>
          <w:sz w:val="24"/>
          <w:szCs w:val="24"/>
        </w:rPr>
      </w:pPr>
    </w:p>
    <w:p w14:paraId="6DC1F078" w14:textId="77777777" w:rsidR="00930A69" w:rsidRPr="001026E6" w:rsidRDefault="00930A69" w:rsidP="008C51FC">
      <w:pPr>
        <w:pStyle w:val="ListParagraph"/>
        <w:numPr>
          <w:ilvl w:val="0"/>
          <w:numId w:val="1"/>
        </w:numPr>
        <w:ind w:left="426"/>
        <w:jc w:val="both"/>
        <w:rPr>
          <w:rFonts w:cs="Helvetica"/>
          <w:sz w:val="24"/>
          <w:szCs w:val="24"/>
        </w:rPr>
      </w:pPr>
      <w:r w:rsidRPr="001026E6">
        <w:rPr>
          <w:rFonts w:cs="Helvetica"/>
          <w:sz w:val="24"/>
          <w:szCs w:val="24"/>
        </w:rPr>
        <w:lastRenderedPageBreak/>
        <w:t>For the purposes of this Guidance, ‘Digital Securities’ are defined a</w:t>
      </w:r>
      <w:r w:rsidR="008C51FC" w:rsidRPr="001026E6">
        <w:rPr>
          <w:rFonts w:cs="Helvetica"/>
          <w:sz w:val="24"/>
          <w:szCs w:val="24"/>
        </w:rPr>
        <w:t xml:space="preserve">re types of </w:t>
      </w:r>
      <w:r w:rsidRPr="001026E6">
        <w:rPr>
          <w:rFonts w:cs="Helvetica"/>
          <w:sz w:val="24"/>
          <w:szCs w:val="24"/>
        </w:rPr>
        <w:t>digital assets that possess the features and characteristics of a Security (as defined in Schedule 1 – Part 3 of Specified Investments of FSMR)</w:t>
      </w:r>
      <w:r w:rsidR="00551076" w:rsidRPr="001026E6">
        <w:rPr>
          <w:rFonts w:cs="Helvetica"/>
          <w:sz w:val="24"/>
          <w:szCs w:val="24"/>
        </w:rPr>
        <w:t>.</w:t>
      </w:r>
      <w:r w:rsidRPr="001026E6">
        <w:rPr>
          <w:rStyle w:val="FootnoteReference"/>
          <w:rFonts w:cs="Helvetica"/>
          <w:sz w:val="24"/>
          <w:szCs w:val="24"/>
        </w:rPr>
        <w:footnoteReference w:id="5"/>
      </w:r>
      <w:r w:rsidRPr="001026E6">
        <w:rPr>
          <w:rFonts w:cs="Helvetica"/>
          <w:sz w:val="24"/>
          <w:szCs w:val="24"/>
        </w:rPr>
        <w:t xml:space="preserve"> Digital Securities also include ‘tokenised’ offerings of Securities.  </w:t>
      </w:r>
    </w:p>
    <w:p w14:paraId="443311B9" w14:textId="77777777" w:rsidR="00930A69" w:rsidRPr="001026E6" w:rsidRDefault="00930A69" w:rsidP="00177501">
      <w:pPr>
        <w:pStyle w:val="ListParagraph"/>
        <w:rPr>
          <w:rFonts w:cs="Helvetica"/>
          <w:sz w:val="24"/>
          <w:szCs w:val="24"/>
        </w:rPr>
      </w:pPr>
    </w:p>
    <w:p w14:paraId="763BAFDC" w14:textId="77777777" w:rsidR="00C7536C" w:rsidRPr="001026E6" w:rsidRDefault="00C7536C" w:rsidP="009C08D7">
      <w:pPr>
        <w:pStyle w:val="ListParagraph"/>
        <w:numPr>
          <w:ilvl w:val="0"/>
          <w:numId w:val="1"/>
        </w:numPr>
        <w:ind w:left="425"/>
        <w:jc w:val="both"/>
        <w:rPr>
          <w:rFonts w:cs="Helvetica"/>
          <w:sz w:val="24"/>
          <w:szCs w:val="24"/>
        </w:rPr>
      </w:pPr>
      <w:r w:rsidRPr="001026E6">
        <w:rPr>
          <w:rFonts w:cs="Helvetica"/>
          <w:sz w:val="24"/>
          <w:szCs w:val="24"/>
        </w:rPr>
        <w:t xml:space="preserve">This Guidance is separated into distinct chapters and is not necessarily best read from front to back.  </w:t>
      </w:r>
      <w:r w:rsidR="00D03EF5" w:rsidRPr="001026E6">
        <w:rPr>
          <w:rFonts w:cs="Helvetica"/>
          <w:sz w:val="24"/>
          <w:szCs w:val="24"/>
        </w:rPr>
        <w:t>T</w:t>
      </w:r>
      <w:r w:rsidRPr="001026E6">
        <w:rPr>
          <w:rFonts w:cs="Helvetica"/>
          <w:sz w:val="24"/>
          <w:szCs w:val="24"/>
        </w:rPr>
        <w:t>his Guidance may be most useful to a reader who needs to understand a specific aspect of FSRA policy in relation to Digital Securities</w:t>
      </w:r>
      <w:r w:rsidR="00D03EF5" w:rsidRPr="001026E6">
        <w:rPr>
          <w:rFonts w:cs="Helvetica"/>
          <w:sz w:val="24"/>
          <w:szCs w:val="24"/>
        </w:rPr>
        <w:t>, and who may therefore wish to better understand FSRA’s regulatory treatment in the context of the reader</w:t>
      </w:r>
      <w:r w:rsidR="00D30B0D" w:rsidRPr="001026E6">
        <w:rPr>
          <w:rFonts w:cs="Helvetica"/>
          <w:sz w:val="24"/>
          <w:szCs w:val="24"/>
        </w:rPr>
        <w:t>’</w:t>
      </w:r>
      <w:r w:rsidR="00D03EF5" w:rsidRPr="001026E6">
        <w:rPr>
          <w:rFonts w:cs="Helvetica"/>
          <w:sz w:val="24"/>
          <w:szCs w:val="24"/>
        </w:rPr>
        <w:t>s individual circumstances</w:t>
      </w:r>
      <w:r w:rsidRPr="001026E6">
        <w:rPr>
          <w:rFonts w:cs="Helvetica"/>
          <w:sz w:val="24"/>
          <w:szCs w:val="24"/>
        </w:rPr>
        <w:t>.</w:t>
      </w:r>
      <w:r w:rsidR="00B34D42" w:rsidRPr="001026E6">
        <w:rPr>
          <w:rFonts w:cs="Helvetica"/>
          <w:sz w:val="24"/>
          <w:szCs w:val="24"/>
        </w:rPr>
        <w:t xml:space="preserve"> </w:t>
      </w:r>
      <w:r w:rsidRPr="001026E6">
        <w:rPr>
          <w:rFonts w:cs="Helvetica"/>
          <w:sz w:val="24"/>
          <w:szCs w:val="24"/>
        </w:rPr>
        <w:t xml:space="preserve">Examples of </w:t>
      </w:r>
      <w:r w:rsidR="00D03EF5" w:rsidRPr="001026E6">
        <w:rPr>
          <w:rFonts w:cs="Helvetica"/>
          <w:sz w:val="24"/>
          <w:szCs w:val="24"/>
        </w:rPr>
        <w:t>such</w:t>
      </w:r>
      <w:r w:rsidRPr="001026E6">
        <w:rPr>
          <w:rFonts w:cs="Helvetica"/>
          <w:sz w:val="24"/>
          <w:szCs w:val="24"/>
        </w:rPr>
        <w:t xml:space="preserve"> specific </w:t>
      </w:r>
      <w:r w:rsidR="00D03EF5" w:rsidRPr="001026E6">
        <w:rPr>
          <w:rFonts w:cs="Helvetica"/>
          <w:sz w:val="24"/>
          <w:szCs w:val="24"/>
        </w:rPr>
        <w:t>aspects</w:t>
      </w:r>
      <w:r w:rsidRPr="001026E6">
        <w:rPr>
          <w:rFonts w:cs="Helvetica"/>
          <w:sz w:val="24"/>
          <w:szCs w:val="24"/>
        </w:rPr>
        <w:t xml:space="preserve"> could include</w:t>
      </w:r>
      <w:r w:rsidR="00200782" w:rsidRPr="001026E6">
        <w:rPr>
          <w:rFonts w:cs="Helvetica"/>
          <w:sz w:val="24"/>
          <w:szCs w:val="24"/>
        </w:rPr>
        <w:t xml:space="preserve"> (but are not limited to)</w:t>
      </w:r>
      <w:r w:rsidRPr="001026E6">
        <w:rPr>
          <w:rFonts w:cs="Helvetica"/>
          <w:sz w:val="24"/>
          <w:szCs w:val="24"/>
        </w:rPr>
        <w:t>:</w:t>
      </w:r>
      <w:r w:rsidR="00B65984" w:rsidRPr="001026E6">
        <w:rPr>
          <w:rFonts w:cs="Helvetica"/>
          <w:sz w:val="24"/>
          <w:szCs w:val="24"/>
        </w:rPr>
        <w:t xml:space="preserve"> </w:t>
      </w:r>
    </w:p>
    <w:p w14:paraId="6AD679F7" w14:textId="77777777" w:rsidR="00C7536C" w:rsidRPr="001026E6" w:rsidRDefault="00C7536C" w:rsidP="00C7536C">
      <w:pPr>
        <w:pStyle w:val="ListParagraph"/>
        <w:ind w:left="425"/>
        <w:jc w:val="both"/>
        <w:rPr>
          <w:rFonts w:cs="Helvetica"/>
          <w:sz w:val="24"/>
          <w:szCs w:val="24"/>
        </w:rPr>
      </w:pPr>
    </w:p>
    <w:p w14:paraId="4111DA10" w14:textId="77777777" w:rsidR="00C7536C" w:rsidRPr="001026E6" w:rsidRDefault="00C7536C" w:rsidP="008C51FC">
      <w:pPr>
        <w:pStyle w:val="ListParagraph"/>
        <w:numPr>
          <w:ilvl w:val="1"/>
          <w:numId w:val="1"/>
        </w:numPr>
        <w:ind w:left="851"/>
        <w:jc w:val="both"/>
        <w:rPr>
          <w:rFonts w:cs="Helvetica"/>
          <w:sz w:val="24"/>
          <w:szCs w:val="24"/>
        </w:rPr>
      </w:pPr>
      <w:r w:rsidRPr="001026E6">
        <w:rPr>
          <w:rFonts w:cs="Helvetica"/>
          <w:sz w:val="24"/>
          <w:szCs w:val="24"/>
        </w:rPr>
        <w:t>a potential Issuer seeking to make an Offer of Digital Securities into ADGM;</w:t>
      </w:r>
    </w:p>
    <w:p w14:paraId="64E76FDA" w14:textId="77777777" w:rsidR="00C7536C" w:rsidRPr="001026E6" w:rsidRDefault="00C7536C" w:rsidP="00C7536C">
      <w:pPr>
        <w:pStyle w:val="ListParagraph"/>
        <w:ind w:left="851"/>
        <w:jc w:val="both"/>
        <w:rPr>
          <w:rFonts w:cs="Helvetica"/>
          <w:sz w:val="24"/>
          <w:szCs w:val="24"/>
        </w:rPr>
      </w:pPr>
    </w:p>
    <w:p w14:paraId="1DBAE872" w14:textId="77777777" w:rsidR="00785A34" w:rsidRPr="001026E6" w:rsidRDefault="00785A34" w:rsidP="008C51FC">
      <w:pPr>
        <w:pStyle w:val="ListParagraph"/>
        <w:numPr>
          <w:ilvl w:val="1"/>
          <w:numId w:val="1"/>
        </w:numPr>
        <w:ind w:left="851"/>
        <w:jc w:val="both"/>
        <w:rPr>
          <w:rFonts w:cs="Helvetica"/>
          <w:sz w:val="24"/>
          <w:szCs w:val="24"/>
        </w:rPr>
      </w:pPr>
      <w:r w:rsidRPr="001026E6">
        <w:rPr>
          <w:rFonts w:cs="Helvetica"/>
          <w:sz w:val="24"/>
          <w:szCs w:val="24"/>
        </w:rPr>
        <w:t>Issuers/Reporting Entities seeking to have Digital Securities admitted to the Official List of Securities;</w:t>
      </w:r>
    </w:p>
    <w:p w14:paraId="2674269F" w14:textId="77777777" w:rsidR="00785A34" w:rsidRPr="001026E6" w:rsidRDefault="00785A34" w:rsidP="00CB6E8B">
      <w:pPr>
        <w:pStyle w:val="ListParagraph"/>
        <w:rPr>
          <w:rFonts w:cs="Helvetica"/>
          <w:sz w:val="24"/>
          <w:szCs w:val="24"/>
        </w:rPr>
      </w:pPr>
    </w:p>
    <w:p w14:paraId="50FA66FF" w14:textId="40E04F77" w:rsidR="00C7536C" w:rsidRPr="001026E6" w:rsidRDefault="00667EE6">
      <w:pPr>
        <w:pStyle w:val="ListParagraph"/>
        <w:numPr>
          <w:ilvl w:val="1"/>
          <w:numId w:val="1"/>
        </w:numPr>
        <w:ind w:left="851"/>
        <w:jc w:val="both"/>
        <w:rPr>
          <w:rFonts w:cs="Helvetica"/>
          <w:sz w:val="24"/>
          <w:szCs w:val="24"/>
        </w:rPr>
      </w:pPr>
      <w:r w:rsidRPr="001026E6">
        <w:rPr>
          <w:rFonts w:cs="Helvetica"/>
          <w:sz w:val="24"/>
          <w:szCs w:val="24"/>
        </w:rPr>
        <w:t>a</w:t>
      </w:r>
      <w:r w:rsidR="00E00E05" w:rsidRPr="001026E6">
        <w:rPr>
          <w:rFonts w:cs="Helvetica"/>
          <w:sz w:val="24"/>
          <w:szCs w:val="24"/>
        </w:rPr>
        <w:t>n MTF (</w:t>
      </w:r>
      <w:r w:rsidRPr="001026E6">
        <w:rPr>
          <w:rFonts w:cs="Helvetica"/>
          <w:sz w:val="24"/>
          <w:szCs w:val="24"/>
        </w:rPr>
        <w:t>using</w:t>
      </w:r>
      <w:r w:rsidR="00221CA0" w:rsidRPr="001026E6">
        <w:rPr>
          <w:sz w:val="24"/>
          <w:szCs w:val="24"/>
          <w:lang w:val="en-US"/>
        </w:rPr>
        <w:t xml:space="preserve"> Virtual Assets</w:t>
      </w:r>
      <w:r w:rsidR="00E00E05" w:rsidRPr="001026E6">
        <w:rPr>
          <w:rFonts w:cs="Helvetica"/>
          <w:sz w:val="24"/>
          <w:szCs w:val="24"/>
        </w:rPr>
        <w:t>)</w:t>
      </w:r>
      <w:r w:rsidR="00C7536C" w:rsidRPr="001026E6">
        <w:rPr>
          <w:rFonts w:cs="Helvetica"/>
          <w:sz w:val="24"/>
          <w:szCs w:val="24"/>
        </w:rPr>
        <w:t xml:space="preserve"> wanting to become a Digital Securities trading venue, whether that be a</w:t>
      </w:r>
      <w:r w:rsidRPr="001026E6">
        <w:rPr>
          <w:rFonts w:cs="Helvetica"/>
          <w:sz w:val="24"/>
          <w:szCs w:val="24"/>
        </w:rPr>
        <w:t xml:space="preserve">s a </w:t>
      </w:r>
      <w:r w:rsidR="00C7536C" w:rsidRPr="001026E6">
        <w:rPr>
          <w:rFonts w:cs="Helvetica"/>
          <w:sz w:val="24"/>
          <w:szCs w:val="24"/>
        </w:rPr>
        <w:t xml:space="preserve"> RIE </w:t>
      </w:r>
      <w:r w:rsidR="00CE01F1" w:rsidRPr="001026E6">
        <w:rPr>
          <w:rFonts w:cs="Helvetica"/>
          <w:sz w:val="24"/>
          <w:szCs w:val="24"/>
        </w:rPr>
        <w:t xml:space="preserve">(refer to paragraphs </w:t>
      </w:r>
      <w:r w:rsidR="003C4218" w:rsidRPr="001026E6">
        <w:rPr>
          <w:rFonts w:cs="Helvetica"/>
          <w:sz w:val="24"/>
          <w:szCs w:val="24"/>
        </w:rPr>
        <w:t>68</w:t>
      </w:r>
      <w:r w:rsidR="00CE01F1" w:rsidRPr="001026E6">
        <w:rPr>
          <w:rFonts w:cs="Helvetica"/>
          <w:sz w:val="24"/>
          <w:szCs w:val="24"/>
        </w:rPr>
        <w:t xml:space="preserve"> – </w:t>
      </w:r>
      <w:r w:rsidR="000A223D" w:rsidRPr="001026E6">
        <w:rPr>
          <w:rFonts w:cs="Helvetica"/>
          <w:sz w:val="24"/>
          <w:szCs w:val="24"/>
        </w:rPr>
        <w:t>7</w:t>
      </w:r>
      <w:r w:rsidR="003C4218" w:rsidRPr="001026E6">
        <w:rPr>
          <w:rFonts w:cs="Helvetica"/>
          <w:sz w:val="24"/>
          <w:szCs w:val="24"/>
        </w:rPr>
        <w:t>2</w:t>
      </w:r>
      <w:r w:rsidR="00CE01F1" w:rsidRPr="001026E6">
        <w:rPr>
          <w:rFonts w:cs="Helvetica"/>
          <w:sz w:val="24"/>
          <w:szCs w:val="24"/>
        </w:rPr>
        <w:t xml:space="preserve">) </w:t>
      </w:r>
      <w:r w:rsidR="00C7536C" w:rsidRPr="001026E6">
        <w:rPr>
          <w:rFonts w:cs="Helvetica"/>
          <w:sz w:val="24"/>
          <w:szCs w:val="24"/>
        </w:rPr>
        <w:t>or</w:t>
      </w:r>
      <w:r w:rsidRPr="001026E6">
        <w:rPr>
          <w:rFonts w:cs="Helvetica"/>
          <w:sz w:val="24"/>
          <w:szCs w:val="24"/>
        </w:rPr>
        <w:t xml:space="preserve"> an</w:t>
      </w:r>
      <w:r w:rsidR="00C7536C" w:rsidRPr="001026E6">
        <w:rPr>
          <w:rFonts w:cs="Helvetica"/>
          <w:sz w:val="24"/>
          <w:szCs w:val="24"/>
        </w:rPr>
        <w:t xml:space="preserve"> MTF (refer to paragraphs </w:t>
      </w:r>
      <w:r w:rsidR="000A223D" w:rsidRPr="001026E6">
        <w:rPr>
          <w:rFonts w:cs="Helvetica"/>
          <w:sz w:val="24"/>
          <w:szCs w:val="24"/>
        </w:rPr>
        <w:t>6</w:t>
      </w:r>
      <w:r w:rsidR="003C4218" w:rsidRPr="001026E6">
        <w:rPr>
          <w:rFonts w:cs="Helvetica"/>
          <w:sz w:val="24"/>
          <w:szCs w:val="24"/>
        </w:rPr>
        <w:t>3</w:t>
      </w:r>
      <w:r w:rsidR="000A223D" w:rsidRPr="001026E6">
        <w:rPr>
          <w:rFonts w:cs="Helvetica"/>
          <w:sz w:val="24"/>
          <w:szCs w:val="24"/>
        </w:rPr>
        <w:t xml:space="preserve"> </w:t>
      </w:r>
      <w:r w:rsidR="00CE01F1" w:rsidRPr="001026E6">
        <w:rPr>
          <w:rFonts w:cs="Helvetica"/>
          <w:sz w:val="24"/>
          <w:szCs w:val="24"/>
        </w:rPr>
        <w:t>-</w:t>
      </w:r>
      <w:r w:rsidR="000A223D" w:rsidRPr="001026E6">
        <w:rPr>
          <w:rFonts w:cs="Helvetica"/>
          <w:sz w:val="24"/>
          <w:szCs w:val="24"/>
        </w:rPr>
        <w:t>6</w:t>
      </w:r>
      <w:r w:rsidR="005A3593" w:rsidRPr="001026E6">
        <w:rPr>
          <w:rFonts w:cs="Helvetica"/>
          <w:sz w:val="24"/>
          <w:szCs w:val="24"/>
        </w:rPr>
        <w:t>7</w:t>
      </w:r>
      <w:r w:rsidR="00C7536C" w:rsidRPr="001026E6">
        <w:rPr>
          <w:rFonts w:cs="Helvetica"/>
          <w:sz w:val="24"/>
          <w:szCs w:val="24"/>
        </w:rPr>
        <w:t>);</w:t>
      </w:r>
    </w:p>
    <w:p w14:paraId="314E182F" w14:textId="77777777" w:rsidR="00C7536C" w:rsidRPr="001026E6" w:rsidRDefault="00C7536C" w:rsidP="00C7536C">
      <w:pPr>
        <w:pStyle w:val="ListParagraph"/>
        <w:ind w:left="851"/>
        <w:jc w:val="both"/>
        <w:rPr>
          <w:rFonts w:cs="Helvetica"/>
          <w:sz w:val="24"/>
          <w:szCs w:val="24"/>
        </w:rPr>
      </w:pPr>
    </w:p>
    <w:p w14:paraId="1C028ADC" w14:textId="785551E2" w:rsidR="00C7536C" w:rsidRPr="001026E6" w:rsidRDefault="00C7536C">
      <w:pPr>
        <w:pStyle w:val="ListParagraph"/>
        <w:numPr>
          <w:ilvl w:val="1"/>
          <w:numId w:val="1"/>
        </w:numPr>
        <w:ind w:left="851"/>
        <w:jc w:val="both"/>
        <w:rPr>
          <w:rFonts w:cs="Helvetica"/>
          <w:sz w:val="24"/>
          <w:szCs w:val="24"/>
        </w:rPr>
      </w:pPr>
      <w:r w:rsidRPr="001026E6">
        <w:rPr>
          <w:rFonts w:cs="Helvetica"/>
          <w:sz w:val="24"/>
          <w:szCs w:val="24"/>
        </w:rPr>
        <w:lastRenderedPageBreak/>
        <w:t>a</w:t>
      </w:r>
      <w:r w:rsidR="00785A34" w:rsidRPr="001026E6">
        <w:rPr>
          <w:rFonts w:cs="Helvetica"/>
          <w:sz w:val="24"/>
          <w:szCs w:val="24"/>
        </w:rPr>
        <w:t xml:space="preserve"> ‘conventional’</w:t>
      </w:r>
      <w:r w:rsidRPr="001026E6">
        <w:rPr>
          <w:rFonts w:cs="Helvetica"/>
          <w:sz w:val="24"/>
          <w:szCs w:val="24"/>
        </w:rPr>
        <w:t xml:space="preserve"> RIE or MTF wanting to operate a </w:t>
      </w:r>
      <w:r w:rsidR="00785A34" w:rsidRPr="001026E6">
        <w:rPr>
          <w:rFonts w:cs="Helvetica"/>
          <w:sz w:val="24"/>
          <w:szCs w:val="24"/>
        </w:rPr>
        <w:t>Digital Securities trading venue</w:t>
      </w:r>
      <w:r w:rsidRPr="001026E6">
        <w:rPr>
          <w:rFonts w:cs="Helvetica"/>
          <w:sz w:val="24"/>
          <w:szCs w:val="24"/>
        </w:rPr>
        <w:t xml:space="preserve"> (refer to paragraphs </w:t>
      </w:r>
      <w:r w:rsidR="000A223D" w:rsidRPr="001026E6">
        <w:rPr>
          <w:rFonts w:cs="Helvetica"/>
          <w:sz w:val="24"/>
          <w:szCs w:val="24"/>
        </w:rPr>
        <w:t xml:space="preserve">41 </w:t>
      </w:r>
      <w:r w:rsidR="00CE01F1" w:rsidRPr="001026E6">
        <w:rPr>
          <w:rFonts w:cs="Helvetica"/>
          <w:sz w:val="24"/>
          <w:szCs w:val="24"/>
        </w:rPr>
        <w:t xml:space="preserve">– </w:t>
      </w:r>
      <w:r w:rsidR="000A223D" w:rsidRPr="001026E6">
        <w:rPr>
          <w:rFonts w:cs="Helvetica"/>
          <w:sz w:val="24"/>
          <w:szCs w:val="24"/>
        </w:rPr>
        <w:t xml:space="preserve">44 </w:t>
      </w:r>
      <w:r w:rsidR="00CE01F1" w:rsidRPr="001026E6">
        <w:rPr>
          <w:rFonts w:cs="Helvetica"/>
          <w:sz w:val="24"/>
          <w:szCs w:val="24"/>
        </w:rPr>
        <w:t xml:space="preserve">for RIEs and paragraphs </w:t>
      </w:r>
      <w:r w:rsidR="000A223D" w:rsidRPr="001026E6">
        <w:rPr>
          <w:rFonts w:cs="Helvetica"/>
          <w:sz w:val="24"/>
          <w:szCs w:val="24"/>
        </w:rPr>
        <w:t>45</w:t>
      </w:r>
      <w:r w:rsidR="00CE01F1" w:rsidRPr="001026E6">
        <w:rPr>
          <w:rFonts w:cs="Helvetica"/>
          <w:sz w:val="24"/>
          <w:szCs w:val="24"/>
        </w:rPr>
        <w:t xml:space="preserve"> – </w:t>
      </w:r>
      <w:r w:rsidR="000A223D" w:rsidRPr="001026E6">
        <w:rPr>
          <w:rFonts w:cs="Helvetica"/>
          <w:sz w:val="24"/>
          <w:szCs w:val="24"/>
        </w:rPr>
        <w:t xml:space="preserve">48 </w:t>
      </w:r>
      <w:r w:rsidR="00CE01F1" w:rsidRPr="001026E6">
        <w:rPr>
          <w:rFonts w:cs="Helvetica"/>
          <w:sz w:val="24"/>
          <w:szCs w:val="24"/>
        </w:rPr>
        <w:t>for MTFs</w:t>
      </w:r>
      <w:r w:rsidRPr="001026E6">
        <w:rPr>
          <w:rFonts w:cs="Helvetica"/>
          <w:sz w:val="24"/>
          <w:szCs w:val="24"/>
        </w:rPr>
        <w:t xml:space="preserve">); </w:t>
      </w:r>
    </w:p>
    <w:p w14:paraId="2895CDD9" w14:textId="77777777" w:rsidR="00C7536C" w:rsidRPr="001026E6" w:rsidRDefault="00C7536C" w:rsidP="00C7536C">
      <w:pPr>
        <w:pStyle w:val="ListParagraph"/>
        <w:ind w:left="851"/>
        <w:jc w:val="both"/>
        <w:rPr>
          <w:rFonts w:cs="Helvetica"/>
          <w:sz w:val="24"/>
          <w:szCs w:val="24"/>
        </w:rPr>
      </w:pPr>
    </w:p>
    <w:p w14:paraId="1606D2F4" w14:textId="4E3E19A8" w:rsidR="00C7536C" w:rsidRPr="001026E6" w:rsidRDefault="00221CA0">
      <w:pPr>
        <w:pStyle w:val="ListParagraph"/>
        <w:numPr>
          <w:ilvl w:val="1"/>
          <w:numId w:val="1"/>
        </w:numPr>
        <w:ind w:left="851"/>
        <w:jc w:val="both"/>
        <w:rPr>
          <w:rFonts w:cs="Helvetica"/>
          <w:sz w:val="24"/>
          <w:szCs w:val="24"/>
        </w:rPr>
      </w:pPr>
      <w:r w:rsidRPr="001026E6">
        <w:rPr>
          <w:rFonts w:cs="Helvetica"/>
          <w:sz w:val="24"/>
          <w:szCs w:val="24"/>
        </w:rPr>
        <w:t>an Authorised Person that is Providing Custody</w:t>
      </w:r>
      <w:r w:rsidR="00643E9B" w:rsidRPr="001026E6">
        <w:rPr>
          <w:rFonts w:cs="Helvetica"/>
          <w:sz w:val="24"/>
          <w:szCs w:val="24"/>
        </w:rPr>
        <w:t xml:space="preserve"> in relation to Virtual Assets </w:t>
      </w:r>
      <w:r w:rsidRPr="001026E6">
        <w:rPr>
          <w:rFonts w:cs="Helvetica"/>
          <w:sz w:val="24"/>
          <w:szCs w:val="24"/>
        </w:rPr>
        <w:t>(a “Virtual Asset Custodian”)</w:t>
      </w:r>
      <w:r w:rsidR="00C7536C" w:rsidRPr="001026E6">
        <w:rPr>
          <w:rFonts w:cs="Helvetica"/>
          <w:sz w:val="24"/>
          <w:szCs w:val="24"/>
        </w:rPr>
        <w:t xml:space="preserve">, seeking to provide Digital Settlement Facility services (refer to </w:t>
      </w:r>
      <w:r w:rsidR="00465CBB" w:rsidRPr="001026E6">
        <w:rPr>
          <w:rFonts w:cs="Helvetica"/>
          <w:sz w:val="24"/>
          <w:szCs w:val="24"/>
        </w:rPr>
        <w:t xml:space="preserve">paragraphs </w:t>
      </w:r>
      <w:r w:rsidR="000869A2" w:rsidRPr="001026E6">
        <w:rPr>
          <w:rFonts w:cs="Helvetica"/>
          <w:sz w:val="24"/>
          <w:szCs w:val="24"/>
        </w:rPr>
        <w:t xml:space="preserve">73 </w:t>
      </w:r>
      <w:r w:rsidR="000A223D" w:rsidRPr="001026E6">
        <w:rPr>
          <w:rFonts w:cs="Helvetica"/>
          <w:sz w:val="24"/>
          <w:szCs w:val="24"/>
        </w:rPr>
        <w:t xml:space="preserve">- </w:t>
      </w:r>
      <w:r w:rsidR="000869A2" w:rsidRPr="001026E6">
        <w:rPr>
          <w:rFonts w:cs="Helvetica"/>
          <w:sz w:val="24"/>
          <w:szCs w:val="24"/>
        </w:rPr>
        <w:t>75</w:t>
      </w:r>
      <w:r w:rsidR="00465CBB" w:rsidRPr="001026E6">
        <w:rPr>
          <w:rFonts w:cs="Helvetica"/>
          <w:sz w:val="24"/>
          <w:szCs w:val="24"/>
        </w:rPr>
        <w:t>);</w:t>
      </w:r>
    </w:p>
    <w:p w14:paraId="1ED79B4E" w14:textId="77777777" w:rsidR="00465CBB" w:rsidRPr="001026E6" w:rsidRDefault="00465CBB" w:rsidP="00465CBB">
      <w:pPr>
        <w:pStyle w:val="ListParagraph"/>
        <w:rPr>
          <w:rFonts w:cs="Helvetica"/>
          <w:sz w:val="24"/>
          <w:szCs w:val="24"/>
        </w:rPr>
      </w:pPr>
    </w:p>
    <w:p w14:paraId="506DCFCF" w14:textId="3F6B1C8C" w:rsidR="00465CBB" w:rsidRPr="001026E6" w:rsidRDefault="00465CBB" w:rsidP="00234CCA">
      <w:pPr>
        <w:pStyle w:val="ListParagraph"/>
        <w:numPr>
          <w:ilvl w:val="1"/>
          <w:numId w:val="1"/>
        </w:numPr>
        <w:ind w:left="851"/>
        <w:jc w:val="both"/>
        <w:rPr>
          <w:rFonts w:cs="Helvetica"/>
          <w:sz w:val="24"/>
          <w:szCs w:val="24"/>
        </w:rPr>
      </w:pPr>
      <w:r w:rsidRPr="001026E6">
        <w:rPr>
          <w:rFonts w:cs="Helvetica"/>
          <w:sz w:val="24"/>
          <w:szCs w:val="24"/>
        </w:rPr>
        <w:t xml:space="preserve">a ‘conventional’ intermediary, such as a broker, custodian, advisor, fund manager or asset manager, seeking to provide its services in relation to Digital Securities (refer to paragraphs </w:t>
      </w:r>
      <w:r w:rsidR="000869A2" w:rsidRPr="001026E6">
        <w:rPr>
          <w:rFonts w:cs="Helvetica"/>
          <w:sz w:val="24"/>
          <w:szCs w:val="24"/>
        </w:rPr>
        <w:t>87</w:t>
      </w:r>
      <w:r w:rsidR="000A223D" w:rsidRPr="001026E6">
        <w:rPr>
          <w:rFonts w:cs="Helvetica"/>
          <w:sz w:val="24"/>
          <w:szCs w:val="24"/>
        </w:rPr>
        <w:t>-</w:t>
      </w:r>
      <w:r w:rsidR="00234CCA" w:rsidRPr="001026E6">
        <w:rPr>
          <w:rFonts w:cs="Helvetica"/>
          <w:sz w:val="24"/>
          <w:szCs w:val="24"/>
        </w:rPr>
        <w:t>92</w:t>
      </w:r>
      <w:r w:rsidRPr="001026E6">
        <w:rPr>
          <w:rFonts w:cs="Helvetica"/>
          <w:sz w:val="24"/>
          <w:szCs w:val="24"/>
        </w:rPr>
        <w:t xml:space="preserve">); or </w:t>
      </w:r>
    </w:p>
    <w:p w14:paraId="1FCA1530" w14:textId="77777777" w:rsidR="00465CBB" w:rsidRPr="001026E6" w:rsidRDefault="00465CBB" w:rsidP="00465CBB">
      <w:pPr>
        <w:pStyle w:val="ListParagraph"/>
        <w:rPr>
          <w:rFonts w:cs="Helvetica"/>
          <w:sz w:val="24"/>
          <w:szCs w:val="24"/>
        </w:rPr>
      </w:pPr>
    </w:p>
    <w:p w14:paraId="269B95E0" w14:textId="0E045B15" w:rsidR="00465CBB" w:rsidRPr="001026E6" w:rsidRDefault="00465CBB" w:rsidP="00CE01F1">
      <w:pPr>
        <w:pStyle w:val="ListParagraph"/>
        <w:numPr>
          <w:ilvl w:val="1"/>
          <w:numId w:val="1"/>
        </w:numPr>
        <w:ind w:left="851"/>
        <w:jc w:val="both"/>
        <w:rPr>
          <w:rFonts w:cs="Helvetica"/>
          <w:sz w:val="24"/>
          <w:szCs w:val="24"/>
        </w:rPr>
      </w:pPr>
      <w:r w:rsidRPr="001026E6">
        <w:rPr>
          <w:rFonts w:cs="Helvetica"/>
          <w:sz w:val="24"/>
          <w:szCs w:val="24"/>
        </w:rPr>
        <w:t xml:space="preserve">an Operator of a PFP seeking to market Digital Securities on its electronic platform (refer to paragraphs </w:t>
      </w:r>
      <w:r w:rsidR="000A223D" w:rsidRPr="001026E6">
        <w:rPr>
          <w:rFonts w:cs="Helvetica"/>
          <w:sz w:val="24"/>
          <w:szCs w:val="24"/>
        </w:rPr>
        <w:t>9</w:t>
      </w:r>
      <w:r w:rsidR="000869A2" w:rsidRPr="001026E6">
        <w:rPr>
          <w:rFonts w:cs="Helvetica"/>
          <w:sz w:val="24"/>
          <w:szCs w:val="24"/>
        </w:rPr>
        <w:t>3</w:t>
      </w:r>
      <w:r w:rsidR="00CE01F1" w:rsidRPr="001026E6">
        <w:rPr>
          <w:rFonts w:cs="Helvetica"/>
          <w:sz w:val="24"/>
          <w:szCs w:val="24"/>
        </w:rPr>
        <w:t xml:space="preserve"> </w:t>
      </w:r>
      <w:r w:rsidR="000A223D" w:rsidRPr="001026E6">
        <w:rPr>
          <w:rFonts w:cs="Helvetica"/>
          <w:sz w:val="24"/>
          <w:szCs w:val="24"/>
        </w:rPr>
        <w:t>- 9</w:t>
      </w:r>
      <w:r w:rsidR="000869A2" w:rsidRPr="001026E6">
        <w:rPr>
          <w:rFonts w:cs="Helvetica"/>
          <w:sz w:val="24"/>
          <w:szCs w:val="24"/>
        </w:rPr>
        <w:t>6</w:t>
      </w:r>
      <w:r w:rsidRPr="001026E6">
        <w:rPr>
          <w:rFonts w:cs="Helvetica"/>
          <w:sz w:val="24"/>
          <w:szCs w:val="24"/>
        </w:rPr>
        <w:t>).</w:t>
      </w:r>
    </w:p>
    <w:p w14:paraId="39D17822" w14:textId="77777777" w:rsidR="00785A34" w:rsidRPr="001026E6" w:rsidRDefault="00785A34" w:rsidP="00785A34">
      <w:pPr>
        <w:pStyle w:val="ListParagraph"/>
        <w:ind w:left="425"/>
        <w:jc w:val="both"/>
        <w:rPr>
          <w:rFonts w:cs="Helvetica"/>
          <w:bCs/>
          <w:iCs/>
          <w:sz w:val="24"/>
        </w:rPr>
      </w:pPr>
    </w:p>
    <w:p w14:paraId="33FA8E50" w14:textId="6683B269" w:rsidR="00C7536C" w:rsidRPr="001026E6" w:rsidRDefault="00785A34" w:rsidP="008C51FC">
      <w:pPr>
        <w:pStyle w:val="ListParagraph"/>
        <w:numPr>
          <w:ilvl w:val="0"/>
          <w:numId w:val="1"/>
        </w:numPr>
        <w:ind w:left="425"/>
        <w:jc w:val="both"/>
        <w:rPr>
          <w:rFonts w:cs="Helvetica"/>
          <w:bCs/>
          <w:iCs/>
          <w:sz w:val="24"/>
        </w:rPr>
      </w:pPr>
      <w:r w:rsidRPr="001026E6">
        <w:rPr>
          <w:rFonts w:cs="Helvetica"/>
          <w:sz w:val="24"/>
          <w:szCs w:val="24"/>
        </w:rPr>
        <w:t xml:space="preserve">Except as otherwise set out, when interpreting (and demonstrating compliance with) the Rules discussed in this Guidance, </w:t>
      </w:r>
      <w:r w:rsidR="008C51FC" w:rsidRPr="001026E6">
        <w:rPr>
          <w:rFonts w:cs="Helvetica"/>
          <w:sz w:val="24"/>
          <w:szCs w:val="24"/>
        </w:rPr>
        <w:t xml:space="preserve">readers are to interpret </w:t>
      </w:r>
      <w:r w:rsidR="00B34D42" w:rsidRPr="001026E6">
        <w:rPr>
          <w:rFonts w:cs="Helvetica"/>
          <w:sz w:val="24"/>
          <w:szCs w:val="24"/>
        </w:rPr>
        <w:t>the Rules refer</w:t>
      </w:r>
      <w:r w:rsidR="008C51FC" w:rsidRPr="001026E6">
        <w:rPr>
          <w:rFonts w:cs="Helvetica"/>
          <w:sz w:val="24"/>
          <w:szCs w:val="24"/>
        </w:rPr>
        <w:t xml:space="preserve">enced </w:t>
      </w:r>
      <w:r w:rsidR="00B34D42" w:rsidRPr="001026E6">
        <w:rPr>
          <w:rFonts w:cs="Helvetica"/>
          <w:sz w:val="24"/>
          <w:szCs w:val="24"/>
        </w:rPr>
        <w:t xml:space="preserve">in this Guidance (for example, </w:t>
      </w:r>
      <w:r w:rsidR="008C51FC" w:rsidRPr="001026E6">
        <w:rPr>
          <w:rFonts w:cs="Helvetica"/>
          <w:sz w:val="24"/>
          <w:szCs w:val="24"/>
        </w:rPr>
        <w:t xml:space="preserve">in relation to the </w:t>
      </w:r>
      <w:r w:rsidR="00B34D42" w:rsidRPr="001026E6">
        <w:rPr>
          <w:rFonts w:cs="Helvetica"/>
          <w:sz w:val="24"/>
          <w:szCs w:val="24"/>
        </w:rPr>
        <w:t>MIR</w:t>
      </w:r>
      <w:r w:rsidR="0088356A" w:rsidRPr="001026E6">
        <w:rPr>
          <w:rFonts w:cs="Helvetica"/>
          <w:sz w:val="24"/>
          <w:szCs w:val="24"/>
        </w:rPr>
        <w:t xml:space="preserve">, </w:t>
      </w:r>
      <w:r w:rsidRPr="001026E6">
        <w:rPr>
          <w:rFonts w:cs="Helvetica"/>
          <w:sz w:val="24"/>
          <w:szCs w:val="24"/>
        </w:rPr>
        <w:t>MKT</w:t>
      </w:r>
      <w:r w:rsidR="00C9016F" w:rsidRPr="001026E6">
        <w:rPr>
          <w:rFonts w:cs="Helvetica"/>
          <w:sz w:val="24"/>
          <w:szCs w:val="24"/>
        </w:rPr>
        <w:t>, COBS, GEN</w:t>
      </w:r>
      <w:r w:rsidR="0088356A" w:rsidRPr="001026E6">
        <w:rPr>
          <w:rFonts w:cs="Helvetica"/>
          <w:sz w:val="24"/>
          <w:szCs w:val="24"/>
        </w:rPr>
        <w:t xml:space="preserve"> and</w:t>
      </w:r>
      <w:r w:rsidR="00C9016F" w:rsidRPr="001026E6">
        <w:rPr>
          <w:rFonts w:cs="Helvetica"/>
          <w:sz w:val="24"/>
          <w:szCs w:val="24"/>
        </w:rPr>
        <w:t xml:space="preserve"> AML </w:t>
      </w:r>
      <w:r w:rsidR="008C51FC" w:rsidRPr="001026E6">
        <w:rPr>
          <w:rFonts w:cs="Helvetica"/>
          <w:sz w:val="24"/>
          <w:szCs w:val="24"/>
        </w:rPr>
        <w:t>Rulebooks</w:t>
      </w:r>
      <w:r w:rsidR="00B34D42" w:rsidRPr="001026E6">
        <w:rPr>
          <w:rFonts w:cs="Helvetica"/>
          <w:sz w:val="24"/>
          <w:szCs w:val="24"/>
        </w:rPr>
        <w:t xml:space="preserve">) </w:t>
      </w:r>
      <w:r w:rsidR="008C51FC" w:rsidRPr="001026E6">
        <w:rPr>
          <w:rFonts w:cs="Helvetica"/>
          <w:sz w:val="24"/>
          <w:szCs w:val="24"/>
        </w:rPr>
        <w:t xml:space="preserve">in the way </w:t>
      </w:r>
      <w:r w:rsidR="00B34D42" w:rsidRPr="001026E6">
        <w:rPr>
          <w:rFonts w:cs="Helvetica"/>
          <w:sz w:val="24"/>
          <w:szCs w:val="24"/>
        </w:rPr>
        <w:t xml:space="preserve">those Rules are written.  </w:t>
      </w:r>
      <w:r w:rsidRPr="001026E6">
        <w:rPr>
          <w:rFonts w:cs="Helvetica"/>
          <w:sz w:val="24"/>
          <w:szCs w:val="24"/>
        </w:rPr>
        <w:t>Where this Guidance c</w:t>
      </w:r>
      <w:r w:rsidR="00B34D42" w:rsidRPr="001026E6">
        <w:rPr>
          <w:rFonts w:cs="Helvetica"/>
          <w:sz w:val="24"/>
          <w:szCs w:val="24"/>
        </w:rPr>
        <w:t>ross refer</w:t>
      </w:r>
      <w:r w:rsidRPr="001026E6">
        <w:rPr>
          <w:rFonts w:cs="Helvetica"/>
          <w:sz w:val="24"/>
          <w:szCs w:val="24"/>
        </w:rPr>
        <w:t>s</w:t>
      </w:r>
      <w:r w:rsidR="00B34D42" w:rsidRPr="001026E6">
        <w:rPr>
          <w:rFonts w:cs="Helvetica"/>
          <w:sz w:val="24"/>
          <w:szCs w:val="24"/>
        </w:rPr>
        <w:t xml:space="preserve"> to the </w:t>
      </w:r>
      <w:r w:rsidR="00E720F1" w:rsidRPr="001026E6">
        <w:rPr>
          <w:rFonts w:cs="Helvetica"/>
          <w:sz w:val="24"/>
          <w:szCs w:val="24"/>
        </w:rPr>
        <w:t>Virtual Assets Guidance</w:t>
      </w:r>
      <w:r w:rsidR="008D32E4" w:rsidRPr="001026E6">
        <w:rPr>
          <w:rFonts w:cs="Helvetica"/>
          <w:sz w:val="24"/>
          <w:szCs w:val="24"/>
        </w:rPr>
        <w:t>, it is the FSRA’S general expectation that</w:t>
      </w:r>
      <w:r w:rsidR="00B34D42" w:rsidRPr="001026E6">
        <w:rPr>
          <w:rFonts w:cs="Helvetica"/>
          <w:sz w:val="24"/>
          <w:szCs w:val="24"/>
        </w:rPr>
        <w:t xml:space="preserve"> readers apply those </w:t>
      </w:r>
      <w:r w:rsidR="008C51FC" w:rsidRPr="001026E6">
        <w:rPr>
          <w:rFonts w:cs="Helvetica"/>
          <w:sz w:val="24"/>
          <w:szCs w:val="24"/>
        </w:rPr>
        <w:t xml:space="preserve">relevant </w:t>
      </w:r>
      <w:r w:rsidR="00B34D42" w:rsidRPr="001026E6">
        <w:rPr>
          <w:rFonts w:cs="Helvetica"/>
          <w:sz w:val="24"/>
          <w:szCs w:val="24"/>
        </w:rPr>
        <w:t xml:space="preserve">aspects of the </w:t>
      </w:r>
      <w:r w:rsidR="00E720F1" w:rsidRPr="001026E6">
        <w:rPr>
          <w:rFonts w:cs="Helvetica"/>
          <w:sz w:val="24"/>
          <w:szCs w:val="24"/>
        </w:rPr>
        <w:t>Virtual Assets Guidance</w:t>
      </w:r>
      <w:r w:rsidR="00B34D42" w:rsidRPr="001026E6">
        <w:rPr>
          <w:rFonts w:cs="Helvetica"/>
          <w:sz w:val="24"/>
          <w:szCs w:val="24"/>
        </w:rPr>
        <w:t xml:space="preserve"> in the context of Digital Securities, with such changes in terminology being read </w:t>
      </w:r>
      <w:r w:rsidR="00CB6E8B" w:rsidRPr="001026E6">
        <w:rPr>
          <w:rFonts w:cs="Helvetica"/>
          <w:sz w:val="24"/>
          <w:szCs w:val="24"/>
        </w:rPr>
        <w:t xml:space="preserve">(and understood) </w:t>
      </w:r>
      <w:r w:rsidR="00B34D42" w:rsidRPr="001026E6">
        <w:rPr>
          <w:rFonts w:cs="Helvetica"/>
          <w:sz w:val="24"/>
          <w:szCs w:val="24"/>
        </w:rPr>
        <w:t>as required.</w:t>
      </w:r>
    </w:p>
    <w:p w14:paraId="2E32645C" w14:textId="77777777" w:rsidR="00C7536C" w:rsidRPr="001026E6" w:rsidRDefault="00C7536C" w:rsidP="00C7536C">
      <w:pPr>
        <w:pStyle w:val="ListParagraph"/>
        <w:rPr>
          <w:rFonts w:cs="Helvetica"/>
          <w:sz w:val="24"/>
          <w:szCs w:val="24"/>
        </w:rPr>
      </w:pPr>
    </w:p>
    <w:p w14:paraId="5E40FA55" w14:textId="77777777" w:rsidR="00E717C9" w:rsidRPr="001026E6" w:rsidRDefault="004925EF" w:rsidP="00042E4C">
      <w:pPr>
        <w:pStyle w:val="ListParagraph"/>
        <w:numPr>
          <w:ilvl w:val="0"/>
          <w:numId w:val="1"/>
        </w:numPr>
        <w:ind w:left="426"/>
        <w:jc w:val="both"/>
        <w:rPr>
          <w:rFonts w:cs="Helvetica"/>
          <w:sz w:val="24"/>
          <w:szCs w:val="24"/>
        </w:rPr>
      </w:pPr>
      <w:r w:rsidRPr="001026E6">
        <w:rPr>
          <w:rFonts w:cs="Helvetica"/>
          <w:sz w:val="24"/>
          <w:szCs w:val="24"/>
        </w:rPr>
        <w:t>Th</w:t>
      </w:r>
      <w:r w:rsidR="006104B2" w:rsidRPr="001026E6">
        <w:rPr>
          <w:rFonts w:cs="Helvetica"/>
          <w:sz w:val="24"/>
          <w:szCs w:val="24"/>
        </w:rPr>
        <w:t xml:space="preserve">is </w:t>
      </w:r>
      <w:r w:rsidRPr="001026E6">
        <w:rPr>
          <w:rFonts w:cs="Helvetica"/>
          <w:sz w:val="24"/>
          <w:szCs w:val="24"/>
        </w:rPr>
        <w:t xml:space="preserve">Guidance is not an exhaustive source of the </w:t>
      </w:r>
      <w:r w:rsidR="006104B2" w:rsidRPr="001026E6">
        <w:rPr>
          <w:rFonts w:cs="Helvetica"/>
          <w:sz w:val="24"/>
          <w:szCs w:val="24"/>
        </w:rPr>
        <w:t>FSRA</w:t>
      </w:r>
      <w:r w:rsidRPr="001026E6">
        <w:rPr>
          <w:rFonts w:cs="Helvetica"/>
          <w:sz w:val="24"/>
          <w:szCs w:val="24"/>
        </w:rPr>
        <w:t xml:space="preserve">’s policy on the exercise of its </w:t>
      </w:r>
      <w:r w:rsidR="00B77F03" w:rsidRPr="001026E6">
        <w:rPr>
          <w:rFonts w:cs="Helvetica"/>
          <w:sz w:val="24"/>
          <w:szCs w:val="24"/>
        </w:rPr>
        <w:t xml:space="preserve">regulatory </w:t>
      </w:r>
      <w:r w:rsidR="00E717C9" w:rsidRPr="001026E6">
        <w:rPr>
          <w:rFonts w:cs="Helvetica"/>
          <w:sz w:val="24"/>
          <w:szCs w:val="24"/>
        </w:rPr>
        <w:t>functions and powers</w:t>
      </w:r>
      <w:r w:rsidR="00B77F03" w:rsidRPr="001026E6">
        <w:rPr>
          <w:rFonts w:cs="Helvetica"/>
          <w:sz w:val="24"/>
          <w:szCs w:val="24"/>
        </w:rPr>
        <w:t xml:space="preserve">.  The FSRA </w:t>
      </w:r>
      <w:r w:rsidR="00E717C9" w:rsidRPr="001026E6">
        <w:rPr>
          <w:rFonts w:cs="Helvetica"/>
          <w:sz w:val="24"/>
          <w:szCs w:val="24"/>
        </w:rPr>
        <w:t>is not bound by the requirements set out in th</w:t>
      </w:r>
      <w:r w:rsidR="00574DF1" w:rsidRPr="001026E6">
        <w:rPr>
          <w:rFonts w:cs="Helvetica"/>
          <w:sz w:val="24"/>
          <w:szCs w:val="24"/>
        </w:rPr>
        <w:t>is</w:t>
      </w:r>
      <w:r w:rsidR="00E717C9" w:rsidRPr="001026E6">
        <w:rPr>
          <w:rFonts w:cs="Helvetica"/>
          <w:sz w:val="24"/>
          <w:szCs w:val="24"/>
        </w:rPr>
        <w:t xml:space="preserve"> Guidance and </w:t>
      </w:r>
      <w:r w:rsidRPr="001026E6">
        <w:rPr>
          <w:rFonts w:cs="Helvetica"/>
          <w:sz w:val="24"/>
          <w:szCs w:val="24"/>
        </w:rPr>
        <w:t>may</w:t>
      </w:r>
      <w:r w:rsidR="00042E4C" w:rsidRPr="001026E6">
        <w:rPr>
          <w:rFonts w:cs="Helvetica"/>
          <w:sz w:val="24"/>
          <w:szCs w:val="24"/>
        </w:rPr>
        <w:t>:</w:t>
      </w:r>
      <w:r w:rsidR="00E717C9" w:rsidRPr="001026E6">
        <w:rPr>
          <w:rFonts w:cs="Helvetica"/>
          <w:sz w:val="24"/>
          <w:szCs w:val="24"/>
        </w:rPr>
        <w:t xml:space="preserve"> </w:t>
      </w:r>
    </w:p>
    <w:p w14:paraId="7DD071B5" w14:textId="77777777" w:rsidR="00E717C9" w:rsidRPr="001026E6" w:rsidRDefault="00E717C9" w:rsidP="00E717C9">
      <w:pPr>
        <w:pStyle w:val="ListParagraph"/>
        <w:rPr>
          <w:rFonts w:cs="Helvetica"/>
          <w:sz w:val="24"/>
          <w:szCs w:val="24"/>
        </w:rPr>
      </w:pPr>
    </w:p>
    <w:p w14:paraId="40A71CFF" w14:textId="77777777" w:rsidR="00E717C9" w:rsidRPr="001026E6" w:rsidRDefault="004925EF" w:rsidP="00695283">
      <w:pPr>
        <w:pStyle w:val="Heading4"/>
        <w:numPr>
          <w:ilvl w:val="0"/>
          <w:numId w:val="15"/>
        </w:numPr>
        <w:spacing w:after="0" w:line="240" w:lineRule="auto"/>
        <w:ind w:left="851"/>
        <w:rPr>
          <w:rFonts w:cs="Helvetica"/>
          <w:sz w:val="24"/>
        </w:rPr>
      </w:pPr>
      <w:r w:rsidRPr="001026E6">
        <w:rPr>
          <w:rFonts w:asciiTheme="minorHAnsi" w:eastAsiaTheme="minorHAnsi" w:hAnsiTheme="minorHAnsi" w:cs="Helvetica"/>
          <w:bCs w:val="0"/>
          <w:iCs w:val="0"/>
          <w:sz w:val="24"/>
        </w:rPr>
        <w:lastRenderedPageBreak/>
        <w:t xml:space="preserve">impose </w:t>
      </w:r>
      <w:r w:rsidR="00B77F03" w:rsidRPr="001026E6">
        <w:rPr>
          <w:rFonts w:asciiTheme="minorHAnsi" w:eastAsiaTheme="minorHAnsi" w:hAnsiTheme="minorHAnsi" w:cs="Helvetica"/>
          <w:bCs w:val="0"/>
          <w:iCs w:val="0"/>
          <w:sz w:val="24"/>
        </w:rPr>
        <w:t xml:space="preserve">additional </w:t>
      </w:r>
      <w:r w:rsidRPr="001026E6">
        <w:rPr>
          <w:rFonts w:asciiTheme="minorHAnsi" w:eastAsiaTheme="minorHAnsi" w:hAnsiTheme="minorHAnsi" w:cs="Helvetica"/>
          <w:bCs w:val="0"/>
          <w:iCs w:val="0"/>
          <w:sz w:val="24"/>
        </w:rPr>
        <w:t>requirements</w:t>
      </w:r>
      <w:r w:rsidR="00B77F03" w:rsidRPr="001026E6">
        <w:rPr>
          <w:rFonts w:asciiTheme="minorHAnsi" w:eastAsiaTheme="minorHAnsi" w:hAnsiTheme="minorHAnsi" w:cs="Helvetica"/>
          <w:bCs w:val="0"/>
          <w:iCs w:val="0"/>
          <w:sz w:val="24"/>
        </w:rPr>
        <w:t xml:space="preserve"> to address any specific risks posed by </w:t>
      </w:r>
      <w:r w:rsidR="00CD3935" w:rsidRPr="001026E6">
        <w:rPr>
          <w:rFonts w:asciiTheme="minorHAnsi" w:eastAsiaTheme="minorHAnsi" w:hAnsiTheme="minorHAnsi" w:cs="Helvetica"/>
          <w:bCs w:val="0"/>
          <w:iCs w:val="0"/>
          <w:sz w:val="24"/>
        </w:rPr>
        <w:t>Digital Securities</w:t>
      </w:r>
      <w:r w:rsidR="00E717C9" w:rsidRPr="001026E6">
        <w:rPr>
          <w:rFonts w:asciiTheme="minorHAnsi" w:eastAsiaTheme="minorHAnsi" w:hAnsiTheme="minorHAnsi" w:cs="Helvetica"/>
          <w:bCs w:val="0"/>
          <w:iCs w:val="0"/>
          <w:sz w:val="24"/>
        </w:rPr>
        <w:t xml:space="preserve">; </w:t>
      </w:r>
      <w:r w:rsidR="00CD3935" w:rsidRPr="001026E6">
        <w:rPr>
          <w:rFonts w:asciiTheme="minorHAnsi" w:eastAsiaTheme="minorHAnsi" w:hAnsiTheme="minorHAnsi" w:cs="Helvetica"/>
          <w:bCs w:val="0"/>
          <w:iCs w:val="0"/>
          <w:sz w:val="24"/>
        </w:rPr>
        <w:t>and/or</w:t>
      </w:r>
    </w:p>
    <w:p w14:paraId="6610405F" w14:textId="77777777" w:rsidR="00E717C9" w:rsidRPr="001026E6" w:rsidRDefault="00E717C9" w:rsidP="00E717C9">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18825F45" w14:textId="77777777" w:rsidR="004925EF" w:rsidRPr="001026E6" w:rsidRDefault="004925EF" w:rsidP="00695283">
      <w:pPr>
        <w:pStyle w:val="Heading4"/>
        <w:numPr>
          <w:ilvl w:val="0"/>
          <w:numId w:val="15"/>
        </w:numPr>
        <w:spacing w:after="0" w:line="240" w:lineRule="auto"/>
        <w:ind w:left="851"/>
        <w:rPr>
          <w:rFonts w:cs="Helvetica"/>
          <w:sz w:val="24"/>
        </w:rPr>
      </w:pPr>
      <w:r w:rsidRPr="001026E6">
        <w:rPr>
          <w:rFonts w:asciiTheme="minorHAnsi" w:eastAsiaTheme="minorHAnsi" w:hAnsiTheme="minorHAnsi" w:cs="Helvetica"/>
          <w:bCs w:val="0"/>
          <w:iCs w:val="0"/>
          <w:sz w:val="24"/>
        </w:rPr>
        <w:t xml:space="preserve">waive or modify </w:t>
      </w:r>
      <w:r w:rsidR="00E717C9" w:rsidRPr="001026E6">
        <w:rPr>
          <w:rFonts w:asciiTheme="minorHAnsi" w:eastAsiaTheme="minorHAnsi" w:hAnsiTheme="minorHAnsi" w:cs="Helvetica"/>
          <w:bCs w:val="0"/>
          <w:iCs w:val="0"/>
          <w:sz w:val="24"/>
        </w:rPr>
        <w:t xml:space="preserve">any of </w:t>
      </w:r>
      <w:r w:rsidR="00382DB2" w:rsidRPr="001026E6">
        <w:rPr>
          <w:rFonts w:asciiTheme="minorHAnsi" w:eastAsiaTheme="minorHAnsi" w:hAnsiTheme="minorHAnsi" w:cs="Helvetica"/>
          <w:bCs w:val="0"/>
          <w:iCs w:val="0"/>
          <w:sz w:val="24"/>
        </w:rPr>
        <w:t xml:space="preserve">the Rules relevant to </w:t>
      </w:r>
      <w:r w:rsidR="00CD3935" w:rsidRPr="001026E6">
        <w:rPr>
          <w:rFonts w:asciiTheme="minorHAnsi" w:eastAsiaTheme="minorHAnsi" w:hAnsiTheme="minorHAnsi" w:cs="Helvetica"/>
          <w:bCs w:val="0"/>
          <w:iCs w:val="0"/>
          <w:sz w:val="24"/>
        </w:rPr>
        <w:t>Digital Securities</w:t>
      </w:r>
      <w:r w:rsidR="001A4E4A" w:rsidRPr="001026E6">
        <w:rPr>
          <w:rFonts w:asciiTheme="minorHAnsi" w:eastAsiaTheme="minorHAnsi" w:hAnsiTheme="minorHAnsi" w:cs="Helvetica"/>
          <w:bCs w:val="0"/>
          <w:iCs w:val="0"/>
          <w:sz w:val="24"/>
        </w:rPr>
        <w:t>,</w:t>
      </w:r>
      <w:r w:rsidRPr="001026E6">
        <w:rPr>
          <w:rFonts w:asciiTheme="minorHAnsi" w:eastAsiaTheme="minorHAnsi" w:hAnsiTheme="minorHAnsi" w:cs="Helvetica"/>
          <w:bCs w:val="0"/>
          <w:iCs w:val="0"/>
          <w:sz w:val="24"/>
        </w:rPr>
        <w:t xml:space="preserve"> at its discretion</w:t>
      </w:r>
      <w:r w:rsidR="001A4E4A" w:rsidRPr="001026E6">
        <w:rPr>
          <w:rFonts w:asciiTheme="minorHAnsi" w:eastAsiaTheme="minorHAnsi" w:hAnsiTheme="minorHAnsi" w:cs="Helvetica"/>
          <w:bCs w:val="0"/>
          <w:iCs w:val="0"/>
          <w:sz w:val="24"/>
        </w:rPr>
        <w:t>,</w:t>
      </w:r>
      <w:r w:rsidRPr="001026E6">
        <w:rPr>
          <w:rFonts w:asciiTheme="minorHAnsi" w:eastAsiaTheme="minorHAnsi" w:hAnsiTheme="minorHAnsi" w:cs="Helvetica"/>
          <w:bCs w:val="0"/>
          <w:iCs w:val="0"/>
          <w:sz w:val="24"/>
        </w:rPr>
        <w:t xml:space="preserve"> where appropriate.</w:t>
      </w:r>
    </w:p>
    <w:p w14:paraId="5C8D9CFA" w14:textId="77777777" w:rsidR="004925EF" w:rsidRPr="001026E6" w:rsidRDefault="004925EF" w:rsidP="004925EF">
      <w:pPr>
        <w:pStyle w:val="ListParagraph"/>
        <w:ind w:left="426"/>
        <w:jc w:val="both"/>
        <w:rPr>
          <w:rFonts w:cs="Helvetica"/>
          <w:sz w:val="24"/>
          <w:szCs w:val="24"/>
        </w:rPr>
      </w:pPr>
    </w:p>
    <w:p w14:paraId="3FCC0487" w14:textId="77777777" w:rsidR="004925EF" w:rsidRPr="001026E6" w:rsidRDefault="004925EF" w:rsidP="00551076">
      <w:pPr>
        <w:pStyle w:val="ListParagraph"/>
        <w:numPr>
          <w:ilvl w:val="0"/>
          <w:numId w:val="1"/>
        </w:numPr>
        <w:ind w:left="426"/>
        <w:jc w:val="both"/>
        <w:rPr>
          <w:rFonts w:cs="Helvetica"/>
          <w:sz w:val="24"/>
          <w:szCs w:val="24"/>
        </w:rPr>
      </w:pPr>
      <w:r w:rsidRPr="001026E6">
        <w:rPr>
          <w:rFonts w:cs="Helvetica"/>
          <w:sz w:val="24"/>
          <w:szCs w:val="24"/>
        </w:rPr>
        <w:t>Unless otherwise defined or the context otherwise requires, the terms contained in th</w:t>
      </w:r>
      <w:r w:rsidR="00B77F03" w:rsidRPr="001026E6">
        <w:rPr>
          <w:rFonts w:cs="Helvetica"/>
          <w:sz w:val="24"/>
          <w:szCs w:val="24"/>
        </w:rPr>
        <w:t>is</w:t>
      </w:r>
      <w:r w:rsidRPr="001026E6">
        <w:rPr>
          <w:rFonts w:cs="Helvetica"/>
          <w:sz w:val="24"/>
          <w:szCs w:val="24"/>
        </w:rPr>
        <w:t xml:space="preserve"> Guidance have the same meaning as defined in FSMR and the </w:t>
      </w:r>
      <w:r w:rsidR="00E717C9" w:rsidRPr="001026E6">
        <w:rPr>
          <w:rFonts w:cs="Helvetica"/>
          <w:sz w:val="24"/>
          <w:szCs w:val="24"/>
        </w:rPr>
        <w:t>FSRA Glossary</w:t>
      </w:r>
      <w:r w:rsidRPr="001026E6">
        <w:rPr>
          <w:rFonts w:cs="Helvetica"/>
          <w:sz w:val="24"/>
          <w:szCs w:val="24"/>
        </w:rPr>
        <w:t xml:space="preserve"> Rulebook</w:t>
      </w:r>
      <w:r w:rsidR="00B77F03" w:rsidRPr="001026E6">
        <w:rPr>
          <w:rFonts w:cs="Helvetica"/>
          <w:sz w:val="24"/>
          <w:szCs w:val="24"/>
        </w:rPr>
        <w:t xml:space="preserve"> (</w:t>
      </w:r>
      <w:r w:rsidR="00C34FE9" w:rsidRPr="001026E6">
        <w:rPr>
          <w:rFonts w:cs="Helvetica"/>
          <w:sz w:val="24"/>
          <w:szCs w:val="24"/>
        </w:rPr>
        <w:t>“</w:t>
      </w:r>
      <w:r w:rsidR="00B77F03" w:rsidRPr="001026E6">
        <w:rPr>
          <w:rFonts w:cs="Helvetica"/>
          <w:sz w:val="24"/>
          <w:szCs w:val="24"/>
        </w:rPr>
        <w:t>GLO</w:t>
      </w:r>
      <w:r w:rsidR="00C34FE9" w:rsidRPr="001026E6">
        <w:rPr>
          <w:rFonts w:cs="Helvetica"/>
          <w:sz w:val="24"/>
          <w:szCs w:val="24"/>
        </w:rPr>
        <w:t>”</w:t>
      </w:r>
      <w:r w:rsidR="00B77F03" w:rsidRPr="001026E6">
        <w:rPr>
          <w:rFonts w:cs="Helvetica"/>
          <w:sz w:val="24"/>
          <w:szCs w:val="24"/>
        </w:rPr>
        <w:t>)</w:t>
      </w:r>
      <w:r w:rsidRPr="001026E6">
        <w:rPr>
          <w:rFonts w:cs="Helvetica"/>
          <w:sz w:val="24"/>
          <w:szCs w:val="24"/>
        </w:rPr>
        <w:t>.</w:t>
      </w:r>
    </w:p>
    <w:p w14:paraId="10D6837E" w14:textId="77777777" w:rsidR="00560279" w:rsidRPr="001026E6" w:rsidRDefault="00560279" w:rsidP="00560279">
      <w:pPr>
        <w:pStyle w:val="ListParagraph"/>
        <w:rPr>
          <w:rFonts w:cs="Helvetica"/>
          <w:sz w:val="24"/>
          <w:szCs w:val="24"/>
        </w:rPr>
      </w:pPr>
    </w:p>
    <w:p w14:paraId="107F2117" w14:textId="77777777" w:rsidR="009B63AF" w:rsidRPr="001026E6" w:rsidRDefault="00AD2985" w:rsidP="009B63AF">
      <w:pPr>
        <w:pStyle w:val="ListParagraph"/>
        <w:numPr>
          <w:ilvl w:val="0"/>
          <w:numId w:val="1"/>
        </w:numPr>
        <w:ind w:left="426"/>
        <w:jc w:val="both"/>
        <w:rPr>
          <w:rFonts w:cs="Helvetica"/>
          <w:sz w:val="24"/>
          <w:szCs w:val="24"/>
        </w:rPr>
      </w:pPr>
      <w:r w:rsidRPr="001026E6">
        <w:rPr>
          <w:rFonts w:cs="Helvetica"/>
          <w:sz w:val="24"/>
          <w:szCs w:val="24"/>
        </w:rPr>
        <w:t xml:space="preserve">For more details on the process </w:t>
      </w:r>
      <w:r w:rsidR="009B63AF" w:rsidRPr="001026E6">
        <w:rPr>
          <w:rFonts w:cs="Helvetica"/>
          <w:sz w:val="24"/>
          <w:szCs w:val="24"/>
        </w:rPr>
        <w:t>for:</w:t>
      </w:r>
    </w:p>
    <w:p w14:paraId="78251830" w14:textId="77777777" w:rsidR="009B63AF" w:rsidRPr="001026E6" w:rsidRDefault="009B63AF" w:rsidP="009B63AF">
      <w:pPr>
        <w:pStyle w:val="ListParagraph"/>
        <w:rPr>
          <w:rFonts w:cs="Helvetica"/>
          <w:sz w:val="24"/>
          <w:szCs w:val="24"/>
        </w:rPr>
      </w:pPr>
    </w:p>
    <w:p w14:paraId="421DE96A" w14:textId="77777777" w:rsidR="00042E4C" w:rsidRPr="001026E6" w:rsidRDefault="009B63AF" w:rsidP="00695283">
      <w:pPr>
        <w:pStyle w:val="Heading4"/>
        <w:numPr>
          <w:ilvl w:val="0"/>
          <w:numId w:val="3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conducting Offers of Securities, in or from ADGM, </w:t>
      </w:r>
      <w:r w:rsidR="00AD2985" w:rsidRPr="001026E6">
        <w:rPr>
          <w:rFonts w:asciiTheme="minorHAnsi" w:eastAsiaTheme="minorHAnsi" w:hAnsiTheme="minorHAnsi" w:cs="Helvetica"/>
          <w:bCs w:val="0"/>
          <w:iCs w:val="0"/>
          <w:sz w:val="24"/>
        </w:rPr>
        <w:t xml:space="preserve">please contact the FSRA at </w:t>
      </w:r>
      <w:hyperlink r:id="rId9" w:history="1">
        <w:r w:rsidR="00042E4C" w:rsidRPr="001026E6">
          <w:rPr>
            <w:rStyle w:val="Hyperlink"/>
            <w:rFonts w:asciiTheme="minorHAnsi" w:eastAsiaTheme="minorHAnsi" w:hAnsiTheme="minorHAnsi" w:cs="Helvetica"/>
            <w:bCs w:val="0"/>
            <w:iCs w:val="0"/>
            <w:sz w:val="24"/>
          </w:rPr>
          <w:t>MIP@adgm.com</w:t>
        </w:r>
      </w:hyperlink>
      <w:r w:rsidR="00042E4C" w:rsidRPr="001026E6">
        <w:rPr>
          <w:rFonts w:asciiTheme="minorHAnsi" w:eastAsiaTheme="minorHAnsi" w:hAnsiTheme="minorHAnsi" w:cs="Helvetica"/>
          <w:bCs w:val="0"/>
          <w:iCs w:val="0"/>
          <w:sz w:val="24"/>
        </w:rPr>
        <w:t>;</w:t>
      </w:r>
    </w:p>
    <w:p w14:paraId="10906AA4" w14:textId="77777777" w:rsidR="00042E4C" w:rsidRPr="001026E6" w:rsidRDefault="00042E4C" w:rsidP="00042E4C">
      <w:pPr>
        <w:pStyle w:val="Heading4"/>
        <w:tabs>
          <w:tab w:val="clear" w:pos="1440"/>
        </w:tabs>
        <w:spacing w:after="0" w:line="240" w:lineRule="auto"/>
        <w:ind w:left="0" w:firstLine="0"/>
        <w:rPr>
          <w:rFonts w:asciiTheme="minorHAnsi" w:eastAsiaTheme="minorHAnsi" w:hAnsiTheme="minorHAnsi" w:cs="Helvetica"/>
          <w:bCs w:val="0"/>
          <w:iCs w:val="0"/>
          <w:sz w:val="24"/>
        </w:rPr>
      </w:pPr>
    </w:p>
    <w:p w14:paraId="0F57D4F9" w14:textId="65605C01" w:rsidR="00042E4C" w:rsidRPr="001026E6" w:rsidRDefault="009B63AF">
      <w:pPr>
        <w:pStyle w:val="Heading4"/>
        <w:numPr>
          <w:ilvl w:val="0"/>
          <w:numId w:val="3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recognition as a RIE</w:t>
      </w:r>
      <w:r w:rsidR="00154566" w:rsidRPr="001026E6">
        <w:rPr>
          <w:rFonts w:asciiTheme="minorHAnsi" w:eastAsiaTheme="minorHAnsi" w:hAnsiTheme="minorHAnsi" w:cs="Helvetica"/>
          <w:bCs w:val="0"/>
          <w:iCs w:val="0"/>
          <w:sz w:val="24"/>
        </w:rPr>
        <w:t xml:space="preserve"> and/or Recognised Clearing House (RCH)</w:t>
      </w:r>
      <w:r w:rsidRPr="001026E6">
        <w:rPr>
          <w:rFonts w:asciiTheme="minorHAnsi" w:eastAsiaTheme="minorHAnsi" w:hAnsiTheme="minorHAnsi" w:cs="Helvetica"/>
          <w:bCs w:val="0"/>
          <w:iCs w:val="0"/>
          <w:sz w:val="24"/>
        </w:rPr>
        <w:t>, authorisation as an MTF</w:t>
      </w:r>
      <w:r w:rsidR="00FC1891" w:rsidRPr="001026E6">
        <w:rPr>
          <w:rFonts w:asciiTheme="minorHAnsi" w:eastAsiaTheme="minorHAnsi" w:hAnsiTheme="minorHAnsi" w:cs="Helvetica"/>
          <w:bCs w:val="0"/>
          <w:iCs w:val="0"/>
          <w:sz w:val="24"/>
        </w:rPr>
        <w:t xml:space="preserve"> or authorisation as a</w:t>
      </w:r>
      <w:r w:rsidR="00BB0D6E" w:rsidRPr="001026E6">
        <w:rPr>
          <w:rFonts w:asciiTheme="minorHAnsi" w:eastAsiaTheme="minorHAnsi" w:hAnsiTheme="minorHAnsi" w:cs="Helvetica"/>
          <w:bCs w:val="0"/>
          <w:iCs w:val="0"/>
          <w:sz w:val="24"/>
        </w:rPr>
        <w:t xml:space="preserve">n </w:t>
      </w:r>
      <w:r w:rsidR="0028254D" w:rsidRPr="001026E6">
        <w:rPr>
          <w:rFonts w:asciiTheme="minorHAnsi" w:eastAsiaTheme="minorHAnsi" w:hAnsiTheme="minorHAnsi" w:cs="Helvetica"/>
          <w:bCs w:val="0"/>
          <w:iCs w:val="0"/>
          <w:sz w:val="24"/>
        </w:rPr>
        <w:t>Authorised Person</w:t>
      </w:r>
      <w:r w:rsidR="00BB0D6E" w:rsidRPr="001026E6">
        <w:rPr>
          <w:rFonts w:asciiTheme="minorHAnsi" w:eastAsiaTheme="minorHAnsi" w:hAnsiTheme="minorHAnsi" w:cs="Helvetica"/>
          <w:bCs w:val="0"/>
          <w:iCs w:val="0"/>
          <w:sz w:val="24"/>
        </w:rPr>
        <w:t xml:space="preserve"> Providing Custody</w:t>
      </w:r>
      <w:r w:rsidR="009C063E" w:rsidRPr="001026E6">
        <w:rPr>
          <w:rFonts w:asciiTheme="minorHAnsi" w:eastAsiaTheme="minorHAnsi" w:hAnsiTheme="minorHAnsi" w:cs="Helvetica"/>
          <w:bCs w:val="0"/>
          <w:iCs w:val="0"/>
          <w:sz w:val="24"/>
        </w:rPr>
        <w:t xml:space="preserve"> </w:t>
      </w:r>
      <w:r w:rsidR="00BB0D6E" w:rsidRPr="001026E6">
        <w:rPr>
          <w:rFonts w:asciiTheme="minorHAnsi" w:eastAsiaTheme="minorHAnsi" w:hAnsiTheme="minorHAnsi" w:cs="Helvetica"/>
          <w:bCs w:val="0"/>
          <w:iCs w:val="0"/>
          <w:sz w:val="24"/>
        </w:rPr>
        <w:t xml:space="preserve">for services as a </w:t>
      </w:r>
      <w:r w:rsidR="009C063E" w:rsidRPr="001026E6">
        <w:rPr>
          <w:rFonts w:asciiTheme="minorHAnsi" w:eastAsiaTheme="minorHAnsi" w:hAnsiTheme="minorHAnsi" w:cs="Helvetica"/>
          <w:bCs w:val="0"/>
          <w:iCs w:val="0"/>
          <w:sz w:val="24"/>
        </w:rPr>
        <w:t>Digital Settlement Facility</w:t>
      </w:r>
      <w:r w:rsidR="00BB0D6E" w:rsidRPr="001026E6">
        <w:rPr>
          <w:rStyle w:val="FootnoteReference"/>
          <w:rFonts w:asciiTheme="minorHAnsi" w:eastAsiaTheme="minorHAnsi" w:hAnsiTheme="minorHAnsi" w:cs="Helvetica"/>
          <w:bCs w:val="0"/>
          <w:iCs w:val="0"/>
          <w:sz w:val="24"/>
        </w:rPr>
        <w:footnoteReference w:id="6"/>
      </w:r>
      <w:r w:rsidR="009C063E" w:rsidRPr="001026E6">
        <w:rPr>
          <w:rFonts w:asciiTheme="minorHAnsi" w:eastAsiaTheme="minorHAnsi" w:hAnsiTheme="minorHAnsi" w:cs="Helvetica"/>
          <w:bCs w:val="0"/>
          <w:iCs w:val="0"/>
          <w:sz w:val="24"/>
        </w:rPr>
        <w:t xml:space="preserve"> (</w:t>
      </w:r>
      <w:r w:rsidR="00BB0D6E" w:rsidRPr="001026E6">
        <w:rPr>
          <w:rFonts w:asciiTheme="minorHAnsi" w:eastAsiaTheme="minorHAnsi" w:hAnsiTheme="minorHAnsi" w:cs="Helvetica"/>
          <w:bCs w:val="0"/>
          <w:iCs w:val="0"/>
          <w:sz w:val="24"/>
        </w:rPr>
        <w:t>“</w:t>
      </w:r>
      <w:r w:rsidR="009C063E" w:rsidRPr="001026E6">
        <w:rPr>
          <w:rFonts w:asciiTheme="minorHAnsi" w:eastAsiaTheme="minorHAnsi" w:hAnsiTheme="minorHAnsi" w:cs="Helvetica"/>
          <w:bCs w:val="0"/>
          <w:iCs w:val="0"/>
          <w:sz w:val="24"/>
        </w:rPr>
        <w:t>DS</w:t>
      </w:r>
      <w:r w:rsidR="00FC1891" w:rsidRPr="001026E6">
        <w:rPr>
          <w:rFonts w:asciiTheme="minorHAnsi" w:eastAsiaTheme="minorHAnsi" w:hAnsiTheme="minorHAnsi" w:cs="Helvetica"/>
          <w:bCs w:val="0"/>
          <w:iCs w:val="0"/>
          <w:sz w:val="24"/>
        </w:rPr>
        <w:t>F</w:t>
      </w:r>
      <w:r w:rsidR="00BB0D6E" w:rsidRPr="001026E6">
        <w:rPr>
          <w:rFonts w:asciiTheme="minorHAnsi" w:eastAsiaTheme="minorHAnsi" w:hAnsiTheme="minorHAnsi" w:cs="Helvetica"/>
          <w:bCs w:val="0"/>
          <w:iCs w:val="0"/>
          <w:sz w:val="24"/>
        </w:rPr>
        <w:t>”</w:t>
      </w:r>
      <w:r w:rsidR="00FC1891" w:rsidRPr="001026E6">
        <w:rPr>
          <w:rFonts w:asciiTheme="minorHAnsi" w:eastAsiaTheme="minorHAnsi" w:hAnsiTheme="minorHAnsi" w:cs="Helvetica"/>
          <w:bCs w:val="0"/>
          <w:iCs w:val="0"/>
          <w:sz w:val="24"/>
        </w:rPr>
        <w:t>)</w:t>
      </w:r>
      <w:r w:rsidRPr="001026E6">
        <w:rPr>
          <w:rFonts w:asciiTheme="minorHAnsi" w:eastAsiaTheme="minorHAnsi" w:hAnsiTheme="minorHAnsi" w:cs="Helvetica"/>
          <w:bCs w:val="0"/>
          <w:iCs w:val="0"/>
          <w:sz w:val="24"/>
        </w:rPr>
        <w:t>, please contact the FSRA at</w:t>
      </w:r>
      <w:r w:rsidR="00042E4C" w:rsidRPr="001026E6">
        <w:rPr>
          <w:rFonts w:asciiTheme="minorHAnsi" w:eastAsiaTheme="minorHAnsi" w:hAnsiTheme="minorHAnsi" w:cs="Helvetica"/>
          <w:bCs w:val="0"/>
          <w:iCs w:val="0"/>
          <w:sz w:val="24"/>
        </w:rPr>
        <w:t xml:space="preserve"> </w:t>
      </w:r>
      <w:hyperlink r:id="rId10" w:history="1">
        <w:r w:rsidR="00042E4C" w:rsidRPr="001026E6">
          <w:rPr>
            <w:rStyle w:val="Hyperlink"/>
            <w:rFonts w:asciiTheme="minorHAnsi" w:eastAsiaTheme="minorHAnsi" w:hAnsiTheme="minorHAnsi" w:cs="Helvetica"/>
            <w:bCs w:val="0"/>
            <w:iCs w:val="0"/>
            <w:sz w:val="24"/>
          </w:rPr>
          <w:t>MIP@adgm.com</w:t>
        </w:r>
      </w:hyperlink>
      <w:r w:rsidR="00042E4C" w:rsidRPr="001026E6">
        <w:rPr>
          <w:rFonts w:asciiTheme="minorHAnsi" w:eastAsiaTheme="minorHAnsi" w:hAnsiTheme="minorHAnsi" w:cs="Helvetica"/>
          <w:bCs w:val="0"/>
          <w:iCs w:val="0"/>
          <w:sz w:val="24"/>
        </w:rPr>
        <w:t>; or</w:t>
      </w:r>
    </w:p>
    <w:p w14:paraId="3791FB32" w14:textId="77777777" w:rsidR="00042E4C" w:rsidRPr="001026E6" w:rsidRDefault="00042E4C" w:rsidP="00042E4C">
      <w:pPr>
        <w:pStyle w:val="ListParagraph"/>
        <w:rPr>
          <w:rFonts w:cs="Helvetica"/>
          <w:bCs/>
          <w:iCs/>
          <w:sz w:val="24"/>
        </w:rPr>
      </w:pPr>
    </w:p>
    <w:p w14:paraId="765E837A" w14:textId="77777777" w:rsidR="00042E4C" w:rsidRPr="001026E6" w:rsidRDefault="00223A77" w:rsidP="00695283">
      <w:pPr>
        <w:pStyle w:val="Heading4"/>
        <w:numPr>
          <w:ilvl w:val="0"/>
          <w:numId w:val="3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authorisation as an </w:t>
      </w:r>
      <w:r w:rsidR="00154566" w:rsidRPr="001026E6">
        <w:rPr>
          <w:rFonts w:asciiTheme="minorHAnsi" w:eastAsiaTheme="minorHAnsi" w:hAnsiTheme="minorHAnsi" w:cs="Helvetica"/>
          <w:bCs w:val="0"/>
          <w:iCs w:val="0"/>
          <w:sz w:val="24"/>
        </w:rPr>
        <w:t>intermediary conducting other Digital Securit</w:t>
      </w:r>
      <w:r w:rsidR="00105FF3" w:rsidRPr="001026E6">
        <w:rPr>
          <w:rFonts w:asciiTheme="minorHAnsi" w:eastAsiaTheme="minorHAnsi" w:hAnsiTheme="minorHAnsi" w:cs="Helvetica"/>
          <w:bCs w:val="0"/>
          <w:iCs w:val="0"/>
          <w:sz w:val="24"/>
        </w:rPr>
        <w:t>ies-based</w:t>
      </w:r>
      <w:r w:rsidR="00154566" w:rsidRPr="001026E6">
        <w:rPr>
          <w:rFonts w:asciiTheme="minorHAnsi" w:eastAsiaTheme="minorHAnsi" w:hAnsiTheme="minorHAnsi" w:cs="Helvetica"/>
          <w:bCs w:val="0"/>
          <w:iCs w:val="0"/>
          <w:sz w:val="24"/>
        </w:rPr>
        <w:t xml:space="preserve"> </w:t>
      </w:r>
      <w:r w:rsidRPr="001026E6">
        <w:rPr>
          <w:rFonts w:asciiTheme="minorHAnsi" w:eastAsiaTheme="minorHAnsi" w:hAnsiTheme="minorHAnsi" w:cs="Helvetica"/>
          <w:bCs w:val="0"/>
          <w:iCs w:val="0"/>
          <w:sz w:val="24"/>
        </w:rPr>
        <w:t xml:space="preserve">activities, please contact the FSRA at </w:t>
      </w:r>
      <w:hyperlink r:id="rId11" w:history="1">
        <w:r w:rsidR="00042E4C" w:rsidRPr="001026E6">
          <w:rPr>
            <w:rStyle w:val="Hyperlink"/>
            <w:rFonts w:asciiTheme="minorHAnsi" w:eastAsiaTheme="minorHAnsi" w:hAnsiTheme="minorHAnsi" w:cs="Helvetica"/>
            <w:bCs w:val="0"/>
            <w:iCs w:val="0"/>
            <w:sz w:val="24"/>
          </w:rPr>
          <w:t>authorisation@adgm.com</w:t>
        </w:r>
      </w:hyperlink>
      <w:r w:rsidR="00042E4C" w:rsidRPr="001026E6">
        <w:rPr>
          <w:rFonts w:asciiTheme="minorHAnsi" w:eastAsiaTheme="minorHAnsi" w:hAnsiTheme="minorHAnsi" w:cs="Helvetica"/>
          <w:bCs w:val="0"/>
          <w:iCs w:val="0"/>
          <w:sz w:val="24"/>
        </w:rPr>
        <w:t>.</w:t>
      </w:r>
    </w:p>
    <w:p w14:paraId="22E6E91E" w14:textId="77777777" w:rsidR="00C429E9" w:rsidRPr="001026E6" w:rsidRDefault="00C429E9" w:rsidP="00D331DD">
      <w:pPr>
        <w:pStyle w:val="Heading4"/>
        <w:tabs>
          <w:tab w:val="clear" w:pos="1440"/>
        </w:tabs>
        <w:spacing w:after="0" w:line="240" w:lineRule="auto"/>
        <w:ind w:left="0" w:firstLine="0"/>
        <w:rPr>
          <w:rFonts w:asciiTheme="minorHAnsi" w:eastAsiaTheme="minorHAnsi" w:hAnsiTheme="minorHAnsi" w:cs="Helvetica"/>
          <w:bCs w:val="0"/>
          <w:iCs w:val="0"/>
          <w:sz w:val="24"/>
        </w:rPr>
      </w:pPr>
    </w:p>
    <w:p w14:paraId="0F89D8E0" w14:textId="77777777" w:rsidR="004925EF" w:rsidRPr="001026E6" w:rsidRDefault="004925EF" w:rsidP="004925EF">
      <w:pPr>
        <w:pStyle w:val="Heading1"/>
        <w:keepLines w:val="0"/>
        <w:spacing w:before="0" w:after="240" w:line="246" w:lineRule="atLeast"/>
        <w:jc w:val="both"/>
        <w:rPr>
          <w:rFonts w:asciiTheme="minorHAnsi" w:hAnsiTheme="minorHAnsi"/>
          <w:sz w:val="24"/>
          <w:szCs w:val="24"/>
        </w:rPr>
      </w:pPr>
      <w:bookmarkStart w:id="7" w:name="_Toc511714335"/>
      <w:bookmarkStart w:id="8" w:name="_Toc512695599"/>
      <w:bookmarkStart w:id="9" w:name="_Toc514588768"/>
      <w:bookmarkStart w:id="10" w:name="_Toc517602838"/>
      <w:bookmarkStart w:id="11" w:name="_Toc18571317"/>
      <w:bookmarkStart w:id="12" w:name="_Toc33443068"/>
      <w:r w:rsidRPr="001026E6">
        <w:rPr>
          <w:rFonts w:asciiTheme="minorHAnsi" w:hAnsiTheme="minorHAnsi"/>
          <w:sz w:val="24"/>
          <w:szCs w:val="24"/>
        </w:rPr>
        <w:lastRenderedPageBreak/>
        <w:t>BACKGROUND</w:t>
      </w:r>
      <w:bookmarkEnd w:id="7"/>
      <w:bookmarkEnd w:id="8"/>
      <w:bookmarkEnd w:id="9"/>
      <w:bookmarkEnd w:id="10"/>
      <w:bookmarkEnd w:id="11"/>
      <w:bookmarkEnd w:id="12"/>
      <w:r w:rsidRPr="001026E6">
        <w:rPr>
          <w:rFonts w:asciiTheme="minorHAnsi" w:hAnsiTheme="minorHAnsi"/>
          <w:sz w:val="24"/>
          <w:szCs w:val="24"/>
        </w:rPr>
        <w:t xml:space="preserve"> </w:t>
      </w:r>
    </w:p>
    <w:p w14:paraId="3651CCF6" w14:textId="347DC57E" w:rsidR="00037AA9" w:rsidRPr="001026E6" w:rsidRDefault="00037AA9">
      <w:pPr>
        <w:pStyle w:val="ListParagraph"/>
        <w:numPr>
          <w:ilvl w:val="0"/>
          <w:numId w:val="1"/>
        </w:numPr>
        <w:ind w:left="426"/>
        <w:jc w:val="both"/>
        <w:rPr>
          <w:rFonts w:cs="Helvetica"/>
          <w:sz w:val="24"/>
          <w:szCs w:val="24"/>
        </w:rPr>
      </w:pPr>
      <w:r w:rsidRPr="001026E6">
        <w:rPr>
          <w:rFonts w:cs="Helvetica"/>
          <w:sz w:val="24"/>
          <w:szCs w:val="24"/>
        </w:rPr>
        <w:t xml:space="preserve">In October 2017, the FSRA published its ICO Guidance, setting out its regulatory position in relation to ICOs, ICOs deemed to be Securities, and </w:t>
      </w:r>
      <w:r w:rsidR="00E00E05" w:rsidRPr="001026E6">
        <w:rPr>
          <w:rFonts w:cs="Helvetica"/>
          <w:sz w:val="24"/>
          <w:szCs w:val="24"/>
        </w:rPr>
        <w:t>Virtual Asset</w:t>
      </w:r>
      <w:r w:rsidRPr="001026E6">
        <w:rPr>
          <w:rFonts w:cs="Helvetica"/>
          <w:sz w:val="24"/>
          <w:szCs w:val="24"/>
        </w:rPr>
        <w:t>s</w:t>
      </w:r>
      <w:r w:rsidR="00536CF6" w:rsidRPr="001026E6">
        <w:rPr>
          <w:rFonts w:cs="Helvetica"/>
          <w:sz w:val="24"/>
          <w:szCs w:val="24"/>
        </w:rPr>
        <w:t xml:space="preserve"> generally</w:t>
      </w:r>
      <w:r w:rsidRPr="001026E6">
        <w:rPr>
          <w:rFonts w:cs="Helvetica"/>
          <w:sz w:val="24"/>
          <w:szCs w:val="24"/>
        </w:rPr>
        <w:t xml:space="preserve">.  In June 2018, the FSRA formally implemented its </w:t>
      </w:r>
      <w:r w:rsidR="00E00E05" w:rsidRPr="001026E6">
        <w:rPr>
          <w:rFonts w:cs="Helvetica"/>
          <w:sz w:val="24"/>
          <w:szCs w:val="24"/>
        </w:rPr>
        <w:t>Virtual Asset</w:t>
      </w:r>
      <w:r w:rsidR="00536CF6" w:rsidRPr="001026E6">
        <w:rPr>
          <w:rFonts w:cs="Helvetica"/>
          <w:sz w:val="24"/>
          <w:szCs w:val="24"/>
        </w:rPr>
        <w:t xml:space="preserve"> Regulatory Framework, which specifically included the Rules and requirements (including </w:t>
      </w:r>
      <w:r w:rsidR="0028254D" w:rsidRPr="001026E6">
        <w:rPr>
          <w:rFonts w:cs="Helvetica"/>
          <w:sz w:val="24"/>
          <w:szCs w:val="24"/>
        </w:rPr>
        <w:t xml:space="preserve">the </w:t>
      </w:r>
      <w:r w:rsidR="00E720F1" w:rsidRPr="001026E6">
        <w:rPr>
          <w:rFonts w:cs="Helvetica"/>
          <w:sz w:val="24"/>
          <w:szCs w:val="24"/>
        </w:rPr>
        <w:t>Virtual Assets Guidance</w:t>
      </w:r>
      <w:r w:rsidR="00536CF6" w:rsidRPr="001026E6">
        <w:rPr>
          <w:rFonts w:cs="Helvetica"/>
          <w:sz w:val="24"/>
          <w:szCs w:val="24"/>
        </w:rPr>
        <w:t xml:space="preserve">) </w:t>
      </w:r>
      <w:r w:rsidR="006E1BC7" w:rsidRPr="001026E6">
        <w:rPr>
          <w:rFonts w:cs="Helvetica"/>
          <w:sz w:val="24"/>
          <w:szCs w:val="24"/>
        </w:rPr>
        <w:t xml:space="preserve">applicable to </w:t>
      </w:r>
      <w:r w:rsidR="007D23D5" w:rsidRPr="001026E6">
        <w:rPr>
          <w:rFonts w:cs="Helvetica"/>
          <w:sz w:val="24"/>
          <w:szCs w:val="24"/>
        </w:rPr>
        <w:t>Authorised Person</w:t>
      </w:r>
      <w:r w:rsidR="00667EE6" w:rsidRPr="001026E6">
        <w:rPr>
          <w:rFonts w:cs="Helvetica"/>
          <w:sz w:val="24"/>
          <w:szCs w:val="24"/>
        </w:rPr>
        <w:t>s</w:t>
      </w:r>
      <w:r w:rsidR="007D23D5" w:rsidRPr="001026E6">
        <w:rPr>
          <w:rFonts w:cs="Helvetica"/>
          <w:sz w:val="24"/>
          <w:szCs w:val="24"/>
        </w:rPr>
        <w:t xml:space="preserve"> </w:t>
      </w:r>
      <w:r w:rsidR="00667EE6" w:rsidRPr="001026E6">
        <w:rPr>
          <w:rFonts w:cs="Helvetica"/>
          <w:sz w:val="24"/>
          <w:szCs w:val="24"/>
        </w:rPr>
        <w:t>conductin</w:t>
      </w:r>
      <w:r w:rsidR="0028254D" w:rsidRPr="001026E6">
        <w:rPr>
          <w:rFonts w:cs="Helvetica"/>
          <w:sz w:val="24"/>
          <w:szCs w:val="24"/>
        </w:rPr>
        <w:t>g</w:t>
      </w:r>
      <w:r w:rsidR="00667EE6" w:rsidRPr="001026E6">
        <w:rPr>
          <w:rFonts w:cs="Helvetica"/>
          <w:sz w:val="24"/>
          <w:szCs w:val="24"/>
        </w:rPr>
        <w:t xml:space="preserve"> a</w:t>
      </w:r>
      <w:r w:rsidR="007D23D5" w:rsidRPr="001026E6">
        <w:rPr>
          <w:rFonts w:cs="Helvetica"/>
          <w:sz w:val="24"/>
          <w:szCs w:val="24"/>
        </w:rPr>
        <w:t xml:space="preserve"> Regulated Activit</w:t>
      </w:r>
      <w:r w:rsidR="00667EE6" w:rsidRPr="001026E6">
        <w:rPr>
          <w:rFonts w:cs="Helvetica"/>
          <w:sz w:val="24"/>
          <w:szCs w:val="24"/>
        </w:rPr>
        <w:t>y</w:t>
      </w:r>
      <w:r w:rsidR="007D23D5" w:rsidRPr="001026E6">
        <w:rPr>
          <w:rFonts w:cs="Helvetica"/>
          <w:sz w:val="24"/>
          <w:szCs w:val="24"/>
        </w:rPr>
        <w:t xml:space="preserve"> </w:t>
      </w:r>
      <w:r w:rsidR="00667EE6" w:rsidRPr="001026E6">
        <w:rPr>
          <w:rFonts w:cs="Helvetica"/>
          <w:sz w:val="24"/>
          <w:szCs w:val="24"/>
        </w:rPr>
        <w:t>in relation to</w:t>
      </w:r>
      <w:r w:rsidR="007D23D5" w:rsidRPr="001026E6">
        <w:rPr>
          <w:rFonts w:cs="Helvetica"/>
          <w:sz w:val="24"/>
          <w:szCs w:val="24"/>
        </w:rPr>
        <w:t xml:space="preserve"> Virtual Assets</w:t>
      </w:r>
      <w:r w:rsidR="00536CF6" w:rsidRPr="001026E6">
        <w:rPr>
          <w:rFonts w:cs="Helvetica"/>
          <w:sz w:val="24"/>
          <w:szCs w:val="24"/>
        </w:rPr>
        <w:t xml:space="preserve">.  The FSRA released its first update to the </w:t>
      </w:r>
      <w:r w:rsidR="00E720F1" w:rsidRPr="001026E6">
        <w:rPr>
          <w:rFonts w:cs="Helvetica"/>
          <w:sz w:val="24"/>
          <w:szCs w:val="24"/>
        </w:rPr>
        <w:t>Virtual Assets Guidance</w:t>
      </w:r>
      <w:r w:rsidR="00536CF6" w:rsidRPr="001026E6">
        <w:rPr>
          <w:rFonts w:cs="Helvetica"/>
          <w:sz w:val="24"/>
          <w:szCs w:val="24"/>
        </w:rPr>
        <w:t xml:space="preserve"> in May 201</w:t>
      </w:r>
      <w:r w:rsidR="00105FF3" w:rsidRPr="001026E6">
        <w:rPr>
          <w:rFonts w:cs="Helvetica"/>
          <w:sz w:val="24"/>
          <w:szCs w:val="24"/>
        </w:rPr>
        <w:t>9</w:t>
      </w:r>
      <w:r w:rsidR="00536CF6" w:rsidRPr="001026E6">
        <w:rPr>
          <w:rFonts w:cs="Helvetica"/>
          <w:sz w:val="24"/>
          <w:szCs w:val="24"/>
        </w:rPr>
        <w:t>.</w:t>
      </w:r>
    </w:p>
    <w:p w14:paraId="7B30CD0F" w14:textId="77777777" w:rsidR="00037AA9" w:rsidRPr="001026E6" w:rsidRDefault="00037AA9" w:rsidP="00037AA9">
      <w:pPr>
        <w:pStyle w:val="ListParagraph"/>
        <w:ind w:left="426"/>
        <w:jc w:val="both"/>
        <w:rPr>
          <w:rFonts w:cs="Helvetica"/>
          <w:sz w:val="24"/>
          <w:szCs w:val="24"/>
        </w:rPr>
      </w:pPr>
      <w:r w:rsidRPr="001026E6">
        <w:rPr>
          <w:rFonts w:cs="Helvetica"/>
          <w:sz w:val="24"/>
          <w:szCs w:val="24"/>
        </w:rPr>
        <w:t xml:space="preserve"> </w:t>
      </w:r>
    </w:p>
    <w:p w14:paraId="1A37B488" w14:textId="77777777" w:rsidR="00536CF6" w:rsidRPr="001026E6" w:rsidRDefault="00536CF6">
      <w:pPr>
        <w:pStyle w:val="ListParagraph"/>
        <w:numPr>
          <w:ilvl w:val="0"/>
          <w:numId w:val="1"/>
        </w:numPr>
        <w:ind w:left="426"/>
        <w:jc w:val="both"/>
        <w:rPr>
          <w:rFonts w:cs="Helvetica"/>
          <w:sz w:val="24"/>
          <w:szCs w:val="24"/>
        </w:rPr>
      </w:pPr>
      <w:r w:rsidRPr="001026E6">
        <w:rPr>
          <w:rFonts w:cs="Helvetica"/>
          <w:sz w:val="24"/>
          <w:szCs w:val="24"/>
        </w:rPr>
        <w:t xml:space="preserve">On the back of the </w:t>
      </w:r>
      <w:r w:rsidR="00105FF3" w:rsidRPr="001026E6">
        <w:rPr>
          <w:rFonts w:cs="Helvetica"/>
          <w:sz w:val="24"/>
          <w:szCs w:val="24"/>
        </w:rPr>
        <w:t>publication</w:t>
      </w:r>
      <w:r w:rsidRPr="001026E6">
        <w:rPr>
          <w:rFonts w:cs="Helvetica"/>
          <w:sz w:val="24"/>
          <w:szCs w:val="24"/>
        </w:rPr>
        <w:t xml:space="preserve"> of these regulatory </w:t>
      </w:r>
      <w:r w:rsidR="00105FF3" w:rsidRPr="001026E6">
        <w:rPr>
          <w:rFonts w:cs="Helvetica"/>
          <w:sz w:val="24"/>
          <w:szCs w:val="24"/>
        </w:rPr>
        <w:t>frameworks/</w:t>
      </w:r>
      <w:r w:rsidRPr="001026E6">
        <w:rPr>
          <w:rFonts w:cs="Helvetica"/>
          <w:sz w:val="24"/>
          <w:szCs w:val="24"/>
        </w:rPr>
        <w:t xml:space="preserve">positions, the FSRA continues to see substantial interest </w:t>
      </w:r>
      <w:r w:rsidR="00105FF3" w:rsidRPr="001026E6">
        <w:rPr>
          <w:rFonts w:cs="Helvetica"/>
          <w:sz w:val="24"/>
          <w:szCs w:val="24"/>
        </w:rPr>
        <w:t xml:space="preserve">across </w:t>
      </w:r>
      <w:r w:rsidRPr="001026E6">
        <w:rPr>
          <w:rFonts w:cs="Helvetica"/>
          <w:sz w:val="24"/>
          <w:szCs w:val="24"/>
        </w:rPr>
        <w:t>the digital assets space</w:t>
      </w:r>
      <w:r w:rsidR="00FA2353" w:rsidRPr="001026E6">
        <w:rPr>
          <w:rFonts w:cs="Helvetica"/>
          <w:sz w:val="24"/>
          <w:szCs w:val="24"/>
        </w:rPr>
        <w:t xml:space="preserve">, </w:t>
      </w:r>
      <w:r w:rsidR="00807445" w:rsidRPr="001026E6">
        <w:rPr>
          <w:rFonts w:cs="Helvetica"/>
          <w:sz w:val="24"/>
          <w:szCs w:val="24"/>
        </w:rPr>
        <w:t>including the related use</w:t>
      </w:r>
      <w:r w:rsidR="00FA2353" w:rsidRPr="001026E6">
        <w:rPr>
          <w:rFonts w:cs="Helvetica"/>
          <w:sz w:val="24"/>
          <w:szCs w:val="24"/>
        </w:rPr>
        <w:t xml:space="preserve"> </w:t>
      </w:r>
      <w:r w:rsidR="00807445" w:rsidRPr="001026E6">
        <w:rPr>
          <w:rFonts w:cs="Helvetica"/>
          <w:sz w:val="24"/>
          <w:szCs w:val="24"/>
        </w:rPr>
        <w:t xml:space="preserve">of </w:t>
      </w:r>
      <w:r w:rsidR="00FA2353" w:rsidRPr="001026E6">
        <w:rPr>
          <w:rFonts w:cs="Helvetica"/>
          <w:sz w:val="24"/>
          <w:szCs w:val="24"/>
        </w:rPr>
        <w:t>distributed ledger technology (DLT)</w:t>
      </w:r>
      <w:r w:rsidR="00807445" w:rsidRPr="001026E6">
        <w:rPr>
          <w:rFonts w:cs="Helvetica"/>
          <w:sz w:val="24"/>
          <w:szCs w:val="24"/>
        </w:rPr>
        <w:t xml:space="preserve"> platforms</w:t>
      </w:r>
      <w:r w:rsidRPr="001026E6">
        <w:rPr>
          <w:rFonts w:cs="Helvetica"/>
          <w:sz w:val="24"/>
          <w:szCs w:val="24"/>
        </w:rPr>
        <w:t xml:space="preserve">.  This interest is </w:t>
      </w:r>
      <w:r w:rsidR="00807445" w:rsidRPr="001026E6">
        <w:rPr>
          <w:rFonts w:cs="Helvetica"/>
          <w:sz w:val="24"/>
          <w:szCs w:val="24"/>
        </w:rPr>
        <w:t>spread</w:t>
      </w:r>
      <w:r w:rsidRPr="001026E6">
        <w:rPr>
          <w:rFonts w:cs="Helvetica"/>
          <w:sz w:val="24"/>
          <w:szCs w:val="24"/>
        </w:rPr>
        <w:t xml:space="preserve"> across a </w:t>
      </w:r>
      <w:r w:rsidR="00807445" w:rsidRPr="001026E6">
        <w:rPr>
          <w:rFonts w:cs="Helvetica"/>
          <w:sz w:val="24"/>
          <w:szCs w:val="24"/>
        </w:rPr>
        <w:t xml:space="preserve">wide </w:t>
      </w:r>
      <w:r w:rsidR="00105FF3" w:rsidRPr="001026E6">
        <w:rPr>
          <w:rFonts w:cs="Helvetica"/>
          <w:sz w:val="24"/>
          <w:szCs w:val="24"/>
        </w:rPr>
        <w:t xml:space="preserve">spectrum of </w:t>
      </w:r>
      <w:r w:rsidRPr="001026E6">
        <w:rPr>
          <w:rFonts w:cs="Helvetica"/>
          <w:sz w:val="24"/>
          <w:szCs w:val="24"/>
        </w:rPr>
        <w:t xml:space="preserve">digital asset based financial services activities, </w:t>
      </w:r>
      <w:r w:rsidR="00105FF3" w:rsidRPr="001026E6">
        <w:rPr>
          <w:rFonts w:cs="Helvetica"/>
          <w:sz w:val="24"/>
          <w:szCs w:val="24"/>
        </w:rPr>
        <w:t xml:space="preserve">including </w:t>
      </w:r>
      <w:r w:rsidRPr="001026E6">
        <w:rPr>
          <w:rFonts w:cs="Helvetica"/>
          <w:sz w:val="24"/>
          <w:szCs w:val="24"/>
        </w:rPr>
        <w:t xml:space="preserve">exchanges, custody, dealing, </w:t>
      </w:r>
      <w:r w:rsidR="00105FF3" w:rsidRPr="001026E6">
        <w:rPr>
          <w:rFonts w:cs="Helvetica"/>
          <w:sz w:val="24"/>
          <w:szCs w:val="24"/>
        </w:rPr>
        <w:t xml:space="preserve">advising, fund management, </w:t>
      </w:r>
      <w:r w:rsidR="00C64FB1" w:rsidRPr="001026E6">
        <w:rPr>
          <w:rFonts w:cs="Helvetica"/>
          <w:sz w:val="24"/>
          <w:szCs w:val="24"/>
        </w:rPr>
        <w:t>payment and other-</w:t>
      </w:r>
      <w:r w:rsidRPr="001026E6">
        <w:rPr>
          <w:rFonts w:cs="Helvetica"/>
          <w:sz w:val="24"/>
          <w:szCs w:val="24"/>
        </w:rPr>
        <w:t xml:space="preserve">banking </w:t>
      </w:r>
      <w:r w:rsidR="00C64FB1" w:rsidRPr="001026E6">
        <w:rPr>
          <w:rFonts w:cs="Helvetica"/>
          <w:sz w:val="24"/>
          <w:szCs w:val="24"/>
        </w:rPr>
        <w:t>related services</w:t>
      </w:r>
      <w:r w:rsidRPr="001026E6">
        <w:rPr>
          <w:rFonts w:cs="Helvetica"/>
          <w:sz w:val="24"/>
          <w:szCs w:val="24"/>
        </w:rPr>
        <w:t>.</w:t>
      </w:r>
    </w:p>
    <w:p w14:paraId="66159773" w14:textId="77777777" w:rsidR="00536CF6" w:rsidRPr="001026E6" w:rsidRDefault="00536CF6" w:rsidP="00536CF6">
      <w:pPr>
        <w:pStyle w:val="ListParagraph"/>
        <w:rPr>
          <w:rFonts w:cs="Helvetica"/>
          <w:sz w:val="24"/>
          <w:szCs w:val="24"/>
        </w:rPr>
      </w:pPr>
    </w:p>
    <w:p w14:paraId="65601302" w14:textId="580E536E" w:rsidR="00015B7B" w:rsidRPr="001026E6" w:rsidRDefault="00536CF6" w:rsidP="00551076">
      <w:pPr>
        <w:pStyle w:val="ListParagraph"/>
        <w:numPr>
          <w:ilvl w:val="0"/>
          <w:numId w:val="1"/>
        </w:numPr>
        <w:ind w:left="426"/>
        <w:jc w:val="both"/>
        <w:rPr>
          <w:rFonts w:cs="Helvetica"/>
          <w:sz w:val="24"/>
          <w:szCs w:val="24"/>
        </w:rPr>
      </w:pPr>
      <w:r w:rsidRPr="001026E6">
        <w:rPr>
          <w:rFonts w:cs="Helvetica"/>
          <w:sz w:val="24"/>
          <w:szCs w:val="24"/>
        </w:rPr>
        <w:t xml:space="preserve">Equally, in addition to </w:t>
      </w:r>
      <w:r w:rsidR="00015B7B" w:rsidRPr="001026E6">
        <w:rPr>
          <w:rFonts w:cs="Helvetica"/>
          <w:sz w:val="24"/>
          <w:szCs w:val="24"/>
        </w:rPr>
        <w:t xml:space="preserve">there being interest across </w:t>
      </w:r>
      <w:r w:rsidRPr="001026E6">
        <w:rPr>
          <w:rFonts w:cs="Helvetica"/>
          <w:sz w:val="24"/>
          <w:szCs w:val="24"/>
        </w:rPr>
        <w:t xml:space="preserve">various </w:t>
      </w:r>
      <w:r w:rsidR="00015B7B" w:rsidRPr="001026E6">
        <w:rPr>
          <w:rFonts w:cs="Helvetica"/>
          <w:sz w:val="24"/>
          <w:szCs w:val="24"/>
        </w:rPr>
        <w:t xml:space="preserve">digital asset-based financial services </w:t>
      </w:r>
      <w:r w:rsidRPr="001026E6">
        <w:rPr>
          <w:rFonts w:cs="Helvetica"/>
          <w:sz w:val="24"/>
          <w:szCs w:val="24"/>
        </w:rPr>
        <w:t xml:space="preserve">activities, </w:t>
      </w:r>
      <w:r w:rsidR="00015B7B" w:rsidRPr="001026E6">
        <w:rPr>
          <w:rFonts w:cs="Helvetica"/>
          <w:sz w:val="24"/>
          <w:szCs w:val="24"/>
        </w:rPr>
        <w:t>there is</w:t>
      </w:r>
      <w:r w:rsidR="00807445" w:rsidRPr="001026E6">
        <w:rPr>
          <w:rFonts w:cs="Helvetica"/>
          <w:sz w:val="24"/>
          <w:szCs w:val="24"/>
        </w:rPr>
        <w:t xml:space="preserve"> also</w:t>
      </w:r>
      <w:r w:rsidR="00015B7B" w:rsidRPr="001026E6">
        <w:rPr>
          <w:rFonts w:cs="Helvetica"/>
          <w:sz w:val="24"/>
          <w:szCs w:val="24"/>
        </w:rPr>
        <w:t xml:space="preserve"> </w:t>
      </w:r>
      <w:r w:rsidR="00551076" w:rsidRPr="001026E6">
        <w:rPr>
          <w:rFonts w:cs="Helvetica"/>
          <w:sz w:val="24"/>
          <w:szCs w:val="24"/>
        </w:rPr>
        <w:t xml:space="preserve">extensive </w:t>
      </w:r>
      <w:r w:rsidR="00015B7B" w:rsidRPr="001026E6">
        <w:rPr>
          <w:rFonts w:cs="Helvetica"/>
          <w:sz w:val="24"/>
          <w:szCs w:val="24"/>
        </w:rPr>
        <w:t xml:space="preserve">interest </w:t>
      </w:r>
      <w:r w:rsidRPr="001026E6">
        <w:rPr>
          <w:rFonts w:cs="Helvetica"/>
          <w:sz w:val="24"/>
          <w:szCs w:val="24"/>
        </w:rPr>
        <w:t xml:space="preserve">spread across the </w:t>
      </w:r>
      <w:r w:rsidR="00551076" w:rsidRPr="001026E6">
        <w:rPr>
          <w:rFonts w:cs="Helvetica"/>
          <w:sz w:val="24"/>
          <w:szCs w:val="24"/>
        </w:rPr>
        <w:t xml:space="preserve">various </w:t>
      </w:r>
      <w:r w:rsidRPr="001026E6">
        <w:rPr>
          <w:rFonts w:cs="Helvetica"/>
          <w:sz w:val="24"/>
          <w:szCs w:val="24"/>
        </w:rPr>
        <w:t>types of digital asset</w:t>
      </w:r>
      <w:r w:rsidR="00807445" w:rsidRPr="001026E6">
        <w:rPr>
          <w:rFonts w:cs="Helvetica"/>
          <w:sz w:val="24"/>
          <w:szCs w:val="24"/>
        </w:rPr>
        <w:t>-related instruments</w:t>
      </w:r>
      <w:r w:rsidR="00015B7B" w:rsidRPr="001026E6">
        <w:rPr>
          <w:rFonts w:cs="Helvetica"/>
          <w:sz w:val="24"/>
          <w:szCs w:val="24"/>
        </w:rPr>
        <w:t xml:space="preserve"> (</w:t>
      </w:r>
      <w:r w:rsidR="001B165E" w:rsidRPr="001026E6">
        <w:rPr>
          <w:rFonts w:cs="Helvetica"/>
          <w:sz w:val="24"/>
          <w:szCs w:val="24"/>
        </w:rPr>
        <w:t>including</w:t>
      </w:r>
      <w:r w:rsidR="00015B7B" w:rsidRPr="001026E6">
        <w:rPr>
          <w:rFonts w:cs="Helvetica"/>
          <w:sz w:val="24"/>
          <w:szCs w:val="24"/>
        </w:rPr>
        <w:t xml:space="preserve"> Digital Securities, </w:t>
      </w:r>
      <w:r w:rsidR="00E00E05" w:rsidRPr="001026E6">
        <w:rPr>
          <w:rFonts w:cs="Helvetica"/>
          <w:sz w:val="24"/>
          <w:szCs w:val="24"/>
        </w:rPr>
        <w:t>Virtual Asset</w:t>
      </w:r>
      <w:r w:rsidR="001B165E" w:rsidRPr="001026E6">
        <w:rPr>
          <w:rFonts w:cs="Helvetica"/>
          <w:sz w:val="24"/>
          <w:szCs w:val="24"/>
        </w:rPr>
        <w:t xml:space="preserve">s, </w:t>
      </w:r>
      <w:r w:rsidR="00105FF3" w:rsidRPr="001026E6">
        <w:rPr>
          <w:rFonts w:cs="Helvetica"/>
          <w:sz w:val="24"/>
          <w:szCs w:val="24"/>
        </w:rPr>
        <w:t xml:space="preserve">fiat tokens, </w:t>
      </w:r>
      <w:r w:rsidR="00C64FB1" w:rsidRPr="001026E6">
        <w:rPr>
          <w:rFonts w:cs="Helvetica"/>
          <w:sz w:val="24"/>
          <w:szCs w:val="24"/>
        </w:rPr>
        <w:t>Derivatives and Funds</w:t>
      </w:r>
      <w:r w:rsidR="00015B7B" w:rsidRPr="001026E6">
        <w:rPr>
          <w:rFonts w:cs="Helvetica"/>
          <w:sz w:val="24"/>
          <w:szCs w:val="24"/>
        </w:rPr>
        <w:t>)</w:t>
      </w:r>
      <w:r w:rsidRPr="001026E6">
        <w:rPr>
          <w:rFonts w:cs="Helvetica"/>
          <w:sz w:val="24"/>
          <w:szCs w:val="24"/>
        </w:rPr>
        <w:t xml:space="preserve">.  </w:t>
      </w:r>
    </w:p>
    <w:p w14:paraId="31C613B6" w14:textId="77777777" w:rsidR="00015B7B" w:rsidRPr="001026E6" w:rsidRDefault="00015B7B" w:rsidP="00015B7B">
      <w:pPr>
        <w:pStyle w:val="ListParagraph"/>
        <w:rPr>
          <w:rFonts w:cs="Helvetica"/>
          <w:sz w:val="24"/>
          <w:szCs w:val="24"/>
        </w:rPr>
      </w:pPr>
    </w:p>
    <w:p w14:paraId="16EEFABF" w14:textId="0EEED6B6" w:rsidR="00536CF6" w:rsidRPr="001026E6" w:rsidRDefault="00536CF6">
      <w:pPr>
        <w:pStyle w:val="ListParagraph"/>
        <w:numPr>
          <w:ilvl w:val="0"/>
          <w:numId w:val="1"/>
        </w:numPr>
        <w:ind w:left="426"/>
        <w:jc w:val="both"/>
        <w:rPr>
          <w:rFonts w:cs="Helvetica"/>
          <w:sz w:val="24"/>
          <w:szCs w:val="24"/>
        </w:rPr>
      </w:pPr>
      <w:r w:rsidRPr="001026E6">
        <w:rPr>
          <w:rFonts w:cs="Helvetica"/>
          <w:sz w:val="24"/>
          <w:szCs w:val="24"/>
        </w:rPr>
        <w:t xml:space="preserve">This Guidance is intended to provide clarity to those </w:t>
      </w:r>
      <w:r w:rsidR="00551076" w:rsidRPr="001026E6">
        <w:rPr>
          <w:rFonts w:cs="Helvetica"/>
          <w:sz w:val="24"/>
          <w:szCs w:val="24"/>
        </w:rPr>
        <w:t xml:space="preserve">seeking </w:t>
      </w:r>
      <w:r w:rsidRPr="001026E6">
        <w:rPr>
          <w:rFonts w:cs="Helvetica"/>
          <w:sz w:val="24"/>
          <w:szCs w:val="24"/>
        </w:rPr>
        <w:t>to undertake ‘Digital Securities’-rel</w:t>
      </w:r>
      <w:r w:rsidR="00551076" w:rsidRPr="001026E6">
        <w:rPr>
          <w:rFonts w:cs="Helvetica"/>
          <w:sz w:val="24"/>
          <w:szCs w:val="24"/>
        </w:rPr>
        <w:t>ated financial services activities</w:t>
      </w:r>
      <w:r w:rsidRPr="001026E6">
        <w:rPr>
          <w:rFonts w:cs="Helvetica"/>
          <w:sz w:val="24"/>
          <w:szCs w:val="24"/>
        </w:rPr>
        <w:t xml:space="preserve"> within ADGM</w:t>
      </w:r>
      <w:r w:rsidR="00C64FB1" w:rsidRPr="001026E6">
        <w:rPr>
          <w:rFonts w:cs="Helvetica"/>
          <w:sz w:val="24"/>
          <w:szCs w:val="24"/>
        </w:rPr>
        <w:t xml:space="preserve">, </w:t>
      </w:r>
      <w:r w:rsidR="006E1BC7" w:rsidRPr="001026E6">
        <w:rPr>
          <w:rFonts w:cs="Helvetica"/>
          <w:sz w:val="24"/>
          <w:szCs w:val="24"/>
        </w:rPr>
        <w:t>including</w:t>
      </w:r>
      <w:r w:rsidR="00551076" w:rsidRPr="001026E6">
        <w:rPr>
          <w:rFonts w:cs="Helvetica"/>
          <w:sz w:val="24"/>
          <w:szCs w:val="24"/>
        </w:rPr>
        <w:t xml:space="preserve"> </w:t>
      </w:r>
      <w:r w:rsidR="001B165E" w:rsidRPr="001026E6">
        <w:rPr>
          <w:rFonts w:cs="Helvetica"/>
          <w:sz w:val="24"/>
          <w:szCs w:val="24"/>
        </w:rPr>
        <w:t xml:space="preserve">Issuers wanting to make an Offer of Digital Securities and to </w:t>
      </w:r>
      <w:r w:rsidR="00C64FB1" w:rsidRPr="001026E6">
        <w:rPr>
          <w:rFonts w:cs="Helvetica"/>
          <w:sz w:val="24"/>
          <w:szCs w:val="24"/>
        </w:rPr>
        <w:t xml:space="preserve">assist </w:t>
      </w:r>
      <w:r w:rsidR="007D23D5" w:rsidRPr="001026E6">
        <w:rPr>
          <w:rFonts w:cs="Helvetica"/>
          <w:sz w:val="24"/>
          <w:szCs w:val="24"/>
        </w:rPr>
        <w:t xml:space="preserve">Authorised Persons </w:t>
      </w:r>
      <w:r w:rsidR="00667EE6" w:rsidRPr="001026E6">
        <w:rPr>
          <w:rFonts w:cs="Helvetica"/>
          <w:sz w:val="24"/>
          <w:szCs w:val="24"/>
        </w:rPr>
        <w:t>conducting a</w:t>
      </w:r>
      <w:r w:rsidR="007D23D5" w:rsidRPr="001026E6">
        <w:rPr>
          <w:rFonts w:cs="Helvetica"/>
          <w:sz w:val="24"/>
          <w:szCs w:val="24"/>
        </w:rPr>
        <w:t xml:space="preserve"> </w:t>
      </w:r>
      <w:r w:rsidR="00667EE6" w:rsidRPr="001026E6">
        <w:rPr>
          <w:rFonts w:cs="Helvetica"/>
          <w:sz w:val="24"/>
          <w:szCs w:val="24"/>
        </w:rPr>
        <w:t xml:space="preserve">a </w:t>
      </w:r>
      <w:r w:rsidR="007D23D5" w:rsidRPr="001026E6">
        <w:rPr>
          <w:rFonts w:cs="Helvetica"/>
          <w:sz w:val="24"/>
          <w:szCs w:val="24"/>
        </w:rPr>
        <w:t>Regulated Activit</w:t>
      </w:r>
      <w:r w:rsidR="00667EE6" w:rsidRPr="001026E6">
        <w:rPr>
          <w:rFonts w:cs="Helvetica"/>
          <w:sz w:val="24"/>
          <w:szCs w:val="24"/>
        </w:rPr>
        <w:t>y</w:t>
      </w:r>
      <w:r w:rsidR="007D23D5" w:rsidRPr="001026E6">
        <w:rPr>
          <w:rFonts w:cs="Helvetica"/>
          <w:sz w:val="24"/>
          <w:szCs w:val="24"/>
        </w:rPr>
        <w:t xml:space="preserve"> </w:t>
      </w:r>
      <w:r w:rsidR="00667EE6" w:rsidRPr="001026E6">
        <w:rPr>
          <w:rFonts w:cs="Helvetica"/>
          <w:sz w:val="24"/>
          <w:szCs w:val="24"/>
        </w:rPr>
        <w:t>in relation to</w:t>
      </w:r>
      <w:r w:rsidR="007D23D5" w:rsidRPr="001026E6">
        <w:rPr>
          <w:rFonts w:cs="Helvetica"/>
          <w:sz w:val="24"/>
          <w:szCs w:val="24"/>
        </w:rPr>
        <w:t xml:space="preserve"> Virtual Assets</w:t>
      </w:r>
      <w:r w:rsidR="00C64FB1" w:rsidRPr="001026E6">
        <w:rPr>
          <w:rFonts w:cs="Helvetica"/>
          <w:sz w:val="24"/>
          <w:szCs w:val="24"/>
        </w:rPr>
        <w:t xml:space="preserve"> wanting to extend their digital assets/</w:t>
      </w:r>
      <w:r w:rsidR="00551076" w:rsidRPr="001026E6">
        <w:rPr>
          <w:rFonts w:cs="Helvetica"/>
          <w:sz w:val="24"/>
          <w:szCs w:val="24"/>
        </w:rPr>
        <w:t>financial services activities</w:t>
      </w:r>
      <w:r w:rsidR="00C64FB1" w:rsidRPr="001026E6">
        <w:rPr>
          <w:rFonts w:cs="Helvetica"/>
          <w:sz w:val="24"/>
          <w:szCs w:val="24"/>
        </w:rPr>
        <w:t xml:space="preserve"> beyond </w:t>
      </w:r>
      <w:r w:rsidR="006E1BC7" w:rsidRPr="001026E6">
        <w:rPr>
          <w:rFonts w:cs="Helvetica"/>
          <w:sz w:val="24"/>
          <w:szCs w:val="24"/>
        </w:rPr>
        <w:t xml:space="preserve">Accepted </w:t>
      </w:r>
      <w:r w:rsidR="00E00E05" w:rsidRPr="001026E6">
        <w:rPr>
          <w:rFonts w:cs="Helvetica"/>
          <w:sz w:val="24"/>
          <w:szCs w:val="24"/>
        </w:rPr>
        <w:t>Virtual Asset</w:t>
      </w:r>
      <w:r w:rsidR="00C64FB1" w:rsidRPr="001026E6">
        <w:rPr>
          <w:rFonts w:cs="Helvetica"/>
          <w:sz w:val="24"/>
          <w:szCs w:val="24"/>
        </w:rPr>
        <w:t>s</w:t>
      </w:r>
      <w:r w:rsidR="001B165E" w:rsidRPr="001026E6">
        <w:rPr>
          <w:rFonts w:cs="Helvetica"/>
          <w:sz w:val="24"/>
          <w:szCs w:val="24"/>
        </w:rPr>
        <w:t xml:space="preserve">. It </w:t>
      </w:r>
      <w:r w:rsidR="001B165E" w:rsidRPr="001026E6">
        <w:rPr>
          <w:rFonts w:cs="Helvetica"/>
          <w:sz w:val="24"/>
          <w:szCs w:val="24"/>
        </w:rPr>
        <w:lastRenderedPageBreak/>
        <w:t>is also intended to assist entities</w:t>
      </w:r>
      <w:r w:rsidR="00C64FB1" w:rsidRPr="001026E6">
        <w:rPr>
          <w:rFonts w:cs="Helvetica"/>
          <w:sz w:val="24"/>
          <w:szCs w:val="24"/>
        </w:rPr>
        <w:t xml:space="preserve"> seeking to utilise new technologies (such as DLT) for the purposes of </w:t>
      </w:r>
      <w:r w:rsidR="00551076" w:rsidRPr="001026E6">
        <w:rPr>
          <w:rFonts w:cs="Helvetica"/>
          <w:sz w:val="24"/>
          <w:szCs w:val="24"/>
        </w:rPr>
        <w:t>expanding</w:t>
      </w:r>
      <w:r w:rsidR="00C64FB1" w:rsidRPr="001026E6">
        <w:rPr>
          <w:rFonts w:cs="Helvetica"/>
          <w:sz w:val="24"/>
          <w:szCs w:val="24"/>
        </w:rPr>
        <w:t xml:space="preserve"> their activities </w:t>
      </w:r>
      <w:r w:rsidR="00551076" w:rsidRPr="001026E6">
        <w:rPr>
          <w:rFonts w:cs="Helvetica"/>
          <w:sz w:val="24"/>
          <w:szCs w:val="24"/>
        </w:rPr>
        <w:t xml:space="preserve">from the </w:t>
      </w:r>
      <w:r w:rsidR="00C64FB1" w:rsidRPr="001026E6">
        <w:rPr>
          <w:rFonts w:cs="Helvetica"/>
          <w:sz w:val="24"/>
          <w:szCs w:val="24"/>
        </w:rPr>
        <w:t xml:space="preserve">more </w:t>
      </w:r>
      <w:r w:rsidR="001B165E" w:rsidRPr="001026E6">
        <w:rPr>
          <w:rFonts w:cs="Helvetica"/>
          <w:sz w:val="24"/>
          <w:szCs w:val="24"/>
        </w:rPr>
        <w:t>‘</w:t>
      </w:r>
      <w:r w:rsidR="00C64FB1" w:rsidRPr="001026E6">
        <w:rPr>
          <w:rFonts w:cs="Helvetica"/>
          <w:sz w:val="24"/>
          <w:szCs w:val="24"/>
        </w:rPr>
        <w:t>conventional</w:t>
      </w:r>
      <w:r w:rsidR="001B165E" w:rsidRPr="001026E6">
        <w:rPr>
          <w:rFonts w:cs="Helvetica"/>
          <w:sz w:val="24"/>
          <w:szCs w:val="24"/>
        </w:rPr>
        <w:t>’</w:t>
      </w:r>
      <w:r w:rsidR="00C64FB1" w:rsidRPr="001026E6">
        <w:rPr>
          <w:rFonts w:cs="Helvetica"/>
          <w:sz w:val="24"/>
          <w:szCs w:val="24"/>
        </w:rPr>
        <w:t xml:space="preserve"> Securities space in</w:t>
      </w:r>
      <w:r w:rsidR="00807445" w:rsidRPr="001026E6">
        <w:rPr>
          <w:rFonts w:cs="Helvetica"/>
          <w:sz w:val="24"/>
          <w:szCs w:val="24"/>
        </w:rPr>
        <w:t>to</w:t>
      </w:r>
      <w:r w:rsidR="00C64FB1" w:rsidRPr="001026E6">
        <w:rPr>
          <w:rFonts w:cs="Helvetica"/>
          <w:sz w:val="24"/>
          <w:szCs w:val="24"/>
        </w:rPr>
        <w:t xml:space="preserve"> Digital Securities.</w:t>
      </w:r>
      <w:r w:rsidRPr="001026E6">
        <w:rPr>
          <w:rFonts w:cs="Helvetica"/>
          <w:sz w:val="24"/>
          <w:szCs w:val="24"/>
        </w:rPr>
        <w:t xml:space="preserve">  </w:t>
      </w:r>
    </w:p>
    <w:p w14:paraId="69162BC1" w14:textId="77777777" w:rsidR="00154566" w:rsidRPr="001026E6" w:rsidRDefault="00154566" w:rsidP="00154566">
      <w:pPr>
        <w:pStyle w:val="ListParagraph"/>
        <w:rPr>
          <w:rFonts w:cs="Helvetica"/>
          <w:sz w:val="24"/>
          <w:szCs w:val="24"/>
        </w:rPr>
      </w:pPr>
    </w:p>
    <w:p w14:paraId="12997810" w14:textId="056E11D7" w:rsidR="001B165E" w:rsidRPr="001026E6" w:rsidRDefault="001B165E">
      <w:pPr>
        <w:pStyle w:val="ListParagraph"/>
        <w:numPr>
          <w:ilvl w:val="0"/>
          <w:numId w:val="1"/>
        </w:numPr>
        <w:ind w:left="426"/>
        <w:jc w:val="both"/>
        <w:rPr>
          <w:rFonts w:cs="Helvetica"/>
          <w:sz w:val="24"/>
          <w:szCs w:val="24"/>
        </w:rPr>
      </w:pPr>
      <w:r w:rsidRPr="001026E6">
        <w:rPr>
          <w:rFonts w:cs="Helvetica"/>
          <w:sz w:val="24"/>
          <w:szCs w:val="24"/>
        </w:rPr>
        <w:t xml:space="preserve">In terms of </w:t>
      </w:r>
      <w:r w:rsidR="00E00E05" w:rsidRPr="001026E6">
        <w:rPr>
          <w:rFonts w:cs="Helvetica"/>
          <w:sz w:val="24"/>
          <w:szCs w:val="24"/>
        </w:rPr>
        <w:t>Virtual Asset</w:t>
      </w:r>
      <w:r w:rsidRPr="001026E6">
        <w:rPr>
          <w:rFonts w:cs="Helvetica"/>
          <w:sz w:val="24"/>
          <w:szCs w:val="24"/>
        </w:rPr>
        <w:t xml:space="preserve">s, the </w:t>
      </w:r>
      <w:r w:rsidR="007D23D5" w:rsidRPr="001026E6">
        <w:rPr>
          <w:rFonts w:cs="Helvetica"/>
          <w:sz w:val="24"/>
          <w:szCs w:val="24"/>
        </w:rPr>
        <w:t>Virtual Asset</w:t>
      </w:r>
      <w:r w:rsidRPr="001026E6">
        <w:rPr>
          <w:rFonts w:cs="Helvetica"/>
          <w:sz w:val="24"/>
          <w:szCs w:val="24"/>
        </w:rPr>
        <w:t xml:space="preserve"> Framework (including the </w:t>
      </w:r>
      <w:r w:rsidR="00E720F1" w:rsidRPr="001026E6">
        <w:rPr>
          <w:rFonts w:cs="Helvetica"/>
          <w:sz w:val="24"/>
          <w:szCs w:val="24"/>
        </w:rPr>
        <w:t>Virtual Assets Guidance</w:t>
      </w:r>
      <w:r w:rsidRPr="001026E6">
        <w:rPr>
          <w:rFonts w:cs="Helvetica"/>
          <w:sz w:val="24"/>
          <w:szCs w:val="24"/>
        </w:rPr>
        <w:t xml:space="preserve">) provides clarity in relation to what is needed to undertake </w:t>
      </w:r>
      <w:r w:rsidR="00E00E05" w:rsidRPr="001026E6">
        <w:rPr>
          <w:rFonts w:cs="Helvetica"/>
          <w:sz w:val="24"/>
          <w:szCs w:val="24"/>
        </w:rPr>
        <w:t>Virtual Asset</w:t>
      </w:r>
      <w:r w:rsidRPr="001026E6">
        <w:rPr>
          <w:rFonts w:cs="Helvetica"/>
          <w:sz w:val="24"/>
          <w:szCs w:val="24"/>
        </w:rPr>
        <w:t xml:space="preserve">-based financial services activity within ADGM. For readers interested in the </w:t>
      </w:r>
      <w:r w:rsidR="007D23D5" w:rsidRPr="001026E6">
        <w:rPr>
          <w:rFonts w:cs="Helvetica"/>
          <w:sz w:val="24"/>
          <w:szCs w:val="24"/>
        </w:rPr>
        <w:t>Virtual Asset</w:t>
      </w:r>
      <w:r w:rsidRPr="001026E6">
        <w:rPr>
          <w:rFonts w:cs="Helvetica"/>
          <w:sz w:val="24"/>
          <w:szCs w:val="24"/>
        </w:rPr>
        <w:t xml:space="preserve"> Framework, the FSRA suggest</w:t>
      </w:r>
      <w:r w:rsidR="006E1BC7" w:rsidRPr="001026E6">
        <w:rPr>
          <w:rFonts w:cs="Helvetica"/>
          <w:sz w:val="24"/>
          <w:szCs w:val="24"/>
        </w:rPr>
        <w:t>s</w:t>
      </w:r>
      <w:r w:rsidRPr="001026E6">
        <w:rPr>
          <w:rFonts w:cs="Helvetica"/>
          <w:sz w:val="24"/>
          <w:szCs w:val="24"/>
        </w:rPr>
        <w:t xml:space="preserve"> you read the </w:t>
      </w:r>
      <w:r w:rsidR="00E720F1" w:rsidRPr="001026E6">
        <w:rPr>
          <w:rFonts w:cs="Helvetica"/>
          <w:sz w:val="24"/>
          <w:szCs w:val="24"/>
        </w:rPr>
        <w:t>Virtual Assets Guidance</w:t>
      </w:r>
      <w:r w:rsidRPr="001026E6">
        <w:rPr>
          <w:rFonts w:cs="Helvetica"/>
          <w:sz w:val="24"/>
          <w:szCs w:val="24"/>
        </w:rPr>
        <w:t xml:space="preserve"> in the first instance.  </w:t>
      </w:r>
    </w:p>
    <w:p w14:paraId="249FB556" w14:textId="77777777" w:rsidR="001B165E" w:rsidRPr="001026E6" w:rsidRDefault="001B165E" w:rsidP="001B165E">
      <w:pPr>
        <w:pStyle w:val="ListParagraph"/>
        <w:rPr>
          <w:rFonts w:cs="Helvetica"/>
          <w:sz w:val="24"/>
          <w:szCs w:val="24"/>
        </w:rPr>
      </w:pPr>
    </w:p>
    <w:p w14:paraId="1DFC6E93" w14:textId="77777777" w:rsidR="00D50305" w:rsidRPr="001026E6" w:rsidRDefault="002232A1">
      <w:pPr>
        <w:pStyle w:val="ListParagraph"/>
        <w:numPr>
          <w:ilvl w:val="0"/>
          <w:numId w:val="1"/>
        </w:numPr>
        <w:ind w:left="425"/>
        <w:jc w:val="both"/>
        <w:rPr>
          <w:rFonts w:cs="Helvetica"/>
          <w:bCs/>
          <w:iCs/>
          <w:sz w:val="24"/>
        </w:rPr>
      </w:pPr>
      <w:r w:rsidRPr="001026E6">
        <w:rPr>
          <w:rFonts w:cs="Helvetica"/>
          <w:sz w:val="24"/>
          <w:szCs w:val="24"/>
        </w:rPr>
        <w:t xml:space="preserve">The diagram </w:t>
      </w:r>
      <w:r w:rsidR="00310A6F" w:rsidRPr="001026E6">
        <w:rPr>
          <w:rFonts w:cs="Helvetica"/>
          <w:sz w:val="24"/>
          <w:szCs w:val="24"/>
        </w:rPr>
        <w:t xml:space="preserve">and table </w:t>
      </w:r>
      <w:r w:rsidR="00706DDB" w:rsidRPr="001026E6">
        <w:rPr>
          <w:rFonts w:cs="Helvetica"/>
          <w:sz w:val="24"/>
          <w:szCs w:val="24"/>
        </w:rPr>
        <w:t>on the following pages</w:t>
      </w:r>
      <w:r w:rsidRPr="001026E6">
        <w:rPr>
          <w:rFonts w:cs="Helvetica"/>
          <w:sz w:val="24"/>
          <w:szCs w:val="24"/>
        </w:rPr>
        <w:t xml:space="preserve"> </w:t>
      </w:r>
      <w:r w:rsidR="00674183" w:rsidRPr="001026E6">
        <w:rPr>
          <w:rFonts w:cs="Helvetica"/>
          <w:sz w:val="24"/>
          <w:szCs w:val="24"/>
        </w:rPr>
        <w:t>set out</w:t>
      </w:r>
      <w:r w:rsidRPr="001026E6">
        <w:rPr>
          <w:rFonts w:cs="Helvetica"/>
          <w:sz w:val="24"/>
          <w:szCs w:val="24"/>
        </w:rPr>
        <w:t xml:space="preserve"> </w:t>
      </w:r>
      <w:r w:rsidR="009617BD" w:rsidRPr="001026E6">
        <w:rPr>
          <w:rFonts w:cs="Helvetica"/>
          <w:sz w:val="24"/>
          <w:szCs w:val="24"/>
        </w:rPr>
        <w:t xml:space="preserve">the </w:t>
      </w:r>
      <w:r w:rsidRPr="001026E6">
        <w:rPr>
          <w:rFonts w:cs="Helvetica"/>
          <w:sz w:val="24"/>
          <w:szCs w:val="24"/>
        </w:rPr>
        <w:t>FSRA’s</w:t>
      </w:r>
      <w:r w:rsidR="00667CA8" w:rsidRPr="001026E6">
        <w:rPr>
          <w:rFonts w:cs="Helvetica"/>
          <w:sz w:val="24"/>
          <w:szCs w:val="24"/>
        </w:rPr>
        <w:t xml:space="preserve"> regulatory </w:t>
      </w:r>
      <w:r w:rsidR="00EE1F7D" w:rsidRPr="001026E6">
        <w:rPr>
          <w:rFonts w:cs="Helvetica"/>
          <w:sz w:val="24"/>
          <w:szCs w:val="24"/>
        </w:rPr>
        <w:t>approach</w:t>
      </w:r>
      <w:r w:rsidR="00667CA8" w:rsidRPr="001026E6">
        <w:rPr>
          <w:rFonts w:cs="Helvetica"/>
          <w:sz w:val="24"/>
          <w:szCs w:val="24"/>
        </w:rPr>
        <w:t xml:space="preserve"> in relation to </w:t>
      </w:r>
      <w:r w:rsidR="00FC1891" w:rsidRPr="001026E6">
        <w:rPr>
          <w:rFonts w:cs="Helvetica"/>
          <w:sz w:val="24"/>
          <w:szCs w:val="24"/>
        </w:rPr>
        <w:t xml:space="preserve">the </w:t>
      </w:r>
      <w:r w:rsidR="00EE1F7D" w:rsidRPr="001026E6">
        <w:rPr>
          <w:rFonts w:cs="Helvetica"/>
          <w:sz w:val="24"/>
          <w:szCs w:val="24"/>
        </w:rPr>
        <w:t xml:space="preserve">different types of </w:t>
      </w:r>
      <w:r w:rsidR="00667CA8" w:rsidRPr="001026E6">
        <w:rPr>
          <w:rFonts w:cs="Helvetica"/>
          <w:sz w:val="24"/>
          <w:szCs w:val="24"/>
        </w:rPr>
        <w:t>d</w:t>
      </w:r>
      <w:r w:rsidRPr="001026E6">
        <w:rPr>
          <w:rFonts w:cs="Helvetica"/>
          <w:sz w:val="24"/>
          <w:szCs w:val="24"/>
        </w:rPr>
        <w:t xml:space="preserve">igital </w:t>
      </w:r>
      <w:r w:rsidR="00667CA8" w:rsidRPr="001026E6">
        <w:rPr>
          <w:rFonts w:cs="Helvetica"/>
          <w:sz w:val="24"/>
          <w:szCs w:val="24"/>
        </w:rPr>
        <w:t>a</w:t>
      </w:r>
      <w:r w:rsidRPr="001026E6">
        <w:rPr>
          <w:rFonts w:cs="Helvetica"/>
          <w:sz w:val="24"/>
          <w:szCs w:val="24"/>
        </w:rPr>
        <w:t>sset</w:t>
      </w:r>
      <w:r w:rsidR="00551076" w:rsidRPr="001026E6">
        <w:rPr>
          <w:rFonts w:cs="Helvetica"/>
          <w:sz w:val="24"/>
          <w:szCs w:val="24"/>
        </w:rPr>
        <w:t xml:space="preserve"> activities</w:t>
      </w:r>
      <w:r w:rsidR="00015B7B" w:rsidRPr="001026E6">
        <w:rPr>
          <w:rFonts w:cs="Helvetica"/>
          <w:sz w:val="24"/>
          <w:szCs w:val="24"/>
        </w:rPr>
        <w:t xml:space="preserve"> within ADGM</w:t>
      </w:r>
      <w:r w:rsidR="00E9086B" w:rsidRPr="001026E6">
        <w:rPr>
          <w:rFonts w:cs="Helvetica"/>
          <w:sz w:val="24"/>
          <w:szCs w:val="24"/>
        </w:rPr>
        <w:t>.</w:t>
      </w:r>
      <w:r w:rsidR="00E81529" w:rsidRPr="001026E6">
        <w:rPr>
          <w:rFonts w:cs="Helvetica"/>
          <w:sz w:val="24"/>
          <w:szCs w:val="24"/>
        </w:rPr>
        <w:t xml:space="preserve"> </w:t>
      </w:r>
    </w:p>
    <w:p w14:paraId="782AB811" w14:textId="77777777" w:rsidR="00FD4575" w:rsidRPr="001026E6" w:rsidRDefault="00FD4575" w:rsidP="00FD4575">
      <w:pPr>
        <w:pStyle w:val="ListParagraph"/>
        <w:spacing w:after="160" w:line="259" w:lineRule="auto"/>
        <w:ind w:left="1133"/>
        <w:rPr>
          <w:rFonts w:cs="Helvetica"/>
          <w:bCs/>
          <w:iCs/>
          <w:sz w:val="24"/>
        </w:rPr>
      </w:pPr>
    </w:p>
    <w:p w14:paraId="6B36402F" w14:textId="47D07DEB" w:rsidR="00760249" w:rsidRPr="001026E6" w:rsidRDefault="00094F56" w:rsidP="006E1BC7">
      <w:pPr>
        <w:spacing w:after="160" w:line="259" w:lineRule="auto"/>
        <w:jc w:val="center"/>
        <w:rPr>
          <w:rFonts w:cs="Helvetica"/>
          <w:bCs/>
          <w:iCs/>
          <w:noProof/>
          <w:sz w:val="24"/>
          <w:lang w:eastAsia="en-GB"/>
        </w:rPr>
      </w:pPr>
      <w:r w:rsidRPr="001026E6">
        <w:rPr>
          <w:noProof/>
          <w:lang w:eastAsia="en-GB"/>
        </w:rPr>
        <w:lastRenderedPageBreak/>
        <w:drawing>
          <wp:inline distT="0" distB="0" distL="0" distR="0" wp14:anchorId="247B7D82" wp14:editId="2CB3D305">
            <wp:extent cx="5731510" cy="3315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5970"/>
                    </a:xfrm>
                    <a:prstGeom prst="rect">
                      <a:avLst/>
                    </a:prstGeom>
                  </pic:spPr>
                </pic:pic>
              </a:graphicData>
            </a:graphic>
          </wp:inline>
        </w:drawing>
      </w:r>
    </w:p>
    <w:tbl>
      <w:tblPr>
        <w:tblStyle w:val="TableGrid"/>
        <w:tblW w:w="0" w:type="auto"/>
        <w:tblLook w:val="04A0" w:firstRow="1" w:lastRow="0" w:firstColumn="1" w:lastColumn="0" w:noHBand="0" w:noVBand="1"/>
      </w:tblPr>
      <w:tblGrid>
        <w:gridCol w:w="2689"/>
        <w:gridCol w:w="6327"/>
      </w:tblGrid>
      <w:tr w:rsidR="00373CAE" w:rsidRPr="001026E6" w14:paraId="7DAC6878" w14:textId="77777777" w:rsidTr="00B906DB">
        <w:tc>
          <w:tcPr>
            <w:tcW w:w="2689" w:type="dxa"/>
            <w:shd w:val="clear" w:color="auto" w:fill="FFFFFF" w:themeFill="background1"/>
          </w:tcPr>
          <w:p w14:paraId="1B494B34" w14:textId="77777777" w:rsidR="00373CAE" w:rsidRPr="001026E6" w:rsidRDefault="00373CAE" w:rsidP="00373CAE">
            <w:pPr>
              <w:jc w:val="center"/>
              <w:rPr>
                <w:rFonts w:eastAsia="Times New Roman" w:cs="Times New Roman"/>
                <w:b/>
                <w:bCs/>
                <w:lang w:eastAsia="ar-SA"/>
              </w:rPr>
            </w:pPr>
            <w:r w:rsidRPr="001026E6">
              <w:rPr>
                <w:rFonts w:eastAsia="Times New Roman" w:cs="Times New Roman"/>
                <w:b/>
                <w:bCs/>
                <w:lang w:eastAsia="ar-SA"/>
              </w:rPr>
              <w:t>Category of Digital Assets / Instruments</w:t>
            </w:r>
          </w:p>
        </w:tc>
        <w:tc>
          <w:tcPr>
            <w:tcW w:w="6327" w:type="dxa"/>
            <w:shd w:val="clear" w:color="auto" w:fill="FFFFFF" w:themeFill="background1"/>
          </w:tcPr>
          <w:p w14:paraId="65D6D4BE" w14:textId="77777777" w:rsidR="00373CAE" w:rsidRPr="001026E6" w:rsidRDefault="00373CAE" w:rsidP="00373CAE">
            <w:pPr>
              <w:jc w:val="center"/>
              <w:rPr>
                <w:rFonts w:eastAsia="Times New Roman" w:cs="Times New Roman"/>
                <w:b/>
                <w:bCs/>
                <w:lang w:eastAsia="ar-SA"/>
              </w:rPr>
            </w:pPr>
            <w:r w:rsidRPr="001026E6">
              <w:rPr>
                <w:rFonts w:eastAsia="Times New Roman" w:cs="Times New Roman"/>
                <w:b/>
                <w:bCs/>
                <w:lang w:eastAsia="ar-SA"/>
              </w:rPr>
              <w:t>Regulatory Approach</w:t>
            </w:r>
          </w:p>
        </w:tc>
      </w:tr>
      <w:tr w:rsidR="00373CAE" w:rsidRPr="001026E6" w14:paraId="05522A54" w14:textId="77777777" w:rsidTr="00B906DB">
        <w:tc>
          <w:tcPr>
            <w:tcW w:w="2689" w:type="dxa"/>
            <w:shd w:val="clear" w:color="auto" w:fill="FFFFFF" w:themeFill="background1"/>
          </w:tcPr>
          <w:p w14:paraId="5A30AF90" w14:textId="77777777" w:rsidR="00373CAE" w:rsidRPr="001026E6" w:rsidRDefault="00373CAE" w:rsidP="00373CAE">
            <w:pPr>
              <w:jc w:val="both"/>
              <w:rPr>
                <w:lang w:eastAsia="ar-SA"/>
              </w:rPr>
            </w:pPr>
            <w:r w:rsidRPr="001026E6">
              <w:rPr>
                <w:lang w:eastAsia="ar-SA"/>
              </w:rPr>
              <w:t>“Digital Securities”</w:t>
            </w:r>
          </w:p>
          <w:p w14:paraId="18CC1DC7" w14:textId="77777777" w:rsidR="00373CAE" w:rsidRPr="001026E6" w:rsidRDefault="00373CAE" w:rsidP="00373CAE">
            <w:pPr>
              <w:jc w:val="both"/>
              <w:rPr>
                <w:lang w:eastAsia="ar-SA"/>
              </w:rPr>
            </w:pPr>
          </w:p>
          <w:p w14:paraId="699F156F" w14:textId="77777777" w:rsidR="00373CAE" w:rsidRPr="001026E6" w:rsidRDefault="00373CAE" w:rsidP="00373CAE">
            <w:pPr>
              <w:jc w:val="both"/>
              <w:rPr>
                <w:rFonts w:eastAsia="Times New Roman"/>
                <w:lang w:eastAsia="ar-SA"/>
              </w:rPr>
            </w:pPr>
            <w:r w:rsidRPr="001026E6">
              <w:rPr>
                <w:lang w:eastAsia="ar-SA"/>
              </w:rPr>
              <w:t xml:space="preserve">(e.g., digital/virtual tokens that have the features and characteristics of a Security under the FSMR (such as Shares, Debentures and </w:t>
            </w:r>
            <w:r w:rsidRPr="001026E6">
              <w:rPr>
                <w:rFonts w:eastAsia="Times New Roman"/>
                <w:lang w:eastAsia="ar-SA"/>
              </w:rPr>
              <w:t>Units in a Collective Investment Fund)).</w:t>
            </w:r>
          </w:p>
          <w:p w14:paraId="170641BB" w14:textId="77777777" w:rsidR="00373CAE" w:rsidRPr="001026E6" w:rsidRDefault="00373CAE" w:rsidP="00373CAE">
            <w:pPr>
              <w:jc w:val="both"/>
              <w:rPr>
                <w:rFonts w:eastAsia="Times New Roman" w:cs="Times New Roman"/>
                <w:lang w:eastAsia="ar-SA"/>
              </w:rPr>
            </w:pPr>
          </w:p>
        </w:tc>
        <w:tc>
          <w:tcPr>
            <w:tcW w:w="6327" w:type="dxa"/>
            <w:shd w:val="clear" w:color="auto" w:fill="FFFFFF" w:themeFill="background1"/>
          </w:tcPr>
          <w:p w14:paraId="661466D1" w14:textId="77777777" w:rsidR="00373CAE" w:rsidRPr="001026E6" w:rsidRDefault="00373CAE" w:rsidP="00373CAE">
            <w:pPr>
              <w:jc w:val="both"/>
              <w:rPr>
                <w:lang w:eastAsia="ar-SA"/>
              </w:rPr>
            </w:pPr>
            <w:r w:rsidRPr="001026E6">
              <w:rPr>
                <w:lang w:eastAsia="ar-SA"/>
              </w:rPr>
              <w:t>Deemed to be Securities pursuant to Paragraph 58(2)(b) of FSMR.</w:t>
            </w:r>
          </w:p>
          <w:p w14:paraId="37B94F7F" w14:textId="77777777" w:rsidR="00373CAE" w:rsidRPr="001026E6" w:rsidRDefault="00373CAE" w:rsidP="00373CAE">
            <w:pPr>
              <w:jc w:val="both"/>
              <w:rPr>
                <w:lang w:eastAsia="ar-SA"/>
              </w:rPr>
            </w:pPr>
          </w:p>
          <w:p w14:paraId="5B2B805E" w14:textId="77777777" w:rsidR="00373CAE" w:rsidRPr="001026E6" w:rsidRDefault="00373CAE" w:rsidP="00373CAE">
            <w:pPr>
              <w:jc w:val="both"/>
              <w:rPr>
                <w:lang w:eastAsia="ar-SA"/>
              </w:rPr>
            </w:pPr>
            <w:r w:rsidRPr="001026E6">
              <w:rPr>
                <w:lang w:eastAsia="ar-SA"/>
              </w:rPr>
              <w:t>All financial services activities in relation to Digital Securities, such as operating primary / secondary markets, dealing / trading / managing investments in or advising on Digital Securities, are subject to the relevant regulatory requirements under the FSMR.</w:t>
            </w:r>
          </w:p>
          <w:p w14:paraId="2EE8900F" w14:textId="77777777" w:rsidR="00373CAE" w:rsidRPr="001026E6" w:rsidRDefault="00373CAE" w:rsidP="00373CAE">
            <w:pPr>
              <w:jc w:val="both"/>
              <w:rPr>
                <w:rFonts w:eastAsia="Times New Roman" w:cs="Times New Roman"/>
                <w:lang w:eastAsia="ar-SA"/>
              </w:rPr>
            </w:pPr>
          </w:p>
          <w:p w14:paraId="2AEB573B" w14:textId="3BB9C4B9" w:rsidR="00373CAE" w:rsidRPr="001026E6" w:rsidRDefault="00373CAE" w:rsidP="00373CAE">
            <w:pPr>
              <w:jc w:val="both"/>
              <w:rPr>
                <w:rFonts w:eastAsia="Times New Roman" w:cs="Times New Roman"/>
                <w:lang w:eastAsia="ar-SA"/>
              </w:rPr>
            </w:pPr>
            <w:r w:rsidRPr="001026E6">
              <w:rPr>
                <w:rFonts w:eastAsia="Times New Roman" w:cs="Times New Roman"/>
                <w:lang w:eastAsia="ar-SA"/>
              </w:rPr>
              <w:t>Market intermediaries and market operators dealing or managing investments in Digital Securities need to be licensed / approved by FSRA as FSP holders (including as Multilateral Trading Facilities), Recognised Investment Exchanges or Recognised Clearing Houses, as applicable.</w:t>
            </w:r>
          </w:p>
          <w:p w14:paraId="217E4CB9" w14:textId="77777777" w:rsidR="00373CAE" w:rsidRPr="001026E6" w:rsidRDefault="00373CAE" w:rsidP="00373CAE">
            <w:pPr>
              <w:jc w:val="both"/>
              <w:rPr>
                <w:rFonts w:eastAsia="Times New Roman" w:cs="Times New Roman"/>
                <w:lang w:eastAsia="ar-SA"/>
              </w:rPr>
            </w:pPr>
          </w:p>
        </w:tc>
      </w:tr>
      <w:tr w:rsidR="00373CAE" w:rsidRPr="001026E6" w14:paraId="22E405BD" w14:textId="77777777" w:rsidTr="00B906DB">
        <w:tc>
          <w:tcPr>
            <w:tcW w:w="2689" w:type="dxa"/>
            <w:shd w:val="clear" w:color="auto" w:fill="FFFFFF" w:themeFill="background1"/>
          </w:tcPr>
          <w:p w14:paraId="3C2E992E" w14:textId="60BCB955" w:rsidR="00373CAE" w:rsidRPr="001026E6" w:rsidRDefault="00373CAE" w:rsidP="00373CAE">
            <w:pPr>
              <w:jc w:val="both"/>
              <w:rPr>
                <w:rFonts w:eastAsia="Times New Roman" w:cs="Times New Roman"/>
                <w:lang w:eastAsia="ar-SA"/>
              </w:rPr>
            </w:pPr>
            <w:r w:rsidRPr="001026E6">
              <w:rPr>
                <w:rFonts w:eastAsia="Times New Roman" w:cs="Times New Roman"/>
                <w:lang w:eastAsia="ar-SA"/>
              </w:rPr>
              <w:t>“Virtual Assets”</w:t>
            </w:r>
          </w:p>
          <w:p w14:paraId="62B74A2F" w14:textId="77777777" w:rsidR="00373CAE" w:rsidRPr="001026E6" w:rsidRDefault="00373CAE" w:rsidP="00373CAE">
            <w:pPr>
              <w:jc w:val="both"/>
              <w:rPr>
                <w:rFonts w:eastAsia="Times New Roman" w:cs="Times New Roman"/>
                <w:lang w:eastAsia="ar-SA"/>
              </w:rPr>
            </w:pPr>
          </w:p>
          <w:p w14:paraId="2CA5CA10" w14:textId="431EE0B3" w:rsidR="00373CAE" w:rsidRPr="001026E6" w:rsidRDefault="00373CAE" w:rsidP="00373CAE">
            <w:pPr>
              <w:jc w:val="both"/>
              <w:rPr>
                <w:rFonts w:eastAsia="Times New Roman" w:cs="Times New Roman"/>
                <w:lang w:eastAsia="ar-SA"/>
              </w:rPr>
            </w:pPr>
            <w:r w:rsidRPr="001026E6">
              <w:rPr>
                <w:rFonts w:eastAsia="Times New Roman" w:cs="Times New Roman"/>
                <w:lang w:eastAsia="ar-SA"/>
              </w:rPr>
              <w:lastRenderedPageBreak/>
              <w:t xml:space="preserve">(e.g., non-fiat virtual currencies, </w:t>
            </w:r>
          </w:p>
          <w:p w14:paraId="6F458B3F" w14:textId="3E26C066" w:rsidR="00373CAE" w:rsidRPr="001026E6" w:rsidRDefault="001F4E1B" w:rsidP="00373CAE">
            <w:pPr>
              <w:jc w:val="both"/>
              <w:rPr>
                <w:rFonts w:eastAsia="Times New Roman" w:cs="Times New Roman"/>
                <w:lang w:eastAsia="ar-SA"/>
              </w:rPr>
            </w:pPr>
            <w:r w:rsidRPr="001026E6">
              <w:t>virtual asset</w:t>
            </w:r>
            <w:r w:rsidR="00373CAE" w:rsidRPr="001026E6">
              <w:t xml:space="preserve"> ‘exchange tokens’</w:t>
            </w:r>
            <w:r w:rsidR="00373CAE" w:rsidRPr="001026E6">
              <w:rPr>
                <w:rFonts w:eastAsia="Times New Roman" w:cs="Times New Roman"/>
                <w:lang w:eastAsia="ar-SA"/>
              </w:rPr>
              <w:t xml:space="preserve">).  </w:t>
            </w:r>
          </w:p>
          <w:p w14:paraId="59FBDC02" w14:textId="77777777" w:rsidR="00373CAE" w:rsidRPr="001026E6" w:rsidRDefault="00373CAE" w:rsidP="00373CAE">
            <w:pPr>
              <w:jc w:val="both"/>
              <w:rPr>
                <w:rFonts w:eastAsia="Times New Roman" w:cs="Times New Roman"/>
                <w:lang w:eastAsia="ar-SA"/>
              </w:rPr>
            </w:pPr>
          </w:p>
          <w:p w14:paraId="2E3416C3" w14:textId="30CDC696" w:rsidR="00373CAE" w:rsidRPr="001026E6" w:rsidRDefault="00373CAE" w:rsidP="00ED0097">
            <w:pPr>
              <w:jc w:val="both"/>
              <w:rPr>
                <w:i/>
                <w:iCs/>
                <w:lang w:eastAsia="ar-SA"/>
              </w:rPr>
            </w:pPr>
          </w:p>
        </w:tc>
        <w:tc>
          <w:tcPr>
            <w:tcW w:w="6327" w:type="dxa"/>
            <w:shd w:val="clear" w:color="auto" w:fill="FFFFFF" w:themeFill="background1"/>
          </w:tcPr>
          <w:p w14:paraId="1F5A0F1C" w14:textId="77777777" w:rsidR="00373CAE" w:rsidRPr="001026E6" w:rsidRDefault="00373CAE" w:rsidP="00373CAE">
            <w:pPr>
              <w:jc w:val="both"/>
              <w:rPr>
                <w:lang w:eastAsia="ar-SA"/>
              </w:rPr>
            </w:pPr>
            <w:r w:rsidRPr="001026E6">
              <w:rPr>
                <w:lang w:eastAsia="ar-SA"/>
              </w:rPr>
              <w:lastRenderedPageBreak/>
              <w:t>Treated as commodities and, therefore, not deemed Specified Investments under the FSMR.</w:t>
            </w:r>
          </w:p>
          <w:p w14:paraId="5D025799" w14:textId="77777777" w:rsidR="00373CAE" w:rsidRPr="001026E6" w:rsidRDefault="00373CAE" w:rsidP="00373CAE">
            <w:pPr>
              <w:jc w:val="both"/>
              <w:rPr>
                <w:lang w:eastAsia="ar-SA"/>
              </w:rPr>
            </w:pPr>
          </w:p>
          <w:p w14:paraId="3DE76BCA" w14:textId="66B31C86" w:rsidR="00373CAE" w:rsidRPr="001026E6" w:rsidRDefault="00373CAE" w:rsidP="00373CAE">
            <w:pPr>
              <w:jc w:val="both"/>
              <w:rPr>
                <w:rFonts w:eastAsia="Times New Roman" w:cs="Times New Roman"/>
                <w:lang w:eastAsia="ar-SA"/>
              </w:rPr>
            </w:pPr>
            <w:r w:rsidRPr="001026E6">
              <w:rPr>
                <w:lang w:eastAsia="ar-SA"/>
              </w:rPr>
              <w:t>Market intermediaries (e.g., broker dealers, custodians, asset managers) dealing in or managing Virtual Assets, and Multilateral Trading Facilities using Virtual Assets, need to be licensed / approved by FSRA</w:t>
            </w:r>
            <w:r w:rsidR="00D24114" w:rsidRPr="001026E6">
              <w:rPr>
                <w:rFonts w:eastAsia="Times New Roman" w:cs="Times New Roman"/>
                <w:lang w:eastAsia="ar-SA"/>
              </w:rPr>
              <w:t>.</w:t>
            </w:r>
            <w:r w:rsidRPr="001026E6">
              <w:rPr>
                <w:rFonts w:eastAsia="Times New Roman" w:cs="Times New Roman"/>
                <w:lang w:eastAsia="ar-SA"/>
              </w:rPr>
              <w:t xml:space="preserve">  Only activities in Accepted Virtual Assets will be permitted.</w:t>
            </w:r>
          </w:p>
          <w:p w14:paraId="721EEABD" w14:textId="77777777" w:rsidR="00373CAE" w:rsidRPr="001026E6" w:rsidRDefault="00373CAE" w:rsidP="00373CAE">
            <w:pPr>
              <w:jc w:val="both"/>
              <w:rPr>
                <w:lang w:eastAsia="ar-SA"/>
              </w:rPr>
            </w:pPr>
          </w:p>
          <w:p w14:paraId="27204401" w14:textId="005A2B3B" w:rsidR="00373CAE" w:rsidRPr="001026E6" w:rsidRDefault="00373CAE" w:rsidP="00373CAE">
            <w:pPr>
              <w:jc w:val="both"/>
              <w:rPr>
                <w:rFonts w:eastAsia="Times New Roman" w:cs="Times New Roman"/>
                <w:lang w:eastAsia="ar-SA"/>
              </w:rPr>
            </w:pPr>
            <w:r w:rsidRPr="001026E6">
              <w:rPr>
                <w:lang w:eastAsia="ar-SA"/>
              </w:rPr>
              <w:t>Capital formation activities are not provided for under the Virtual Asset Framework, and such activities are not envisaged under the Market Rules (MKT).</w:t>
            </w:r>
          </w:p>
          <w:p w14:paraId="1BDDB135" w14:textId="77777777" w:rsidR="00373CAE" w:rsidRPr="001026E6" w:rsidRDefault="00373CAE" w:rsidP="00373CAE">
            <w:pPr>
              <w:jc w:val="both"/>
              <w:rPr>
                <w:lang w:eastAsia="ar-SA"/>
              </w:rPr>
            </w:pPr>
          </w:p>
        </w:tc>
      </w:tr>
      <w:tr w:rsidR="00373CAE" w:rsidRPr="001026E6" w14:paraId="4148FCBF" w14:textId="77777777" w:rsidTr="00B906DB">
        <w:tc>
          <w:tcPr>
            <w:tcW w:w="2689" w:type="dxa"/>
            <w:shd w:val="clear" w:color="auto" w:fill="FFFFFF" w:themeFill="background1"/>
          </w:tcPr>
          <w:p w14:paraId="20BCE214" w14:textId="13B8CDEC" w:rsidR="00373CAE" w:rsidRPr="001026E6" w:rsidRDefault="00373CAE" w:rsidP="00373CAE">
            <w:pPr>
              <w:jc w:val="both"/>
              <w:rPr>
                <w:lang w:eastAsia="ar-SA"/>
              </w:rPr>
            </w:pPr>
            <w:r w:rsidRPr="001026E6">
              <w:rPr>
                <w:rFonts w:eastAsia="Times New Roman" w:cs="Times New Roman"/>
                <w:lang w:eastAsia="ar-SA"/>
              </w:rPr>
              <w:lastRenderedPageBreak/>
              <w:t>Derivatives and Collective Investment Funds of Virtual Assets, Digital Securities and Utility Tokens</w:t>
            </w:r>
          </w:p>
        </w:tc>
        <w:tc>
          <w:tcPr>
            <w:tcW w:w="6327" w:type="dxa"/>
            <w:shd w:val="clear" w:color="auto" w:fill="FFFFFF" w:themeFill="background1"/>
          </w:tcPr>
          <w:p w14:paraId="0939D882" w14:textId="77777777" w:rsidR="00373CAE" w:rsidRPr="001026E6" w:rsidRDefault="00373CAE" w:rsidP="00373CAE">
            <w:pPr>
              <w:jc w:val="both"/>
              <w:rPr>
                <w:lang w:eastAsia="ar-SA"/>
              </w:rPr>
            </w:pPr>
            <w:r w:rsidRPr="001026E6">
              <w:rPr>
                <w:lang w:eastAsia="ar-SA"/>
              </w:rPr>
              <w:t xml:space="preserve">Regulated as Specified Investments under the FSMR.  </w:t>
            </w:r>
          </w:p>
          <w:p w14:paraId="0B33B265" w14:textId="77777777" w:rsidR="00373CAE" w:rsidRPr="001026E6" w:rsidRDefault="00373CAE" w:rsidP="00373CAE">
            <w:pPr>
              <w:jc w:val="both"/>
              <w:rPr>
                <w:lang w:eastAsia="ar-SA"/>
              </w:rPr>
            </w:pPr>
          </w:p>
          <w:p w14:paraId="594F84E3" w14:textId="7DF2FABB" w:rsidR="00373CAE" w:rsidRPr="001026E6" w:rsidRDefault="00373CAE" w:rsidP="00373CAE">
            <w:pPr>
              <w:jc w:val="both"/>
              <w:rPr>
                <w:lang w:eastAsia="ar-SA"/>
              </w:rPr>
            </w:pPr>
            <w:r w:rsidRPr="001026E6">
              <w:rPr>
                <w:lang w:eastAsia="ar-SA"/>
              </w:rPr>
              <w:t>Market intermediaries and market operators dealing in such Derivatives and Collective Investment Funds will need to be licensed / approved by FSRA as FSP holders, Recognised Investment Exchanges or Recognised Clearing Houses, as applicable.</w:t>
            </w:r>
          </w:p>
          <w:p w14:paraId="5AA9DB25" w14:textId="77777777" w:rsidR="00373CAE" w:rsidRPr="001026E6" w:rsidRDefault="00373CAE" w:rsidP="00373CAE">
            <w:pPr>
              <w:jc w:val="both"/>
              <w:rPr>
                <w:lang w:eastAsia="ar-SA"/>
              </w:rPr>
            </w:pPr>
          </w:p>
        </w:tc>
      </w:tr>
      <w:tr w:rsidR="00373CAE" w:rsidRPr="001026E6" w14:paraId="222087F4" w14:textId="77777777" w:rsidTr="00B906DB">
        <w:tc>
          <w:tcPr>
            <w:tcW w:w="2689" w:type="dxa"/>
            <w:shd w:val="clear" w:color="auto" w:fill="FFFFFF" w:themeFill="background1"/>
          </w:tcPr>
          <w:p w14:paraId="28151137" w14:textId="77777777" w:rsidR="00373CAE" w:rsidRPr="001026E6" w:rsidRDefault="00373CAE" w:rsidP="00373CAE">
            <w:pPr>
              <w:jc w:val="both"/>
              <w:rPr>
                <w:lang w:eastAsia="ar-SA"/>
              </w:rPr>
            </w:pPr>
            <w:r w:rsidRPr="001026E6">
              <w:rPr>
                <w:lang w:eastAsia="ar-SA"/>
              </w:rPr>
              <w:t xml:space="preserve">“Utility Tokens” </w:t>
            </w:r>
          </w:p>
          <w:p w14:paraId="4B423F0D" w14:textId="77777777" w:rsidR="00373CAE" w:rsidRPr="001026E6" w:rsidRDefault="00373CAE" w:rsidP="00373CAE">
            <w:pPr>
              <w:jc w:val="both"/>
              <w:rPr>
                <w:lang w:eastAsia="ar-SA"/>
              </w:rPr>
            </w:pPr>
          </w:p>
          <w:p w14:paraId="4779A7EB" w14:textId="77777777" w:rsidR="00373CAE" w:rsidRPr="001026E6" w:rsidRDefault="00373CAE" w:rsidP="00373CAE">
            <w:pPr>
              <w:jc w:val="both"/>
              <w:rPr>
                <w:lang w:eastAsia="ar-SA"/>
              </w:rPr>
            </w:pPr>
            <w:r w:rsidRPr="001026E6">
              <w:rPr>
                <w:lang w:eastAsia="ar-SA"/>
              </w:rPr>
              <w:t>(e.g., tokens which can be redeemed for access to a specific product or service, typically provided using a DLT platform, do not exhibit the features and characteristics of a regulated investment / instrument under the FSMR).</w:t>
            </w:r>
          </w:p>
          <w:p w14:paraId="212BC62E" w14:textId="77777777" w:rsidR="00373CAE" w:rsidRPr="001026E6" w:rsidRDefault="00373CAE" w:rsidP="00373CAE">
            <w:pPr>
              <w:jc w:val="both"/>
              <w:rPr>
                <w:rFonts w:eastAsia="Times New Roman" w:cs="Times New Roman"/>
                <w:lang w:eastAsia="ar-SA"/>
              </w:rPr>
            </w:pPr>
          </w:p>
        </w:tc>
        <w:tc>
          <w:tcPr>
            <w:tcW w:w="6327" w:type="dxa"/>
            <w:shd w:val="clear" w:color="auto" w:fill="FFFFFF" w:themeFill="background1"/>
          </w:tcPr>
          <w:p w14:paraId="275E8417" w14:textId="77777777" w:rsidR="00373CAE" w:rsidRPr="001026E6" w:rsidRDefault="00373CAE" w:rsidP="00373CAE">
            <w:pPr>
              <w:jc w:val="both"/>
              <w:rPr>
                <w:lang w:eastAsia="ar-SA"/>
              </w:rPr>
            </w:pPr>
            <w:r w:rsidRPr="001026E6">
              <w:rPr>
                <w:lang w:eastAsia="ar-SA"/>
              </w:rPr>
              <w:t xml:space="preserve">Treated as commodities and, therefore, not deemed Specified Investments under the FSMR.  </w:t>
            </w:r>
          </w:p>
          <w:p w14:paraId="6FFE34BA" w14:textId="77777777" w:rsidR="00373CAE" w:rsidRPr="001026E6" w:rsidRDefault="00373CAE" w:rsidP="00373CAE">
            <w:pPr>
              <w:jc w:val="both"/>
              <w:rPr>
                <w:lang w:eastAsia="ar-SA"/>
              </w:rPr>
            </w:pPr>
          </w:p>
          <w:p w14:paraId="0639C3A0" w14:textId="6D89E146" w:rsidR="00373CAE" w:rsidRPr="001026E6" w:rsidRDefault="00373CAE" w:rsidP="00373CAE">
            <w:pPr>
              <w:jc w:val="both"/>
              <w:rPr>
                <w:lang w:eastAsia="ar-SA"/>
              </w:rPr>
            </w:pPr>
            <w:r w:rsidRPr="001026E6">
              <w:rPr>
                <w:lang w:eastAsia="ar-SA"/>
              </w:rPr>
              <w:t xml:space="preserve">Unless such Utility Tokens are caught as Accepted Virtual Assets, spot trading and transactions in Utility Tokens do not constitute Regulated Activities, activities envisaged under a Recognition Order (e.g., those of a Recognised Investment Exchange or Recognised Clearing House), or activities envisaged under MKT.  </w:t>
            </w:r>
          </w:p>
          <w:p w14:paraId="711294EF" w14:textId="77777777" w:rsidR="00373CAE" w:rsidRPr="001026E6" w:rsidRDefault="00373CAE" w:rsidP="00373CAE">
            <w:pPr>
              <w:jc w:val="both"/>
              <w:rPr>
                <w:lang w:eastAsia="ar-SA"/>
              </w:rPr>
            </w:pPr>
          </w:p>
          <w:p w14:paraId="70E87D6C" w14:textId="77777777" w:rsidR="00373CAE" w:rsidRPr="001026E6" w:rsidRDefault="00373CAE" w:rsidP="00373CAE">
            <w:pPr>
              <w:jc w:val="both"/>
              <w:rPr>
                <w:lang w:eastAsia="ar-SA"/>
              </w:rPr>
            </w:pPr>
          </w:p>
        </w:tc>
      </w:tr>
      <w:tr w:rsidR="00373CAE" w:rsidRPr="001026E6" w14:paraId="4F535456" w14:textId="77777777" w:rsidTr="00B906DB">
        <w:tc>
          <w:tcPr>
            <w:tcW w:w="2689" w:type="dxa"/>
            <w:shd w:val="clear" w:color="auto" w:fill="FFFFFF" w:themeFill="background1"/>
          </w:tcPr>
          <w:p w14:paraId="550C6EE3" w14:textId="77777777" w:rsidR="00373CAE" w:rsidRPr="001026E6" w:rsidRDefault="00373CAE" w:rsidP="00373CAE">
            <w:pPr>
              <w:jc w:val="both"/>
              <w:rPr>
                <w:lang w:eastAsia="ar-SA"/>
              </w:rPr>
            </w:pPr>
            <w:r w:rsidRPr="001026E6">
              <w:rPr>
                <w:lang w:eastAsia="ar-SA"/>
              </w:rPr>
              <w:t>“Fiat Tokens”</w:t>
            </w:r>
          </w:p>
          <w:p w14:paraId="5906CCBC" w14:textId="77777777" w:rsidR="00373CAE" w:rsidRPr="001026E6" w:rsidRDefault="00373CAE" w:rsidP="00373CAE">
            <w:pPr>
              <w:jc w:val="both"/>
              <w:rPr>
                <w:lang w:eastAsia="ar-SA"/>
              </w:rPr>
            </w:pPr>
          </w:p>
          <w:p w14:paraId="74E93311" w14:textId="5540E4F2" w:rsidR="00373CAE" w:rsidRPr="001026E6" w:rsidRDefault="00373CAE" w:rsidP="00373CAE">
            <w:pPr>
              <w:jc w:val="both"/>
              <w:rPr>
                <w:lang w:eastAsia="ar-SA"/>
              </w:rPr>
            </w:pPr>
            <w:r w:rsidRPr="001026E6">
              <w:rPr>
                <w:lang w:eastAsia="ar-SA"/>
              </w:rPr>
              <w:t>(e.g. stablecoins whose value are fully backed by underlying fiat currencies)</w:t>
            </w:r>
          </w:p>
        </w:tc>
        <w:tc>
          <w:tcPr>
            <w:tcW w:w="6327" w:type="dxa"/>
            <w:shd w:val="clear" w:color="auto" w:fill="FFFFFF" w:themeFill="background1"/>
          </w:tcPr>
          <w:p w14:paraId="31590D29" w14:textId="77777777" w:rsidR="00373CAE" w:rsidRPr="001026E6" w:rsidRDefault="00373CAE" w:rsidP="00373CAE">
            <w:pPr>
              <w:jc w:val="both"/>
              <w:rPr>
                <w:lang w:eastAsia="ar-SA"/>
              </w:rPr>
            </w:pPr>
            <w:r w:rsidRPr="001026E6">
              <w:rPr>
                <w:lang w:eastAsia="ar-SA"/>
              </w:rPr>
              <w:t>Treated as a form of digital representation of Fiat Currency.</w:t>
            </w:r>
          </w:p>
          <w:p w14:paraId="405AACA5" w14:textId="77777777" w:rsidR="00373CAE" w:rsidRPr="001026E6" w:rsidRDefault="00373CAE" w:rsidP="00373CAE">
            <w:pPr>
              <w:jc w:val="both"/>
              <w:rPr>
                <w:lang w:eastAsia="ar-SA"/>
              </w:rPr>
            </w:pPr>
          </w:p>
          <w:p w14:paraId="719E0C1B" w14:textId="39487DC7" w:rsidR="00373CAE" w:rsidRPr="001026E6" w:rsidRDefault="00373CAE" w:rsidP="00373CAE">
            <w:pPr>
              <w:jc w:val="both"/>
              <w:rPr>
                <w:lang w:eastAsia="ar-SA"/>
              </w:rPr>
            </w:pPr>
            <w:r w:rsidRPr="001026E6">
              <w:rPr>
                <w:lang w:eastAsia="ar-SA"/>
              </w:rPr>
              <w:t>Where used as a payment instrument for the purposes of Money Transmission as defined under the FSMR, the activity will be licensed and regulated as Providing Money Services.</w:t>
            </w:r>
          </w:p>
          <w:p w14:paraId="574363AA" w14:textId="77777777" w:rsidR="00373CAE" w:rsidRPr="001026E6" w:rsidRDefault="00373CAE" w:rsidP="00373CAE">
            <w:pPr>
              <w:jc w:val="both"/>
              <w:rPr>
                <w:lang w:eastAsia="ar-SA"/>
              </w:rPr>
            </w:pPr>
          </w:p>
        </w:tc>
      </w:tr>
    </w:tbl>
    <w:p w14:paraId="4AD75071" w14:textId="77777777" w:rsidR="00760249" w:rsidRPr="001026E6" w:rsidRDefault="00760249" w:rsidP="008C4C78">
      <w:pPr>
        <w:pStyle w:val="ListParagraph"/>
        <w:ind w:left="0"/>
        <w:rPr>
          <w:rFonts w:cs="Helvetica"/>
          <w:sz w:val="24"/>
          <w:szCs w:val="24"/>
        </w:rPr>
      </w:pPr>
    </w:p>
    <w:p w14:paraId="4135D9CA" w14:textId="77777777" w:rsidR="00BE0381" w:rsidRPr="001026E6" w:rsidRDefault="009B70C9" w:rsidP="009B70C9">
      <w:pPr>
        <w:pStyle w:val="Heading1"/>
        <w:keepLines w:val="0"/>
        <w:spacing w:before="0" w:after="240" w:line="246" w:lineRule="atLeast"/>
        <w:jc w:val="both"/>
        <w:rPr>
          <w:rFonts w:cs="Helvetica"/>
          <w:sz w:val="24"/>
          <w:szCs w:val="24"/>
        </w:rPr>
      </w:pPr>
      <w:bookmarkStart w:id="13" w:name="_Toc512695600"/>
      <w:bookmarkStart w:id="14" w:name="_Toc514588769"/>
      <w:bookmarkStart w:id="15" w:name="_Toc517602839"/>
      <w:bookmarkStart w:id="16" w:name="_Toc18571318"/>
      <w:bookmarkStart w:id="17" w:name="_Toc33443069"/>
      <w:bookmarkStart w:id="18" w:name="_Toc511714336"/>
      <w:r w:rsidRPr="001026E6">
        <w:rPr>
          <w:rFonts w:asciiTheme="minorHAnsi" w:hAnsiTheme="minorHAnsi"/>
          <w:sz w:val="24"/>
          <w:szCs w:val="24"/>
        </w:rPr>
        <w:lastRenderedPageBreak/>
        <w:t>REGULATORY TREATMENT OF DIGITAL SECURITIES</w:t>
      </w:r>
      <w:bookmarkEnd w:id="13"/>
      <w:bookmarkEnd w:id="14"/>
      <w:bookmarkEnd w:id="15"/>
      <w:bookmarkEnd w:id="16"/>
      <w:bookmarkEnd w:id="17"/>
      <w:r w:rsidR="00BE0381" w:rsidRPr="001026E6">
        <w:rPr>
          <w:rFonts w:asciiTheme="minorHAnsi" w:hAnsiTheme="minorHAnsi"/>
          <w:sz w:val="24"/>
          <w:szCs w:val="24"/>
        </w:rPr>
        <w:t xml:space="preserve"> </w:t>
      </w:r>
      <w:bookmarkEnd w:id="18"/>
    </w:p>
    <w:p w14:paraId="49F0F2F3" w14:textId="77777777" w:rsidR="00690472" w:rsidRPr="001026E6" w:rsidRDefault="009B70C9" w:rsidP="003A7C9C">
      <w:pPr>
        <w:pStyle w:val="ListParagraph"/>
        <w:numPr>
          <w:ilvl w:val="0"/>
          <w:numId w:val="1"/>
        </w:numPr>
        <w:ind w:left="426"/>
        <w:jc w:val="both"/>
        <w:rPr>
          <w:rFonts w:cs="Helvetica"/>
          <w:sz w:val="24"/>
          <w:szCs w:val="24"/>
        </w:rPr>
      </w:pPr>
      <w:r w:rsidRPr="001026E6">
        <w:rPr>
          <w:rFonts w:cstheme="minorHAnsi"/>
          <w:sz w:val="24"/>
          <w:lang w:val="en-US"/>
        </w:rPr>
        <w:t xml:space="preserve">As set out in the ICO Guidance, </w:t>
      </w:r>
      <w:r w:rsidR="00643B94" w:rsidRPr="001026E6">
        <w:rPr>
          <w:rFonts w:cstheme="minorHAnsi"/>
          <w:sz w:val="24"/>
          <w:lang w:val="en-US"/>
        </w:rPr>
        <w:t xml:space="preserve">the </w:t>
      </w:r>
      <w:r w:rsidRPr="001026E6">
        <w:rPr>
          <w:rFonts w:cstheme="minorHAnsi"/>
          <w:sz w:val="24"/>
          <w:lang w:val="en-US"/>
        </w:rPr>
        <w:t>FSRA</w:t>
      </w:r>
      <w:r w:rsidR="00643B94" w:rsidRPr="001026E6">
        <w:rPr>
          <w:rFonts w:cstheme="minorHAnsi"/>
          <w:sz w:val="24"/>
          <w:lang w:val="en-US"/>
        </w:rPr>
        <w:t>’s</w:t>
      </w:r>
      <w:r w:rsidRPr="001026E6">
        <w:rPr>
          <w:rFonts w:cstheme="minorHAnsi"/>
          <w:sz w:val="24"/>
          <w:lang w:val="en-US"/>
        </w:rPr>
        <w:t xml:space="preserve"> assessment of whether a</w:t>
      </w:r>
      <w:r w:rsidR="00C429E9" w:rsidRPr="001026E6">
        <w:rPr>
          <w:rFonts w:cstheme="minorHAnsi"/>
          <w:sz w:val="24"/>
          <w:lang w:val="en-US"/>
        </w:rPr>
        <w:t>n offering of a</w:t>
      </w:r>
      <w:r w:rsidRPr="001026E6">
        <w:rPr>
          <w:rFonts w:cstheme="minorHAnsi"/>
          <w:sz w:val="24"/>
          <w:lang w:val="en-US"/>
        </w:rPr>
        <w:t xml:space="preserve"> </w:t>
      </w:r>
      <w:r w:rsidR="00C429E9" w:rsidRPr="001026E6">
        <w:rPr>
          <w:rFonts w:cstheme="minorHAnsi"/>
          <w:sz w:val="24"/>
          <w:lang w:val="en-US"/>
        </w:rPr>
        <w:t>digital/virtual token</w:t>
      </w:r>
      <w:r w:rsidR="00C429E9" w:rsidRPr="001026E6">
        <w:rPr>
          <w:lang w:eastAsia="ar-SA"/>
        </w:rPr>
        <w:t xml:space="preserve"> </w:t>
      </w:r>
      <w:r w:rsidRPr="001026E6">
        <w:rPr>
          <w:rFonts w:cstheme="minorHAnsi"/>
          <w:sz w:val="24"/>
          <w:lang w:val="en-US"/>
        </w:rPr>
        <w:t>is regulated under FSMR is conducted on a case-by-case basis</w:t>
      </w:r>
      <w:r w:rsidR="009F742B" w:rsidRPr="001026E6">
        <w:rPr>
          <w:rFonts w:cstheme="minorHAnsi"/>
          <w:sz w:val="24"/>
          <w:lang w:val="en-US"/>
        </w:rPr>
        <w:t xml:space="preserve"> (in keeping with FSRA’s treatment of ‘conventional’ Securities)</w:t>
      </w:r>
      <w:r w:rsidRPr="001026E6">
        <w:rPr>
          <w:rFonts w:cstheme="minorHAnsi"/>
          <w:sz w:val="24"/>
          <w:lang w:val="en-US"/>
        </w:rPr>
        <w:t xml:space="preserve">.  </w:t>
      </w:r>
      <w:r w:rsidR="00330CAC" w:rsidRPr="001026E6">
        <w:rPr>
          <w:rFonts w:cstheme="minorHAnsi"/>
          <w:sz w:val="24"/>
          <w:lang w:val="en-US"/>
        </w:rPr>
        <w:t>I</w:t>
      </w:r>
      <w:r w:rsidRPr="001026E6">
        <w:rPr>
          <w:rFonts w:cstheme="minorHAnsi"/>
          <w:sz w:val="24"/>
          <w:lang w:val="en-US"/>
        </w:rPr>
        <w:t>f</w:t>
      </w:r>
      <w:r w:rsidR="00F74D56" w:rsidRPr="001026E6">
        <w:rPr>
          <w:rFonts w:cstheme="minorHAnsi"/>
          <w:sz w:val="24"/>
          <w:lang w:val="en-US"/>
        </w:rPr>
        <w:t xml:space="preserve"> </w:t>
      </w:r>
      <w:r w:rsidRPr="001026E6">
        <w:rPr>
          <w:rFonts w:cstheme="minorHAnsi"/>
          <w:sz w:val="24"/>
          <w:lang w:val="en-US"/>
        </w:rPr>
        <w:t xml:space="preserve">a </w:t>
      </w:r>
      <w:r w:rsidR="00C429E9" w:rsidRPr="001026E6">
        <w:rPr>
          <w:rFonts w:cstheme="minorHAnsi"/>
          <w:sz w:val="24"/>
          <w:lang w:val="en-US"/>
        </w:rPr>
        <w:t xml:space="preserve">digital/virtual token </w:t>
      </w:r>
      <w:r w:rsidRPr="001026E6">
        <w:rPr>
          <w:rFonts w:cstheme="minorHAnsi"/>
          <w:sz w:val="24"/>
          <w:lang w:val="en-US"/>
        </w:rPr>
        <w:t xml:space="preserve">being offered is assessed to exhibit the </w:t>
      </w:r>
      <w:r w:rsidR="00A34C6A" w:rsidRPr="001026E6">
        <w:rPr>
          <w:rFonts w:cstheme="minorHAnsi"/>
          <w:sz w:val="24"/>
          <w:lang w:val="en-US"/>
        </w:rPr>
        <w:t xml:space="preserve">(economic and legal) </w:t>
      </w:r>
      <w:r w:rsidRPr="001026E6">
        <w:rPr>
          <w:rFonts w:cstheme="minorHAnsi"/>
          <w:sz w:val="24"/>
          <w:lang w:val="en-US"/>
        </w:rPr>
        <w:t xml:space="preserve">features and characteristics of a Security, the FSRA </w:t>
      </w:r>
      <w:r w:rsidR="00FA2353" w:rsidRPr="001026E6">
        <w:rPr>
          <w:rFonts w:cstheme="minorHAnsi"/>
          <w:sz w:val="24"/>
          <w:lang w:val="en-US"/>
        </w:rPr>
        <w:t>will</w:t>
      </w:r>
      <w:r w:rsidRPr="001026E6">
        <w:rPr>
          <w:rFonts w:cstheme="minorHAnsi"/>
          <w:sz w:val="24"/>
          <w:lang w:val="en-US"/>
        </w:rPr>
        <w:t xml:space="preserve"> deem the </w:t>
      </w:r>
      <w:r w:rsidR="00C429E9" w:rsidRPr="001026E6">
        <w:rPr>
          <w:rFonts w:cstheme="minorHAnsi"/>
          <w:sz w:val="24"/>
          <w:lang w:val="en-US"/>
        </w:rPr>
        <w:t xml:space="preserve">digital/virtual token </w:t>
      </w:r>
      <w:r w:rsidR="003A7C9C" w:rsidRPr="001026E6">
        <w:rPr>
          <w:rFonts w:cstheme="minorHAnsi"/>
          <w:sz w:val="24"/>
          <w:lang w:val="en-US"/>
        </w:rPr>
        <w:t xml:space="preserve">(being </w:t>
      </w:r>
      <w:r w:rsidR="003D2710" w:rsidRPr="001026E6">
        <w:rPr>
          <w:rFonts w:cstheme="minorHAnsi"/>
          <w:sz w:val="24"/>
          <w:lang w:val="en-US"/>
        </w:rPr>
        <w:t xml:space="preserve">a </w:t>
      </w:r>
      <w:r w:rsidR="003A7C9C" w:rsidRPr="001026E6">
        <w:rPr>
          <w:rFonts w:cstheme="minorHAnsi"/>
          <w:sz w:val="24"/>
          <w:lang w:val="en-US"/>
        </w:rPr>
        <w:t xml:space="preserve">“Digital Security”) </w:t>
      </w:r>
      <w:r w:rsidRPr="001026E6">
        <w:rPr>
          <w:rFonts w:cstheme="minorHAnsi"/>
          <w:sz w:val="24"/>
          <w:lang w:val="en-US"/>
        </w:rPr>
        <w:t>as a Security pursuant to Section 58(2)(b)</w:t>
      </w:r>
      <w:r w:rsidR="00FA2353" w:rsidRPr="001026E6">
        <w:rPr>
          <w:rStyle w:val="FootnoteReference"/>
          <w:rFonts w:cstheme="minorHAnsi"/>
          <w:sz w:val="24"/>
          <w:lang w:val="en-US"/>
        </w:rPr>
        <w:footnoteReference w:id="7"/>
      </w:r>
      <w:r w:rsidRPr="001026E6">
        <w:rPr>
          <w:rFonts w:cstheme="minorHAnsi"/>
          <w:sz w:val="24"/>
          <w:lang w:val="en-US"/>
        </w:rPr>
        <w:t xml:space="preserve"> of FSMR</w:t>
      </w:r>
      <w:r w:rsidR="00FA2353" w:rsidRPr="001026E6">
        <w:rPr>
          <w:rFonts w:cstheme="minorHAnsi"/>
          <w:sz w:val="24"/>
          <w:lang w:val="en-US"/>
        </w:rPr>
        <w:t>.</w:t>
      </w:r>
      <w:r w:rsidR="003A4778" w:rsidRPr="001026E6">
        <w:rPr>
          <w:rFonts w:cstheme="minorHAnsi"/>
          <w:sz w:val="24"/>
          <w:lang w:val="en-US"/>
        </w:rPr>
        <w:t xml:space="preserve">  </w:t>
      </w:r>
      <w:r w:rsidR="003A4778" w:rsidRPr="001026E6">
        <w:rPr>
          <w:rFonts w:cs="Helvetica"/>
          <w:sz w:val="24"/>
          <w:szCs w:val="24"/>
        </w:rPr>
        <w:t>This approach has been taken by the FSRA to ensure the protection of investors, noting that while a Digital Security may have the characteristics of a Security, this position is not always clear and accordingly requires review by the FSRA.</w:t>
      </w:r>
      <w:r w:rsidRPr="001026E6">
        <w:rPr>
          <w:rFonts w:cstheme="minorHAnsi"/>
          <w:sz w:val="24"/>
          <w:lang w:val="en-US"/>
        </w:rPr>
        <w:t xml:space="preserve">  </w:t>
      </w:r>
      <w:r w:rsidR="00A63745" w:rsidRPr="001026E6">
        <w:rPr>
          <w:rFonts w:cstheme="minorHAnsi"/>
          <w:sz w:val="24"/>
          <w:lang w:val="en-US"/>
        </w:rPr>
        <w:t xml:space="preserve"> </w:t>
      </w:r>
    </w:p>
    <w:p w14:paraId="3BA52294" w14:textId="77777777" w:rsidR="00690472" w:rsidRPr="001026E6" w:rsidRDefault="00690472" w:rsidP="00044CAA">
      <w:pPr>
        <w:pStyle w:val="ListParagraph"/>
        <w:ind w:left="426"/>
        <w:jc w:val="both"/>
        <w:rPr>
          <w:rFonts w:cs="Helvetica"/>
          <w:sz w:val="24"/>
          <w:szCs w:val="24"/>
        </w:rPr>
      </w:pPr>
    </w:p>
    <w:p w14:paraId="492C5A7C" w14:textId="77777777" w:rsidR="00B93E8F" w:rsidRPr="001026E6" w:rsidRDefault="00F74D56" w:rsidP="003A7C9C">
      <w:pPr>
        <w:pStyle w:val="ListParagraph"/>
        <w:numPr>
          <w:ilvl w:val="0"/>
          <w:numId w:val="1"/>
        </w:numPr>
        <w:ind w:left="426"/>
        <w:jc w:val="both"/>
        <w:rPr>
          <w:rFonts w:cs="Helvetica"/>
          <w:sz w:val="24"/>
          <w:szCs w:val="24"/>
        </w:rPr>
      </w:pPr>
      <w:r w:rsidRPr="001026E6">
        <w:rPr>
          <w:rFonts w:cstheme="minorHAnsi"/>
          <w:sz w:val="24"/>
          <w:lang w:val="en-US"/>
        </w:rPr>
        <w:t xml:space="preserve">To use its powers under Section 58(2)(b), the FSRA expects that an </w:t>
      </w:r>
      <w:r w:rsidR="00A34C6A" w:rsidRPr="001026E6">
        <w:rPr>
          <w:rFonts w:cstheme="minorHAnsi"/>
          <w:sz w:val="24"/>
          <w:lang w:val="en-US"/>
        </w:rPr>
        <w:t>Issuer</w:t>
      </w:r>
      <w:r w:rsidRPr="001026E6">
        <w:rPr>
          <w:rFonts w:cstheme="minorHAnsi"/>
          <w:sz w:val="24"/>
          <w:lang w:val="en-US"/>
        </w:rPr>
        <w:t xml:space="preserve"> will provide </w:t>
      </w:r>
      <w:r w:rsidR="009F742B" w:rsidRPr="001026E6">
        <w:rPr>
          <w:rFonts w:cstheme="minorHAnsi"/>
          <w:sz w:val="24"/>
          <w:lang w:val="en-US"/>
        </w:rPr>
        <w:t xml:space="preserve">to it </w:t>
      </w:r>
      <w:r w:rsidRPr="001026E6">
        <w:rPr>
          <w:rFonts w:cstheme="minorHAnsi"/>
          <w:sz w:val="24"/>
          <w:lang w:val="en-US"/>
        </w:rPr>
        <w:t xml:space="preserve">such information </w:t>
      </w:r>
      <w:r w:rsidR="00857058" w:rsidRPr="001026E6">
        <w:rPr>
          <w:rFonts w:cstheme="minorHAnsi"/>
          <w:sz w:val="24"/>
          <w:lang w:val="en-US"/>
        </w:rPr>
        <w:t xml:space="preserve">as is </w:t>
      </w:r>
      <w:r w:rsidRPr="001026E6">
        <w:rPr>
          <w:rFonts w:cstheme="minorHAnsi"/>
          <w:sz w:val="24"/>
          <w:lang w:val="en-US"/>
        </w:rPr>
        <w:t xml:space="preserve">required to demonstrate that the </w:t>
      </w:r>
      <w:r w:rsidR="003A7C9C" w:rsidRPr="001026E6">
        <w:rPr>
          <w:rFonts w:cstheme="minorHAnsi"/>
          <w:sz w:val="24"/>
          <w:lang w:val="en-US"/>
        </w:rPr>
        <w:t>proposed Digital Security</w:t>
      </w:r>
      <w:r w:rsidR="00C429E9" w:rsidRPr="001026E6">
        <w:rPr>
          <w:lang w:eastAsia="ar-SA"/>
        </w:rPr>
        <w:t xml:space="preserve"> </w:t>
      </w:r>
      <w:r w:rsidRPr="001026E6">
        <w:rPr>
          <w:rFonts w:cstheme="minorHAnsi"/>
          <w:sz w:val="24"/>
          <w:lang w:val="en-US"/>
        </w:rPr>
        <w:t>meet</w:t>
      </w:r>
      <w:r w:rsidR="003A7C9C" w:rsidRPr="001026E6">
        <w:rPr>
          <w:rFonts w:cstheme="minorHAnsi"/>
          <w:sz w:val="24"/>
          <w:lang w:val="en-US"/>
        </w:rPr>
        <w:t>s</w:t>
      </w:r>
      <w:r w:rsidRPr="001026E6">
        <w:rPr>
          <w:rFonts w:cstheme="minorHAnsi"/>
          <w:sz w:val="24"/>
          <w:lang w:val="en-US"/>
        </w:rPr>
        <w:t xml:space="preserve"> the requirements of a “Security” </w:t>
      </w:r>
      <w:r w:rsidR="009F742B" w:rsidRPr="001026E6">
        <w:rPr>
          <w:rFonts w:cstheme="minorHAnsi"/>
          <w:sz w:val="24"/>
          <w:lang w:val="en-US"/>
        </w:rPr>
        <w:t>(</w:t>
      </w:r>
      <w:r w:rsidRPr="001026E6">
        <w:rPr>
          <w:rFonts w:cstheme="minorHAnsi"/>
          <w:sz w:val="24"/>
          <w:lang w:val="en-US"/>
        </w:rPr>
        <w:t>as defined in FSMR</w:t>
      </w:r>
      <w:r w:rsidR="009F742B" w:rsidRPr="001026E6">
        <w:rPr>
          <w:rFonts w:cstheme="minorHAnsi"/>
          <w:sz w:val="24"/>
          <w:lang w:val="en-US"/>
        </w:rPr>
        <w:t>)</w:t>
      </w:r>
      <w:r w:rsidRPr="001026E6">
        <w:rPr>
          <w:rFonts w:cstheme="minorHAnsi"/>
          <w:sz w:val="24"/>
          <w:lang w:val="en-US"/>
        </w:rPr>
        <w:t xml:space="preserve">. </w:t>
      </w:r>
      <w:r w:rsidR="00690472" w:rsidRPr="001026E6">
        <w:rPr>
          <w:rFonts w:cstheme="minorHAnsi"/>
          <w:sz w:val="24"/>
          <w:lang w:val="en-US"/>
        </w:rPr>
        <w:t>In circumstances</w:t>
      </w:r>
      <w:r w:rsidR="00B93E8F" w:rsidRPr="001026E6">
        <w:rPr>
          <w:rFonts w:cstheme="minorHAnsi"/>
          <w:sz w:val="24"/>
          <w:lang w:val="en-US"/>
        </w:rPr>
        <w:t>:</w:t>
      </w:r>
    </w:p>
    <w:p w14:paraId="45983544" w14:textId="77777777" w:rsidR="00B93E8F" w:rsidRPr="001026E6" w:rsidRDefault="00B93E8F" w:rsidP="00712F59">
      <w:pPr>
        <w:pStyle w:val="ListParagraph"/>
        <w:rPr>
          <w:rFonts w:cstheme="minorHAnsi"/>
          <w:sz w:val="24"/>
          <w:lang w:val="en-US"/>
        </w:rPr>
      </w:pPr>
    </w:p>
    <w:p w14:paraId="7B4052F5" w14:textId="77777777" w:rsidR="00D331DD" w:rsidRPr="001026E6" w:rsidRDefault="00690472" w:rsidP="00D331DD">
      <w:pPr>
        <w:pStyle w:val="ListParagraph"/>
        <w:numPr>
          <w:ilvl w:val="1"/>
          <w:numId w:val="1"/>
        </w:numPr>
        <w:ind w:left="993" w:hanging="567"/>
        <w:jc w:val="both"/>
        <w:rPr>
          <w:rFonts w:cs="Helvetica"/>
          <w:sz w:val="24"/>
          <w:szCs w:val="24"/>
        </w:rPr>
      </w:pPr>
      <w:r w:rsidRPr="001026E6">
        <w:rPr>
          <w:rFonts w:cstheme="minorHAnsi"/>
          <w:sz w:val="24"/>
          <w:lang w:val="en-US"/>
        </w:rPr>
        <w:t xml:space="preserve">requiring the submission of an Approved Prospectus to the FSRA, the FSRA will use the documentation submitted as part of </w:t>
      </w:r>
      <w:r w:rsidR="00C429E9" w:rsidRPr="001026E6">
        <w:rPr>
          <w:rFonts w:cstheme="minorHAnsi"/>
          <w:sz w:val="24"/>
          <w:lang w:val="en-US"/>
        </w:rPr>
        <w:t xml:space="preserve">this </w:t>
      </w:r>
      <w:r w:rsidRPr="001026E6">
        <w:rPr>
          <w:rFonts w:cstheme="minorHAnsi"/>
          <w:sz w:val="24"/>
          <w:lang w:val="en-US"/>
        </w:rPr>
        <w:t xml:space="preserve">approval process to </w:t>
      </w:r>
      <w:r w:rsidR="00C429E9" w:rsidRPr="001026E6">
        <w:rPr>
          <w:rFonts w:cstheme="minorHAnsi"/>
          <w:sz w:val="24"/>
          <w:lang w:val="en-US"/>
        </w:rPr>
        <w:t xml:space="preserve">determine whether it will </w:t>
      </w:r>
      <w:r w:rsidRPr="001026E6">
        <w:rPr>
          <w:rFonts w:cstheme="minorHAnsi"/>
          <w:sz w:val="24"/>
          <w:lang w:val="en-US"/>
        </w:rPr>
        <w:t xml:space="preserve">deem </w:t>
      </w:r>
      <w:r w:rsidR="0066684B" w:rsidRPr="001026E6">
        <w:rPr>
          <w:rFonts w:cstheme="minorHAnsi"/>
          <w:sz w:val="24"/>
          <w:lang w:val="en-US"/>
        </w:rPr>
        <w:t>a Digital Security a Security under Section 58(2)(b)</w:t>
      </w:r>
      <w:r w:rsidR="009F742B" w:rsidRPr="001026E6">
        <w:rPr>
          <w:rFonts w:cstheme="minorHAnsi"/>
          <w:sz w:val="24"/>
          <w:lang w:val="en-US"/>
        </w:rPr>
        <w:t xml:space="preserve"> of FSMR</w:t>
      </w:r>
      <w:r w:rsidR="00D331DD" w:rsidRPr="001026E6">
        <w:rPr>
          <w:rFonts w:cstheme="minorHAnsi"/>
          <w:sz w:val="24"/>
          <w:lang w:val="en-US"/>
        </w:rPr>
        <w:t xml:space="preserve">; or </w:t>
      </w:r>
    </w:p>
    <w:p w14:paraId="6DBB785D" w14:textId="77777777" w:rsidR="00B93E8F" w:rsidRPr="001026E6" w:rsidRDefault="0066684B" w:rsidP="00D331DD">
      <w:pPr>
        <w:pStyle w:val="ListParagraph"/>
        <w:ind w:left="993"/>
        <w:jc w:val="both"/>
        <w:rPr>
          <w:rFonts w:cs="Helvetica"/>
          <w:sz w:val="24"/>
          <w:szCs w:val="24"/>
        </w:rPr>
      </w:pPr>
      <w:r w:rsidRPr="001026E6">
        <w:rPr>
          <w:rFonts w:cstheme="minorHAnsi"/>
          <w:sz w:val="24"/>
          <w:lang w:val="en-US"/>
        </w:rPr>
        <w:t xml:space="preserve">  </w:t>
      </w:r>
    </w:p>
    <w:p w14:paraId="4C056F43" w14:textId="77777777" w:rsidR="00C429E9" w:rsidRPr="001026E6" w:rsidRDefault="00C429E9" w:rsidP="003D2710">
      <w:pPr>
        <w:pStyle w:val="ListParagraph"/>
        <w:numPr>
          <w:ilvl w:val="1"/>
          <w:numId w:val="1"/>
        </w:numPr>
        <w:ind w:left="993" w:hanging="567"/>
        <w:jc w:val="both"/>
        <w:rPr>
          <w:rFonts w:cstheme="minorHAnsi"/>
          <w:sz w:val="24"/>
          <w:lang w:val="en-US"/>
        </w:rPr>
      </w:pPr>
      <w:r w:rsidRPr="001026E6">
        <w:rPr>
          <w:rFonts w:cstheme="minorHAnsi"/>
          <w:sz w:val="24"/>
          <w:lang w:val="en-US"/>
        </w:rPr>
        <w:t xml:space="preserve">relating to an </w:t>
      </w:r>
      <w:r w:rsidR="0066684B" w:rsidRPr="001026E6">
        <w:rPr>
          <w:rFonts w:cstheme="minorHAnsi"/>
          <w:sz w:val="24"/>
          <w:lang w:val="en-US"/>
        </w:rPr>
        <w:t xml:space="preserve">Exempt Offer, the FSRA </w:t>
      </w:r>
      <w:r w:rsidRPr="001026E6">
        <w:rPr>
          <w:rFonts w:cstheme="minorHAnsi"/>
          <w:sz w:val="24"/>
          <w:lang w:val="en-US"/>
        </w:rPr>
        <w:t xml:space="preserve">will </w:t>
      </w:r>
      <w:r w:rsidR="0066684B" w:rsidRPr="001026E6">
        <w:rPr>
          <w:rFonts w:cstheme="minorHAnsi"/>
          <w:sz w:val="24"/>
          <w:lang w:val="en-US"/>
        </w:rPr>
        <w:t xml:space="preserve">review the Exempt Offer documentation for the purposes of being able to make a determination under </w:t>
      </w:r>
      <w:r w:rsidR="0066684B" w:rsidRPr="001026E6">
        <w:rPr>
          <w:rFonts w:cstheme="minorHAnsi"/>
          <w:sz w:val="24"/>
          <w:lang w:val="en-US"/>
        </w:rPr>
        <w:lastRenderedPageBreak/>
        <w:t>Section 58(2)(b)</w:t>
      </w:r>
      <w:r w:rsidR="003A7C9C" w:rsidRPr="001026E6">
        <w:rPr>
          <w:rFonts w:cstheme="minorHAnsi"/>
          <w:sz w:val="24"/>
          <w:lang w:val="en-US"/>
        </w:rPr>
        <w:t>.  The FSRA</w:t>
      </w:r>
      <w:r w:rsidR="003D2710" w:rsidRPr="001026E6">
        <w:rPr>
          <w:rFonts w:cstheme="minorHAnsi"/>
          <w:sz w:val="24"/>
          <w:lang w:val="en-US"/>
        </w:rPr>
        <w:t>’s r</w:t>
      </w:r>
      <w:r w:rsidR="003A7C9C" w:rsidRPr="001026E6">
        <w:rPr>
          <w:rFonts w:cstheme="minorHAnsi"/>
          <w:sz w:val="24"/>
          <w:lang w:val="en-US"/>
        </w:rPr>
        <w:t>eview will not be for</w:t>
      </w:r>
      <w:r w:rsidR="00FB5D1E" w:rsidRPr="001026E6">
        <w:rPr>
          <w:rFonts w:cstheme="minorHAnsi"/>
          <w:sz w:val="24"/>
          <w:lang w:val="en-US"/>
        </w:rPr>
        <w:t xml:space="preserve"> the purposes of approving the </w:t>
      </w:r>
      <w:r w:rsidR="009F742B" w:rsidRPr="001026E6">
        <w:rPr>
          <w:rFonts w:cstheme="minorHAnsi"/>
          <w:sz w:val="24"/>
          <w:lang w:val="en-US"/>
        </w:rPr>
        <w:t>Exempt Offer itself</w:t>
      </w:r>
      <w:r w:rsidR="0066684B" w:rsidRPr="001026E6">
        <w:rPr>
          <w:rFonts w:cstheme="minorHAnsi"/>
          <w:sz w:val="24"/>
          <w:lang w:val="en-US"/>
        </w:rPr>
        <w:t xml:space="preserve">. </w:t>
      </w:r>
      <w:r w:rsidRPr="001026E6">
        <w:rPr>
          <w:rFonts w:cstheme="minorHAnsi"/>
          <w:sz w:val="24"/>
          <w:lang w:val="en-US"/>
        </w:rPr>
        <w:t xml:space="preserve"> </w:t>
      </w:r>
    </w:p>
    <w:p w14:paraId="078A3157" w14:textId="77777777" w:rsidR="00C429E9" w:rsidRPr="001026E6" w:rsidRDefault="00C429E9" w:rsidP="00712F59">
      <w:pPr>
        <w:pStyle w:val="ListParagraph"/>
        <w:rPr>
          <w:rFonts w:cstheme="minorHAnsi"/>
          <w:sz w:val="24"/>
          <w:lang w:val="en-US"/>
        </w:rPr>
      </w:pPr>
    </w:p>
    <w:p w14:paraId="5B937B78" w14:textId="77777777" w:rsidR="00A34C6A" w:rsidRPr="001026E6" w:rsidRDefault="0066684B" w:rsidP="00D01AE8">
      <w:pPr>
        <w:pStyle w:val="ListParagraph"/>
        <w:numPr>
          <w:ilvl w:val="0"/>
          <w:numId w:val="1"/>
        </w:numPr>
        <w:ind w:left="426"/>
        <w:jc w:val="both"/>
        <w:rPr>
          <w:rFonts w:cs="Helvetica"/>
          <w:sz w:val="24"/>
          <w:szCs w:val="24"/>
        </w:rPr>
      </w:pPr>
      <w:r w:rsidRPr="001026E6">
        <w:rPr>
          <w:rFonts w:cstheme="minorHAnsi"/>
          <w:sz w:val="24"/>
          <w:lang w:val="en-US"/>
        </w:rPr>
        <w:t>In either scenario, the FSRA may also request further supporting documents from an Issuer (</w:t>
      </w:r>
      <w:r w:rsidR="009F742B" w:rsidRPr="001026E6">
        <w:rPr>
          <w:rFonts w:cstheme="minorHAnsi"/>
          <w:sz w:val="24"/>
          <w:lang w:val="en-US"/>
        </w:rPr>
        <w:t>e.g.,</w:t>
      </w:r>
      <w:r w:rsidRPr="001026E6">
        <w:rPr>
          <w:rFonts w:cstheme="minorHAnsi"/>
          <w:sz w:val="24"/>
          <w:lang w:val="en-US"/>
        </w:rPr>
        <w:t xml:space="preserve"> </w:t>
      </w:r>
      <w:r w:rsidR="009F742B" w:rsidRPr="001026E6">
        <w:rPr>
          <w:rFonts w:cstheme="minorHAnsi"/>
          <w:sz w:val="24"/>
          <w:lang w:val="en-US"/>
        </w:rPr>
        <w:t xml:space="preserve">constitutional documents, </w:t>
      </w:r>
      <w:r w:rsidRPr="001026E6">
        <w:rPr>
          <w:rFonts w:cstheme="minorHAnsi"/>
          <w:sz w:val="24"/>
          <w:lang w:val="en-US"/>
        </w:rPr>
        <w:t>relevant legal opinions).</w:t>
      </w:r>
    </w:p>
    <w:p w14:paraId="43F49285" w14:textId="77777777" w:rsidR="00A34C6A" w:rsidRPr="001026E6" w:rsidRDefault="00A34C6A" w:rsidP="00044CAA">
      <w:pPr>
        <w:jc w:val="both"/>
        <w:rPr>
          <w:rFonts w:cs="Helvetica"/>
          <w:sz w:val="24"/>
          <w:szCs w:val="24"/>
        </w:rPr>
      </w:pPr>
    </w:p>
    <w:p w14:paraId="18A5CFAF" w14:textId="77777777" w:rsidR="00FA2353" w:rsidRPr="001026E6" w:rsidRDefault="00FA2353" w:rsidP="003D2710">
      <w:pPr>
        <w:pStyle w:val="ListParagraph"/>
        <w:numPr>
          <w:ilvl w:val="0"/>
          <w:numId w:val="1"/>
        </w:numPr>
        <w:ind w:left="426"/>
        <w:jc w:val="both"/>
        <w:rPr>
          <w:rFonts w:cs="Helvetica"/>
          <w:sz w:val="24"/>
          <w:szCs w:val="24"/>
        </w:rPr>
      </w:pPr>
      <w:r w:rsidRPr="001026E6">
        <w:rPr>
          <w:rFonts w:cstheme="minorHAnsi"/>
          <w:sz w:val="24"/>
          <w:lang w:val="en-US"/>
        </w:rPr>
        <w:t xml:space="preserve">For regulatory purposes, </w:t>
      </w:r>
      <w:r w:rsidR="003A7C9C" w:rsidRPr="001026E6">
        <w:rPr>
          <w:rFonts w:cstheme="minorHAnsi"/>
          <w:sz w:val="24"/>
          <w:lang w:val="en-US"/>
        </w:rPr>
        <w:t>Offers</w:t>
      </w:r>
      <w:r w:rsidRPr="001026E6">
        <w:rPr>
          <w:rFonts w:cstheme="minorHAnsi"/>
          <w:sz w:val="24"/>
          <w:lang w:val="en-US"/>
        </w:rPr>
        <w:t xml:space="preserve"> of Securities (as defined in Section 258 of FSMR), whether through a DLT platform</w:t>
      </w:r>
      <w:r w:rsidR="00262642" w:rsidRPr="001026E6">
        <w:rPr>
          <w:rFonts w:cstheme="minorHAnsi"/>
          <w:sz w:val="24"/>
          <w:lang w:val="en-US"/>
        </w:rPr>
        <w:t>, digital platform</w:t>
      </w:r>
      <w:r w:rsidRPr="001026E6">
        <w:rPr>
          <w:rFonts w:cstheme="minorHAnsi"/>
          <w:sz w:val="24"/>
          <w:lang w:val="en-US"/>
        </w:rPr>
        <w:t xml:space="preserve"> or other means, will </w:t>
      </w:r>
      <w:r w:rsidR="00262642" w:rsidRPr="001026E6">
        <w:rPr>
          <w:rFonts w:cstheme="minorHAnsi"/>
          <w:sz w:val="24"/>
          <w:lang w:val="en-US"/>
        </w:rPr>
        <w:t xml:space="preserve">be subject to consistent regulatory </w:t>
      </w:r>
      <w:r w:rsidRPr="001026E6">
        <w:rPr>
          <w:rFonts w:cstheme="minorHAnsi"/>
          <w:sz w:val="24"/>
          <w:lang w:val="en-US"/>
        </w:rPr>
        <w:t xml:space="preserve">treatment </w:t>
      </w:r>
      <w:r w:rsidR="00262642" w:rsidRPr="001026E6">
        <w:rPr>
          <w:rFonts w:cstheme="minorHAnsi"/>
          <w:sz w:val="24"/>
          <w:lang w:val="en-US"/>
        </w:rPr>
        <w:t>by</w:t>
      </w:r>
      <w:r w:rsidRPr="001026E6">
        <w:rPr>
          <w:rFonts w:cstheme="minorHAnsi"/>
          <w:sz w:val="24"/>
          <w:lang w:val="en-US"/>
        </w:rPr>
        <w:t xml:space="preserve"> the FSRA.  </w:t>
      </w:r>
      <w:r w:rsidR="00262642" w:rsidRPr="001026E6">
        <w:rPr>
          <w:rFonts w:cstheme="minorHAnsi"/>
          <w:sz w:val="24"/>
          <w:lang w:val="en-US"/>
        </w:rPr>
        <w:t xml:space="preserve">As such, similar to the treatment of a conventional Issuer of Securities, </w:t>
      </w:r>
      <w:r w:rsidR="00A34C6A" w:rsidRPr="001026E6">
        <w:rPr>
          <w:rFonts w:cstheme="minorHAnsi"/>
          <w:sz w:val="24"/>
          <w:lang w:val="en-US"/>
        </w:rPr>
        <w:t>I</w:t>
      </w:r>
      <w:r w:rsidRPr="001026E6">
        <w:rPr>
          <w:rFonts w:cstheme="minorHAnsi"/>
          <w:sz w:val="24"/>
          <w:lang w:val="en-US"/>
        </w:rPr>
        <w:t>ssuers / market participants who seek to raise funds in a regulated, robust and transparent manner using new business models or technologies</w:t>
      </w:r>
      <w:r w:rsidR="00262642" w:rsidRPr="001026E6">
        <w:rPr>
          <w:rFonts w:cstheme="minorHAnsi"/>
          <w:sz w:val="24"/>
          <w:lang w:val="en-US"/>
        </w:rPr>
        <w:t xml:space="preserve"> (</w:t>
      </w:r>
      <w:r w:rsidRPr="001026E6">
        <w:rPr>
          <w:rFonts w:cstheme="minorHAnsi"/>
          <w:sz w:val="24"/>
          <w:lang w:val="en-US"/>
        </w:rPr>
        <w:t>such as DLT</w:t>
      </w:r>
      <w:r w:rsidR="00262642" w:rsidRPr="001026E6">
        <w:rPr>
          <w:rFonts w:cstheme="minorHAnsi"/>
          <w:sz w:val="24"/>
          <w:lang w:val="en-US"/>
        </w:rPr>
        <w:t>)</w:t>
      </w:r>
      <w:r w:rsidRPr="001026E6">
        <w:rPr>
          <w:rFonts w:cstheme="minorHAnsi"/>
          <w:sz w:val="24"/>
          <w:lang w:val="en-US"/>
        </w:rPr>
        <w:t xml:space="preserve">, are encouraged to engage with </w:t>
      </w:r>
      <w:r w:rsidR="00643B94" w:rsidRPr="001026E6">
        <w:rPr>
          <w:rFonts w:cstheme="minorHAnsi"/>
          <w:sz w:val="24"/>
          <w:lang w:val="en-US"/>
        </w:rPr>
        <w:t>the FSRA</w:t>
      </w:r>
      <w:r w:rsidRPr="001026E6">
        <w:rPr>
          <w:rFonts w:cstheme="minorHAnsi"/>
          <w:sz w:val="24"/>
          <w:lang w:val="en-US"/>
        </w:rPr>
        <w:t xml:space="preserve"> </w:t>
      </w:r>
      <w:r w:rsidR="00656B04" w:rsidRPr="001026E6">
        <w:rPr>
          <w:rFonts w:cstheme="minorHAnsi"/>
          <w:sz w:val="24"/>
          <w:lang w:val="en-US"/>
        </w:rPr>
        <w:t xml:space="preserve">regarding the proposed </w:t>
      </w:r>
      <w:r w:rsidR="003A7C9C" w:rsidRPr="001026E6">
        <w:rPr>
          <w:rFonts w:cstheme="minorHAnsi"/>
          <w:sz w:val="24"/>
          <w:lang w:val="en-US"/>
        </w:rPr>
        <w:t>Offer</w:t>
      </w:r>
      <w:r w:rsidR="00656B04" w:rsidRPr="001026E6">
        <w:rPr>
          <w:rFonts w:cstheme="minorHAnsi"/>
          <w:sz w:val="24"/>
          <w:lang w:val="en-US"/>
        </w:rPr>
        <w:t xml:space="preserve"> </w:t>
      </w:r>
      <w:r w:rsidRPr="001026E6">
        <w:rPr>
          <w:rFonts w:cstheme="minorHAnsi"/>
          <w:sz w:val="24"/>
          <w:lang w:val="en-US"/>
        </w:rPr>
        <w:t>as early as possible in the fund-raising process.</w:t>
      </w:r>
    </w:p>
    <w:p w14:paraId="2C1D3E79" w14:textId="77777777" w:rsidR="00A7209E" w:rsidRPr="001026E6" w:rsidRDefault="00A7209E" w:rsidP="00D3188C">
      <w:pPr>
        <w:pStyle w:val="ListParagraph"/>
        <w:rPr>
          <w:rFonts w:cs="Helvetica"/>
          <w:sz w:val="24"/>
          <w:szCs w:val="24"/>
        </w:rPr>
      </w:pPr>
    </w:p>
    <w:p w14:paraId="78F26FE3" w14:textId="77777777" w:rsidR="00A34C6A" w:rsidRPr="001026E6" w:rsidRDefault="00A34C6A">
      <w:pPr>
        <w:pStyle w:val="ListParagraph"/>
        <w:numPr>
          <w:ilvl w:val="0"/>
          <w:numId w:val="1"/>
        </w:numPr>
        <w:ind w:left="426"/>
        <w:jc w:val="both"/>
        <w:rPr>
          <w:rFonts w:cs="Helvetica"/>
          <w:sz w:val="24"/>
          <w:szCs w:val="24"/>
        </w:rPr>
      </w:pPr>
      <w:r w:rsidRPr="001026E6">
        <w:rPr>
          <w:rFonts w:cstheme="minorHAnsi"/>
          <w:sz w:val="24"/>
          <w:lang w:val="en-US"/>
        </w:rPr>
        <w:t xml:space="preserve">Where appropriate, Issuers should consider the appointment of </w:t>
      </w:r>
      <w:r w:rsidR="00262642" w:rsidRPr="001026E6">
        <w:rPr>
          <w:rFonts w:cstheme="minorHAnsi"/>
          <w:sz w:val="24"/>
          <w:lang w:val="en-US"/>
        </w:rPr>
        <w:t xml:space="preserve">(legal) </w:t>
      </w:r>
      <w:r w:rsidRPr="001026E6">
        <w:rPr>
          <w:rFonts w:cstheme="minorHAnsi"/>
          <w:sz w:val="24"/>
          <w:lang w:val="en-US"/>
        </w:rPr>
        <w:t xml:space="preserve">advisers to assist with the preparation and submission to the FSRA of </w:t>
      </w:r>
      <w:r w:rsidR="00262642" w:rsidRPr="001026E6">
        <w:rPr>
          <w:rFonts w:cstheme="minorHAnsi"/>
          <w:sz w:val="24"/>
          <w:lang w:val="en-US"/>
        </w:rPr>
        <w:t>its</w:t>
      </w:r>
      <w:r w:rsidRPr="001026E6">
        <w:rPr>
          <w:rFonts w:cstheme="minorHAnsi"/>
          <w:sz w:val="24"/>
          <w:lang w:val="en-US"/>
        </w:rPr>
        <w:t xml:space="preserve"> relevant diligence materials</w:t>
      </w:r>
      <w:r w:rsidR="00262642" w:rsidRPr="001026E6">
        <w:rPr>
          <w:rFonts w:cstheme="minorHAnsi"/>
          <w:sz w:val="24"/>
          <w:lang w:val="en-US"/>
        </w:rPr>
        <w:t xml:space="preserve"> (as part </w:t>
      </w:r>
      <w:r w:rsidR="003D2710" w:rsidRPr="001026E6">
        <w:rPr>
          <w:rFonts w:cstheme="minorHAnsi"/>
          <w:sz w:val="24"/>
          <w:lang w:val="en-US"/>
        </w:rPr>
        <w:t xml:space="preserve">of </w:t>
      </w:r>
      <w:r w:rsidR="00262642" w:rsidRPr="001026E6">
        <w:rPr>
          <w:rFonts w:cstheme="minorHAnsi"/>
          <w:sz w:val="24"/>
          <w:lang w:val="en-US"/>
        </w:rPr>
        <w:t>any submission to the FSRA pursuant to Section 58(2)(b) of FSMR)</w:t>
      </w:r>
      <w:r w:rsidRPr="001026E6">
        <w:rPr>
          <w:rFonts w:cstheme="minorHAnsi"/>
          <w:sz w:val="24"/>
          <w:lang w:val="en-US"/>
        </w:rPr>
        <w:t>.</w:t>
      </w:r>
    </w:p>
    <w:p w14:paraId="07BB3FB2" w14:textId="77777777" w:rsidR="00A34C6A" w:rsidRPr="001026E6" w:rsidRDefault="00A34C6A" w:rsidP="00044CAA">
      <w:pPr>
        <w:pStyle w:val="ListParagraph"/>
        <w:rPr>
          <w:rFonts w:cs="Helvetica"/>
          <w:sz w:val="24"/>
          <w:szCs w:val="24"/>
        </w:rPr>
      </w:pPr>
    </w:p>
    <w:p w14:paraId="35873641" w14:textId="77777777" w:rsidR="000D773B" w:rsidRPr="001026E6" w:rsidRDefault="000D773B" w:rsidP="00EF0D00">
      <w:pPr>
        <w:pStyle w:val="ListParagraph"/>
        <w:numPr>
          <w:ilvl w:val="0"/>
          <w:numId w:val="1"/>
        </w:numPr>
        <w:ind w:left="426"/>
        <w:jc w:val="both"/>
        <w:rPr>
          <w:rFonts w:cs="Helvetica"/>
          <w:sz w:val="24"/>
          <w:szCs w:val="24"/>
        </w:rPr>
      </w:pPr>
      <w:r w:rsidRPr="001026E6">
        <w:rPr>
          <w:rFonts w:cs="Helvetica"/>
          <w:sz w:val="24"/>
          <w:szCs w:val="24"/>
        </w:rPr>
        <w:t xml:space="preserve">To ensure appropriate safeguards are in place to protect both investors and market integrity, </w:t>
      </w:r>
      <w:r w:rsidR="00112B90" w:rsidRPr="001026E6">
        <w:rPr>
          <w:rFonts w:cs="Helvetica"/>
          <w:sz w:val="24"/>
          <w:szCs w:val="24"/>
        </w:rPr>
        <w:t xml:space="preserve">an offer of a </w:t>
      </w:r>
      <w:r w:rsidR="00262642" w:rsidRPr="001026E6">
        <w:rPr>
          <w:rFonts w:cs="Helvetica"/>
          <w:sz w:val="24"/>
          <w:szCs w:val="24"/>
        </w:rPr>
        <w:t>‘Utility</w:t>
      </w:r>
      <w:r w:rsidRPr="001026E6">
        <w:rPr>
          <w:rFonts w:cs="Helvetica"/>
          <w:sz w:val="24"/>
          <w:szCs w:val="24"/>
        </w:rPr>
        <w:t xml:space="preserve"> </w:t>
      </w:r>
      <w:r w:rsidR="00262642" w:rsidRPr="001026E6">
        <w:rPr>
          <w:rFonts w:cs="Helvetica"/>
          <w:sz w:val="24"/>
          <w:szCs w:val="24"/>
        </w:rPr>
        <w:t>T</w:t>
      </w:r>
      <w:r w:rsidR="00FF3E81" w:rsidRPr="001026E6">
        <w:rPr>
          <w:rFonts w:cs="Helvetica"/>
          <w:sz w:val="24"/>
          <w:szCs w:val="24"/>
        </w:rPr>
        <w:t>oken</w:t>
      </w:r>
      <w:r w:rsidR="00262642" w:rsidRPr="001026E6">
        <w:rPr>
          <w:rFonts w:cs="Helvetica"/>
          <w:sz w:val="24"/>
          <w:szCs w:val="24"/>
        </w:rPr>
        <w:t>’</w:t>
      </w:r>
      <w:r w:rsidRPr="001026E6">
        <w:rPr>
          <w:rFonts w:cs="Helvetica"/>
          <w:sz w:val="24"/>
          <w:szCs w:val="24"/>
        </w:rPr>
        <w:t xml:space="preserve"> fall</w:t>
      </w:r>
      <w:r w:rsidR="00262642" w:rsidRPr="001026E6">
        <w:rPr>
          <w:rFonts w:cs="Helvetica"/>
          <w:sz w:val="24"/>
          <w:szCs w:val="24"/>
        </w:rPr>
        <w:t>s</w:t>
      </w:r>
      <w:r w:rsidRPr="001026E6">
        <w:rPr>
          <w:rFonts w:cs="Helvetica"/>
          <w:sz w:val="24"/>
          <w:szCs w:val="24"/>
        </w:rPr>
        <w:t xml:space="preserve"> outside </w:t>
      </w:r>
      <w:r w:rsidR="003D2710" w:rsidRPr="001026E6">
        <w:rPr>
          <w:rFonts w:cs="Helvetica"/>
          <w:sz w:val="24"/>
          <w:szCs w:val="24"/>
        </w:rPr>
        <w:t xml:space="preserve">the </w:t>
      </w:r>
      <w:r w:rsidRPr="001026E6">
        <w:rPr>
          <w:rFonts w:cs="Helvetica"/>
          <w:sz w:val="24"/>
          <w:szCs w:val="24"/>
        </w:rPr>
        <w:t>FSRA</w:t>
      </w:r>
      <w:r w:rsidR="003D2710" w:rsidRPr="001026E6">
        <w:rPr>
          <w:rFonts w:cs="Helvetica"/>
          <w:sz w:val="24"/>
          <w:szCs w:val="24"/>
        </w:rPr>
        <w:t>’s</w:t>
      </w:r>
      <w:r w:rsidRPr="001026E6">
        <w:rPr>
          <w:rFonts w:cs="Helvetica"/>
          <w:sz w:val="24"/>
          <w:szCs w:val="24"/>
        </w:rPr>
        <w:t xml:space="preserve"> regulatory remit</w:t>
      </w:r>
      <w:r w:rsidR="00112B90" w:rsidRPr="001026E6">
        <w:rPr>
          <w:rFonts w:cs="Helvetica"/>
          <w:sz w:val="24"/>
          <w:szCs w:val="24"/>
        </w:rPr>
        <w:t xml:space="preserve"> and </w:t>
      </w:r>
      <w:r w:rsidR="00FF3E81" w:rsidRPr="001026E6">
        <w:rPr>
          <w:rFonts w:cs="Helvetica"/>
          <w:sz w:val="24"/>
          <w:szCs w:val="24"/>
        </w:rPr>
        <w:t xml:space="preserve">is </w:t>
      </w:r>
      <w:r w:rsidRPr="001026E6">
        <w:rPr>
          <w:rFonts w:cs="Helvetica"/>
          <w:sz w:val="24"/>
          <w:szCs w:val="24"/>
        </w:rPr>
        <w:t xml:space="preserve">not </w:t>
      </w:r>
      <w:r w:rsidR="00EF0D00" w:rsidRPr="001026E6">
        <w:rPr>
          <w:rFonts w:cs="Helvetica"/>
          <w:sz w:val="24"/>
          <w:szCs w:val="24"/>
        </w:rPr>
        <w:t>permitted</w:t>
      </w:r>
      <w:r w:rsidRPr="001026E6">
        <w:rPr>
          <w:rFonts w:cs="Helvetica"/>
          <w:sz w:val="24"/>
          <w:szCs w:val="24"/>
        </w:rPr>
        <w:t xml:space="preserve"> </w:t>
      </w:r>
      <w:r w:rsidR="00112B90" w:rsidRPr="001026E6">
        <w:rPr>
          <w:rFonts w:cs="Helvetica"/>
          <w:sz w:val="24"/>
          <w:szCs w:val="24"/>
        </w:rPr>
        <w:t>under the Markets Rules (MKT)</w:t>
      </w:r>
      <w:r w:rsidRPr="001026E6">
        <w:rPr>
          <w:rFonts w:cs="Helvetica"/>
          <w:sz w:val="24"/>
          <w:szCs w:val="24"/>
        </w:rPr>
        <w:t xml:space="preserve">.   </w:t>
      </w:r>
    </w:p>
    <w:p w14:paraId="1F3923FF" w14:textId="77777777" w:rsidR="00A63745" w:rsidRPr="001026E6" w:rsidRDefault="00A63745" w:rsidP="00A63745">
      <w:pPr>
        <w:pStyle w:val="ListParagraph"/>
        <w:ind w:left="426"/>
        <w:jc w:val="both"/>
        <w:rPr>
          <w:rFonts w:cs="Helvetica"/>
          <w:sz w:val="24"/>
          <w:szCs w:val="24"/>
        </w:rPr>
      </w:pPr>
    </w:p>
    <w:p w14:paraId="6E26B2F1" w14:textId="77777777" w:rsidR="000D773B" w:rsidRPr="001026E6" w:rsidRDefault="000D773B" w:rsidP="000D773B">
      <w:pPr>
        <w:pStyle w:val="Heading1"/>
        <w:keepLines w:val="0"/>
        <w:spacing w:before="0" w:after="240" w:line="246" w:lineRule="atLeast"/>
        <w:jc w:val="both"/>
      </w:pPr>
      <w:bookmarkStart w:id="19" w:name="_Toc14351812"/>
      <w:bookmarkStart w:id="20" w:name="_Toc18571319"/>
      <w:bookmarkStart w:id="21" w:name="_Toc33443070"/>
      <w:bookmarkStart w:id="22" w:name="_Toc511714338"/>
      <w:bookmarkStart w:id="23" w:name="_Toc512695601"/>
      <w:bookmarkStart w:id="24" w:name="_Toc514588770"/>
      <w:bookmarkStart w:id="25" w:name="_Toc517602840"/>
      <w:r w:rsidRPr="001026E6">
        <w:rPr>
          <w:rFonts w:asciiTheme="minorHAnsi" w:hAnsiTheme="minorHAnsi"/>
          <w:sz w:val="24"/>
          <w:szCs w:val="24"/>
        </w:rPr>
        <w:lastRenderedPageBreak/>
        <w:t>MARKETS RULES – OFFERS OF SECURITIES TO THE PUBLIC</w:t>
      </w:r>
      <w:bookmarkEnd w:id="19"/>
      <w:bookmarkEnd w:id="20"/>
      <w:bookmarkEnd w:id="21"/>
    </w:p>
    <w:p w14:paraId="5DABC86D" w14:textId="77777777" w:rsidR="000D773B" w:rsidRPr="001026E6" w:rsidRDefault="000D773B" w:rsidP="000D773B">
      <w:pPr>
        <w:pStyle w:val="Heading2"/>
        <w:tabs>
          <w:tab w:val="clear" w:pos="720"/>
          <w:tab w:val="num" w:pos="0"/>
        </w:tabs>
        <w:ind w:left="0" w:firstLine="0"/>
        <w:rPr>
          <w:szCs w:val="24"/>
        </w:rPr>
      </w:pPr>
      <w:bookmarkStart w:id="26" w:name="_Toc14351813"/>
      <w:bookmarkStart w:id="27" w:name="_Toc18571320"/>
      <w:bookmarkStart w:id="28" w:name="_Toc33443071"/>
      <w:r w:rsidRPr="001026E6">
        <w:rPr>
          <w:szCs w:val="24"/>
        </w:rPr>
        <w:t>Offers of Securities</w:t>
      </w:r>
      <w:bookmarkEnd w:id="26"/>
      <w:bookmarkEnd w:id="27"/>
      <w:bookmarkEnd w:id="28"/>
    </w:p>
    <w:p w14:paraId="2234E7A0" w14:textId="77777777" w:rsidR="000D773B" w:rsidRPr="001026E6" w:rsidRDefault="000D773B" w:rsidP="003D2710">
      <w:pPr>
        <w:pStyle w:val="ListParagraph"/>
        <w:numPr>
          <w:ilvl w:val="0"/>
          <w:numId w:val="1"/>
        </w:numPr>
        <w:ind w:left="426"/>
        <w:jc w:val="both"/>
        <w:rPr>
          <w:rFonts w:cs="Helvetica"/>
          <w:sz w:val="24"/>
          <w:szCs w:val="24"/>
        </w:rPr>
      </w:pPr>
      <w:r w:rsidRPr="001026E6">
        <w:rPr>
          <w:sz w:val="24"/>
          <w:szCs w:val="24"/>
        </w:rPr>
        <w:t xml:space="preserve">The requirements for Offers of Securities to the Public </w:t>
      </w:r>
      <w:r w:rsidR="00EF0D00" w:rsidRPr="001026E6">
        <w:rPr>
          <w:sz w:val="24"/>
          <w:szCs w:val="24"/>
        </w:rPr>
        <w:t>are set out in</w:t>
      </w:r>
      <w:r w:rsidRPr="001026E6">
        <w:rPr>
          <w:sz w:val="24"/>
          <w:szCs w:val="24"/>
        </w:rPr>
        <w:t xml:space="preserve"> Sections 58 to 71 of FSMR, and Chapter 4 of </w:t>
      </w:r>
      <w:r w:rsidR="003D2710" w:rsidRPr="001026E6">
        <w:rPr>
          <w:sz w:val="24"/>
          <w:szCs w:val="24"/>
        </w:rPr>
        <w:t>MKT</w:t>
      </w:r>
      <w:r w:rsidRPr="001026E6">
        <w:rPr>
          <w:sz w:val="24"/>
          <w:szCs w:val="24"/>
        </w:rPr>
        <w:t>.  The</w:t>
      </w:r>
      <w:r w:rsidR="009A1CCD" w:rsidRPr="001026E6">
        <w:rPr>
          <w:sz w:val="24"/>
          <w:szCs w:val="24"/>
        </w:rPr>
        <w:t>se</w:t>
      </w:r>
      <w:r w:rsidRPr="001026E6">
        <w:rPr>
          <w:sz w:val="24"/>
          <w:szCs w:val="24"/>
        </w:rPr>
        <w:t xml:space="preserve"> requirements apply to Offers of all types of Securities, including Digital Securities. </w:t>
      </w:r>
    </w:p>
    <w:p w14:paraId="62A6996C" w14:textId="77777777" w:rsidR="000D773B" w:rsidRPr="001026E6" w:rsidRDefault="000D773B" w:rsidP="000D773B">
      <w:pPr>
        <w:pStyle w:val="ListParagraph"/>
        <w:ind w:left="426"/>
        <w:jc w:val="both"/>
        <w:rPr>
          <w:rFonts w:cs="Helvetica"/>
          <w:sz w:val="24"/>
          <w:szCs w:val="24"/>
        </w:rPr>
      </w:pPr>
    </w:p>
    <w:p w14:paraId="2C58BC32" w14:textId="77777777" w:rsidR="0065637A" w:rsidRPr="001026E6" w:rsidRDefault="0065637A" w:rsidP="003D2710">
      <w:pPr>
        <w:pStyle w:val="ListParagraph"/>
        <w:numPr>
          <w:ilvl w:val="0"/>
          <w:numId w:val="1"/>
        </w:numPr>
        <w:ind w:left="426"/>
        <w:jc w:val="both"/>
        <w:rPr>
          <w:rFonts w:cs="Helvetica"/>
          <w:sz w:val="24"/>
          <w:szCs w:val="24"/>
        </w:rPr>
      </w:pPr>
      <w:r w:rsidRPr="001026E6">
        <w:rPr>
          <w:rFonts w:cs="Helvetica"/>
          <w:sz w:val="24"/>
          <w:szCs w:val="24"/>
        </w:rPr>
        <w:t>Section 58(1) of FSMR prohibits Issuers from making an Offer of Securities to the Public in or from ADGM (or to have Securities admitted to trading on a R</w:t>
      </w:r>
      <w:r w:rsidR="009A1CCD" w:rsidRPr="001026E6">
        <w:rPr>
          <w:rFonts w:cs="Helvetica"/>
          <w:sz w:val="24"/>
          <w:szCs w:val="24"/>
        </w:rPr>
        <w:t>IE</w:t>
      </w:r>
      <w:r w:rsidRPr="001026E6">
        <w:rPr>
          <w:rFonts w:cs="Helvetica"/>
          <w:sz w:val="24"/>
          <w:szCs w:val="24"/>
        </w:rPr>
        <w:t xml:space="preserve">) from doing so other than in accordance with FSMR, and </w:t>
      </w:r>
      <w:r w:rsidR="003D2710" w:rsidRPr="001026E6">
        <w:rPr>
          <w:rFonts w:cs="Helvetica"/>
          <w:sz w:val="24"/>
          <w:szCs w:val="24"/>
        </w:rPr>
        <w:t>MKT</w:t>
      </w:r>
      <w:r w:rsidRPr="001026E6">
        <w:rPr>
          <w:rFonts w:cs="Helvetica"/>
          <w:sz w:val="24"/>
          <w:szCs w:val="24"/>
        </w:rPr>
        <w:t xml:space="preserve">.  </w:t>
      </w:r>
    </w:p>
    <w:p w14:paraId="63389C95" w14:textId="77777777" w:rsidR="0065637A" w:rsidRPr="001026E6" w:rsidRDefault="0065637A" w:rsidP="00044CAA">
      <w:pPr>
        <w:pStyle w:val="ListParagraph"/>
        <w:ind w:left="426"/>
        <w:jc w:val="both"/>
        <w:rPr>
          <w:rFonts w:cs="Helvetica"/>
          <w:sz w:val="24"/>
          <w:szCs w:val="24"/>
        </w:rPr>
      </w:pPr>
    </w:p>
    <w:p w14:paraId="0DDBF8D7" w14:textId="77777777" w:rsidR="000D773B" w:rsidRPr="001026E6" w:rsidRDefault="00112B90">
      <w:pPr>
        <w:pStyle w:val="ListParagraph"/>
        <w:numPr>
          <w:ilvl w:val="0"/>
          <w:numId w:val="1"/>
        </w:numPr>
        <w:ind w:left="426"/>
        <w:jc w:val="both"/>
        <w:rPr>
          <w:rFonts w:cs="Helvetica"/>
          <w:sz w:val="24"/>
          <w:szCs w:val="24"/>
        </w:rPr>
      </w:pPr>
      <w:r w:rsidRPr="001026E6">
        <w:rPr>
          <w:sz w:val="24"/>
          <w:szCs w:val="24"/>
        </w:rPr>
        <w:t>As set out in section 59 of FSMR, a</w:t>
      </w:r>
      <w:r w:rsidR="000D773B" w:rsidRPr="001026E6">
        <w:rPr>
          <w:sz w:val="24"/>
          <w:szCs w:val="24"/>
        </w:rPr>
        <w:t xml:space="preserve">n Offer of Securities to the Public is </w:t>
      </w:r>
      <w:r w:rsidR="000D773B" w:rsidRPr="001026E6">
        <w:rPr>
          <w:i/>
          <w:iCs/>
          <w:sz w:val="24"/>
          <w:szCs w:val="24"/>
        </w:rPr>
        <w:t>“a communication to any person in any form or by any means presenting information on the Offer and the Securities offered so as to enable an investor to decide to buy or subscribe to those Securities”</w:t>
      </w:r>
      <w:r w:rsidR="000D773B" w:rsidRPr="001026E6">
        <w:rPr>
          <w:sz w:val="24"/>
          <w:szCs w:val="24"/>
        </w:rPr>
        <w:t>.</w:t>
      </w:r>
      <w:r w:rsidRPr="001026E6">
        <w:rPr>
          <w:rStyle w:val="FootnoteReference"/>
          <w:sz w:val="24"/>
          <w:szCs w:val="24"/>
        </w:rPr>
        <w:footnoteReference w:id="8"/>
      </w:r>
    </w:p>
    <w:p w14:paraId="4AE61B7C" w14:textId="77777777" w:rsidR="000D773B" w:rsidRPr="001026E6" w:rsidRDefault="000D773B" w:rsidP="000D773B">
      <w:pPr>
        <w:pStyle w:val="ListParagraph"/>
        <w:ind w:left="426"/>
        <w:jc w:val="both"/>
        <w:rPr>
          <w:rFonts w:cs="Helvetica"/>
          <w:sz w:val="24"/>
          <w:szCs w:val="24"/>
        </w:rPr>
      </w:pPr>
    </w:p>
    <w:p w14:paraId="78B9338B" w14:textId="77777777" w:rsidR="000D773B" w:rsidRPr="001026E6" w:rsidRDefault="001D0F6F" w:rsidP="009A4F5E">
      <w:pPr>
        <w:pStyle w:val="ListParagraph"/>
        <w:numPr>
          <w:ilvl w:val="0"/>
          <w:numId w:val="1"/>
        </w:numPr>
        <w:ind w:left="426"/>
        <w:jc w:val="both"/>
        <w:rPr>
          <w:rFonts w:cs="Helvetica"/>
          <w:sz w:val="24"/>
          <w:szCs w:val="24"/>
        </w:rPr>
      </w:pPr>
      <w:r w:rsidRPr="001026E6">
        <w:rPr>
          <w:sz w:val="24"/>
          <w:szCs w:val="24"/>
        </w:rPr>
        <w:t>Issuers wishing</w:t>
      </w:r>
      <w:r w:rsidR="000D773B" w:rsidRPr="001026E6">
        <w:rPr>
          <w:sz w:val="24"/>
          <w:szCs w:val="24"/>
        </w:rPr>
        <w:t xml:space="preserve"> to make an Offer of Securities to the Public in</w:t>
      </w:r>
      <w:r w:rsidR="00107A29" w:rsidRPr="001026E6">
        <w:rPr>
          <w:sz w:val="24"/>
          <w:szCs w:val="24"/>
        </w:rPr>
        <w:t>,</w:t>
      </w:r>
      <w:r w:rsidR="000D773B" w:rsidRPr="001026E6">
        <w:rPr>
          <w:sz w:val="24"/>
          <w:szCs w:val="24"/>
        </w:rPr>
        <w:t xml:space="preserve"> or from</w:t>
      </w:r>
      <w:r w:rsidR="00107A29" w:rsidRPr="001026E6">
        <w:rPr>
          <w:sz w:val="24"/>
          <w:szCs w:val="24"/>
        </w:rPr>
        <w:t>,</w:t>
      </w:r>
      <w:r w:rsidR="000D773B" w:rsidRPr="001026E6">
        <w:rPr>
          <w:sz w:val="24"/>
          <w:szCs w:val="24"/>
        </w:rPr>
        <w:t xml:space="preserve"> ADGM</w:t>
      </w:r>
      <w:r w:rsidR="009A4F5E" w:rsidRPr="001026E6">
        <w:rPr>
          <w:sz w:val="24"/>
          <w:szCs w:val="24"/>
        </w:rPr>
        <w:t xml:space="preserve"> must comply with all applicable requirements</w:t>
      </w:r>
      <w:r w:rsidR="000D773B" w:rsidRPr="001026E6">
        <w:rPr>
          <w:sz w:val="24"/>
          <w:szCs w:val="24"/>
        </w:rPr>
        <w:t xml:space="preserve">, </w:t>
      </w:r>
      <w:r w:rsidR="009A4F5E" w:rsidRPr="001026E6">
        <w:rPr>
          <w:sz w:val="24"/>
          <w:szCs w:val="24"/>
        </w:rPr>
        <w:t xml:space="preserve">including (unless it is an Exempt Offer) </w:t>
      </w:r>
      <w:r w:rsidR="000D773B" w:rsidRPr="001026E6">
        <w:rPr>
          <w:sz w:val="24"/>
          <w:szCs w:val="24"/>
        </w:rPr>
        <w:t>the obligation to publish an Approved Prospectus under Section 61 of FSMR</w:t>
      </w:r>
      <w:r w:rsidR="009A4F5E" w:rsidRPr="001026E6">
        <w:rPr>
          <w:sz w:val="24"/>
          <w:szCs w:val="24"/>
        </w:rPr>
        <w:t xml:space="preserve"> </w:t>
      </w:r>
      <w:r w:rsidR="009A4F5E" w:rsidRPr="001026E6">
        <w:rPr>
          <w:sz w:val="24"/>
          <w:szCs w:val="24"/>
        </w:rPr>
        <w:lastRenderedPageBreak/>
        <w:t>(a “Prospectus Offer”)</w:t>
      </w:r>
      <w:r w:rsidR="00D43319" w:rsidRPr="001026E6">
        <w:rPr>
          <w:sz w:val="24"/>
          <w:szCs w:val="24"/>
        </w:rPr>
        <w:t xml:space="preserve">.  </w:t>
      </w:r>
      <w:r w:rsidR="000D773B" w:rsidRPr="001026E6">
        <w:rPr>
          <w:sz w:val="24"/>
          <w:szCs w:val="24"/>
        </w:rPr>
        <w:t>The requirements for the structure and content of a</w:t>
      </w:r>
      <w:r w:rsidR="0065637A" w:rsidRPr="001026E6">
        <w:rPr>
          <w:sz w:val="24"/>
          <w:szCs w:val="24"/>
        </w:rPr>
        <w:t>n</w:t>
      </w:r>
      <w:r w:rsidR="000D773B" w:rsidRPr="001026E6">
        <w:rPr>
          <w:sz w:val="24"/>
          <w:szCs w:val="24"/>
        </w:rPr>
        <w:t xml:space="preserve"> </w:t>
      </w:r>
      <w:r w:rsidR="0065637A" w:rsidRPr="001026E6">
        <w:rPr>
          <w:sz w:val="24"/>
          <w:szCs w:val="24"/>
        </w:rPr>
        <w:t>Approved P</w:t>
      </w:r>
      <w:r w:rsidR="000D773B" w:rsidRPr="001026E6">
        <w:rPr>
          <w:sz w:val="24"/>
          <w:szCs w:val="24"/>
        </w:rPr>
        <w:t>rospectus are detailed in MKT Rule 4.5</w:t>
      </w:r>
      <w:r w:rsidR="009A4F5E" w:rsidRPr="001026E6">
        <w:rPr>
          <w:sz w:val="24"/>
          <w:szCs w:val="24"/>
        </w:rPr>
        <w:t xml:space="preserve"> and described in more detail in paragraphs 2</w:t>
      </w:r>
      <w:r w:rsidR="00A17587" w:rsidRPr="001026E6">
        <w:rPr>
          <w:sz w:val="24"/>
          <w:szCs w:val="24"/>
        </w:rPr>
        <w:t>8 – 30</w:t>
      </w:r>
      <w:r w:rsidR="009A4F5E" w:rsidRPr="001026E6">
        <w:rPr>
          <w:sz w:val="24"/>
          <w:szCs w:val="24"/>
        </w:rPr>
        <w:t xml:space="preserve"> below.</w:t>
      </w:r>
    </w:p>
    <w:p w14:paraId="73FB50FB" w14:textId="77777777" w:rsidR="000D773B" w:rsidRPr="001026E6" w:rsidRDefault="000D773B" w:rsidP="000D773B">
      <w:pPr>
        <w:pStyle w:val="ListParagraph"/>
        <w:ind w:left="426"/>
        <w:jc w:val="both"/>
        <w:rPr>
          <w:rFonts w:cs="Helvetica"/>
          <w:sz w:val="24"/>
          <w:szCs w:val="24"/>
        </w:rPr>
      </w:pPr>
    </w:p>
    <w:p w14:paraId="0B5EA632" w14:textId="77777777" w:rsidR="000D773B" w:rsidRPr="001026E6" w:rsidRDefault="000D773B" w:rsidP="009A4F5E">
      <w:pPr>
        <w:pStyle w:val="ListParagraph"/>
        <w:numPr>
          <w:ilvl w:val="0"/>
          <w:numId w:val="1"/>
        </w:numPr>
        <w:ind w:left="426"/>
        <w:jc w:val="both"/>
        <w:rPr>
          <w:rFonts w:cs="Helvetica"/>
          <w:sz w:val="24"/>
          <w:szCs w:val="24"/>
        </w:rPr>
      </w:pPr>
      <w:r w:rsidRPr="001026E6">
        <w:rPr>
          <w:sz w:val="24"/>
          <w:szCs w:val="24"/>
        </w:rPr>
        <w:t>In accordance with MKT Rule 4.6.1</w:t>
      </w:r>
      <w:r w:rsidR="0065637A" w:rsidRPr="001026E6">
        <w:rPr>
          <w:sz w:val="24"/>
          <w:szCs w:val="24"/>
        </w:rPr>
        <w:t>,</w:t>
      </w:r>
      <w:r w:rsidRPr="001026E6">
        <w:rPr>
          <w:sz w:val="24"/>
          <w:szCs w:val="24"/>
        </w:rPr>
        <w:t xml:space="preserve"> a person intending to make a Prospectus Offer must make an application for approval of a prospectus to the FSRA at least 20 days pr</w:t>
      </w:r>
      <w:r w:rsidR="009A4F5E" w:rsidRPr="001026E6">
        <w:rPr>
          <w:sz w:val="24"/>
          <w:szCs w:val="24"/>
        </w:rPr>
        <w:t>ior to the intended date of an O</w:t>
      </w:r>
      <w:r w:rsidRPr="001026E6">
        <w:rPr>
          <w:sz w:val="24"/>
          <w:szCs w:val="24"/>
        </w:rPr>
        <w:t xml:space="preserve">ffer commencing. The FSRA </w:t>
      </w:r>
      <w:r w:rsidR="0065637A" w:rsidRPr="001026E6">
        <w:rPr>
          <w:sz w:val="24"/>
          <w:szCs w:val="24"/>
        </w:rPr>
        <w:t>expects</w:t>
      </w:r>
      <w:r w:rsidRPr="001026E6">
        <w:rPr>
          <w:sz w:val="24"/>
          <w:szCs w:val="24"/>
        </w:rPr>
        <w:t xml:space="preserve"> to have discussed </w:t>
      </w:r>
      <w:r w:rsidR="009A4F5E" w:rsidRPr="001026E6">
        <w:rPr>
          <w:sz w:val="24"/>
          <w:szCs w:val="24"/>
        </w:rPr>
        <w:t xml:space="preserve">an </w:t>
      </w:r>
      <w:r w:rsidRPr="001026E6">
        <w:rPr>
          <w:sz w:val="24"/>
          <w:szCs w:val="24"/>
        </w:rPr>
        <w:t xml:space="preserve">application with the </w:t>
      </w:r>
      <w:r w:rsidR="0065637A" w:rsidRPr="001026E6">
        <w:rPr>
          <w:sz w:val="24"/>
          <w:szCs w:val="24"/>
        </w:rPr>
        <w:t>Issuer</w:t>
      </w:r>
      <w:r w:rsidRPr="001026E6">
        <w:rPr>
          <w:sz w:val="24"/>
          <w:szCs w:val="24"/>
        </w:rPr>
        <w:t xml:space="preserve"> </w:t>
      </w:r>
      <w:r w:rsidR="0065637A" w:rsidRPr="001026E6">
        <w:rPr>
          <w:sz w:val="24"/>
          <w:szCs w:val="24"/>
        </w:rPr>
        <w:t xml:space="preserve">well </w:t>
      </w:r>
      <w:r w:rsidRPr="001026E6">
        <w:rPr>
          <w:sz w:val="24"/>
          <w:szCs w:val="24"/>
        </w:rPr>
        <w:t>in advance of this</w:t>
      </w:r>
      <w:r w:rsidR="0065637A" w:rsidRPr="001026E6">
        <w:rPr>
          <w:sz w:val="24"/>
          <w:szCs w:val="24"/>
        </w:rPr>
        <w:t>, including having reviewed draft Prospectus Offer documents, as applicable</w:t>
      </w:r>
      <w:r w:rsidRPr="001026E6">
        <w:rPr>
          <w:sz w:val="24"/>
          <w:szCs w:val="24"/>
        </w:rPr>
        <w:t xml:space="preserve">.  </w:t>
      </w:r>
    </w:p>
    <w:p w14:paraId="491A8D20" w14:textId="77777777" w:rsidR="00FD5427" w:rsidRPr="001026E6" w:rsidRDefault="00FD5427" w:rsidP="00FD5427">
      <w:pPr>
        <w:pStyle w:val="ListParagraph"/>
        <w:rPr>
          <w:rFonts w:cs="Helvetica"/>
          <w:sz w:val="24"/>
          <w:szCs w:val="24"/>
        </w:rPr>
      </w:pPr>
    </w:p>
    <w:p w14:paraId="1AA4F0F9" w14:textId="77777777" w:rsidR="00FD5427" w:rsidRPr="001026E6" w:rsidRDefault="00FD5427" w:rsidP="00DB114A">
      <w:pPr>
        <w:pStyle w:val="ListParagraph"/>
        <w:numPr>
          <w:ilvl w:val="0"/>
          <w:numId w:val="1"/>
        </w:numPr>
        <w:ind w:left="426"/>
        <w:jc w:val="both"/>
        <w:rPr>
          <w:rFonts w:cs="Helvetica"/>
          <w:sz w:val="24"/>
          <w:szCs w:val="24"/>
        </w:rPr>
      </w:pPr>
      <w:r w:rsidRPr="001026E6">
        <w:rPr>
          <w:rFonts w:cs="Helvetica"/>
          <w:sz w:val="24"/>
          <w:szCs w:val="24"/>
        </w:rPr>
        <w:t>Due to the complexities associated with Offers of Digital Securities (from a technolog</w:t>
      </w:r>
      <w:r w:rsidR="0065637A" w:rsidRPr="001026E6">
        <w:rPr>
          <w:rFonts w:cs="Helvetica"/>
          <w:sz w:val="24"/>
          <w:szCs w:val="24"/>
        </w:rPr>
        <w:t>y</w:t>
      </w:r>
      <w:r w:rsidRPr="001026E6">
        <w:rPr>
          <w:rFonts w:cs="Helvetica"/>
          <w:sz w:val="24"/>
          <w:szCs w:val="24"/>
        </w:rPr>
        <w:t xml:space="preserve"> perspective</w:t>
      </w:r>
      <w:r w:rsidR="0065637A" w:rsidRPr="001026E6">
        <w:rPr>
          <w:rFonts w:cs="Helvetica"/>
          <w:sz w:val="24"/>
          <w:szCs w:val="24"/>
        </w:rPr>
        <w:t>,</w:t>
      </w:r>
      <w:r w:rsidRPr="001026E6">
        <w:rPr>
          <w:rFonts w:cs="Helvetica"/>
          <w:sz w:val="24"/>
          <w:szCs w:val="24"/>
        </w:rPr>
        <w:t xml:space="preserve"> and </w:t>
      </w:r>
      <w:r w:rsidR="0065637A" w:rsidRPr="001026E6">
        <w:rPr>
          <w:rFonts w:cs="Helvetica"/>
          <w:sz w:val="24"/>
          <w:szCs w:val="24"/>
        </w:rPr>
        <w:t>to take</w:t>
      </w:r>
      <w:r w:rsidR="00644448" w:rsidRPr="001026E6">
        <w:rPr>
          <w:rFonts w:cs="Helvetica"/>
          <w:sz w:val="24"/>
          <w:szCs w:val="24"/>
        </w:rPr>
        <w:t xml:space="preserve"> into account </w:t>
      </w:r>
      <w:r w:rsidRPr="001026E6">
        <w:rPr>
          <w:rFonts w:cs="Helvetica"/>
          <w:sz w:val="24"/>
          <w:szCs w:val="24"/>
        </w:rPr>
        <w:t xml:space="preserve">the </w:t>
      </w:r>
      <w:r w:rsidR="00644448" w:rsidRPr="001026E6">
        <w:rPr>
          <w:rFonts w:cs="Helvetica"/>
          <w:sz w:val="24"/>
          <w:szCs w:val="24"/>
        </w:rPr>
        <w:t>relative infancy</w:t>
      </w:r>
      <w:r w:rsidR="0065637A" w:rsidRPr="001026E6">
        <w:rPr>
          <w:rFonts w:cs="Helvetica"/>
          <w:sz w:val="24"/>
          <w:szCs w:val="24"/>
        </w:rPr>
        <w:t xml:space="preserve"> and resultant risks</w:t>
      </w:r>
      <w:r w:rsidR="00644448" w:rsidRPr="001026E6">
        <w:rPr>
          <w:rFonts w:cs="Helvetica"/>
          <w:sz w:val="24"/>
          <w:szCs w:val="24"/>
        </w:rPr>
        <w:t xml:space="preserve"> of the </w:t>
      </w:r>
      <w:r w:rsidR="0065637A" w:rsidRPr="001026E6">
        <w:rPr>
          <w:rFonts w:cs="Helvetica"/>
          <w:sz w:val="24"/>
          <w:szCs w:val="24"/>
        </w:rPr>
        <w:t xml:space="preserve">Digital Securities </w:t>
      </w:r>
      <w:r w:rsidR="00644448" w:rsidRPr="001026E6">
        <w:rPr>
          <w:rFonts w:cs="Helvetica"/>
          <w:sz w:val="24"/>
          <w:szCs w:val="24"/>
        </w:rPr>
        <w:t>industry</w:t>
      </w:r>
      <w:r w:rsidR="00107A29" w:rsidRPr="001026E6">
        <w:rPr>
          <w:rFonts w:cs="Helvetica"/>
          <w:sz w:val="24"/>
          <w:szCs w:val="24"/>
        </w:rPr>
        <w:t xml:space="preserve"> itself</w:t>
      </w:r>
      <w:r w:rsidRPr="001026E6">
        <w:rPr>
          <w:rFonts w:cs="Helvetica"/>
          <w:sz w:val="24"/>
          <w:szCs w:val="24"/>
        </w:rPr>
        <w:t xml:space="preserve">), the FSRA </w:t>
      </w:r>
      <w:r w:rsidR="00107A29" w:rsidRPr="001026E6">
        <w:rPr>
          <w:rFonts w:cs="Helvetica"/>
          <w:sz w:val="24"/>
          <w:szCs w:val="24"/>
        </w:rPr>
        <w:t xml:space="preserve">generally </w:t>
      </w:r>
      <w:r w:rsidRPr="001026E6">
        <w:rPr>
          <w:rFonts w:cs="Helvetica"/>
          <w:sz w:val="24"/>
          <w:szCs w:val="24"/>
        </w:rPr>
        <w:t xml:space="preserve">expects that an Issuer </w:t>
      </w:r>
      <w:r w:rsidR="0065637A" w:rsidRPr="001026E6">
        <w:rPr>
          <w:rFonts w:cs="Helvetica"/>
          <w:sz w:val="24"/>
          <w:szCs w:val="24"/>
        </w:rPr>
        <w:t xml:space="preserve">intending to make an Offer </w:t>
      </w:r>
      <w:r w:rsidRPr="001026E6">
        <w:rPr>
          <w:rFonts w:cs="Helvetica"/>
          <w:sz w:val="24"/>
          <w:szCs w:val="24"/>
        </w:rPr>
        <w:t xml:space="preserve">of Digital Securities </w:t>
      </w:r>
      <w:r w:rsidR="00DB114A" w:rsidRPr="001026E6">
        <w:rPr>
          <w:rFonts w:cs="Helvetica"/>
          <w:sz w:val="24"/>
          <w:szCs w:val="24"/>
        </w:rPr>
        <w:t xml:space="preserve">is to </w:t>
      </w:r>
      <w:r w:rsidRPr="001026E6">
        <w:rPr>
          <w:rFonts w:cs="Helvetica"/>
          <w:sz w:val="24"/>
          <w:szCs w:val="24"/>
        </w:rPr>
        <w:t xml:space="preserve">be incorporated </w:t>
      </w:r>
      <w:r w:rsidR="00644448" w:rsidRPr="001026E6">
        <w:rPr>
          <w:rFonts w:cs="Helvetica"/>
          <w:sz w:val="24"/>
          <w:szCs w:val="24"/>
        </w:rPr>
        <w:t>within the ADGM.</w:t>
      </w:r>
    </w:p>
    <w:p w14:paraId="44BD4CF5" w14:textId="77777777" w:rsidR="00C232EB" w:rsidRPr="001026E6" w:rsidRDefault="00C232EB" w:rsidP="00044CAA">
      <w:pPr>
        <w:pStyle w:val="ListParagraph"/>
        <w:rPr>
          <w:rFonts w:cs="Helvetica"/>
          <w:sz w:val="24"/>
          <w:szCs w:val="24"/>
        </w:rPr>
      </w:pPr>
    </w:p>
    <w:p w14:paraId="2D3E3E4D" w14:textId="77777777" w:rsidR="00C232EB" w:rsidRPr="001026E6" w:rsidRDefault="00C232EB" w:rsidP="00D63CFD">
      <w:pPr>
        <w:pStyle w:val="ListParagraph"/>
        <w:numPr>
          <w:ilvl w:val="0"/>
          <w:numId w:val="1"/>
        </w:numPr>
        <w:ind w:left="426"/>
        <w:jc w:val="both"/>
        <w:rPr>
          <w:rFonts w:cs="Helvetica"/>
          <w:sz w:val="24"/>
          <w:szCs w:val="24"/>
        </w:rPr>
      </w:pPr>
      <w:r w:rsidRPr="001026E6">
        <w:rPr>
          <w:rFonts w:cs="Helvetica"/>
          <w:sz w:val="24"/>
          <w:szCs w:val="24"/>
        </w:rPr>
        <w:t>An Offer of Securities to the Public (made by way of</w:t>
      </w:r>
      <w:r w:rsidR="00107A29" w:rsidRPr="001026E6">
        <w:rPr>
          <w:rFonts w:cs="Helvetica"/>
          <w:sz w:val="24"/>
          <w:szCs w:val="24"/>
        </w:rPr>
        <w:t xml:space="preserve"> an Approved</w:t>
      </w:r>
      <w:r w:rsidRPr="001026E6">
        <w:rPr>
          <w:rFonts w:cs="Helvetica"/>
          <w:sz w:val="24"/>
          <w:szCs w:val="24"/>
        </w:rPr>
        <w:t xml:space="preserve"> Prospectus) can be used for the purposes of having such Securities admitted to trading on a R</w:t>
      </w:r>
      <w:r w:rsidR="009A1CCD" w:rsidRPr="001026E6">
        <w:rPr>
          <w:rFonts w:cs="Helvetica"/>
          <w:sz w:val="24"/>
          <w:szCs w:val="24"/>
        </w:rPr>
        <w:t>IE</w:t>
      </w:r>
      <w:r w:rsidRPr="001026E6">
        <w:rPr>
          <w:rFonts w:cs="Helvetica"/>
          <w:sz w:val="24"/>
          <w:szCs w:val="24"/>
        </w:rPr>
        <w:t xml:space="preserve"> (see paragraph </w:t>
      </w:r>
      <w:r w:rsidR="00A17587" w:rsidRPr="001026E6">
        <w:rPr>
          <w:rFonts w:cs="Helvetica"/>
          <w:sz w:val="24"/>
          <w:szCs w:val="24"/>
        </w:rPr>
        <w:t>42</w:t>
      </w:r>
      <w:r w:rsidRPr="001026E6">
        <w:rPr>
          <w:rFonts w:cs="Helvetica"/>
          <w:sz w:val="24"/>
          <w:szCs w:val="24"/>
        </w:rPr>
        <w:t>).</w:t>
      </w:r>
      <w:r w:rsidR="00A93EBE" w:rsidRPr="001026E6">
        <w:rPr>
          <w:rFonts w:cs="Helvetica"/>
          <w:sz w:val="24"/>
          <w:szCs w:val="24"/>
        </w:rPr>
        <w:t xml:space="preserve"> </w:t>
      </w:r>
      <w:r w:rsidR="003D2710" w:rsidRPr="001026E6">
        <w:rPr>
          <w:rFonts w:cs="Helvetica"/>
          <w:sz w:val="24"/>
          <w:szCs w:val="24"/>
        </w:rPr>
        <w:t xml:space="preserve"> </w:t>
      </w:r>
      <w:r w:rsidR="00A93EBE" w:rsidRPr="001026E6">
        <w:rPr>
          <w:rFonts w:cs="Helvetica"/>
          <w:sz w:val="24"/>
          <w:szCs w:val="24"/>
        </w:rPr>
        <w:t>Where such Securities have already been admitted to trading on a RIE, they may also be admitted to trading (on the basis of admission to the first RIE) on a further RIE or MTF.</w:t>
      </w:r>
    </w:p>
    <w:p w14:paraId="47E8EE02" w14:textId="77777777" w:rsidR="000D773B" w:rsidRPr="001026E6" w:rsidRDefault="000D773B" w:rsidP="000D773B">
      <w:pPr>
        <w:pStyle w:val="ListParagraph"/>
        <w:rPr>
          <w:rFonts w:cs="Helvetica"/>
          <w:sz w:val="24"/>
          <w:szCs w:val="24"/>
        </w:rPr>
      </w:pPr>
    </w:p>
    <w:p w14:paraId="4DFF9AFE" w14:textId="77777777" w:rsidR="000D773B" w:rsidRPr="001026E6" w:rsidRDefault="00110748" w:rsidP="00044CAA">
      <w:pPr>
        <w:pStyle w:val="Heading2"/>
        <w:tabs>
          <w:tab w:val="clear" w:pos="720"/>
          <w:tab w:val="num" w:pos="0"/>
        </w:tabs>
        <w:ind w:left="0" w:firstLine="0"/>
        <w:rPr>
          <w:b w:val="0"/>
          <w:bCs w:val="0"/>
          <w:szCs w:val="24"/>
        </w:rPr>
      </w:pPr>
      <w:bookmarkStart w:id="29" w:name="_Toc18571321"/>
      <w:bookmarkStart w:id="30" w:name="_Toc33443072"/>
      <w:r w:rsidRPr="001026E6">
        <w:rPr>
          <w:szCs w:val="24"/>
        </w:rPr>
        <w:t>P</w:t>
      </w:r>
      <w:r w:rsidR="000D773B" w:rsidRPr="001026E6">
        <w:rPr>
          <w:szCs w:val="24"/>
        </w:rPr>
        <w:t xml:space="preserve">rospectus </w:t>
      </w:r>
      <w:r w:rsidRPr="001026E6">
        <w:rPr>
          <w:szCs w:val="24"/>
        </w:rPr>
        <w:t xml:space="preserve">content </w:t>
      </w:r>
      <w:r w:rsidR="000D773B" w:rsidRPr="001026E6">
        <w:rPr>
          <w:szCs w:val="24"/>
        </w:rPr>
        <w:t xml:space="preserve">for an </w:t>
      </w:r>
      <w:r w:rsidRPr="001026E6">
        <w:rPr>
          <w:szCs w:val="24"/>
        </w:rPr>
        <w:t>O</w:t>
      </w:r>
      <w:r w:rsidR="000D773B" w:rsidRPr="001026E6">
        <w:rPr>
          <w:szCs w:val="24"/>
        </w:rPr>
        <w:t>ffer of Digital Securities</w:t>
      </w:r>
      <w:bookmarkEnd w:id="29"/>
      <w:bookmarkEnd w:id="30"/>
    </w:p>
    <w:p w14:paraId="61E9DB10" w14:textId="77777777" w:rsidR="006D7B78" w:rsidRPr="001026E6" w:rsidRDefault="000D773B" w:rsidP="00462B7A">
      <w:pPr>
        <w:pStyle w:val="ListParagraph"/>
        <w:numPr>
          <w:ilvl w:val="0"/>
          <w:numId w:val="1"/>
        </w:numPr>
        <w:ind w:left="426"/>
        <w:jc w:val="both"/>
        <w:rPr>
          <w:rFonts w:cs="Helvetica"/>
          <w:sz w:val="24"/>
          <w:szCs w:val="24"/>
        </w:rPr>
      </w:pPr>
      <w:r w:rsidRPr="001026E6">
        <w:rPr>
          <w:rFonts w:cs="Helvetica"/>
          <w:sz w:val="24"/>
          <w:szCs w:val="24"/>
        </w:rPr>
        <w:t>The required disclosures to be included in an Approved Prospectus are set out in Appendix 1 of M</w:t>
      </w:r>
      <w:r w:rsidR="004F556C" w:rsidRPr="001026E6">
        <w:rPr>
          <w:rFonts w:cs="Helvetica"/>
          <w:sz w:val="24"/>
          <w:szCs w:val="24"/>
        </w:rPr>
        <w:t>KT</w:t>
      </w:r>
      <w:r w:rsidRPr="001026E6">
        <w:rPr>
          <w:rFonts w:cs="Helvetica"/>
          <w:sz w:val="24"/>
          <w:szCs w:val="24"/>
        </w:rPr>
        <w:t xml:space="preserve">. </w:t>
      </w:r>
      <w:r w:rsidR="004F556C" w:rsidRPr="001026E6">
        <w:rPr>
          <w:rFonts w:cs="Helvetica"/>
          <w:sz w:val="24"/>
          <w:szCs w:val="24"/>
        </w:rPr>
        <w:t>A</w:t>
      </w:r>
      <w:r w:rsidRPr="001026E6">
        <w:rPr>
          <w:rFonts w:cs="Helvetica"/>
          <w:sz w:val="24"/>
          <w:szCs w:val="24"/>
        </w:rPr>
        <w:t xml:space="preserve"> </w:t>
      </w:r>
      <w:r w:rsidR="004F556C" w:rsidRPr="001026E6">
        <w:rPr>
          <w:rFonts w:cs="Helvetica"/>
          <w:sz w:val="24"/>
          <w:szCs w:val="24"/>
        </w:rPr>
        <w:t>P</w:t>
      </w:r>
      <w:r w:rsidRPr="001026E6">
        <w:rPr>
          <w:rFonts w:cs="Helvetica"/>
          <w:sz w:val="24"/>
          <w:szCs w:val="24"/>
        </w:rPr>
        <w:t xml:space="preserve">rospectus related to </w:t>
      </w:r>
      <w:r w:rsidR="00930A69" w:rsidRPr="001026E6">
        <w:rPr>
          <w:rFonts w:cs="Helvetica"/>
          <w:sz w:val="24"/>
          <w:szCs w:val="24"/>
        </w:rPr>
        <w:t>the Offering of</w:t>
      </w:r>
      <w:r w:rsidRPr="001026E6">
        <w:rPr>
          <w:rFonts w:cs="Helvetica"/>
          <w:sz w:val="24"/>
          <w:szCs w:val="24"/>
        </w:rPr>
        <w:t xml:space="preserve"> Digital Securities </w:t>
      </w:r>
      <w:r w:rsidR="004F556C" w:rsidRPr="001026E6">
        <w:rPr>
          <w:rFonts w:cs="Helvetica"/>
          <w:sz w:val="24"/>
          <w:szCs w:val="24"/>
        </w:rPr>
        <w:t>is to</w:t>
      </w:r>
      <w:r w:rsidR="00462B7A" w:rsidRPr="001026E6">
        <w:rPr>
          <w:rFonts w:cs="Helvetica"/>
          <w:sz w:val="24"/>
          <w:szCs w:val="24"/>
        </w:rPr>
        <w:t xml:space="preserve"> </w:t>
      </w:r>
      <w:r w:rsidRPr="001026E6">
        <w:rPr>
          <w:rFonts w:cs="Helvetica"/>
          <w:sz w:val="24"/>
          <w:szCs w:val="24"/>
        </w:rPr>
        <w:t xml:space="preserve">include all </w:t>
      </w:r>
      <w:r w:rsidR="00930A69" w:rsidRPr="001026E6">
        <w:rPr>
          <w:rFonts w:cs="Helvetica"/>
          <w:sz w:val="24"/>
          <w:szCs w:val="24"/>
        </w:rPr>
        <w:t>required</w:t>
      </w:r>
      <w:r w:rsidRPr="001026E6">
        <w:rPr>
          <w:rFonts w:cs="Helvetica"/>
          <w:sz w:val="24"/>
          <w:szCs w:val="24"/>
        </w:rPr>
        <w:t xml:space="preserve"> disclosures </w:t>
      </w:r>
      <w:r w:rsidR="00930A69" w:rsidRPr="001026E6">
        <w:rPr>
          <w:rFonts w:cs="Helvetica"/>
          <w:sz w:val="24"/>
          <w:szCs w:val="24"/>
        </w:rPr>
        <w:t>set out within MKT Appendix 1, as applicable</w:t>
      </w:r>
      <w:r w:rsidRPr="001026E6">
        <w:rPr>
          <w:rFonts w:cs="Helvetica"/>
          <w:sz w:val="24"/>
          <w:szCs w:val="24"/>
        </w:rPr>
        <w:t xml:space="preserve">. </w:t>
      </w:r>
    </w:p>
    <w:p w14:paraId="6385D804" w14:textId="77777777" w:rsidR="006D7B78" w:rsidRPr="001026E6" w:rsidRDefault="006D7B78" w:rsidP="006D7B78">
      <w:pPr>
        <w:pStyle w:val="ListParagraph"/>
        <w:ind w:left="426"/>
        <w:jc w:val="both"/>
        <w:rPr>
          <w:rFonts w:cs="Helvetica"/>
          <w:sz w:val="24"/>
          <w:szCs w:val="24"/>
        </w:rPr>
      </w:pPr>
    </w:p>
    <w:p w14:paraId="20BCFE2D" w14:textId="77777777" w:rsidR="000D773B" w:rsidRPr="001026E6" w:rsidRDefault="000D773B" w:rsidP="00EF0D00">
      <w:pPr>
        <w:pStyle w:val="ListParagraph"/>
        <w:numPr>
          <w:ilvl w:val="0"/>
          <w:numId w:val="1"/>
        </w:numPr>
        <w:ind w:left="426"/>
        <w:jc w:val="both"/>
        <w:rPr>
          <w:rFonts w:cs="Helvetica"/>
          <w:sz w:val="24"/>
          <w:szCs w:val="24"/>
        </w:rPr>
      </w:pPr>
      <w:r w:rsidRPr="001026E6">
        <w:rPr>
          <w:rFonts w:cs="Helvetica"/>
          <w:sz w:val="24"/>
          <w:szCs w:val="24"/>
        </w:rPr>
        <w:t xml:space="preserve">Where an </w:t>
      </w:r>
      <w:r w:rsidR="00930A69" w:rsidRPr="001026E6">
        <w:rPr>
          <w:rFonts w:cs="Helvetica"/>
          <w:sz w:val="24"/>
          <w:szCs w:val="24"/>
        </w:rPr>
        <w:t>I</w:t>
      </w:r>
      <w:r w:rsidRPr="001026E6">
        <w:rPr>
          <w:rFonts w:cs="Helvetica"/>
          <w:sz w:val="24"/>
          <w:szCs w:val="24"/>
        </w:rPr>
        <w:t xml:space="preserve">ssuer </w:t>
      </w:r>
      <w:r w:rsidR="00462B7A" w:rsidRPr="001026E6">
        <w:rPr>
          <w:rFonts w:cs="Helvetica"/>
          <w:sz w:val="24"/>
          <w:szCs w:val="24"/>
        </w:rPr>
        <w:t xml:space="preserve">considers that </w:t>
      </w:r>
      <w:r w:rsidRPr="001026E6">
        <w:rPr>
          <w:rFonts w:cs="Helvetica"/>
          <w:sz w:val="24"/>
          <w:szCs w:val="24"/>
        </w:rPr>
        <w:t xml:space="preserve">a </w:t>
      </w:r>
      <w:r w:rsidR="00930A69" w:rsidRPr="001026E6">
        <w:rPr>
          <w:rFonts w:cs="Helvetica"/>
          <w:sz w:val="24"/>
          <w:szCs w:val="24"/>
        </w:rPr>
        <w:t xml:space="preserve">specific </w:t>
      </w:r>
      <w:r w:rsidRPr="001026E6">
        <w:rPr>
          <w:rFonts w:cs="Helvetica"/>
          <w:sz w:val="24"/>
          <w:szCs w:val="24"/>
        </w:rPr>
        <w:t xml:space="preserve">disclosure requirement is </w:t>
      </w:r>
      <w:r w:rsidR="00930A69" w:rsidRPr="001026E6">
        <w:rPr>
          <w:rFonts w:cs="Helvetica"/>
          <w:sz w:val="24"/>
          <w:szCs w:val="24"/>
        </w:rPr>
        <w:t>not applicable/not relevant to their intended Offering</w:t>
      </w:r>
      <w:r w:rsidR="00D43E76" w:rsidRPr="001026E6">
        <w:rPr>
          <w:rFonts w:cs="Helvetica"/>
          <w:sz w:val="24"/>
          <w:szCs w:val="24"/>
        </w:rPr>
        <w:t>,</w:t>
      </w:r>
      <w:r w:rsidRPr="001026E6">
        <w:rPr>
          <w:rFonts w:cs="Helvetica"/>
          <w:sz w:val="24"/>
          <w:szCs w:val="24"/>
        </w:rPr>
        <w:t xml:space="preserve"> </w:t>
      </w:r>
      <w:r w:rsidR="00462B7A" w:rsidRPr="001026E6">
        <w:rPr>
          <w:rFonts w:cs="Helvetica"/>
          <w:sz w:val="24"/>
          <w:szCs w:val="24"/>
        </w:rPr>
        <w:t xml:space="preserve">the Issuer is required </w:t>
      </w:r>
      <w:r w:rsidRPr="001026E6">
        <w:rPr>
          <w:rFonts w:cs="Helvetica"/>
          <w:sz w:val="24"/>
          <w:szCs w:val="24"/>
        </w:rPr>
        <w:t xml:space="preserve">to </w:t>
      </w:r>
      <w:r w:rsidR="00D43E76" w:rsidRPr="001026E6">
        <w:rPr>
          <w:rFonts w:cs="Helvetica"/>
          <w:sz w:val="24"/>
          <w:szCs w:val="24"/>
        </w:rPr>
        <w:t xml:space="preserve">request </w:t>
      </w:r>
      <w:r w:rsidR="00462B7A" w:rsidRPr="001026E6">
        <w:rPr>
          <w:rFonts w:cs="Helvetica"/>
          <w:sz w:val="24"/>
          <w:szCs w:val="24"/>
        </w:rPr>
        <w:t xml:space="preserve">from </w:t>
      </w:r>
      <w:r w:rsidR="00D43E76" w:rsidRPr="001026E6">
        <w:rPr>
          <w:rFonts w:cs="Helvetica"/>
          <w:sz w:val="24"/>
          <w:szCs w:val="24"/>
        </w:rPr>
        <w:t>the FSRA</w:t>
      </w:r>
      <w:r w:rsidRPr="001026E6">
        <w:rPr>
          <w:rFonts w:cs="Helvetica"/>
          <w:sz w:val="24"/>
          <w:szCs w:val="24"/>
        </w:rPr>
        <w:t xml:space="preserve"> a </w:t>
      </w:r>
      <w:r w:rsidR="00D43E76" w:rsidRPr="001026E6">
        <w:rPr>
          <w:rFonts w:cs="Helvetica"/>
          <w:sz w:val="24"/>
          <w:szCs w:val="24"/>
        </w:rPr>
        <w:t>modification/</w:t>
      </w:r>
      <w:r w:rsidRPr="001026E6">
        <w:rPr>
          <w:rFonts w:cs="Helvetica"/>
          <w:sz w:val="24"/>
          <w:szCs w:val="24"/>
        </w:rPr>
        <w:t xml:space="preserve">waiver at the time of submission </w:t>
      </w:r>
      <w:r w:rsidR="00D43E76" w:rsidRPr="001026E6">
        <w:rPr>
          <w:rFonts w:cs="Helvetica"/>
          <w:sz w:val="24"/>
          <w:szCs w:val="24"/>
        </w:rPr>
        <w:t xml:space="preserve">of the </w:t>
      </w:r>
      <w:r w:rsidR="004F556C" w:rsidRPr="001026E6">
        <w:rPr>
          <w:rFonts w:cs="Helvetica"/>
          <w:sz w:val="24"/>
          <w:szCs w:val="24"/>
        </w:rPr>
        <w:t xml:space="preserve">(Draft) </w:t>
      </w:r>
      <w:r w:rsidR="00D43E76" w:rsidRPr="001026E6">
        <w:rPr>
          <w:rFonts w:cs="Helvetica"/>
          <w:sz w:val="24"/>
          <w:szCs w:val="24"/>
        </w:rPr>
        <w:t>Approved Prospectus</w:t>
      </w:r>
      <w:r w:rsidR="00462B7A" w:rsidRPr="001026E6">
        <w:rPr>
          <w:rFonts w:cs="Helvetica"/>
          <w:sz w:val="24"/>
          <w:szCs w:val="24"/>
        </w:rPr>
        <w:t xml:space="preserve"> for FSRA approval</w:t>
      </w:r>
      <w:r w:rsidRPr="001026E6">
        <w:rPr>
          <w:rFonts w:cs="Helvetica"/>
          <w:sz w:val="24"/>
          <w:szCs w:val="24"/>
        </w:rPr>
        <w:t xml:space="preserve">. </w:t>
      </w:r>
      <w:r w:rsidR="001F12AD" w:rsidRPr="001026E6">
        <w:rPr>
          <w:rFonts w:cs="Helvetica"/>
          <w:sz w:val="24"/>
          <w:szCs w:val="24"/>
        </w:rPr>
        <w:t>Such</w:t>
      </w:r>
      <w:r w:rsidR="00D43E76" w:rsidRPr="001026E6">
        <w:rPr>
          <w:rFonts w:cs="Helvetica"/>
          <w:sz w:val="24"/>
          <w:szCs w:val="24"/>
        </w:rPr>
        <w:t xml:space="preserve"> request should be submitted in </w:t>
      </w:r>
      <w:r w:rsidR="00EF0D00" w:rsidRPr="001026E6">
        <w:rPr>
          <w:rFonts w:cs="Helvetica"/>
          <w:sz w:val="24"/>
          <w:szCs w:val="24"/>
        </w:rPr>
        <w:t xml:space="preserve">full </w:t>
      </w:r>
      <w:r w:rsidR="00D43E76" w:rsidRPr="001026E6">
        <w:rPr>
          <w:rFonts w:cs="Helvetica"/>
          <w:sz w:val="24"/>
          <w:szCs w:val="24"/>
        </w:rPr>
        <w:t>detail to the FSRA</w:t>
      </w:r>
      <w:r w:rsidR="00462B7A" w:rsidRPr="001026E6">
        <w:rPr>
          <w:rFonts w:cs="Helvetica"/>
          <w:sz w:val="24"/>
          <w:szCs w:val="24"/>
        </w:rPr>
        <w:t>.</w:t>
      </w:r>
      <w:r w:rsidR="00D43E76" w:rsidRPr="001026E6">
        <w:rPr>
          <w:rFonts w:cs="Helvetica"/>
          <w:sz w:val="24"/>
          <w:szCs w:val="24"/>
        </w:rPr>
        <w:t xml:space="preserve"> </w:t>
      </w:r>
    </w:p>
    <w:p w14:paraId="0D6FCD55" w14:textId="77777777" w:rsidR="000D773B" w:rsidRPr="001026E6" w:rsidRDefault="000D773B" w:rsidP="000D773B">
      <w:pPr>
        <w:pStyle w:val="ListParagraph"/>
        <w:ind w:left="426"/>
        <w:jc w:val="both"/>
        <w:rPr>
          <w:rFonts w:cs="Helvetica"/>
          <w:sz w:val="24"/>
          <w:szCs w:val="24"/>
        </w:rPr>
      </w:pPr>
    </w:p>
    <w:p w14:paraId="1524E636" w14:textId="77777777" w:rsidR="000D773B" w:rsidRPr="001026E6" w:rsidRDefault="00110748" w:rsidP="003841FF">
      <w:pPr>
        <w:pStyle w:val="ListParagraph"/>
        <w:numPr>
          <w:ilvl w:val="0"/>
          <w:numId w:val="1"/>
        </w:numPr>
        <w:ind w:left="426"/>
        <w:jc w:val="both"/>
        <w:rPr>
          <w:rFonts w:cs="Helvetica"/>
          <w:sz w:val="24"/>
          <w:szCs w:val="24"/>
        </w:rPr>
      </w:pPr>
      <w:r w:rsidRPr="001026E6">
        <w:rPr>
          <w:rFonts w:cs="Helvetica"/>
          <w:sz w:val="24"/>
          <w:szCs w:val="24"/>
        </w:rPr>
        <w:t xml:space="preserve">In </w:t>
      </w:r>
      <w:r w:rsidR="001F12AD" w:rsidRPr="001026E6">
        <w:rPr>
          <w:rFonts w:cs="Helvetica"/>
          <w:sz w:val="24"/>
          <w:szCs w:val="24"/>
        </w:rPr>
        <w:t xml:space="preserve">the particular context of Digital Securities, further guidance is set out below in relation to several </w:t>
      </w:r>
      <w:r w:rsidR="000D773B" w:rsidRPr="001026E6">
        <w:rPr>
          <w:rFonts w:cs="Helvetica"/>
          <w:sz w:val="24"/>
          <w:szCs w:val="24"/>
        </w:rPr>
        <w:t>key disclosure requirements</w:t>
      </w:r>
      <w:r w:rsidR="00EF0D00" w:rsidRPr="001026E6">
        <w:rPr>
          <w:rFonts w:cs="Helvetica"/>
          <w:sz w:val="24"/>
          <w:szCs w:val="24"/>
        </w:rPr>
        <w:t xml:space="preserve"> for an Approved Prospectus</w:t>
      </w:r>
      <w:r w:rsidRPr="001026E6">
        <w:rPr>
          <w:rFonts w:cs="Helvetica"/>
          <w:sz w:val="24"/>
          <w:szCs w:val="24"/>
        </w:rPr>
        <w:t>:</w:t>
      </w:r>
      <w:r w:rsidR="000D773B" w:rsidRPr="001026E6">
        <w:rPr>
          <w:rFonts w:cs="Helvetica"/>
          <w:sz w:val="24"/>
          <w:szCs w:val="24"/>
        </w:rPr>
        <w:t xml:space="preserve"> </w:t>
      </w:r>
    </w:p>
    <w:p w14:paraId="43A05F2A" w14:textId="77777777" w:rsidR="000D773B" w:rsidRPr="001026E6" w:rsidRDefault="000D773B" w:rsidP="00863BA2">
      <w:pPr>
        <w:jc w:val="both"/>
        <w:rPr>
          <w:rFonts w:cs="Helvetica"/>
          <w:sz w:val="24"/>
          <w:szCs w:val="24"/>
        </w:rPr>
      </w:pPr>
    </w:p>
    <w:p w14:paraId="7A6F94E9" w14:textId="77777777" w:rsidR="000D773B" w:rsidRPr="001026E6" w:rsidRDefault="00110748" w:rsidP="003841FF">
      <w:pPr>
        <w:pStyle w:val="ListParagraph"/>
        <w:numPr>
          <w:ilvl w:val="1"/>
          <w:numId w:val="1"/>
        </w:numPr>
        <w:ind w:left="851"/>
        <w:jc w:val="both"/>
        <w:rPr>
          <w:rFonts w:cs="Helvetica"/>
          <w:sz w:val="24"/>
          <w:szCs w:val="24"/>
        </w:rPr>
      </w:pPr>
      <w:r w:rsidRPr="001026E6">
        <w:rPr>
          <w:rFonts w:cs="Helvetica"/>
          <w:sz w:val="24"/>
          <w:szCs w:val="24"/>
          <w:u w:val="single"/>
        </w:rPr>
        <w:t>Prospectus language:</w:t>
      </w:r>
      <w:r w:rsidRPr="001026E6">
        <w:rPr>
          <w:rFonts w:cs="Helvetica"/>
          <w:sz w:val="24"/>
          <w:szCs w:val="24"/>
        </w:rPr>
        <w:t xml:space="preserve"> </w:t>
      </w:r>
      <w:r w:rsidR="000D773B" w:rsidRPr="001026E6">
        <w:rPr>
          <w:rFonts w:cs="Helvetica"/>
          <w:sz w:val="24"/>
          <w:szCs w:val="24"/>
        </w:rPr>
        <w:t xml:space="preserve">Issuers should ensure </w:t>
      </w:r>
      <w:r w:rsidRPr="001026E6">
        <w:rPr>
          <w:rFonts w:cs="Helvetica"/>
          <w:sz w:val="24"/>
          <w:szCs w:val="24"/>
        </w:rPr>
        <w:t xml:space="preserve">that </w:t>
      </w:r>
      <w:r w:rsidR="000D773B" w:rsidRPr="001026E6">
        <w:rPr>
          <w:rFonts w:cs="Helvetica"/>
          <w:sz w:val="24"/>
          <w:szCs w:val="24"/>
        </w:rPr>
        <w:t xml:space="preserve">when preparing a </w:t>
      </w:r>
      <w:r w:rsidRPr="001026E6">
        <w:rPr>
          <w:rFonts w:cs="Helvetica"/>
          <w:sz w:val="24"/>
          <w:szCs w:val="24"/>
        </w:rPr>
        <w:t>P</w:t>
      </w:r>
      <w:r w:rsidR="000D773B" w:rsidRPr="001026E6">
        <w:rPr>
          <w:rFonts w:cs="Helvetica"/>
          <w:sz w:val="24"/>
          <w:szCs w:val="24"/>
        </w:rPr>
        <w:t xml:space="preserve">rospectus, it is ‘easily analysable and comprehensible’ to retail </w:t>
      </w:r>
      <w:r w:rsidRPr="001026E6">
        <w:rPr>
          <w:rFonts w:cs="Helvetica"/>
          <w:sz w:val="24"/>
          <w:szCs w:val="24"/>
        </w:rPr>
        <w:t>investors</w:t>
      </w:r>
      <w:r w:rsidR="000D773B" w:rsidRPr="001026E6">
        <w:rPr>
          <w:rFonts w:cs="Helvetica"/>
          <w:sz w:val="24"/>
          <w:szCs w:val="24"/>
        </w:rPr>
        <w:t xml:space="preserve">. This means </w:t>
      </w:r>
      <w:r w:rsidRPr="001026E6">
        <w:rPr>
          <w:rFonts w:cs="Helvetica"/>
          <w:sz w:val="24"/>
          <w:szCs w:val="24"/>
        </w:rPr>
        <w:t xml:space="preserve">that </w:t>
      </w:r>
      <w:r w:rsidR="000D773B" w:rsidRPr="001026E6">
        <w:rPr>
          <w:rFonts w:cs="Helvetica"/>
          <w:sz w:val="24"/>
          <w:szCs w:val="24"/>
        </w:rPr>
        <w:t xml:space="preserve">the </w:t>
      </w:r>
      <w:r w:rsidRPr="001026E6">
        <w:rPr>
          <w:rFonts w:cs="Helvetica"/>
          <w:sz w:val="24"/>
          <w:szCs w:val="24"/>
        </w:rPr>
        <w:t>P</w:t>
      </w:r>
      <w:r w:rsidR="000D773B" w:rsidRPr="001026E6">
        <w:rPr>
          <w:rFonts w:cs="Helvetica"/>
          <w:sz w:val="24"/>
          <w:szCs w:val="24"/>
        </w:rPr>
        <w:t>rospectus should be written in a style that is appropriate for retail investors</w:t>
      </w:r>
      <w:r w:rsidRPr="001026E6">
        <w:rPr>
          <w:rFonts w:cs="Helvetica"/>
          <w:sz w:val="24"/>
          <w:szCs w:val="24"/>
        </w:rPr>
        <w:t>,</w:t>
      </w:r>
      <w:r w:rsidR="000D773B" w:rsidRPr="001026E6">
        <w:rPr>
          <w:rFonts w:cs="Helvetica"/>
          <w:sz w:val="24"/>
          <w:szCs w:val="24"/>
        </w:rPr>
        <w:t xml:space="preserve"> and </w:t>
      </w:r>
      <w:r w:rsidRPr="001026E6">
        <w:rPr>
          <w:rFonts w:cs="Helvetica"/>
          <w:sz w:val="24"/>
          <w:szCs w:val="24"/>
        </w:rPr>
        <w:t>that</w:t>
      </w:r>
      <w:r w:rsidR="000D773B" w:rsidRPr="001026E6">
        <w:rPr>
          <w:rFonts w:cs="Helvetica"/>
          <w:sz w:val="24"/>
          <w:szCs w:val="24"/>
        </w:rPr>
        <w:t xml:space="preserve"> the use of defined terms, technical language and market </w:t>
      </w:r>
      <w:r w:rsidRPr="001026E6">
        <w:rPr>
          <w:rFonts w:cs="Helvetica"/>
          <w:sz w:val="24"/>
          <w:szCs w:val="24"/>
        </w:rPr>
        <w:t>terminology</w:t>
      </w:r>
      <w:r w:rsidR="000D773B" w:rsidRPr="001026E6">
        <w:rPr>
          <w:rFonts w:cs="Helvetica"/>
          <w:sz w:val="24"/>
          <w:szCs w:val="24"/>
        </w:rPr>
        <w:t xml:space="preserve"> should be restricted to circumstances where their use aid</w:t>
      </w:r>
      <w:r w:rsidRPr="001026E6">
        <w:rPr>
          <w:rFonts w:cs="Helvetica"/>
          <w:sz w:val="24"/>
          <w:szCs w:val="24"/>
        </w:rPr>
        <w:t>s</w:t>
      </w:r>
      <w:r w:rsidR="000D773B" w:rsidRPr="001026E6">
        <w:rPr>
          <w:rFonts w:cs="Helvetica"/>
          <w:sz w:val="24"/>
          <w:szCs w:val="24"/>
        </w:rPr>
        <w:t xml:space="preserve"> the comprehension of a retail investor</w:t>
      </w:r>
      <w:r w:rsidRPr="001026E6">
        <w:rPr>
          <w:rFonts w:cs="Helvetica"/>
          <w:sz w:val="24"/>
          <w:szCs w:val="24"/>
        </w:rPr>
        <w:t>,</w:t>
      </w:r>
      <w:r w:rsidR="000D773B" w:rsidRPr="001026E6">
        <w:rPr>
          <w:rFonts w:cs="Helvetica"/>
          <w:sz w:val="24"/>
          <w:szCs w:val="24"/>
        </w:rPr>
        <w:t xml:space="preserve"> or where their use is necessary to ensure the </w:t>
      </w:r>
      <w:r w:rsidRPr="001026E6">
        <w:rPr>
          <w:rFonts w:cs="Helvetica"/>
          <w:sz w:val="24"/>
          <w:szCs w:val="24"/>
        </w:rPr>
        <w:t>P</w:t>
      </w:r>
      <w:r w:rsidR="000D773B" w:rsidRPr="001026E6">
        <w:rPr>
          <w:rFonts w:cs="Helvetica"/>
          <w:sz w:val="24"/>
          <w:szCs w:val="24"/>
        </w:rPr>
        <w:t xml:space="preserve">rospectus is true, accurate and not misleading. </w:t>
      </w:r>
    </w:p>
    <w:p w14:paraId="25B0B9DD" w14:textId="77777777" w:rsidR="000D773B" w:rsidRPr="001026E6" w:rsidRDefault="000D773B" w:rsidP="00110748">
      <w:pPr>
        <w:pStyle w:val="ListParagraph"/>
        <w:ind w:left="851"/>
        <w:jc w:val="both"/>
        <w:rPr>
          <w:rFonts w:cs="Helvetica"/>
          <w:sz w:val="24"/>
          <w:szCs w:val="24"/>
        </w:rPr>
      </w:pPr>
    </w:p>
    <w:p w14:paraId="07D719A6" w14:textId="77777777" w:rsidR="000D773B" w:rsidRPr="001026E6" w:rsidRDefault="000D773B" w:rsidP="00EF0D00">
      <w:pPr>
        <w:pStyle w:val="ListParagraph"/>
        <w:numPr>
          <w:ilvl w:val="1"/>
          <w:numId w:val="1"/>
        </w:numPr>
        <w:ind w:left="851"/>
        <w:jc w:val="both"/>
        <w:rPr>
          <w:rFonts w:cs="Helvetica"/>
          <w:sz w:val="24"/>
          <w:szCs w:val="24"/>
        </w:rPr>
      </w:pPr>
      <w:r w:rsidRPr="001026E6">
        <w:rPr>
          <w:rFonts w:cs="Helvetica"/>
          <w:sz w:val="24"/>
          <w:szCs w:val="24"/>
          <w:u w:val="single"/>
        </w:rPr>
        <w:t>Risk Factors</w:t>
      </w:r>
      <w:r w:rsidR="00110748" w:rsidRPr="001026E6">
        <w:rPr>
          <w:rFonts w:cs="Helvetica"/>
          <w:sz w:val="24"/>
          <w:szCs w:val="24"/>
        </w:rPr>
        <w:t>:</w:t>
      </w:r>
      <w:r w:rsidRPr="001026E6">
        <w:rPr>
          <w:rFonts w:cs="Helvetica"/>
          <w:sz w:val="24"/>
          <w:szCs w:val="24"/>
        </w:rPr>
        <w:t xml:space="preserve"> </w:t>
      </w:r>
      <w:r w:rsidR="00C7689C" w:rsidRPr="001026E6">
        <w:rPr>
          <w:rFonts w:cs="Helvetica"/>
          <w:sz w:val="24"/>
          <w:szCs w:val="24"/>
        </w:rPr>
        <w:t>Pursuant to MKT Appendix 1.1.1-2.3, p</w:t>
      </w:r>
      <w:r w:rsidRPr="001026E6">
        <w:rPr>
          <w:rFonts w:cs="Helvetica"/>
          <w:sz w:val="24"/>
          <w:szCs w:val="24"/>
        </w:rPr>
        <w:t xml:space="preserve">roper consideration </w:t>
      </w:r>
      <w:r w:rsidR="00EF0D00" w:rsidRPr="001026E6">
        <w:rPr>
          <w:rFonts w:cs="Helvetica"/>
          <w:sz w:val="24"/>
          <w:szCs w:val="24"/>
        </w:rPr>
        <w:t xml:space="preserve">is to be </w:t>
      </w:r>
      <w:r w:rsidRPr="001026E6">
        <w:rPr>
          <w:rFonts w:cs="Helvetica"/>
          <w:sz w:val="24"/>
          <w:szCs w:val="24"/>
        </w:rPr>
        <w:t xml:space="preserve">given to the real risks that face an </w:t>
      </w:r>
      <w:r w:rsidR="00110748" w:rsidRPr="001026E6">
        <w:rPr>
          <w:rFonts w:cs="Helvetica"/>
          <w:sz w:val="24"/>
          <w:szCs w:val="24"/>
        </w:rPr>
        <w:t>I</w:t>
      </w:r>
      <w:r w:rsidRPr="001026E6">
        <w:rPr>
          <w:rFonts w:cs="Helvetica"/>
          <w:sz w:val="24"/>
          <w:szCs w:val="24"/>
        </w:rPr>
        <w:t>ssuer</w:t>
      </w:r>
      <w:r w:rsidR="00110748" w:rsidRPr="001026E6">
        <w:rPr>
          <w:rFonts w:cs="Helvetica"/>
          <w:sz w:val="24"/>
          <w:szCs w:val="24"/>
        </w:rPr>
        <w:t>,</w:t>
      </w:r>
      <w:r w:rsidRPr="001026E6">
        <w:rPr>
          <w:rFonts w:cs="Helvetica"/>
          <w:sz w:val="24"/>
          <w:szCs w:val="24"/>
        </w:rPr>
        <w:t xml:space="preserve"> and generic or boilerplate disclosures </w:t>
      </w:r>
      <w:r w:rsidR="001F12AD" w:rsidRPr="001026E6">
        <w:rPr>
          <w:rFonts w:cs="Helvetica"/>
          <w:sz w:val="24"/>
          <w:szCs w:val="24"/>
        </w:rPr>
        <w:t>are to</w:t>
      </w:r>
      <w:r w:rsidRPr="001026E6">
        <w:rPr>
          <w:rFonts w:cs="Helvetica"/>
          <w:sz w:val="24"/>
          <w:szCs w:val="24"/>
        </w:rPr>
        <w:t xml:space="preserve"> be avoided. If </w:t>
      </w:r>
      <w:r w:rsidR="00110748" w:rsidRPr="001026E6">
        <w:rPr>
          <w:rFonts w:cs="Helvetica"/>
          <w:sz w:val="24"/>
          <w:szCs w:val="24"/>
        </w:rPr>
        <w:t xml:space="preserve">a </w:t>
      </w:r>
      <w:r w:rsidRPr="001026E6">
        <w:rPr>
          <w:rFonts w:cs="Helvetica"/>
          <w:sz w:val="24"/>
          <w:szCs w:val="24"/>
        </w:rPr>
        <w:t xml:space="preserve">risk </w:t>
      </w:r>
      <w:r w:rsidR="00110748" w:rsidRPr="001026E6">
        <w:rPr>
          <w:rFonts w:cs="Helvetica"/>
          <w:sz w:val="24"/>
          <w:szCs w:val="24"/>
        </w:rPr>
        <w:t>is</w:t>
      </w:r>
      <w:r w:rsidRPr="001026E6">
        <w:rPr>
          <w:rFonts w:cs="Helvetica"/>
          <w:sz w:val="24"/>
          <w:szCs w:val="24"/>
        </w:rPr>
        <w:t xml:space="preserve"> not relevant to a particular </w:t>
      </w:r>
      <w:r w:rsidR="00110748" w:rsidRPr="001026E6">
        <w:rPr>
          <w:rFonts w:cs="Helvetica"/>
          <w:sz w:val="24"/>
          <w:szCs w:val="24"/>
        </w:rPr>
        <w:t>I</w:t>
      </w:r>
      <w:r w:rsidRPr="001026E6">
        <w:rPr>
          <w:rFonts w:cs="Helvetica"/>
          <w:sz w:val="24"/>
          <w:szCs w:val="24"/>
        </w:rPr>
        <w:t>ssuer</w:t>
      </w:r>
      <w:r w:rsidR="00EF0D00" w:rsidRPr="001026E6">
        <w:rPr>
          <w:rFonts w:cs="Helvetica"/>
          <w:sz w:val="24"/>
          <w:szCs w:val="24"/>
        </w:rPr>
        <w:t>, or its</w:t>
      </w:r>
      <w:r w:rsidRPr="001026E6">
        <w:rPr>
          <w:rFonts w:cs="Helvetica"/>
          <w:sz w:val="24"/>
          <w:szCs w:val="24"/>
        </w:rPr>
        <w:t xml:space="preserve"> Digital Securit</w:t>
      </w:r>
      <w:r w:rsidR="001F12AD" w:rsidRPr="001026E6">
        <w:rPr>
          <w:rFonts w:cs="Helvetica"/>
          <w:sz w:val="24"/>
          <w:szCs w:val="24"/>
        </w:rPr>
        <w:t>ies</w:t>
      </w:r>
      <w:r w:rsidR="00110748" w:rsidRPr="001026E6">
        <w:rPr>
          <w:rFonts w:cs="Helvetica"/>
          <w:sz w:val="24"/>
          <w:szCs w:val="24"/>
        </w:rPr>
        <w:t>,</w:t>
      </w:r>
      <w:r w:rsidRPr="001026E6">
        <w:rPr>
          <w:rFonts w:cs="Helvetica"/>
          <w:sz w:val="24"/>
          <w:szCs w:val="24"/>
        </w:rPr>
        <w:t xml:space="preserve"> then </w:t>
      </w:r>
      <w:r w:rsidR="002C365E" w:rsidRPr="001026E6">
        <w:rPr>
          <w:rFonts w:cs="Helvetica"/>
          <w:sz w:val="24"/>
          <w:szCs w:val="24"/>
        </w:rPr>
        <w:t xml:space="preserve">it is expected that </w:t>
      </w:r>
      <w:r w:rsidRPr="001026E6">
        <w:rPr>
          <w:rFonts w:cs="Helvetica"/>
          <w:sz w:val="24"/>
          <w:szCs w:val="24"/>
        </w:rPr>
        <w:t>no disclosure o</w:t>
      </w:r>
      <w:r w:rsidR="002C365E" w:rsidRPr="001026E6">
        <w:rPr>
          <w:rFonts w:cs="Helvetica"/>
          <w:sz w:val="24"/>
          <w:szCs w:val="24"/>
        </w:rPr>
        <w:t>f</w:t>
      </w:r>
      <w:r w:rsidRPr="001026E6">
        <w:rPr>
          <w:rFonts w:cs="Helvetica"/>
          <w:sz w:val="24"/>
          <w:szCs w:val="24"/>
        </w:rPr>
        <w:t xml:space="preserve"> that </w:t>
      </w:r>
      <w:r w:rsidR="002C365E" w:rsidRPr="001026E6">
        <w:rPr>
          <w:rFonts w:cs="Helvetica"/>
          <w:sz w:val="24"/>
          <w:szCs w:val="24"/>
        </w:rPr>
        <w:t>risk</w:t>
      </w:r>
      <w:r w:rsidRPr="001026E6">
        <w:rPr>
          <w:rFonts w:cs="Helvetica"/>
          <w:sz w:val="24"/>
          <w:szCs w:val="24"/>
        </w:rPr>
        <w:t xml:space="preserve"> be included in the </w:t>
      </w:r>
      <w:r w:rsidR="002C365E" w:rsidRPr="001026E6">
        <w:rPr>
          <w:rFonts w:cs="Helvetica"/>
          <w:sz w:val="24"/>
          <w:szCs w:val="24"/>
        </w:rPr>
        <w:t>I</w:t>
      </w:r>
      <w:r w:rsidRPr="001026E6">
        <w:rPr>
          <w:rFonts w:cs="Helvetica"/>
          <w:sz w:val="24"/>
          <w:szCs w:val="24"/>
        </w:rPr>
        <w:t xml:space="preserve">ssuer’s </w:t>
      </w:r>
      <w:r w:rsidR="002C365E" w:rsidRPr="001026E6">
        <w:rPr>
          <w:rFonts w:cs="Helvetica"/>
          <w:sz w:val="24"/>
          <w:szCs w:val="24"/>
        </w:rPr>
        <w:t>Prospectus</w:t>
      </w:r>
      <w:r w:rsidRPr="001026E6">
        <w:rPr>
          <w:rFonts w:cs="Helvetica"/>
          <w:sz w:val="24"/>
          <w:szCs w:val="24"/>
        </w:rPr>
        <w:t xml:space="preserve">. Risk factors should be grouped together in a coherent manner and risk factors considered to be of the greatest or most-immediate significance should be </w:t>
      </w:r>
      <w:r w:rsidR="001F12AD" w:rsidRPr="001026E6">
        <w:rPr>
          <w:rFonts w:cs="Helvetica"/>
          <w:sz w:val="24"/>
          <w:szCs w:val="24"/>
        </w:rPr>
        <w:t>disclosed</w:t>
      </w:r>
      <w:r w:rsidR="002C365E" w:rsidRPr="001026E6">
        <w:rPr>
          <w:rFonts w:cs="Helvetica"/>
          <w:sz w:val="24"/>
          <w:szCs w:val="24"/>
        </w:rPr>
        <w:t xml:space="preserve"> </w:t>
      </w:r>
      <w:r w:rsidRPr="001026E6">
        <w:rPr>
          <w:rFonts w:cs="Helvetica"/>
          <w:sz w:val="24"/>
          <w:szCs w:val="24"/>
        </w:rPr>
        <w:t>prominent</w:t>
      </w:r>
      <w:r w:rsidR="001F12AD" w:rsidRPr="001026E6">
        <w:rPr>
          <w:rFonts w:cs="Helvetica"/>
          <w:sz w:val="24"/>
          <w:szCs w:val="24"/>
        </w:rPr>
        <w:t>ly</w:t>
      </w:r>
      <w:r w:rsidRPr="001026E6">
        <w:rPr>
          <w:rFonts w:cs="Helvetica"/>
          <w:sz w:val="24"/>
          <w:szCs w:val="24"/>
        </w:rPr>
        <w:t xml:space="preserve"> at the beginning of the risk factors section.</w:t>
      </w:r>
    </w:p>
    <w:p w14:paraId="61FF97EB" w14:textId="77777777" w:rsidR="000D773B" w:rsidRPr="001026E6" w:rsidRDefault="000D773B" w:rsidP="00110748">
      <w:pPr>
        <w:pStyle w:val="ListParagraph"/>
        <w:ind w:left="851"/>
        <w:jc w:val="both"/>
        <w:rPr>
          <w:rFonts w:cs="Helvetica"/>
          <w:sz w:val="24"/>
          <w:szCs w:val="24"/>
        </w:rPr>
      </w:pPr>
    </w:p>
    <w:p w14:paraId="25740F6E" w14:textId="77777777" w:rsidR="000D773B" w:rsidRPr="001026E6" w:rsidRDefault="002C365E" w:rsidP="00044CAA">
      <w:pPr>
        <w:pStyle w:val="ListParagraph"/>
        <w:numPr>
          <w:ilvl w:val="1"/>
          <w:numId w:val="1"/>
        </w:numPr>
        <w:ind w:left="851"/>
        <w:jc w:val="both"/>
        <w:rPr>
          <w:rFonts w:cs="Helvetica"/>
          <w:sz w:val="24"/>
          <w:szCs w:val="24"/>
        </w:rPr>
      </w:pPr>
      <w:r w:rsidRPr="001026E6">
        <w:rPr>
          <w:rFonts w:cs="Helvetica"/>
          <w:sz w:val="24"/>
          <w:szCs w:val="24"/>
          <w:u w:val="single"/>
        </w:rPr>
        <w:lastRenderedPageBreak/>
        <w:t xml:space="preserve">Responsibility: </w:t>
      </w:r>
      <w:r w:rsidR="000D773B" w:rsidRPr="001026E6">
        <w:rPr>
          <w:rFonts w:cs="Helvetica"/>
          <w:sz w:val="24"/>
          <w:szCs w:val="24"/>
        </w:rPr>
        <w:t xml:space="preserve">As per MKT </w:t>
      </w:r>
      <w:r w:rsidRPr="001026E6">
        <w:rPr>
          <w:rFonts w:cs="Helvetica"/>
          <w:sz w:val="24"/>
          <w:szCs w:val="24"/>
        </w:rPr>
        <w:t xml:space="preserve">Rule </w:t>
      </w:r>
      <w:r w:rsidR="000D773B" w:rsidRPr="001026E6">
        <w:rPr>
          <w:rFonts w:cs="Helvetica"/>
          <w:sz w:val="24"/>
          <w:szCs w:val="24"/>
        </w:rPr>
        <w:t xml:space="preserve">4.10, </w:t>
      </w:r>
      <w:r w:rsidRPr="001026E6">
        <w:rPr>
          <w:rFonts w:cs="Helvetica"/>
          <w:sz w:val="24"/>
          <w:szCs w:val="24"/>
        </w:rPr>
        <w:t>an</w:t>
      </w:r>
      <w:r w:rsidR="000D773B" w:rsidRPr="001026E6">
        <w:rPr>
          <w:rFonts w:cs="Helvetica"/>
          <w:sz w:val="24"/>
          <w:szCs w:val="24"/>
        </w:rPr>
        <w:t xml:space="preserve"> Issuer or the Person making a Prospectus Offer remains responsible for all disclosures within </w:t>
      </w:r>
      <w:r w:rsidRPr="001026E6">
        <w:rPr>
          <w:rFonts w:cs="Helvetica"/>
          <w:sz w:val="24"/>
          <w:szCs w:val="24"/>
        </w:rPr>
        <w:t>a</w:t>
      </w:r>
      <w:r w:rsidR="000D773B" w:rsidRPr="001026E6">
        <w:rPr>
          <w:rFonts w:cs="Helvetica"/>
          <w:sz w:val="24"/>
          <w:szCs w:val="24"/>
        </w:rPr>
        <w:t xml:space="preserve"> </w:t>
      </w:r>
      <w:r w:rsidRPr="001026E6">
        <w:rPr>
          <w:rFonts w:cs="Helvetica"/>
          <w:sz w:val="24"/>
          <w:szCs w:val="24"/>
        </w:rPr>
        <w:t>P</w:t>
      </w:r>
      <w:r w:rsidR="000D773B" w:rsidRPr="001026E6">
        <w:rPr>
          <w:rFonts w:cs="Helvetica"/>
          <w:sz w:val="24"/>
          <w:szCs w:val="24"/>
        </w:rPr>
        <w:t>rospectus and ensur</w:t>
      </w:r>
      <w:r w:rsidRPr="001026E6">
        <w:rPr>
          <w:rFonts w:cs="Helvetica"/>
          <w:sz w:val="24"/>
          <w:szCs w:val="24"/>
        </w:rPr>
        <w:t>ing</w:t>
      </w:r>
      <w:r w:rsidR="000D773B" w:rsidRPr="001026E6">
        <w:rPr>
          <w:rFonts w:cs="Helvetica"/>
          <w:sz w:val="24"/>
          <w:szCs w:val="24"/>
        </w:rPr>
        <w:t xml:space="preserve"> </w:t>
      </w:r>
      <w:r w:rsidRPr="001026E6">
        <w:rPr>
          <w:rFonts w:cs="Helvetica"/>
          <w:sz w:val="24"/>
          <w:szCs w:val="24"/>
        </w:rPr>
        <w:t>that the disclosures within a Prospectus are</w:t>
      </w:r>
      <w:r w:rsidR="000D773B" w:rsidRPr="001026E6">
        <w:rPr>
          <w:rFonts w:cs="Helvetica"/>
          <w:sz w:val="24"/>
          <w:szCs w:val="24"/>
        </w:rPr>
        <w:t xml:space="preserve"> clear and not misleading. </w:t>
      </w:r>
    </w:p>
    <w:p w14:paraId="7080A881" w14:textId="77777777" w:rsidR="000D773B" w:rsidRPr="001026E6" w:rsidRDefault="000D773B" w:rsidP="00110748">
      <w:pPr>
        <w:pStyle w:val="ListParagraph"/>
        <w:ind w:left="851"/>
        <w:jc w:val="both"/>
        <w:rPr>
          <w:rFonts w:cs="Helvetica"/>
          <w:sz w:val="24"/>
          <w:szCs w:val="24"/>
        </w:rPr>
      </w:pPr>
    </w:p>
    <w:p w14:paraId="12CD49E3" w14:textId="77777777" w:rsidR="000D773B" w:rsidRPr="001026E6" w:rsidRDefault="000D773B" w:rsidP="00D846FE">
      <w:pPr>
        <w:pStyle w:val="ListParagraph"/>
        <w:numPr>
          <w:ilvl w:val="1"/>
          <w:numId w:val="1"/>
        </w:numPr>
        <w:ind w:left="851"/>
        <w:jc w:val="both"/>
        <w:rPr>
          <w:rFonts w:cs="Helvetica"/>
          <w:sz w:val="24"/>
          <w:szCs w:val="24"/>
        </w:rPr>
      </w:pPr>
      <w:r w:rsidRPr="001026E6">
        <w:rPr>
          <w:rFonts w:cs="Helvetica"/>
          <w:sz w:val="24"/>
          <w:szCs w:val="24"/>
          <w:u w:val="single"/>
        </w:rPr>
        <w:t>General Information</w:t>
      </w:r>
      <w:r w:rsidR="002C365E" w:rsidRPr="001026E6">
        <w:rPr>
          <w:rFonts w:cs="Helvetica"/>
          <w:sz w:val="24"/>
          <w:szCs w:val="24"/>
          <w:u w:val="single"/>
        </w:rPr>
        <w:t>:</w:t>
      </w:r>
      <w:r w:rsidRPr="001026E6">
        <w:rPr>
          <w:rFonts w:cs="Helvetica"/>
          <w:sz w:val="24"/>
          <w:szCs w:val="24"/>
        </w:rPr>
        <w:t xml:space="preserve"> </w:t>
      </w:r>
      <w:r w:rsidR="002C365E" w:rsidRPr="001026E6">
        <w:rPr>
          <w:rFonts w:cs="Helvetica"/>
          <w:sz w:val="24"/>
          <w:szCs w:val="24"/>
        </w:rPr>
        <w:t>As set out in MKT Appendix 1</w:t>
      </w:r>
      <w:r w:rsidR="00C7689C" w:rsidRPr="001026E6">
        <w:rPr>
          <w:rFonts w:cs="Helvetica"/>
          <w:sz w:val="24"/>
          <w:szCs w:val="24"/>
        </w:rPr>
        <w:t>.1.1</w:t>
      </w:r>
      <w:r w:rsidR="002C365E" w:rsidRPr="001026E6">
        <w:rPr>
          <w:rFonts w:cs="Helvetica"/>
          <w:sz w:val="24"/>
          <w:szCs w:val="24"/>
        </w:rPr>
        <w:t>-1.1, t</w:t>
      </w:r>
      <w:r w:rsidRPr="001026E6">
        <w:rPr>
          <w:rFonts w:cs="Helvetica"/>
          <w:sz w:val="24"/>
          <w:szCs w:val="24"/>
        </w:rPr>
        <w:t xml:space="preserve">he country of incorporation of the Issuer and its </w:t>
      </w:r>
      <w:r w:rsidR="00D72799" w:rsidRPr="001026E6">
        <w:rPr>
          <w:rFonts w:cs="Helvetica"/>
          <w:sz w:val="24"/>
          <w:szCs w:val="24"/>
        </w:rPr>
        <w:t>in</w:t>
      </w:r>
      <w:r w:rsidRPr="001026E6">
        <w:rPr>
          <w:rFonts w:cs="Helvetica"/>
          <w:sz w:val="24"/>
          <w:szCs w:val="24"/>
        </w:rPr>
        <w:t xml:space="preserve">corporation number should be clearly disclosed within the </w:t>
      </w:r>
      <w:r w:rsidR="002C365E" w:rsidRPr="001026E6">
        <w:rPr>
          <w:rFonts w:cs="Helvetica"/>
          <w:sz w:val="24"/>
          <w:szCs w:val="24"/>
        </w:rPr>
        <w:t>P</w:t>
      </w:r>
      <w:r w:rsidRPr="001026E6">
        <w:rPr>
          <w:rFonts w:cs="Helvetica"/>
          <w:sz w:val="24"/>
          <w:szCs w:val="24"/>
        </w:rPr>
        <w:t xml:space="preserve">rospectus. A statement should be included on whether the Issuer has been established as a special purpose vehicle or entity for the purpose of issuing asset backed Securities.  </w:t>
      </w:r>
      <w:r w:rsidR="006E4159" w:rsidRPr="001026E6">
        <w:rPr>
          <w:rFonts w:cs="Helvetica"/>
          <w:sz w:val="24"/>
          <w:szCs w:val="24"/>
        </w:rPr>
        <w:t>In the context of Digital Securities, the FSRA would generally view digital representations (such as tokens) of Debentures or notes backed by financial assets to be considered asset backed for the purpose of this disclosure requirement. Please note that the disclosure requirement in Securities Note – 7.1 also applies.</w:t>
      </w:r>
    </w:p>
    <w:p w14:paraId="68984807" w14:textId="77777777" w:rsidR="006E4159" w:rsidRPr="001026E6" w:rsidRDefault="006E4159" w:rsidP="006E4159">
      <w:pPr>
        <w:jc w:val="both"/>
        <w:rPr>
          <w:rFonts w:cs="Helvetica"/>
          <w:sz w:val="24"/>
          <w:szCs w:val="24"/>
        </w:rPr>
      </w:pPr>
    </w:p>
    <w:p w14:paraId="35102815" w14:textId="77777777" w:rsidR="000D773B" w:rsidRPr="001026E6" w:rsidRDefault="000D773B" w:rsidP="00044CAA">
      <w:pPr>
        <w:pStyle w:val="ListParagraph"/>
        <w:numPr>
          <w:ilvl w:val="1"/>
          <w:numId w:val="1"/>
        </w:numPr>
        <w:ind w:left="851"/>
        <w:jc w:val="both"/>
        <w:rPr>
          <w:rFonts w:cs="Helvetica"/>
          <w:sz w:val="24"/>
          <w:szCs w:val="24"/>
        </w:rPr>
      </w:pPr>
      <w:r w:rsidRPr="001026E6">
        <w:rPr>
          <w:rFonts w:cs="Helvetica"/>
          <w:sz w:val="24"/>
          <w:szCs w:val="24"/>
          <w:u w:val="single"/>
        </w:rPr>
        <w:t>Actual and proposed business activities</w:t>
      </w:r>
      <w:r w:rsidR="002C365E" w:rsidRPr="001026E6">
        <w:rPr>
          <w:rFonts w:cs="Helvetica"/>
          <w:sz w:val="24"/>
          <w:szCs w:val="24"/>
        </w:rPr>
        <w:t>:</w:t>
      </w:r>
      <w:r w:rsidRPr="001026E6">
        <w:rPr>
          <w:rFonts w:cs="Helvetica"/>
          <w:sz w:val="24"/>
          <w:szCs w:val="24"/>
        </w:rPr>
        <w:t xml:space="preserve"> </w:t>
      </w:r>
      <w:r w:rsidR="002C365E" w:rsidRPr="001026E6">
        <w:rPr>
          <w:rFonts w:cs="Helvetica"/>
          <w:sz w:val="24"/>
          <w:szCs w:val="24"/>
        </w:rPr>
        <w:t>As set out in MKT Appendix 1</w:t>
      </w:r>
      <w:r w:rsidR="00C7689C" w:rsidRPr="001026E6">
        <w:rPr>
          <w:rFonts w:cs="Helvetica"/>
          <w:sz w:val="24"/>
          <w:szCs w:val="24"/>
        </w:rPr>
        <w:t>.1.1</w:t>
      </w:r>
      <w:r w:rsidR="002C365E" w:rsidRPr="001026E6">
        <w:rPr>
          <w:rFonts w:cs="Helvetica"/>
          <w:sz w:val="24"/>
          <w:szCs w:val="24"/>
        </w:rPr>
        <w:t>-2.1, a</w:t>
      </w:r>
      <w:r w:rsidRPr="001026E6">
        <w:rPr>
          <w:rFonts w:cs="Helvetica"/>
          <w:sz w:val="24"/>
          <w:szCs w:val="24"/>
        </w:rPr>
        <w:t xml:space="preserve"> description of the history of the </w:t>
      </w:r>
      <w:r w:rsidR="002C365E" w:rsidRPr="001026E6">
        <w:rPr>
          <w:rFonts w:cs="Helvetica"/>
          <w:sz w:val="24"/>
          <w:szCs w:val="24"/>
        </w:rPr>
        <w:t>I</w:t>
      </w:r>
      <w:r w:rsidRPr="001026E6">
        <w:rPr>
          <w:rFonts w:cs="Helvetica"/>
          <w:sz w:val="24"/>
          <w:szCs w:val="24"/>
        </w:rPr>
        <w:t xml:space="preserve">ssuer </w:t>
      </w:r>
      <w:r w:rsidR="002C365E" w:rsidRPr="001026E6">
        <w:rPr>
          <w:rFonts w:cs="Helvetica"/>
          <w:sz w:val="24"/>
          <w:szCs w:val="24"/>
        </w:rPr>
        <w:t>is to</w:t>
      </w:r>
      <w:r w:rsidRPr="001026E6">
        <w:rPr>
          <w:rFonts w:cs="Helvetica"/>
          <w:sz w:val="24"/>
          <w:szCs w:val="24"/>
        </w:rPr>
        <w:t xml:space="preserve"> be included, </w:t>
      </w:r>
      <w:r w:rsidR="002C365E" w:rsidRPr="001026E6">
        <w:rPr>
          <w:rFonts w:cs="Helvetica"/>
          <w:sz w:val="24"/>
          <w:szCs w:val="24"/>
        </w:rPr>
        <w:t xml:space="preserve">and </w:t>
      </w:r>
      <w:r w:rsidRPr="001026E6">
        <w:rPr>
          <w:rFonts w:cs="Helvetica"/>
          <w:sz w:val="24"/>
          <w:szCs w:val="24"/>
        </w:rPr>
        <w:t xml:space="preserve">where an Issuer is newly incorporated, information should be </w:t>
      </w:r>
      <w:r w:rsidR="002C365E" w:rsidRPr="001026E6">
        <w:rPr>
          <w:rFonts w:cs="Helvetica"/>
          <w:sz w:val="24"/>
          <w:szCs w:val="24"/>
        </w:rPr>
        <w:t>disclosed</w:t>
      </w:r>
      <w:r w:rsidRPr="001026E6">
        <w:rPr>
          <w:rFonts w:cs="Helvetica"/>
          <w:sz w:val="24"/>
          <w:szCs w:val="24"/>
        </w:rPr>
        <w:t xml:space="preserve"> regarding any preceding entity which conducted similar operations or was controlled by the same parties.</w:t>
      </w:r>
    </w:p>
    <w:p w14:paraId="47DE8AEA" w14:textId="77777777" w:rsidR="000D773B" w:rsidRPr="001026E6" w:rsidRDefault="000D773B" w:rsidP="00110748">
      <w:pPr>
        <w:pStyle w:val="ListParagraph"/>
        <w:ind w:left="851"/>
        <w:jc w:val="both"/>
        <w:rPr>
          <w:rFonts w:cs="Helvetica"/>
          <w:sz w:val="24"/>
          <w:szCs w:val="24"/>
        </w:rPr>
      </w:pPr>
    </w:p>
    <w:p w14:paraId="3F841251" w14:textId="77777777" w:rsidR="000D773B" w:rsidRPr="001026E6" w:rsidRDefault="000D773B" w:rsidP="00D72799">
      <w:pPr>
        <w:pStyle w:val="ListParagraph"/>
        <w:numPr>
          <w:ilvl w:val="1"/>
          <w:numId w:val="1"/>
        </w:numPr>
        <w:ind w:left="851"/>
        <w:jc w:val="both"/>
        <w:rPr>
          <w:rFonts w:cs="Helvetica"/>
          <w:sz w:val="24"/>
          <w:szCs w:val="24"/>
        </w:rPr>
      </w:pPr>
      <w:r w:rsidRPr="001026E6">
        <w:rPr>
          <w:rFonts w:cs="Helvetica"/>
          <w:sz w:val="24"/>
          <w:szCs w:val="24"/>
          <w:u w:val="single"/>
        </w:rPr>
        <w:t>Historical financial information</w:t>
      </w:r>
      <w:r w:rsidR="002C365E" w:rsidRPr="001026E6">
        <w:rPr>
          <w:rFonts w:cs="Helvetica"/>
          <w:sz w:val="24"/>
          <w:szCs w:val="24"/>
          <w:u w:val="single"/>
        </w:rPr>
        <w:t>:</w:t>
      </w:r>
      <w:r w:rsidRPr="001026E6">
        <w:rPr>
          <w:rFonts w:cs="Helvetica"/>
          <w:sz w:val="24"/>
          <w:szCs w:val="24"/>
        </w:rPr>
        <w:t xml:space="preserve"> </w:t>
      </w:r>
      <w:r w:rsidR="002C365E" w:rsidRPr="001026E6">
        <w:rPr>
          <w:rFonts w:cs="Helvetica"/>
          <w:sz w:val="24"/>
          <w:szCs w:val="24"/>
        </w:rPr>
        <w:t>As set out in MKT Appendix 1</w:t>
      </w:r>
      <w:r w:rsidR="00C7689C" w:rsidRPr="001026E6">
        <w:rPr>
          <w:rFonts w:cs="Helvetica"/>
          <w:sz w:val="24"/>
          <w:szCs w:val="24"/>
        </w:rPr>
        <w:t>.1.1</w:t>
      </w:r>
      <w:r w:rsidR="002C365E" w:rsidRPr="001026E6">
        <w:rPr>
          <w:rFonts w:cs="Helvetica"/>
          <w:sz w:val="24"/>
          <w:szCs w:val="24"/>
        </w:rPr>
        <w:t>-7.1, w</w:t>
      </w:r>
      <w:r w:rsidRPr="001026E6">
        <w:rPr>
          <w:rFonts w:cs="Helvetica"/>
          <w:sz w:val="24"/>
          <w:szCs w:val="24"/>
        </w:rPr>
        <w:t xml:space="preserve">here an </w:t>
      </w:r>
      <w:r w:rsidR="002C365E" w:rsidRPr="001026E6">
        <w:rPr>
          <w:rFonts w:cs="Helvetica"/>
          <w:sz w:val="24"/>
          <w:szCs w:val="24"/>
        </w:rPr>
        <w:t>I</w:t>
      </w:r>
      <w:r w:rsidRPr="001026E6">
        <w:rPr>
          <w:rFonts w:cs="Helvetica"/>
          <w:sz w:val="24"/>
          <w:szCs w:val="24"/>
        </w:rPr>
        <w:t xml:space="preserve">ssuer has begun operations, </w:t>
      </w:r>
      <w:r w:rsidR="002C365E" w:rsidRPr="001026E6">
        <w:rPr>
          <w:rFonts w:cs="Helvetica"/>
          <w:sz w:val="24"/>
          <w:szCs w:val="24"/>
        </w:rPr>
        <w:t>its relevant</w:t>
      </w:r>
      <w:r w:rsidRPr="001026E6">
        <w:rPr>
          <w:rFonts w:cs="Helvetica"/>
          <w:sz w:val="24"/>
          <w:szCs w:val="24"/>
        </w:rPr>
        <w:t xml:space="preserve"> financial information </w:t>
      </w:r>
      <w:r w:rsidR="002C365E" w:rsidRPr="001026E6">
        <w:rPr>
          <w:rFonts w:cs="Helvetica"/>
          <w:sz w:val="24"/>
          <w:szCs w:val="24"/>
        </w:rPr>
        <w:t xml:space="preserve">is to </w:t>
      </w:r>
      <w:r w:rsidRPr="001026E6">
        <w:rPr>
          <w:rFonts w:cs="Helvetica"/>
          <w:sz w:val="24"/>
          <w:szCs w:val="24"/>
        </w:rPr>
        <w:t xml:space="preserve">be included in the </w:t>
      </w:r>
      <w:r w:rsidR="002C365E" w:rsidRPr="001026E6">
        <w:rPr>
          <w:rFonts w:cs="Helvetica"/>
          <w:sz w:val="24"/>
          <w:szCs w:val="24"/>
        </w:rPr>
        <w:t>P</w:t>
      </w:r>
      <w:r w:rsidRPr="001026E6">
        <w:rPr>
          <w:rFonts w:cs="Helvetica"/>
          <w:sz w:val="24"/>
          <w:szCs w:val="24"/>
        </w:rPr>
        <w:t>rospectus</w:t>
      </w:r>
      <w:r w:rsidR="002C365E" w:rsidRPr="001026E6">
        <w:rPr>
          <w:rFonts w:cs="Helvetica"/>
          <w:sz w:val="24"/>
          <w:szCs w:val="24"/>
        </w:rPr>
        <w:t>,</w:t>
      </w:r>
      <w:r w:rsidRPr="001026E6">
        <w:rPr>
          <w:rFonts w:cs="Helvetica"/>
          <w:sz w:val="24"/>
          <w:szCs w:val="24"/>
        </w:rPr>
        <w:t xml:space="preserve"> and be </w:t>
      </w:r>
      <w:r w:rsidR="002C365E" w:rsidRPr="001026E6">
        <w:rPr>
          <w:rFonts w:cs="Helvetica"/>
          <w:sz w:val="24"/>
          <w:szCs w:val="24"/>
        </w:rPr>
        <w:t xml:space="preserve">appropriately </w:t>
      </w:r>
      <w:r w:rsidRPr="001026E6">
        <w:rPr>
          <w:rFonts w:cs="Helvetica"/>
          <w:sz w:val="24"/>
          <w:szCs w:val="24"/>
        </w:rPr>
        <w:t xml:space="preserve">audited.  </w:t>
      </w:r>
      <w:r w:rsidR="002C365E" w:rsidRPr="001026E6">
        <w:rPr>
          <w:rFonts w:cs="Helvetica"/>
          <w:sz w:val="24"/>
          <w:szCs w:val="24"/>
        </w:rPr>
        <w:t xml:space="preserve">An Issuer’s </w:t>
      </w:r>
      <w:r w:rsidRPr="001026E6">
        <w:rPr>
          <w:rFonts w:cs="Helvetica"/>
          <w:sz w:val="24"/>
          <w:szCs w:val="24"/>
        </w:rPr>
        <w:t>financial statement</w:t>
      </w:r>
      <w:r w:rsidR="00D72799" w:rsidRPr="001026E6">
        <w:rPr>
          <w:rFonts w:cs="Helvetica"/>
          <w:sz w:val="24"/>
          <w:szCs w:val="24"/>
        </w:rPr>
        <w:t>s</w:t>
      </w:r>
      <w:r w:rsidRPr="001026E6">
        <w:rPr>
          <w:rFonts w:cs="Helvetica"/>
          <w:sz w:val="24"/>
          <w:szCs w:val="24"/>
        </w:rPr>
        <w:t xml:space="preserve"> </w:t>
      </w:r>
      <w:r w:rsidR="00D72799" w:rsidRPr="001026E6">
        <w:rPr>
          <w:rFonts w:cs="Helvetica"/>
          <w:sz w:val="24"/>
          <w:szCs w:val="24"/>
        </w:rPr>
        <w:t>are</w:t>
      </w:r>
      <w:r w:rsidR="002C365E" w:rsidRPr="001026E6">
        <w:rPr>
          <w:rFonts w:cs="Helvetica"/>
          <w:sz w:val="24"/>
          <w:szCs w:val="24"/>
        </w:rPr>
        <w:t xml:space="preserve"> </w:t>
      </w:r>
      <w:r w:rsidRPr="001026E6">
        <w:rPr>
          <w:rFonts w:cs="Helvetica"/>
          <w:sz w:val="24"/>
          <w:szCs w:val="24"/>
        </w:rPr>
        <w:t xml:space="preserve">to be prepared </w:t>
      </w:r>
      <w:r w:rsidR="002C365E" w:rsidRPr="001026E6">
        <w:rPr>
          <w:rFonts w:cs="Helvetica"/>
          <w:sz w:val="24"/>
          <w:szCs w:val="24"/>
        </w:rPr>
        <w:t>in compliance</w:t>
      </w:r>
      <w:r w:rsidRPr="001026E6">
        <w:rPr>
          <w:rFonts w:cs="Helvetica"/>
          <w:sz w:val="24"/>
          <w:szCs w:val="24"/>
        </w:rPr>
        <w:t xml:space="preserve"> with IFRS.</w:t>
      </w:r>
      <w:r w:rsidR="00410FAC" w:rsidRPr="001026E6">
        <w:rPr>
          <w:rFonts w:cs="Helvetica"/>
          <w:sz w:val="24"/>
          <w:szCs w:val="24"/>
        </w:rPr>
        <w:t xml:space="preserve"> </w:t>
      </w:r>
      <w:r w:rsidR="006E4159" w:rsidRPr="001026E6">
        <w:rPr>
          <w:rFonts w:cs="Helvetica"/>
          <w:sz w:val="24"/>
          <w:szCs w:val="24"/>
        </w:rPr>
        <w:t>As set out in MKT Appendix 1.1.1-9.4, please also note that the requirement for an expert report applies to special categories of Companies.</w:t>
      </w:r>
    </w:p>
    <w:p w14:paraId="48BF8910" w14:textId="77777777" w:rsidR="000D773B" w:rsidRPr="001026E6" w:rsidRDefault="000D773B" w:rsidP="00110748">
      <w:pPr>
        <w:pStyle w:val="ListParagraph"/>
        <w:ind w:left="851"/>
        <w:jc w:val="both"/>
        <w:rPr>
          <w:rFonts w:cs="Helvetica"/>
          <w:sz w:val="24"/>
          <w:szCs w:val="24"/>
        </w:rPr>
      </w:pPr>
    </w:p>
    <w:p w14:paraId="76FA0A45" w14:textId="77777777" w:rsidR="000D773B" w:rsidRPr="001026E6" w:rsidRDefault="000D773B" w:rsidP="00A30197">
      <w:pPr>
        <w:pStyle w:val="ListParagraph"/>
        <w:numPr>
          <w:ilvl w:val="1"/>
          <w:numId w:val="1"/>
        </w:numPr>
        <w:ind w:left="851"/>
        <w:jc w:val="both"/>
        <w:rPr>
          <w:rFonts w:cs="Helvetica"/>
          <w:sz w:val="24"/>
          <w:szCs w:val="24"/>
        </w:rPr>
      </w:pPr>
      <w:r w:rsidRPr="001026E6">
        <w:rPr>
          <w:rFonts w:cs="Helvetica"/>
          <w:sz w:val="24"/>
          <w:szCs w:val="24"/>
          <w:u w:val="single"/>
        </w:rPr>
        <w:t>Securities Note</w:t>
      </w:r>
      <w:r w:rsidR="002C365E" w:rsidRPr="001026E6">
        <w:rPr>
          <w:rFonts w:cs="Helvetica"/>
          <w:sz w:val="24"/>
          <w:szCs w:val="24"/>
        </w:rPr>
        <w:t>:</w:t>
      </w:r>
      <w:r w:rsidRPr="001026E6">
        <w:rPr>
          <w:rFonts w:cs="Helvetica"/>
          <w:sz w:val="24"/>
          <w:szCs w:val="24"/>
        </w:rPr>
        <w:t xml:space="preserve"> </w:t>
      </w:r>
      <w:r w:rsidR="00C7689C" w:rsidRPr="001026E6">
        <w:rPr>
          <w:rFonts w:cs="Helvetica"/>
          <w:sz w:val="24"/>
          <w:szCs w:val="24"/>
        </w:rPr>
        <w:t xml:space="preserve">For the purposes of </w:t>
      </w:r>
      <w:r w:rsidR="002C365E" w:rsidRPr="001026E6">
        <w:rPr>
          <w:rFonts w:cs="Helvetica"/>
          <w:sz w:val="24"/>
          <w:szCs w:val="24"/>
        </w:rPr>
        <w:t>MKT Appendix 1</w:t>
      </w:r>
      <w:r w:rsidR="00C7689C" w:rsidRPr="001026E6">
        <w:rPr>
          <w:rFonts w:cs="Helvetica"/>
          <w:sz w:val="24"/>
          <w:szCs w:val="24"/>
        </w:rPr>
        <w:t>.</w:t>
      </w:r>
      <w:r w:rsidR="002C365E" w:rsidRPr="001026E6">
        <w:rPr>
          <w:rFonts w:cs="Helvetica"/>
          <w:sz w:val="24"/>
          <w:szCs w:val="24"/>
        </w:rPr>
        <w:t>2.1</w:t>
      </w:r>
      <w:r w:rsidR="00C7689C" w:rsidRPr="001026E6">
        <w:rPr>
          <w:rFonts w:cs="Helvetica"/>
          <w:sz w:val="24"/>
          <w:szCs w:val="24"/>
        </w:rPr>
        <w:t xml:space="preserve"> – Section 2 (</w:t>
      </w:r>
      <w:r w:rsidRPr="001026E6">
        <w:rPr>
          <w:rFonts w:cs="Helvetica"/>
          <w:sz w:val="24"/>
          <w:szCs w:val="24"/>
        </w:rPr>
        <w:t>General information relating to the Securities (b)</w:t>
      </w:r>
      <w:r w:rsidR="00C7689C" w:rsidRPr="001026E6">
        <w:rPr>
          <w:rFonts w:cs="Helvetica"/>
          <w:sz w:val="24"/>
          <w:szCs w:val="24"/>
        </w:rPr>
        <w:t>&amp;</w:t>
      </w:r>
      <w:r w:rsidRPr="001026E6">
        <w:rPr>
          <w:rFonts w:cs="Helvetica"/>
          <w:sz w:val="24"/>
          <w:szCs w:val="24"/>
        </w:rPr>
        <w:t>(d)</w:t>
      </w:r>
      <w:r w:rsidR="00C7689C" w:rsidRPr="001026E6">
        <w:rPr>
          <w:rFonts w:cs="Helvetica"/>
          <w:sz w:val="24"/>
          <w:szCs w:val="24"/>
        </w:rPr>
        <w:t>), i</w:t>
      </w:r>
      <w:r w:rsidRPr="001026E6">
        <w:rPr>
          <w:rFonts w:cs="Helvetica"/>
          <w:sz w:val="24"/>
          <w:szCs w:val="24"/>
        </w:rPr>
        <w:t xml:space="preserve">n the case of Digital Securities, </w:t>
      </w:r>
      <w:r w:rsidR="00C7689C" w:rsidRPr="001026E6">
        <w:rPr>
          <w:rFonts w:cs="Helvetica"/>
          <w:sz w:val="24"/>
          <w:szCs w:val="24"/>
        </w:rPr>
        <w:t>the FSRA would</w:t>
      </w:r>
      <w:r w:rsidRPr="001026E6">
        <w:rPr>
          <w:rFonts w:cs="Helvetica"/>
          <w:sz w:val="24"/>
          <w:szCs w:val="24"/>
        </w:rPr>
        <w:t xml:space="preserve"> normally expect this disclosure requirement to be deemed N</w:t>
      </w:r>
      <w:r w:rsidR="00535C18" w:rsidRPr="001026E6">
        <w:rPr>
          <w:rFonts w:cs="Helvetica"/>
          <w:sz w:val="24"/>
          <w:szCs w:val="24"/>
        </w:rPr>
        <w:t>/</w:t>
      </w:r>
      <w:r w:rsidRPr="001026E6">
        <w:rPr>
          <w:rFonts w:cs="Helvetica"/>
          <w:sz w:val="24"/>
          <w:szCs w:val="24"/>
        </w:rPr>
        <w:t>A</w:t>
      </w:r>
      <w:r w:rsidR="00C7689C" w:rsidRPr="001026E6">
        <w:rPr>
          <w:rFonts w:cs="Helvetica"/>
          <w:sz w:val="24"/>
          <w:szCs w:val="24"/>
        </w:rPr>
        <w:t xml:space="preserve"> for the former, and subject to ADGM legislation for the latter</w:t>
      </w:r>
      <w:r w:rsidRPr="001026E6">
        <w:rPr>
          <w:rFonts w:cs="Helvetica"/>
          <w:sz w:val="24"/>
          <w:szCs w:val="24"/>
        </w:rPr>
        <w:t>.</w:t>
      </w:r>
    </w:p>
    <w:p w14:paraId="7168E2A3" w14:textId="77777777" w:rsidR="000D773B" w:rsidRPr="001026E6" w:rsidRDefault="000D773B" w:rsidP="00110748">
      <w:pPr>
        <w:pStyle w:val="ListParagraph"/>
        <w:ind w:left="851"/>
        <w:jc w:val="both"/>
        <w:rPr>
          <w:rFonts w:cs="Helvetica"/>
          <w:sz w:val="24"/>
          <w:szCs w:val="24"/>
        </w:rPr>
      </w:pPr>
    </w:p>
    <w:p w14:paraId="5FCB84DE" w14:textId="77777777" w:rsidR="00C7689C" w:rsidRPr="001026E6" w:rsidRDefault="000D773B" w:rsidP="002F05F0">
      <w:pPr>
        <w:pStyle w:val="ListParagraph"/>
        <w:numPr>
          <w:ilvl w:val="1"/>
          <w:numId w:val="1"/>
        </w:numPr>
        <w:ind w:left="851"/>
        <w:jc w:val="both"/>
        <w:rPr>
          <w:rFonts w:cs="Helvetica"/>
          <w:sz w:val="24"/>
          <w:szCs w:val="24"/>
        </w:rPr>
      </w:pPr>
      <w:r w:rsidRPr="001026E6">
        <w:rPr>
          <w:rFonts w:cs="Helvetica"/>
          <w:sz w:val="24"/>
          <w:szCs w:val="24"/>
          <w:u w:val="single"/>
        </w:rPr>
        <w:t>Securities Note – Other rights</w:t>
      </w:r>
      <w:r w:rsidR="00C7689C" w:rsidRPr="001026E6">
        <w:rPr>
          <w:rFonts w:cs="Helvetica"/>
          <w:sz w:val="24"/>
          <w:szCs w:val="24"/>
        </w:rPr>
        <w:t>:</w:t>
      </w:r>
      <w:r w:rsidRPr="001026E6">
        <w:rPr>
          <w:rFonts w:cs="Helvetica"/>
          <w:sz w:val="24"/>
          <w:szCs w:val="24"/>
        </w:rPr>
        <w:t xml:space="preserve"> </w:t>
      </w:r>
      <w:r w:rsidR="00C7689C" w:rsidRPr="001026E6">
        <w:rPr>
          <w:rFonts w:cs="Helvetica"/>
          <w:sz w:val="24"/>
          <w:szCs w:val="24"/>
        </w:rPr>
        <w:t>Pursuant to MKT Appendix 1.2.1 – 2.4, th</w:t>
      </w:r>
      <w:r w:rsidRPr="001026E6">
        <w:rPr>
          <w:rFonts w:cs="Helvetica"/>
          <w:sz w:val="24"/>
          <w:szCs w:val="24"/>
        </w:rPr>
        <w:t xml:space="preserve">e disclosure of other rights </w:t>
      </w:r>
      <w:r w:rsidR="00C7689C" w:rsidRPr="001026E6">
        <w:rPr>
          <w:rFonts w:cs="Helvetica"/>
          <w:sz w:val="24"/>
          <w:szCs w:val="24"/>
        </w:rPr>
        <w:t xml:space="preserve">(such as the existence of voting rights) </w:t>
      </w:r>
      <w:r w:rsidRPr="001026E6">
        <w:rPr>
          <w:rFonts w:cs="Helvetica"/>
          <w:sz w:val="24"/>
          <w:szCs w:val="24"/>
        </w:rPr>
        <w:t xml:space="preserve">associated with </w:t>
      </w:r>
      <w:r w:rsidR="00C7689C" w:rsidRPr="001026E6">
        <w:rPr>
          <w:rFonts w:cs="Helvetica"/>
          <w:sz w:val="24"/>
          <w:szCs w:val="24"/>
        </w:rPr>
        <w:t>a</w:t>
      </w:r>
      <w:r w:rsidRPr="001026E6">
        <w:rPr>
          <w:rFonts w:cs="Helvetica"/>
          <w:sz w:val="24"/>
          <w:szCs w:val="24"/>
        </w:rPr>
        <w:t xml:space="preserve"> Digital Security is an important disclosure to allow an investor to make a fully informed investment decision. As such</w:t>
      </w:r>
      <w:r w:rsidR="00C7689C" w:rsidRPr="001026E6">
        <w:rPr>
          <w:rFonts w:cs="Helvetica"/>
          <w:sz w:val="24"/>
          <w:szCs w:val="24"/>
        </w:rPr>
        <w:t>, disclosures of this nature</w:t>
      </w:r>
      <w:r w:rsidRPr="001026E6">
        <w:rPr>
          <w:rFonts w:cs="Helvetica"/>
          <w:sz w:val="24"/>
          <w:szCs w:val="24"/>
        </w:rPr>
        <w:t xml:space="preserve"> would </w:t>
      </w:r>
      <w:r w:rsidR="00C7689C" w:rsidRPr="001026E6">
        <w:rPr>
          <w:rFonts w:cs="Helvetica"/>
          <w:sz w:val="24"/>
          <w:szCs w:val="24"/>
        </w:rPr>
        <w:t>need</w:t>
      </w:r>
      <w:r w:rsidRPr="001026E6">
        <w:rPr>
          <w:rFonts w:cs="Helvetica"/>
          <w:sz w:val="24"/>
          <w:szCs w:val="24"/>
        </w:rPr>
        <w:t xml:space="preserve"> to be given due prominence with</w:t>
      </w:r>
      <w:r w:rsidR="00C7689C" w:rsidRPr="001026E6">
        <w:rPr>
          <w:rFonts w:cs="Helvetica"/>
          <w:sz w:val="24"/>
          <w:szCs w:val="24"/>
        </w:rPr>
        <w:t>in</w:t>
      </w:r>
      <w:r w:rsidRPr="001026E6">
        <w:rPr>
          <w:rFonts w:cs="Helvetica"/>
          <w:sz w:val="24"/>
          <w:szCs w:val="24"/>
        </w:rPr>
        <w:t xml:space="preserve"> </w:t>
      </w:r>
      <w:r w:rsidR="002F05F0" w:rsidRPr="001026E6">
        <w:rPr>
          <w:rFonts w:cs="Helvetica"/>
          <w:sz w:val="24"/>
          <w:szCs w:val="24"/>
        </w:rPr>
        <w:t xml:space="preserve">an Approved </w:t>
      </w:r>
      <w:r w:rsidR="00C7689C" w:rsidRPr="001026E6">
        <w:rPr>
          <w:rFonts w:cs="Helvetica"/>
          <w:sz w:val="24"/>
          <w:szCs w:val="24"/>
        </w:rPr>
        <w:t>P</w:t>
      </w:r>
      <w:r w:rsidRPr="001026E6">
        <w:rPr>
          <w:rFonts w:cs="Helvetica"/>
          <w:sz w:val="24"/>
          <w:szCs w:val="24"/>
        </w:rPr>
        <w:t>rospectus</w:t>
      </w:r>
      <w:r w:rsidR="00C7689C" w:rsidRPr="001026E6">
        <w:rPr>
          <w:rFonts w:cs="Helvetica"/>
          <w:sz w:val="24"/>
          <w:szCs w:val="24"/>
        </w:rPr>
        <w:t>,</w:t>
      </w:r>
      <w:r w:rsidRPr="001026E6">
        <w:rPr>
          <w:rFonts w:cs="Helvetica"/>
          <w:sz w:val="24"/>
          <w:szCs w:val="24"/>
        </w:rPr>
        <w:t xml:space="preserve"> and effort</w:t>
      </w:r>
      <w:r w:rsidR="00C7689C" w:rsidRPr="001026E6">
        <w:rPr>
          <w:rFonts w:cs="Helvetica"/>
          <w:sz w:val="24"/>
          <w:szCs w:val="24"/>
        </w:rPr>
        <w:t xml:space="preserve"> need</w:t>
      </w:r>
      <w:r w:rsidRPr="001026E6">
        <w:rPr>
          <w:rFonts w:cs="Helvetica"/>
          <w:sz w:val="24"/>
          <w:szCs w:val="24"/>
        </w:rPr>
        <w:t xml:space="preserve">s </w:t>
      </w:r>
      <w:r w:rsidR="00C7689C" w:rsidRPr="001026E6">
        <w:rPr>
          <w:rFonts w:cs="Helvetica"/>
          <w:sz w:val="24"/>
          <w:szCs w:val="24"/>
        </w:rPr>
        <w:t xml:space="preserve">to be made </w:t>
      </w:r>
      <w:r w:rsidRPr="001026E6">
        <w:rPr>
          <w:rFonts w:cs="Helvetica"/>
          <w:sz w:val="24"/>
          <w:szCs w:val="24"/>
        </w:rPr>
        <w:t xml:space="preserve">throughout </w:t>
      </w:r>
      <w:r w:rsidR="002F05F0" w:rsidRPr="001026E6">
        <w:rPr>
          <w:rFonts w:cs="Helvetica"/>
          <w:sz w:val="24"/>
          <w:szCs w:val="24"/>
        </w:rPr>
        <w:t xml:space="preserve">the document </w:t>
      </w:r>
      <w:r w:rsidRPr="001026E6">
        <w:rPr>
          <w:rFonts w:cs="Helvetica"/>
          <w:sz w:val="24"/>
          <w:szCs w:val="24"/>
        </w:rPr>
        <w:t>to draw a reader’s attention to such disclosure</w:t>
      </w:r>
      <w:r w:rsidR="00C7689C" w:rsidRPr="001026E6">
        <w:rPr>
          <w:rFonts w:cs="Helvetica"/>
          <w:sz w:val="24"/>
          <w:szCs w:val="24"/>
        </w:rPr>
        <w:t>s</w:t>
      </w:r>
      <w:r w:rsidRPr="001026E6">
        <w:rPr>
          <w:rFonts w:cs="Helvetica"/>
          <w:sz w:val="24"/>
          <w:szCs w:val="24"/>
        </w:rPr>
        <w:t xml:space="preserve">. This may involve cross-referencing or other appropriate signposting. </w:t>
      </w:r>
    </w:p>
    <w:p w14:paraId="1DB52A04" w14:textId="77777777" w:rsidR="00C7689C" w:rsidRPr="001026E6" w:rsidRDefault="00C7689C" w:rsidP="00A30197">
      <w:pPr>
        <w:pStyle w:val="ListParagraph"/>
        <w:rPr>
          <w:rFonts w:cs="Helvetica"/>
          <w:sz w:val="24"/>
          <w:szCs w:val="24"/>
        </w:rPr>
      </w:pPr>
    </w:p>
    <w:p w14:paraId="4A19AE79" w14:textId="77777777" w:rsidR="000D773B" w:rsidRPr="001026E6" w:rsidRDefault="008A1CF2" w:rsidP="00D63CFD">
      <w:pPr>
        <w:pStyle w:val="ListParagraph"/>
        <w:numPr>
          <w:ilvl w:val="0"/>
          <w:numId w:val="1"/>
        </w:numPr>
        <w:ind w:left="426"/>
        <w:jc w:val="both"/>
        <w:rPr>
          <w:rFonts w:cs="Helvetica"/>
          <w:sz w:val="24"/>
          <w:szCs w:val="24"/>
        </w:rPr>
      </w:pPr>
      <w:r w:rsidRPr="001026E6">
        <w:rPr>
          <w:rFonts w:cs="Helvetica"/>
          <w:sz w:val="24"/>
          <w:szCs w:val="24"/>
        </w:rPr>
        <w:t xml:space="preserve">Please note that the information required to be submitted as part of a Securities Note will be key information reviewed by the FSRA when considering the use of its </w:t>
      </w:r>
      <w:r w:rsidR="00535C18" w:rsidRPr="001026E6">
        <w:rPr>
          <w:rFonts w:cs="Helvetica"/>
          <w:sz w:val="24"/>
          <w:szCs w:val="24"/>
        </w:rPr>
        <w:t xml:space="preserve">power to deem a Security </w:t>
      </w:r>
      <w:r w:rsidRPr="001026E6">
        <w:rPr>
          <w:rFonts w:cs="Helvetica"/>
          <w:sz w:val="24"/>
          <w:szCs w:val="24"/>
        </w:rPr>
        <w:t>(</w:t>
      </w:r>
      <w:r w:rsidR="00535C18" w:rsidRPr="001026E6">
        <w:rPr>
          <w:rFonts w:cs="Helvetica"/>
          <w:sz w:val="24"/>
          <w:szCs w:val="24"/>
        </w:rPr>
        <w:t xml:space="preserve">as </w:t>
      </w:r>
      <w:r w:rsidRPr="001026E6">
        <w:rPr>
          <w:rFonts w:cs="Helvetica"/>
          <w:sz w:val="24"/>
          <w:szCs w:val="24"/>
        </w:rPr>
        <w:t>refer</w:t>
      </w:r>
      <w:r w:rsidR="00535C18" w:rsidRPr="001026E6">
        <w:rPr>
          <w:rFonts w:cs="Helvetica"/>
          <w:sz w:val="24"/>
          <w:szCs w:val="24"/>
        </w:rPr>
        <w:t>red</w:t>
      </w:r>
      <w:r w:rsidRPr="001026E6">
        <w:rPr>
          <w:rFonts w:cs="Helvetica"/>
          <w:sz w:val="24"/>
          <w:szCs w:val="24"/>
        </w:rPr>
        <w:t xml:space="preserve"> to </w:t>
      </w:r>
      <w:r w:rsidR="00535C18" w:rsidRPr="001026E6">
        <w:rPr>
          <w:rFonts w:cs="Helvetica"/>
          <w:sz w:val="24"/>
          <w:szCs w:val="24"/>
        </w:rPr>
        <w:t xml:space="preserve">in </w:t>
      </w:r>
      <w:r w:rsidRPr="001026E6">
        <w:rPr>
          <w:rFonts w:cs="Helvetica"/>
          <w:sz w:val="24"/>
          <w:szCs w:val="24"/>
        </w:rPr>
        <w:t xml:space="preserve">paragraph </w:t>
      </w:r>
      <w:r w:rsidR="00D63CFD" w:rsidRPr="001026E6">
        <w:rPr>
          <w:rFonts w:cs="Helvetica"/>
          <w:sz w:val="24"/>
          <w:szCs w:val="24"/>
        </w:rPr>
        <w:t>16</w:t>
      </w:r>
      <w:r w:rsidRPr="001026E6">
        <w:rPr>
          <w:rFonts w:cs="Helvetica"/>
          <w:sz w:val="24"/>
          <w:szCs w:val="24"/>
        </w:rPr>
        <w:t xml:space="preserve">).  If this information is not available, or has not been completed appropriately, </w:t>
      </w:r>
      <w:r w:rsidR="001F12AD" w:rsidRPr="001026E6">
        <w:rPr>
          <w:rFonts w:cs="Helvetica"/>
          <w:sz w:val="24"/>
          <w:szCs w:val="24"/>
        </w:rPr>
        <w:t xml:space="preserve">it is most likely that the FSRA will not be in a position </w:t>
      </w:r>
      <w:r w:rsidRPr="001026E6">
        <w:rPr>
          <w:rFonts w:cs="Helvetica"/>
          <w:sz w:val="24"/>
          <w:szCs w:val="24"/>
        </w:rPr>
        <w:t xml:space="preserve">to utilise </w:t>
      </w:r>
      <w:r w:rsidR="00535C18" w:rsidRPr="001026E6">
        <w:rPr>
          <w:rFonts w:cs="Helvetica"/>
          <w:sz w:val="24"/>
          <w:szCs w:val="24"/>
        </w:rPr>
        <w:t xml:space="preserve">its </w:t>
      </w:r>
      <w:r w:rsidRPr="001026E6">
        <w:rPr>
          <w:rFonts w:cs="Helvetica"/>
          <w:sz w:val="24"/>
          <w:szCs w:val="24"/>
        </w:rPr>
        <w:t>deeming power</w:t>
      </w:r>
      <w:r w:rsidR="001F12AD" w:rsidRPr="001026E6">
        <w:rPr>
          <w:rFonts w:cs="Helvetica"/>
          <w:sz w:val="24"/>
          <w:szCs w:val="24"/>
        </w:rPr>
        <w:t xml:space="preserve"> (under section 58(2)(b) of FSMR)</w:t>
      </w:r>
      <w:r w:rsidRPr="001026E6">
        <w:rPr>
          <w:rFonts w:cs="Helvetica"/>
          <w:sz w:val="24"/>
          <w:szCs w:val="24"/>
        </w:rPr>
        <w:t>.</w:t>
      </w:r>
    </w:p>
    <w:bookmarkEnd w:id="22"/>
    <w:bookmarkEnd w:id="23"/>
    <w:bookmarkEnd w:id="24"/>
    <w:bookmarkEnd w:id="25"/>
    <w:p w14:paraId="56473BB0" w14:textId="77777777" w:rsidR="00560279" w:rsidRPr="001026E6" w:rsidRDefault="00560279" w:rsidP="00560279">
      <w:pPr>
        <w:pStyle w:val="ListParagraph"/>
        <w:ind w:left="426"/>
        <w:jc w:val="both"/>
        <w:rPr>
          <w:rFonts w:cs="Helvetica"/>
          <w:sz w:val="24"/>
          <w:szCs w:val="24"/>
        </w:rPr>
      </w:pPr>
    </w:p>
    <w:p w14:paraId="05C99FB7" w14:textId="77777777" w:rsidR="00D23BA2" w:rsidRPr="001026E6" w:rsidRDefault="00D23BA2" w:rsidP="00D23BA2">
      <w:pPr>
        <w:pStyle w:val="Heading2"/>
        <w:tabs>
          <w:tab w:val="clear" w:pos="720"/>
          <w:tab w:val="num" w:pos="0"/>
        </w:tabs>
        <w:ind w:left="0" w:firstLine="0"/>
        <w:rPr>
          <w:szCs w:val="24"/>
        </w:rPr>
      </w:pPr>
      <w:bookmarkStart w:id="31" w:name="_Toc18571322"/>
      <w:bookmarkStart w:id="32" w:name="_Toc33443073"/>
      <w:bookmarkStart w:id="33" w:name="_Toc511714341"/>
      <w:bookmarkStart w:id="34" w:name="_Toc512695603"/>
      <w:bookmarkStart w:id="35" w:name="_Toc514588772"/>
      <w:bookmarkStart w:id="36" w:name="_Toc517602842"/>
      <w:r w:rsidRPr="001026E6">
        <w:rPr>
          <w:szCs w:val="24"/>
        </w:rPr>
        <w:t>Exempt Offers</w:t>
      </w:r>
      <w:bookmarkEnd w:id="31"/>
      <w:bookmarkEnd w:id="32"/>
    </w:p>
    <w:p w14:paraId="2300DB9E" w14:textId="77777777" w:rsidR="000D773B" w:rsidRPr="001026E6" w:rsidRDefault="00224E1D" w:rsidP="00D72799">
      <w:pPr>
        <w:pStyle w:val="ListParagraph"/>
        <w:numPr>
          <w:ilvl w:val="0"/>
          <w:numId w:val="1"/>
        </w:numPr>
        <w:ind w:left="426"/>
        <w:jc w:val="both"/>
        <w:rPr>
          <w:rFonts w:cs="Helvetica"/>
          <w:sz w:val="24"/>
          <w:szCs w:val="24"/>
        </w:rPr>
      </w:pPr>
      <w:r w:rsidRPr="001026E6">
        <w:rPr>
          <w:sz w:val="24"/>
          <w:szCs w:val="24"/>
        </w:rPr>
        <w:t xml:space="preserve">The obligation to issue a Prospectus under </w:t>
      </w:r>
      <w:r w:rsidR="000D773B" w:rsidRPr="001026E6">
        <w:rPr>
          <w:sz w:val="24"/>
          <w:szCs w:val="24"/>
        </w:rPr>
        <w:t xml:space="preserve">Section 61(3) of FSMR </w:t>
      </w:r>
      <w:r w:rsidRPr="001026E6">
        <w:rPr>
          <w:sz w:val="24"/>
          <w:szCs w:val="24"/>
        </w:rPr>
        <w:t>does not apply to</w:t>
      </w:r>
      <w:r w:rsidR="000D773B" w:rsidRPr="001026E6">
        <w:rPr>
          <w:sz w:val="24"/>
          <w:szCs w:val="24"/>
        </w:rPr>
        <w:t xml:space="preserve"> an Offer of Securities to the Public that </w:t>
      </w:r>
      <w:r w:rsidR="009D2091" w:rsidRPr="001026E6">
        <w:rPr>
          <w:sz w:val="24"/>
          <w:szCs w:val="24"/>
        </w:rPr>
        <w:t xml:space="preserve">constitutes an </w:t>
      </w:r>
      <w:r w:rsidR="000D773B" w:rsidRPr="001026E6">
        <w:rPr>
          <w:sz w:val="24"/>
          <w:szCs w:val="24"/>
        </w:rPr>
        <w:t xml:space="preserve">Exempt Offer.  </w:t>
      </w:r>
      <w:r w:rsidRPr="001026E6">
        <w:rPr>
          <w:sz w:val="24"/>
          <w:szCs w:val="24"/>
        </w:rPr>
        <w:t xml:space="preserve">Pursuant </w:t>
      </w:r>
      <w:r w:rsidRPr="001026E6">
        <w:rPr>
          <w:sz w:val="24"/>
          <w:szCs w:val="24"/>
        </w:rPr>
        <w:lastRenderedPageBreak/>
        <w:t>to MKT Rule 4.3, t</w:t>
      </w:r>
      <w:r w:rsidR="000D773B" w:rsidRPr="001026E6">
        <w:rPr>
          <w:sz w:val="24"/>
          <w:szCs w:val="24"/>
        </w:rPr>
        <w:t>he FSRA has defined the type</w:t>
      </w:r>
      <w:r w:rsidRPr="001026E6">
        <w:rPr>
          <w:sz w:val="24"/>
          <w:szCs w:val="24"/>
        </w:rPr>
        <w:t>s</w:t>
      </w:r>
      <w:r w:rsidR="000D773B" w:rsidRPr="001026E6">
        <w:rPr>
          <w:sz w:val="24"/>
          <w:szCs w:val="24"/>
        </w:rPr>
        <w:t xml:space="preserve"> of Offer</w:t>
      </w:r>
      <w:r w:rsidR="00CA5A2E" w:rsidRPr="001026E6">
        <w:rPr>
          <w:sz w:val="24"/>
          <w:szCs w:val="24"/>
        </w:rPr>
        <w:t>s</w:t>
      </w:r>
      <w:r w:rsidR="000D773B" w:rsidRPr="001026E6">
        <w:rPr>
          <w:sz w:val="24"/>
          <w:szCs w:val="24"/>
        </w:rPr>
        <w:t xml:space="preserve"> that </w:t>
      </w:r>
      <w:r w:rsidR="009D2091" w:rsidRPr="001026E6">
        <w:rPr>
          <w:sz w:val="24"/>
          <w:szCs w:val="24"/>
        </w:rPr>
        <w:t xml:space="preserve">constitute </w:t>
      </w:r>
      <w:r w:rsidR="000D773B" w:rsidRPr="001026E6">
        <w:rPr>
          <w:sz w:val="24"/>
          <w:szCs w:val="24"/>
        </w:rPr>
        <w:t>an Exempt Offer</w:t>
      </w:r>
      <w:r w:rsidRPr="001026E6">
        <w:rPr>
          <w:sz w:val="24"/>
          <w:szCs w:val="24"/>
        </w:rPr>
        <w:t>, including</w:t>
      </w:r>
      <w:r w:rsidR="00D72799" w:rsidRPr="001026E6">
        <w:rPr>
          <w:sz w:val="24"/>
          <w:szCs w:val="24"/>
        </w:rPr>
        <w:t xml:space="preserve"> where</w:t>
      </w:r>
      <w:r w:rsidR="000D773B" w:rsidRPr="001026E6">
        <w:rPr>
          <w:sz w:val="24"/>
          <w:szCs w:val="24"/>
        </w:rPr>
        <w:t>:</w:t>
      </w:r>
    </w:p>
    <w:p w14:paraId="72F5EF59" w14:textId="77777777" w:rsidR="000D773B" w:rsidRPr="001026E6" w:rsidRDefault="000D773B" w:rsidP="000D773B">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5FEC16F3" w14:textId="77777777" w:rsidR="000D773B" w:rsidRPr="001026E6" w:rsidRDefault="000D773B" w:rsidP="009D2091">
      <w:pPr>
        <w:pStyle w:val="Heading4"/>
        <w:numPr>
          <w:ilvl w:val="0"/>
          <w:numId w:val="3"/>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an Offer </w:t>
      </w:r>
      <w:r w:rsidR="00D72799" w:rsidRPr="001026E6">
        <w:rPr>
          <w:rFonts w:asciiTheme="minorHAnsi" w:eastAsiaTheme="minorHAnsi" w:hAnsiTheme="minorHAnsi" w:cs="Helvetica"/>
          <w:bCs w:val="0"/>
          <w:iCs w:val="0"/>
          <w:sz w:val="24"/>
        </w:rPr>
        <w:t xml:space="preserve">is </w:t>
      </w:r>
      <w:r w:rsidRPr="001026E6">
        <w:rPr>
          <w:rFonts w:asciiTheme="minorHAnsi" w:eastAsiaTheme="minorHAnsi" w:hAnsiTheme="minorHAnsi" w:cs="Helvetica"/>
          <w:bCs w:val="0"/>
          <w:iCs w:val="0"/>
          <w:sz w:val="24"/>
        </w:rPr>
        <w:t>directed at Professional Clients other than natural Persons;</w:t>
      </w:r>
    </w:p>
    <w:p w14:paraId="7F395E96" w14:textId="77777777" w:rsidR="000D773B" w:rsidRPr="001026E6" w:rsidRDefault="000D773B" w:rsidP="000D773B">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56EE996D" w14:textId="77777777" w:rsidR="000D773B" w:rsidRPr="001026E6" w:rsidRDefault="000D773B" w:rsidP="00D72799">
      <w:pPr>
        <w:pStyle w:val="Heading4"/>
        <w:numPr>
          <w:ilvl w:val="0"/>
          <w:numId w:val="3"/>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an Offer </w:t>
      </w:r>
      <w:r w:rsidR="00D72799" w:rsidRPr="001026E6">
        <w:rPr>
          <w:rFonts w:asciiTheme="minorHAnsi" w:eastAsiaTheme="minorHAnsi" w:hAnsiTheme="minorHAnsi" w:cs="Helvetica"/>
          <w:bCs w:val="0"/>
          <w:iCs w:val="0"/>
          <w:sz w:val="24"/>
        </w:rPr>
        <w:t xml:space="preserve">is </w:t>
      </w:r>
      <w:r w:rsidRPr="001026E6">
        <w:rPr>
          <w:rFonts w:asciiTheme="minorHAnsi" w:eastAsiaTheme="minorHAnsi" w:hAnsiTheme="minorHAnsi" w:cs="Helvetica"/>
          <w:bCs w:val="0"/>
          <w:iCs w:val="0"/>
          <w:sz w:val="24"/>
        </w:rPr>
        <w:t>directed at fewer than 50 Persons in any 12 month period, excluding Professional Clients</w:t>
      </w:r>
      <w:r w:rsidR="009D2091" w:rsidRPr="001026E6">
        <w:rPr>
          <w:rFonts w:asciiTheme="minorHAnsi" w:eastAsiaTheme="minorHAnsi" w:hAnsiTheme="minorHAnsi" w:cs="Helvetica"/>
          <w:bCs w:val="0"/>
          <w:iCs w:val="0"/>
          <w:sz w:val="24"/>
        </w:rPr>
        <w:t xml:space="preserve"> who are not natural Persons; </w:t>
      </w:r>
      <w:r w:rsidR="00D72799" w:rsidRPr="001026E6">
        <w:rPr>
          <w:rFonts w:asciiTheme="minorHAnsi" w:eastAsiaTheme="minorHAnsi" w:hAnsiTheme="minorHAnsi" w:cs="Helvetica"/>
          <w:bCs w:val="0"/>
          <w:iCs w:val="0"/>
          <w:sz w:val="24"/>
        </w:rPr>
        <w:t>or</w:t>
      </w:r>
    </w:p>
    <w:p w14:paraId="1A80CB08" w14:textId="77777777" w:rsidR="000D773B" w:rsidRPr="001026E6" w:rsidRDefault="000D773B" w:rsidP="000D773B">
      <w:pPr>
        <w:pStyle w:val="ListParagraph"/>
        <w:rPr>
          <w:rFonts w:cs="Helvetica"/>
          <w:bCs/>
          <w:iCs/>
          <w:sz w:val="24"/>
        </w:rPr>
      </w:pPr>
    </w:p>
    <w:p w14:paraId="59F9C2FA" w14:textId="77777777" w:rsidR="000D773B" w:rsidRPr="001026E6" w:rsidRDefault="000D773B" w:rsidP="000D773B">
      <w:pPr>
        <w:pStyle w:val="Heading4"/>
        <w:numPr>
          <w:ilvl w:val="0"/>
          <w:numId w:val="3"/>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the </w:t>
      </w:r>
      <w:r w:rsidR="00C232EB" w:rsidRPr="001026E6">
        <w:rPr>
          <w:rFonts w:asciiTheme="minorHAnsi" w:eastAsiaTheme="minorHAnsi" w:hAnsiTheme="minorHAnsi" w:cs="Helvetica"/>
          <w:bCs w:val="0"/>
          <w:iCs w:val="0"/>
          <w:sz w:val="24"/>
        </w:rPr>
        <w:t xml:space="preserve">total </w:t>
      </w:r>
      <w:r w:rsidRPr="001026E6">
        <w:rPr>
          <w:rFonts w:asciiTheme="minorHAnsi" w:eastAsiaTheme="minorHAnsi" w:hAnsiTheme="minorHAnsi" w:cs="Helvetica"/>
          <w:bCs w:val="0"/>
          <w:iCs w:val="0"/>
          <w:sz w:val="24"/>
        </w:rPr>
        <w:t>consideration to be paid by a Person to acquire Securities is at least USD 100,000</w:t>
      </w:r>
      <w:r w:rsidR="00C232EB" w:rsidRPr="001026E6">
        <w:rPr>
          <w:rFonts w:asciiTheme="minorHAnsi" w:eastAsiaTheme="minorHAnsi" w:hAnsiTheme="minorHAnsi" w:cs="Helvetica"/>
          <w:bCs w:val="0"/>
          <w:iCs w:val="0"/>
          <w:sz w:val="24"/>
        </w:rPr>
        <w:t>, or an equivalent amount in another currency</w:t>
      </w:r>
      <w:r w:rsidRPr="001026E6">
        <w:rPr>
          <w:rFonts w:asciiTheme="minorHAnsi" w:eastAsiaTheme="minorHAnsi" w:hAnsiTheme="minorHAnsi" w:cs="Helvetica"/>
          <w:bCs w:val="0"/>
          <w:iCs w:val="0"/>
          <w:sz w:val="24"/>
        </w:rPr>
        <w:t>.</w:t>
      </w:r>
    </w:p>
    <w:p w14:paraId="5DB9DF30" w14:textId="77777777" w:rsidR="000D773B" w:rsidRPr="001026E6" w:rsidRDefault="000D773B" w:rsidP="000D773B">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3EB423A2" w14:textId="36B8796E" w:rsidR="006C48A2" w:rsidRPr="001026E6" w:rsidRDefault="00A93EBE" w:rsidP="00034819">
      <w:pPr>
        <w:pStyle w:val="ListParagraph"/>
        <w:numPr>
          <w:ilvl w:val="0"/>
          <w:numId w:val="1"/>
        </w:numPr>
        <w:ind w:left="426"/>
        <w:jc w:val="both"/>
        <w:rPr>
          <w:rFonts w:cs="Helvetica"/>
          <w:sz w:val="24"/>
          <w:szCs w:val="24"/>
        </w:rPr>
      </w:pPr>
      <w:r w:rsidRPr="001026E6">
        <w:rPr>
          <w:rFonts w:cs="Helvetica"/>
          <w:sz w:val="24"/>
          <w:szCs w:val="24"/>
        </w:rPr>
        <w:t>As set out earlier in</w:t>
      </w:r>
      <w:r w:rsidR="000D773B" w:rsidRPr="001026E6">
        <w:rPr>
          <w:rFonts w:cs="Helvetica"/>
          <w:sz w:val="24"/>
          <w:szCs w:val="24"/>
        </w:rPr>
        <w:t xml:space="preserve"> paragraph </w:t>
      </w:r>
      <w:r w:rsidR="00034819" w:rsidRPr="001026E6">
        <w:rPr>
          <w:rFonts w:cs="Helvetica"/>
          <w:sz w:val="24"/>
          <w:szCs w:val="24"/>
        </w:rPr>
        <w:t>15</w:t>
      </w:r>
      <w:r w:rsidR="000D773B" w:rsidRPr="001026E6">
        <w:rPr>
          <w:rFonts w:cs="Helvetica"/>
          <w:sz w:val="24"/>
          <w:szCs w:val="24"/>
        </w:rPr>
        <w:t xml:space="preserve">, </w:t>
      </w:r>
      <w:r w:rsidR="001F12AD" w:rsidRPr="001026E6">
        <w:rPr>
          <w:rFonts w:cs="Helvetica"/>
          <w:sz w:val="24"/>
          <w:szCs w:val="24"/>
        </w:rPr>
        <w:t xml:space="preserve">an Issuer making an Exempt Offer of a Digital Security is still required to have the Digital Security deemed a Security under </w:t>
      </w:r>
      <w:r w:rsidR="001F12AD" w:rsidRPr="001026E6">
        <w:rPr>
          <w:rFonts w:cstheme="minorHAnsi"/>
          <w:sz w:val="24"/>
          <w:lang w:val="en-US"/>
        </w:rPr>
        <w:t xml:space="preserve">Section 58(2)(b) of FSMR.  To clarify, </w:t>
      </w:r>
      <w:r w:rsidR="000D773B" w:rsidRPr="001026E6">
        <w:rPr>
          <w:rFonts w:cs="Helvetica"/>
          <w:sz w:val="24"/>
          <w:szCs w:val="24"/>
        </w:rPr>
        <w:t xml:space="preserve">the </w:t>
      </w:r>
      <w:r w:rsidR="00C232EB" w:rsidRPr="001026E6">
        <w:rPr>
          <w:rFonts w:cs="Helvetica"/>
          <w:sz w:val="24"/>
          <w:szCs w:val="24"/>
        </w:rPr>
        <w:t>I</w:t>
      </w:r>
      <w:r w:rsidR="000D773B" w:rsidRPr="001026E6">
        <w:rPr>
          <w:rFonts w:cs="Helvetica"/>
          <w:sz w:val="24"/>
          <w:szCs w:val="24"/>
        </w:rPr>
        <w:t xml:space="preserve">ssuer of </w:t>
      </w:r>
      <w:r w:rsidR="001F12AD" w:rsidRPr="001026E6">
        <w:rPr>
          <w:rFonts w:cs="Helvetica"/>
          <w:sz w:val="24"/>
          <w:szCs w:val="24"/>
        </w:rPr>
        <w:t>the</w:t>
      </w:r>
      <w:r w:rsidR="000D773B" w:rsidRPr="001026E6">
        <w:rPr>
          <w:rFonts w:cs="Helvetica"/>
          <w:sz w:val="24"/>
          <w:szCs w:val="24"/>
        </w:rPr>
        <w:t xml:space="preserve"> Exempt Offer</w:t>
      </w:r>
      <w:r w:rsidR="001F12AD" w:rsidRPr="001026E6">
        <w:rPr>
          <w:rFonts w:cs="Helvetica"/>
          <w:sz w:val="24"/>
          <w:szCs w:val="24"/>
        </w:rPr>
        <w:t xml:space="preserve"> document</w:t>
      </w:r>
      <w:r w:rsidR="000D773B" w:rsidRPr="001026E6">
        <w:rPr>
          <w:rFonts w:cs="Helvetica"/>
          <w:sz w:val="24"/>
          <w:szCs w:val="24"/>
        </w:rPr>
        <w:t xml:space="preserve"> is not required to obtain FSRA approval for </w:t>
      </w:r>
      <w:r w:rsidRPr="001026E6">
        <w:rPr>
          <w:rFonts w:cs="Helvetica"/>
          <w:sz w:val="24"/>
          <w:szCs w:val="24"/>
        </w:rPr>
        <w:t>the Exempt Offer document itself</w:t>
      </w:r>
      <w:r w:rsidR="000D773B" w:rsidRPr="001026E6">
        <w:rPr>
          <w:rFonts w:cstheme="minorHAnsi"/>
          <w:sz w:val="24"/>
          <w:lang w:val="en-US"/>
        </w:rPr>
        <w:t xml:space="preserve">.  </w:t>
      </w:r>
    </w:p>
    <w:p w14:paraId="1FC7C69C" w14:textId="77777777" w:rsidR="006C48A2" w:rsidRPr="001026E6" w:rsidRDefault="006C48A2" w:rsidP="006C48A2">
      <w:pPr>
        <w:pStyle w:val="ListParagraph"/>
        <w:ind w:left="426"/>
        <w:jc w:val="both"/>
        <w:rPr>
          <w:rFonts w:cs="Helvetica"/>
          <w:sz w:val="24"/>
          <w:szCs w:val="24"/>
        </w:rPr>
      </w:pPr>
    </w:p>
    <w:p w14:paraId="4E1B1075" w14:textId="77777777" w:rsidR="00690472" w:rsidRPr="001026E6" w:rsidRDefault="00690472" w:rsidP="00A17587">
      <w:pPr>
        <w:pStyle w:val="ListParagraph"/>
        <w:numPr>
          <w:ilvl w:val="0"/>
          <w:numId w:val="1"/>
        </w:numPr>
        <w:ind w:left="426"/>
        <w:jc w:val="both"/>
        <w:rPr>
          <w:rFonts w:cs="Helvetica"/>
          <w:sz w:val="24"/>
          <w:szCs w:val="24"/>
        </w:rPr>
      </w:pPr>
      <w:r w:rsidRPr="001026E6">
        <w:rPr>
          <w:rFonts w:cs="Helvetica"/>
          <w:sz w:val="24"/>
          <w:szCs w:val="24"/>
        </w:rPr>
        <w:t xml:space="preserve">An Offer of Securities to the Public (made by way of an Exempt Offer document) can be used for the purposes of having such Securities admitted to trading on an MTF (see paragraph </w:t>
      </w:r>
      <w:r w:rsidR="00A17587" w:rsidRPr="001026E6">
        <w:rPr>
          <w:rFonts w:cs="Helvetica"/>
          <w:sz w:val="24"/>
          <w:szCs w:val="24"/>
        </w:rPr>
        <w:t>46</w:t>
      </w:r>
      <w:r w:rsidRPr="001026E6">
        <w:rPr>
          <w:rFonts w:cs="Helvetica"/>
          <w:sz w:val="24"/>
          <w:szCs w:val="24"/>
        </w:rPr>
        <w:t xml:space="preserve">). </w:t>
      </w:r>
    </w:p>
    <w:p w14:paraId="7F5344C6" w14:textId="77777777" w:rsidR="00690472" w:rsidRPr="001026E6" w:rsidRDefault="00690472" w:rsidP="00690472">
      <w:pPr>
        <w:pStyle w:val="ListParagraph"/>
        <w:ind w:left="426"/>
        <w:jc w:val="both"/>
        <w:rPr>
          <w:rFonts w:cs="Helvetica"/>
          <w:sz w:val="24"/>
          <w:szCs w:val="24"/>
        </w:rPr>
      </w:pPr>
    </w:p>
    <w:p w14:paraId="38824BD4" w14:textId="77777777" w:rsidR="00BA4E7A" w:rsidRPr="001026E6" w:rsidRDefault="00BA4E7A" w:rsidP="00BA4E7A">
      <w:pPr>
        <w:pStyle w:val="Heading2"/>
        <w:tabs>
          <w:tab w:val="clear" w:pos="720"/>
          <w:tab w:val="num" w:pos="0"/>
        </w:tabs>
        <w:spacing w:after="0"/>
        <w:ind w:left="426" w:hanging="426"/>
        <w:rPr>
          <w:b w:val="0"/>
          <w:bCs w:val="0"/>
          <w:szCs w:val="24"/>
        </w:rPr>
      </w:pPr>
      <w:bookmarkStart w:id="37" w:name="_Toc18571323"/>
      <w:bookmarkStart w:id="38" w:name="_Toc33443074"/>
      <w:r w:rsidRPr="001026E6">
        <w:rPr>
          <w:szCs w:val="24"/>
        </w:rPr>
        <w:t>Appointment of Legal Advisers</w:t>
      </w:r>
      <w:bookmarkEnd w:id="37"/>
      <w:bookmarkEnd w:id="38"/>
    </w:p>
    <w:p w14:paraId="79A3CD11" w14:textId="77777777" w:rsidR="00BA4E7A" w:rsidRPr="001026E6" w:rsidRDefault="00BA4E7A" w:rsidP="00BA4E7A">
      <w:pPr>
        <w:jc w:val="both"/>
        <w:rPr>
          <w:b/>
          <w:bCs/>
        </w:rPr>
      </w:pPr>
    </w:p>
    <w:p w14:paraId="1BFF0934" w14:textId="77777777" w:rsidR="00BA4E7A" w:rsidRPr="001026E6" w:rsidRDefault="008570C6" w:rsidP="00D72799">
      <w:pPr>
        <w:pStyle w:val="ListParagraph"/>
        <w:numPr>
          <w:ilvl w:val="0"/>
          <w:numId w:val="1"/>
        </w:numPr>
        <w:ind w:left="426"/>
        <w:jc w:val="both"/>
        <w:rPr>
          <w:sz w:val="24"/>
          <w:szCs w:val="24"/>
          <w:lang w:val="en-US"/>
        </w:rPr>
      </w:pPr>
      <w:r w:rsidRPr="001026E6">
        <w:rPr>
          <w:sz w:val="24"/>
          <w:szCs w:val="24"/>
          <w:lang w:val="en-US"/>
        </w:rPr>
        <w:t xml:space="preserve">Issuers seeking to make an Offer of </w:t>
      </w:r>
      <w:r w:rsidR="00367CA0" w:rsidRPr="001026E6">
        <w:rPr>
          <w:sz w:val="24"/>
          <w:szCs w:val="24"/>
          <w:lang w:val="en-US"/>
        </w:rPr>
        <w:t xml:space="preserve">Digital </w:t>
      </w:r>
      <w:r w:rsidRPr="001026E6">
        <w:rPr>
          <w:sz w:val="24"/>
          <w:szCs w:val="24"/>
          <w:lang w:val="en-US"/>
        </w:rPr>
        <w:t xml:space="preserve">Securities </w:t>
      </w:r>
      <w:r w:rsidR="00BA4E7A" w:rsidRPr="001026E6">
        <w:rPr>
          <w:sz w:val="24"/>
          <w:szCs w:val="24"/>
          <w:lang w:val="en-US"/>
        </w:rPr>
        <w:t xml:space="preserve">should consider the appointment of </w:t>
      </w:r>
      <w:r w:rsidR="009A5835" w:rsidRPr="001026E6">
        <w:rPr>
          <w:sz w:val="24"/>
          <w:szCs w:val="24"/>
          <w:lang w:val="en-US"/>
        </w:rPr>
        <w:t xml:space="preserve">suitable </w:t>
      </w:r>
      <w:r w:rsidRPr="001026E6">
        <w:rPr>
          <w:sz w:val="24"/>
          <w:szCs w:val="24"/>
          <w:lang w:val="en-US"/>
        </w:rPr>
        <w:t xml:space="preserve">legal </w:t>
      </w:r>
      <w:r w:rsidR="00BA4E7A" w:rsidRPr="001026E6">
        <w:rPr>
          <w:sz w:val="24"/>
          <w:szCs w:val="24"/>
          <w:lang w:val="en-US"/>
        </w:rPr>
        <w:t>advisers, with the appropriate skills, knowledge and experience</w:t>
      </w:r>
      <w:r w:rsidRPr="001026E6">
        <w:rPr>
          <w:sz w:val="24"/>
          <w:szCs w:val="24"/>
          <w:lang w:val="en-US"/>
        </w:rPr>
        <w:t xml:space="preserve"> </w:t>
      </w:r>
      <w:r w:rsidR="00BA4E7A" w:rsidRPr="001026E6">
        <w:rPr>
          <w:sz w:val="24"/>
          <w:szCs w:val="24"/>
          <w:lang w:val="en-US"/>
        </w:rPr>
        <w:t xml:space="preserve">to provide the requisite assistance to the </w:t>
      </w:r>
      <w:r w:rsidR="0066684B" w:rsidRPr="001026E6">
        <w:rPr>
          <w:sz w:val="24"/>
          <w:szCs w:val="24"/>
          <w:lang w:val="en-US"/>
        </w:rPr>
        <w:t>Issuer</w:t>
      </w:r>
      <w:r w:rsidR="00BA4E7A" w:rsidRPr="001026E6">
        <w:rPr>
          <w:sz w:val="24"/>
          <w:szCs w:val="24"/>
          <w:lang w:val="en-US"/>
        </w:rPr>
        <w:t xml:space="preserve"> throughout the </w:t>
      </w:r>
      <w:r w:rsidR="0066684B" w:rsidRPr="001026E6">
        <w:rPr>
          <w:sz w:val="24"/>
          <w:szCs w:val="24"/>
          <w:lang w:val="en-US"/>
        </w:rPr>
        <w:t>Offer</w:t>
      </w:r>
      <w:r w:rsidR="00BA4E7A" w:rsidRPr="001026E6">
        <w:rPr>
          <w:sz w:val="24"/>
          <w:szCs w:val="24"/>
          <w:lang w:val="en-US"/>
        </w:rPr>
        <w:t xml:space="preserve"> process</w:t>
      </w:r>
      <w:r w:rsidR="0066684B" w:rsidRPr="001026E6">
        <w:rPr>
          <w:sz w:val="24"/>
          <w:szCs w:val="24"/>
          <w:lang w:val="en-US"/>
        </w:rPr>
        <w:t>.</w:t>
      </w:r>
      <w:r w:rsidR="00911F07" w:rsidRPr="001026E6">
        <w:rPr>
          <w:sz w:val="24"/>
          <w:szCs w:val="24"/>
          <w:lang w:val="en-US"/>
        </w:rPr>
        <w:t xml:space="preserve"> </w:t>
      </w:r>
      <w:r w:rsidR="0066684B" w:rsidRPr="001026E6">
        <w:rPr>
          <w:sz w:val="24"/>
          <w:szCs w:val="24"/>
          <w:lang w:val="en-US"/>
        </w:rPr>
        <w:t>The FSRA expects that such legal advisers would assist in</w:t>
      </w:r>
      <w:r w:rsidR="00911F07" w:rsidRPr="001026E6">
        <w:rPr>
          <w:sz w:val="24"/>
          <w:szCs w:val="24"/>
          <w:lang w:val="en-US"/>
        </w:rPr>
        <w:t xml:space="preserve"> ensur</w:t>
      </w:r>
      <w:r w:rsidR="0066684B" w:rsidRPr="001026E6">
        <w:rPr>
          <w:sz w:val="24"/>
          <w:szCs w:val="24"/>
          <w:lang w:val="en-US"/>
        </w:rPr>
        <w:t>ing</w:t>
      </w:r>
      <w:r w:rsidR="00911F07" w:rsidRPr="001026E6">
        <w:rPr>
          <w:sz w:val="24"/>
          <w:szCs w:val="24"/>
          <w:lang w:val="en-US"/>
        </w:rPr>
        <w:t xml:space="preserve"> </w:t>
      </w:r>
      <w:r w:rsidR="0066684B" w:rsidRPr="001026E6">
        <w:rPr>
          <w:sz w:val="24"/>
          <w:szCs w:val="24"/>
          <w:lang w:val="en-US"/>
        </w:rPr>
        <w:t>an</w:t>
      </w:r>
      <w:r w:rsidR="00911F07" w:rsidRPr="001026E6">
        <w:rPr>
          <w:sz w:val="24"/>
          <w:szCs w:val="24"/>
          <w:lang w:val="en-US"/>
        </w:rPr>
        <w:t xml:space="preserve"> Issuer’s compliance with the applicable provisions of FSMR </w:t>
      </w:r>
      <w:r w:rsidR="00B7470F" w:rsidRPr="001026E6">
        <w:rPr>
          <w:sz w:val="24"/>
          <w:szCs w:val="24"/>
          <w:lang w:val="en-US"/>
        </w:rPr>
        <w:t xml:space="preserve">(including </w:t>
      </w:r>
      <w:r w:rsidR="00AC4F81" w:rsidRPr="001026E6">
        <w:rPr>
          <w:sz w:val="24"/>
          <w:szCs w:val="24"/>
          <w:lang w:val="en-US"/>
        </w:rPr>
        <w:t xml:space="preserve">having </w:t>
      </w:r>
      <w:r w:rsidR="00B7470F" w:rsidRPr="001026E6">
        <w:rPr>
          <w:sz w:val="24"/>
          <w:szCs w:val="24"/>
          <w:lang w:val="en-US"/>
        </w:rPr>
        <w:t xml:space="preserve">the FSRA </w:t>
      </w:r>
      <w:r w:rsidR="00B7470F" w:rsidRPr="001026E6">
        <w:rPr>
          <w:sz w:val="24"/>
          <w:szCs w:val="24"/>
          <w:lang w:val="en-US"/>
        </w:rPr>
        <w:lastRenderedPageBreak/>
        <w:t>deem</w:t>
      </w:r>
      <w:r w:rsidR="00AC4F81" w:rsidRPr="001026E6">
        <w:rPr>
          <w:sz w:val="24"/>
          <w:szCs w:val="24"/>
          <w:lang w:val="en-US"/>
        </w:rPr>
        <w:t xml:space="preserve"> </w:t>
      </w:r>
      <w:r w:rsidR="00B7470F" w:rsidRPr="001026E6">
        <w:rPr>
          <w:sz w:val="24"/>
          <w:szCs w:val="24"/>
          <w:lang w:val="en-US"/>
        </w:rPr>
        <w:t xml:space="preserve">a </w:t>
      </w:r>
      <w:r w:rsidR="00AC4F81" w:rsidRPr="001026E6">
        <w:rPr>
          <w:sz w:val="24"/>
          <w:szCs w:val="24"/>
          <w:lang w:val="en-US"/>
        </w:rPr>
        <w:t xml:space="preserve">Digital </w:t>
      </w:r>
      <w:r w:rsidR="00B7470F" w:rsidRPr="001026E6">
        <w:rPr>
          <w:sz w:val="24"/>
          <w:szCs w:val="24"/>
          <w:lang w:val="en-US"/>
        </w:rPr>
        <w:t>Security</w:t>
      </w:r>
      <w:r w:rsidR="00AC4F81" w:rsidRPr="001026E6">
        <w:rPr>
          <w:sz w:val="24"/>
          <w:szCs w:val="24"/>
          <w:lang w:val="en-US"/>
        </w:rPr>
        <w:t xml:space="preserve"> a Security under FSMR Section 58(2)(b)</w:t>
      </w:r>
      <w:r w:rsidR="00B7470F" w:rsidRPr="001026E6">
        <w:rPr>
          <w:sz w:val="24"/>
          <w:szCs w:val="24"/>
          <w:lang w:val="en-US"/>
        </w:rPr>
        <w:t>)</w:t>
      </w:r>
      <w:r w:rsidR="0066684B" w:rsidRPr="001026E6">
        <w:rPr>
          <w:sz w:val="24"/>
          <w:szCs w:val="24"/>
          <w:lang w:val="en-US"/>
        </w:rPr>
        <w:t>,</w:t>
      </w:r>
      <w:r w:rsidR="00B7470F" w:rsidRPr="001026E6">
        <w:rPr>
          <w:sz w:val="24"/>
          <w:szCs w:val="24"/>
          <w:lang w:val="en-US"/>
        </w:rPr>
        <w:t xml:space="preserve"> </w:t>
      </w:r>
      <w:r w:rsidR="00911F07" w:rsidRPr="001026E6">
        <w:rPr>
          <w:sz w:val="24"/>
          <w:szCs w:val="24"/>
          <w:lang w:val="en-US"/>
        </w:rPr>
        <w:t xml:space="preserve">and MKT (including </w:t>
      </w:r>
      <w:r w:rsidR="00AC4F81" w:rsidRPr="001026E6">
        <w:rPr>
          <w:sz w:val="24"/>
          <w:szCs w:val="24"/>
          <w:lang w:val="en-US"/>
        </w:rPr>
        <w:t xml:space="preserve">in relation to </w:t>
      </w:r>
      <w:r w:rsidR="00911F07" w:rsidRPr="001026E6">
        <w:rPr>
          <w:sz w:val="24"/>
          <w:szCs w:val="24"/>
          <w:lang w:val="en-US"/>
        </w:rPr>
        <w:t>the Listing Rules</w:t>
      </w:r>
      <w:r w:rsidR="00AC4F81" w:rsidRPr="001026E6">
        <w:rPr>
          <w:sz w:val="24"/>
          <w:szCs w:val="24"/>
          <w:lang w:val="en-US"/>
        </w:rPr>
        <w:t xml:space="preserve"> within MKT</w:t>
      </w:r>
      <w:r w:rsidR="00911F07" w:rsidRPr="001026E6">
        <w:rPr>
          <w:sz w:val="24"/>
          <w:szCs w:val="24"/>
          <w:lang w:val="en-US"/>
        </w:rPr>
        <w:t>)</w:t>
      </w:r>
      <w:r w:rsidR="0066684B" w:rsidRPr="001026E6">
        <w:rPr>
          <w:sz w:val="24"/>
          <w:szCs w:val="24"/>
          <w:lang w:val="en-US"/>
        </w:rPr>
        <w:t>.  The FSRA would generally expect to have direct engagement with an Issuer’s legal advisers throughout th</w:t>
      </w:r>
      <w:r w:rsidR="00AC4F81" w:rsidRPr="001026E6">
        <w:rPr>
          <w:sz w:val="24"/>
          <w:szCs w:val="24"/>
          <w:lang w:val="en-US"/>
        </w:rPr>
        <w:t>is</w:t>
      </w:r>
      <w:r w:rsidR="0066684B" w:rsidRPr="001026E6">
        <w:rPr>
          <w:sz w:val="24"/>
          <w:szCs w:val="24"/>
          <w:lang w:val="en-US"/>
        </w:rPr>
        <w:t xml:space="preserve"> process, particularly in relation to the drafting</w:t>
      </w:r>
      <w:r w:rsidR="00AC4F81" w:rsidRPr="001026E6">
        <w:rPr>
          <w:sz w:val="24"/>
          <w:szCs w:val="24"/>
          <w:lang w:val="en-US"/>
        </w:rPr>
        <w:t>,</w:t>
      </w:r>
      <w:r w:rsidR="0066684B" w:rsidRPr="001026E6">
        <w:rPr>
          <w:sz w:val="24"/>
          <w:szCs w:val="24"/>
          <w:lang w:val="en-US"/>
        </w:rPr>
        <w:t xml:space="preserve"> and FSRA review</w:t>
      </w:r>
      <w:r w:rsidR="00AC4F81" w:rsidRPr="001026E6">
        <w:rPr>
          <w:sz w:val="24"/>
          <w:szCs w:val="24"/>
          <w:lang w:val="en-US"/>
        </w:rPr>
        <w:t>,</w:t>
      </w:r>
      <w:r w:rsidR="0066684B" w:rsidRPr="001026E6">
        <w:rPr>
          <w:sz w:val="24"/>
          <w:szCs w:val="24"/>
          <w:lang w:val="en-US"/>
        </w:rPr>
        <w:t xml:space="preserve"> of </w:t>
      </w:r>
      <w:r w:rsidR="002001DD" w:rsidRPr="001026E6">
        <w:rPr>
          <w:sz w:val="24"/>
          <w:szCs w:val="24"/>
          <w:lang w:val="en-US"/>
        </w:rPr>
        <w:t>Offer document</w:t>
      </w:r>
      <w:r w:rsidR="0066684B" w:rsidRPr="001026E6">
        <w:rPr>
          <w:sz w:val="24"/>
          <w:szCs w:val="24"/>
          <w:lang w:val="en-US"/>
        </w:rPr>
        <w:t>ation</w:t>
      </w:r>
      <w:r w:rsidR="00BA4E7A" w:rsidRPr="001026E6">
        <w:rPr>
          <w:sz w:val="24"/>
          <w:szCs w:val="24"/>
          <w:lang w:val="en-US"/>
        </w:rPr>
        <w:t xml:space="preserve">.  </w:t>
      </w:r>
    </w:p>
    <w:p w14:paraId="2210C577" w14:textId="77777777" w:rsidR="00042E4C" w:rsidRPr="001026E6" w:rsidRDefault="00042E4C" w:rsidP="00C60DC6">
      <w:pPr>
        <w:ind w:left="-27"/>
        <w:jc w:val="both"/>
        <w:rPr>
          <w:rFonts w:cs="Helvetica"/>
          <w:sz w:val="24"/>
          <w:szCs w:val="24"/>
        </w:rPr>
      </w:pPr>
    </w:p>
    <w:p w14:paraId="78743B32" w14:textId="77777777" w:rsidR="00BA4E7A" w:rsidRPr="001026E6" w:rsidRDefault="00BA4E7A" w:rsidP="000D773B">
      <w:pPr>
        <w:pStyle w:val="Heading1"/>
        <w:keepLines w:val="0"/>
        <w:spacing w:before="0" w:after="240" w:line="246" w:lineRule="atLeast"/>
        <w:jc w:val="both"/>
      </w:pPr>
      <w:bookmarkStart w:id="39" w:name="_Toc18571324"/>
      <w:bookmarkStart w:id="40" w:name="_Toc33443075"/>
      <w:r w:rsidRPr="001026E6">
        <w:rPr>
          <w:rFonts w:asciiTheme="minorHAnsi" w:hAnsiTheme="minorHAnsi"/>
          <w:sz w:val="24"/>
          <w:szCs w:val="24"/>
        </w:rPr>
        <w:t>MARKETS RULES – LISTING RULES</w:t>
      </w:r>
      <w:bookmarkEnd w:id="39"/>
      <w:bookmarkEnd w:id="40"/>
    </w:p>
    <w:p w14:paraId="1E0FEC9F" w14:textId="77777777" w:rsidR="004F474A" w:rsidRPr="001026E6" w:rsidRDefault="00D21619" w:rsidP="00FF3E81">
      <w:pPr>
        <w:pStyle w:val="ListParagraph"/>
        <w:numPr>
          <w:ilvl w:val="0"/>
          <w:numId w:val="1"/>
        </w:numPr>
        <w:ind w:left="426" w:hanging="426"/>
        <w:jc w:val="both"/>
        <w:rPr>
          <w:rFonts w:cs="Helvetica"/>
          <w:sz w:val="24"/>
          <w:szCs w:val="24"/>
        </w:rPr>
      </w:pPr>
      <w:r w:rsidRPr="001026E6">
        <w:rPr>
          <w:rFonts w:cs="Helvetica"/>
          <w:sz w:val="24"/>
          <w:szCs w:val="24"/>
        </w:rPr>
        <w:t>Pursuant to section 50 of FSMR</w:t>
      </w:r>
      <w:r w:rsidR="00CA5A2E" w:rsidRPr="001026E6">
        <w:rPr>
          <w:rFonts w:cs="Helvetica"/>
          <w:sz w:val="24"/>
          <w:szCs w:val="24"/>
        </w:rPr>
        <w:t>,</w:t>
      </w:r>
      <w:r w:rsidRPr="001026E6">
        <w:rPr>
          <w:rStyle w:val="FootnoteReference"/>
          <w:rFonts w:cs="Helvetica"/>
          <w:sz w:val="24"/>
          <w:szCs w:val="24"/>
        </w:rPr>
        <w:footnoteReference w:id="9"/>
      </w:r>
      <w:r w:rsidRPr="001026E6">
        <w:rPr>
          <w:rFonts w:cs="Helvetica"/>
          <w:sz w:val="24"/>
          <w:szCs w:val="24"/>
        </w:rPr>
        <w:t xml:space="preserve"> the FSRA is required to maintain the Official List of Securities, and may admit to the Official List such Securities as it considers appropriate.  For this purpose, Chapter</w:t>
      </w:r>
      <w:r w:rsidR="004F474A" w:rsidRPr="001026E6">
        <w:rPr>
          <w:rFonts w:cs="Helvetica"/>
          <w:sz w:val="24"/>
          <w:szCs w:val="24"/>
        </w:rPr>
        <w:t xml:space="preserve"> 2 of MKT </w:t>
      </w:r>
      <w:r w:rsidRPr="001026E6">
        <w:rPr>
          <w:rFonts w:cs="Helvetica"/>
          <w:sz w:val="24"/>
          <w:szCs w:val="24"/>
        </w:rPr>
        <w:t xml:space="preserve">sets out the Listing Rules applicable </w:t>
      </w:r>
      <w:r w:rsidR="004F474A" w:rsidRPr="001026E6">
        <w:rPr>
          <w:rFonts w:cs="Helvetica"/>
          <w:sz w:val="24"/>
          <w:szCs w:val="24"/>
        </w:rPr>
        <w:t>to Listed Entiti</w:t>
      </w:r>
      <w:r w:rsidR="007D6379" w:rsidRPr="001026E6">
        <w:rPr>
          <w:rFonts w:cs="Helvetica"/>
          <w:sz w:val="24"/>
          <w:szCs w:val="24"/>
        </w:rPr>
        <w:t xml:space="preserve">es </w:t>
      </w:r>
      <w:r w:rsidR="004F474A" w:rsidRPr="001026E6">
        <w:rPr>
          <w:rFonts w:cs="Helvetica"/>
          <w:sz w:val="24"/>
          <w:szCs w:val="24"/>
        </w:rPr>
        <w:t xml:space="preserve">and to each </w:t>
      </w:r>
      <w:r w:rsidRPr="001026E6">
        <w:rPr>
          <w:rFonts w:cs="Helvetica"/>
          <w:sz w:val="24"/>
          <w:szCs w:val="24"/>
        </w:rPr>
        <w:t>Issuer seeking</w:t>
      </w:r>
      <w:r w:rsidR="004F474A" w:rsidRPr="001026E6">
        <w:rPr>
          <w:rFonts w:cs="Helvetica"/>
          <w:sz w:val="24"/>
          <w:szCs w:val="24"/>
        </w:rPr>
        <w:t xml:space="preserve"> admission of </w:t>
      </w:r>
      <w:r w:rsidRPr="001026E6">
        <w:rPr>
          <w:rFonts w:cs="Helvetica"/>
          <w:sz w:val="24"/>
          <w:szCs w:val="24"/>
        </w:rPr>
        <w:t xml:space="preserve">its </w:t>
      </w:r>
      <w:r w:rsidR="004F474A" w:rsidRPr="001026E6">
        <w:rPr>
          <w:rFonts w:cs="Helvetica"/>
          <w:sz w:val="24"/>
          <w:szCs w:val="24"/>
        </w:rPr>
        <w:t xml:space="preserve">Securities to the Official List of Securities.  </w:t>
      </w:r>
      <w:r w:rsidR="00340932" w:rsidRPr="001026E6">
        <w:rPr>
          <w:rFonts w:cs="Helvetica"/>
          <w:sz w:val="24"/>
          <w:szCs w:val="24"/>
        </w:rPr>
        <w:t>It is important to note that pursuant to section 50 of FSMR, only the FSRA can maintain an Official List of Securities, and</w:t>
      </w:r>
      <w:r w:rsidR="004E0F2B" w:rsidRPr="001026E6">
        <w:rPr>
          <w:rFonts w:cs="Helvetica"/>
          <w:sz w:val="24"/>
          <w:szCs w:val="24"/>
        </w:rPr>
        <w:t xml:space="preserve"> </w:t>
      </w:r>
      <w:r w:rsidR="000A6C44" w:rsidRPr="001026E6">
        <w:rPr>
          <w:rFonts w:cs="Helvetica"/>
          <w:sz w:val="24"/>
          <w:szCs w:val="24"/>
        </w:rPr>
        <w:t xml:space="preserve">neither </w:t>
      </w:r>
      <w:r w:rsidR="00340932" w:rsidRPr="001026E6">
        <w:rPr>
          <w:rFonts w:cs="Helvetica"/>
          <w:sz w:val="24"/>
          <w:szCs w:val="24"/>
        </w:rPr>
        <w:t>RIEs</w:t>
      </w:r>
      <w:r w:rsidR="000A6C44" w:rsidRPr="001026E6">
        <w:rPr>
          <w:rFonts w:cs="Helvetica"/>
          <w:sz w:val="24"/>
          <w:szCs w:val="24"/>
        </w:rPr>
        <w:t xml:space="preserve"> </w:t>
      </w:r>
      <w:r w:rsidR="004E0F2B" w:rsidRPr="001026E6">
        <w:rPr>
          <w:rFonts w:cs="Helvetica"/>
          <w:sz w:val="24"/>
          <w:szCs w:val="24"/>
        </w:rPr>
        <w:t>n</w:t>
      </w:r>
      <w:r w:rsidR="00340932" w:rsidRPr="001026E6">
        <w:rPr>
          <w:rFonts w:cs="Helvetica"/>
          <w:sz w:val="24"/>
          <w:szCs w:val="24"/>
        </w:rPr>
        <w:t>or any other entity within ADGM</w:t>
      </w:r>
      <w:r w:rsidR="000A6C44" w:rsidRPr="001026E6">
        <w:rPr>
          <w:rFonts w:cs="Helvetica"/>
          <w:sz w:val="24"/>
          <w:szCs w:val="24"/>
        </w:rPr>
        <w:t xml:space="preserve"> </w:t>
      </w:r>
      <w:r w:rsidR="00340932" w:rsidRPr="001026E6">
        <w:rPr>
          <w:rFonts w:cs="Helvetica"/>
          <w:sz w:val="24"/>
          <w:szCs w:val="24"/>
        </w:rPr>
        <w:t xml:space="preserve">are able to maintain their own ‘Official List of Securities’. </w:t>
      </w:r>
    </w:p>
    <w:p w14:paraId="63F54230" w14:textId="77777777" w:rsidR="004F474A" w:rsidRPr="001026E6" w:rsidRDefault="004F474A" w:rsidP="0066684B">
      <w:pPr>
        <w:pStyle w:val="ListParagraph"/>
        <w:ind w:left="426" w:hanging="426"/>
        <w:jc w:val="both"/>
        <w:rPr>
          <w:rFonts w:cs="Helvetica"/>
          <w:sz w:val="24"/>
          <w:szCs w:val="24"/>
        </w:rPr>
      </w:pPr>
    </w:p>
    <w:p w14:paraId="52F90EA4" w14:textId="77777777" w:rsidR="004F474A" w:rsidRPr="001026E6" w:rsidRDefault="000B7A79" w:rsidP="00CA5A2E">
      <w:pPr>
        <w:pStyle w:val="ListParagraph"/>
        <w:numPr>
          <w:ilvl w:val="0"/>
          <w:numId w:val="1"/>
        </w:numPr>
        <w:ind w:left="426" w:hanging="426"/>
        <w:jc w:val="both"/>
        <w:rPr>
          <w:rFonts w:cs="Helvetica"/>
          <w:sz w:val="24"/>
          <w:szCs w:val="24"/>
        </w:rPr>
      </w:pPr>
      <w:r w:rsidRPr="001026E6">
        <w:rPr>
          <w:rFonts w:cs="Helvetica"/>
          <w:sz w:val="24"/>
          <w:szCs w:val="24"/>
        </w:rPr>
        <w:t>D</w:t>
      </w:r>
      <w:r w:rsidR="00291F3D" w:rsidRPr="001026E6">
        <w:rPr>
          <w:rFonts w:cs="Helvetica"/>
          <w:sz w:val="24"/>
          <w:szCs w:val="24"/>
        </w:rPr>
        <w:t>ue to the infancy of Digital Securities markets globally</w:t>
      </w:r>
      <w:r w:rsidRPr="001026E6">
        <w:rPr>
          <w:rFonts w:cs="Helvetica"/>
          <w:sz w:val="24"/>
          <w:szCs w:val="24"/>
        </w:rPr>
        <w:t xml:space="preserve">, </w:t>
      </w:r>
      <w:r w:rsidR="002620BC" w:rsidRPr="001026E6">
        <w:rPr>
          <w:rFonts w:cs="Helvetica"/>
          <w:sz w:val="24"/>
          <w:szCs w:val="24"/>
        </w:rPr>
        <w:t>and the generally incomplete integration of Digital Securities primary and secondary markets</w:t>
      </w:r>
      <w:r w:rsidR="00291F3D" w:rsidRPr="001026E6">
        <w:rPr>
          <w:rFonts w:cs="Helvetica"/>
          <w:sz w:val="24"/>
          <w:szCs w:val="24"/>
        </w:rPr>
        <w:t>, the FSRA expect</w:t>
      </w:r>
      <w:r w:rsidR="002620BC" w:rsidRPr="001026E6">
        <w:rPr>
          <w:rFonts w:cs="Helvetica"/>
          <w:sz w:val="24"/>
          <w:szCs w:val="24"/>
        </w:rPr>
        <w:t>s</w:t>
      </w:r>
      <w:r w:rsidR="00291F3D" w:rsidRPr="001026E6">
        <w:rPr>
          <w:rFonts w:cs="Helvetica"/>
          <w:sz w:val="24"/>
          <w:szCs w:val="24"/>
        </w:rPr>
        <w:t xml:space="preserve"> that Offers of Digital Securities being made in or from ADGM should </w:t>
      </w:r>
      <w:r w:rsidRPr="001026E6">
        <w:rPr>
          <w:rFonts w:cs="Helvetica"/>
          <w:sz w:val="24"/>
          <w:szCs w:val="24"/>
        </w:rPr>
        <w:t xml:space="preserve">also </w:t>
      </w:r>
      <w:r w:rsidR="002620BC" w:rsidRPr="001026E6">
        <w:rPr>
          <w:rFonts w:cs="Helvetica"/>
          <w:sz w:val="24"/>
          <w:szCs w:val="24"/>
        </w:rPr>
        <w:t>be linked</w:t>
      </w:r>
      <w:r w:rsidRPr="001026E6">
        <w:rPr>
          <w:rFonts w:cs="Helvetica"/>
          <w:sz w:val="24"/>
          <w:szCs w:val="24"/>
        </w:rPr>
        <w:t xml:space="preserve"> to having s</w:t>
      </w:r>
      <w:r w:rsidR="00291F3D" w:rsidRPr="001026E6">
        <w:rPr>
          <w:rFonts w:cs="Helvetica"/>
          <w:sz w:val="24"/>
          <w:szCs w:val="24"/>
        </w:rPr>
        <w:t xml:space="preserve">uch Issuers seek admission </w:t>
      </w:r>
      <w:r w:rsidRPr="001026E6">
        <w:rPr>
          <w:rFonts w:cs="Helvetica"/>
          <w:sz w:val="24"/>
          <w:szCs w:val="24"/>
        </w:rPr>
        <w:t xml:space="preserve">of their Securities </w:t>
      </w:r>
      <w:r w:rsidR="00291F3D" w:rsidRPr="001026E6">
        <w:rPr>
          <w:rFonts w:cs="Helvetica"/>
          <w:sz w:val="24"/>
          <w:szCs w:val="24"/>
        </w:rPr>
        <w:t>to trading on a RIE or MT</w:t>
      </w:r>
      <w:r w:rsidR="00C11811" w:rsidRPr="001026E6">
        <w:rPr>
          <w:rFonts w:cs="Helvetica"/>
          <w:sz w:val="24"/>
          <w:szCs w:val="24"/>
        </w:rPr>
        <w:t>F operating within ADGM as well</w:t>
      </w:r>
      <w:r w:rsidR="004F474A" w:rsidRPr="001026E6">
        <w:rPr>
          <w:rFonts w:cs="Helvetica"/>
          <w:sz w:val="24"/>
          <w:szCs w:val="24"/>
        </w:rPr>
        <w:t xml:space="preserve"> (see </w:t>
      </w:r>
      <w:r w:rsidR="00291F3D" w:rsidRPr="001026E6">
        <w:rPr>
          <w:rFonts w:cs="Helvetica"/>
          <w:sz w:val="24"/>
          <w:szCs w:val="24"/>
        </w:rPr>
        <w:t xml:space="preserve">paragraphs </w:t>
      </w:r>
      <w:r w:rsidR="00A17587" w:rsidRPr="001026E6">
        <w:rPr>
          <w:rFonts w:cs="Helvetica"/>
          <w:sz w:val="24"/>
          <w:szCs w:val="24"/>
        </w:rPr>
        <w:t xml:space="preserve">42 </w:t>
      </w:r>
      <w:r w:rsidR="00291F3D" w:rsidRPr="001026E6">
        <w:rPr>
          <w:rFonts w:cs="Helvetica"/>
          <w:sz w:val="24"/>
          <w:szCs w:val="24"/>
        </w:rPr>
        <w:t xml:space="preserve">and </w:t>
      </w:r>
      <w:r w:rsidR="00A17587" w:rsidRPr="001026E6">
        <w:rPr>
          <w:rFonts w:cs="Helvetica"/>
          <w:sz w:val="24"/>
          <w:szCs w:val="24"/>
        </w:rPr>
        <w:t>46-47</w:t>
      </w:r>
      <w:r w:rsidR="00C11811" w:rsidRPr="001026E6">
        <w:rPr>
          <w:rFonts w:cs="Helvetica"/>
          <w:sz w:val="24"/>
          <w:szCs w:val="24"/>
        </w:rPr>
        <w:t xml:space="preserve"> </w:t>
      </w:r>
      <w:r w:rsidR="00291F3D" w:rsidRPr="001026E6">
        <w:rPr>
          <w:rFonts w:cs="Helvetica"/>
          <w:sz w:val="24"/>
          <w:szCs w:val="24"/>
        </w:rPr>
        <w:t>relating to admission to trading on RIEs and MTFs respectively</w:t>
      </w:r>
      <w:r w:rsidR="004F474A" w:rsidRPr="001026E6">
        <w:rPr>
          <w:rFonts w:cs="Helvetica"/>
          <w:sz w:val="24"/>
          <w:szCs w:val="24"/>
        </w:rPr>
        <w:t>)</w:t>
      </w:r>
      <w:r w:rsidR="004E0F2B" w:rsidRPr="001026E6">
        <w:rPr>
          <w:rFonts w:cs="Helvetica"/>
          <w:sz w:val="24"/>
          <w:szCs w:val="24"/>
        </w:rPr>
        <w:t xml:space="preserve">.  </w:t>
      </w:r>
      <w:r w:rsidR="00291F3D" w:rsidRPr="001026E6">
        <w:rPr>
          <w:rFonts w:cs="Helvetica"/>
          <w:sz w:val="24"/>
          <w:szCs w:val="24"/>
        </w:rPr>
        <w:t xml:space="preserve">As set out </w:t>
      </w:r>
      <w:r w:rsidR="002620BC" w:rsidRPr="001026E6">
        <w:rPr>
          <w:rFonts w:cs="Helvetica"/>
          <w:sz w:val="24"/>
          <w:szCs w:val="24"/>
        </w:rPr>
        <w:t>initially</w:t>
      </w:r>
      <w:r w:rsidR="00291F3D" w:rsidRPr="001026E6">
        <w:rPr>
          <w:rFonts w:cs="Helvetica"/>
          <w:sz w:val="24"/>
          <w:szCs w:val="24"/>
        </w:rPr>
        <w:t xml:space="preserve"> in paragraph </w:t>
      </w:r>
      <w:r w:rsidR="002620BC" w:rsidRPr="001026E6">
        <w:rPr>
          <w:rFonts w:cs="Helvetica"/>
          <w:sz w:val="24"/>
          <w:szCs w:val="24"/>
        </w:rPr>
        <w:t>2</w:t>
      </w:r>
      <w:r w:rsidR="00291F3D" w:rsidRPr="001026E6">
        <w:rPr>
          <w:rFonts w:cs="Helvetica"/>
          <w:sz w:val="24"/>
          <w:szCs w:val="24"/>
        </w:rPr>
        <w:t xml:space="preserve"> of this Guidance, the considerations of both a primary market and secondary market context </w:t>
      </w:r>
      <w:r w:rsidR="002620BC" w:rsidRPr="001026E6">
        <w:rPr>
          <w:rFonts w:cs="Helvetica"/>
          <w:sz w:val="24"/>
          <w:szCs w:val="24"/>
        </w:rPr>
        <w:t xml:space="preserve">are expected to be fully considered </w:t>
      </w:r>
      <w:r w:rsidR="00291F3D" w:rsidRPr="001026E6">
        <w:rPr>
          <w:rFonts w:cs="Helvetica"/>
          <w:sz w:val="24"/>
          <w:szCs w:val="24"/>
        </w:rPr>
        <w:t>by an Issuer.</w:t>
      </w:r>
      <w:r w:rsidR="0038126F" w:rsidRPr="001026E6">
        <w:rPr>
          <w:rFonts w:cs="Helvetica"/>
          <w:sz w:val="24"/>
          <w:szCs w:val="24"/>
        </w:rPr>
        <w:t xml:space="preserve"> This should include considerations of where an Issuer should make an Offer (and what type of Offer), as well </w:t>
      </w:r>
      <w:r w:rsidR="004E0F2B" w:rsidRPr="001026E6">
        <w:rPr>
          <w:rFonts w:cs="Helvetica"/>
          <w:sz w:val="24"/>
          <w:szCs w:val="24"/>
        </w:rPr>
        <w:t xml:space="preserve">as </w:t>
      </w:r>
      <w:r w:rsidR="0038126F" w:rsidRPr="001026E6">
        <w:rPr>
          <w:rFonts w:cs="Helvetica"/>
          <w:sz w:val="24"/>
          <w:szCs w:val="24"/>
        </w:rPr>
        <w:t xml:space="preserve">which markets within ADGM would adequately meet </w:t>
      </w:r>
      <w:r w:rsidR="00C33981" w:rsidRPr="001026E6">
        <w:rPr>
          <w:rFonts w:cs="Helvetica"/>
          <w:sz w:val="24"/>
          <w:szCs w:val="24"/>
        </w:rPr>
        <w:t xml:space="preserve">its </w:t>
      </w:r>
      <w:r w:rsidR="00C33981" w:rsidRPr="001026E6">
        <w:rPr>
          <w:rFonts w:cs="Helvetica"/>
          <w:sz w:val="24"/>
          <w:szCs w:val="24"/>
        </w:rPr>
        <w:lastRenderedPageBreak/>
        <w:t xml:space="preserve">particular </w:t>
      </w:r>
      <w:r w:rsidR="0038126F" w:rsidRPr="001026E6">
        <w:rPr>
          <w:rFonts w:cs="Helvetica"/>
          <w:sz w:val="24"/>
          <w:szCs w:val="24"/>
        </w:rPr>
        <w:t xml:space="preserve">secondary market </w:t>
      </w:r>
      <w:r w:rsidR="00C33981" w:rsidRPr="001026E6">
        <w:rPr>
          <w:rFonts w:cs="Helvetica"/>
          <w:sz w:val="24"/>
          <w:szCs w:val="24"/>
        </w:rPr>
        <w:t>requirements</w:t>
      </w:r>
      <w:r w:rsidR="0038126F" w:rsidRPr="001026E6">
        <w:rPr>
          <w:rFonts w:cs="Helvetica"/>
          <w:sz w:val="24"/>
          <w:szCs w:val="24"/>
        </w:rPr>
        <w:t xml:space="preserve"> (size, </w:t>
      </w:r>
      <w:r w:rsidR="002620BC" w:rsidRPr="001026E6">
        <w:rPr>
          <w:rFonts w:cs="Helvetica"/>
          <w:sz w:val="24"/>
          <w:szCs w:val="24"/>
        </w:rPr>
        <w:t xml:space="preserve">investor </w:t>
      </w:r>
      <w:r w:rsidR="0038126F" w:rsidRPr="001026E6">
        <w:rPr>
          <w:rFonts w:cs="Helvetica"/>
          <w:sz w:val="24"/>
          <w:szCs w:val="24"/>
        </w:rPr>
        <w:t>type, transparency</w:t>
      </w:r>
      <w:r w:rsidR="00C33981" w:rsidRPr="001026E6">
        <w:rPr>
          <w:rFonts w:cs="Helvetica"/>
          <w:sz w:val="24"/>
          <w:szCs w:val="24"/>
        </w:rPr>
        <w:t>, depth and l</w:t>
      </w:r>
      <w:r w:rsidR="0038126F" w:rsidRPr="001026E6">
        <w:rPr>
          <w:rFonts w:cs="Helvetica"/>
          <w:sz w:val="24"/>
          <w:szCs w:val="24"/>
        </w:rPr>
        <w:t xml:space="preserve">iquidity). </w:t>
      </w:r>
    </w:p>
    <w:p w14:paraId="37B3964D" w14:textId="77777777" w:rsidR="004F474A" w:rsidRPr="001026E6" w:rsidRDefault="004F474A" w:rsidP="0066684B">
      <w:pPr>
        <w:pStyle w:val="ListParagraph"/>
        <w:ind w:left="426" w:hanging="426"/>
        <w:jc w:val="both"/>
        <w:rPr>
          <w:rFonts w:cs="Helvetica"/>
          <w:sz w:val="24"/>
          <w:szCs w:val="24"/>
        </w:rPr>
      </w:pPr>
    </w:p>
    <w:p w14:paraId="7F99D0F3" w14:textId="77777777" w:rsidR="004F474A" w:rsidRPr="001026E6" w:rsidRDefault="00C33981" w:rsidP="00924068">
      <w:pPr>
        <w:pStyle w:val="ListParagraph"/>
        <w:numPr>
          <w:ilvl w:val="0"/>
          <w:numId w:val="1"/>
        </w:numPr>
        <w:ind w:left="426" w:hanging="426"/>
        <w:jc w:val="both"/>
        <w:rPr>
          <w:rFonts w:cs="Helvetica"/>
          <w:sz w:val="24"/>
          <w:szCs w:val="24"/>
        </w:rPr>
      </w:pPr>
      <w:r w:rsidRPr="001026E6">
        <w:rPr>
          <w:rFonts w:cs="Helvetica"/>
          <w:sz w:val="24"/>
          <w:szCs w:val="24"/>
        </w:rPr>
        <w:t>In relation to ‘</w:t>
      </w:r>
      <w:r w:rsidR="004F474A" w:rsidRPr="001026E6">
        <w:rPr>
          <w:rFonts w:cs="Helvetica"/>
          <w:sz w:val="24"/>
          <w:szCs w:val="24"/>
        </w:rPr>
        <w:t>Primary Listings</w:t>
      </w:r>
      <w:r w:rsidRPr="001026E6">
        <w:rPr>
          <w:rFonts w:cs="Helvetica"/>
          <w:sz w:val="24"/>
          <w:szCs w:val="24"/>
        </w:rPr>
        <w:t>’, due to concerns around different regulatory frameworks, regulatory appetite, and</w:t>
      </w:r>
      <w:r w:rsidR="004E0F2B" w:rsidRPr="001026E6">
        <w:rPr>
          <w:rFonts w:cs="Helvetica"/>
          <w:sz w:val="24"/>
          <w:szCs w:val="24"/>
        </w:rPr>
        <w:t xml:space="preserve"> consistency of </w:t>
      </w:r>
      <w:r w:rsidRPr="001026E6">
        <w:rPr>
          <w:rFonts w:cs="Helvetica"/>
          <w:sz w:val="24"/>
          <w:szCs w:val="24"/>
        </w:rPr>
        <w:t xml:space="preserve">regulatory </w:t>
      </w:r>
      <w:r w:rsidR="004E0F2B" w:rsidRPr="001026E6">
        <w:rPr>
          <w:rFonts w:cs="Helvetica"/>
          <w:sz w:val="24"/>
          <w:szCs w:val="24"/>
        </w:rPr>
        <w:t>ov</w:t>
      </w:r>
      <w:r w:rsidR="00924068" w:rsidRPr="001026E6">
        <w:rPr>
          <w:rFonts w:cs="Helvetica"/>
          <w:sz w:val="24"/>
          <w:szCs w:val="24"/>
        </w:rPr>
        <w:t xml:space="preserve">ersight/supervision </w:t>
      </w:r>
      <w:r w:rsidRPr="001026E6">
        <w:rPr>
          <w:rFonts w:cs="Helvetica"/>
          <w:sz w:val="24"/>
          <w:szCs w:val="24"/>
        </w:rPr>
        <w:t xml:space="preserve">globally, the </w:t>
      </w:r>
      <w:r w:rsidR="004F474A" w:rsidRPr="001026E6">
        <w:rPr>
          <w:rFonts w:cs="Helvetica"/>
          <w:sz w:val="24"/>
          <w:szCs w:val="24"/>
        </w:rPr>
        <w:t>FSRA does not</w:t>
      </w:r>
      <w:r w:rsidR="002620BC" w:rsidRPr="001026E6">
        <w:rPr>
          <w:rFonts w:cs="Helvetica"/>
          <w:sz w:val="24"/>
          <w:szCs w:val="24"/>
        </w:rPr>
        <w:t>, at this point in time,</w:t>
      </w:r>
      <w:r w:rsidR="004F474A" w:rsidRPr="001026E6">
        <w:rPr>
          <w:rFonts w:cs="Helvetica"/>
          <w:sz w:val="24"/>
          <w:szCs w:val="24"/>
        </w:rPr>
        <w:t xml:space="preserve"> envisage</w:t>
      </w:r>
      <w:r w:rsidR="00924068" w:rsidRPr="001026E6">
        <w:rPr>
          <w:rFonts w:cs="Helvetica"/>
          <w:sz w:val="24"/>
          <w:szCs w:val="24"/>
        </w:rPr>
        <w:t xml:space="preserve"> </w:t>
      </w:r>
      <w:r w:rsidR="004F474A" w:rsidRPr="001026E6">
        <w:rPr>
          <w:rFonts w:cs="Helvetica"/>
          <w:sz w:val="24"/>
          <w:szCs w:val="24"/>
        </w:rPr>
        <w:t xml:space="preserve">allowing listings of Digital Securities within ADGM </w:t>
      </w:r>
      <w:r w:rsidRPr="001026E6">
        <w:rPr>
          <w:rFonts w:cs="Helvetica"/>
          <w:sz w:val="24"/>
          <w:szCs w:val="24"/>
        </w:rPr>
        <w:t xml:space="preserve">(on a secondary listing basis) </w:t>
      </w:r>
      <w:r w:rsidR="004F474A" w:rsidRPr="001026E6">
        <w:rPr>
          <w:rFonts w:cs="Helvetica"/>
          <w:sz w:val="24"/>
          <w:szCs w:val="24"/>
        </w:rPr>
        <w:t>where the primary listing remains outside of the ADGM</w:t>
      </w:r>
      <w:r w:rsidR="002620BC" w:rsidRPr="001026E6">
        <w:rPr>
          <w:rFonts w:cs="Helvetica"/>
          <w:sz w:val="24"/>
          <w:szCs w:val="24"/>
        </w:rPr>
        <w:t>,</w:t>
      </w:r>
      <w:r w:rsidR="004F474A" w:rsidRPr="001026E6">
        <w:rPr>
          <w:rFonts w:cs="Helvetica"/>
          <w:sz w:val="24"/>
          <w:szCs w:val="24"/>
        </w:rPr>
        <w:t xml:space="preserve"> </w:t>
      </w:r>
      <w:r w:rsidR="002620BC" w:rsidRPr="001026E6">
        <w:rPr>
          <w:rFonts w:cs="Helvetica"/>
          <w:sz w:val="24"/>
          <w:szCs w:val="24"/>
        </w:rPr>
        <w:t xml:space="preserve">and </w:t>
      </w:r>
      <w:r w:rsidR="00924068" w:rsidRPr="001026E6">
        <w:rPr>
          <w:rFonts w:cs="Helvetica"/>
          <w:sz w:val="24"/>
          <w:szCs w:val="24"/>
        </w:rPr>
        <w:t xml:space="preserve">in a </w:t>
      </w:r>
      <w:r w:rsidR="004F474A" w:rsidRPr="001026E6">
        <w:rPr>
          <w:rFonts w:cs="Helvetica"/>
          <w:sz w:val="24"/>
          <w:szCs w:val="24"/>
        </w:rPr>
        <w:t xml:space="preserve">jurisdiction </w:t>
      </w:r>
      <w:r w:rsidR="00924068" w:rsidRPr="001026E6">
        <w:rPr>
          <w:rFonts w:cs="Helvetica"/>
          <w:sz w:val="24"/>
          <w:szCs w:val="24"/>
        </w:rPr>
        <w:t xml:space="preserve">that </w:t>
      </w:r>
      <w:r w:rsidR="004F474A" w:rsidRPr="001026E6">
        <w:rPr>
          <w:rFonts w:cs="Helvetica"/>
          <w:sz w:val="24"/>
          <w:szCs w:val="24"/>
        </w:rPr>
        <w:t xml:space="preserve">is not </w:t>
      </w:r>
      <w:r w:rsidRPr="001026E6">
        <w:rPr>
          <w:rFonts w:cs="Helvetica"/>
          <w:sz w:val="24"/>
          <w:szCs w:val="24"/>
        </w:rPr>
        <w:t>yet appropriately understood or deemed</w:t>
      </w:r>
      <w:r w:rsidR="004F474A" w:rsidRPr="001026E6">
        <w:rPr>
          <w:rFonts w:cs="Helvetica"/>
          <w:sz w:val="24"/>
          <w:szCs w:val="24"/>
        </w:rPr>
        <w:t xml:space="preserve"> suitable</w:t>
      </w:r>
      <w:r w:rsidR="002620BC" w:rsidRPr="001026E6">
        <w:rPr>
          <w:rFonts w:cs="Helvetica"/>
          <w:sz w:val="24"/>
          <w:szCs w:val="24"/>
        </w:rPr>
        <w:t xml:space="preserve"> by FSRA</w:t>
      </w:r>
      <w:r w:rsidR="004F474A" w:rsidRPr="001026E6">
        <w:rPr>
          <w:rFonts w:cs="Helvetica"/>
          <w:sz w:val="24"/>
          <w:szCs w:val="24"/>
        </w:rPr>
        <w:t xml:space="preserve">. </w:t>
      </w:r>
      <w:r w:rsidR="00924068" w:rsidRPr="001026E6">
        <w:rPr>
          <w:rFonts w:cs="Helvetica"/>
          <w:sz w:val="24"/>
          <w:szCs w:val="24"/>
        </w:rPr>
        <w:t xml:space="preserve">Following the publication of this Guidance, the </w:t>
      </w:r>
      <w:r w:rsidRPr="001026E6">
        <w:rPr>
          <w:rFonts w:cs="Helvetica"/>
          <w:sz w:val="24"/>
          <w:szCs w:val="24"/>
        </w:rPr>
        <w:t>FSRA will continue to engage with its regulatory peers</w:t>
      </w:r>
      <w:r w:rsidR="00CD1319" w:rsidRPr="001026E6">
        <w:rPr>
          <w:rFonts w:cs="Helvetica"/>
          <w:sz w:val="24"/>
          <w:szCs w:val="24"/>
        </w:rPr>
        <w:t xml:space="preserve"> </w:t>
      </w:r>
      <w:r w:rsidR="00B277F5" w:rsidRPr="001026E6">
        <w:rPr>
          <w:rFonts w:cs="Helvetica"/>
          <w:sz w:val="24"/>
          <w:szCs w:val="24"/>
        </w:rPr>
        <w:t>as needed</w:t>
      </w:r>
      <w:r w:rsidRPr="001026E6">
        <w:rPr>
          <w:rFonts w:cs="Helvetica"/>
          <w:sz w:val="24"/>
          <w:szCs w:val="24"/>
        </w:rPr>
        <w:t xml:space="preserve">, such that it can </w:t>
      </w:r>
      <w:r w:rsidR="00924068" w:rsidRPr="001026E6">
        <w:rPr>
          <w:rFonts w:cs="Helvetica"/>
          <w:sz w:val="24"/>
          <w:szCs w:val="24"/>
        </w:rPr>
        <w:t xml:space="preserve">work towards identification of potential suitable jurisdictions </w:t>
      </w:r>
      <w:r w:rsidRPr="001026E6">
        <w:rPr>
          <w:rFonts w:cs="Helvetica"/>
          <w:sz w:val="24"/>
          <w:szCs w:val="24"/>
        </w:rPr>
        <w:t>for the purposes of both c</w:t>
      </w:r>
      <w:r w:rsidR="00924068" w:rsidRPr="001026E6">
        <w:rPr>
          <w:rFonts w:cs="Helvetica"/>
          <w:sz w:val="24"/>
          <w:szCs w:val="24"/>
        </w:rPr>
        <w:t>ross-border Offers and listings</w:t>
      </w:r>
      <w:r w:rsidRPr="001026E6">
        <w:rPr>
          <w:rFonts w:cs="Helvetica"/>
          <w:sz w:val="24"/>
          <w:szCs w:val="24"/>
        </w:rPr>
        <w:t xml:space="preserve">. </w:t>
      </w:r>
      <w:r w:rsidR="00B277F5" w:rsidRPr="001026E6">
        <w:rPr>
          <w:rFonts w:cs="Helvetica"/>
          <w:sz w:val="24"/>
          <w:szCs w:val="24"/>
        </w:rPr>
        <w:t xml:space="preserve"> Issuers intending to make cross-border Offers and listings (within or from ADGM markets) are </w:t>
      </w:r>
      <w:r w:rsidR="002620BC" w:rsidRPr="001026E6">
        <w:rPr>
          <w:rFonts w:cs="Helvetica"/>
          <w:sz w:val="24"/>
          <w:szCs w:val="24"/>
        </w:rPr>
        <w:t xml:space="preserve">therefore </w:t>
      </w:r>
      <w:r w:rsidR="00B277F5" w:rsidRPr="001026E6">
        <w:rPr>
          <w:rFonts w:cs="Helvetica"/>
          <w:sz w:val="24"/>
          <w:szCs w:val="24"/>
        </w:rPr>
        <w:t xml:space="preserve">expected to engage with the FSRA at a very </w:t>
      </w:r>
      <w:r w:rsidR="002620BC" w:rsidRPr="001026E6">
        <w:rPr>
          <w:rFonts w:cs="Helvetica"/>
          <w:sz w:val="24"/>
          <w:szCs w:val="24"/>
        </w:rPr>
        <w:t xml:space="preserve">early </w:t>
      </w:r>
      <w:r w:rsidR="00B277F5" w:rsidRPr="001026E6">
        <w:rPr>
          <w:rFonts w:cs="Helvetica"/>
          <w:sz w:val="24"/>
          <w:szCs w:val="24"/>
        </w:rPr>
        <w:t>stage when considering doing so.</w:t>
      </w:r>
    </w:p>
    <w:p w14:paraId="4AF1F755" w14:textId="77777777" w:rsidR="004F474A" w:rsidRPr="001026E6" w:rsidRDefault="004F474A" w:rsidP="0066684B">
      <w:pPr>
        <w:pStyle w:val="ListParagraph"/>
        <w:ind w:left="426" w:hanging="426"/>
        <w:jc w:val="both"/>
        <w:rPr>
          <w:rFonts w:cs="Helvetica"/>
          <w:sz w:val="24"/>
          <w:szCs w:val="24"/>
        </w:rPr>
      </w:pPr>
    </w:p>
    <w:p w14:paraId="3FAA57DD" w14:textId="77777777" w:rsidR="004F474A" w:rsidRPr="001026E6" w:rsidRDefault="00AD73BB" w:rsidP="000B7A79">
      <w:pPr>
        <w:pStyle w:val="ListParagraph"/>
        <w:numPr>
          <w:ilvl w:val="0"/>
          <w:numId w:val="1"/>
        </w:numPr>
        <w:ind w:left="426" w:hanging="426"/>
        <w:jc w:val="both"/>
        <w:rPr>
          <w:rFonts w:cs="Helvetica"/>
          <w:sz w:val="24"/>
          <w:szCs w:val="24"/>
        </w:rPr>
      </w:pPr>
      <w:r w:rsidRPr="001026E6">
        <w:rPr>
          <w:rFonts w:cs="Helvetica"/>
          <w:sz w:val="24"/>
          <w:szCs w:val="24"/>
        </w:rPr>
        <w:t xml:space="preserve">As set out earlier in paragraph 5, it is the FSRA’s general expectation that its Regulations (FSMR) and Rules be read as written, including in relation to the Listing Rules (Chapter 2 of MKT). </w:t>
      </w:r>
      <w:r w:rsidR="00B277F5" w:rsidRPr="001026E6">
        <w:rPr>
          <w:rFonts w:cs="Helvetica"/>
          <w:sz w:val="24"/>
          <w:szCs w:val="24"/>
        </w:rPr>
        <w:t>In relation to specific Listing Rules:</w:t>
      </w:r>
      <w:r w:rsidR="004F474A" w:rsidRPr="001026E6">
        <w:rPr>
          <w:rFonts w:cs="Helvetica"/>
          <w:sz w:val="24"/>
          <w:szCs w:val="24"/>
        </w:rPr>
        <w:t xml:space="preserve"> </w:t>
      </w:r>
    </w:p>
    <w:p w14:paraId="04F986EA" w14:textId="77777777" w:rsidR="004F474A" w:rsidRPr="001026E6" w:rsidRDefault="004F474A" w:rsidP="0066684B">
      <w:pPr>
        <w:pStyle w:val="ListParagraph"/>
        <w:ind w:left="426" w:hanging="426"/>
        <w:jc w:val="both"/>
        <w:rPr>
          <w:rFonts w:cs="Helvetica"/>
          <w:sz w:val="24"/>
          <w:szCs w:val="24"/>
        </w:rPr>
      </w:pPr>
    </w:p>
    <w:p w14:paraId="73B97960" w14:textId="77777777" w:rsidR="00B277F5" w:rsidRPr="001026E6" w:rsidRDefault="00B277F5" w:rsidP="00E609A7">
      <w:pPr>
        <w:pStyle w:val="Heading4"/>
        <w:numPr>
          <w:ilvl w:val="0"/>
          <w:numId w:val="59"/>
        </w:numPr>
        <w:spacing w:after="0" w:line="240" w:lineRule="auto"/>
        <w:ind w:left="851"/>
        <w:rPr>
          <w:rFonts w:cs="Helvetica"/>
          <w:sz w:val="24"/>
        </w:rPr>
      </w:pPr>
      <w:r w:rsidRPr="001026E6">
        <w:rPr>
          <w:rFonts w:asciiTheme="minorHAnsi" w:eastAsiaTheme="minorHAnsi" w:hAnsiTheme="minorHAnsi" w:cs="Helvetica"/>
          <w:bCs w:val="0"/>
          <w:iCs w:val="0"/>
          <w:sz w:val="24"/>
        </w:rPr>
        <w:t>a</w:t>
      </w:r>
      <w:r w:rsidR="004F474A" w:rsidRPr="001026E6">
        <w:rPr>
          <w:rFonts w:asciiTheme="minorHAnsi" w:eastAsiaTheme="minorHAnsi" w:hAnsiTheme="minorHAnsi" w:cs="Helvetica"/>
          <w:bCs w:val="0"/>
          <w:iCs w:val="0"/>
          <w:sz w:val="24"/>
        </w:rPr>
        <w:t xml:space="preserve">n </w:t>
      </w:r>
      <w:r w:rsidRPr="001026E6">
        <w:rPr>
          <w:rFonts w:asciiTheme="minorHAnsi" w:eastAsiaTheme="minorHAnsi" w:hAnsiTheme="minorHAnsi" w:cs="Helvetica"/>
          <w:bCs w:val="0"/>
          <w:iCs w:val="0"/>
          <w:sz w:val="24"/>
        </w:rPr>
        <w:t>Issuer</w:t>
      </w:r>
      <w:r w:rsidR="004F474A" w:rsidRPr="001026E6">
        <w:rPr>
          <w:rFonts w:asciiTheme="minorHAnsi" w:eastAsiaTheme="minorHAnsi" w:hAnsiTheme="minorHAnsi" w:cs="Helvetica"/>
          <w:bCs w:val="0"/>
          <w:iCs w:val="0"/>
          <w:sz w:val="24"/>
        </w:rPr>
        <w:t xml:space="preserve"> seeking to issue Digital Securities should note</w:t>
      </w:r>
      <w:r w:rsidR="00FE3B59" w:rsidRPr="001026E6">
        <w:rPr>
          <w:rFonts w:asciiTheme="minorHAnsi" w:eastAsiaTheme="minorHAnsi" w:hAnsiTheme="minorHAnsi" w:cs="Helvetica"/>
          <w:bCs w:val="0"/>
          <w:iCs w:val="0"/>
          <w:sz w:val="24"/>
        </w:rPr>
        <w:t xml:space="preserve"> that</w:t>
      </w:r>
      <w:r w:rsidR="004F474A" w:rsidRPr="001026E6">
        <w:rPr>
          <w:rFonts w:asciiTheme="minorHAnsi" w:eastAsiaTheme="minorHAnsi" w:hAnsiTheme="minorHAnsi" w:cs="Helvetica"/>
          <w:bCs w:val="0"/>
          <w:iCs w:val="0"/>
          <w:sz w:val="24"/>
        </w:rPr>
        <w:t xml:space="preserve"> the listing principles set out in </w:t>
      </w:r>
      <w:r w:rsidRPr="001026E6">
        <w:rPr>
          <w:rFonts w:asciiTheme="minorHAnsi" w:eastAsiaTheme="minorHAnsi" w:hAnsiTheme="minorHAnsi" w:cs="Helvetica"/>
          <w:bCs w:val="0"/>
          <w:iCs w:val="0"/>
          <w:sz w:val="24"/>
        </w:rPr>
        <w:t>MKT Rule 2.2</w:t>
      </w:r>
      <w:r w:rsidR="004F474A" w:rsidRPr="001026E6">
        <w:rPr>
          <w:rFonts w:asciiTheme="minorHAnsi" w:eastAsiaTheme="minorHAnsi" w:hAnsiTheme="minorHAnsi" w:cs="Helvetica"/>
          <w:bCs w:val="0"/>
          <w:iCs w:val="0"/>
          <w:sz w:val="24"/>
        </w:rPr>
        <w:t xml:space="preserve"> apply in full</w:t>
      </w:r>
      <w:r w:rsidRPr="001026E6">
        <w:rPr>
          <w:rFonts w:asciiTheme="minorHAnsi" w:eastAsiaTheme="minorHAnsi" w:hAnsiTheme="minorHAnsi" w:cs="Helvetica"/>
          <w:bCs w:val="0"/>
          <w:iCs w:val="0"/>
          <w:sz w:val="24"/>
        </w:rPr>
        <w:t>;</w:t>
      </w:r>
      <w:r w:rsidR="004F474A" w:rsidRPr="001026E6">
        <w:rPr>
          <w:rFonts w:asciiTheme="minorHAnsi" w:eastAsiaTheme="minorHAnsi" w:hAnsiTheme="minorHAnsi" w:cs="Helvetica"/>
          <w:bCs w:val="0"/>
          <w:iCs w:val="0"/>
          <w:sz w:val="24"/>
        </w:rPr>
        <w:t xml:space="preserve"> </w:t>
      </w:r>
    </w:p>
    <w:p w14:paraId="2D7244D2" w14:textId="77777777" w:rsidR="00B277F5" w:rsidRPr="001026E6" w:rsidRDefault="00B277F5" w:rsidP="00E609A7">
      <w:pPr>
        <w:pStyle w:val="Heading4"/>
        <w:tabs>
          <w:tab w:val="clear" w:pos="1440"/>
        </w:tabs>
        <w:spacing w:after="0" w:line="240" w:lineRule="auto"/>
        <w:ind w:left="851" w:firstLine="0"/>
        <w:rPr>
          <w:rFonts w:cs="Helvetica"/>
          <w:sz w:val="24"/>
        </w:rPr>
      </w:pPr>
    </w:p>
    <w:p w14:paraId="13C70A54" w14:textId="77777777" w:rsidR="004F474A" w:rsidRPr="001026E6" w:rsidRDefault="00FE3B59" w:rsidP="00FE3B59">
      <w:pPr>
        <w:pStyle w:val="Heading4"/>
        <w:numPr>
          <w:ilvl w:val="0"/>
          <w:numId w:val="59"/>
        </w:numPr>
        <w:spacing w:after="0" w:line="240" w:lineRule="auto"/>
        <w:ind w:left="851"/>
        <w:rPr>
          <w:rFonts w:cs="Helvetica"/>
          <w:sz w:val="24"/>
        </w:rPr>
      </w:pPr>
      <w:r w:rsidRPr="001026E6">
        <w:rPr>
          <w:rFonts w:asciiTheme="minorHAnsi" w:eastAsiaTheme="minorHAnsi" w:hAnsiTheme="minorHAnsi" w:cs="Helvetica"/>
          <w:bCs w:val="0"/>
          <w:iCs w:val="0"/>
          <w:sz w:val="24"/>
        </w:rPr>
        <w:t xml:space="preserve">for the avoidance of </w:t>
      </w:r>
      <w:r w:rsidR="00B277F5" w:rsidRPr="001026E6">
        <w:rPr>
          <w:rFonts w:asciiTheme="minorHAnsi" w:eastAsiaTheme="minorHAnsi" w:hAnsiTheme="minorHAnsi" w:cs="Helvetica"/>
          <w:bCs w:val="0"/>
          <w:iCs w:val="0"/>
          <w:sz w:val="24"/>
        </w:rPr>
        <w:t>doubt, t</w:t>
      </w:r>
      <w:r w:rsidR="004F474A" w:rsidRPr="001026E6">
        <w:rPr>
          <w:rFonts w:asciiTheme="minorHAnsi" w:eastAsiaTheme="minorHAnsi" w:hAnsiTheme="minorHAnsi" w:cs="Helvetica"/>
          <w:bCs w:val="0"/>
          <w:iCs w:val="0"/>
          <w:sz w:val="24"/>
        </w:rPr>
        <w:t>he requirement for a working capital statement per M</w:t>
      </w:r>
      <w:r w:rsidR="00B277F5" w:rsidRPr="001026E6">
        <w:rPr>
          <w:rFonts w:asciiTheme="minorHAnsi" w:eastAsiaTheme="minorHAnsi" w:hAnsiTheme="minorHAnsi" w:cs="Helvetica"/>
          <w:bCs w:val="0"/>
          <w:iCs w:val="0"/>
          <w:sz w:val="24"/>
        </w:rPr>
        <w:t>KT</w:t>
      </w:r>
      <w:r w:rsidR="004F474A" w:rsidRPr="001026E6">
        <w:rPr>
          <w:rFonts w:asciiTheme="minorHAnsi" w:eastAsiaTheme="minorHAnsi" w:hAnsiTheme="minorHAnsi" w:cs="Helvetica"/>
          <w:bCs w:val="0"/>
          <w:iCs w:val="0"/>
          <w:sz w:val="24"/>
        </w:rPr>
        <w:t xml:space="preserve"> Rule 2.3.3 applies</w:t>
      </w:r>
      <w:r w:rsidR="00B277F5" w:rsidRPr="001026E6">
        <w:rPr>
          <w:rFonts w:asciiTheme="minorHAnsi" w:eastAsiaTheme="minorHAnsi" w:hAnsiTheme="minorHAnsi" w:cs="Helvetica"/>
          <w:bCs w:val="0"/>
          <w:iCs w:val="0"/>
          <w:sz w:val="24"/>
        </w:rPr>
        <w:t xml:space="preserve">, </w:t>
      </w:r>
      <w:r w:rsidR="004F474A" w:rsidRPr="001026E6">
        <w:rPr>
          <w:rFonts w:asciiTheme="minorHAnsi" w:eastAsiaTheme="minorHAnsi" w:hAnsiTheme="minorHAnsi" w:cs="Helvetica"/>
          <w:bCs w:val="0"/>
          <w:iCs w:val="0"/>
          <w:sz w:val="24"/>
        </w:rPr>
        <w:t xml:space="preserve">along with </w:t>
      </w:r>
      <w:r w:rsidR="00B277F5" w:rsidRPr="001026E6">
        <w:rPr>
          <w:rFonts w:asciiTheme="minorHAnsi" w:eastAsiaTheme="minorHAnsi" w:hAnsiTheme="minorHAnsi" w:cs="Helvetica"/>
          <w:bCs w:val="0"/>
          <w:iCs w:val="0"/>
          <w:sz w:val="24"/>
        </w:rPr>
        <w:t xml:space="preserve">the other </w:t>
      </w:r>
      <w:r w:rsidR="004F474A" w:rsidRPr="001026E6">
        <w:rPr>
          <w:rFonts w:asciiTheme="minorHAnsi" w:eastAsiaTheme="minorHAnsi" w:hAnsiTheme="minorHAnsi" w:cs="Helvetica"/>
          <w:bCs w:val="0"/>
          <w:iCs w:val="0"/>
          <w:sz w:val="24"/>
        </w:rPr>
        <w:t xml:space="preserve">general </w:t>
      </w:r>
      <w:r w:rsidR="00B277F5" w:rsidRPr="001026E6">
        <w:rPr>
          <w:rFonts w:asciiTheme="minorHAnsi" w:eastAsiaTheme="minorHAnsi" w:hAnsiTheme="minorHAnsi" w:cs="Helvetica"/>
          <w:bCs w:val="0"/>
          <w:iCs w:val="0"/>
          <w:sz w:val="24"/>
        </w:rPr>
        <w:t>eligibility</w:t>
      </w:r>
      <w:r w:rsidR="004F474A" w:rsidRPr="001026E6">
        <w:rPr>
          <w:rFonts w:asciiTheme="minorHAnsi" w:eastAsiaTheme="minorHAnsi" w:hAnsiTheme="minorHAnsi" w:cs="Helvetica"/>
          <w:bCs w:val="0"/>
          <w:iCs w:val="0"/>
          <w:sz w:val="24"/>
        </w:rPr>
        <w:t xml:space="preserve"> </w:t>
      </w:r>
      <w:r w:rsidR="00B277F5" w:rsidRPr="001026E6">
        <w:rPr>
          <w:rFonts w:asciiTheme="minorHAnsi" w:eastAsiaTheme="minorHAnsi" w:hAnsiTheme="minorHAnsi" w:cs="Helvetica"/>
          <w:bCs w:val="0"/>
          <w:iCs w:val="0"/>
          <w:sz w:val="24"/>
        </w:rPr>
        <w:t>requirements of MKT Rule</w:t>
      </w:r>
      <w:r w:rsidR="004F474A" w:rsidRPr="001026E6">
        <w:rPr>
          <w:rFonts w:asciiTheme="minorHAnsi" w:eastAsiaTheme="minorHAnsi" w:hAnsiTheme="minorHAnsi" w:cs="Helvetica"/>
          <w:bCs w:val="0"/>
          <w:iCs w:val="0"/>
          <w:sz w:val="24"/>
        </w:rPr>
        <w:t xml:space="preserve"> 2.3</w:t>
      </w:r>
      <w:r w:rsidR="00B277F5" w:rsidRPr="001026E6">
        <w:rPr>
          <w:rFonts w:asciiTheme="minorHAnsi" w:eastAsiaTheme="minorHAnsi" w:hAnsiTheme="minorHAnsi" w:cs="Helvetica"/>
          <w:bCs w:val="0"/>
          <w:iCs w:val="0"/>
          <w:sz w:val="24"/>
        </w:rPr>
        <w:t>;</w:t>
      </w:r>
    </w:p>
    <w:p w14:paraId="55E3EA6B" w14:textId="77777777" w:rsidR="004F474A" w:rsidRPr="001026E6" w:rsidRDefault="004F474A" w:rsidP="00E609A7">
      <w:pPr>
        <w:pStyle w:val="Heading4"/>
        <w:tabs>
          <w:tab w:val="clear" w:pos="1440"/>
        </w:tabs>
        <w:spacing w:after="0" w:line="240" w:lineRule="auto"/>
        <w:ind w:left="851" w:firstLine="0"/>
        <w:rPr>
          <w:rFonts w:cs="Helvetica"/>
          <w:sz w:val="24"/>
        </w:rPr>
      </w:pPr>
    </w:p>
    <w:p w14:paraId="23A4E3AA" w14:textId="77777777" w:rsidR="000D773B" w:rsidRPr="001026E6" w:rsidRDefault="00FE3B59" w:rsidP="00FE3B59">
      <w:pPr>
        <w:pStyle w:val="Heading4"/>
        <w:numPr>
          <w:ilvl w:val="0"/>
          <w:numId w:val="59"/>
        </w:numPr>
        <w:spacing w:after="0" w:line="240" w:lineRule="auto"/>
        <w:ind w:left="851"/>
        <w:rPr>
          <w:rFonts w:cs="Helvetica"/>
          <w:sz w:val="24"/>
        </w:rPr>
      </w:pPr>
      <w:r w:rsidRPr="001026E6">
        <w:rPr>
          <w:rFonts w:asciiTheme="minorHAnsi" w:eastAsiaTheme="minorHAnsi" w:hAnsiTheme="minorHAnsi" w:cs="Helvetica"/>
          <w:bCs w:val="0"/>
          <w:iCs w:val="0"/>
          <w:sz w:val="24"/>
        </w:rPr>
        <w:lastRenderedPageBreak/>
        <w:t>p</w:t>
      </w:r>
      <w:r w:rsidR="00B277F5" w:rsidRPr="001026E6">
        <w:rPr>
          <w:rFonts w:asciiTheme="minorHAnsi" w:eastAsiaTheme="minorHAnsi" w:hAnsiTheme="minorHAnsi" w:cs="Helvetica"/>
          <w:bCs w:val="0"/>
          <w:iCs w:val="0"/>
          <w:sz w:val="24"/>
        </w:rPr>
        <w:t>ursuant to</w:t>
      </w:r>
      <w:r w:rsidR="004F474A" w:rsidRPr="001026E6">
        <w:rPr>
          <w:rFonts w:asciiTheme="minorHAnsi" w:eastAsiaTheme="minorHAnsi" w:hAnsiTheme="minorHAnsi" w:cs="Helvetica"/>
          <w:bCs w:val="0"/>
          <w:iCs w:val="0"/>
          <w:sz w:val="24"/>
        </w:rPr>
        <w:t xml:space="preserve"> Chapter 5</w:t>
      </w:r>
      <w:r w:rsidR="00B277F5" w:rsidRPr="001026E6">
        <w:rPr>
          <w:rFonts w:asciiTheme="minorHAnsi" w:eastAsiaTheme="minorHAnsi" w:hAnsiTheme="minorHAnsi" w:cs="Helvetica"/>
          <w:bCs w:val="0"/>
          <w:iCs w:val="0"/>
          <w:sz w:val="24"/>
        </w:rPr>
        <w:t xml:space="preserve"> of MKT</w:t>
      </w:r>
      <w:r w:rsidR="004F474A" w:rsidRPr="001026E6">
        <w:rPr>
          <w:rFonts w:asciiTheme="minorHAnsi" w:eastAsiaTheme="minorHAnsi" w:hAnsiTheme="minorHAnsi" w:cs="Helvetica"/>
          <w:bCs w:val="0"/>
          <w:iCs w:val="0"/>
          <w:sz w:val="24"/>
        </w:rPr>
        <w:t xml:space="preserve">, the FSRA has discretion to require the appointment </w:t>
      </w:r>
      <w:r w:rsidRPr="001026E6">
        <w:rPr>
          <w:rFonts w:asciiTheme="minorHAnsi" w:eastAsiaTheme="minorHAnsi" w:hAnsiTheme="minorHAnsi" w:cs="Helvetica"/>
          <w:bCs w:val="0"/>
          <w:iCs w:val="0"/>
          <w:sz w:val="24"/>
        </w:rPr>
        <w:t xml:space="preserve">by an Issuer </w:t>
      </w:r>
      <w:r w:rsidR="004F474A" w:rsidRPr="001026E6">
        <w:rPr>
          <w:rFonts w:asciiTheme="minorHAnsi" w:eastAsiaTheme="minorHAnsi" w:hAnsiTheme="minorHAnsi" w:cs="Helvetica"/>
          <w:bCs w:val="0"/>
          <w:iCs w:val="0"/>
          <w:sz w:val="24"/>
        </w:rPr>
        <w:t xml:space="preserve">of a Sponsor, compliance adviser or other expert adviser. Due to the complexities </w:t>
      </w:r>
      <w:r w:rsidR="00B277F5" w:rsidRPr="001026E6">
        <w:rPr>
          <w:rFonts w:asciiTheme="minorHAnsi" w:eastAsiaTheme="minorHAnsi" w:hAnsiTheme="minorHAnsi" w:cs="Helvetica"/>
          <w:bCs w:val="0"/>
          <w:iCs w:val="0"/>
          <w:sz w:val="24"/>
        </w:rPr>
        <w:t xml:space="preserve">involved </w:t>
      </w:r>
      <w:r w:rsidR="004F474A" w:rsidRPr="001026E6">
        <w:rPr>
          <w:rFonts w:asciiTheme="minorHAnsi" w:eastAsiaTheme="minorHAnsi" w:hAnsiTheme="minorHAnsi" w:cs="Helvetica"/>
          <w:bCs w:val="0"/>
          <w:iCs w:val="0"/>
          <w:sz w:val="24"/>
        </w:rPr>
        <w:t xml:space="preserve">and the relative infancy of </w:t>
      </w:r>
      <w:r w:rsidR="00B277F5" w:rsidRPr="001026E6">
        <w:rPr>
          <w:rFonts w:asciiTheme="minorHAnsi" w:eastAsiaTheme="minorHAnsi" w:hAnsiTheme="minorHAnsi" w:cs="Helvetica"/>
          <w:bCs w:val="0"/>
          <w:iCs w:val="0"/>
          <w:sz w:val="24"/>
        </w:rPr>
        <w:t>D</w:t>
      </w:r>
      <w:r w:rsidR="004F474A" w:rsidRPr="001026E6">
        <w:rPr>
          <w:rFonts w:asciiTheme="minorHAnsi" w:eastAsiaTheme="minorHAnsi" w:hAnsiTheme="minorHAnsi" w:cs="Helvetica"/>
          <w:bCs w:val="0"/>
          <w:iCs w:val="0"/>
          <w:sz w:val="24"/>
        </w:rPr>
        <w:t xml:space="preserve">igital </w:t>
      </w:r>
      <w:r w:rsidR="00B277F5" w:rsidRPr="001026E6">
        <w:rPr>
          <w:rFonts w:asciiTheme="minorHAnsi" w:eastAsiaTheme="minorHAnsi" w:hAnsiTheme="minorHAnsi" w:cs="Helvetica"/>
          <w:bCs w:val="0"/>
          <w:iCs w:val="0"/>
          <w:sz w:val="24"/>
        </w:rPr>
        <w:t>S</w:t>
      </w:r>
      <w:r w:rsidR="004F474A" w:rsidRPr="001026E6">
        <w:rPr>
          <w:rFonts w:asciiTheme="minorHAnsi" w:eastAsiaTheme="minorHAnsi" w:hAnsiTheme="minorHAnsi" w:cs="Helvetica"/>
          <w:bCs w:val="0"/>
          <w:iCs w:val="0"/>
          <w:sz w:val="24"/>
        </w:rPr>
        <w:t xml:space="preserve">ecurities, the FSRA </w:t>
      </w:r>
      <w:r w:rsidRPr="001026E6">
        <w:rPr>
          <w:rFonts w:asciiTheme="minorHAnsi" w:eastAsiaTheme="minorHAnsi" w:hAnsiTheme="minorHAnsi" w:cs="Helvetica"/>
          <w:bCs w:val="0"/>
          <w:iCs w:val="0"/>
          <w:sz w:val="24"/>
        </w:rPr>
        <w:t xml:space="preserve">will  </w:t>
      </w:r>
      <w:r w:rsidR="00AD73BB" w:rsidRPr="001026E6">
        <w:rPr>
          <w:rFonts w:asciiTheme="minorHAnsi" w:eastAsiaTheme="minorHAnsi" w:hAnsiTheme="minorHAnsi" w:cs="Helvetica"/>
          <w:bCs w:val="0"/>
          <w:iCs w:val="0"/>
          <w:sz w:val="24"/>
        </w:rPr>
        <w:t xml:space="preserve">generally </w:t>
      </w:r>
      <w:r w:rsidR="004F474A" w:rsidRPr="001026E6">
        <w:rPr>
          <w:rFonts w:asciiTheme="minorHAnsi" w:eastAsiaTheme="minorHAnsi" w:hAnsiTheme="minorHAnsi" w:cs="Helvetica"/>
          <w:bCs w:val="0"/>
          <w:iCs w:val="0"/>
          <w:sz w:val="24"/>
        </w:rPr>
        <w:t xml:space="preserve">expect an </w:t>
      </w:r>
      <w:r w:rsidR="00B277F5" w:rsidRPr="001026E6">
        <w:rPr>
          <w:rFonts w:asciiTheme="minorHAnsi" w:eastAsiaTheme="minorHAnsi" w:hAnsiTheme="minorHAnsi" w:cs="Helvetica"/>
          <w:bCs w:val="0"/>
          <w:iCs w:val="0"/>
          <w:sz w:val="24"/>
        </w:rPr>
        <w:t>I</w:t>
      </w:r>
      <w:r w:rsidR="004F474A" w:rsidRPr="001026E6">
        <w:rPr>
          <w:rFonts w:asciiTheme="minorHAnsi" w:eastAsiaTheme="minorHAnsi" w:hAnsiTheme="minorHAnsi" w:cs="Helvetica"/>
          <w:bCs w:val="0"/>
          <w:iCs w:val="0"/>
          <w:sz w:val="24"/>
        </w:rPr>
        <w:t xml:space="preserve">ssuer </w:t>
      </w:r>
      <w:r w:rsidR="00AD73BB" w:rsidRPr="001026E6">
        <w:rPr>
          <w:rFonts w:asciiTheme="minorHAnsi" w:eastAsiaTheme="minorHAnsi" w:hAnsiTheme="minorHAnsi" w:cs="Helvetica"/>
          <w:bCs w:val="0"/>
          <w:iCs w:val="0"/>
          <w:sz w:val="24"/>
        </w:rPr>
        <w:t xml:space="preserve">of Digital Securities </w:t>
      </w:r>
      <w:r w:rsidR="004F474A" w:rsidRPr="001026E6">
        <w:rPr>
          <w:rFonts w:asciiTheme="minorHAnsi" w:eastAsiaTheme="minorHAnsi" w:hAnsiTheme="minorHAnsi" w:cs="Helvetica"/>
          <w:bCs w:val="0"/>
          <w:iCs w:val="0"/>
          <w:sz w:val="24"/>
        </w:rPr>
        <w:t>to appoint a Sponsor</w:t>
      </w:r>
      <w:r w:rsidR="00B277F5" w:rsidRPr="001026E6">
        <w:rPr>
          <w:rFonts w:asciiTheme="minorHAnsi" w:eastAsiaTheme="minorHAnsi" w:hAnsiTheme="minorHAnsi" w:cs="Helvetica"/>
          <w:bCs w:val="0"/>
          <w:iCs w:val="0"/>
          <w:sz w:val="24"/>
        </w:rPr>
        <w:t xml:space="preserve"> as required by MKT Rule 5.1.2</w:t>
      </w:r>
      <w:r w:rsidR="00AD73BB" w:rsidRPr="001026E6">
        <w:rPr>
          <w:rFonts w:asciiTheme="minorHAnsi" w:eastAsiaTheme="minorHAnsi" w:hAnsiTheme="minorHAnsi" w:cs="Helvetica"/>
          <w:bCs w:val="0"/>
          <w:iCs w:val="0"/>
          <w:sz w:val="24"/>
        </w:rPr>
        <w:t>; and</w:t>
      </w:r>
    </w:p>
    <w:p w14:paraId="07BEAD9A" w14:textId="77777777" w:rsidR="00B277F5" w:rsidRPr="001026E6" w:rsidRDefault="00B277F5" w:rsidP="00E609A7">
      <w:pPr>
        <w:pStyle w:val="Heading4"/>
        <w:tabs>
          <w:tab w:val="clear" w:pos="1440"/>
        </w:tabs>
        <w:spacing w:after="0" w:line="240" w:lineRule="auto"/>
        <w:ind w:left="851" w:firstLine="0"/>
        <w:rPr>
          <w:rFonts w:cs="Helvetica"/>
          <w:sz w:val="24"/>
        </w:rPr>
      </w:pPr>
    </w:p>
    <w:p w14:paraId="3916B34E" w14:textId="77777777" w:rsidR="00B277F5" w:rsidRPr="001026E6" w:rsidRDefault="00FE3B59" w:rsidP="00E609A7">
      <w:pPr>
        <w:pStyle w:val="Heading4"/>
        <w:numPr>
          <w:ilvl w:val="0"/>
          <w:numId w:val="59"/>
        </w:numPr>
        <w:spacing w:after="0" w:line="240" w:lineRule="auto"/>
        <w:ind w:left="851"/>
        <w:rPr>
          <w:rFonts w:cs="Helvetica"/>
          <w:sz w:val="24"/>
        </w:rPr>
      </w:pPr>
      <w:r w:rsidRPr="001026E6">
        <w:rPr>
          <w:rFonts w:asciiTheme="minorHAnsi" w:eastAsiaTheme="minorHAnsi" w:hAnsiTheme="minorHAnsi" w:cs="Helvetica"/>
          <w:bCs w:val="0"/>
          <w:iCs w:val="0"/>
          <w:sz w:val="24"/>
        </w:rPr>
        <w:t>f</w:t>
      </w:r>
      <w:r w:rsidR="00B277F5" w:rsidRPr="001026E6">
        <w:rPr>
          <w:rFonts w:asciiTheme="minorHAnsi" w:eastAsiaTheme="minorHAnsi" w:hAnsiTheme="minorHAnsi" w:cs="Helvetica"/>
          <w:bCs w:val="0"/>
          <w:iCs w:val="0"/>
          <w:sz w:val="24"/>
        </w:rPr>
        <w:t xml:space="preserve">or Digital Securities in the form of Units of a Fund, Chapter 3 </w:t>
      </w:r>
      <w:r w:rsidR="00AD73BB" w:rsidRPr="001026E6">
        <w:rPr>
          <w:rFonts w:asciiTheme="minorHAnsi" w:eastAsiaTheme="minorHAnsi" w:hAnsiTheme="minorHAnsi" w:cs="Helvetica"/>
          <w:bCs w:val="0"/>
          <w:iCs w:val="0"/>
          <w:sz w:val="24"/>
        </w:rPr>
        <w:t xml:space="preserve">(instead of Chapter 2) </w:t>
      </w:r>
      <w:r w:rsidR="00B277F5" w:rsidRPr="001026E6">
        <w:rPr>
          <w:rFonts w:asciiTheme="minorHAnsi" w:eastAsiaTheme="minorHAnsi" w:hAnsiTheme="minorHAnsi" w:cs="Helvetica"/>
          <w:bCs w:val="0"/>
          <w:iCs w:val="0"/>
          <w:sz w:val="24"/>
        </w:rPr>
        <w:t xml:space="preserve">of MKT contains </w:t>
      </w:r>
      <w:r w:rsidR="005D36C1" w:rsidRPr="001026E6">
        <w:rPr>
          <w:rFonts w:asciiTheme="minorHAnsi" w:eastAsiaTheme="minorHAnsi" w:hAnsiTheme="minorHAnsi" w:cs="Helvetica"/>
          <w:bCs w:val="0"/>
          <w:iCs w:val="0"/>
          <w:sz w:val="24"/>
        </w:rPr>
        <w:t>the relevant Listing Rules.</w:t>
      </w:r>
    </w:p>
    <w:p w14:paraId="36E98051" w14:textId="77777777" w:rsidR="001B445A" w:rsidRPr="001026E6" w:rsidRDefault="001B445A" w:rsidP="0066684B">
      <w:pPr>
        <w:ind w:left="426" w:hanging="426"/>
        <w:rPr>
          <w:rFonts w:cs="Helvetica"/>
          <w:sz w:val="24"/>
          <w:szCs w:val="24"/>
        </w:rPr>
      </w:pPr>
    </w:p>
    <w:p w14:paraId="36EC7A1E" w14:textId="77777777" w:rsidR="00E206F3" w:rsidRPr="001026E6" w:rsidRDefault="00E206F3" w:rsidP="00B65984">
      <w:pPr>
        <w:pStyle w:val="Heading1"/>
        <w:keepLines w:val="0"/>
        <w:spacing w:before="0" w:after="240" w:line="246" w:lineRule="atLeast"/>
        <w:jc w:val="both"/>
        <w:rPr>
          <w:rFonts w:asciiTheme="minorHAnsi" w:hAnsiTheme="minorHAnsi"/>
          <w:sz w:val="24"/>
          <w:szCs w:val="24"/>
        </w:rPr>
      </w:pPr>
      <w:bookmarkStart w:id="41" w:name="_Toc18571325"/>
      <w:bookmarkStart w:id="42" w:name="_Toc33443076"/>
      <w:bookmarkEnd w:id="33"/>
      <w:bookmarkEnd w:id="34"/>
      <w:bookmarkEnd w:id="35"/>
      <w:bookmarkEnd w:id="36"/>
      <w:r w:rsidRPr="001026E6">
        <w:rPr>
          <w:rFonts w:asciiTheme="minorHAnsi" w:hAnsiTheme="minorHAnsi"/>
          <w:sz w:val="24"/>
          <w:szCs w:val="24"/>
        </w:rPr>
        <w:t xml:space="preserve">DIGITAL SECURITIES &amp; </w:t>
      </w:r>
      <w:r w:rsidR="00B65984" w:rsidRPr="001026E6">
        <w:rPr>
          <w:rFonts w:asciiTheme="minorHAnsi" w:hAnsiTheme="minorHAnsi"/>
          <w:sz w:val="24"/>
          <w:szCs w:val="24"/>
        </w:rPr>
        <w:t>TRADING VENUES</w:t>
      </w:r>
      <w:bookmarkEnd w:id="41"/>
      <w:bookmarkEnd w:id="42"/>
    </w:p>
    <w:p w14:paraId="2915B0CF" w14:textId="77777777" w:rsidR="004C688D" w:rsidRPr="001026E6" w:rsidRDefault="005D36C1" w:rsidP="009C063E">
      <w:pPr>
        <w:pStyle w:val="ListParagraph"/>
        <w:numPr>
          <w:ilvl w:val="0"/>
          <w:numId w:val="1"/>
        </w:numPr>
        <w:ind w:left="426"/>
        <w:jc w:val="both"/>
        <w:rPr>
          <w:rFonts w:cs="Helvetica"/>
          <w:sz w:val="24"/>
          <w:szCs w:val="24"/>
        </w:rPr>
      </w:pPr>
      <w:r w:rsidRPr="001026E6">
        <w:rPr>
          <w:rFonts w:cs="Helvetica"/>
          <w:sz w:val="24"/>
          <w:szCs w:val="24"/>
        </w:rPr>
        <w:t>As set out in this Guidance so</w:t>
      </w:r>
      <w:r w:rsidR="004C688D" w:rsidRPr="001026E6">
        <w:rPr>
          <w:rFonts w:cs="Helvetica"/>
          <w:sz w:val="24"/>
          <w:szCs w:val="24"/>
        </w:rPr>
        <w:t xml:space="preserve"> far</w:t>
      </w:r>
      <w:r w:rsidRPr="001026E6">
        <w:rPr>
          <w:rFonts w:cs="Helvetica"/>
          <w:sz w:val="24"/>
          <w:szCs w:val="24"/>
        </w:rPr>
        <w:t>, t</w:t>
      </w:r>
      <w:r w:rsidR="0003209D" w:rsidRPr="001026E6">
        <w:rPr>
          <w:rFonts w:cs="Helvetica"/>
          <w:sz w:val="24"/>
          <w:szCs w:val="24"/>
        </w:rPr>
        <w:t xml:space="preserve">he FSRA’s </w:t>
      </w:r>
      <w:r w:rsidRPr="001026E6">
        <w:rPr>
          <w:rFonts w:cs="Helvetica"/>
          <w:sz w:val="24"/>
          <w:szCs w:val="24"/>
        </w:rPr>
        <w:t xml:space="preserve">regulatory framework allows for Digital Securities to be </w:t>
      </w:r>
      <w:r w:rsidR="0087108D" w:rsidRPr="001026E6">
        <w:rPr>
          <w:rFonts w:cs="Helvetica"/>
          <w:sz w:val="24"/>
          <w:szCs w:val="24"/>
        </w:rPr>
        <w:t>o</w:t>
      </w:r>
      <w:r w:rsidRPr="001026E6">
        <w:rPr>
          <w:rFonts w:cs="Helvetica"/>
          <w:sz w:val="24"/>
          <w:szCs w:val="24"/>
        </w:rPr>
        <w:t xml:space="preserve">ffered, admitted to the Official List (maintained by FSRA) and traded on secondary markets within ADGM. </w:t>
      </w:r>
      <w:r w:rsidR="004C688D" w:rsidRPr="001026E6">
        <w:rPr>
          <w:rFonts w:cs="Helvetica"/>
          <w:sz w:val="24"/>
          <w:szCs w:val="24"/>
        </w:rPr>
        <w:t xml:space="preserve">This section of the Guidance will now set out </w:t>
      </w:r>
      <w:r w:rsidR="00CA5A2E" w:rsidRPr="001026E6">
        <w:rPr>
          <w:rFonts w:cs="Helvetica"/>
          <w:sz w:val="24"/>
          <w:szCs w:val="24"/>
        </w:rPr>
        <w:t xml:space="preserve">the </w:t>
      </w:r>
      <w:r w:rsidR="004C688D" w:rsidRPr="001026E6">
        <w:rPr>
          <w:rFonts w:cs="Helvetica"/>
          <w:sz w:val="24"/>
          <w:szCs w:val="24"/>
        </w:rPr>
        <w:t>FSRA</w:t>
      </w:r>
      <w:r w:rsidR="00CA5A2E" w:rsidRPr="001026E6">
        <w:rPr>
          <w:rFonts w:cs="Helvetica"/>
          <w:sz w:val="24"/>
          <w:szCs w:val="24"/>
        </w:rPr>
        <w:t>’s</w:t>
      </w:r>
      <w:r w:rsidR="004C688D" w:rsidRPr="001026E6">
        <w:rPr>
          <w:rFonts w:cs="Helvetica"/>
          <w:sz w:val="24"/>
          <w:szCs w:val="24"/>
        </w:rPr>
        <w:t xml:space="preserve"> expectations in relation to how ADGM </w:t>
      </w:r>
      <w:r w:rsidR="001E602A" w:rsidRPr="001026E6">
        <w:rPr>
          <w:rFonts w:cs="Helvetica"/>
          <w:sz w:val="24"/>
          <w:szCs w:val="24"/>
        </w:rPr>
        <w:t xml:space="preserve">trading venues (RIEs, MTFs and </w:t>
      </w:r>
      <w:r w:rsidR="00874809" w:rsidRPr="001026E6">
        <w:rPr>
          <w:rFonts w:cs="Helvetica"/>
          <w:sz w:val="24"/>
          <w:szCs w:val="24"/>
        </w:rPr>
        <w:t xml:space="preserve">Organised Trading Facilities </w:t>
      </w:r>
      <w:r w:rsidR="00CA5A2E" w:rsidRPr="001026E6">
        <w:rPr>
          <w:rFonts w:cs="Helvetica"/>
          <w:sz w:val="24"/>
          <w:szCs w:val="24"/>
        </w:rPr>
        <w:t>(</w:t>
      </w:r>
      <w:r w:rsidR="00874809" w:rsidRPr="001026E6">
        <w:rPr>
          <w:rFonts w:cs="Helvetica"/>
          <w:sz w:val="24"/>
          <w:szCs w:val="24"/>
        </w:rPr>
        <w:t>“</w:t>
      </w:r>
      <w:r w:rsidR="004C688D" w:rsidRPr="001026E6">
        <w:rPr>
          <w:rFonts w:cs="Helvetica"/>
          <w:sz w:val="24"/>
          <w:szCs w:val="24"/>
        </w:rPr>
        <w:t>OTF</w:t>
      </w:r>
      <w:r w:rsidR="009020D6" w:rsidRPr="001026E6">
        <w:rPr>
          <w:rFonts w:cs="Helvetica"/>
          <w:sz w:val="24"/>
          <w:szCs w:val="24"/>
        </w:rPr>
        <w:t>s</w:t>
      </w:r>
      <w:r w:rsidR="00874809" w:rsidRPr="001026E6">
        <w:rPr>
          <w:rFonts w:cs="Helvetica"/>
          <w:sz w:val="24"/>
          <w:szCs w:val="24"/>
        </w:rPr>
        <w:t>”</w:t>
      </w:r>
      <w:r w:rsidR="00CA5A2E" w:rsidRPr="001026E6">
        <w:rPr>
          <w:rFonts w:cs="Helvetica"/>
          <w:sz w:val="24"/>
          <w:szCs w:val="24"/>
        </w:rPr>
        <w:t>)</w:t>
      </w:r>
      <w:r w:rsidR="004C688D" w:rsidRPr="001026E6">
        <w:rPr>
          <w:rFonts w:cs="Helvetica"/>
          <w:sz w:val="24"/>
          <w:szCs w:val="24"/>
        </w:rPr>
        <w:t xml:space="preserve">) interact with Digital Securities. </w:t>
      </w:r>
      <w:r w:rsidR="009C063E" w:rsidRPr="001026E6">
        <w:rPr>
          <w:rFonts w:cs="Helvetica"/>
          <w:sz w:val="24"/>
          <w:szCs w:val="24"/>
        </w:rPr>
        <w:t>T</w:t>
      </w:r>
      <w:r w:rsidR="004C688D" w:rsidRPr="001026E6">
        <w:rPr>
          <w:rFonts w:cs="Helvetica"/>
          <w:sz w:val="24"/>
          <w:szCs w:val="24"/>
        </w:rPr>
        <w:t>he FSRA’s policy position and expectations in relation to the</w:t>
      </w:r>
      <w:r w:rsidR="00462F30" w:rsidRPr="001026E6">
        <w:rPr>
          <w:rFonts w:cs="Helvetica"/>
          <w:sz w:val="24"/>
          <w:szCs w:val="24"/>
        </w:rPr>
        <w:t xml:space="preserve"> operation of the</w:t>
      </w:r>
      <w:r w:rsidR="004C688D" w:rsidRPr="001026E6">
        <w:rPr>
          <w:rFonts w:cs="Helvetica"/>
          <w:sz w:val="24"/>
          <w:szCs w:val="24"/>
        </w:rPr>
        <w:t xml:space="preserve">se </w:t>
      </w:r>
      <w:r w:rsidR="00462F30" w:rsidRPr="001026E6">
        <w:rPr>
          <w:rFonts w:cs="Helvetica"/>
          <w:sz w:val="24"/>
          <w:szCs w:val="24"/>
        </w:rPr>
        <w:t xml:space="preserve">different </w:t>
      </w:r>
      <w:r w:rsidR="004C688D" w:rsidRPr="001026E6">
        <w:rPr>
          <w:rFonts w:cs="Helvetica"/>
          <w:sz w:val="24"/>
          <w:szCs w:val="24"/>
        </w:rPr>
        <w:t xml:space="preserve">market infrastructures is set out below.  </w:t>
      </w:r>
    </w:p>
    <w:p w14:paraId="402CBBDB" w14:textId="77777777" w:rsidR="00FD4927" w:rsidRPr="001026E6" w:rsidRDefault="00FD4927" w:rsidP="00E609A7">
      <w:pPr>
        <w:pStyle w:val="ListParagraph"/>
        <w:ind w:left="426"/>
        <w:jc w:val="both"/>
        <w:rPr>
          <w:rFonts w:cs="Helvetica"/>
          <w:sz w:val="24"/>
          <w:szCs w:val="24"/>
        </w:rPr>
      </w:pPr>
    </w:p>
    <w:p w14:paraId="0F2FA56A" w14:textId="77777777" w:rsidR="00E206F3" w:rsidRPr="001026E6" w:rsidRDefault="00E206F3" w:rsidP="00863BA2">
      <w:pPr>
        <w:pStyle w:val="Heading2"/>
        <w:tabs>
          <w:tab w:val="clear" w:pos="720"/>
          <w:tab w:val="num" w:pos="0"/>
        </w:tabs>
        <w:ind w:left="0" w:firstLine="0"/>
        <w:rPr>
          <w:szCs w:val="24"/>
        </w:rPr>
      </w:pPr>
      <w:bookmarkStart w:id="43" w:name="_Toc18571326"/>
      <w:bookmarkStart w:id="44" w:name="_Toc33443077"/>
      <w:r w:rsidRPr="001026E6">
        <w:rPr>
          <w:szCs w:val="24"/>
        </w:rPr>
        <w:t xml:space="preserve">Recognised Investment Exchanges </w:t>
      </w:r>
      <w:r w:rsidR="009A1CCD" w:rsidRPr="001026E6">
        <w:rPr>
          <w:szCs w:val="24"/>
        </w:rPr>
        <w:t>(RIEs)</w:t>
      </w:r>
      <w:bookmarkEnd w:id="43"/>
      <w:bookmarkEnd w:id="44"/>
    </w:p>
    <w:p w14:paraId="31E999B8" w14:textId="77777777" w:rsidR="000D773B" w:rsidRPr="001026E6" w:rsidRDefault="00FD146C">
      <w:pPr>
        <w:pStyle w:val="ListParagraph"/>
        <w:numPr>
          <w:ilvl w:val="0"/>
          <w:numId w:val="1"/>
        </w:numPr>
        <w:ind w:left="426"/>
        <w:jc w:val="both"/>
        <w:rPr>
          <w:rFonts w:cs="Helvetica"/>
          <w:sz w:val="24"/>
          <w:szCs w:val="24"/>
        </w:rPr>
      </w:pPr>
      <w:r w:rsidRPr="001026E6">
        <w:rPr>
          <w:rFonts w:cs="Helvetica"/>
          <w:sz w:val="24"/>
          <w:szCs w:val="24"/>
        </w:rPr>
        <w:t>RIEs</w:t>
      </w:r>
      <w:r w:rsidR="000D773B" w:rsidRPr="001026E6">
        <w:rPr>
          <w:rFonts w:cs="Helvetica"/>
          <w:sz w:val="24"/>
          <w:szCs w:val="24"/>
        </w:rPr>
        <w:t xml:space="preserve"> may operate both primary and secondary markets in </w:t>
      </w:r>
      <w:r w:rsidR="004C688D" w:rsidRPr="001026E6">
        <w:rPr>
          <w:rFonts w:cs="Helvetica"/>
          <w:sz w:val="24"/>
          <w:szCs w:val="24"/>
        </w:rPr>
        <w:t>F</w:t>
      </w:r>
      <w:r w:rsidR="000D773B" w:rsidRPr="001026E6">
        <w:rPr>
          <w:rFonts w:cs="Helvetica"/>
          <w:sz w:val="24"/>
          <w:szCs w:val="24"/>
        </w:rPr>
        <w:t xml:space="preserve">inancial </w:t>
      </w:r>
      <w:r w:rsidR="004C688D" w:rsidRPr="001026E6">
        <w:rPr>
          <w:rFonts w:cs="Helvetica"/>
          <w:sz w:val="24"/>
          <w:szCs w:val="24"/>
        </w:rPr>
        <w:t>I</w:t>
      </w:r>
      <w:r w:rsidR="000D773B" w:rsidRPr="001026E6">
        <w:rPr>
          <w:rFonts w:cs="Helvetica"/>
          <w:sz w:val="24"/>
          <w:szCs w:val="24"/>
        </w:rPr>
        <w:t xml:space="preserve">nstruments </w:t>
      </w:r>
      <w:r w:rsidR="00D55198" w:rsidRPr="001026E6">
        <w:rPr>
          <w:rFonts w:cs="Helvetica"/>
          <w:sz w:val="24"/>
          <w:szCs w:val="24"/>
        </w:rPr>
        <w:t>(</w:t>
      </w:r>
      <w:r w:rsidR="000D773B" w:rsidRPr="001026E6">
        <w:rPr>
          <w:rFonts w:cs="Helvetica"/>
          <w:sz w:val="24"/>
          <w:szCs w:val="24"/>
        </w:rPr>
        <w:t>including Digital Securities</w:t>
      </w:r>
      <w:r w:rsidR="00D55198" w:rsidRPr="001026E6">
        <w:rPr>
          <w:rFonts w:cs="Helvetica"/>
          <w:sz w:val="24"/>
          <w:szCs w:val="24"/>
        </w:rPr>
        <w:t>)</w:t>
      </w:r>
      <w:r w:rsidR="00ED19C1" w:rsidRPr="001026E6">
        <w:rPr>
          <w:rFonts w:cs="Helvetica"/>
          <w:sz w:val="24"/>
          <w:szCs w:val="24"/>
        </w:rPr>
        <w:t xml:space="preserve">.  </w:t>
      </w:r>
      <w:r w:rsidR="000D773B" w:rsidRPr="001026E6">
        <w:rPr>
          <w:rFonts w:cs="Helvetica"/>
          <w:sz w:val="24"/>
          <w:szCs w:val="24"/>
        </w:rPr>
        <w:t xml:space="preserve">A </w:t>
      </w:r>
      <w:r w:rsidR="00D55198" w:rsidRPr="001026E6">
        <w:rPr>
          <w:rFonts w:cs="Helvetica"/>
          <w:sz w:val="24"/>
          <w:szCs w:val="24"/>
        </w:rPr>
        <w:t>RIE</w:t>
      </w:r>
      <w:r w:rsidR="000D773B" w:rsidRPr="001026E6">
        <w:rPr>
          <w:rFonts w:cs="Helvetica"/>
          <w:sz w:val="24"/>
          <w:szCs w:val="24"/>
        </w:rPr>
        <w:t xml:space="preserve"> must demonstrate to the FSRA that it is able to meet the Recognition Requirements as set out in M</w:t>
      </w:r>
      <w:r w:rsidR="00D55198" w:rsidRPr="001026E6">
        <w:rPr>
          <w:rFonts w:cs="Helvetica"/>
          <w:sz w:val="24"/>
          <w:szCs w:val="24"/>
        </w:rPr>
        <w:t>arket Infrastructure Rules (MIR)</w:t>
      </w:r>
      <w:r w:rsidR="000D773B" w:rsidRPr="001026E6">
        <w:rPr>
          <w:rFonts w:cs="Helvetica"/>
          <w:sz w:val="24"/>
          <w:szCs w:val="24"/>
        </w:rPr>
        <w:t xml:space="preserve"> </w:t>
      </w:r>
      <w:r w:rsidR="00D55198" w:rsidRPr="001026E6">
        <w:rPr>
          <w:rFonts w:cs="Helvetica"/>
          <w:sz w:val="24"/>
          <w:szCs w:val="24"/>
        </w:rPr>
        <w:t>C</w:t>
      </w:r>
      <w:r w:rsidR="000D773B" w:rsidRPr="001026E6">
        <w:rPr>
          <w:rFonts w:cs="Helvetica"/>
          <w:sz w:val="24"/>
          <w:szCs w:val="24"/>
        </w:rPr>
        <w:t xml:space="preserve">hapter 2 </w:t>
      </w:r>
      <w:r w:rsidR="00D55198" w:rsidRPr="001026E6">
        <w:rPr>
          <w:rFonts w:cs="Helvetica"/>
          <w:sz w:val="24"/>
          <w:szCs w:val="24"/>
        </w:rPr>
        <w:t>(Rules Applicable to All Recognised Bodies) and Chapter</w:t>
      </w:r>
      <w:r w:rsidR="000D773B" w:rsidRPr="001026E6">
        <w:rPr>
          <w:rFonts w:cs="Helvetica"/>
          <w:sz w:val="24"/>
          <w:szCs w:val="24"/>
        </w:rPr>
        <w:t xml:space="preserve"> 3</w:t>
      </w:r>
      <w:r w:rsidR="00D55198" w:rsidRPr="001026E6">
        <w:rPr>
          <w:rFonts w:cs="Helvetica"/>
          <w:sz w:val="24"/>
          <w:szCs w:val="24"/>
        </w:rPr>
        <w:t xml:space="preserve"> (Rules Applicable to R</w:t>
      </w:r>
      <w:r w:rsidR="009A1CCD" w:rsidRPr="001026E6">
        <w:rPr>
          <w:rFonts w:cs="Helvetica"/>
          <w:sz w:val="24"/>
          <w:szCs w:val="24"/>
        </w:rPr>
        <w:t>IEs</w:t>
      </w:r>
      <w:r w:rsidR="00D55198" w:rsidRPr="001026E6">
        <w:rPr>
          <w:rFonts w:cs="Helvetica"/>
          <w:sz w:val="24"/>
          <w:szCs w:val="24"/>
        </w:rPr>
        <w:t>)</w:t>
      </w:r>
      <w:r w:rsidR="000D773B" w:rsidRPr="001026E6">
        <w:rPr>
          <w:rFonts w:cs="Helvetica"/>
          <w:sz w:val="24"/>
          <w:szCs w:val="24"/>
        </w:rPr>
        <w:t xml:space="preserve"> before a Recognition Order can be </w:t>
      </w:r>
      <w:r w:rsidR="00D55198" w:rsidRPr="001026E6">
        <w:rPr>
          <w:rFonts w:cs="Helvetica"/>
          <w:sz w:val="24"/>
          <w:szCs w:val="24"/>
        </w:rPr>
        <w:t>granted by the FSRA</w:t>
      </w:r>
      <w:r w:rsidR="000D773B" w:rsidRPr="001026E6">
        <w:rPr>
          <w:rFonts w:cs="Helvetica"/>
          <w:sz w:val="24"/>
          <w:szCs w:val="24"/>
        </w:rPr>
        <w:t xml:space="preserve">. Once it has been </w:t>
      </w:r>
      <w:r w:rsidR="00D55198" w:rsidRPr="001026E6">
        <w:rPr>
          <w:rFonts w:cs="Helvetica"/>
          <w:sz w:val="24"/>
          <w:szCs w:val="24"/>
        </w:rPr>
        <w:t>granted a Recognition Order</w:t>
      </w:r>
      <w:r w:rsidR="000D773B" w:rsidRPr="001026E6">
        <w:rPr>
          <w:rFonts w:cs="Helvetica"/>
          <w:sz w:val="24"/>
          <w:szCs w:val="24"/>
        </w:rPr>
        <w:t xml:space="preserve">, a </w:t>
      </w:r>
      <w:r w:rsidR="00D55198" w:rsidRPr="001026E6">
        <w:rPr>
          <w:rFonts w:cs="Helvetica"/>
          <w:sz w:val="24"/>
          <w:szCs w:val="24"/>
        </w:rPr>
        <w:t>RIE</w:t>
      </w:r>
      <w:r w:rsidR="000D773B" w:rsidRPr="001026E6">
        <w:rPr>
          <w:rFonts w:cs="Helvetica"/>
          <w:sz w:val="24"/>
          <w:szCs w:val="24"/>
        </w:rPr>
        <w:t xml:space="preserve"> must </w:t>
      </w:r>
      <w:r w:rsidR="00D55198" w:rsidRPr="001026E6">
        <w:rPr>
          <w:rFonts w:cs="Helvetica"/>
          <w:sz w:val="24"/>
          <w:szCs w:val="24"/>
        </w:rPr>
        <w:t xml:space="preserve">continue to </w:t>
      </w:r>
      <w:r w:rsidR="000D773B" w:rsidRPr="001026E6">
        <w:rPr>
          <w:rFonts w:cs="Helvetica"/>
          <w:sz w:val="24"/>
          <w:szCs w:val="24"/>
        </w:rPr>
        <w:t xml:space="preserve">comply with </w:t>
      </w:r>
      <w:r w:rsidR="00462F30" w:rsidRPr="001026E6">
        <w:rPr>
          <w:rFonts w:cs="Helvetica"/>
          <w:sz w:val="24"/>
          <w:szCs w:val="24"/>
        </w:rPr>
        <w:t>all</w:t>
      </w:r>
      <w:r w:rsidR="000D773B" w:rsidRPr="001026E6">
        <w:rPr>
          <w:rFonts w:cs="Helvetica"/>
          <w:sz w:val="24"/>
          <w:szCs w:val="24"/>
        </w:rPr>
        <w:t xml:space="preserve"> </w:t>
      </w:r>
      <w:r w:rsidR="000D773B" w:rsidRPr="001026E6">
        <w:rPr>
          <w:rFonts w:cs="Helvetica"/>
          <w:sz w:val="24"/>
          <w:szCs w:val="24"/>
        </w:rPr>
        <w:lastRenderedPageBreak/>
        <w:t xml:space="preserve">Recognition Requirements </w:t>
      </w:r>
      <w:r w:rsidR="00D55198" w:rsidRPr="001026E6">
        <w:rPr>
          <w:rFonts w:cs="Helvetica"/>
          <w:sz w:val="24"/>
          <w:szCs w:val="24"/>
        </w:rPr>
        <w:t>(contained with MIR Chapters 2 and 3) on an ongoing basis.</w:t>
      </w:r>
    </w:p>
    <w:p w14:paraId="69BAE2E3" w14:textId="77777777" w:rsidR="000D773B" w:rsidRPr="001026E6" w:rsidRDefault="000D773B" w:rsidP="000D773B">
      <w:pPr>
        <w:pStyle w:val="ListParagraph"/>
        <w:ind w:left="426"/>
        <w:jc w:val="both"/>
        <w:rPr>
          <w:rFonts w:cs="Helvetica"/>
          <w:sz w:val="24"/>
          <w:szCs w:val="24"/>
        </w:rPr>
      </w:pPr>
    </w:p>
    <w:p w14:paraId="419EFD66" w14:textId="77777777" w:rsidR="00D55198" w:rsidRPr="001026E6" w:rsidRDefault="00D55198" w:rsidP="00D55198">
      <w:pPr>
        <w:pStyle w:val="ListParagraph"/>
        <w:numPr>
          <w:ilvl w:val="0"/>
          <w:numId w:val="1"/>
        </w:numPr>
        <w:ind w:left="426"/>
        <w:jc w:val="both"/>
        <w:rPr>
          <w:rFonts w:cs="Helvetica"/>
          <w:sz w:val="24"/>
          <w:szCs w:val="24"/>
        </w:rPr>
      </w:pPr>
      <w:r w:rsidRPr="001026E6">
        <w:rPr>
          <w:sz w:val="24"/>
          <w:szCs w:val="24"/>
        </w:rPr>
        <w:t xml:space="preserve">Pursuant to section 50(3) of FSMR, a RIE shall not permit trading of Securities on its facilities unless those Securities are admitted to, and not suspended from, </w:t>
      </w:r>
      <w:r w:rsidR="00FD146C" w:rsidRPr="001026E6">
        <w:rPr>
          <w:sz w:val="24"/>
          <w:szCs w:val="24"/>
        </w:rPr>
        <w:t>the Official List.  Section 61(1</w:t>
      </w:r>
      <w:r w:rsidRPr="001026E6">
        <w:rPr>
          <w:sz w:val="24"/>
          <w:szCs w:val="24"/>
        </w:rPr>
        <w:t>) of FSMR is linked to section 50(3), such that an Issuer cannot ‘have Securities admitted to trading on a R</w:t>
      </w:r>
      <w:r w:rsidR="009A1CCD" w:rsidRPr="001026E6">
        <w:rPr>
          <w:sz w:val="24"/>
          <w:szCs w:val="24"/>
        </w:rPr>
        <w:t>IE</w:t>
      </w:r>
      <w:r w:rsidRPr="001026E6">
        <w:rPr>
          <w:sz w:val="24"/>
          <w:szCs w:val="24"/>
        </w:rPr>
        <w:t>, unless there is an Approved Prospectus in relation to the relevant Securities’.  An Issuer therefore wanting to have its Securities traded on a RIE needs to have such Securities</w:t>
      </w:r>
      <w:r w:rsidR="00FD146C" w:rsidRPr="001026E6">
        <w:rPr>
          <w:sz w:val="24"/>
          <w:szCs w:val="24"/>
        </w:rPr>
        <w:t>:</w:t>
      </w:r>
      <w:r w:rsidRPr="001026E6">
        <w:rPr>
          <w:rStyle w:val="FootnoteReference"/>
          <w:sz w:val="24"/>
          <w:szCs w:val="24"/>
        </w:rPr>
        <w:footnoteReference w:id="10"/>
      </w:r>
    </w:p>
    <w:p w14:paraId="0B6C1138" w14:textId="77777777" w:rsidR="00D55198" w:rsidRPr="001026E6" w:rsidRDefault="00D55198" w:rsidP="00D55198">
      <w:pPr>
        <w:pStyle w:val="ListParagraph"/>
        <w:rPr>
          <w:rFonts w:cs="Helvetica"/>
          <w:sz w:val="24"/>
          <w:szCs w:val="24"/>
        </w:rPr>
      </w:pPr>
    </w:p>
    <w:p w14:paraId="4BDD38AE" w14:textId="77777777" w:rsidR="00D55198" w:rsidRPr="001026E6" w:rsidRDefault="00D55198" w:rsidP="00D55198">
      <w:pPr>
        <w:pStyle w:val="Heading4"/>
        <w:numPr>
          <w:ilvl w:val="0"/>
          <w:numId w:val="57"/>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admitted to the Official List of Securities (maintained by FSRA); and</w:t>
      </w:r>
    </w:p>
    <w:p w14:paraId="00D452EA" w14:textId="77777777" w:rsidR="00D55198" w:rsidRPr="001026E6" w:rsidRDefault="00D55198" w:rsidP="00D55198">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6C7D9D78" w14:textId="77777777" w:rsidR="00D55198" w:rsidRPr="001026E6" w:rsidRDefault="00D55198" w:rsidP="00D55198">
      <w:pPr>
        <w:pStyle w:val="Heading4"/>
        <w:numPr>
          <w:ilvl w:val="0"/>
          <w:numId w:val="57"/>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offered by way of an Approved Prospectus.</w:t>
      </w:r>
    </w:p>
    <w:p w14:paraId="2A0EE2DB" w14:textId="77777777" w:rsidR="000D773B" w:rsidRPr="001026E6" w:rsidRDefault="000D773B" w:rsidP="00B65984">
      <w:pPr>
        <w:jc w:val="both"/>
        <w:rPr>
          <w:rFonts w:cs="Helvetica"/>
          <w:sz w:val="24"/>
          <w:szCs w:val="24"/>
        </w:rPr>
      </w:pPr>
    </w:p>
    <w:p w14:paraId="1821BDE8" w14:textId="77777777" w:rsidR="00F14C79" w:rsidRPr="001026E6" w:rsidRDefault="000D773B" w:rsidP="009440D6">
      <w:pPr>
        <w:pStyle w:val="ListParagraph"/>
        <w:numPr>
          <w:ilvl w:val="0"/>
          <w:numId w:val="1"/>
        </w:numPr>
        <w:ind w:left="426"/>
        <w:jc w:val="both"/>
        <w:rPr>
          <w:rFonts w:cs="Helvetica"/>
          <w:sz w:val="24"/>
          <w:szCs w:val="24"/>
        </w:rPr>
      </w:pPr>
      <w:r w:rsidRPr="001026E6">
        <w:rPr>
          <w:rFonts w:cs="Helvetica"/>
          <w:sz w:val="24"/>
          <w:szCs w:val="24"/>
          <w:u w:val="single"/>
        </w:rPr>
        <w:t>Application of MIR Chapter 2</w:t>
      </w:r>
      <w:r w:rsidR="00BC304D" w:rsidRPr="001026E6">
        <w:rPr>
          <w:rFonts w:cs="Helvetica"/>
          <w:sz w:val="24"/>
          <w:szCs w:val="24"/>
        </w:rPr>
        <w:t xml:space="preserve">:  </w:t>
      </w:r>
      <w:r w:rsidR="000218FC" w:rsidRPr="001026E6">
        <w:rPr>
          <w:rFonts w:cs="Helvetica"/>
          <w:sz w:val="24"/>
          <w:szCs w:val="24"/>
        </w:rPr>
        <w:t xml:space="preserve">As noted in paragraph </w:t>
      </w:r>
      <w:r w:rsidR="009440D6" w:rsidRPr="001026E6">
        <w:rPr>
          <w:rFonts w:cs="Helvetica"/>
          <w:sz w:val="24"/>
          <w:szCs w:val="24"/>
        </w:rPr>
        <w:t>41</w:t>
      </w:r>
      <w:r w:rsidR="000218FC" w:rsidRPr="001026E6">
        <w:rPr>
          <w:rFonts w:cs="Helvetica"/>
          <w:sz w:val="24"/>
          <w:szCs w:val="24"/>
        </w:rPr>
        <w:t xml:space="preserve"> above, where an A</w:t>
      </w:r>
      <w:r w:rsidRPr="001026E6">
        <w:rPr>
          <w:rFonts w:cs="Helvetica"/>
          <w:sz w:val="24"/>
          <w:szCs w:val="24"/>
        </w:rPr>
        <w:t>pplicant applies to become a RIE</w:t>
      </w:r>
      <w:r w:rsidR="000218FC" w:rsidRPr="001026E6">
        <w:rPr>
          <w:rFonts w:cs="Helvetica"/>
          <w:sz w:val="24"/>
          <w:szCs w:val="24"/>
        </w:rPr>
        <w:t xml:space="preserve">, </w:t>
      </w:r>
      <w:r w:rsidRPr="001026E6">
        <w:rPr>
          <w:rFonts w:cs="Helvetica"/>
          <w:sz w:val="24"/>
          <w:szCs w:val="24"/>
        </w:rPr>
        <w:t xml:space="preserve">the entirety of </w:t>
      </w:r>
      <w:r w:rsidR="000218FC" w:rsidRPr="001026E6">
        <w:rPr>
          <w:rFonts w:cs="Helvetica"/>
          <w:sz w:val="24"/>
          <w:szCs w:val="24"/>
        </w:rPr>
        <w:t xml:space="preserve">MIR Chapter 2 (Rules Applicable to All Recognised Bodies) </w:t>
      </w:r>
      <w:r w:rsidRPr="001026E6">
        <w:rPr>
          <w:rFonts w:cs="Helvetica"/>
          <w:sz w:val="24"/>
          <w:szCs w:val="24"/>
        </w:rPr>
        <w:t xml:space="preserve">will apply.  </w:t>
      </w:r>
      <w:r w:rsidR="006869A1" w:rsidRPr="001026E6">
        <w:rPr>
          <w:rFonts w:cs="Helvetica"/>
          <w:sz w:val="24"/>
          <w:szCs w:val="24"/>
        </w:rPr>
        <w:t>Applicants should</w:t>
      </w:r>
      <w:r w:rsidR="00883FED" w:rsidRPr="001026E6">
        <w:rPr>
          <w:rFonts w:cs="Helvetica"/>
          <w:sz w:val="24"/>
          <w:szCs w:val="24"/>
        </w:rPr>
        <w:t xml:space="preserve"> also, however,</w:t>
      </w:r>
      <w:r w:rsidR="006869A1" w:rsidRPr="001026E6">
        <w:rPr>
          <w:rFonts w:cs="Helvetica"/>
          <w:sz w:val="24"/>
          <w:szCs w:val="24"/>
        </w:rPr>
        <w:t xml:space="preserve"> take note of the </w:t>
      </w:r>
      <w:r w:rsidR="009C063E" w:rsidRPr="001026E6">
        <w:rPr>
          <w:rFonts w:cs="Helvetica"/>
          <w:sz w:val="24"/>
          <w:szCs w:val="24"/>
        </w:rPr>
        <w:t>following</w:t>
      </w:r>
      <w:r w:rsidR="00D507E7" w:rsidRPr="001026E6">
        <w:rPr>
          <w:rFonts w:cs="Helvetica"/>
          <w:sz w:val="24"/>
          <w:szCs w:val="24"/>
        </w:rPr>
        <w:t>:</w:t>
      </w:r>
    </w:p>
    <w:p w14:paraId="617F38A8" w14:textId="77777777" w:rsidR="00F14C79" w:rsidRPr="001026E6" w:rsidRDefault="00F14C79" w:rsidP="00F14C79">
      <w:pPr>
        <w:pStyle w:val="ListParagraph"/>
        <w:ind w:left="426"/>
        <w:jc w:val="both"/>
        <w:rPr>
          <w:rFonts w:cs="Helvetica"/>
          <w:sz w:val="24"/>
          <w:szCs w:val="24"/>
        </w:rPr>
      </w:pPr>
    </w:p>
    <w:p w14:paraId="68AD7AE4" w14:textId="72CB78DC" w:rsidR="00F14C79" w:rsidRPr="001026E6" w:rsidRDefault="00F14C79" w:rsidP="0054190C">
      <w:pPr>
        <w:pStyle w:val="ListParagraph"/>
        <w:numPr>
          <w:ilvl w:val="1"/>
          <w:numId w:val="1"/>
        </w:numPr>
        <w:ind w:left="810"/>
        <w:jc w:val="both"/>
        <w:rPr>
          <w:rFonts w:cs="Helvetica"/>
          <w:sz w:val="24"/>
          <w:szCs w:val="24"/>
        </w:rPr>
      </w:pPr>
      <w:r w:rsidRPr="001026E6">
        <w:rPr>
          <w:sz w:val="24"/>
          <w:u w:val="single"/>
        </w:rPr>
        <w:t>MIR Rule 2.8 (Membership criteria and access)</w:t>
      </w:r>
      <w:r w:rsidRPr="001026E6">
        <w:rPr>
          <w:sz w:val="24"/>
        </w:rPr>
        <w:t>: MIR Rule 2</w:t>
      </w:r>
      <w:r w:rsidRPr="001026E6">
        <w:rPr>
          <w:rFonts w:cs="Helvetica"/>
          <w:sz w:val="24"/>
        </w:rPr>
        <w:t xml:space="preserve">.8.1 requires that a </w:t>
      </w:r>
      <w:r w:rsidR="00931896" w:rsidRPr="001026E6">
        <w:rPr>
          <w:rFonts w:cs="Helvetica"/>
          <w:sz w:val="24"/>
        </w:rPr>
        <w:t>RIE</w:t>
      </w:r>
      <w:r w:rsidRPr="001026E6">
        <w:rPr>
          <w:rFonts w:cs="Helvetica"/>
          <w:sz w:val="24"/>
        </w:rPr>
        <w:t xml:space="preserve"> </w:t>
      </w:r>
      <w:r w:rsidRPr="001026E6">
        <w:rPr>
          <w:rFonts w:cs="Helvetica"/>
          <w:i/>
          <w:sz w:val="24"/>
        </w:rPr>
        <w:t>‘must ensure that access to its facilities is subject to criteria designed to protect the orderly functioning of the market and the interests of investors’.</w:t>
      </w:r>
      <w:r w:rsidR="008B3A97" w:rsidRPr="001026E6">
        <w:rPr>
          <w:rFonts w:cs="Helvetica"/>
          <w:iCs/>
          <w:sz w:val="24"/>
        </w:rPr>
        <w:t xml:space="preserve">  Applicants should take into account, where relevant, the guidance provided by FSRA in relation to MIR </w:t>
      </w:r>
      <w:r w:rsidR="009C746D" w:rsidRPr="001026E6">
        <w:rPr>
          <w:rFonts w:cs="Helvetica"/>
          <w:iCs/>
          <w:sz w:val="24"/>
        </w:rPr>
        <w:t xml:space="preserve">Rule </w:t>
      </w:r>
      <w:r w:rsidR="008B3A97" w:rsidRPr="001026E6">
        <w:rPr>
          <w:rFonts w:cs="Helvetica"/>
          <w:iCs/>
          <w:sz w:val="24"/>
        </w:rPr>
        <w:t xml:space="preserve">2.8 in paragraph </w:t>
      </w:r>
      <w:r w:rsidR="009A71AD" w:rsidRPr="001026E6">
        <w:rPr>
          <w:rFonts w:cs="Helvetica"/>
          <w:iCs/>
          <w:sz w:val="24"/>
        </w:rPr>
        <w:t>131</w:t>
      </w:r>
      <w:r w:rsidR="0054190C" w:rsidRPr="001026E6">
        <w:rPr>
          <w:rFonts w:cs="Helvetica"/>
          <w:iCs/>
          <w:sz w:val="24"/>
        </w:rPr>
        <w:t xml:space="preserve"> </w:t>
      </w:r>
      <w:r w:rsidR="008B3A97" w:rsidRPr="001026E6">
        <w:rPr>
          <w:rFonts w:cs="Helvetica"/>
          <w:iCs/>
          <w:sz w:val="24"/>
        </w:rPr>
        <w:t xml:space="preserve">of the </w:t>
      </w:r>
      <w:r w:rsidR="00E720F1" w:rsidRPr="001026E6">
        <w:rPr>
          <w:rFonts w:cs="Helvetica"/>
          <w:iCs/>
          <w:sz w:val="24"/>
        </w:rPr>
        <w:t xml:space="preserve">Virtual Assets </w:t>
      </w:r>
      <w:r w:rsidR="00E720F1" w:rsidRPr="001026E6">
        <w:rPr>
          <w:rFonts w:cs="Helvetica"/>
          <w:iCs/>
          <w:sz w:val="24"/>
        </w:rPr>
        <w:lastRenderedPageBreak/>
        <w:t>Guidance</w:t>
      </w:r>
      <w:r w:rsidR="008B3A97" w:rsidRPr="001026E6">
        <w:rPr>
          <w:rFonts w:cs="Helvetica"/>
          <w:iCs/>
          <w:sz w:val="24"/>
        </w:rPr>
        <w:t xml:space="preserve"> </w:t>
      </w:r>
      <w:r w:rsidR="00067D66" w:rsidRPr="001026E6">
        <w:rPr>
          <w:rFonts w:cs="Helvetica"/>
          <w:iCs/>
          <w:sz w:val="24"/>
        </w:rPr>
        <w:t>(relating to ‘direct client’ v</w:t>
      </w:r>
      <w:r w:rsidR="001B64DF" w:rsidRPr="001026E6">
        <w:rPr>
          <w:rFonts w:cs="Helvetica"/>
          <w:iCs/>
          <w:sz w:val="24"/>
        </w:rPr>
        <w:t>s</w:t>
      </w:r>
      <w:r w:rsidR="00067D66" w:rsidRPr="001026E6">
        <w:rPr>
          <w:rFonts w:cs="Helvetica"/>
          <w:iCs/>
          <w:sz w:val="24"/>
        </w:rPr>
        <w:t xml:space="preserve"> ‘membership’ models) </w:t>
      </w:r>
      <w:r w:rsidR="008B3A97" w:rsidRPr="001026E6">
        <w:rPr>
          <w:rFonts w:cs="Helvetica"/>
          <w:iCs/>
          <w:sz w:val="24"/>
        </w:rPr>
        <w:t xml:space="preserve">which should be read in the context of a RIE </w:t>
      </w:r>
      <w:r w:rsidR="009C746D" w:rsidRPr="001026E6">
        <w:rPr>
          <w:rFonts w:cs="Helvetica"/>
          <w:iCs/>
          <w:sz w:val="24"/>
        </w:rPr>
        <w:t>operating a</w:t>
      </w:r>
      <w:r w:rsidR="008B3A97" w:rsidRPr="001026E6">
        <w:rPr>
          <w:rFonts w:cs="Helvetica"/>
          <w:iCs/>
          <w:sz w:val="24"/>
        </w:rPr>
        <w:t xml:space="preserve"> Digital Securities </w:t>
      </w:r>
      <w:r w:rsidR="009C746D" w:rsidRPr="001026E6">
        <w:rPr>
          <w:rFonts w:cs="Helvetica"/>
          <w:iCs/>
          <w:sz w:val="24"/>
        </w:rPr>
        <w:t xml:space="preserve">market; </w:t>
      </w:r>
    </w:p>
    <w:p w14:paraId="62507250" w14:textId="77777777" w:rsidR="00F14C79" w:rsidRPr="001026E6" w:rsidRDefault="00F14C79" w:rsidP="00BC304D">
      <w:pPr>
        <w:ind w:left="810"/>
        <w:jc w:val="both"/>
        <w:rPr>
          <w:rFonts w:cs="Helvetica"/>
          <w:sz w:val="24"/>
          <w:szCs w:val="24"/>
        </w:rPr>
      </w:pPr>
    </w:p>
    <w:p w14:paraId="433E6012" w14:textId="77777777" w:rsidR="00D507E7" w:rsidRPr="001026E6" w:rsidRDefault="00D507E7" w:rsidP="009801E8">
      <w:pPr>
        <w:pStyle w:val="ListParagraph"/>
        <w:numPr>
          <w:ilvl w:val="1"/>
          <w:numId w:val="1"/>
        </w:numPr>
        <w:ind w:left="810"/>
        <w:jc w:val="both"/>
        <w:rPr>
          <w:rFonts w:cs="Helvetica"/>
          <w:sz w:val="24"/>
          <w:szCs w:val="24"/>
        </w:rPr>
      </w:pPr>
      <w:r w:rsidRPr="001026E6">
        <w:rPr>
          <w:rFonts w:cs="Helvetica"/>
          <w:sz w:val="24"/>
          <w:szCs w:val="24"/>
          <w:u w:val="single"/>
        </w:rPr>
        <w:t>MIR Rule 2.10 – Custody</w:t>
      </w:r>
      <w:r w:rsidR="00BC304D" w:rsidRPr="001026E6">
        <w:rPr>
          <w:rFonts w:cs="Helvetica"/>
          <w:sz w:val="24"/>
          <w:szCs w:val="24"/>
          <w:u w:val="single"/>
        </w:rPr>
        <w:t>:</w:t>
      </w:r>
      <w:r w:rsidR="005D7779" w:rsidRPr="001026E6">
        <w:rPr>
          <w:rStyle w:val="FootnoteReference"/>
          <w:rFonts w:cs="Helvetica"/>
          <w:sz w:val="24"/>
          <w:szCs w:val="24"/>
        </w:rPr>
        <w:footnoteReference w:id="11"/>
      </w:r>
      <w:r w:rsidR="006869A1" w:rsidRPr="001026E6">
        <w:rPr>
          <w:rFonts w:cs="Helvetica"/>
          <w:sz w:val="24"/>
          <w:szCs w:val="24"/>
        </w:rPr>
        <w:t xml:space="preserve"> </w:t>
      </w:r>
      <w:r w:rsidR="003969DB" w:rsidRPr="001026E6">
        <w:rPr>
          <w:rFonts w:cs="Helvetica"/>
          <w:sz w:val="24"/>
          <w:szCs w:val="24"/>
        </w:rPr>
        <w:t>C</w:t>
      </w:r>
      <w:r w:rsidR="009C746D" w:rsidRPr="001026E6">
        <w:rPr>
          <w:rFonts w:cs="Helvetica"/>
          <w:sz w:val="24"/>
          <w:szCs w:val="24"/>
        </w:rPr>
        <w:t xml:space="preserve">onsidering that </w:t>
      </w:r>
      <w:r w:rsidR="006869A1" w:rsidRPr="001026E6">
        <w:rPr>
          <w:rFonts w:cs="Helvetica"/>
          <w:sz w:val="24"/>
          <w:szCs w:val="24"/>
        </w:rPr>
        <w:t>t</w:t>
      </w:r>
      <w:r w:rsidRPr="001026E6">
        <w:rPr>
          <w:rFonts w:cs="Helvetica"/>
          <w:sz w:val="24"/>
          <w:szCs w:val="24"/>
        </w:rPr>
        <w:t>he safeguarding and administration of</w:t>
      </w:r>
      <w:r w:rsidR="009C746D" w:rsidRPr="001026E6">
        <w:rPr>
          <w:rFonts w:cs="Helvetica"/>
          <w:sz w:val="24"/>
          <w:szCs w:val="24"/>
        </w:rPr>
        <w:t xml:space="preserve"> Securities is a key requirement for a RIE, and th</w:t>
      </w:r>
      <w:r w:rsidR="00E34DCC" w:rsidRPr="001026E6">
        <w:rPr>
          <w:rFonts w:cs="Helvetica"/>
          <w:sz w:val="24"/>
          <w:szCs w:val="24"/>
        </w:rPr>
        <w:t>at</w:t>
      </w:r>
      <w:r w:rsidR="009C746D" w:rsidRPr="001026E6">
        <w:rPr>
          <w:rFonts w:cs="Helvetica"/>
          <w:sz w:val="24"/>
          <w:szCs w:val="24"/>
        </w:rPr>
        <w:t xml:space="preserve"> Digital Securities custody arrangements and technologies are still being developed globally, the custody of</w:t>
      </w:r>
      <w:r w:rsidRPr="001026E6">
        <w:rPr>
          <w:rFonts w:cs="Helvetica"/>
          <w:sz w:val="24"/>
          <w:szCs w:val="24"/>
        </w:rPr>
        <w:t xml:space="preserve"> Digital Securities may possess higher inherent risks in comparison to traditional securities custody. </w:t>
      </w:r>
      <w:r w:rsidR="009C746D" w:rsidRPr="001026E6">
        <w:rPr>
          <w:rFonts w:cs="Helvetica"/>
          <w:sz w:val="24"/>
          <w:szCs w:val="24"/>
        </w:rPr>
        <w:t>T</w:t>
      </w:r>
      <w:r w:rsidRPr="001026E6">
        <w:rPr>
          <w:rFonts w:cs="Helvetica"/>
          <w:sz w:val="24"/>
          <w:szCs w:val="24"/>
        </w:rPr>
        <w:t xml:space="preserve">he FSRA is </w:t>
      </w:r>
      <w:r w:rsidR="009C746D" w:rsidRPr="001026E6">
        <w:rPr>
          <w:rFonts w:cs="Helvetica"/>
          <w:sz w:val="24"/>
          <w:szCs w:val="24"/>
        </w:rPr>
        <w:t xml:space="preserve">therefore </w:t>
      </w:r>
      <w:r w:rsidRPr="001026E6">
        <w:rPr>
          <w:rFonts w:cs="Helvetica"/>
          <w:sz w:val="24"/>
          <w:szCs w:val="24"/>
        </w:rPr>
        <w:t>of the view that where an Applicant seeks to provide custody</w:t>
      </w:r>
      <w:r w:rsidR="00BC304D" w:rsidRPr="001026E6">
        <w:rPr>
          <w:rFonts w:cs="Helvetica"/>
          <w:sz w:val="24"/>
          <w:szCs w:val="24"/>
        </w:rPr>
        <w:t xml:space="preserve"> </w:t>
      </w:r>
      <w:r w:rsidRPr="001026E6">
        <w:rPr>
          <w:rFonts w:cs="Helvetica"/>
          <w:sz w:val="24"/>
          <w:szCs w:val="24"/>
        </w:rPr>
        <w:t>services within its Group, this can</w:t>
      </w:r>
      <w:r w:rsidR="009020D6" w:rsidRPr="001026E6">
        <w:rPr>
          <w:rFonts w:cs="Helvetica"/>
          <w:sz w:val="24"/>
          <w:szCs w:val="24"/>
        </w:rPr>
        <w:t xml:space="preserve"> </w:t>
      </w:r>
      <w:r w:rsidRPr="001026E6">
        <w:rPr>
          <w:rFonts w:cs="Helvetica"/>
          <w:sz w:val="24"/>
          <w:szCs w:val="24"/>
        </w:rPr>
        <w:t xml:space="preserve">only occur </w:t>
      </w:r>
      <w:r w:rsidR="009C063E" w:rsidRPr="001026E6">
        <w:rPr>
          <w:rFonts w:cs="Helvetica"/>
          <w:sz w:val="24"/>
          <w:szCs w:val="24"/>
        </w:rPr>
        <w:t xml:space="preserve">via </w:t>
      </w:r>
      <w:r w:rsidRPr="001026E6">
        <w:rPr>
          <w:rFonts w:cs="Helvetica"/>
          <w:sz w:val="24"/>
          <w:szCs w:val="24"/>
        </w:rPr>
        <w:t xml:space="preserve">a separate legal entity appropriately </w:t>
      </w:r>
      <w:r w:rsidR="00564344" w:rsidRPr="001026E6">
        <w:rPr>
          <w:rFonts w:cs="Helvetica"/>
          <w:sz w:val="24"/>
          <w:szCs w:val="24"/>
        </w:rPr>
        <w:t>licence</w:t>
      </w:r>
      <w:r w:rsidRPr="001026E6">
        <w:rPr>
          <w:rFonts w:cs="Helvetica"/>
          <w:sz w:val="24"/>
          <w:szCs w:val="24"/>
        </w:rPr>
        <w:t>d for such activities</w:t>
      </w:r>
      <w:r w:rsidR="009C746D" w:rsidRPr="001026E6">
        <w:rPr>
          <w:rFonts w:cs="Helvetica"/>
          <w:sz w:val="24"/>
          <w:szCs w:val="24"/>
        </w:rPr>
        <w:t xml:space="preserve"> (see parag</w:t>
      </w:r>
      <w:r w:rsidR="00ED1466" w:rsidRPr="001026E6">
        <w:rPr>
          <w:rFonts w:cs="Helvetica"/>
          <w:sz w:val="24"/>
          <w:szCs w:val="24"/>
        </w:rPr>
        <w:t>r</w:t>
      </w:r>
      <w:r w:rsidR="009C746D" w:rsidRPr="001026E6">
        <w:rPr>
          <w:rFonts w:cs="Helvetica"/>
          <w:sz w:val="24"/>
          <w:szCs w:val="24"/>
        </w:rPr>
        <w:t xml:space="preserve">aphs </w:t>
      </w:r>
      <w:r w:rsidR="009440D6" w:rsidRPr="001026E6">
        <w:rPr>
          <w:rFonts w:cs="Helvetica"/>
          <w:sz w:val="24"/>
          <w:szCs w:val="24"/>
        </w:rPr>
        <w:t>53</w:t>
      </w:r>
      <w:r w:rsidR="006C7E0D" w:rsidRPr="001026E6">
        <w:rPr>
          <w:rFonts w:cs="Helvetica"/>
          <w:sz w:val="24"/>
          <w:szCs w:val="24"/>
        </w:rPr>
        <w:t xml:space="preserve"> and</w:t>
      </w:r>
      <w:r w:rsidR="001D5B27" w:rsidRPr="001026E6">
        <w:rPr>
          <w:rFonts w:cs="Helvetica"/>
          <w:sz w:val="24"/>
          <w:szCs w:val="24"/>
        </w:rPr>
        <w:t xml:space="preserve"> </w:t>
      </w:r>
      <w:r w:rsidR="009440D6" w:rsidRPr="001026E6">
        <w:rPr>
          <w:rFonts w:cs="Helvetica"/>
          <w:sz w:val="24"/>
          <w:szCs w:val="24"/>
        </w:rPr>
        <w:t>59</w:t>
      </w:r>
      <w:r w:rsidR="004B08E6" w:rsidRPr="001026E6">
        <w:rPr>
          <w:rFonts w:cs="Helvetica"/>
          <w:sz w:val="24"/>
          <w:szCs w:val="24"/>
        </w:rPr>
        <w:t xml:space="preserve"> </w:t>
      </w:r>
      <w:r w:rsidR="009C746D" w:rsidRPr="001026E6">
        <w:rPr>
          <w:rFonts w:cs="Helvetica"/>
          <w:sz w:val="24"/>
          <w:szCs w:val="24"/>
        </w:rPr>
        <w:t xml:space="preserve">on </w:t>
      </w:r>
      <w:r w:rsidR="009767F2" w:rsidRPr="001026E6">
        <w:rPr>
          <w:rFonts w:cs="Helvetica"/>
          <w:sz w:val="24"/>
          <w:szCs w:val="24"/>
        </w:rPr>
        <w:t xml:space="preserve">RCHs and </w:t>
      </w:r>
      <w:r w:rsidR="009801E8" w:rsidRPr="001026E6">
        <w:rPr>
          <w:rFonts w:cs="Helvetica"/>
          <w:sz w:val="24"/>
          <w:szCs w:val="24"/>
        </w:rPr>
        <w:t xml:space="preserve">DSFs </w:t>
      </w:r>
      <w:r w:rsidR="009767F2" w:rsidRPr="001026E6">
        <w:rPr>
          <w:rFonts w:cs="Helvetica"/>
          <w:sz w:val="24"/>
          <w:szCs w:val="24"/>
        </w:rPr>
        <w:t>respectively</w:t>
      </w:r>
      <w:r w:rsidR="009020D6" w:rsidRPr="001026E6">
        <w:rPr>
          <w:rFonts w:cs="Helvetica"/>
          <w:sz w:val="24"/>
          <w:szCs w:val="24"/>
        </w:rPr>
        <w:t>)</w:t>
      </w:r>
      <w:r w:rsidR="00831626" w:rsidRPr="001026E6">
        <w:rPr>
          <w:rFonts w:cs="Helvetica"/>
          <w:sz w:val="24"/>
          <w:szCs w:val="24"/>
        </w:rPr>
        <w:t>;</w:t>
      </w:r>
      <w:r w:rsidR="009C746D" w:rsidRPr="001026E6">
        <w:rPr>
          <w:rStyle w:val="FootnoteReference"/>
          <w:rFonts w:cs="Helvetica"/>
          <w:sz w:val="24"/>
          <w:szCs w:val="24"/>
        </w:rPr>
        <w:footnoteReference w:id="12"/>
      </w:r>
      <w:r w:rsidR="00831626" w:rsidRPr="001026E6">
        <w:rPr>
          <w:rFonts w:cs="Helvetica"/>
          <w:sz w:val="24"/>
          <w:szCs w:val="24"/>
        </w:rPr>
        <w:t xml:space="preserve"> </w:t>
      </w:r>
      <w:r w:rsidR="003969DB" w:rsidRPr="001026E6">
        <w:rPr>
          <w:rFonts w:cs="Helvetica"/>
          <w:sz w:val="24"/>
          <w:szCs w:val="24"/>
        </w:rPr>
        <w:t>and</w:t>
      </w:r>
      <w:r w:rsidRPr="001026E6">
        <w:rPr>
          <w:rFonts w:cs="Helvetica"/>
          <w:sz w:val="24"/>
          <w:szCs w:val="24"/>
        </w:rPr>
        <w:t xml:space="preserve">  </w:t>
      </w:r>
    </w:p>
    <w:p w14:paraId="4AF879CA" w14:textId="77777777" w:rsidR="00130485" w:rsidRPr="001026E6" w:rsidRDefault="00130485" w:rsidP="00BC304D">
      <w:pPr>
        <w:pStyle w:val="ListParagraph"/>
        <w:rPr>
          <w:rFonts w:cs="Helvetica"/>
          <w:sz w:val="24"/>
          <w:szCs w:val="24"/>
        </w:rPr>
      </w:pPr>
    </w:p>
    <w:p w14:paraId="39651FC3" w14:textId="77777777" w:rsidR="00130485" w:rsidRPr="001026E6" w:rsidRDefault="00130485" w:rsidP="00BC304D">
      <w:pPr>
        <w:pStyle w:val="ListParagraph"/>
        <w:numPr>
          <w:ilvl w:val="1"/>
          <w:numId w:val="1"/>
        </w:numPr>
        <w:ind w:left="810"/>
        <w:jc w:val="both"/>
        <w:rPr>
          <w:rFonts w:cs="Helvetica"/>
          <w:sz w:val="24"/>
          <w:szCs w:val="24"/>
        </w:rPr>
      </w:pPr>
      <w:r w:rsidRPr="001026E6">
        <w:rPr>
          <w:rFonts w:cs="Helvetica"/>
          <w:sz w:val="24"/>
          <w:szCs w:val="24"/>
          <w:u w:val="single"/>
        </w:rPr>
        <w:t>MIR Rule 3.2.1 – Capital Requirements</w:t>
      </w:r>
      <w:r w:rsidRPr="001026E6">
        <w:rPr>
          <w:rFonts w:cs="Helvetica"/>
          <w:sz w:val="24"/>
          <w:szCs w:val="24"/>
        </w:rPr>
        <w:t>:  Pursuant to this Rule, RIEs operating a market in Digital Securities will generally be required to hold 12 months operating expenses as regulatory capital.</w:t>
      </w:r>
      <w:r w:rsidRPr="001026E6">
        <w:rPr>
          <w:rStyle w:val="FootnoteReference"/>
          <w:rFonts w:cs="Helvetica"/>
          <w:sz w:val="24"/>
          <w:szCs w:val="24"/>
        </w:rPr>
        <w:footnoteReference w:id="13"/>
      </w:r>
      <w:r w:rsidRPr="001026E6">
        <w:rPr>
          <w:rFonts w:cs="Helvetica"/>
          <w:sz w:val="24"/>
          <w:szCs w:val="24"/>
        </w:rPr>
        <w:t xml:space="preserve"> </w:t>
      </w:r>
    </w:p>
    <w:p w14:paraId="77804C76" w14:textId="77777777" w:rsidR="00B17D5B" w:rsidRPr="001026E6" w:rsidRDefault="00B17D5B" w:rsidP="00AA2496">
      <w:pPr>
        <w:jc w:val="both"/>
        <w:rPr>
          <w:rFonts w:cs="Helvetica"/>
          <w:sz w:val="24"/>
          <w:szCs w:val="24"/>
        </w:rPr>
      </w:pPr>
    </w:p>
    <w:p w14:paraId="100235CB" w14:textId="77777777" w:rsidR="005E37B8" w:rsidRPr="001026E6" w:rsidRDefault="000218FC" w:rsidP="009440D6">
      <w:pPr>
        <w:pStyle w:val="ListParagraph"/>
        <w:numPr>
          <w:ilvl w:val="0"/>
          <w:numId w:val="1"/>
        </w:numPr>
        <w:ind w:left="426"/>
        <w:jc w:val="both"/>
        <w:rPr>
          <w:rFonts w:cs="Helvetica"/>
          <w:sz w:val="24"/>
          <w:szCs w:val="24"/>
        </w:rPr>
      </w:pPr>
      <w:r w:rsidRPr="001026E6">
        <w:rPr>
          <w:rFonts w:cs="Helvetica"/>
          <w:sz w:val="24"/>
          <w:szCs w:val="24"/>
          <w:u w:val="single"/>
        </w:rPr>
        <w:t>Application of MIR Chapter 3</w:t>
      </w:r>
      <w:r w:rsidR="003969DB" w:rsidRPr="001026E6">
        <w:rPr>
          <w:rFonts w:cs="Helvetica"/>
          <w:sz w:val="24"/>
          <w:szCs w:val="24"/>
        </w:rPr>
        <w:t xml:space="preserve">:  </w:t>
      </w:r>
      <w:r w:rsidRPr="001026E6">
        <w:rPr>
          <w:rFonts w:cs="Helvetica"/>
          <w:sz w:val="24"/>
          <w:szCs w:val="24"/>
        </w:rPr>
        <w:t xml:space="preserve">As noted in paragraph </w:t>
      </w:r>
      <w:r w:rsidR="009440D6" w:rsidRPr="001026E6">
        <w:rPr>
          <w:rFonts w:cs="Helvetica"/>
          <w:sz w:val="24"/>
          <w:szCs w:val="24"/>
        </w:rPr>
        <w:t>41</w:t>
      </w:r>
      <w:r w:rsidRPr="001026E6">
        <w:rPr>
          <w:rFonts w:cs="Helvetica"/>
          <w:sz w:val="24"/>
          <w:szCs w:val="24"/>
        </w:rPr>
        <w:t xml:space="preserve"> above, where an Applicant applies to become a RIE, the entirety of MIR Chapter 3 (Rules Applicable to R</w:t>
      </w:r>
      <w:r w:rsidR="009A1CCD" w:rsidRPr="001026E6">
        <w:rPr>
          <w:rFonts w:cs="Helvetica"/>
          <w:sz w:val="24"/>
          <w:szCs w:val="24"/>
        </w:rPr>
        <w:t>IEs</w:t>
      </w:r>
      <w:r w:rsidRPr="001026E6">
        <w:rPr>
          <w:rFonts w:cs="Helvetica"/>
          <w:sz w:val="24"/>
          <w:szCs w:val="24"/>
        </w:rPr>
        <w:t xml:space="preserve">) will apply.   </w:t>
      </w:r>
      <w:r w:rsidR="00A04A6C" w:rsidRPr="001026E6">
        <w:rPr>
          <w:rFonts w:cs="Helvetica"/>
          <w:sz w:val="24"/>
          <w:szCs w:val="24"/>
        </w:rPr>
        <w:t>Applicants</w:t>
      </w:r>
      <w:r w:rsidR="00ED1466" w:rsidRPr="001026E6">
        <w:rPr>
          <w:rFonts w:cs="Helvetica"/>
          <w:sz w:val="24"/>
          <w:szCs w:val="24"/>
        </w:rPr>
        <w:t>, however,</w:t>
      </w:r>
      <w:r w:rsidR="00A04A6C" w:rsidRPr="001026E6">
        <w:rPr>
          <w:rFonts w:cs="Helvetica"/>
          <w:sz w:val="24"/>
          <w:szCs w:val="24"/>
        </w:rPr>
        <w:t xml:space="preserve"> should </w:t>
      </w:r>
      <w:r w:rsidR="00ED1466" w:rsidRPr="001026E6">
        <w:rPr>
          <w:rFonts w:cs="Helvetica"/>
          <w:sz w:val="24"/>
          <w:szCs w:val="24"/>
        </w:rPr>
        <w:t xml:space="preserve">also </w:t>
      </w:r>
      <w:r w:rsidR="00A04A6C" w:rsidRPr="001026E6">
        <w:rPr>
          <w:rFonts w:cs="Helvetica"/>
          <w:sz w:val="24"/>
          <w:szCs w:val="24"/>
        </w:rPr>
        <w:t xml:space="preserve">take </w:t>
      </w:r>
      <w:r w:rsidR="00ED1466" w:rsidRPr="001026E6">
        <w:rPr>
          <w:rFonts w:cs="Helvetica"/>
          <w:sz w:val="24"/>
          <w:szCs w:val="24"/>
        </w:rPr>
        <w:t>note of</w:t>
      </w:r>
      <w:r w:rsidR="00A04A6C" w:rsidRPr="001026E6">
        <w:rPr>
          <w:rFonts w:cs="Helvetica"/>
          <w:sz w:val="24"/>
          <w:szCs w:val="24"/>
        </w:rPr>
        <w:t xml:space="preserve"> the </w:t>
      </w:r>
      <w:r w:rsidR="009C063E" w:rsidRPr="001026E6">
        <w:rPr>
          <w:rFonts w:cs="Helvetica"/>
          <w:sz w:val="24"/>
          <w:szCs w:val="24"/>
        </w:rPr>
        <w:t>following</w:t>
      </w:r>
      <w:r w:rsidR="005E37B8" w:rsidRPr="001026E6">
        <w:rPr>
          <w:rFonts w:cs="Helvetica"/>
          <w:sz w:val="24"/>
          <w:szCs w:val="24"/>
        </w:rPr>
        <w:t>:</w:t>
      </w:r>
    </w:p>
    <w:p w14:paraId="3FD66804" w14:textId="77777777" w:rsidR="009E024A" w:rsidRPr="001026E6" w:rsidRDefault="009E024A" w:rsidP="005147CE">
      <w:pPr>
        <w:ind w:left="1440"/>
        <w:jc w:val="both"/>
        <w:rPr>
          <w:rFonts w:cs="Helvetica"/>
          <w:sz w:val="24"/>
          <w:szCs w:val="24"/>
        </w:rPr>
      </w:pPr>
    </w:p>
    <w:p w14:paraId="1F612EEE" w14:textId="75149430" w:rsidR="006607CC" w:rsidRPr="001026E6" w:rsidRDefault="000D773B" w:rsidP="00E34DCC">
      <w:pPr>
        <w:pStyle w:val="ListParagraph"/>
        <w:numPr>
          <w:ilvl w:val="1"/>
          <w:numId w:val="1"/>
        </w:numPr>
        <w:ind w:left="810"/>
        <w:jc w:val="both"/>
        <w:rPr>
          <w:rFonts w:cs="Helvetica"/>
          <w:i/>
          <w:iCs/>
          <w:sz w:val="24"/>
          <w:szCs w:val="24"/>
        </w:rPr>
      </w:pPr>
      <w:r w:rsidRPr="001026E6">
        <w:rPr>
          <w:rFonts w:cs="Helvetica"/>
          <w:sz w:val="24"/>
          <w:szCs w:val="24"/>
          <w:u w:val="single"/>
        </w:rPr>
        <w:t xml:space="preserve">MIR </w:t>
      </w:r>
      <w:r w:rsidR="00931896" w:rsidRPr="001026E6">
        <w:rPr>
          <w:rFonts w:cs="Helvetica"/>
          <w:sz w:val="24"/>
          <w:szCs w:val="24"/>
          <w:u w:val="single"/>
        </w:rPr>
        <w:t xml:space="preserve">Rule </w:t>
      </w:r>
      <w:r w:rsidRPr="001026E6">
        <w:rPr>
          <w:rFonts w:cs="Helvetica"/>
          <w:sz w:val="24"/>
          <w:szCs w:val="24"/>
          <w:u w:val="single"/>
        </w:rPr>
        <w:t>3.8</w:t>
      </w:r>
      <w:r w:rsidR="00931896" w:rsidRPr="001026E6">
        <w:rPr>
          <w:rFonts w:cs="Helvetica"/>
          <w:sz w:val="24"/>
          <w:szCs w:val="24"/>
          <w:u w:val="single"/>
        </w:rPr>
        <w:t xml:space="preserve"> (Settlement and Clearing Services)</w:t>
      </w:r>
      <w:r w:rsidR="003969DB" w:rsidRPr="001026E6">
        <w:rPr>
          <w:rFonts w:cs="Helvetica"/>
          <w:i/>
          <w:iCs/>
          <w:sz w:val="24"/>
          <w:szCs w:val="24"/>
        </w:rPr>
        <w:t>:</w:t>
      </w:r>
      <w:r w:rsidRPr="001026E6">
        <w:rPr>
          <w:rFonts w:cs="Helvetica"/>
          <w:i/>
          <w:iCs/>
          <w:sz w:val="24"/>
          <w:szCs w:val="24"/>
        </w:rPr>
        <w:t xml:space="preserve"> </w:t>
      </w:r>
      <w:r w:rsidR="003969DB" w:rsidRPr="001026E6">
        <w:rPr>
          <w:rFonts w:cs="Helvetica"/>
          <w:i/>
          <w:iCs/>
          <w:sz w:val="24"/>
          <w:szCs w:val="24"/>
        </w:rPr>
        <w:t xml:space="preserve"> </w:t>
      </w:r>
      <w:r w:rsidR="00931896" w:rsidRPr="001026E6">
        <w:rPr>
          <w:rFonts w:cs="Helvetica"/>
          <w:sz w:val="24"/>
          <w:szCs w:val="24"/>
        </w:rPr>
        <w:t xml:space="preserve">MIR Rule 3.8 requires a RIE </w:t>
      </w:r>
      <w:r w:rsidR="009C063E" w:rsidRPr="001026E6">
        <w:rPr>
          <w:rFonts w:cs="Helvetica"/>
          <w:sz w:val="24"/>
          <w:szCs w:val="24"/>
        </w:rPr>
        <w:t xml:space="preserve">to </w:t>
      </w:r>
      <w:r w:rsidR="00931896" w:rsidRPr="001026E6">
        <w:rPr>
          <w:rFonts w:cs="Helvetica"/>
          <w:sz w:val="24"/>
          <w:szCs w:val="24"/>
        </w:rPr>
        <w:t xml:space="preserve">ensure that </w:t>
      </w:r>
      <w:r w:rsidR="00931896" w:rsidRPr="001026E6">
        <w:rPr>
          <w:rFonts w:cs="Helvetica"/>
          <w:i/>
          <w:iCs/>
          <w:sz w:val="24"/>
          <w:szCs w:val="24"/>
        </w:rPr>
        <w:t xml:space="preserve">“satisfactory arrangements are made for securing the timely discharge (whether by performance, compromise or otherwise), Clearing and settlement of the rights and liabilities of the parties…” </w:t>
      </w:r>
      <w:r w:rsidR="00931896" w:rsidRPr="001026E6">
        <w:rPr>
          <w:rFonts w:cs="Helvetica"/>
          <w:sz w:val="24"/>
          <w:szCs w:val="24"/>
        </w:rPr>
        <w:t>The FSRA’s policy position in this regard is that clearing and settlement of Digital Securities can be undertake</w:t>
      </w:r>
      <w:r w:rsidR="009C063E" w:rsidRPr="001026E6">
        <w:rPr>
          <w:rFonts w:cs="Helvetica"/>
          <w:sz w:val="24"/>
          <w:szCs w:val="24"/>
        </w:rPr>
        <w:t>n</w:t>
      </w:r>
      <w:r w:rsidR="00931896" w:rsidRPr="001026E6">
        <w:rPr>
          <w:rFonts w:cs="Helvetica"/>
          <w:sz w:val="24"/>
          <w:szCs w:val="24"/>
        </w:rPr>
        <w:t xml:space="preserve"> by either a RCH or a </w:t>
      </w:r>
      <w:r w:rsidR="00ED1466" w:rsidRPr="001026E6">
        <w:rPr>
          <w:rFonts w:cs="Helvetica"/>
          <w:sz w:val="24"/>
          <w:szCs w:val="24"/>
        </w:rPr>
        <w:t>D</w:t>
      </w:r>
      <w:r w:rsidR="00931896" w:rsidRPr="001026E6">
        <w:rPr>
          <w:rFonts w:cs="Helvetica"/>
          <w:sz w:val="24"/>
          <w:szCs w:val="24"/>
        </w:rPr>
        <w:t>SF</w:t>
      </w:r>
      <w:r w:rsidR="00ED1466" w:rsidRPr="001026E6">
        <w:rPr>
          <w:rFonts w:cs="Helvetica"/>
          <w:sz w:val="24"/>
          <w:szCs w:val="24"/>
        </w:rPr>
        <w:t xml:space="preserve"> </w:t>
      </w:r>
      <w:r w:rsidR="00BB0D6E" w:rsidRPr="001026E6">
        <w:rPr>
          <w:rFonts w:cs="Helvetica"/>
          <w:sz w:val="24"/>
          <w:szCs w:val="24"/>
        </w:rPr>
        <w:t>(</w:t>
      </w:r>
      <w:r w:rsidR="00ED1466" w:rsidRPr="001026E6">
        <w:rPr>
          <w:rFonts w:cs="Helvetica"/>
          <w:sz w:val="24"/>
          <w:szCs w:val="24"/>
        </w:rPr>
        <w:t xml:space="preserve">see paragraphs </w:t>
      </w:r>
      <w:r w:rsidR="009440D6" w:rsidRPr="001026E6">
        <w:rPr>
          <w:rFonts w:cs="Helvetica"/>
          <w:sz w:val="24"/>
          <w:szCs w:val="24"/>
        </w:rPr>
        <w:t>5</w:t>
      </w:r>
      <w:r w:rsidR="009A638C" w:rsidRPr="001026E6">
        <w:rPr>
          <w:rFonts w:cs="Helvetica"/>
          <w:sz w:val="24"/>
          <w:szCs w:val="24"/>
        </w:rPr>
        <w:t>1</w:t>
      </w:r>
      <w:r w:rsidR="009440D6" w:rsidRPr="001026E6">
        <w:rPr>
          <w:rFonts w:cs="Helvetica"/>
          <w:sz w:val="24"/>
          <w:szCs w:val="24"/>
        </w:rPr>
        <w:t xml:space="preserve"> - 61</w:t>
      </w:r>
      <w:r w:rsidR="00ED1466" w:rsidRPr="001026E6">
        <w:rPr>
          <w:rFonts w:cs="Helvetica"/>
          <w:sz w:val="24"/>
          <w:szCs w:val="24"/>
        </w:rPr>
        <w:t>)</w:t>
      </w:r>
      <w:r w:rsidR="00931896" w:rsidRPr="001026E6">
        <w:rPr>
          <w:rFonts w:cs="Helvetica"/>
          <w:sz w:val="24"/>
          <w:szCs w:val="24"/>
        </w:rPr>
        <w:t>.  Further guidance on the clearing and settlement obligations of a RCH is set out at paragraph</w:t>
      </w:r>
      <w:r w:rsidR="00134D74" w:rsidRPr="001026E6">
        <w:rPr>
          <w:rFonts w:cs="Helvetica"/>
          <w:sz w:val="24"/>
          <w:szCs w:val="24"/>
        </w:rPr>
        <w:t>s</w:t>
      </w:r>
      <w:r w:rsidR="00931896" w:rsidRPr="001026E6">
        <w:rPr>
          <w:rFonts w:cs="Helvetica"/>
          <w:sz w:val="24"/>
          <w:szCs w:val="24"/>
        </w:rPr>
        <w:t xml:space="preserve"> </w:t>
      </w:r>
      <w:r w:rsidR="009440D6" w:rsidRPr="001026E6">
        <w:rPr>
          <w:rFonts w:cs="Helvetica"/>
          <w:sz w:val="24"/>
          <w:szCs w:val="24"/>
        </w:rPr>
        <w:t>5</w:t>
      </w:r>
      <w:r w:rsidR="00134D74" w:rsidRPr="001026E6">
        <w:rPr>
          <w:rFonts w:cs="Helvetica"/>
          <w:sz w:val="24"/>
          <w:szCs w:val="24"/>
        </w:rPr>
        <w:t>1 - 5</w:t>
      </w:r>
      <w:r w:rsidR="009440D6" w:rsidRPr="001026E6">
        <w:rPr>
          <w:rFonts w:cs="Helvetica"/>
          <w:sz w:val="24"/>
          <w:szCs w:val="24"/>
        </w:rPr>
        <w:t>2</w:t>
      </w:r>
      <w:r w:rsidR="00931896" w:rsidRPr="001026E6">
        <w:rPr>
          <w:rFonts w:cs="Helvetica"/>
          <w:sz w:val="24"/>
          <w:szCs w:val="24"/>
        </w:rPr>
        <w:t xml:space="preserve"> and further guidance </w:t>
      </w:r>
      <w:r w:rsidR="001C3389" w:rsidRPr="001026E6">
        <w:rPr>
          <w:rFonts w:cs="Helvetica"/>
          <w:sz w:val="24"/>
          <w:szCs w:val="24"/>
        </w:rPr>
        <w:t xml:space="preserve">in relation to </w:t>
      </w:r>
      <w:r w:rsidR="00931896" w:rsidRPr="001026E6">
        <w:rPr>
          <w:rFonts w:cs="Helvetica"/>
          <w:sz w:val="24"/>
          <w:szCs w:val="24"/>
        </w:rPr>
        <w:t>a DSF is outlined at paragraph</w:t>
      </w:r>
      <w:r w:rsidR="00B93D4F" w:rsidRPr="001026E6">
        <w:rPr>
          <w:rFonts w:cs="Helvetica"/>
          <w:sz w:val="24"/>
          <w:szCs w:val="24"/>
        </w:rPr>
        <w:t>s</w:t>
      </w:r>
      <w:r w:rsidR="00931896" w:rsidRPr="001026E6">
        <w:rPr>
          <w:rFonts w:cs="Helvetica"/>
          <w:sz w:val="24"/>
          <w:szCs w:val="24"/>
        </w:rPr>
        <w:t xml:space="preserve"> </w:t>
      </w:r>
      <w:r w:rsidR="009440D6" w:rsidRPr="001026E6">
        <w:rPr>
          <w:rFonts w:cs="Helvetica"/>
          <w:sz w:val="24"/>
          <w:szCs w:val="24"/>
        </w:rPr>
        <w:t>5</w:t>
      </w:r>
      <w:r w:rsidR="00B93D4F" w:rsidRPr="001026E6">
        <w:rPr>
          <w:rFonts w:cs="Helvetica"/>
          <w:sz w:val="24"/>
          <w:szCs w:val="24"/>
        </w:rPr>
        <w:t>5 - 61</w:t>
      </w:r>
      <w:r w:rsidR="00ED1466" w:rsidRPr="001026E6">
        <w:rPr>
          <w:rFonts w:cs="Helvetica"/>
          <w:sz w:val="24"/>
          <w:szCs w:val="24"/>
        </w:rPr>
        <w:t>.</w:t>
      </w:r>
      <w:r w:rsidR="00AB5082" w:rsidRPr="001026E6">
        <w:rPr>
          <w:rFonts w:cs="Helvetica"/>
          <w:sz w:val="24"/>
          <w:szCs w:val="24"/>
        </w:rPr>
        <w:t xml:space="preserve"> </w:t>
      </w:r>
      <w:r w:rsidR="00ED1466" w:rsidRPr="001026E6">
        <w:rPr>
          <w:sz w:val="24"/>
          <w:szCs w:val="24"/>
          <w:lang w:val="en-US"/>
        </w:rPr>
        <w:t xml:space="preserve">The FSRA has not yet formed a view as to whether Remote Clearing Houses </w:t>
      </w:r>
      <w:r w:rsidR="00E34DCC" w:rsidRPr="001026E6">
        <w:rPr>
          <w:sz w:val="24"/>
          <w:szCs w:val="24"/>
          <w:lang w:val="en-US"/>
        </w:rPr>
        <w:t xml:space="preserve">would be </w:t>
      </w:r>
      <w:r w:rsidR="00ED1466" w:rsidRPr="001026E6">
        <w:rPr>
          <w:sz w:val="24"/>
          <w:szCs w:val="24"/>
          <w:lang w:val="en-US"/>
        </w:rPr>
        <w:t xml:space="preserve">suitable for this purpose.  Until such time that </w:t>
      </w:r>
      <w:r w:rsidR="009801E8" w:rsidRPr="001026E6">
        <w:rPr>
          <w:sz w:val="24"/>
          <w:szCs w:val="24"/>
          <w:lang w:val="en-US"/>
        </w:rPr>
        <w:t xml:space="preserve">the </w:t>
      </w:r>
      <w:r w:rsidR="00ED1466" w:rsidRPr="001026E6">
        <w:rPr>
          <w:sz w:val="24"/>
          <w:szCs w:val="24"/>
          <w:lang w:val="en-US"/>
        </w:rPr>
        <w:t xml:space="preserve">FSRA forms such a view, it will be the general FSRA position that a RIE/MTF seeking to meet MIR Rule 3.8 will only be able to </w:t>
      </w:r>
      <w:r w:rsidR="00E34DCC" w:rsidRPr="001026E6">
        <w:rPr>
          <w:sz w:val="24"/>
          <w:szCs w:val="24"/>
          <w:lang w:val="en-US"/>
        </w:rPr>
        <w:t xml:space="preserve">do </w:t>
      </w:r>
      <w:r w:rsidR="00ED1466" w:rsidRPr="001026E6">
        <w:rPr>
          <w:sz w:val="24"/>
          <w:szCs w:val="24"/>
          <w:lang w:val="en-US"/>
        </w:rPr>
        <w:t>so by engaging an FSRA-regulated RCH or DSF.</w:t>
      </w:r>
      <w:r w:rsidR="00ED1466" w:rsidRPr="001026E6" w:rsidDel="00ED1466">
        <w:rPr>
          <w:rFonts w:cs="Helvetica"/>
          <w:sz w:val="26"/>
          <w:szCs w:val="26"/>
        </w:rPr>
        <w:t xml:space="preserve"> </w:t>
      </w:r>
    </w:p>
    <w:p w14:paraId="6E523341" w14:textId="77777777" w:rsidR="004C688D" w:rsidRPr="001026E6" w:rsidRDefault="004C688D" w:rsidP="00D3188C">
      <w:pPr>
        <w:jc w:val="both"/>
        <w:rPr>
          <w:rFonts w:cs="Helvetica"/>
          <w:sz w:val="24"/>
          <w:szCs w:val="24"/>
        </w:rPr>
      </w:pPr>
    </w:p>
    <w:p w14:paraId="628539CD" w14:textId="77777777" w:rsidR="004C688D" w:rsidRPr="001026E6" w:rsidRDefault="00DE3D43" w:rsidP="00382A98">
      <w:pPr>
        <w:pStyle w:val="ListParagraph"/>
        <w:numPr>
          <w:ilvl w:val="1"/>
          <w:numId w:val="1"/>
        </w:numPr>
        <w:ind w:left="810"/>
        <w:jc w:val="both"/>
        <w:rPr>
          <w:rFonts w:cs="Helvetica"/>
          <w:sz w:val="24"/>
          <w:szCs w:val="24"/>
        </w:rPr>
      </w:pPr>
      <w:r w:rsidRPr="001026E6">
        <w:rPr>
          <w:rFonts w:cs="Helvetica"/>
          <w:sz w:val="24"/>
          <w:szCs w:val="24"/>
          <w:u w:val="single"/>
        </w:rPr>
        <w:t>MIR Rule</w:t>
      </w:r>
      <w:r w:rsidR="005E1F7D" w:rsidRPr="001026E6">
        <w:rPr>
          <w:rFonts w:cs="Helvetica"/>
          <w:sz w:val="24"/>
          <w:szCs w:val="24"/>
          <w:u w:val="single"/>
        </w:rPr>
        <w:t>s</w:t>
      </w:r>
      <w:r w:rsidRPr="001026E6">
        <w:rPr>
          <w:rFonts w:cs="Helvetica"/>
          <w:sz w:val="24"/>
          <w:szCs w:val="24"/>
          <w:u w:val="single"/>
        </w:rPr>
        <w:t xml:space="preserve"> 3.</w:t>
      </w:r>
      <w:r w:rsidR="005E1F7D" w:rsidRPr="001026E6">
        <w:rPr>
          <w:rFonts w:cs="Helvetica"/>
          <w:sz w:val="24"/>
          <w:szCs w:val="24"/>
          <w:u w:val="single"/>
        </w:rPr>
        <w:t xml:space="preserve">5, 3.6 and 2.5 </w:t>
      </w:r>
      <w:r w:rsidRPr="001026E6">
        <w:rPr>
          <w:rFonts w:cs="Helvetica"/>
          <w:sz w:val="24"/>
          <w:szCs w:val="24"/>
          <w:u w:val="single"/>
        </w:rPr>
        <w:t>(</w:t>
      </w:r>
      <w:r w:rsidR="005E1F7D" w:rsidRPr="001026E6">
        <w:rPr>
          <w:rFonts w:cs="Helvetica"/>
          <w:sz w:val="24"/>
          <w:szCs w:val="24"/>
          <w:u w:val="single"/>
        </w:rPr>
        <w:t>normal trading hours)</w:t>
      </w:r>
      <w:r w:rsidR="003969DB" w:rsidRPr="001026E6">
        <w:rPr>
          <w:rFonts w:cs="Helvetica"/>
          <w:sz w:val="24"/>
          <w:szCs w:val="24"/>
          <w:u w:val="single"/>
        </w:rPr>
        <w:t xml:space="preserve">: </w:t>
      </w:r>
      <w:r w:rsidR="003969DB" w:rsidRPr="001026E6">
        <w:rPr>
          <w:rFonts w:cs="Helvetica"/>
          <w:sz w:val="24"/>
          <w:szCs w:val="24"/>
        </w:rPr>
        <w:t>While a</w:t>
      </w:r>
      <w:r w:rsidR="004C688D" w:rsidRPr="001026E6">
        <w:rPr>
          <w:rFonts w:cs="Helvetica"/>
          <w:sz w:val="24"/>
          <w:szCs w:val="24"/>
        </w:rPr>
        <w:t xml:space="preserve"> </w:t>
      </w:r>
      <w:r w:rsidR="005E1F7D" w:rsidRPr="001026E6">
        <w:rPr>
          <w:rFonts w:cs="Helvetica"/>
          <w:sz w:val="24"/>
          <w:szCs w:val="24"/>
        </w:rPr>
        <w:t>RIE</w:t>
      </w:r>
      <w:r w:rsidR="00226395" w:rsidRPr="001026E6">
        <w:rPr>
          <w:rFonts w:cs="Helvetica"/>
          <w:sz w:val="24"/>
          <w:szCs w:val="24"/>
        </w:rPr>
        <w:t>’</w:t>
      </w:r>
      <w:r w:rsidR="005E1F7D" w:rsidRPr="001026E6">
        <w:rPr>
          <w:rFonts w:cs="Helvetica"/>
          <w:sz w:val="24"/>
          <w:szCs w:val="24"/>
        </w:rPr>
        <w:t>s</w:t>
      </w:r>
      <w:r w:rsidR="004C688D" w:rsidRPr="001026E6">
        <w:rPr>
          <w:rFonts w:cs="Helvetica"/>
          <w:sz w:val="24"/>
          <w:szCs w:val="24"/>
        </w:rPr>
        <w:t xml:space="preserve"> technology may facilitate its market operating for 24 hours, 7 days a week, </w:t>
      </w:r>
      <w:r w:rsidR="005E1F7D" w:rsidRPr="001026E6">
        <w:rPr>
          <w:rFonts w:cs="Helvetica"/>
          <w:sz w:val="24"/>
          <w:szCs w:val="24"/>
        </w:rPr>
        <w:t>RIEs</w:t>
      </w:r>
      <w:r w:rsidR="004C688D" w:rsidRPr="001026E6">
        <w:rPr>
          <w:rFonts w:cs="Helvetica"/>
          <w:sz w:val="24"/>
          <w:szCs w:val="24"/>
        </w:rPr>
        <w:t xml:space="preserve"> </w:t>
      </w:r>
      <w:r w:rsidR="00382A98" w:rsidRPr="001026E6">
        <w:rPr>
          <w:rFonts w:cs="Helvetica"/>
          <w:sz w:val="24"/>
          <w:szCs w:val="24"/>
        </w:rPr>
        <w:t xml:space="preserve">(including those </w:t>
      </w:r>
      <w:r w:rsidR="004C688D" w:rsidRPr="001026E6">
        <w:rPr>
          <w:rFonts w:cs="Helvetica"/>
          <w:sz w:val="24"/>
          <w:szCs w:val="24"/>
        </w:rPr>
        <w:t>operating Digital Securities markets</w:t>
      </w:r>
      <w:r w:rsidR="00382A98" w:rsidRPr="001026E6">
        <w:rPr>
          <w:rFonts w:cs="Helvetica"/>
          <w:sz w:val="24"/>
          <w:szCs w:val="24"/>
        </w:rPr>
        <w:t>)</w:t>
      </w:r>
      <w:r w:rsidR="004C688D" w:rsidRPr="001026E6">
        <w:rPr>
          <w:rFonts w:cs="Helvetica"/>
          <w:sz w:val="24"/>
          <w:szCs w:val="24"/>
        </w:rPr>
        <w:t xml:space="preserve"> </w:t>
      </w:r>
      <w:r w:rsidR="00226395" w:rsidRPr="001026E6">
        <w:rPr>
          <w:rFonts w:cs="Helvetica"/>
          <w:sz w:val="24"/>
          <w:szCs w:val="24"/>
        </w:rPr>
        <w:t xml:space="preserve">will </w:t>
      </w:r>
      <w:r w:rsidR="005E1F7D" w:rsidRPr="001026E6">
        <w:rPr>
          <w:rFonts w:cs="Helvetica"/>
          <w:sz w:val="24"/>
          <w:szCs w:val="24"/>
        </w:rPr>
        <w:t xml:space="preserve">be expected to </w:t>
      </w:r>
      <w:r w:rsidR="004C688D" w:rsidRPr="001026E6">
        <w:rPr>
          <w:rFonts w:cs="Helvetica"/>
          <w:sz w:val="24"/>
          <w:szCs w:val="24"/>
        </w:rPr>
        <w:t>ope</w:t>
      </w:r>
      <w:r w:rsidR="00F6360F" w:rsidRPr="001026E6">
        <w:rPr>
          <w:rFonts w:cs="Helvetica"/>
          <w:sz w:val="24"/>
          <w:szCs w:val="24"/>
        </w:rPr>
        <w:t>rat</w:t>
      </w:r>
      <w:r w:rsidR="005E1F7D" w:rsidRPr="001026E6">
        <w:rPr>
          <w:rFonts w:cs="Helvetica"/>
          <w:sz w:val="24"/>
          <w:szCs w:val="24"/>
        </w:rPr>
        <w:t>e on the same basis</w:t>
      </w:r>
      <w:r w:rsidR="00382A98" w:rsidRPr="001026E6">
        <w:rPr>
          <w:rFonts w:cs="Helvetica"/>
          <w:sz w:val="24"/>
          <w:szCs w:val="24"/>
        </w:rPr>
        <w:t>/market timings</w:t>
      </w:r>
      <w:r w:rsidR="005E1F7D" w:rsidRPr="001026E6">
        <w:rPr>
          <w:rFonts w:cs="Helvetica"/>
          <w:sz w:val="24"/>
          <w:szCs w:val="24"/>
        </w:rPr>
        <w:t xml:space="preserve"> as </w:t>
      </w:r>
      <w:r w:rsidR="00382A98" w:rsidRPr="001026E6">
        <w:rPr>
          <w:rFonts w:cs="Helvetica"/>
          <w:sz w:val="24"/>
          <w:szCs w:val="24"/>
        </w:rPr>
        <w:t xml:space="preserve">how </w:t>
      </w:r>
      <w:r w:rsidR="005E1F7D" w:rsidRPr="001026E6">
        <w:rPr>
          <w:rFonts w:cs="Helvetica"/>
          <w:sz w:val="24"/>
          <w:szCs w:val="24"/>
        </w:rPr>
        <w:t xml:space="preserve">Securities markets </w:t>
      </w:r>
      <w:r w:rsidR="00382A98" w:rsidRPr="001026E6">
        <w:rPr>
          <w:rFonts w:cs="Helvetica"/>
          <w:sz w:val="24"/>
          <w:szCs w:val="24"/>
        </w:rPr>
        <w:t xml:space="preserve">are conducted </w:t>
      </w:r>
      <w:r w:rsidR="005E1F7D" w:rsidRPr="001026E6">
        <w:rPr>
          <w:rFonts w:cs="Helvetica"/>
          <w:sz w:val="24"/>
          <w:szCs w:val="24"/>
        </w:rPr>
        <w:t>globally</w:t>
      </w:r>
      <w:r w:rsidR="00F6360F" w:rsidRPr="001026E6">
        <w:rPr>
          <w:rFonts w:cs="Helvetica"/>
          <w:sz w:val="24"/>
          <w:szCs w:val="24"/>
        </w:rPr>
        <w:t xml:space="preserve">.  </w:t>
      </w:r>
      <w:r w:rsidR="004C688D" w:rsidRPr="001026E6">
        <w:rPr>
          <w:rFonts w:cs="Helvetica"/>
          <w:sz w:val="24"/>
          <w:szCs w:val="24"/>
        </w:rPr>
        <w:t>This is to</w:t>
      </w:r>
      <w:r w:rsidR="00382A98" w:rsidRPr="001026E6">
        <w:rPr>
          <w:rFonts w:cs="Helvetica"/>
          <w:sz w:val="24"/>
          <w:szCs w:val="24"/>
        </w:rPr>
        <w:t xml:space="preserve"> ensure</w:t>
      </w:r>
      <w:r w:rsidR="00221017" w:rsidRPr="001026E6">
        <w:rPr>
          <w:rFonts w:cs="Helvetica"/>
          <w:sz w:val="24"/>
          <w:szCs w:val="24"/>
        </w:rPr>
        <w:t>, amongst other things,</w:t>
      </w:r>
      <w:r w:rsidR="004C688D" w:rsidRPr="001026E6">
        <w:rPr>
          <w:rFonts w:cs="Helvetica"/>
          <w:sz w:val="24"/>
          <w:szCs w:val="24"/>
        </w:rPr>
        <w:t xml:space="preserve"> </w:t>
      </w:r>
      <w:r w:rsidR="00382A98" w:rsidRPr="001026E6">
        <w:rPr>
          <w:rFonts w:cs="Helvetica"/>
          <w:sz w:val="24"/>
          <w:szCs w:val="24"/>
        </w:rPr>
        <w:t>t</w:t>
      </w:r>
      <w:r w:rsidR="005E1F7D" w:rsidRPr="001026E6">
        <w:rPr>
          <w:rFonts w:cs="Helvetica"/>
          <w:sz w:val="24"/>
          <w:szCs w:val="24"/>
        </w:rPr>
        <w:t xml:space="preserve">hat the RIE’s continuous disclosure obligations/market requirements /supervisory requirements </w:t>
      </w:r>
      <w:r w:rsidR="00382A98" w:rsidRPr="001026E6">
        <w:rPr>
          <w:rFonts w:cs="Helvetica"/>
          <w:sz w:val="24"/>
          <w:szCs w:val="24"/>
        </w:rPr>
        <w:t>can</w:t>
      </w:r>
      <w:r w:rsidR="005E1F7D" w:rsidRPr="001026E6">
        <w:rPr>
          <w:rFonts w:cs="Helvetica"/>
          <w:sz w:val="24"/>
          <w:szCs w:val="24"/>
        </w:rPr>
        <w:t xml:space="preserve"> be suitably met (by the RIE itself, as well as for the FSRA, relevant Issuers, Reporting Entities and investors)</w:t>
      </w:r>
      <w:r w:rsidR="004C688D" w:rsidRPr="001026E6">
        <w:rPr>
          <w:rFonts w:cs="Helvetica"/>
          <w:sz w:val="24"/>
          <w:szCs w:val="24"/>
        </w:rPr>
        <w:t>.</w:t>
      </w:r>
    </w:p>
    <w:p w14:paraId="2C074A9C" w14:textId="77777777" w:rsidR="00362FF6" w:rsidRPr="001026E6" w:rsidRDefault="00362FF6" w:rsidP="00B65984">
      <w:pPr>
        <w:jc w:val="both"/>
        <w:rPr>
          <w:rFonts w:cs="Helvetica"/>
          <w:sz w:val="24"/>
          <w:szCs w:val="24"/>
        </w:rPr>
      </w:pPr>
    </w:p>
    <w:p w14:paraId="2EC6140C" w14:textId="77777777" w:rsidR="00B65984" w:rsidRPr="001026E6" w:rsidRDefault="00462F30" w:rsidP="00B65984">
      <w:pPr>
        <w:pStyle w:val="Heading2"/>
        <w:tabs>
          <w:tab w:val="clear" w:pos="720"/>
          <w:tab w:val="num" w:pos="0"/>
        </w:tabs>
        <w:ind w:left="0" w:firstLine="0"/>
        <w:rPr>
          <w:szCs w:val="24"/>
        </w:rPr>
      </w:pPr>
      <w:bookmarkStart w:id="45" w:name="_Toc18571327"/>
      <w:bookmarkStart w:id="46" w:name="_Toc33443078"/>
      <w:r w:rsidRPr="001026E6">
        <w:rPr>
          <w:szCs w:val="24"/>
        </w:rPr>
        <w:lastRenderedPageBreak/>
        <w:t>Multilateral Trading Facilities (</w:t>
      </w:r>
      <w:r w:rsidR="00B65984" w:rsidRPr="001026E6">
        <w:rPr>
          <w:szCs w:val="24"/>
        </w:rPr>
        <w:t>MTFs</w:t>
      </w:r>
      <w:r w:rsidRPr="001026E6">
        <w:rPr>
          <w:szCs w:val="24"/>
        </w:rPr>
        <w:t>)</w:t>
      </w:r>
      <w:bookmarkEnd w:id="45"/>
      <w:bookmarkEnd w:id="46"/>
    </w:p>
    <w:p w14:paraId="7FFBCDDF" w14:textId="77777777" w:rsidR="00B65984" w:rsidRPr="001026E6" w:rsidRDefault="00B65984" w:rsidP="00E34DCC">
      <w:pPr>
        <w:pStyle w:val="ListParagraph"/>
        <w:numPr>
          <w:ilvl w:val="0"/>
          <w:numId w:val="1"/>
        </w:numPr>
        <w:ind w:left="426"/>
        <w:jc w:val="both"/>
        <w:rPr>
          <w:rFonts w:cs="Helvetica"/>
          <w:sz w:val="24"/>
          <w:szCs w:val="24"/>
        </w:rPr>
      </w:pPr>
      <w:r w:rsidRPr="001026E6">
        <w:rPr>
          <w:sz w:val="24"/>
          <w:szCs w:val="24"/>
        </w:rPr>
        <w:t xml:space="preserve">Applicants wishing to operate as an MTF within ADGM may apply for a Financial Services Permission </w:t>
      </w:r>
      <w:r w:rsidR="00221017" w:rsidRPr="001026E6">
        <w:rPr>
          <w:sz w:val="24"/>
          <w:szCs w:val="24"/>
        </w:rPr>
        <w:t xml:space="preserve">(FSP) </w:t>
      </w:r>
      <w:r w:rsidRPr="001026E6">
        <w:rPr>
          <w:sz w:val="24"/>
          <w:szCs w:val="24"/>
        </w:rPr>
        <w:t xml:space="preserve">to do so.  </w:t>
      </w:r>
      <w:r w:rsidRPr="001026E6">
        <w:rPr>
          <w:rFonts w:cs="Helvetica"/>
          <w:sz w:val="24"/>
          <w:szCs w:val="24"/>
        </w:rPr>
        <w:t xml:space="preserve">Where an Applicant seeks to be </w:t>
      </w:r>
      <w:r w:rsidR="00564344" w:rsidRPr="001026E6">
        <w:rPr>
          <w:rFonts w:cs="Helvetica"/>
          <w:sz w:val="24"/>
          <w:szCs w:val="24"/>
        </w:rPr>
        <w:t>licence</w:t>
      </w:r>
      <w:r w:rsidRPr="001026E6">
        <w:rPr>
          <w:rFonts w:cs="Helvetica"/>
          <w:sz w:val="24"/>
          <w:szCs w:val="24"/>
        </w:rPr>
        <w:t xml:space="preserve">d as an MTF, </w:t>
      </w:r>
      <w:r w:rsidR="00E34DCC" w:rsidRPr="001026E6">
        <w:rPr>
          <w:rFonts w:cs="Helvetica"/>
          <w:sz w:val="24"/>
          <w:szCs w:val="24"/>
        </w:rPr>
        <w:t xml:space="preserve">COBS Chapter 8 and </w:t>
      </w:r>
      <w:r w:rsidRPr="001026E6">
        <w:rPr>
          <w:rFonts w:cs="Helvetica"/>
          <w:sz w:val="24"/>
          <w:szCs w:val="24"/>
        </w:rPr>
        <w:t xml:space="preserve">the MIR </w:t>
      </w:r>
      <w:r w:rsidR="00A54B14" w:rsidRPr="001026E6">
        <w:rPr>
          <w:rFonts w:cs="Helvetica"/>
          <w:sz w:val="24"/>
          <w:szCs w:val="24"/>
        </w:rPr>
        <w:t>R</w:t>
      </w:r>
      <w:r w:rsidRPr="001026E6">
        <w:rPr>
          <w:rFonts w:cs="Helvetica"/>
          <w:sz w:val="24"/>
          <w:szCs w:val="24"/>
        </w:rPr>
        <w:t xml:space="preserve">ules set out </w:t>
      </w:r>
      <w:r w:rsidR="00E34DCC" w:rsidRPr="001026E6">
        <w:rPr>
          <w:rFonts w:cs="Helvetica"/>
          <w:sz w:val="24"/>
          <w:szCs w:val="24"/>
        </w:rPr>
        <w:t xml:space="preserve">in </w:t>
      </w:r>
      <w:r w:rsidRPr="001026E6">
        <w:rPr>
          <w:rFonts w:cs="Helvetica"/>
          <w:sz w:val="24"/>
          <w:szCs w:val="24"/>
        </w:rPr>
        <w:t xml:space="preserve">COBS Rule 8.2 shall apply </w:t>
      </w:r>
      <w:r w:rsidR="00080719" w:rsidRPr="001026E6">
        <w:rPr>
          <w:rFonts w:cs="Helvetica"/>
          <w:sz w:val="24"/>
          <w:szCs w:val="24"/>
        </w:rPr>
        <w:t xml:space="preserve">(being </w:t>
      </w:r>
      <w:r w:rsidRPr="001026E6">
        <w:rPr>
          <w:rFonts w:cs="Helvetica"/>
          <w:sz w:val="24"/>
          <w:szCs w:val="24"/>
        </w:rPr>
        <w:t xml:space="preserve">MIR </w:t>
      </w:r>
      <w:r w:rsidR="00080719" w:rsidRPr="001026E6">
        <w:rPr>
          <w:rFonts w:cs="Helvetica"/>
          <w:sz w:val="24"/>
          <w:szCs w:val="24"/>
        </w:rPr>
        <w:t xml:space="preserve">Rules </w:t>
      </w:r>
      <w:r w:rsidRPr="001026E6">
        <w:rPr>
          <w:rFonts w:cs="Helvetica"/>
          <w:sz w:val="24"/>
          <w:szCs w:val="24"/>
        </w:rPr>
        <w:t>2.6, 2.7, 2.8, 2.9, 2.11, 3.3, 3.7, 3.8 and 3.10</w:t>
      </w:r>
      <w:r w:rsidR="00080719" w:rsidRPr="001026E6">
        <w:rPr>
          <w:rFonts w:cs="Helvetica"/>
          <w:sz w:val="24"/>
          <w:szCs w:val="24"/>
        </w:rPr>
        <w:t>)</w:t>
      </w:r>
      <w:r w:rsidRPr="001026E6">
        <w:rPr>
          <w:rFonts w:cs="Helvetica"/>
          <w:sz w:val="24"/>
          <w:szCs w:val="24"/>
        </w:rPr>
        <w:t>.</w:t>
      </w:r>
      <w:r w:rsidR="00A50950" w:rsidRPr="001026E6">
        <w:rPr>
          <w:rFonts w:cs="Helvetica"/>
          <w:sz w:val="24"/>
          <w:szCs w:val="24"/>
        </w:rPr>
        <w:t xml:space="preserve"> As an Authorised Person, an MTF </w:t>
      </w:r>
      <w:r w:rsidR="00E34DCC" w:rsidRPr="001026E6">
        <w:rPr>
          <w:rFonts w:cs="Helvetica"/>
          <w:sz w:val="24"/>
          <w:szCs w:val="24"/>
        </w:rPr>
        <w:t xml:space="preserve">also </w:t>
      </w:r>
      <w:r w:rsidR="00A50950" w:rsidRPr="001026E6">
        <w:rPr>
          <w:rFonts w:cs="Helvetica"/>
          <w:sz w:val="24"/>
          <w:szCs w:val="24"/>
        </w:rPr>
        <w:t xml:space="preserve">needs to comply with the wider Rulebooks relevant to </w:t>
      </w:r>
      <w:r w:rsidR="00080719" w:rsidRPr="001026E6">
        <w:rPr>
          <w:rFonts w:cs="Helvetica"/>
          <w:sz w:val="24"/>
          <w:szCs w:val="24"/>
        </w:rPr>
        <w:t xml:space="preserve">all Authorised Persons, </w:t>
      </w:r>
      <w:r w:rsidR="00A50950" w:rsidRPr="001026E6">
        <w:rPr>
          <w:rFonts w:cs="Helvetica"/>
          <w:sz w:val="24"/>
          <w:szCs w:val="24"/>
        </w:rPr>
        <w:t>including COBS, GEN and AML.</w:t>
      </w:r>
    </w:p>
    <w:p w14:paraId="7A15E915" w14:textId="77777777" w:rsidR="00B65984" w:rsidRPr="001026E6" w:rsidRDefault="00B65984" w:rsidP="00D45522">
      <w:pPr>
        <w:jc w:val="both"/>
        <w:rPr>
          <w:rFonts w:cs="Helvetica"/>
          <w:sz w:val="24"/>
          <w:szCs w:val="24"/>
        </w:rPr>
      </w:pPr>
    </w:p>
    <w:p w14:paraId="359BBB3F" w14:textId="3185EB13" w:rsidR="00B65984" w:rsidRPr="001026E6" w:rsidRDefault="00B65984" w:rsidP="00DB114A">
      <w:pPr>
        <w:pStyle w:val="ListParagraph"/>
        <w:numPr>
          <w:ilvl w:val="0"/>
          <w:numId w:val="1"/>
        </w:numPr>
        <w:ind w:left="426"/>
        <w:jc w:val="both"/>
        <w:rPr>
          <w:sz w:val="24"/>
          <w:szCs w:val="24"/>
        </w:rPr>
      </w:pPr>
      <w:r w:rsidRPr="001026E6">
        <w:rPr>
          <w:sz w:val="24"/>
          <w:szCs w:val="24"/>
        </w:rPr>
        <w:t>MTFs may operate as a primary trading venue f</w:t>
      </w:r>
      <w:r w:rsidR="00221017" w:rsidRPr="001026E6">
        <w:rPr>
          <w:sz w:val="24"/>
          <w:szCs w:val="24"/>
        </w:rPr>
        <w:t xml:space="preserve">or </w:t>
      </w:r>
      <w:r w:rsidR="00080719" w:rsidRPr="001026E6">
        <w:rPr>
          <w:sz w:val="24"/>
          <w:szCs w:val="24"/>
        </w:rPr>
        <w:t>Digital Securit</w:t>
      </w:r>
      <w:r w:rsidR="00E833D3" w:rsidRPr="001026E6">
        <w:rPr>
          <w:sz w:val="24"/>
          <w:szCs w:val="24"/>
        </w:rPr>
        <w:t>i</w:t>
      </w:r>
      <w:r w:rsidR="00080719" w:rsidRPr="001026E6">
        <w:rPr>
          <w:sz w:val="24"/>
          <w:szCs w:val="24"/>
        </w:rPr>
        <w:t xml:space="preserve">es offered and issued by way of an </w:t>
      </w:r>
      <w:r w:rsidR="00221017" w:rsidRPr="001026E6">
        <w:rPr>
          <w:sz w:val="24"/>
          <w:szCs w:val="24"/>
        </w:rPr>
        <w:t>Exempt Offer</w:t>
      </w:r>
      <w:r w:rsidR="00080719" w:rsidRPr="001026E6">
        <w:rPr>
          <w:sz w:val="24"/>
          <w:szCs w:val="24"/>
        </w:rPr>
        <w:t>,</w:t>
      </w:r>
      <w:r w:rsidR="00221017" w:rsidRPr="001026E6">
        <w:rPr>
          <w:sz w:val="24"/>
          <w:szCs w:val="24"/>
        </w:rPr>
        <w:t xml:space="preserve"> provided that m</w:t>
      </w:r>
      <w:r w:rsidRPr="001026E6">
        <w:rPr>
          <w:sz w:val="24"/>
          <w:szCs w:val="24"/>
        </w:rPr>
        <w:t xml:space="preserve">embership and trading is limited to </w:t>
      </w:r>
      <w:r w:rsidR="009020D6" w:rsidRPr="001026E6">
        <w:rPr>
          <w:sz w:val="24"/>
          <w:szCs w:val="24"/>
        </w:rPr>
        <w:t xml:space="preserve">non-retail clients </w:t>
      </w:r>
      <w:r w:rsidRPr="001026E6">
        <w:rPr>
          <w:sz w:val="24"/>
          <w:szCs w:val="24"/>
        </w:rPr>
        <w:t xml:space="preserve">only.  As </w:t>
      </w:r>
      <w:r w:rsidR="00080719" w:rsidRPr="001026E6">
        <w:rPr>
          <w:sz w:val="24"/>
          <w:szCs w:val="24"/>
        </w:rPr>
        <w:t>set out</w:t>
      </w:r>
      <w:r w:rsidRPr="001026E6">
        <w:rPr>
          <w:sz w:val="24"/>
          <w:szCs w:val="24"/>
        </w:rPr>
        <w:t xml:space="preserve"> in paragraphs </w:t>
      </w:r>
      <w:r w:rsidR="00232AA6" w:rsidRPr="001026E6">
        <w:rPr>
          <w:sz w:val="24"/>
          <w:szCs w:val="24"/>
        </w:rPr>
        <w:t>16</w:t>
      </w:r>
      <w:r w:rsidRPr="001026E6">
        <w:rPr>
          <w:sz w:val="24"/>
          <w:szCs w:val="24"/>
        </w:rPr>
        <w:t xml:space="preserve"> and </w:t>
      </w:r>
      <w:r w:rsidR="00F7409C" w:rsidRPr="001026E6">
        <w:rPr>
          <w:sz w:val="24"/>
          <w:szCs w:val="24"/>
        </w:rPr>
        <w:t>32</w:t>
      </w:r>
      <w:r w:rsidRPr="001026E6">
        <w:rPr>
          <w:sz w:val="24"/>
          <w:szCs w:val="24"/>
        </w:rPr>
        <w:t xml:space="preserve"> of this Guidance, an Issuer wishing to make an Exempt Offer </w:t>
      </w:r>
      <w:r w:rsidR="00080719" w:rsidRPr="001026E6">
        <w:rPr>
          <w:sz w:val="24"/>
          <w:szCs w:val="24"/>
        </w:rPr>
        <w:t xml:space="preserve">in order to have its Digital Securities admitted to trading </w:t>
      </w:r>
      <w:r w:rsidRPr="001026E6">
        <w:rPr>
          <w:sz w:val="24"/>
          <w:szCs w:val="24"/>
        </w:rPr>
        <w:t>on an M</w:t>
      </w:r>
      <w:r w:rsidR="00DB114A" w:rsidRPr="001026E6">
        <w:rPr>
          <w:sz w:val="24"/>
          <w:szCs w:val="24"/>
        </w:rPr>
        <w:t>TF</w:t>
      </w:r>
      <w:r w:rsidRPr="001026E6">
        <w:rPr>
          <w:sz w:val="24"/>
          <w:szCs w:val="24"/>
        </w:rPr>
        <w:t xml:space="preserve"> will need to ensure that it includes all required information in its Exempt Offer document</w:t>
      </w:r>
      <w:r w:rsidR="00080719" w:rsidRPr="001026E6">
        <w:rPr>
          <w:sz w:val="24"/>
          <w:szCs w:val="24"/>
        </w:rPr>
        <w:t xml:space="preserve"> in order to allow FSRA to deem the Digital Securities as Securities pursuant to section 58(2)(b) of FSMR</w:t>
      </w:r>
      <w:r w:rsidRPr="001026E6">
        <w:rPr>
          <w:sz w:val="24"/>
          <w:szCs w:val="24"/>
        </w:rPr>
        <w:t xml:space="preserve">.  </w:t>
      </w:r>
    </w:p>
    <w:p w14:paraId="326B3A07" w14:textId="77777777" w:rsidR="00B65984" w:rsidRPr="001026E6" w:rsidRDefault="00B65984" w:rsidP="00B65984">
      <w:pPr>
        <w:pStyle w:val="ListParagraph"/>
        <w:ind w:left="426"/>
        <w:jc w:val="both"/>
        <w:rPr>
          <w:sz w:val="24"/>
          <w:szCs w:val="24"/>
        </w:rPr>
      </w:pPr>
    </w:p>
    <w:p w14:paraId="569DE5B9" w14:textId="77777777" w:rsidR="00B65984" w:rsidRPr="001026E6" w:rsidRDefault="00B65984" w:rsidP="00D55739">
      <w:pPr>
        <w:pStyle w:val="ListParagraph"/>
        <w:numPr>
          <w:ilvl w:val="0"/>
          <w:numId w:val="1"/>
        </w:numPr>
        <w:ind w:left="426"/>
        <w:jc w:val="both"/>
        <w:rPr>
          <w:rFonts w:cs="Helvetica"/>
          <w:sz w:val="24"/>
          <w:szCs w:val="24"/>
        </w:rPr>
      </w:pPr>
      <w:r w:rsidRPr="001026E6">
        <w:rPr>
          <w:sz w:val="24"/>
          <w:szCs w:val="24"/>
        </w:rPr>
        <w:t xml:space="preserve">In addition, Offers of Securities that have been admitted to the Official List for the purposes of trading on a </w:t>
      </w:r>
      <w:r w:rsidR="00221017" w:rsidRPr="001026E6">
        <w:rPr>
          <w:sz w:val="24"/>
          <w:szCs w:val="24"/>
        </w:rPr>
        <w:t xml:space="preserve">RIE </w:t>
      </w:r>
      <w:r w:rsidR="00911A04" w:rsidRPr="001026E6">
        <w:rPr>
          <w:sz w:val="24"/>
          <w:szCs w:val="24"/>
        </w:rPr>
        <w:t xml:space="preserve">(as noted in </w:t>
      </w:r>
      <w:r w:rsidR="009440D6" w:rsidRPr="001026E6">
        <w:rPr>
          <w:sz w:val="24"/>
          <w:szCs w:val="24"/>
        </w:rPr>
        <w:t>paragraph 42</w:t>
      </w:r>
      <w:r w:rsidR="00911A04" w:rsidRPr="001026E6">
        <w:rPr>
          <w:sz w:val="24"/>
          <w:szCs w:val="24"/>
        </w:rPr>
        <w:t xml:space="preserve"> above) </w:t>
      </w:r>
      <w:r w:rsidRPr="001026E6">
        <w:rPr>
          <w:sz w:val="24"/>
          <w:szCs w:val="24"/>
        </w:rPr>
        <w:t xml:space="preserve">may also be available for trading on the secondary market of an MTF, for </w:t>
      </w:r>
      <w:r w:rsidR="00080719" w:rsidRPr="001026E6">
        <w:rPr>
          <w:sz w:val="24"/>
          <w:szCs w:val="24"/>
        </w:rPr>
        <w:t xml:space="preserve">both retail </w:t>
      </w:r>
      <w:r w:rsidRPr="001026E6">
        <w:rPr>
          <w:sz w:val="24"/>
          <w:szCs w:val="24"/>
        </w:rPr>
        <w:t xml:space="preserve">clients </w:t>
      </w:r>
      <w:r w:rsidR="00080719" w:rsidRPr="001026E6">
        <w:rPr>
          <w:sz w:val="24"/>
          <w:szCs w:val="24"/>
        </w:rPr>
        <w:t>and professional clients</w:t>
      </w:r>
      <w:r w:rsidRPr="001026E6">
        <w:rPr>
          <w:sz w:val="24"/>
          <w:szCs w:val="24"/>
        </w:rPr>
        <w:t xml:space="preserve">.  Retail participation will only be permitted </w:t>
      </w:r>
      <w:r w:rsidR="00D55739" w:rsidRPr="001026E6">
        <w:rPr>
          <w:sz w:val="24"/>
          <w:szCs w:val="24"/>
        </w:rPr>
        <w:t xml:space="preserve">on an MTF </w:t>
      </w:r>
      <w:r w:rsidRPr="001026E6">
        <w:rPr>
          <w:sz w:val="24"/>
          <w:szCs w:val="24"/>
        </w:rPr>
        <w:t>where a</w:t>
      </w:r>
      <w:r w:rsidR="00080719" w:rsidRPr="001026E6">
        <w:rPr>
          <w:sz w:val="24"/>
          <w:szCs w:val="24"/>
        </w:rPr>
        <w:t>n</w:t>
      </w:r>
      <w:r w:rsidRPr="001026E6">
        <w:rPr>
          <w:sz w:val="24"/>
          <w:szCs w:val="24"/>
        </w:rPr>
        <w:t xml:space="preserve"> </w:t>
      </w:r>
      <w:r w:rsidR="00080719" w:rsidRPr="001026E6">
        <w:rPr>
          <w:sz w:val="24"/>
          <w:szCs w:val="24"/>
        </w:rPr>
        <w:t>Approved P</w:t>
      </w:r>
      <w:r w:rsidRPr="001026E6">
        <w:rPr>
          <w:sz w:val="24"/>
          <w:szCs w:val="24"/>
        </w:rPr>
        <w:t xml:space="preserve">rospectus has been registered </w:t>
      </w:r>
      <w:r w:rsidR="00080719" w:rsidRPr="001026E6">
        <w:rPr>
          <w:sz w:val="24"/>
          <w:szCs w:val="24"/>
        </w:rPr>
        <w:t>for the purposes of admission to trading by the RIE (</w:t>
      </w:r>
      <w:r w:rsidRPr="001026E6">
        <w:rPr>
          <w:sz w:val="24"/>
          <w:szCs w:val="24"/>
        </w:rPr>
        <w:t>as the primary trading venue</w:t>
      </w:r>
      <w:r w:rsidR="00080719" w:rsidRPr="001026E6">
        <w:rPr>
          <w:sz w:val="24"/>
          <w:szCs w:val="24"/>
        </w:rPr>
        <w:t>)</w:t>
      </w:r>
      <w:r w:rsidRPr="001026E6">
        <w:rPr>
          <w:sz w:val="24"/>
          <w:szCs w:val="24"/>
        </w:rPr>
        <w:t xml:space="preserve">.  For both </w:t>
      </w:r>
      <w:r w:rsidR="00D55739" w:rsidRPr="001026E6">
        <w:rPr>
          <w:sz w:val="24"/>
          <w:szCs w:val="24"/>
        </w:rPr>
        <w:t>professional</w:t>
      </w:r>
      <w:r w:rsidRPr="001026E6">
        <w:rPr>
          <w:sz w:val="24"/>
          <w:szCs w:val="24"/>
        </w:rPr>
        <w:t xml:space="preserve"> and retail clients, trading is limited to trading within the market of that MTF.  </w:t>
      </w:r>
      <w:r w:rsidR="00E7272D" w:rsidRPr="001026E6">
        <w:rPr>
          <w:rFonts w:cs="Helvetica"/>
          <w:sz w:val="24"/>
          <w:szCs w:val="24"/>
        </w:rPr>
        <w:t>It is important to note</w:t>
      </w:r>
      <w:r w:rsidR="00D55739" w:rsidRPr="001026E6">
        <w:rPr>
          <w:rFonts w:cs="Helvetica"/>
          <w:sz w:val="24"/>
          <w:szCs w:val="24"/>
        </w:rPr>
        <w:t xml:space="preserve"> therefore</w:t>
      </w:r>
      <w:r w:rsidR="00E7272D" w:rsidRPr="001026E6">
        <w:rPr>
          <w:rFonts w:cs="Helvetica"/>
          <w:sz w:val="24"/>
          <w:szCs w:val="24"/>
        </w:rPr>
        <w:t xml:space="preserve"> that</w:t>
      </w:r>
      <w:r w:rsidR="00D55739" w:rsidRPr="001026E6">
        <w:rPr>
          <w:rFonts w:cs="Helvetica"/>
          <w:sz w:val="24"/>
          <w:szCs w:val="24"/>
        </w:rPr>
        <w:t>,</w:t>
      </w:r>
      <w:r w:rsidR="00E7272D" w:rsidRPr="001026E6">
        <w:rPr>
          <w:rFonts w:cs="Helvetica"/>
          <w:sz w:val="24"/>
          <w:szCs w:val="24"/>
        </w:rPr>
        <w:t xml:space="preserve"> with the exception of only Exempt Offers being made pursuant to admission to trading on an MTF, MTFs should generally be considered as (secondary market) trading venues rather than (primary market) offering venues.  </w:t>
      </w:r>
    </w:p>
    <w:p w14:paraId="0282D97B" w14:textId="77777777" w:rsidR="00D45522" w:rsidRPr="001026E6" w:rsidRDefault="00D45522" w:rsidP="00055D3E">
      <w:pPr>
        <w:pStyle w:val="ListParagraph"/>
        <w:rPr>
          <w:rFonts w:cs="Helvetica"/>
          <w:sz w:val="24"/>
          <w:szCs w:val="24"/>
        </w:rPr>
      </w:pPr>
    </w:p>
    <w:p w14:paraId="70DDED0B" w14:textId="799818A2" w:rsidR="00B65984" w:rsidRPr="001026E6" w:rsidRDefault="00E833D3" w:rsidP="00C41C5B">
      <w:pPr>
        <w:pStyle w:val="ListParagraph"/>
        <w:numPr>
          <w:ilvl w:val="0"/>
          <w:numId w:val="1"/>
        </w:numPr>
        <w:ind w:left="426"/>
        <w:jc w:val="both"/>
        <w:rPr>
          <w:rFonts w:cs="Helvetica"/>
          <w:sz w:val="24"/>
          <w:szCs w:val="24"/>
        </w:rPr>
      </w:pPr>
      <w:r w:rsidRPr="001026E6">
        <w:rPr>
          <w:sz w:val="24"/>
          <w:szCs w:val="24"/>
        </w:rPr>
        <w:t xml:space="preserve">In the context of MIR Rule 3.8 (Settlement), MTFs </w:t>
      </w:r>
      <w:r w:rsidR="00666840" w:rsidRPr="001026E6">
        <w:rPr>
          <w:sz w:val="24"/>
          <w:szCs w:val="24"/>
        </w:rPr>
        <w:t xml:space="preserve">have the same obligations as </w:t>
      </w:r>
      <w:r w:rsidRPr="001026E6">
        <w:rPr>
          <w:sz w:val="24"/>
          <w:szCs w:val="24"/>
        </w:rPr>
        <w:t xml:space="preserve">RIEs (see </w:t>
      </w:r>
      <w:r w:rsidR="009440D6" w:rsidRPr="001026E6">
        <w:rPr>
          <w:sz w:val="24"/>
          <w:szCs w:val="24"/>
        </w:rPr>
        <w:t>paragraph 44</w:t>
      </w:r>
      <w:r w:rsidRPr="001026E6">
        <w:rPr>
          <w:sz w:val="24"/>
          <w:szCs w:val="24"/>
        </w:rPr>
        <w:t>(a)), and specific</w:t>
      </w:r>
      <w:r w:rsidR="00D45522" w:rsidRPr="001026E6">
        <w:rPr>
          <w:sz w:val="24"/>
          <w:szCs w:val="24"/>
        </w:rPr>
        <w:t xml:space="preserve"> guidance on the application of MIR </w:t>
      </w:r>
      <w:r w:rsidRPr="001026E6">
        <w:rPr>
          <w:sz w:val="24"/>
          <w:szCs w:val="24"/>
        </w:rPr>
        <w:t xml:space="preserve">Rule </w:t>
      </w:r>
      <w:r w:rsidR="00D45522" w:rsidRPr="001026E6">
        <w:rPr>
          <w:sz w:val="24"/>
          <w:szCs w:val="24"/>
        </w:rPr>
        <w:t xml:space="preserve">3.8 (Settlement and Clearing Services) in the context of Digital Securities </w:t>
      </w:r>
      <w:r w:rsidR="00701454" w:rsidRPr="001026E6">
        <w:rPr>
          <w:sz w:val="24"/>
          <w:szCs w:val="24"/>
        </w:rPr>
        <w:t xml:space="preserve">being </w:t>
      </w:r>
      <w:r w:rsidR="003B7AD2" w:rsidRPr="001026E6">
        <w:rPr>
          <w:sz w:val="24"/>
          <w:szCs w:val="24"/>
        </w:rPr>
        <w:t xml:space="preserve">trading on an MTF </w:t>
      </w:r>
      <w:r w:rsidR="00D45522" w:rsidRPr="001026E6">
        <w:rPr>
          <w:sz w:val="24"/>
          <w:szCs w:val="24"/>
        </w:rPr>
        <w:t>is set out in paragraph</w:t>
      </w:r>
      <w:r w:rsidR="00221017" w:rsidRPr="001026E6">
        <w:rPr>
          <w:sz w:val="24"/>
          <w:szCs w:val="24"/>
        </w:rPr>
        <w:t>s</w:t>
      </w:r>
      <w:r w:rsidR="00D45522" w:rsidRPr="001026E6">
        <w:rPr>
          <w:sz w:val="24"/>
          <w:szCs w:val="24"/>
        </w:rPr>
        <w:t xml:space="preserve"> </w:t>
      </w:r>
      <w:r w:rsidR="00427C49" w:rsidRPr="001026E6">
        <w:rPr>
          <w:sz w:val="24"/>
          <w:szCs w:val="24"/>
        </w:rPr>
        <w:t>55</w:t>
      </w:r>
      <w:r w:rsidR="00C41C5B" w:rsidRPr="001026E6">
        <w:rPr>
          <w:sz w:val="24"/>
          <w:szCs w:val="24"/>
        </w:rPr>
        <w:t xml:space="preserve"> - </w:t>
      </w:r>
      <w:r w:rsidR="009440D6" w:rsidRPr="001026E6">
        <w:rPr>
          <w:sz w:val="24"/>
          <w:szCs w:val="24"/>
        </w:rPr>
        <w:t>57</w:t>
      </w:r>
      <w:r w:rsidR="00D45522" w:rsidRPr="001026E6">
        <w:rPr>
          <w:sz w:val="24"/>
          <w:szCs w:val="24"/>
        </w:rPr>
        <w:t xml:space="preserve"> below.  MTFs</w:t>
      </w:r>
      <w:r w:rsidR="009F5AA7" w:rsidRPr="001026E6">
        <w:rPr>
          <w:sz w:val="24"/>
          <w:szCs w:val="24"/>
        </w:rPr>
        <w:t>, however,</w:t>
      </w:r>
      <w:r w:rsidR="003B7AD2" w:rsidRPr="001026E6">
        <w:rPr>
          <w:sz w:val="24"/>
          <w:szCs w:val="24"/>
        </w:rPr>
        <w:t xml:space="preserve"> </w:t>
      </w:r>
      <w:r w:rsidR="00D45522" w:rsidRPr="001026E6">
        <w:rPr>
          <w:sz w:val="24"/>
          <w:szCs w:val="24"/>
        </w:rPr>
        <w:t xml:space="preserve">looking to provide </w:t>
      </w:r>
      <w:r w:rsidR="00D55739" w:rsidRPr="001026E6">
        <w:rPr>
          <w:sz w:val="24"/>
          <w:szCs w:val="24"/>
        </w:rPr>
        <w:t>s</w:t>
      </w:r>
      <w:r w:rsidR="00D45522" w:rsidRPr="001026E6">
        <w:rPr>
          <w:sz w:val="24"/>
          <w:szCs w:val="24"/>
        </w:rPr>
        <w:t>ettlement services for Digital Securities</w:t>
      </w:r>
      <w:r w:rsidR="009F5AA7" w:rsidRPr="001026E6">
        <w:rPr>
          <w:sz w:val="24"/>
          <w:szCs w:val="24"/>
        </w:rPr>
        <w:t xml:space="preserve"> directly will not be able to do so.  </w:t>
      </w:r>
    </w:p>
    <w:p w14:paraId="0CDBA308" w14:textId="77777777" w:rsidR="008E49ED" w:rsidRPr="001026E6" w:rsidRDefault="008E49ED" w:rsidP="008E49ED">
      <w:pPr>
        <w:jc w:val="both"/>
        <w:rPr>
          <w:rFonts w:cs="Helvetica"/>
          <w:sz w:val="24"/>
          <w:szCs w:val="24"/>
        </w:rPr>
      </w:pPr>
    </w:p>
    <w:p w14:paraId="610A20D4" w14:textId="77777777" w:rsidR="00B65984" w:rsidRPr="001026E6" w:rsidRDefault="00462F30" w:rsidP="00B65984">
      <w:pPr>
        <w:pStyle w:val="Heading2"/>
        <w:tabs>
          <w:tab w:val="clear" w:pos="720"/>
          <w:tab w:val="num" w:pos="0"/>
        </w:tabs>
        <w:ind w:left="0" w:firstLine="0"/>
        <w:rPr>
          <w:szCs w:val="24"/>
        </w:rPr>
      </w:pPr>
      <w:bookmarkStart w:id="47" w:name="_Toc18571328"/>
      <w:bookmarkStart w:id="48" w:name="_Toc33443079"/>
      <w:r w:rsidRPr="001026E6">
        <w:rPr>
          <w:szCs w:val="24"/>
        </w:rPr>
        <w:t>Organised Trading Facilities (</w:t>
      </w:r>
      <w:r w:rsidR="00B65984" w:rsidRPr="001026E6">
        <w:rPr>
          <w:szCs w:val="24"/>
        </w:rPr>
        <w:t>OTFs</w:t>
      </w:r>
      <w:r w:rsidRPr="001026E6">
        <w:rPr>
          <w:szCs w:val="24"/>
        </w:rPr>
        <w:t>)</w:t>
      </w:r>
      <w:bookmarkEnd w:id="47"/>
      <w:bookmarkEnd w:id="48"/>
    </w:p>
    <w:p w14:paraId="5C9A4453" w14:textId="77777777" w:rsidR="00B65984" w:rsidRPr="001026E6" w:rsidRDefault="00382559" w:rsidP="00D55739">
      <w:pPr>
        <w:pStyle w:val="ListParagraph"/>
        <w:numPr>
          <w:ilvl w:val="0"/>
          <w:numId w:val="1"/>
        </w:numPr>
        <w:ind w:left="426"/>
        <w:jc w:val="both"/>
        <w:rPr>
          <w:rFonts w:cs="Helvetica"/>
          <w:sz w:val="24"/>
          <w:szCs w:val="24"/>
        </w:rPr>
      </w:pPr>
      <w:r w:rsidRPr="001026E6">
        <w:rPr>
          <w:rFonts w:cs="Helvetica"/>
          <w:sz w:val="24"/>
          <w:szCs w:val="24"/>
        </w:rPr>
        <w:t xml:space="preserve">The regulatory framework for OTFs is similar to that of MTFs, but with certain differences (as set out in COBS Chapter 8).  </w:t>
      </w:r>
      <w:r w:rsidR="00B65984" w:rsidRPr="001026E6">
        <w:rPr>
          <w:rFonts w:cs="Helvetica"/>
          <w:sz w:val="24"/>
          <w:szCs w:val="24"/>
        </w:rPr>
        <w:t xml:space="preserve">While OTFs can operate markets for some Securities (primarily Debentures), it is FSRA policy that </w:t>
      </w:r>
      <w:r w:rsidRPr="001026E6">
        <w:rPr>
          <w:rFonts w:cs="Helvetica"/>
          <w:sz w:val="24"/>
          <w:szCs w:val="24"/>
        </w:rPr>
        <w:t xml:space="preserve">markets for the </w:t>
      </w:r>
      <w:r w:rsidR="00B65984" w:rsidRPr="001026E6">
        <w:rPr>
          <w:rFonts w:cs="Helvetica"/>
          <w:sz w:val="24"/>
          <w:szCs w:val="24"/>
        </w:rPr>
        <w:t xml:space="preserve">trading of Digital Securities </w:t>
      </w:r>
      <w:r w:rsidRPr="001026E6">
        <w:rPr>
          <w:rFonts w:cs="Helvetica"/>
          <w:sz w:val="24"/>
          <w:szCs w:val="24"/>
        </w:rPr>
        <w:t xml:space="preserve">should be operated on a </w:t>
      </w:r>
      <w:r w:rsidR="00B65984" w:rsidRPr="001026E6">
        <w:rPr>
          <w:rFonts w:cs="Helvetica"/>
          <w:sz w:val="24"/>
          <w:szCs w:val="24"/>
        </w:rPr>
        <w:t xml:space="preserve">non-discretionary </w:t>
      </w:r>
      <w:r w:rsidR="00374F0B" w:rsidRPr="001026E6">
        <w:rPr>
          <w:rFonts w:cs="Helvetica"/>
          <w:sz w:val="24"/>
          <w:szCs w:val="24"/>
        </w:rPr>
        <w:t>basis</w:t>
      </w:r>
      <w:r w:rsidR="00B65984" w:rsidRPr="001026E6">
        <w:rPr>
          <w:rFonts w:cs="Helvetica"/>
          <w:sz w:val="24"/>
          <w:szCs w:val="24"/>
        </w:rPr>
        <w:t xml:space="preserve"> (RIEs and MTFs) instead of </w:t>
      </w:r>
      <w:r w:rsidRPr="001026E6">
        <w:rPr>
          <w:rFonts w:cs="Helvetica"/>
          <w:sz w:val="24"/>
          <w:szCs w:val="24"/>
        </w:rPr>
        <w:t>a</w:t>
      </w:r>
      <w:r w:rsidR="00B65984" w:rsidRPr="001026E6">
        <w:rPr>
          <w:rFonts w:cs="Helvetica"/>
          <w:sz w:val="24"/>
          <w:szCs w:val="24"/>
        </w:rPr>
        <w:t xml:space="preserve"> discretionary </w:t>
      </w:r>
      <w:r w:rsidR="00374F0B" w:rsidRPr="001026E6">
        <w:rPr>
          <w:rFonts w:cs="Helvetica"/>
          <w:sz w:val="24"/>
          <w:szCs w:val="24"/>
        </w:rPr>
        <w:t>basis (</w:t>
      </w:r>
      <w:r w:rsidR="00B65984" w:rsidRPr="001026E6">
        <w:rPr>
          <w:rFonts w:cs="Helvetica"/>
          <w:sz w:val="24"/>
          <w:szCs w:val="24"/>
        </w:rPr>
        <w:t>OTF</w:t>
      </w:r>
      <w:r w:rsidR="00374F0B" w:rsidRPr="001026E6">
        <w:rPr>
          <w:rFonts w:cs="Helvetica"/>
          <w:sz w:val="24"/>
          <w:szCs w:val="24"/>
        </w:rPr>
        <w:t>s)</w:t>
      </w:r>
      <w:r w:rsidR="00B65984" w:rsidRPr="001026E6">
        <w:rPr>
          <w:rFonts w:cs="Helvetica"/>
          <w:sz w:val="24"/>
          <w:szCs w:val="24"/>
        </w:rPr>
        <w:t xml:space="preserve">.  </w:t>
      </w:r>
      <w:r w:rsidR="00374F0B" w:rsidRPr="001026E6">
        <w:rPr>
          <w:rFonts w:cs="Helvetica"/>
          <w:sz w:val="24"/>
          <w:szCs w:val="24"/>
        </w:rPr>
        <w:t xml:space="preserve">As a result, the FSRA will not likely allow Digital Securities to be traded on an OTF, and </w:t>
      </w:r>
      <w:r w:rsidR="00B65984" w:rsidRPr="001026E6">
        <w:rPr>
          <w:rFonts w:cs="Helvetica"/>
          <w:sz w:val="24"/>
          <w:szCs w:val="24"/>
        </w:rPr>
        <w:t>will continue to monitor regulatory developments within this space.</w:t>
      </w:r>
      <w:r w:rsidR="00B65984" w:rsidRPr="001026E6" w:rsidDel="00296FF2">
        <w:rPr>
          <w:rFonts w:cs="Helvetica"/>
          <w:sz w:val="24"/>
          <w:szCs w:val="24"/>
        </w:rPr>
        <w:t xml:space="preserve"> </w:t>
      </w:r>
      <w:r w:rsidR="00B65984" w:rsidRPr="001026E6">
        <w:rPr>
          <w:rFonts w:cs="Helvetica"/>
          <w:b/>
          <w:bCs/>
          <w:sz w:val="24"/>
          <w:szCs w:val="24"/>
        </w:rPr>
        <w:t xml:space="preserve">     </w:t>
      </w:r>
    </w:p>
    <w:p w14:paraId="253BFFCB" w14:textId="77777777" w:rsidR="00B65984" w:rsidRPr="001026E6" w:rsidRDefault="00B65984" w:rsidP="00B65984">
      <w:pPr>
        <w:rPr>
          <w:rFonts w:cs="Helvetica"/>
          <w:sz w:val="24"/>
          <w:szCs w:val="24"/>
        </w:rPr>
      </w:pPr>
    </w:p>
    <w:p w14:paraId="09D0C7D8" w14:textId="77777777" w:rsidR="00B65984" w:rsidRPr="001026E6" w:rsidRDefault="00B65984" w:rsidP="00DB114A">
      <w:pPr>
        <w:pStyle w:val="Heading1"/>
        <w:keepLines w:val="0"/>
        <w:spacing w:before="0" w:after="240" w:line="246" w:lineRule="atLeast"/>
        <w:jc w:val="both"/>
        <w:rPr>
          <w:rFonts w:asciiTheme="minorHAnsi" w:hAnsiTheme="minorHAnsi"/>
          <w:sz w:val="24"/>
          <w:szCs w:val="24"/>
        </w:rPr>
      </w:pPr>
      <w:bookmarkStart w:id="49" w:name="_Toc18571329"/>
      <w:bookmarkStart w:id="50" w:name="_Toc33443080"/>
      <w:r w:rsidRPr="001026E6">
        <w:rPr>
          <w:rFonts w:asciiTheme="minorHAnsi" w:hAnsiTheme="minorHAnsi"/>
          <w:sz w:val="24"/>
          <w:szCs w:val="24"/>
        </w:rPr>
        <w:t>DIGITAL SECURITIES SETTLEMENT</w:t>
      </w:r>
      <w:bookmarkEnd w:id="49"/>
      <w:bookmarkEnd w:id="50"/>
      <w:r w:rsidRPr="001026E6">
        <w:rPr>
          <w:rFonts w:asciiTheme="minorHAnsi" w:hAnsiTheme="minorHAnsi"/>
          <w:sz w:val="24"/>
          <w:szCs w:val="24"/>
        </w:rPr>
        <w:t xml:space="preserve"> </w:t>
      </w:r>
    </w:p>
    <w:p w14:paraId="298F6CAE" w14:textId="77777777" w:rsidR="001E602A" w:rsidRPr="001026E6" w:rsidRDefault="004D000E" w:rsidP="00D55739">
      <w:pPr>
        <w:pStyle w:val="ListParagraph"/>
        <w:numPr>
          <w:ilvl w:val="0"/>
          <w:numId w:val="1"/>
        </w:numPr>
        <w:ind w:left="426"/>
        <w:jc w:val="both"/>
        <w:rPr>
          <w:rFonts w:cs="Helvetica"/>
          <w:sz w:val="24"/>
          <w:szCs w:val="24"/>
        </w:rPr>
      </w:pPr>
      <w:r w:rsidRPr="001026E6">
        <w:rPr>
          <w:rFonts w:cs="Helvetica"/>
          <w:sz w:val="24"/>
          <w:szCs w:val="24"/>
        </w:rPr>
        <w:t>This</w:t>
      </w:r>
      <w:r w:rsidR="001E602A" w:rsidRPr="001026E6">
        <w:rPr>
          <w:rFonts w:cs="Helvetica"/>
          <w:sz w:val="24"/>
          <w:szCs w:val="24"/>
        </w:rPr>
        <w:t xml:space="preserve"> section of the Guidance sets out the two broad types of entities that are able to </w:t>
      </w:r>
      <w:r w:rsidR="00D55739" w:rsidRPr="001026E6">
        <w:rPr>
          <w:rFonts w:cs="Helvetica"/>
          <w:sz w:val="24"/>
          <w:szCs w:val="24"/>
        </w:rPr>
        <w:t xml:space="preserve">provide </w:t>
      </w:r>
      <w:r w:rsidR="00066366" w:rsidRPr="001026E6">
        <w:rPr>
          <w:rFonts w:cs="Helvetica"/>
          <w:sz w:val="24"/>
          <w:szCs w:val="24"/>
        </w:rPr>
        <w:t xml:space="preserve">Digital Securities </w:t>
      </w:r>
      <w:r w:rsidR="001E602A" w:rsidRPr="001026E6">
        <w:rPr>
          <w:rFonts w:cs="Helvetica"/>
          <w:sz w:val="24"/>
          <w:szCs w:val="24"/>
        </w:rPr>
        <w:t>settlement facilities</w:t>
      </w:r>
      <w:r w:rsidR="00D55739" w:rsidRPr="001026E6">
        <w:rPr>
          <w:rFonts w:cs="Helvetica"/>
          <w:sz w:val="24"/>
          <w:szCs w:val="24"/>
        </w:rPr>
        <w:t xml:space="preserve"> to RIEs and MTFs</w:t>
      </w:r>
      <w:r w:rsidR="00066366" w:rsidRPr="001026E6">
        <w:rPr>
          <w:rFonts w:cs="Helvetica"/>
          <w:sz w:val="24"/>
          <w:szCs w:val="24"/>
        </w:rPr>
        <w:t>,</w:t>
      </w:r>
      <w:r w:rsidR="001E602A" w:rsidRPr="001026E6">
        <w:rPr>
          <w:rFonts w:cs="Helvetica"/>
          <w:sz w:val="24"/>
          <w:szCs w:val="24"/>
        </w:rPr>
        <w:t xml:space="preserve"> as </w:t>
      </w:r>
      <w:r w:rsidR="00066366" w:rsidRPr="001026E6">
        <w:rPr>
          <w:rFonts w:cs="Helvetica"/>
          <w:sz w:val="24"/>
          <w:szCs w:val="24"/>
        </w:rPr>
        <w:t xml:space="preserve">allowed for </w:t>
      </w:r>
      <w:r w:rsidR="001E602A" w:rsidRPr="001026E6">
        <w:rPr>
          <w:rFonts w:cs="Helvetica"/>
          <w:sz w:val="24"/>
          <w:szCs w:val="24"/>
        </w:rPr>
        <w:t xml:space="preserve">by MIR Rules 3.8 and 4.3.  </w:t>
      </w:r>
      <w:r w:rsidR="003F635D" w:rsidRPr="001026E6">
        <w:rPr>
          <w:rFonts w:cs="Helvetica"/>
          <w:sz w:val="24"/>
          <w:szCs w:val="24"/>
        </w:rPr>
        <w:t xml:space="preserve">In choosing a RCH or DSF to utilise for custody operations (MIR </w:t>
      </w:r>
      <w:r w:rsidR="005129B4" w:rsidRPr="001026E6">
        <w:rPr>
          <w:rFonts w:cs="Helvetica"/>
          <w:sz w:val="24"/>
          <w:szCs w:val="24"/>
        </w:rPr>
        <w:t xml:space="preserve">Rule </w:t>
      </w:r>
      <w:r w:rsidR="003F635D" w:rsidRPr="001026E6">
        <w:rPr>
          <w:rFonts w:cs="Helvetica"/>
          <w:sz w:val="24"/>
          <w:szCs w:val="24"/>
        </w:rPr>
        <w:t xml:space="preserve">2.10) or settlement (MIR </w:t>
      </w:r>
      <w:r w:rsidR="005129B4" w:rsidRPr="001026E6">
        <w:rPr>
          <w:rFonts w:cs="Helvetica"/>
          <w:sz w:val="24"/>
          <w:szCs w:val="24"/>
        </w:rPr>
        <w:t xml:space="preserve">Rule </w:t>
      </w:r>
      <w:r w:rsidR="003F635D" w:rsidRPr="001026E6">
        <w:rPr>
          <w:rFonts w:cs="Helvetica"/>
          <w:sz w:val="24"/>
          <w:szCs w:val="24"/>
        </w:rPr>
        <w:t xml:space="preserve">3.3), a RIE or MTF can only use </w:t>
      </w:r>
      <w:r w:rsidR="00D55739" w:rsidRPr="001026E6">
        <w:rPr>
          <w:rFonts w:cs="Helvetica"/>
          <w:sz w:val="24"/>
          <w:szCs w:val="24"/>
        </w:rPr>
        <w:t xml:space="preserve">a RCH or DSF </w:t>
      </w:r>
      <w:r w:rsidR="003F635D" w:rsidRPr="001026E6">
        <w:rPr>
          <w:rFonts w:cs="Helvetica"/>
          <w:sz w:val="24"/>
          <w:szCs w:val="24"/>
        </w:rPr>
        <w:t xml:space="preserve">when the FSRA has been able to determine that the </w:t>
      </w:r>
      <w:r w:rsidR="00D55739" w:rsidRPr="001026E6">
        <w:rPr>
          <w:rFonts w:cs="Helvetica"/>
          <w:sz w:val="24"/>
          <w:szCs w:val="24"/>
        </w:rPr>
        <w:t>relevant settlement facility</w:t>
      </w:r>
      <w:r w:rsidR="003F635D" w:rsidRPr="001026E6">
        <w:rPr>
          <w:rFonts w:cs="Helvetica"/>
          <w:sz w:val="24"/>
          <w:szCs w:val="24"/>
        </w:rPr>
        <w:t xml:space="preserve"> allows the RIE or MTF to meet its MIR obligations. </w:t>
      </w:r>
      <w:r w:rsidR="001E602A" w:rsidRPr="001026E6">
        <w:rPr>
          <w:rFonts w:cs="Helvetica"/>
          <w:sz w:val="24"/>
          <w:szCs w:val="24"/>
        </w:rPr>
        <w:t xml:space="preserve">Further discussion regarding the FSRA’s policy position and expectations in relation to these entities is set out below.  </w:t>
      </w:r>
    </w:p>
    <w:p w14:paraId="7E49266D" w14:textId="77777777" w:rsidR="00015262" w:rsidRPr="001026E6" w:rsidRDefault="00015262" w:rsidP="001E602A">
      <w:pPr>
        <w:jc w:val="both"/>
        <w:rPr>
          <w:rFonts w:cs="Helvetica"/>
          <w:sz w:val="24"/>
          <w:szCs w:val="24"/>
        </w:rPr>
      </w:pPr>
    </w:p>
    <w:p w14:paraId="57540DEB" w14:textId="77777777" w:rsidR="00DD34DC" w:rsidRPr="001026E6" w:rsidRDefault="00DD34DC" w:rsidP="005A4674">
      <w:pPr>
        <w:pStyle w:val="Heading2"/>
        <w:tabs>
          <w:tab w:val="clear" w:pos="720"/>
          <w:tab w:val="num" w:pos="0"/>
        </w:tabs>
        <w:ind w:left="0" w:firstLine="0"/>
        <w:rPr>
          <w:szCs w:val="24"/>
        </w:rPr>
      </w:pPr>
      <w:bookmarkStart w:id="51" w:name="_Toc18571330"/>
      <w:bookmarkStart w:id="52" w:name="_Toc33443081"/>
      <w:r w:rsidRPr="001026E6">
        <w:rPr>
          <w:szCs w:val="24"/>
        </w:rPr>
        <w:t xml:space="preserve">Recognised Clearing Houses </w:t>
      </w:r>
      <w:r w:rsidR="00107A29" w:rsidRPr="001026E6">
        <w:rPr>
          <w:szCs w:val="24"/>
        </w:rPr>
        <w:t>(RCHs)</w:t>
      </w:r>
      <w:bookmarkEnd w:id="51"/>
      <w:bookmarkEnd w:id="52"/>
      <w:r w:rsidR="005147CE" w:rsidRPr="001026E6">
        <w:rPr>
          <w:szCs w:val="24"/>
        </w:rPr>
        <w:t xml:space="preserve"> </w:t>
      </w:r>
    </w:p>
    <w:p w14:paraId="4EA6E6FB" w14:textId="77777777" w:rsidR="000D7A84" w:rsidRPr="001026E6" w:rsidRDefault="0014468C" w:rsidP="00EA7DF9">
      <w:pPr>
        <w:pStyle w:val="ListParagraph"/>
        <w:numPr>
          <w:ilvl w:val="0"/>
          <w:numId w:val="1"/>
        </w:numPr>
        <w:ind w:left="426"/>
        <w:jc w:val="both"/>
        <w:rPr>
          <w:rFonts w:cs="Helvetica"/>
          <w:sz w:val="24"/>
          <w:szCs w:val="24"/>
        </w:rPr>
      </w:pPr>
      <w:r w:rsidRPr="001026E6">
        <w:rPr>
          <w:rFonts w:cs="Helvetica"/>
          <w:sz w:val="24"/>
          <w:szCs w:val="24"/>
        </w:rPr>
        <w:t xml:space="preserve">Subject to being granted a Recognition Order, </w:t>
      </w:r>
      <w:r w:rsidR="000D7A84" w:rsidRPr="001026E6">
        <w:rPr>
          <w:rFonts w:cs="Helvetica"/>
          <w:sz w:val="24"/>
          <w:szCs w:val="24"/>
        </w:rPr>
        <w:t xml:space="preserve">RCHs </w:t>
      </w:r>
      <w:r w:rsidR="008E7FA0" w:rsidRPr="001026E6">
        <w:rPr>
          <w:rFonts w:cs="Helvetica"/>
          <w:sz w:val="24"/>
          <w:szCs w:val="24"/>
        </w:rPr>
        <w:t>operating with</w:t>
      </w:r>
      <w:r w:rsidRPr="001026E6">
        <w:rPr>
          <w:rFonts w:cs="Helvetica"/>
          <w:sz w:val="24"/>
          <w:szCs w:val="24"/>
        </w:rPr>
        <w:t>in</w:t>
      </w:r>
      <w:r w:rsidR="008E7FA0" w:rsidRPr="001026E6">
        <w:rPr>
          <w:rFonts w:cs="Helvetica"/>
          <w:sz w:val="24"/>
          <w:szCs w:val="24"/>
        </w:rPr>
        <w:t xml:space="preserve"> ADGM are </w:t>
      </w:r>
      <w:r w:rsidRPr="001026E6">
        <w:rPr>
          <w:rFonts w:cs="Helvetica"/>
          <w:sz w:val="24"/>
          <w:szCs w:val="24"/>
        </w:rPr>
        <w:t xml:space="preserve">permitted </w:t>
      </w:r>
      <w:r w:rsidR="008E7FA0" w:rsidRPr="001026E6">
        <w:rPr>
          <w:rFonts w:cs="Helvetica"/>
          <w:sz w:val="24"/>
          <w:szCs w:val="24"/>
        </w:rPr>
        <w:t xml:space="preserve">to </w:t>
      </w:r>
      <w:r w:rsidR="00EA7DF9" w:rsidRPr="001026E6">
        <w:rPr>
          <w:rFonts w:cs="Helvetica"/>
          <w:sz w:val="24"/>
          <w:szCs w:val="24"/>
        </w:rPr>
        <w:t>settle</w:t>
      </w:r>
      <w:r w:rsidR="000D7A84" w:rsidRPr="001026E6">
        <w:rPr>
          <w:rFonts w:cs="Helvetica"/>
          <w:sz w:val="24"/>
          <w:szCs w:val="24"/>
        </w:rPr>
        <w:t xml:space="preserve"> different types of Financial Instruments</w:t>
      </w:r>
      <w:r w:rsidRPr="001026E6">
        <w:rPr>
          <w:rFonts w:cs="Helvetica"/>
          <w:sz w:val="24"/>
          <w:szCs w:val="24"/>
        </w:rPr>
        <w:t xml:space="preserve">, </w:t>
      </w:r>
      <w:r w:rsidR="000D7A84" w:rsidRPr="001026E6">
        <w:rPr>
          <w:rFonts w:cs="Helvetica"/>
          <w:sz w:val="24"/>
          <w:szCs w:val="24"/>
        </w:rPr>
        <w:t>including Digital Securities</w:t>
      </w:r>
      <w:r w:rsidR="008E7FA0" w:rsidRPr="001026E6">
        <w:rPr>
          <w:rFonts w:cs="Helvetica"/>
          <w:sz w:val="24"/>
          <w:szCs w:val="24"/>
        </w:rPr>
        <w:t xml:space="preserve">.  </w:t>
      </w:r>
      <w:r w:rsidR="000D7A84" w:rsidRPr="001026E6">
        <w:rPr>
          <w:rFonts w:cs="Helvetica"/>
          <w:sz w:val="24"/>
          <w:szCs w:val="24"/>
        </w:rPr>
        <w:t>A RCH must demonstrate to the FSRA that it is able to meet the Recognition Requirements as set out in Market Infrastructure Rules (MIR) Chapter 2 (Rules Applicable to All Recognised Bodies) and Chapter 4 (Rules Applicable to R</w:t>
      </w:r>
      <w:r w:rsidR="00107A29" w:rsidRPr="001026E6">
        <w:rPr>
          <w:rFonts w:cs="Helvetica"/>
          <w:sz w:val="24"/>
          <w:szCs w:val="24"/>
        </w:rPr>
        <w:t>CHs</w:t>
      </w:r>
      <w:r w:rsidR="000D7A84" w:rsidRPr="001026E6">
        <w:rPr>
          <w:rFonts w:cs="Helvetica"/>
          <w:sz w:val="24"/>
          <w:szCs w:val="24"/>
        </w:rPr>
        <w:t>) before a Recognition Order can be granted by the FSRA</w:t>
      </w:r>
      <w:r w:rsidR="008E7FA0" w:rsidRPr="001026E6">
        <w:rPr>
          <w:rFonts w:cs="Helvetica"/>
          <w:sz w:val="24"/>
          <w:szCs w:val="24"/>
        </w:rPr>
        <w:t xml:space="preserve">.  </w:t>
      </w:r>
      <w:r w:rsidR="000D7A84" w:rsidRPr="001026E6">
        <w:rPr>
          <w:rFonts w:cs="Helvetica"/>
          <w:sz w:val="24"/>
          <w:szCs w:val="24"/>
        </w:rPr>
        <w:t>Once it has been granted a Recognition Order, a RCH must continue to comply with the Recognition Requirements (contained with</w:t>
      </w:r>
      <w:r w:rsidRPr="001026E6">
        <w:rPr>
          <w:rFonts w:cs="Helvetica"/>
          <w:sz w:val="24"/>
          <w:szCs w:val="24"/>
        </w:rPr>
        <w:t>in</w:t>
      </w:r>
      <w:r w:rsidR="000D7A84" w:rsidRPr="001026E6">
        <w:rPr>
          <w:rFonts w:cs="Helvetica"/>
          <w:sz w:val="24"/>
          <w:szCs w:val="24"/>
        </w:rPr>
        <w:t xml:space="preserve"> MIR Chapters 2 and 4) on an ongoing basis.</w:t>
      </w:r>
    </w:p>
    <w:p w14:paraId="73F819A0" w14:textId="77777777" w:rsidR="00296FF2" w:rsidRPr="001026E6" w:rsidRDefault="00296FF2" w:rsidP="00B17D5B">
      <w:pPr>
        <w:pStyle w:val="ListParagraph"/>
        <w:ind w:left="426"/>
        <w:jc w:val="both"/>
        <w:rPr>
          <w:rFonts w:cs="Helvetica"/>
          <w:sz w:val="24"/>
          <w:szCs w:val="24"/>
        </w:rPr>
      </w:pPr>
    </w:p>
    <w:p w14:paraId="0FFC054A" w14:textId="77777777" w:rsidR="00E97E44" w:rsidRPr="001026E6" w:rsidRDefault="00E97E44" w:rsidP="00242CC9">
      <w:pPr>
        <w:pStyle w:val="ListParagraph"/>
        <w:numPr>
          <w:ilvl w:val="0"/>
          <w:numId w:val="1"/>
        </w:numPr>
        <w:ind w:left="426"/>
        <w:jc w:val="both"/>
        <w:rPr>
          <w:rFonts w:cs="Helvetica"/>
          <w:i/>
          <w:iCs/>
          <w:sz w:val="24"/>
          <w:szCs w:val="24"/>
        </w:rPr>
      </w:pPr>
      <w:r w:rsidRPr="001026E6">
        <w:rPr>
          <w:rFonts w:cs="Helvetica"/>
          <w:sz w:val="24"/>
          <w:szCs w:val="24"/>
        </w:rPr>
        <w:t>P</w:t>
      </w:r>
      <w:r w:rsidR="00F33830" w:rsidRPr="001026E6">
        <w:rPr>
          <w:rFonts w:cs="Helvetica"/>
          <w:sz w:val="24"/>
          <w:szCs w:val="24"/>
        </w:rPr>
        <w:t>latforms allowing the trading of Digital Securities</w:t>
      </w:r>
      <w:r w:rsidR="00795BB8" w:rsidRPr="001026E6">
        <w:rPr>
          <w:rFonts w:cs="Helvetica"/>
          <w:sz w:val="24"/>
          <w:szCs w:val="24"/>
        </w:rPr>
        <w:t xml:space="preserve"> </w:t>
      </w:r>
      <w:r w:rsidR="00242CC9" w:rsidRPr="001026E6">
        <w:rPr>
          <w:rFonts w:cs="Helvetica"/>
          <w:sz w:val="24"/>
          <w:szCs w:val="24"/>
        </w:rPr>
        <w:t xml:space="preserve">(RIEs and MTFs) </w:t>
      </w:r>
      <w:r w:rsidR="00795BB8" w:rsidRPr="001026E6">
        <w:rPr>
          <w:rFonts w:cs="Helvetica"/>
          <w:sz w:val="24"/>
          <w:szCs w:val="24"/>
        </w:rPr>
        <w:t xml:space="preserve">may engage the services of a RCH operating in the ADGM. </w:t>
      </w:r>
      <w:r w:rsidR="00066366" w:rsidRPr="001026E6">
        <w:rPr>
          <w:rFonts w:cs="Helvetica"/>
          <w:sz w:val="24"/>
          <w:szCs w:val="24"/>
        </w:rPr>
        <w:t>Subject to meeting the Recognition Requirements set out in MIR Chapters 2 and 4, t</w:t>
      </w:r>
      <w:r w:rsidR="00795BB8" w:rsidRPr="001026E6">
        <w:rPr>
          <w:rFonts w:cs="Helvetica"/>
          <w:sz w:val="24"/>
          <w:szCs w:val="24"/>
        </w:rPr>
        <w:t xml:space="preserve">he FSRA </w:t>
      </w:r>
      <w:r w:rsidR="00066366" w:rsidRPr="001026E6">
        <w:rPr>
          <w:rFonts w:cs="Helvetica"/>
          <w:sz w:val="24"/>
          <w:szCs w:val="24"/>
        </w:rPr>
        <w:t>may allow</w:t>
      </w:r>
      <w:r w:rsidR="00795BB8" w:rsidRPr="001026E6">
        <w:rPr>
          <w:rFonts w:cs="Helvetica"/>
          <w:sz w:val="24"/>
          <w:szCs w:val="24"/>
        </w:rPr>
        <w:t xml:space="preserve"> R</w:t>
      </w:r>
      <w:r w:rsidR="00107A29" w:rsidRPr="001026E6">
        <w:rPr>
          <w:rFonts w:cs="Helvetica"/>
          <w:sz w:val="24"/>
          <w:szCs w:val="24"/>
        </w:rPr>
        <w:t>CH</w:t>
      </w:r>
      <w:r w:rsidR="00795BB8" w:rsidRPr="001026E6">
        <w:rPr>
          <w:rFonts w:cs="Helvetica"/>
          <w:sz w:val="24"/>
          <w:szCs w:val="24"/>
        </w:rPr>
        <w:t xml:space="preserve">s </w:t>
      </w:r>
      <w:r w:rsidR="00066366" w:rsidRPr="001026E6">
        <w:rPr>
          <w:rFonts w:cs="Helvetica"/>
          <w:sz w:val="24"/>
          <w:szCs w:val="24"/>
        </w:rPr>
        <w:t>to use</w:t>
      </w:r>
      <w:r w:rsidR="00795BB8" w:rsidRPr="001026E6">
        <w:rPr>
          <w:rFonts w:cs="Helvetica"/>
          <w:sz w:val="24"/>
          <w:szCs w:val="24"/>
        </w:rPr>
        <w:t xml:space="preserve"> D</w:t>
      </w:r>
      <w:r w:rsidR="00066366" w:rsidRPr="001026E6">
        <w:rPr>
          <w:rFonts w:cs="Helvetica"/>
          <w:sz w:val="24"/>
          <w:szCs w:val="24"/>
        </w:rPr>
        <w:t>LT platforms</w:t>
      </w:r>
      <w:r w:rsidR="00795BB8" w:rsidRPr="001026E6">
        <w:rPr>
          <w:rFonts w:cs="Helvetica"/>
          <w:sz w:val="24"/>
          <w:szCs w:val="24"/>
        </w:rPr>
        <w:t xml:space="preserve">, or </w:t>
      </w:r>
      <w:r w:rsidR="00066366" w:rsidRPr="001026E6">
        <w:rPr>
          <w:rFonts w:cs="Helvetica"/>
          <w:sz w:val="24"/>
          <w:szCs w:val="24"/>
        </w:rPr>
        <w:t xml:space="preserve">conventional clearing/settlement </w:t>
      </w:r>
      <w:r w:rsidR="00795BB8" w:rsidRPr="001026E6">
        <w:rPr>
          <w:rFonts w:cs="Helvetica"/>
          <w:sz w:val="24"/>
          <w:szCs w:val="24"/>
        </w:rPr>
        <w:t>technolog</w:t>
      </w:r>
      <w:r w:rsidR="00066366" w:rsidRPr="001026E6">
        <w:rPr>
          <w:rFonts w:cs="Helvetica"/>
          <w:sz w:val="24"/>
          <w:szCs w:val="24"/>
        </w:rPr>
        <w:t>ies</w:t>
      </w:r>
      <w:r w:rsidR="00242CC9" w:rsidRPr="001026E6">
        <w:rPr>
          <w:rFonts w:cs="Helvetica"/>
          <w:sz w:val="24"/>
          <w:szCs w:val="24"/>
        </w:rPr>
        <w:t xml:space="preserve">. The FSRA </w:t>
      </w:r>
      <w:r w:rsidRPr="001026E6">
        <w:rPr>
          <w:rFonts w:cs="Helvetica"/>
          <w:sz w:val="24"/>
          <w:szCs w:val="24"/>
        </w:rPr>
        <w:t xml:space="preserve">remains technology agnostic in its approach to the technology used by </w:t>
      </w:r>
      <w:r w:rsidR="00242CC9" w:rsidRPr="001026E6">
        <w:rPr>
          <w:rFonts w:cs="Helvetica"/>
          <w:sz w:val="24"/>
          <w:szCs w:val="24"/>
        </w:rPr>
        <w:t>RCHs</w:t>
      </w:r>
      <w:r w:rsidRPr="001026E6">
        <w:rPr>
          <w:rFonts w:cs="Helvetica"/>
          <w:sz w:val="24"/>
          <w:szCs w:val="24"/>
        </w:rPr>
        <w:t>.</w:t>
      </w:r>
    </w:p>
    <w:p w14:paraId="5263AC97" w14:textId="77777777" w:rsidR="004D000E" w:rsidRPr="001026E6" w:rsidRDefault="004D000E" w:rsidP="004D000E">
      <w:pPr>
        <w:pStyle w:val="ListParagraph"/>
        <w:rPr>
          <w:rFonts w:cs="Helvetica"/>
          <w:i/>
          <w:iCs/>
          <w:sz w:val="24"/>
          <w:szCs w:val="24"/>
        </w:rPr>
      </w:pPr>
    </w:p>
    <w:p w14:paraId="54E10C59" w14:textId="77777777" w:rsidR="004D000E" w:rsidRPr="001026E6" w:rsidRDefault="00242CC9" w:rsidP="00242CC9">
      <w:pPr>
        <w:pStyle w:val="ListParagraph"/>
        <w:numPr>
          <w:ilvl w:val="0"/>
          <w:numId w:val="1"/>
        </w:numPr>
        <w:ind w:left="426"/>
        <w:jc w:val="both"/>
        <w:rPr>
          <w:rFonts w:cs="Helvetica"/>
          <w:i/>
          <w:iCs/>
          <w:sz w:val="24"/>
          <w:szCs w:val="24"/>
        </w:rPr>
      </w:pPr>
      <w:r w:rsidRPr="001026E6">
        <w:rPr>
          <w:rFonts w:cs="Helvetica"/>
          <w:sz w:val="24"/>
          <w:szCs w:val="24"/>
        </w:rPr>
        <w:t xml:space="preserve">Within ADGM, </w:t>
      </w:r>
      <w:r w:rsidR="004D000E" w:rsidRPr="001026E6">
        <w:rPr>
          <w:rFonts w:cs="Helvetica"/>
          <w:sz w:val="24"/>
          <w:szCs w:val="24"/>
        </w:rPr>
        <w:t>RCH</w:t>
      </w:r>
      <w:r w:rsidRPr="001026E6">
        <w:rPr>
          <w:rFonts w:cs="Helvetica"/>
          <w:sz w:val="24"/>
          <w:szCs w:val="24"/>
        </w:rPr>
        <w:t>s are to be operated independently from a RIE/MTF, requiring a RCH</w:t>
      </w:r>
      <w:r w:rsidR="004D000E" w:rsidRPr="001026E6">
        <w:rPr>
          <w:rFonts w:cs="Helvetica"/>
          <w:sz w:val="24"/>
          <w:szCs w:val="24"/>
        </w:rPr>
        <w:t xml:space="preserve"> to </w:t>
      </w:r>
      <w:r w:rsidRPr="001026E6">
        <w:rPr>
          <w:rFonts w:cs="Helvetica"/>
          <w:sz w:val="24"/>
          <w:szCs w:val="24"/>
        </w:rPr>
        <w:t xml:space="preserve">be </w:t>
      </w:r>
      <w:r w:rsidR="004D000E" w:rsidRPr="001026E6">
        <w:rPr>
          <w:rFonts w:cs="Helvetica"/>
          <w:sz w:val="24"/>
          <w:szCs w:val="24"/>
        </w:rPr>
        <w:t>incorporate</w:t>
      </w:r>
      <w:r w:rsidRPr="001026E6">
        <w:rPr>
          <w:rFonts w:cs="Helvetica"/>
          <w:sz w:val="24"/>
          <w:szCs w:val="24"/>
        </w:rPr>
        <w:t>d</w:t>
      </w:r>
      <w:r w:rsidR="004D000E" w:rsidRPr="001026E6">
        <w:rPr>
          <w:rFonts w:cs="Helvetica"/>
          <w:sz w:val="24"/>
          <w:szCs w:val="24"/>
        </w:rPr>
        <w:t xml:space="preserve"> </w:t>
      </w:r>
      <w:r w:rsidRPr="001026E6">
        <w:rPr>
          <w:rFonts w:cs="Helvetica"/>
          <w:sz w:val="24"/>
          <w:szCs w:val="24"/>
        </w:rPr>
        <w:t xml:space="preserve">as </w:t>
      </w:r>
      <w:r w:rsidR="004D000E" w:rsidRPr="001026E6">
        <w:rPr>
          <w:rFonts w:cs="Helvetica"/>
          <w:sz w:val="24"/>
          <w:szCs w:val="24"/>
        </w:rPr>
        <w:t xml:space="preserve">a stand-alone, independent legal entity for the purposes of providing </w:t>
      </w:r>
      <w:r w:rsidRPr="001026E6">
        <w:rPr>
          <w:rFonts w:cs="Helvetica"/>
          <w:sz w:val="24"/>
          <w:szCs w:val="24"/>
        </w:rPr>
        <w:t>settlement services</w:t>
      </w:r>
      <w:r w:rsidR="004D000E" w:rsidRPr="001026E6">
        <w:rPr>
          <w:rFonts w:cs="Helvetica"/>
          <w:sz w:val="24"/>
          <w:szCs w:val="24"/>
        </w:rPr>
        <w:t xml:space="preserve">.  </w:t>
      </w:r>
    </w:p>
    <w:p w14:paraId="58A396F6" w14:textId="77777777" w:rsidR="00795BB8" w:rsidRPr="001026E6" w:rsidRDefault="00795BB8" w:rsidP="00E97E44">
      <w:pPr>
        <w:pStyle w:val="ListParagraph"/>
        <w:ind w:left="426"/>
        <w:jc w:val="both"/>
      </w:pPr>
    </w:p>
    <w:p w14:paraId="16E33309" w14:textId="77777777" w:rsidR="00795BB8" w:rsidRPr="001026E6" w:rsidRDefault="00E97E44" w:rsidP="00242CC9">
      <w:pPr>
        <w:pStyle w:val="ListParagraph"/>
        <w:numPr>
          <w:ilvl w:val="0"/>
          <w:numId w:val="1"/>
        </w:numPr>
        <w:ind w:left="426"/>
        <w:jc w:val="both"/>
        <w:rPr>
          <w:rFonts w:cs="Helvetica"/>
          <w:sz w:val="24"/>
          <w:szCs w:val="24"/>
        </w:rPr>
      </w:pPr>
      <w:r w:rsidRPr="001026E6">
        <w:rPr>
          <w:rFonts w:cs="Helvetica"/>
          <w:sz w:val="24"/>
          <w:szCs w:val="24"/>
        </w:rPr>
        <w:t>While acceptable</w:t>
      </w:r>
      <w:r w:rsidR="00242CC9" w:rsidRPr="001026E6">
        <w:rPr>
          <w:rFonts w:cs="Helvetica"/>
          <w:sz w:val="24"/>
          <w:szCs w:val="24"/>
        </w:rPr>
        <w:t xml:space="preserve"> for use for the purposes of MIR Rule</w:t>
      </w:r>
      <w:r w:rsidR="003F635D" w:rsidRPr="001026E6">
        <w:rPr>
          <w:rFonts w:cs="Helvetica"/>
          <w:sz w:val="24"/>
          <w:szCs w:val="24"/>
        </w:rPr>
        <w:t>s 2.10 and</w:t>
      </w:r>
      <w:r w:rsidR="00242CC9" w:rsidRPr="001026E6">
        <w:rPr>
          <w:rFonts w:cs="Helvetica"/>
          <w:sz w:val="24"/>
          <w:szCs w:val="24"/>
        </w:rPr>
        <w:t xml:space="preserve"> 3.8</w:t>
      </w:r>
      <w:r w:rsidRPr="001026E6">
        <w:rPr>
          <w:rFonts w:cs="Helvetica"/>
          <w:sz w:val="24"/>
          <w:szCs w:val="24"/>
        </w:rPr>
        <w:t xml:space="preserve">, the FSRA does not </w:t>
      </w:r>
      <w:r w:rsidR="00795BB8" w:rsidRPr="001026E6">
        <w:rPr>
          <w:rFonts w:cs="Helvetica"/>
          <w:sz w:val="24"/>
          <w:szCs w:val="24"/>
        </w:rPr>
        <w:t xml:space="preserve">anticipate that </w:t>
      </w:r>
      <w:r w:rsidRPr="001026E6">
        <w:rPr>
          <w:rFonts w:cs="Helvetica"/>
          <w:sz w:val="24"/>
          <w:szCs w:val="24"/>
        </w:rPr>
        <w:t>RCH</w:t>
      </w:r>
      <w:r w:rsidR="00242CC9" w:rsidRPr="001026E6">
        <w:rPr>
          <w:rFonts w:cs="Helvetica"/>
          <w:sz w:val="24"/>
          <w:szCs w:val="24"/>
        </w:rPr>
        <w:t>s</w:t>
      </w:r>
      <w:r w:rsidRPr="001026E6">
        <w:rPr>
          <w:rFonts w:cs="Helvetica"/>
          <w:sz w:val="24"/>
          <w:szCs w:val="24"/>
        </w:rPr>
        <w:t xml:space="preserve"> will </w:t>
      </w:r>
      <w:r w:rsidR="00795BB8" w:rsidRPr="001026E6">
        <w:rPr>
          <w:rFonts w:cs="Helvetica"/>
          <w:sz w:val="24"/>
          <w:szCs w:val="24"/>
        </w:rPr>
        <w:t xml:space="preserve">be the prevalent type of </w:t>
      </w:r>
      <w:r w:rsidRPr="001026E6">
        <w:rPr>
          <w:rFonts w:cs="Helvetica"/>
          <w:sz w:val="24"/>
          <w:szCs w:val="24"/>
        </w:rPr>
        <w:t xml:space="preserve">entity used for </w:t>
      </w:r>
      <w:r w:rsidR="00795BB8" w:rsidRPr="001026E6">
        <w:rPr>
          <w:rFonts w:cs="Helvetica"/>
          <w:sz w:val="24"/>
          <w:szCs w:val="24"/>
        </w:rPr>
        <w:t xml:space="preserve">facilitating </w:t>
      </w:r>
      <w:r w:rsidR="003F635D" w:rsidRPr="001026E6">
        <w:rPr>
          <w:rFonts w:cs="Helvetica"/>
          <w:sz w:val="24"/>
          <w:szCs w:val="24"/>
        </w:rPr>
        <w:t xml:space="preserve">custody </w:t>
      </w:r>
      <w:r w:rsidR="00795BB8" w:rsidRPr="001026E6">
        <w:rPr>
          <w:rFonts w:cs="Helvetica"/>
          <w:sz w:val="24"/>
          <w:szCs w:val="24"/>
        </w:rPr>
        <w:t xml:space="preserve">and settlement functions </w:t>
      </w:r>
      <w:r w:rsidRPr="001026E6">
        <w:rPr>
          <w:rFonts w:cs="Helvetica"/>
          <w:sz w:val="24"/>
          <w:szCs w:val="24"/>
        </w:rPr>
        <w:t xml:space="preserve">in relation to </w:t>
      </w:r>
      <w:r w:rsidR="00795BB8" w:rsidRPr="001026E6">
        <w:rPr>
          <w:rFonts w:cs="Helvetica"/>
          <w:sz w:val="24"/>
          <w:szCs w:val="24"/>
        </w:rPr>
        <w:t>Digital Securities</w:t>
      </w:r>
      <w:r w:rsidR="00242CC9" w:rsidRPr="001026E6">
        <w:rPr>
          <w:rFonts w:cs="Helvetica"/>
          <w:sz w:val="24"/>
          <w:szCs w:val="24"/>
        </w:rPr>
        <w:t>,</w:t>
      </w:r>
      <w:r w:rsidR="00795BB8" w:rsidRPr="001026E6">
        <w:rPr>
          <w:rFonts w:cs="Helvetica"/>
          <w:sz w:val="24"/>
          <w:szCs w:val="24"/>
        </w:rPr>
        <w:t xml:space="preserve"> </w:t>
      </w:r>
      <w:r w:rsidRPr="001026E6">
        <w:rPr>
          <w:rFonts w:cs="Helvetica"/>
          <w:sz w:val="24"/>
          <w:szCs w:val="24"/>
        </w:rPr>
        <w:t xml:space="preserve">given </w:t>
      </w:r>
      <w:r w:rsidR="00242CC9" w:rsidRPr="001026E6">
        <w:rPr>
          <w:rFonts w:cs="Helvetica"/>
          <w:sz w:val="24"/>
          <w:szCs w:val="24"/>
        </w:rPr>
        <w:t xml:space="preserve">the costs related to establishing/capitalising a RCH and </w:t>
      </w:r>
      <w:r w:rsidRPr="001026E6">
        <w:rPr>
          <w:rFonts w:cs="Helvetica"/>
          <w:sz w:val="24"/>
          <w:szCs w:val="24"/>
        </w:rPr>
        <w:t xml:space="preserve">that </w:t>
      </w:r>
      <w:r w:rsidR="00242CC9" w:rsidRPr="001026E6">
        <w:rPr>
          <w:rFonts w:cs="Helvetica"/>
          <w:sz w:val="24"/>
          <w:szCs w:val="24"/>
        </w:rPr>
        <w:t xml:space="preserve">mechanisms for close to </w:t>
      </w:r>
      <w:r w:rsidR="00242CC9" w:rsidRPr="001026E6">
        <w:rPr>
          <w:rFonts w:cs="Helvetica"/>
          <w:sz w:val="24"/>
          <w:szCs w:val="24"/>
        </w:rPr>
        <w:lastRenderedPageBreak/>
        <w:t>real-time</w:t>
      </w:r>
      <w:r w:rsidR="00795BB8" w:rsidRPr="001026E6">
        <w:rPr>
          <w:rFonts w:cs="Helvetica"/>
          <w:sz w:val="24"/>
          <w:szCs w:val="24"/>
        </w:rPr>
        <w:t xml:space="preserve"> settlement may </w:t>
      </w:r>
      <w:r w:rsidR="00EA7DF9" w:rsidRPr="001026E6">
        <w:rPr>
          <w:rFonts w:cs="Helvetica"/>
          <w:sz w:val="24"/>
          <w:szCs w:val="24"/>
        </w:rPr>
        <w:t xml:space="preserve">potentially </w:t>
      </w:r>
      <w:r w:rsidR="00795BB8" w:rsidRPr="001026E6">
        <w:rPr>
          <w:rFonts w:cs="Helvetica"/>
          <w:sz w:val="24"/>
          <w:szCs w:val="24"/>
        </w:rPr>
        <w:t xml:space="preserve">remove the need for </w:t>
      </w:r>
      <w:r w:rsidR="00242CC9" w:rsidRPr="001026E6">
        <w:rPr>
          <w:rFonts w:cs="Helvetica"/>
          <w:sz w:val="24"/>
          <w:szCs w:val="24"/>
        </w:rPr>
        <w:t>considerable parts of RCH functionality</w:t>
      </w:r>
      <w:r w:rsidR="00795BB8" w:rsidRPr="001026E6">
        <w:rPr>
          <w:rFonts w:cs="Helvetica"/>
          <w:sz w:val="24"/>
          <w:szCs w:val="24"/>
        </w:rPr>
        <w:t>.</w:t>
      </w:r>
      <w:r w:rsidR="003B3D6E" w:rsidRPr="001026E6">
        <w:rPr>
          <w:rFonts w:cs="Helvetica"/>
          <w:sz w:val="24"/>
          <w:szCs w:val="24"/>
        </w:rPr>
        <w:t xml:space="preserve">  </w:t>
      </w:r>
    </w:p>
    <w:p w14:paraId="2529A7AE" w14:textId="77777777" w:rsidR="00DD34DC" w:rsidRPr="001026E6" w:rsidRDefault="00DD34DC" w:rsidP="00DD34DC">
      <w:pPr>
        <w:ind w:left="-27"/>
        <w:jc w:val="both"/>
        <w:rPr>
          <w:rFonts w:cs="Helvetica"/>
          <w:sz w:val="24"/>
          <w:szCs w:val="24"/>
        </w:rPr>
      </w:pPr>
    </w:p>
    <w:p w14:paraId="4A1275A8" w14:textId="77777777" w:rsidR="00AD1918" w:rsidRPr="001026E6" w:rsidRDefault="00AD1918" w:rsidP="00462F30">
      <w:pPr>
        <w:pStyle w:val="Heading2"/>
        <w:tabs>
          <w:tab w:val="clear" w:pos="720"/>
          <w:tab w:val="num" w:pos="0"/>
        </w:tabs>
        <w:ind w:left="0" w:firstLine="0"/>
        <w:rPr>
          <w:szCs w:val="24"/>
        </w:rPr>
      </w:pPr>
      <w:bookmarkStart w:id="53" w:name="_Toc18571331"/>
      <w:bookmarkStart w:id="54" w:name="_Toc33443082"/>
      <w:r w:rsidRPr="001026E6">
        <w:rPr>
          <w:szCs w:val="24"/>
        </w:rPr>
        <w:t>Digital Settlement Facilities</w:t>
      </w:r>
      <w:r w:rsidR="00550481" w:rsidRPr="001026E6">
        <w:rPr>
          <w:szCs w:val="24"/>
        </w:rPr>
        <w:t xml:space="preserve"> (DSFs)</w:t>
      </w:r>
      <w:bookmarkEnd w:id="53"/>
      <w:bookmarkEnd w:id="54"/>
      <w:r w:rsidR="00C32F2F" w:rsidRPr="001026E6">
        <w:rPr>
          <w:szCs w:val="24"/>
        </w:rPr>
        <w:t xml:space="preserve"> </w:t>
      </w:r>
    </w:p>
    <w:p w14:paraId="413897C1" w14:textId="77777777" w:rsidR="004C02FD" w:rsidRPr="001026E6" w:rsidRDefault="004C02FD" w:rsidP="00EA7DF9">
      <w:pPr>
        <w:pStyle w:val="ListParagraph"/>
        <w:numPr>
          <w:ilvl w:val="0"/>
          <w:numId w:val="1"/>
        </w:numPr>
        <w:ind w:left="426"/>
        <w:jc w:val="both"/>
        <w:rPr>
          <w:rFonts w:cs="Helvetica"/>
          <w:sz w:val="24"/>
          <w:szCs w:val="24"/>
        </w:rPr>
      </w:pPr>
      <w:r w:rsidRPr="001026E6">
        <w:rPr>
          <w:rFonts w:cs="Helvetica"/>
          <w:sz w:val="24"/>
          <w:szCs w:val="24"/>
        </w:rPr>
        <w:t xml:space="preserve">For the purposes of this Guidance and </w:t>
      </w:r>
      <w:r w:rsidR="00EA7DF9" w:rsidRPr="001026E6">
        <w:rPr>
          <w:rFonts w:cs="Helvetica"/>
          <w:sz w:val="24"/>
          <w:szCs w:val="24"/>
        </w:rPr>
        <w:t xml:space="preserve">distinct from </w:t>
      </w:r>
      <w:r w:rsidRPr="001026E6">
        <w:rPr>
          <w:rFonts w:cs="Helvetica"/>
          <w:sz w:val="24"/>
          <w:szCs w:val="24"/>
        </w:rPr>
        <w:t>RCH</w:t>
      </w:r>
      <w:r w:rsidR="00EA7DF9" w:rsidRPr="001026E6">
        <w:rPr>
          <w:rFonts w:cs="Helvetica"/>
          <w:sz w:val="24"/>
          <w:szCs w:val="24"/>
        </w:rPr>
        <w:t>s</w:t>
      </w:r>
      <w:r w:rsidRPr="001026E6">
        <w:rPr>
          <w:rFonts w:cs="Helvetica"/>
          <w:sz w:val="24"/>
          <w:szCs w:val="24"/>
        </w:rPr>
        <w:t>, the FSRA will consider</w:t>
      </w:r>
      <w:r w:rsidR="00EA7DF9" w:rsidRPr="001026E6">
        <w:rPr>
          <w:rFonts w:cs="Helvetica"/>
          <w:sz w:val="24"/>
          <w:szCs w:val="24"/>
        </w:rPr>
        <w:t xml:space="preserve"> DSFs suitable for the purposes of </w:t>
      </w:r>
      <w:r w:rsidRPr="001026E6">
        <w:rPr>
          <w:rFonts w:cs="Helvetica"/>
          <w:sz w:val="24"/>
          <w:szCs w:val="24"/>
        </w:rPr>
        <w:t>settlement (MIR Rule 3.</w:t>
      </w:r>
      <w:r w:rsidR="000B2DDC" w:rsidRPr="001026E6">
        <w:rPr>
          <w:rFonts w:cs="Helvetica"/>
          <w:sz w:val="24"/>
          <w:szCs w:val="24"/>
        </w:rPr>
        <w:t>8</w:t>
      </w:r>
      <w:r w:rsidRPr="001026E6">
        <w:rPr>
          <w:rFonts w:cs="Helvetica"/>
          <w:sz w:val="24"/>
          <w:szCs w:val="24"/>
        </w:rPr>
        <w:t>) and custody (MIR Rule 2.10) of Digital Securities. A DSF</w:t>
      </w:r>
      <w:r w:rsidR="00EA7DF9" w:rsidRPr="001026E6">
        <w:rPr>
          <w:rFonts w:cs="Helvetica"/>
          <w:sz w:val="24"/>
          <w:szCs w:val="24"/>
        </w:rPr>
        <w:t xml:space="preserve">, holding an FSP for Providing Custody, </w:t>
      </w:r>
      <w:r w:rsidRPr="001026E6">
        <w:rPr>
          <w:rFonts w:cs="Helvetica"/>
          <w:sz w:val="24"/>
          <w:szCs w:val="24"/>
        </w:rPr>
        <w:t>may provide custody and settlement services in Digital Securities for RIEs and MTFs (as applicable).</w:t>
      </w:r>
      <w:r w:rsidR="006C7E0D" w:rsidRPr="001026E6">
        <w:rPr>
          <w:rFonts w:cs="Helvetica"/>
          <w:sz w:val="24"/>
          <w:szCs w:val="24"/>
        </w:rPr>
        <w:t xml:space="preserve">  </w:t>
      </w:r>
      <w:r w:rsidRPr="001026E6">
        <w:rPr>
          <w:rFonts w:cs="Helvetica"/>
          <w:sz w:val="24"/>
          <w:szCs w:val="24"/>
        </w:rPr>
        <w:t>Therefore, for the purposes of custody and settlement of Digital Securities, the arrangements that a RIE or MTF would normally have in place with a RCH can be replaced with arrangements provided by a DSF, provided that certain requirements, as described in this section, are met.</w:t>
      </w:r>
    </w:p>
    <w:p w14:paraId="3322AC45" w14:textId="77777777" w:rsidR="004C02FD" w:rsidRPr="001026E6" w:rsidRDefault="004C02FD" w:rsidP="00F01062">
      <w:pPr>
        <w:pStyle w:val="ListParagraph"/>
        <w:ind w:left="426"/>
        <w:jc w:val="both"/>
        <w:rPr>
          <w:rFonts w:cs="Helvetica"/>
          <w:sz w:val="24"/>
          <w:szCs w:val="24"/>
        </w:rPr>
      </w:pPr>
    </w:p>
    <w:p w14:paraId="54378EC9" w14:textId="77777777" w:rsidR="00316FB4" w:rsidRPr="001026E6" w:rsidRDefault="00B8050B" w:rsidP="0089054A">
      <w:pPr>
        <w:pStyle w:val="ListParagraph"/>
        <w:numPr>
          <w:ilvl w:val="0"/>
          <w:numId w:val="1"/>
        </w:numPr>
        <w:ind w:left="426"/>
        <w:jc w:val="both"/>
        <w:rPr>
          <w:rFonts w:cs="Helvetica"/>
          <w:sz w:val="24"/>
          <w:szCs w:val="24"/>
        </w:rPr>
      </w:pPr>
      <w:r w:rsidRPr="001026E6">
        <w:rPr>
          <w:rFonts w:cs="Helvetica"/>
          <w:sz w:val="24"/>
          <w:szCs w:val="24"/>
        </w:rPr>
        <w:t>Pursuant to MIR Rule 3.8</w:t>
      </w:r>
      <w:r w:rsidR="00316FB4" w:rsidRPr="001026E6">
        <w:rPr>
          <w:rFonts w:cs="Helvetica"/>
          <w:sz w:val="24"/>
          <w:szCs w:val="24"/>
        </w:rPr>
        <w:t>.1</w:t>
      </w:r>
      <w:r w:rsidRPr="001026E6">
        <w:rPr>
          <w:rFonts w:cs="Helvetica"/>
          <w:sz w:val="24"/>
          <w:szCs w:val="24"/>
        </w:rPr>
        <w:t>, RIE</w:t>
      </w:r>
      <w:r w:rsidR="005D7779" w:rsidRPr="001026E6">
        <w:rPr>
          <w:rFonts w:cs="Helvetica"/>
          <w:sz w:val="24"/>
          <w:szCs w:val="24"/>
        </w:rPr>
        <w:t>s</w:t>
      </w:r>
      <w:r w:rsidRPr="001026E6">
        <w:rPr>
          <w:rFonts w:cs="Helvetica"/>
          <w:sz w:val="24"/>
          <w:szCs w:val="24"/>
        </w:rPr>
        <w:t xml:space="preserve"> </w:t>
      </w:r>
      <w:r w:rsidR="005D7779" w:rsidRPr="001026E6">
        <w:rPr>
          <w:rFonts w:cs="Helvetica"/>
          <w:sz w:val="24"/>
          <w:szCs w:val="24"/>
        </w:rPr>
        <w:t>or</w:t>
      </w:r>
      <w:r w:rsidRPr="001026E6">
        <w:rPr>
          <w:rFonts w:cs="Helvetica"/>
          <w:sz w:val="24"/>
          <w:szCs w:val="24"/>
        </w:rPr>
        <w:t xml:space="preserve"> MTF</w:t>
      </w:r>
      <w:r w:rsidR="005D7779" w:rsidRPr="001026E6">
        <w:rPr>
          <w:rFonts w:cs="Helvetica"/>
          <w:sz w:val="24"/>
          <w:szCs w:val="24"/>
        </w:rPr>
        <w:t>s</w:t>
      </w:r>
      <w:r w:rsidRPr="001026E6">
        <w:rPr>
          <w:rFonts w:cs="Helvetica"/>
          <w:sz w:val="24"/>
          <w:szCs w:val="24"/>
        </w:rPr>
        <w:t xml:space="preserve"> </w:t>
      </w:r>
      <w:r w:rsidR="005D7779" w:rsidRPr="001026E6">
        <w:rPr>
          <w:rFonts w:cs="Helvetica"/>
          <w:sz w:val="24"/>
          <w:szCs w:val="24"/>
        </w:rPr>
        <w:t>are</w:t>
      </w:r>
      <w:r w:rsidR="002D73FC" w:rsidRPr="001026E6">
        <w:rPr>
          <w:rFonts w:cs="Helvetica"/>
          <w:sz w:val="24"/>
          <w:szCs w:val="24"/>
        </w:rPr>
        <w:t xml:space="preserve"> required to have satisfactory arrangements for securing the timely discharge of the rights and liabilities of the parties to transactions taking place on its platform. </w:t>
      </w:r>
      <w:r w:rsidRPr="001026E6">
        <w:rPr>
          <w:rFonts w:cs="Helvetica"/>
          <w:sz w:val="24"/>
          <w:szCs w:val="24"/>
        </w:rPr>
        <w:t xml:space="preserve">  </w:t>
      </w:r>
      <w:r w:rsidR="00316FB4" w:rsidRPr="001026E6">
        <w:rPr>
          <w:rFonts w:cs="Helvetica"/>
          <w:sz w:val="24"/>
          <w:szCs w:val="24"/>
        </w:rPr>
        <w:t>MIR Rule 3.8.2 normally allows for a RCH or Remote Clearing House</w:t>
      </w:r>
      <w:r w:rsidR="00666840" w:rsidRPr="001026E6">
        <w:rPr>
          <w:rFonts w:cs="Helvetica"/>
          <w:sz w:val="24"/>
          <w:szCs w:val="24"/>
        </w:rPr>
        <w:t xml:space="preserve"> (noting the FSRA’s position that it will not permit </w:t>
      </w:r>
      <w:r w:rsidR="0089054A" w:rsidRPr="001026E6">
        <w:rPr>
          <w:rFonts w:cs="Helvetica"/>
          <w:sz w:val="24"/>
          <w:szCs w:val="24"/>
        </w:rPr>
        <w:t xml:space="preserve">Remote Clearing Houses </w:t>
      </w:r>
      <w:r w:rsidR="00666840" w:rsidRPr="001026E6">
        <w:rPr>
          <w:rFonts w:cs="Helvetica"/>
          <w:sz w:val="24"/>
          <w:szCs w:val="24"/>
        </w:rPr>
        <w:t>for this purpose</w:t>
      </w:r>
      <w:r w:rsidR="00141FAA" w:rsidRPr="001026E6">
        <w:rPr>
          <w:rFonts w:cs="Helvetica"/>
          <w:sz w:val="24"/>
          <w:szCs w:val="24"/>
        </w:rPr>
        <w:t xml:space="preserve"> in the context of Digital Securities</w:t>
      </w:r>
      <w:r w:rsidR="00666840" w:rsidRPr="001026E6">
        <w:rPr>
          <w:rFonts w:cs="Helvetica"/>
          <w:sz w:val="24"/>
          <w:szCs w:val="24"/>
        </w:rPr>
        <w:t>)</w:t>
      </w:r>
      <w:r w:rsidR="00316FB4" w:rsidRPr="001026E6">
        <w:rPr>
          <w:rFonts w:cs="Helvetica"/>
          <w:sz w:val="24"/>
          <w:szCs w:val="24"/>
        </w:rPr>
        <w:t xml:space="preserve"> to be deemed as sufficient for the purposes of satisfying MIR Rule 3.8.1. </w:t>
      </w:r>
    </w:p>
    <w:p w14:paraId="726D85F0" w14:textId="77777777" w:rsidR="00316FB4" w:rsidRPr="001026E6" w:rsidRDefault="00316FB4" w:rsidP="00F01062">
      <w:pPr>
        <w:pStyle w:val="ListParagraph"/>
        <w:rPr>
          <w:rFonts w:cs="Helvetica"/>
          <w:sz w:val="24"/>
          <w:szCs w:val="24"/>
        </w:rPr>
      </w:pPr>
    </w:p>
    <w:p w14:paraId="6EB84EFB" w14:textId="3AF80033" w:rsidR="00BB545C" w:rsidRPr="001026E6" w:rsidRDefault="00316FB4" w:rsidP="006C25D6">
      <w:pPr>
        <w:pStyle w:val="ListParagraph"/>
        <w:numPr>
          <w:ilvl w:val="0"/>
          <w:numId w:val="1"/>
        </w:numPr>
        <w:ind w:left="426"/>
        <w:jc w:val="both"/>
        <w:rPr>
          <w:rFonts w:cs="Helvetica"/>
          <w:sz w:val="24"/>
          <w:szCs w:val="24"/>
        </w:rPr>
      </w:pPr>
      <w:r w:rsidRPr="001026E6">
        <w:rPr>
          <w:rFonts w:cs="Helvetica"/>
          <w:sz w:val="24"/>
          <w:szCs w:val="24"/>
        </w:rPr>
        <w:t xml:space="preserve">Pursuant to MIR Rule 3.8.3, however, and in the context of Digital Securities, a RIE or MTF must provide the FSRA, in writing, </w:t>
      </w:r>
      <w:r w:rsidR="004C749F" w:rsidRPr="001026E6">
        <w:rPr>
          <w:rFonts w:cs="Helvetica"/>
          <w:sz w:val="24"/>
          <w:szCs w:val="24"/>
        </w:rPr>
        <w:t xml:space="preserve">with the details of </w:t>
      </w:r>
      <w:r w:rsidRPr="001026E6">
        <w:rPr>
          <w:rFonts w:cs="Helvetica"/>
          <w:sz w:val="24"/>
          <w:szCs w:val="24"/>
        </w:rPr>
        <w:t>the satisfactory arrangements made when such RIE or MTF does not engage a RCH (</w:t>
      </w:r>
      <w:r w:rsidR="001F73FF" w:rsidRPr="001026E6">
        <w:rPr>
          <w:rFonts w:cs="Helvetica"/>
          <w:sz w:val="24"/>
          <w:szCs w:val="24"/>
        </w:rPr>
        <w:t xml:space="preserve">for example, </w:t>
      </w:r>
      <w:r w:rsidRPr="001026E6">
        <w:rPr>
          <w:rFonts w:cs="Helvetica"/>
          <w:sz w:val="24"/>
          <w:szCs w:val="24"/>
        </w:rPr>
        <w:t>t</w:t>
      </w:r>
      <w:r w:rsidR="001F73FF" w:rsidRPr="001026E6">
        <w:rPr>
          <w:rFonts w:cs="Helvetica"/>
          <w:sz w:val="24"/>
          <w:szCs w:val="24"/>
        </w:rPr>
        <w:t xml:space="preserve">o use </w:t>
      </w:r>
      <w:r w:rsidR="005C6F41" w:rsidRPr="001026E6">
        <w:rPr>
          <w:rFonts w:cs="Helvetica"/>
          <w:sz w:val="24"/>
          <w:szCs w:val="24"/>
        </w:rPr>
        <w:t xml:space="preserve">in this context, a DSF).  </w:t>
      </w:r>
      <w:r w:rsidRPr="001026E6">
        <w:rPr>
          <w:rFonts w:cs="Helvetica"/>
          <w:sz w:val="24"/>
          <w:szCs w:val="24"/>
        </w:rPr>
        <w:t>To clarify</w:t>
      </w:r>
      <w:r w:rsidR="004448EC" w:rsidRPr="001026E6">
        <w:rPr>
          <w:rFonts w:cs="Helvetica"/>
          <w:sz w:val="24"/>
          <w:szCs w:val="24"/>
        </w:rPr>
        <w:t>, t</w:t>
      </w:r>
      <w:r w:rsidR="00B8050B" w:rsidRPr="001026E6">
        <w:rPr>
          <w:rFonts w:cs="Helvetica"/>
          <w:sz w:val="24"/>
          <w:szCs w:val="24"/>
        </w:rPr>
        <w:t xml:space="preserve">he FSRA will require that arrangements </w:t>
      </w:r>
      <w:r w:rsidRPr="001026E6">
        <w:rPr>
          <w:rFonts w:cs="Helvetica"/>
          <w:sz w:val="24"/>
          <w:szCs w:val="24"/>
        </w:rPr>
        <w:lastRenderedPageBreak/>
        <w:t xml:space="preserve">to use a DSF </w:t>
      </w:r>
      <w:r w:rsidR="00B8050B" w:rsidRPr="001026E6">
        <w:rPr>
          <w:rFonts w:cs="Helvetica"/>
          <w:sz w:val="24"/>
          <w:szCs w:val="24"/>
        </w:rPr>
        <w:t xml:space="preserve">for settlement </w:t>
      </w:r>
      <w:r w:rsidRPr="001026E6">
        <w:rPr>
          <w:rFonts w:cs="Helvetica"/>
          <w:sz w:val="24"/>
          <w:szCs w:val="24"/>
        </w:rPr>
        <w:t>purposes will require the</w:t>
      </w:r>
      <w:r w:rsidR="00FF0AB3" w:rsidRPr="001026E6">
        <w:rPr>
          <w:rFonts w:cs="Helvetica"/>
          <w:sz w:val="24"/>
          <w:szCs w:val="24"/>
        </w:rPr>
        <w:t xml:space="preserve"> DSF </w:t>
      </w:r>
      <w:r w:rsidRPr="001026E6">
        <w:rPr>
          <w:rFonts w:cs="Helvetica"/>
          <w:sz w:val="24"/>
          <w:szCs w:val="24"/>
        </w:rPr>
        <w:t>to</w:t>
      </w:r>
      <w:r w:rsidR="00B8050B" w:rsidRPr="001026E6">
        <w:rPr>
          <w:rFonts w:cs="Helvetica"/>
          <w:sz w:val="24"/>
          <w:szCs w:val="24"/>
        </w:rPr>
        <w:t xml:space="preserve"> comply with the requirements of MIR </w:t>
      </w:r>
      <w:r w:rsidRPr="001026E6">
        <w:rPr>
          <w:rFonts w:cs="Helvetica"/>
          <w:sz w:val="24"/>
          <w:szCs w:val="24"/>
        </w:rPr>
        <w:t xml:space="preserve">Rule </w:t>
      </w:r>
      <w:r w:rsidR="00B8050B" w:rsidRPr="001026E6">
        <w:rPr>
          <w:rFonts w:cs="Helvetica"/>
          <w:sz w:val="24"/>
          <w:szCs w:val="24"/>
        </w:rPr>
        <w:t>4.3</w:t>
      </w:r>
      <w:r w:rsidRPr="001026E6">
        <w:rPr>
          <w:rFonts w:cs="Helvetica"/>
          <w:sz w:val="24"/>
          <w:szCs w:val="24"/>
        </w:rPr>
        <w:t>.3</w:t>
      </w:r>
      <w:r w:rsidR="00FF0AB3" w:rsidRPr="001026E6">
        <w:rPr>
          <w:rFonts w:cs="Helvetica"/>
          <w:sz w:val="24"/>
          <w:szCs w:val="24"/>
        </w:rPr>
        <w:t xml:space="preserve"> (with the references to a </w:t>
      </w:r>
      <w:r w:rsidR="004448EC" w:rsidRPr="001026E6">
        <w:rPr>
          <w:rFonts w:cs="Helvetica"/>
          <w:sz w:val="24"/>
          <w:szCs w:val="24"/>
        </w:rPr>
        <w:t xml:space="preserve">RCH </w:t>
      </w:r>
      <w:r w:rsidR="00FF0AB3" w:rsidRPr="001026E6">
        <w:rPr>
          <w:rFonts w:cs="Helvetica"/>
          <w:sz w:val="24"/>
          <w:szCs w:val="24"/>
        </w:rPr>
        <w:t>being read as references to a DSF).</w:t>
      </w:r>
      <w:r w:rsidR="00B03FD7" w:rsidRPr="001026E6">
        <w:rPr>
          <w:rFonts w:cs="Helvetica"/>
          <w:sz w:val="24"/>
          <w:szCs w:val="24"/>
        </w:rPr>
        <w:t xml:space="preserve"> </w:t>
      </w:r>
      <w:r w:rsidR="00FF0AB3" w:rsidRPr="001026E6">
        <w:rPr>
          <w:rFonts w:cs="Helvetica"/>
          <w:sz w:val="24"/>
          <w:szCs w:val="24"/>
        </w:rPr>
        <w:t xml:space="preserve">  </w:t>
      </w:r>
      <w:r w:rsidR="00B03FD7" w:rsidRPr="001026E6">
        <w:rPr>
          <w:rFonts w:cs="Helvetica"/>
          <w:sz w:val="24"/>
          <w:szCs w:val="24"/>
        </w:rPr>
        <w:t xml:space="preserve"> </w:t>
      </w:r>
    </w:p>
    <w:p w14:paraId="2FBAEAB2" w14:textId="77777777" w:rsidR="00BB545C" w:rsidRPr="001026E6" w:rsidRDefault="00BB545C" w:rsidP="005C6F41">
      <w:pPr>
        <w:pStyle w:val="ListParagraph"/>
        <w:rPr>
          <w:rFonts w:cs="Helvetica"/>
          <w:sz w:val="24"/>
          <w:szCs w:val="24"/>
        </w:rPr>
      </w:pPr>
    </w:p>
    <w:p w14:paraId="30CA7DB7" w14:textId="77777777" w:rsidR="00B03FD7" w:rsidRPr="001026E6" w:rsidRDefault="00BB545C" w:rsidP="00BB545C">
      <w:pPr>
        <w:pStyle w:val="ListParagraph"/>
        <w:numPr>
          <w:ilvl w:val="0"/>
          <w:numId w:val="1"/>
        </w:numPr>
        <w:ind w:left="426"/>
        <w:jc w:val="both"/>
        <w:rPr>
          <w:rFonts w:cs="Helvetica"/>
          <w:sz w:val="24"/>
          <w:szCs w:val="24"/>
        </w:rPr>
      </w:pPr>
      <w:r w:rsidRPr="001026E6">
        <w:rPr>
          <w:rFonts w:cs="Helvetica"/>
          <w:sz w:val="24"/>
          <w:szCs w:val="24"/>
        </w:rPr>
        <w:t>Pursuant to MIR Rule 4.3.3, in determining whether there are satisfactory arrangements for securing the timely discharge of the rights and liabilities of the parties to transactions, the FSRA may have regard to the DSF</w:t>
      </w:r>
      <w:r w:rsidR="0089054A" w:rsidRPr="001026E6">
        <w:rPr>
          <w:rFonts w:cs="Helvetica"/>
          <w:sz w:val="24"/>
          <w:szCs w:val="24"/>
        </w:rPr>
        <w:t>’</w:t>
      </w:r>
      <w:r w:rsidRPr="001026E6">
        <w:rPr>
          <w:rFonts w:cs="Helvetica"/>
          <w:sz w:val="24"/>
          <w:szCs w:val="24"/>
        </w:rPr>
        <w:t>s</w:t>
      </w:r>
      <w:r w:rsidR="00B03FD7" w:rsidRPr="001026E6">
        <w:rPr>
          <w:rFonts w:cs="Helvetica"/>
          <w:sz w:val="24"/>
          <w:szCs w:val="24"/>
        </w:rPr>
        <w:t xml:space="preserve">: </w:t>
      </w:r>
    </w:p>
    <w:p w14:paraId="6345A128" w14:textId="77777777" w:rsidR="00B03FD7" w:rsidRPr="001026E6" w:rsidRDefault="00B03FD7" w:rsidP="00B03FD7">
      <w:pPr>
        <w:pStyle w:val="ListParagraph"/>
        <w:rPr>
          <w:rFonts w:cs="Helvetica"/>
          <w:sz w:val="24"/>
          <w:szCs w:val="24"/>
        </w:rPr>
      </w:pPr>
    </w:p>
    <w:p w14:paraId="014466E8" w14:textId="77777777" w:rsidR="00BB545C" w:rsidRPr="001026E6" w:rsidRDefault="00BB545C" w:rsidP="0044347E">
      <w:pPr>
        <w:pStyle w:val="ListParagraph"/>
        <w:numPr>
          <w:ilvl w:val="1"/>
          <w:numId w:val="1"/>
        </w:numPr>
        <w:ind w:left="810"/>
        <w:jc w:val="both"/>
        <w:rPr>
          <w:sz w:val="24"/>
        </w:rPr>
      </w:pPr>
      <w:r w:rsidRPr="001026E6">
        <w:rPr>
          <w:sz w:val="24"/>
        </w:rPr>
        <w:t>rules and practices relating to clearing and settlement</w:t>
      </w:r>
      <w:r w:rsidR="0089054A" w:rsidRPr="001026E6">
        <w:rPr>
          <w:sz w:val="24"/>
        </w:rPr>
        <w:t>,</w:t>
      </w:r>
      <w:r w:rsidRPr="001026E6">
        <w:rPr>
          <w:sz w:val="24"/>
        </w:rPr>
        <w:t xml:space="preserve"> including its arrangements with another Person for the provision of clearing and settlement services;</w:t>
      </w:r>
    </w:p>
    <w:p w14:paraId="382C90EC" w14:textId="77777777" w:rsidR="001F73FF" w:rsidRPr="001026E6" w:rsidRDefault="001F73FF" w:rsidP="001F73FF">
      <w:pPr>
        <w:pStyle w:val="ListParagraph"/>
        <w:ind w:left="810"/>
        <w:jc w:val="both"/>
        <w:rPr>
          <w:sz w:val="24"/>
        </w:rPr>
      </w:pPr>
    </w:p>
    <w:p w14:paraId="20C081E2" w14:textId="77777777" w:rsidR="00B03FD7" w:rsidRPr="001026E6" w:rsidRDefault="00BB545C" w:rsidP="00BB545C">
      <w:pPr>
        <w:pStyle w:val="ListParagraph"/>
        <w:numPr>
          <w:ilvl w:val="1"/>
          <w:numId w:val="1"/>
        </w:numPr>
        <w:ind w:left="810"/>
        <w:jc w:val="both"/>
        <w:rPr>
          <w:sz w:val="24"/>
        </w:rPr>
      </w:pPr>
      <w:r w:rsidRPr="001026E6">
        <w:rPr>
          <w:sz w:val="24"/>
        </w:rPr>
        <w:t>arrangements for</w:t>
      </w:r>
      <w:r w:rsidR="00B03FD7" w:rsidRPr="001026E6">
        <w:rPr>
          <w:sz w:val="24"/>
        </w:rPr>
        <w:t xml:space="preserve"> match</w:t>
      </w:r>
      <w:r w:rsidRPr="001026E6">
        <w:rPr>
          <w:sz w:val="24"/>
        </w:rPr>
        <w:t>ing</w:t>
      </w:r>
      <w:r w:rsidR="00B03FD7" w:rsidRPr="001026E6">
        <w:rPr>
          <w:sz w:val="24"/>
        </w:rPr>
        <w:t xml:space="preserve"> trades and en</w:t>
      </w:r>
      <w:r w:rsidR="004448EC" w:rsidRPr="001026E6">
        <w:rPr>
          <w:sz w:val="24"/>
        </w:rPr>
        <w:t>sur</w:t>
      </w:r>
      <w:r w:rsidRPr="001026E6">
        <w:rPr>
          <w:sz w:val="24"/>
        </w:rPr>
        <w:t>ing that the</w:t>
      </w:r>
      <w:r w:rsidR="004448EC" w:rsidRPr="001026E6">
        <w:rPr>
          <w:sz w:val="24"/>
        </w:rPr>
        <w:t xml:space="preserve"> parties</w:t>
      </w:r>
      <w:r w:rsidR="00316FB4" w:rsidRPr="001026E6">
        <w:rPr>
          <w:sz w:val="24"/>
        </w:rPr>
        <w:t xml:space="preserve"> </w:t>
      </w:r>
      <w:r w:rsidRPr="001026E6">
        <w:rPr>
          <w:sz w:val="24"/>
        </w:rPr>
        <w:t xml:space="preserve">are in agreement about </w:t>
      </w:r>
      <w:r w:rsidR="00316FB4" w:rsidRPr="001026E6">
        <w:rPr>
          <w:sz w:val="24"/>
        </w:rPr>
        <w:t>trade details</w:t>
      </w:r>
      <w:r w:rsidR="004448EC" w:rsidRPr="001026E6">
        <w:rPr>
          <w:sz w:val="24"/>
        </w:rPr>
        <w:t>;</w:t>
      </w:r>
    </w:p>
    <w:p w14:paraId="1443795F" w14:textId="77777777" w:rsidR="001F73FF" w:rsidRPr="001026E6" w:rsidRDefault="001F73FF" w:rsidP="001F73FF">
      <w:pPr>
        <w:jc w:val="both"/>
        <w:rPr>
          <w:sz w:val="24"/>
        </w:rPr>
      </w:pPr>
    </w:p>
    <w:p w14:paraId="7B93E2D0" w14:textId="77777777" w:rsidR="00B03FD7" w:rsidRPr="001026E6" w:rsidRDefault="00BB545C" w:rsidP="00BB545C">
      <w:pPr>
        <w:pStyle w:val="ListParagraph"/>
        <w:numPr>
          <w:ilvl w:val="1"/>
          <w:numId w:val="1"/>
        </w:numPr>
        <w:ind w:left="810"/>
        <w:jc w:val="both"/>
        <w:rPr>
          <w:sz w:val="24"/>
        </w:rPr>
      </w:pPr>
      <w:r w:rsidRPr="001026E6">
        <w:rPr>
          <w:sz w:val="24"/>
        </w:rPr>
        <w:t xml:space="preserve">where relevant, </w:t>
      </w:r>
      <w:r w:rsidR="00B03FD7" w:rsidRPr="001026E6">
        <w:rPr>
          <w:sz w:val="24"/>
        </w:rPr>
        <w:t>arrange</w:t>
      </w:r>
      <w:r w:rsidRPr="001026E6">
        <w:rPr>
          <w:sz w:val="24"/>
        </w:rPr>
        <w:t>ments for making</w:t>
      </w:r>
      <w:r w:rsidR="00B03FD7" w:rsidRPr="001026E6">
        <w:rPr>
          <w:sz w:val="24"/>
        </w:rPr>
        <w:t xml:space="preserve"> deliver</w:t>
      </w:r>
      <w:r w:rsidRPr="001026E6">
        <w:rPr>
          <w:sz w:val="24"/>
        </w:rPr>
        <w:t>ies</w:t>
      </w:r>
      <w:r w:rsidR="00B03FD7" w:rsidRPr="001026E6">
        <w:rPr>
          <w:sz w:val="24"/>
        </w:rPr>
        <w:t xml:space="preserve"> and payment</w:t>
      </w:r>
      <w:r w:rsidRPr="001026E6">
        <w:rPr>
          <w:sz w:val="24"/>
        </w:rPr>
        <w:t>s,</w:t>
      </w:r>
      <w:r w:rsidR="004448EC" w:rsidRPr="001026E6">
        <w:rPr>
          <w:sz w:val="24"/>
        </w:rPr>
        <w:t xml:space="preserve"> in all relevant jurisdictions;</w:t>
      </w:r>
    </w:p>
    <w:p w14:paraId="73713354" w14:textId="77777777" w:rsidR="001F73FF" w:rsidRPr="001026E6" w:rsidRDefault="001F73FF" w:rsidP="001F73FF">
      <w:pPr>
        <w:jc w:val="both"/>
        <w:rPr>
          <w:sz w:val="24"/>
        </w:rPr>
      </w:pPr>
    </w:p>
    <w:p w14:paraId="58CB21C3" w14:textId="77777777" w:rsidR="001F73FF" w:rsidRPr="001026E6" w:rsidRDefault="00BB545C" w:rsidP="001F73FF">
      <w:pPr>
        <w:pStyle w:val="ListParagraph"/>
        <w:numPr>
          <w:ilvl w:val="1"/>
          <w:numId w:val="1"/>
        </w:numPr>
        <w:ind w:left="810"/>
        <w:jc w:val="both"/>
        <w:rPr>
          <w:sz w:val="24"/>
        </w:rPr>
      </w:pPr>
      <w:r w:rsidRPr="001026E6">
        <w:rPr>
          <w:sz w:val="24"/>
        </w:rPr>
        <w:t xml:space="preserve">procedures </w:t>
      </w:r>
      <w:r w:rsidR="00B03FD7" w:rsidRPr="001026E6">
        <w:rPr>
          <w:sz w:val="24"/>
        </w:rPr>
        <w:t>to detect</w:t>
      </w:r>
      <w:r w:rsidRPr="001026E6">
        <w:rPr>
          <w:sz w:val="24"/>
        </w:rPr>
        <w:t xml:space="preserve"> and</w:t>
      </w:r>
      <w:r w:rsidR="00316FB4" w:rsidRPr="001026E6">
        <w:rPr>
          <w:sz w:val="24"/>
        </w:rPr>
        <w:t xml:space="preserve"> deal</w:t>
      </w:r>
      <w:r w:rsidR="00B03FD7" w:rsidRPr="001026E6">
        <w:rPr>
          <w:sz w:val="24"/>
        </w:rPr>
        <w:t xml:space="preserve"> </w:t>
      </w:r>
      <w:r w:rsidRPr="001026E6">
        <w:rPr>
          <w:sz w:val="24"/>
        </w:rPr>
        <w:t>with</w:t>
      </w:r>
      <w:r w:rsidR="00B03FD7" w:rsidRPr="001026E6">
        <w:rPr>
          <w:sz w:val="24"/>
        </w:rPr>
        <w:t xml:space="preserve"> the failure of </w:t>
      </w:r>
      <w:r w:rsidRPr="001026E6">
        <w:rPr>
          <w:sz w:val="24"/>
        </w:rPr>
        <w:t xml:space="preserve">a </w:t>
      </w:r>
      <w:r w:rsidR="00B03FD7" w:rsidRPr="001026E6">
        <w:rPr>
          <w:sz w:val="24"/>
        </w:rPr>
        <w:t>Member</w:t>
      </w:r>
      <w:r w:rsidR="0089054A" w:rsidRPr="001026E6">
        <w:rPr>
          <w:sz w:val="24"/>
        </w:rPr>
        <w:t xml:space="preserve"> </w:t>
      </w:r>
      <w:r w:rsidRPr="001026E6">
        <w:rPr>
          <w:sz w:val="24"/>
        </w:rPr>
        <w:t>(</w:t>
      </w:r>
      <w:r w:rsidR="00B03FD7" w:rsidRPr="001026E6">
        <w:rPr>
          <w:sz w:val="24"/>
        </w:rPr>
        <w:t>or partic</w:t>
      </w:r>
      <w:r w:rsidR="004448EC" w:rsidRPr="001026E6">
        <w:rPr>
          <w:sz w:val="24"/>
        </w:rPr>
        <w:t>ipants</w:t>
      </w:r>
      <w:r w:rsidRPr="001026E6">
        <w:rPr>
          <w:sz w:val="24"/>
        </w:rPr>
        <w:t>)</w:t>
      </w:r>
      <w:r w:rsidR="004448EC" w:rsidRPr="001026E6">
        <w:rPr>
          <w:sz w:val="24"/>
        </w:rPr>
        <w:t xml:space="preserve"> </w:t>
      </w:r>
      <w:r w:rsidRPr="001026E6">
        <w:rPr>
          <w:sz w:val="24"/>
        </w:rPr>
        <w:t>to settle in accordance with its rules</w:t>
      </w:r>
      <w:r w:rsidR="004448EC" w:rsidRPr="001026E6">
        <w:rPr>
          <w:sz w:val="24"/>
        </w:rPr>
        <w:t>;</w:t>
      </w:r>
      <w:r w:rsidR="001F73FF" w:rsidRPr="001026E6">
        <w:rPr>
          <w:sz w:val="24"/>
        </w:rPr>
        <w:t xml:space="preserve"> </w:t>
      </w:r>
    </w:p>
    <w:p w14:paraId="03DB269C" w14:textId="77777777" w:rsidR="001F73FF" w:rsidRPr="001026E6" w:rsidRDefault="001F73FF" w:rsidP="001F73FF">
      <w:pPr>
        <w:jc w:val="both"/>
        <w:rPr>
          <w:sz w:val="24"/>
        </w:rPr>
      </w:pPr>
    </w:p>
    <w:p w14:paraId="0964F050" w14:textId="77777777" w:rsidR="00BB545C" w:rsidRPr="001026E6" w:rsidRDefault="00BB545C" w:rsidP="0044347E">
      <w:pPr>
        <w:pStyle w:val="ListParagraph"/>
        <w:numPr>
          <w:ilvl w:val="1"/>
          <w:numId w:val="1"/>
        </w:numPr>
        <w:ind w:left="810"/>
        <w:jc w:val="both"/>
        <w:rPr>
          <w:sz w:val="24"/>
        </w:rPr>
      </w:pPr>
      <w:r w:rsidRPr="001026E6">
        <w:rPr>
          <w:sz w:val="24"/>
        </w:rPr>
        <w:t>arrangements for taking action to settle a trade if a Member (or participant) does not settle in accordance with its rules;</w:t>
      </w:r>
    </w:p>
    <w:p w14:paraId="0063E50A" w14:textId="77777777" w:rsidR="001F73FF" w:rsidRPr="001026E6" w:rsidRDefault="001F73FF" w:rsidP="001F73FF">
      <w:pPr>
        <w:jc w:val="both"/>
        <w:rPr>
          <w:sz w:val="24"/>
        </w:rPr>
      </w:pPr>
    </w:p>
    <w:p w14:paraId="1356580C" w14:textId="77777777" w:rsidR="00BB545C" w:rsidRPr="001026E6" w:rsidRDefault="00BB545C" w:rsidP="006C7E0D">
      <w:pPr>
        <w:pStyle w:val="ListParagraph"/>
        <w:numPr>
          <w:ilvl w:val="1"/>
          <w:numId w:val="1"/>
        </w:numPr>
        <w:ind w:left="810"/>
        <w:jc w:val="both"/>
        <w:rPr>
          <w:sz w:val="24"/>
        </w:rPr>
      </w:pPr>
      <w:r w:rsidRPr="001026E6">
        <w:rPr>
          <w:sz w:val="24"/>
        </w:rPr>
        <w:t xml:space="preserve">arrangements for monitoring its Members’ settlement performance; </w:t>
      </w:r>
      <w:r w:rsidR="004B08E6" w:rsidRPr="001026E6">
        <w:rPr>
          <w:sz w:val="24"/>
        </w:rPr>
        <w:t>and</w:t>
      </w:r>
    </w:p>
    <w:p w14:paraId="727C8CAA" w14:textId="77777777" w:rsidR="001F73FF" w:rsidRPr="001026E6" w:rsidRDefault="001F73FF" w:rsidP="001F73FF">
      <w:pPr>
        <w:jc w:val="both"/>
        <w:rPr>
          <w:sz w:val="24"/>
        </w:rPr>
      </w:pPr>
    </w:p>
    <w:p w14:paraId="2F2D48D5" w14:textId="77777777" w:rsidR="00B03FD7" w:rsidRPr="001026E6" w:rsidRDefault="00BB545C" w:rsidP="004B08E6">
      <w:pPr>
        <w:pStyle w:val="ListParagraph"/>
        <w:numPr>
          <w:ilvl w:val="1"/>
          <w:numId w:val="1"/>
        </w:numPr>
        <w:ind w:left="810"/>
        <w:jc w:val="both"/>
        <w:rPr>
          <w:sz w:val="24"/>
        </w:rPr>
      </w:pPr>
      <w:r w:rsidRPr="001026E6">
        <w:rPr>
          <w:sz w:val="24"/>
        </w:rPr>
        <w:t xml:space="preserve">where appropriate, </w:t>
      </w:r>
      <w:r w:rsidR="00B03FD7" w:rsidRPr="001026E6">
        <w:rPr>
          <w:sz w:val="24"/>
        </w:rPr>
        <w:t xml:space="preserve">Default Rules and </w:t>
      </w:r>
      <w:r w:rsidRPr="001026E6">
        <w:rPr>
          <w:sz w:val="24"/>
        </w:rPr>
        <w:t xml:space="preserve">default </w:t>
      </w:r>
      <w:r w:rsidR="004B08E6" w:rsidRPr="001026E6">
        <w:rPr>
          <w:sz w:val="24"/>
        </w:rPr>
        <w:t>procedures.</w:t>
      </w:r>
    </w:p>
    <w:p w14:paraId="774FCECB" w14:textId="77777777" w:rsidR="008633D9" w:rsidRPr="001026E6" w:rsidRDefault="008633D9" w:rsidP="004B08E6">
      <w:pPr>
        <w:jc w:val="both"/>
        <w:rPr>
          <w:rFonts w:cs="Helvetica"/>
          <w:sz w:val="24"/>
          <w:szCs w:val="24"/>
        </w:rPr>
      </w:pPr>
    </w:p>
    <w:p w14:paraId="4BBD4386" w14:textId="77777777" w:rsidR="005D7779" w:rsidRPr="001026E6" w:rsidRDefault="005D7779" w:rsidP="00C342E9">
      <w:pPr>
        <w:pStyle w:val="ListParagraph"/>
        <w:numPr>
          <w:ilvl w:val="0"/>
          <w:numId w:val="1"/>
        </w:numPr>
        <w:ind w:left="426"/>
        <w:jc w:val="both"/>
        <w:rPr>
          <w:rFonts w:cs="Helvetica"/>
          <w:sz w:val="24"/>
          <w:szCs w:val="24"/>
        </w:rPr>
      </w:pPr>
      <w:r w:rsidRPr="001026E6">
        <w:rPr>
          <w:rFonts w:cs="Helvetica"/>
          <w:sz w:val="24"/>
          <w:szCs w:val="24"/>
        </w:rPr>
        <w:t xml:space="preserve">As set out earlier in paragraph </w:t>
      </w:r>
      <w:r w:rsidR="009440D6" w:rsidRPr="001026E6">
        <w:rPr>
          <w:rFonts w:cs="Helvetica"/>
          <w:sz w:val="24"/>
          <w:szCs w:val="24"/>
        </w:rPr>
        <w:t>43</w:t>
      </w:r>
      <w:r w:rsidRPr="001026E6">
        <w:rPr>
          <w:rFonts w:cs="Helvetica"/>
          <w:sz w:val="24"/>
          <w:szCs w:val="24"/>
        </w:rPr>
        <w:t>(b), pursuant to MIR Rule 2.10, a RIE (but not an MTF) may be required to engage a custodian/settlement facility for the purposes of having satisfactory custody arrangements in place</w:t>
      </w:r>
      <w:r w:rsidR="006C25D6" w:rsidRPr="001026E6">
        <w:rPr>
          <w:rFonts w:cs="Helvetica"/>
          <w:sz w:val="24"/>
          <w:szCs w:val="24"/>
        </w:rPr>
        <w:t>.</w:t>
      </w:r>
      <w:r w:rsidR="006C25D6" w:rsidRPr="001026E6">
        <w:rPr>
          <w:rStyle w:val="FootnoteReference"/>
          <w:rFonts w:cs="Helvetica"/>
          <w:sz w:val="24"/>
          <w:szCs w:val="24"/>
        </w:rPr>
        <w:footnoteReference w:id="14"/>
      </w:r>
      <w:r w:rsidRPr="001026E6">
        <w:rPr>
          <w:rFonts w:cs="Helvetica"/>
          <w:sz w:val="24"/>
          <w:szCs w:val="24"/>
        </w:rPr>
        <w:t xml:space="preserve">  A DSF</w:t>
      </w:r>
      <w:r w:rsidR="0096051E" w:rsidRPr="001026E6">
        <w:rPr>
          <w:rFonts w:cs="Helvetica"/>
          <w:sz w:val="24"/>
          <w:szCs w:val="24"/>
        </w:rPr>
        <w:t>, where engaged</w:t>
      </w:r>
      <w:r w:rsidR="001F73FF" w:rsidRPr="001026E6">
        <w:rPr>
          <w:rFonts w:cs="Helvetica"/>
          <w:sz w:val="24"/>
          <w:szCs w:val="24"/>
        </w:rPr>
        <w:t xml:space="preserve"> by</w:t>
      </w:r>
      <w:r w:rsidR="0096051E" w:rsidRPr="001026E6">
        <w:rPr>
          <w:rFonts w:cs="Helvetica"/>
          <w:sz w:val="24"/>
          <w:szCs w:val="24"/>
        </w:rPr>
        <w:t xml:space="preserve"> a RIE for this purpose,</w:t>
      </w:r>
      <w:r w:rsidRPr="001026E6">
        <w:rPr>
          <w:rFonts w:cs="Helvetica"/>
          <w:sz w:val="24"/>
          <w:szCs w:val="24"/>
        </w:rPr>
        <w:t xml:space="preserve"> </w:t>
      </w:r>
      <w:r w:rsidR="0096051E" w:rsidRPr="001026E6">
        <w:rPr>
          <w:rFonts w:cs="Helvetica"/>
          <w:sz w:val="24"/>
          <w:szCs w:val="24"/>
        </w:rPr>
        <w:t>will be required to h</w:t>
      </w:r>
      <w:r w:rsidRPr="001026E6">
        <w:rPr>
          <w:rFonts w:cs="Helvetica"/>
          <w:sz w:val="24"/>
          <w:szCs w:val="24"/>
        </w:rPr>
        <w:t xml:space="preserve">ave satisfactory arrangements </w:t>
      </w:r>
      <w:r w:rsidR="0096051E" w:rsidRPr="001026E6">
        <w:rPr>
          <w:rFonts w:cs="Helvetica"/>
          <w:sz w:val="24"/>
          <w:szCs w:val="24"/>
        </w:rPr>
        <w:t>in place in order to meet the full set of requirements set out in MIR Rule 2.10.</w:t>
      </w:r>
      <w:r w:rsidR="001F73FF" w:rsidRPr="001026E6">
        <w:rPr>
          <w:rFonts w:cs="Helvetica"/>
          <w:sz w:val="24"/>
          <w:szCs w:val="24"/>
        </w:rPr>
        <w:t xml:space="preserve">  </w:t>
      </w:r>
      <w:r w:rsidR="00BC34C4" w:rsidRPr="001026E6">
        <w:rPr>
          <w:rFonts w:cs="Helvetica"/>
          <w:sz w:val="24"/>
          <w:szCs w:val="24"/>
        </w:rPr>
        <w:t xml:space="preserve">As part of these services, DSFs may also record changes of ownership, maintain an Issuer’s security holder records, cancel and issue Digital Security certificates, and distribute dividends. It is important that </w:t>
      </w:r>
      <w:r w:rsidR="00C342E9" w:rsidRPr="001026E6">
        <w:rPr>
          <w:rFonts w:cs="Helvetica"/>
          <w:sz w:val="24"/>
          <w:szCs w:val="24"/>
        </w:rPr>
        <w:t xml:space="preserve">DSFs </w:t>
      </w:r>
      <w:r w:rsidR="00BC34C4" w:rsidRPr="001026E6">
        <w:rPr>
          <w:rFonts w:cs="Helvetica"/>
          <w:sz w:val="24"/>
          <w:szCs w:val="24"/>
        </w:rPr>
        <w:t>maintain an open channel of communication with Issuers to determine whether Digital Securities need to be issued or redeemed.</w:t>
      </w:r>
    </w:p>
    <w:p w14:paraId="36D4363C" w14:textId="77777777" w:rsidR="00170A8E" w:rsidRPr="001026E6" w:rsidRDefault="00170A8E" w:rsidP="00170A8E">
      <w:pPr>
        <w:pStyle w:val="ListParagraph"/>
        <w:ind w:left="426"/>
        <w:jc w:val="both"/>
        <w:rPr>
          <w:rFonts w:cs="Helvetica"/>
          <w:sz w:val="24"/>
          <w:szCs w:val="24"/>
        </w:rPr>
      </w:pPr>
    </w:p>
    <w:p w14:paraId="06316B60" w14:textId="77777777" w:rsidR="002D73FC" w:rsidRPr="001026E6" w:rsidRDefault="00BF4952" w:rsidP="00044007">
      <w:pPr>
        <w:pStyle w:val="ListParagraph"/>
        <w:numPr>
          <w:ilvl w:val="0"/>
          <w:numId w:val="1"/>
        </w:numPr>
        <w:ind w:left="426"/>
        <w:jc w:val="both"/>
        <w:rPr>
          <w:rFonts w:cs="Helvetica"/>
          <w:sz w:val="24"/>
          <w:szCs w:val="24"/>
        </w:rPr>
      </w:pPr>
      <w:r w:rsidRPr="001026E6">
        <w:rPr>
          <w:rFonts w:cs="Helvetica"/>
          <w:sz w:val="24"/>
          <w:szCs w:val="24"/>
        </w:rPr>
        <w:t xml:space="preserve">In addition, the FSRA reserves the right at </w:t>
      </w:r>
      <w:r w:rsidR="002D73FC" w:rsidRPr="001026E6">
        <w:rPr>
          <w:rFonts w:cs="Helvetica"/>
          <w:sz w:val="24"/>
          <w:szCs w:val="24"/>
        </w:rPr>
        <w:t>any point in time</w:t>
      </w:r>
      <w:r w:rsidRPr="001026E6">
        <w:rPr>
          <w:rFonts w:cs="Helvetica"/>
          <w:sz w:val="24"/>
          <w:szCs w:val="24"/>
        </w:rPr>
        <w:t xml:space="preserve">, </w:t>
      </w:r>
      <w:r w:rsidR="002D73FC" w:rsidRPr="001026E6">
        <w:rPr>
          <w:rFonts w:cs="Helvetica"/>
          <w:sz w:val="24"/>
          <w:szCs w:val="24"/>
        </w:rPr>
        <w:t>either during the Authorisation</w:t>
      </w:r>
      <w:r w:rsidR="002D73FC" w:rsidRPr="001026E6">
        <w:rPr>
          <w:rStyle w:val="FootnoteReference"/>
          <w:rFonts w:cs="Helvetica"/>
          <w:sz w:val="24"/>
          <w:szCs w:val="24"/>
        </w:rPr>
        <w:footnoteReference w:id="15"/>
      </w:r>
      <w:r w:rsidR="002D73FC" w:rsidRPr="001026E6">
        <w:rPr>
          <w:rFonts w:cs="Helvetica"/>
          <w:sz w:val="24"/>
          <w:szCs w:val="24"/>
        </w:rPr>
        <w:t xml:space="preserve"> process or </w:t>
      </w:r>
      <w:r w:rsidRPr="001026E6">
        <w:rPr>
          <w:rFonts w:cs="Helvetica"/>
          <w:sz w:val="24"/>
          <w:szCs w:val="24"/>
        </w:rPr>
        <w:t xml:space="preserve">as part of its </w:t>
      </w:r>
      <w:r w:rsidR="002D73FC" w:rsidRPr="001026E6">
        <w:rPr>
          <w:rFonts w:cs="Helvetica"/>
          <w:sz w:val="24"/>
          <w:szCs w:val="24"/>
        </w:rPr>
        <w:t>supervis</w:t>
      </w:r>
      <w:r w:rsidRPr="001026E6">
        <w:rPr>
          <w:rFonts w:cs="Helvetica"/>
          <w:sz w:val="24"/>
          <w:szCs w:val="24"/>
        </w:rPr>
        <w:t>ory oversight</w:t>
      </w:r>
      <w:r w:rsidR="003B40EE" w:rsidRPr="001026E6">
        <w:rPr>
          <w:rFonts w:cs="Helvetica"/>
          <w:sz w:val="24"/>
          <w:szCs w:val="24"/>
        </w:rPr>
        <w:t xml:space="preserve"> of a DSF</w:t>
      </w:r>
      <w:r w:rsidRPr="001026E6">
        <w:rPr>
          <w:rFonts w:cs="Helvetica"/>
          <w:sz w:val="24"/>
          <w:szCs w:val="24"/>
        </w:rPr>
        <w:t xml:space="preserve">, </w:t>
      </w:r>
      <w:r w:rsidR="00044007" w:rsidRPr="001026E6">
        <w:rPr>
          <w:rFonts w:cs="Helvetica"/>
          <w:sz w:val="24"/>
          <w:szCs w:val="24"/>
        </w:rPr>
        <w:t xml:space="preserve">to </w:t>
      </w:r>
      <w:r w:rsidR="002D73FC" w:rsidRPr="001026E6">
        <w:rPr>
          <w:rFonts w:cs="Helvetica"/>
          <w:sz w:val="24"/>
          <w:szCs w:val="24"/>
        </w:rPr>
        <w:t xml:space="preserve">consider the applicability of </w:t>
      </w:r>
      <w:r w:rsidR="004F628F" w:rsidRPr="001026E6">
        <w:rPr>
          <w:rFonts w:cs="Helvetica"/>
          <w:sz w:val="24"/>
          <w:szCs w:val="24"/>
        </w:rPr>
        <w:t xml:space="preserve">other Rules within </w:t>
      </w:r>
      <w:r w:rsidR="002D73FC" w:rsidRPr="001026E6">
        <w:rPr>
          <w:rFonts w:cs="Helvetica"/>
          <w:sz w:val="24"/>
          <w:szCs w:val="24"/>
        </w:rPr>
        <w:t>MIR Chapter 4 (Rules Applicable to R</w:t>
      </w:r>
      <w:r w:rsidR="00107A29" w:rsidRPr="001026E6">
        <w:rPr>
          <w:rFonts w:cs="Helvetica"/>
          <w:sz w:val="24"/>
          <w:szCs w:val="24"/>
        </w:rPr>
        <w:t>CHs</w:t>
      </w:r>
      <w:r w:rsidR="002D73FC" w:rsidRPr="001026E6">
        <w:rPr>
          <w:rFonts w:cs="Helvetica"/>
          <w:sz w:val="24"/>
          <w:szCs w:val="24"/>
        </w:rPr>
        <w:t xml:space="preserve">), dependent on the relevance </w:t>
      </w:r>
      <w:r w:rsidR="00044007" w:rsidRPr="001026E6">
        <w:rPr>
          <w:rFonts w:cs="Helvetica"/>
          <w:sz w:val="24"/>
          <w:szCs w:val="24"/>
        </w:rPr>
        <w:t xml:space="preserve">of those Rules </w:t>
      </w:r>
      <w:r w:rsidR="002D73FC" w:rsidRPr="001026E6">
        <w:rPr>
          <w:rFonts w:cs="Helvetica"/>
          <w:sz w:val="24"/>
          <w:szCs w:val="24"/>
        </w:rPr>
        <w:t>to the business model</w:t>
      </w:r>
      <w:r w:rsidR="00ED6330" w:rsidRPr="001026E6">
        <w:rPr>
          <w:rFonts w:cs="Helvetica"/>
          <w:sz w:val="24"/>
          <w:szCs w:val="24"/>
        </w:rPr>
        <w:t>/operations</w:t>
      </w:r>
      <w:r w:rsidR="002D73FC" w:rsidRPr="001026E6">
        <w:rPr>
          <w:rFonts w:cs="Helvetica"/>
          <w:sz w:val="24"/>
          <w:szCs w:val="24"/>
        </w:rPr>
        <w:t xml:space="preserve"> of the DSF.</w:t>
      </w:r>
    </w:p>
    <w:p w14:paraId="30F0F19B" w14:textId="77777777" w:rsidR="002D73FC" w:rsidRPr="001026E6" w:rsidRDefault="002D73FC" w:rsidP="004C1851">
      <w:pPr>
        <w:pStyle w:val="ListParagraph"/>
        <w:rPr>
          <w:rFonts w:cs="Helvetica"/>
          <w:sz w:val="24"/>
          <w:szCs w:val="24"/>
        </w:rPr>
      </w:pPr>
    </w:p>
    <w:p w14:paraId="267195D6" w14:textId="77777777" w:rsidR="00664F0B" w:rsidRPr="001026E6" w:rsidRDefault="00664F0B" w:rsidP="00786D99">
      <w:pPr>
        <w:pStyle w:val="ListParagraph"/>
        <w:numPr>
          <w:ilvl w:val="0"/>
          <w:numId w:val="1"/>
        </w:numPr>
        <w:ind w:left="426"/>
        <w:jc w:val="both"/>
        <w:rPr>
          <w:rFonts w:cs="Helvetica"/>
          <w:sz w:val="24"/>
          <w:szCs w:val="24"/>
        </w:rPr>
      </w:pPr>
      <w:r w:rsidRPr="001026E6">
        <w:rPr>
          <w:rFonts w:cs="Helvetica"/>
          <w:sz w:val="24"/>
          <w:szCs w:val="24"/>
        </w:rPr>
        <w:t>Entities seeking to operate as DSFs should take note of the following:</w:t>
      </w:r>
    </w:p>
    <w:p w14:paraId="6E8DF401" w14:textId="77777777" w:rsidR="00664F0B" w:rsidRPr="001026E6" w:rsidRDefault="00664F0B" w:rsidP="00664F0B">
      <w:pPr>
        <w:pStyle w:val="ListParagraph"/>
        <w:ind w:left="426"/>
        <w:jc w:val="both"/>
        <w:rPr>
          <w:rFonts w:cs="Helvetica"/>
          <w:sz w:val="24"/>
          <w:szCs w:val="24"/>
        </w:rPr>
      </w:pPr>
    </w:p>
    <w:p w14:paraId="56D6AC38" w14:textId="77777777" w:rsidR="00027E65" w:rsidRPr="001026E6" w:rsidRDefault="00027E65" w:rsidP="00C342E9">
      <w:pPr>
        <w:pStyle w:val="ListParagraph"/>
        <w:numPr>
          <w:ilvl w:val="0"/>
          <w:numId w:val="67"/>
        </w:numPr>
        <w:ind w:left="851"/>
        <w:jc w:val="both"/>
        <w:rPr>
          <w:rFonts w:cs="Helvetica"/>
          <w:sz w:val="24"/>
          <w:szCs w:val="24"/>
        </w:rPr>
      </w:pPr>
      <w:r w:rsidRPr="001026E6">
        <w:rPr>
          <w:sz w:val="24"/>
          <w:szCs w:val="24"/>
          <w:lang w:val="en-US"/>
        </w:rPr>
        <w:t xml:space="preserve">Entities </w:t>
      </w:r>
      <w:r w:rsidR="007239A9" w:rsidRPr="001026E6">
        <w:rPr>
          <w:sz w:val="24"/>
          <w:szCs w:val="24"/>
          <w:lang w:val="en-US"/>
        </w:rPr>
        <w:t xml:space="preserve">providing custody of </w:t>
      </w:r>
      <w:r w:rsidRPr="001026E6">
        <w:rPr>
          <w:sz w:val="24"/>
          <w:szCs w:val="24"/>
          <w:lang w:val="en-US"/>
        </w:rPr>
        <w:t xml:space="preserve">Digital Securities within ADGM, including DSFs, may also wish, or be required, to operate a CSD.  COBS Chapter 10 sets out the requirements relevant to the operation of a CSD, including that as set out </w:t>
      </w:r>
      <w:r w:rsidRPr="001026E6">
        <w:rPr>
          <w:sz w:val="24"/>
          <w:szCs w:val="24"/>
          <w:lang w:val="en-US"/>
        </w:rPr>
        <w:lastRenderedPageBreak/>
        <w:t xml:space="preserve">in COBS Rule 10.1.3, only an Authorised Person </w:t>
      </w:r>
      <w:r w:rsidR="00564344" w:rsidRPr="001026E6">
        <w:rPr>
          <w:sz w:val="24"/>
          <w:szCs w:val="24"/>
          <w:lang w:val="en-US"/>
        </w:rPr>
        <w:t>licence</w:t>
      </w:r>
      <w:r w:rsidR="007239A9" w:rsidRPr="001026E6">
        <w:rPr>
          <w:sz w:val="24"/>
          <w:szCs w:val="24"/>
          <w:lang w:val="en-US"/>
        </w:rPr>
        <w:t>d for Providing</w:t>
      </w:r>
      <w:r w:rsidRPr="001026E6">
        <w:rPr>
          <w:sz w:val="24"/>
          <w:szCs w:val="24"/>
          <w:lang w:val="en-US"/>
        </w:rPr>
        <w:t xml:space="preserve"> Custody </w:t>
      </w:r>
      <w:r w:rsidR="007239A9" w:rsidRPr="001026E6">
        <w:rPr>
          <w:sz w:val="24"/>
          <w:szCs w:val="24"/>
          <w:lang w:val="en-US"/>
        </w:rPr>
        <w:t xml:space="preserve">is permitted to act as </w:t>
      </w:r>
      <w:r w:rsidRPr="001026E6">
        <w:rPr>
          <w:sz w:val="24"/>
          <w:szCs w:val="24"/>
          <w:lang w:val="en-US"/>
        </w:rPr>
        <w:t xml:space="preserve">a CSD. </w:t>
      </w:r>
    </w:p>
    <w:p w14:paraId="0499C2E1" w14:textId="77777777" w:rsidR="00027E65" w:rsidRPr="001026E6" w:rsidRDefault="00027E65" w:rsidP="00C342E9">
      <w:pPr>
        <w:pStyle w:val="ListParagraph"/>
        <w:ind w:left="851"/>
        <w:rPr>
          <w:rFonts w:cs="Helvetica"/>
          <w:sz w:val="24"/>
          <w:szCs w:val="24"/>
        </w:rPr>
      </w:pPr>
    </w:p>
    <w:p w14:paraId="19D5DFBF" w14:textId="77777777" w:rsidR="00664F0B" w:rsidRPr="001026E6" w:rsidRDefault="00786D99" w:rsidP="00C342E9">
      <w:pPr>
        <w:pStyle w:val="ListParagraph"/>
        <w:numPr>
          <w:ilvl w:val="0"/>
          <w:numId w:val="67"/>
        </w:numPr>
        <w:ind w:left="851"/>
        <w:jc w:val="both"/>
        <w:rPr>
          <w:rFonts w:cs="Helvetica"/>
          <w:sz w:val="24"/>
          <w:szCs w:val="24"/>
        </w:rPr>
      </w:pPr>
      <w:r w:rsidRPr="001026E6">
        <w:rPr>
          <w:rFonts w:cs="Helvetica"/>
          <w:sz w:val="24"/>
          <w:szCs w:val="24"/>
        </w:rPr>
        <w:t xml:space="preserve">For transactions where </w:t>
      </w:r>
      <w:r w:rsidR="00461523" w:rsidRPr="001026E6">
        <w:rPr>
          <w:rFonts w:cs="Helvetica"/>
          <w:sz w:val="24"/>
          <w:szCs w:val="24"/>
        </w:rPr>
        <w:t>delayed settlement occurs (e.g.</w:t>
      </w:r>
      <w:r w:rsidR="00505187" w:rsidRPr="001026E6">
        <w:rPr>
          <w:rFonts w:cs="Helvetica"/>
          <w:sz w:val="24"/>
          <w:szCs w:val="24"/>
        </w:rPr>
        <w:t>,</w:t>
      </w:r>
      <w:r w:rsidR="00461523" w:rsidRPr="001026E6">
        <w:rPr>
          <w:rFonts w:cs="Helvetica"/>
          <w:sz w:val="24"/>
          <w:szCs w:val="24"/>
        </w:rPr>
        <w:t xml:space="preserve"> on an end of day or t+</w:t>
      </w:r>
      <w:r w:rsidR="00461523" w:rsidRPr="001026E6">
        <w:rPr>
          <w:rFonts w:cs="Helvetica"/>
          <w:i/>
          <w:iCs/>
          <w:sz w:val="24"/>
          <w:szCs w:val="24"/>
        </w:rPr>
        <w:t>n</w:t>
      </w:r>
      <w:r w:rsidR="00461523" w:rsidRPr="001026E6">
        <w:rPr>
          <w:rFonts w:cs="Helvetica"/>
          <w:sz w:val="24"/>
          <w:szCs w:val="24"/>
        </w:rPr>
        <w:t xml:space="preserve"> basis)</w:t>
      </w:r>
      <w:r w:rsidR="002D73FC" w:rsidRPr="001026E6">
        <w:rPr>
          <w:rFonts w:cs="Helvetica"/>
          <w:sz w:val="24"/>
          <w:szCs w:val="24"/>
        </w:rPr>
        <w:t xml:space="preserve">, the </w:t>
      </w:r>
      <w:r w:rsidR="0009615B" w:rsidRPr="001026E6">
        <w:rPr>
          <w:rFonts w:cs="Helvetica"/>
          <w:sz w:val="24"/>
          <w:szCs w:val="24"/>
        </w:rPr>
        <w:t xml:space="preserve">FSRA may </w:t>
      </w:r>
      <w:r w:rsidR="00505187" w:rsidRPr="001026E6">
        <w:rPr>
          <w:rFonts w:cs="Helvetica"/>
          <w:sz w:val="24"/>
          <w:szCs w:val="24"/>
        </w:rPr>
        <w:t>likely</w:t>
      </w:r>
      <w:r w:rsidRPr="001026E6">
        <w:rPr>
          <w:rFonts w:cs="Helvetica"/>
          <w:sz w:val="24"/>
          <w:szCs w:val="24"/>
        </w:rPr>
        <w:t xml:space="preserve"> require </w:t>
      </w:r>
      <w:r w:rsidR="0009615B" w:rsidRPr="001026E6">
        <w:rPr>
          <w:rFonts w:cs="Helvetica"/>
          <w:sz w:val="24"/>
          <w:szCs w:val="24"/>
        </w:rPr>
        <w:t xml:space="preserve">the </w:t>
      </w:r>
      <w:r w:rsidR="002D73FC" w:rsidRPr="001026E6">
        <w:rPr>
          <w:rFonts w:cs="Helvetica"/>
          <w:sz w:val="24"/>
          <w:szCs w:val="24"/>
        </w:rPr>
        <w:t>DSF</w:t>
      </w:r>
      <w:r w:rsidRPr="001026E6">
        <w:rPr>
          <w:rFonts w:cs="Helvetica"/>
          <w:sz w:val="24"/>
          <w:szCs w:val="24"/>
        </w:rPr>
        <w:t xml:space="preserve"> </w:t>
      </w:r>
      <w:r w:rsidR="0009615B" w:rsidRPr="001026E6">
        <w:rPr>
          <w:rFonts w:cs="Helvetica"/>
          <w:sz w:val="24"/>
          <w:szCs w:val="24"/>
        </w:rPr>
        <w:t xml:space="preserve">to integrate specific risk management functions within its </w:t>
      </w:r>
      <w:r w:rsidR="00505187" w:rsidRPr="001026E6">
        <w:rPr>
          <w:rFonts w:cs="Helvetica"/>
          <w:sz w:val="24"/>
          <w:szCs w:val="24"/>
        </w:rPr>
        <w:t>operations</w:t>
      </w:r>
      <w:r w:rsidR="0009615B" w:rsidRPr="001026E6">
        <w:rPr>
          <w:rFonts w:cs="Helvetica"/>
          <w:sz w:val="24"/>
          <w:szCs w:val="24"/>
        </w:rPr>
        <w:t xml:space="preserve">, as per the requirements of MIR Chapter 4, including </w:t>
      </w:r>
      <w:r w:rsidR="00C342E9" w:rsidRPr="001026E6">
        <w:rPr>
          <w:rFonts w:cs="Helvetica"/>
          <w:sz w:val="24"/>
          <w:szCs w:val="24"/>
        </w:rPr>
        <w:t xml:space="preserve">in relation to </w:t>
      </w:r>
      <w:r w:rsidR="0089054A" w:rsidRPr="001026E6">
        <w:rPr>
          <w:rFonts w:cs="Helvetica"/>
          <w:sz w:val="24"/>
          <w:szCs w:val="24"/>
        </w:rPr>
        <w:t>(</w:t>
      </w:r>
      <w:r w:rsidR="0009615B" w:rsidRPr="001026E6">
        <w:rPr>
          <w:rFonts w:cs="Helvetica"/>
          <w:sz w:val="24"/>
          <w:szCs w:val="24"/>
        </w:rPr>
        <w:t>but not limited to</w:t>
      </w:r>
      <w:r w:rsidR="0089054A" w:rsidRPr="001026E6">
        <w:rPr>
          <w:rFonts w:cs="Helvetica"/>
          <w:sz w:val="24"/>
          <w:szCs w:val="24"/>
        </w:rPr>
        <w:t>)</w:t>
      </w:r>
      <w:r w:rsidR="0009615B" w:rsidRPr="001026E6">
        <w:rPr>
          <w:rFonts w:cs="Helvetica"/>
          <w:sz w:val="24"/>
          <w:szCs w:val="24"/>
        </w:rPr>
        <w:t xml:space="preserve"> the scenarios identified in paragraph</w:t>
      </w:r>
      <w:r w:rsidR="00E40A29" w:rsidRPr="001026E6">
        <w:rPr>
          <w:rFonts w:cs="Helvetica"/>
          <w:sz w:val="24"/>
          <w:szCs w:val="24"/>
        </w:rPr>
        <w:t xml:space="preserve"> (c)</w:t>
      </w:r>
      <w:r w:rsidR="0009615B" w:rsidRPr="001026E6">
        <w:rPr>
          <w:rFonts w:cs="Helvetica"/>
          <w:sz w:val="24"/>
          <w:szCs w:val="24"/>
        </w:rPr>
        <w:t xml:space="preserve"> below.</w:t>
      </w:r>
    </w:p>
    <w:p w14:paraId="3CF56A18" w14:textId="77777777" w:rsidR="00664F0B" w:rsidRPr="001026E6" w:rsidRDefault="00664F0B" w:rsidP="00C342E9">
      <w:pPr>
        <w:pStyle w:val="ListParagraph"/>
        <w:ind w:left="851"/>
        <w:jc w:val="both"/>
        <w:rPr>
          <w:rFonts w:cs="Helvetica"/>
          <w:sz w:val="24"/>
          <w:szCs w:val="24"/>
        </w:rPr>
      </w:pPr>
    </w:p>
    <w:p w14:paraId="2DF3EE0A" w14:textId="5AF5EBCC" w:rsidR="00BE078E" w:rsidRPr="001026E6" w:rsidRDefault="00786D99" w:rsidP="00C342E9">
      <w:pPr>
        <w:pStyle w:val="ListParagraph"/>
        <w:numPr>
          <w:ilvl w:val="0"/>
          <w:numId w:val="67"/>
        </w:numPr>
        <w:ind w:left="851"/>
        <w:jc w:val="both"/>
        <w:rPr>
          <w:rFonts w:cs="Helvetica"/>
          <w:sz w:val="24"/>
          <w:szCs w:val="24"/>
        </w:rPr>
      </w:pPr>
      <w:r w:rsidRPr="001026E6">
        <w:rPr>
          <w:rFonts w:cs="Helvetica"/>
          <w:sz w:val="24"/>
          <w:szCs w:val="24"/>
        </w:rPr>
        <w:t xml:space="preserve">For transactions with </w:t>
      </w:r>
      <w:r w:rsidR="00461523" w:rsidRPr="001026E6">
        <w:rPr>
          <w:rFonts w:cs="Helvetica"/>
          <w:sz w:val="24"/>
          <w:szCs w:val="24"/>
        </w:rPr>
        <w:t>instantaneous delivery versus payment (DvP)</w:t>
      </w:r>
      <w:r w:rsidR="00664F0B" w:rsidRPr="001026E6">
        <w:rPr>
          <w:rFonts w:cs="Helvetica"/>
          <w:sz w:val="24"/>
          <w:szCs w:val="24"/>
        </w:rPr>
        <w:t>,</w:t>
      </w:r>
      <w:r w:rsidR="00EC4764" w:rsidRPr="001026E6">
        <w:rPr>
          <w:rStyle w:val="FootnoteReference"/>
          <w:rFonts w:cs="Helvetica"/>
          <w:sz w:val="24"/>
          <w:szCs w:val="24"/>
        </w:rPr>
        <w:footnoteReference w:id="16"/>
      </w:r>
      <w:r w:rsidRPr="001026E6" w:rsidDel="00786D99">
        <w:rPr>
          <w:rStyle w:val="FootnoteReference"/>
          <w:rFonts w:cs="Helvetica"/>
          <w:sz w:val="24"/>
          <w:szCs w:val="24"/>
        </w:rPr>
        <w:t xml:space="preserve"> </w:t>
      </w:r>
      <w:r w:rsidR="00EC4764" w:rsidRPr="001026E6">
        <w:rPr>
          <w:rFonts w:cs="Helvetica"/>
          <w:sz w:val="24"/>
          <w:szCs w:val="24"/>
        </w:rPr>
        <w:t xml:space="preserve">the FSRA </w:t>
      </w:r>
      <w:r w:rsidR="00664F0B" w:rsidRPr="001026E6">
        <w:rPr>
          <w:rFonts w:cs="Helvetica"/>
          <w:sz w:val="24"/>
          <w:szCs w:val="24"/>
        </w:rPr>
        <w:t xml:space="preserve">may deem </w:t>
      </w:r>
      <w:r w:rsidR="00461523" w:rsidRPr="001026E6">
        <w:rPr>
          <w:rFonts w:cs="Helvetica"/>
          <w:sz w:val="24"/>
          <w:szCs w:val="24"/>
        </w:rPr>
        <w:t>certain aspects</w:t>
      </w:r>
      <w:r w:rsidR="007C16FE" w:rsidRPr="001026E6">
        <w:rPr>
          <w:rFonts w:cs="Helvetica"/>
          <w:sz w:val="24"/>
          <w:szCs w:val="24"/>
        </w:rPr>
        <w:t xml:space="preserve"> relating to default management </w:t>
      </w:r>
      <w:r w:rsidR="00664F0B" w:rsidRPr="001026E6">
        <w:rPr>
          <w:rFonts w:cs="Helvetica"/>
          <w:sz w:val="24"/>
          <w:szCs w:val="24"/>
        </w:rPr>
        <w:t xml:space="preserve">to </w:t>
      </w:r>
      <w:r w:rsidR="00461523" w:rsidRPr="001026E6">
        <w:rPr>
          <w:rFonts w:cs="Helvetica"/>
          <w:sz w:val="24"/>
          <w:szCs w:val="24"/>
        </w:rPr>
        <w:t>not apply</w:t>
      </w:r>
      <w:r w:rsidR="00BE078E" w:rsidRPr="001026E6">
        <w:rPr>
          <w:rFonts w:cs="Helvetica"/>
          <w:sz w:val="24"/>
          <w:szCs w:val="24"/>
        </w:rPr>
        <w:t xml:space="preserve">. </w:t>
      </w:r>
      <w:r w:rsidR="00EC4764" w:rsidRPr="001026E6">
        <w:rPr>
          <w:rFonts w:cs="Helvetica"/>
          <w:sz w:val="24"/>
          <w:szCs w:val="24"/>
        </w:rPr>
        <w:t xml:space="preserve"> </w:t>
      </w:r>
      <w:r w:rsidR="00664F0B" w:rsidRPr="001026E6">
        <w:rPr>
          <w:rFonts w:cs="Helvetica"/>
          <w:sz w:val="24"/>
          <w:szCs w:val="24"/>
        </w:rPr>
        <w:t>For transactions w</w:t>
      </w:r>
      <w:r w:rsidR="00BE078E" w:rsidRPr="001026E6">
        <w:rPr>
          <w:rFonts w:cs="Helvetica"/>
          <w:sz w:val="24"/>
          <w:szCs w:val="24"/>
        </w:rPr>
        <w:t>here end of day, or t+</w:t>
      </w:r>
      <w:r w:rsidR="00BE078E" w:rsidRPr="001026E6">
        <w:rPr>
          <w:rFonts w:cs="Helvetica"/>
          <w:i/>
          <w:iCs/>
          <w:sz w:val="24"/>
          <w:szCs w:val="24"/>
        </w:rPr>
        <w:t>n</w:t>
      </w:r>
      <w:r w:rsidR="00BE078E" w:rsidRPr="001026E6">
        <w:rPr>
          <w:rFonts w:cs="Helvetica"/>
          <w:sz w:val="24"/>
          <w:szCs w:val="24"/>
        </w:rPr>
        <w:t xml:space="preserve"> DvP occurs, there may be scope for the DSF to implement default management provisions commensurate to the </w:t>
      </w:r>
      <w:r w:rsidR="00E4563C" w:rsidRPr="001026E6">
        <w:rPr>
          <w:rFonts w:cs="Helvetica"/>
          <w:sz w:val="24"/>
          <w:szCs w:val="24"/>
        </w:rPr>
        <w:t xml:space="preserve">length of the </w:t>
      </w:r>
      <w:r w:rsidR="00BE078E" w:rsidRPr="001026E6">
        <w:rPr>
          <w:rFonts w:cs="Helvetica"/>
          <w:sz w:val="24"/>
          <w:szCs w:val="24"/>
        </w:rPr>
        <w:t>settlement time</w:t>
      </w:r>
      <w:r w:rsidR="00E4563C" w:rsidRPr="001026E6">
        <w:rPr>
          <w:rFonts w:cs="Helvetica"/>
          <w:sz w:val="24"/>
          <w:szCs w:val="24"/>
        </w:rPr>
        <w:t>-</w:t>
      </w:r>
      <w:r w:rsidR="00BE078E" w:rsidRPr="001026E6">
        <w:rPr>
          <w:rFonts w:cs="Helvetica"/>
          <w:sz w:val="24"/>
          <w:szCs w:val="24"/>
        </w:rPr>
        <w:t>horizon.</w:t>
      </w:r>
    </w:p>
    <w:p w14:paraId="01FFCEE0" w14:textId="77777777" w:rsidR="00BE078E" w:rsidRPr="001026E6" w:rsidRDefault="00BE078E" w:rsidP="00C342E9">
      <w:pPr>
        <w:pStyle w:val="ListParagraph"/>
        <w:ind w:left="851"/>
        <w:rPr>
          <w:rFonts w:cs="Helvetica"/>
          <w:sz w:val="24"/>
          <w:szCs w:val="24"/>
        </w:rPr>
      </w:pPr>
    </w:p>
    <w:p w14:paraId="4DB027AA" w14:textId="77777777" w:rsidR="00D05BD2" w:rsidRPr="001026E6" w:rsidRDefault="00D05BD2" w:rsidP="00C342E9">
      <w:pPr>
        <w:pStyle w:val="ListParagraph"/>
        <w:numPr>
          <w:ilvl w:val="0"/>
          <w:numId w:val="67"/>
        </w:numPr>
        <w:ind w:left="851"/>
        <w:jc w:val="both"/>
        <w:rPr>
          <w:rFonts w:cs="Helvetica"/>
          <w:sz w:val="24"/>
          <w:szCs w:val="24"/>
        </w:rPr>
      </w:pPr>
      <w:r w:rsidRPr="001026E6">
        <w:rPr>
          <w:rFonts w:cs="Helvetica"/>
          <w:sz w:val="24"/>
          <w:szCs w:val="24"/>
        </w:rPr>
        <w:t xml:space="preserve">In the case of a DSF performing DvP on a delayed basis, the FSRA may </w:t>
      </w:r>
      <w:r w:rsidR="00211DDD" w:rsidRPr="001026E6">
        <w:rPr>
          <w:rFonts w:cs="Helvetica"/>
          <w:sz w:val="24"/>
          <w:szCs w:val="24"/>
        </w:rPr>
        <w:t xml:space="preserve">impose certain </w:t>
      </w:r>
      <w:r w:rsidR="00E40A29" w:rsidRPr="001026E6">
        <w:rPr>
          <w:rFonts w:cs="Helvetica"/>
          <w:sz w:val="24"/>
          <w:szCs w:val="24"/>
        </w:rPr>
        <w:t xml:space="preserve">further obligations on the DSF (as set out </w:t>
      </w:r>
      <w:r w:rsidRPr="001026E6">
        <w:rPr>
          <w:rFonts w:cs="Helvetica"/>
          <w:sz w:val="24"/>
          <w:szCs w:val="24"/>
        </w:rPr>
        <w:t>within Chapter 4 of MIR</w:t>
      </w:r>
      <w:r w:rsidR="00E40A29" w:rsidRPr="001026E6">
        <w:rPr>
          <w:rFonts w:cs="Helvetica"/>
          <w:sz w:val="24"/>
          <w:szCs w:val="24"/>
        </w:rPr>
        <w:t>)</w:t>
      </w:r>
      <w:r w:rsidRPr="001026E6">
        <w:rPr>
          <w:rFonts w:cs="Helvetica"/>
          <w:sz w:val="24"/>
          <w:szCs w:val="24"/>
        </w:rPr>
        <w:t xml:space="preserve"> including</w:t>
      </w:r>
      <w:r w:rsidR="00E40A29" w:rsidRPr="001026E6">
        <w:rPr>
          <w:rFonts w:cs="Helvetica"/>
          <w:sz w:val="24"/>
          <w:szCs w:val="24"/>
        </w:rPr>
        <w:t xml:space="preserve"> in relation to</w:t>
      </w:r>
      <w:r w:rsidRPr="001026E6">
        <w:rPr>
          <w:rFonts w:cs="Helvetica"/>
          <w:sz w:val="24"/>
          <w:szCs w:val="24"/>
        </w:rPr>
        <w:t xml:space="preserve"> the following:</w:t>
      </w:r>
    </w:p>
    <w:p w14:paraId="79EE78C0" w14:textId="77777777" w:rsidR="00D05BD2" w:rsidRPr="001026E6" w:rsidRDefault="00D05BD2" w:rsidP="004C1851">
      <w:pPr>
        <w:pStyle w:val="ListParagraph"/>
        <w:rPr>
          <w:rFonts w:cs="Helvetica"/>
          <w:sz w:val="24"/>
          <w:szCs w:val="24"/>
        </w:rPr>
      </w:pPr>
    </w:p>
    <w:p w14:paraId="4C9B6658" w14:textId="77777777" w:rsidR="00D05BD2" w:rsidRPr="001026E6" w:rsidRDefault="00D05BD2" w:rsidP="009215FB">
      <w:pPr>
        <w:pStyle w:val="ListParagraph"/>
        <w:numPr>
          <w:ilvl w:val="0"/>
          <w:numId w:val="63"/>
        </w:numPr>
        <w:ind w:left="1276"/>
        <w:jc w:val="both"/>
        <w:rPr>
          <w:rFonts w:cs="Helvetica"/>
          <w:sz w:val="24"/>
          <w:szCs w:val="24"/>
        </w:rPr>
      </w:pPr>
      <w:r w:rsidRPr="001026E6">
        <w:rPr>
          <w:rFonts w:cs="Helvetica"/>
          <w:sz w:val="24"/>
          <w:szCs w:val="24"/>
        </w:rPr>
        <w:t xml:space="preserve">MIR Rule </w:t>
      </w:r>
      <w:r w:rsidR="00BE078E" w:rsidRPr="001026E6">
        <w:rPr>
          <w:rFonts w:cs="Helvetica"/>
          <w:sz w:val="24"/>
          <w:szCs w:val="24"/>
        </w:rPr>
        <w:t>4.2 (</w:t>
      </w:r>
      <w:r w:rsidRPr="001026E6">
        <w:rPr>
          <w:rFonts w:cs="Helvetica"/>
          <w:sz w:val="24"/>
          <w:szCs w:val="24"/>
        </w:rPr>
        <w:t>e.g.</w:t>
      </w:r>
      <w:r w:rsidR="00E40A29" w:rsidRPr="001026E6">
        <w:rPr>
          <w:rFonts w:cs="Helvetica"/>
          <w:sz w:val="24"/>
          <w:szCs w:val="24"/>
        </w:rPr>
        <w:t>,</w:t>
      </w:r>
      <w:r w:rsidRPr="001026E6">
        <w:rPr>
          <w:rFonts w:cs="Helvetica"/>
          <w:sz w:val="24"/>
          <w:szCs w:val="24"/>
        </w:rPr>
        <w:t xml:space="preserve"> </w:t>
      </w:r>
      <w:r w:rsidR="00E40A29" w:rsidRPr="001026E6">
        <w:rPr>
          <w:rFonts w:cs="Helvetica"/>
          <w:sz w:val="24"/>
          <w:szCs w:val="24"/>
        </w:rPr>
        <w:t>c</w:t>
      </w:r>
      <w:r w:rsidR="00BE078E" w:rsidRPr="001026E6">
        <w:rPr>
          <w:rFonts w:cs="Helvetica"/>
          <w:sz w:val="24"/>
          <w:szCs w:val="24"/>
        </w:rPr>
        <w:t>apital requirements</w:t>
      </w:r>
      <w:r w:rsidR="00E40A29" w:rsidRPr="001026E6">
        <w:rPr>
          <w:rFonts w:cs="Helvetica"/>
          <w:sz w:val="24"/>
          <w:szCs w:val="24"/>
        </w:rPr>
        <w:t xml:space="preserve"> - </w:t>
      </w:r>
      <w:r w:rsidR="00BE078E" w:rsidRPr="001026E6">
        <w:rPr>
          <w:rFonts w:cs="Helvetica"/>
          <w:sz w:val="24"/>
          <w:szCs w:val="24"/>
        </w:rPr>
        <w:t>in relation to credit, counterparty, and market risks)</w:t>
      </w:r>
      <w:r w:rsidRPr="001026E6">
        <w:rPr>
          <w:rFonts w:cs="Helvetica"/>
          <w:sz w:val="24"/>
          <w:szCs w:val="24"/>
        </w:rPr>
        <w:t>;</w:t>
      </w:r>
    </w:p>
    <w:p w14:paraId="00B21CE8" w14:textId="77777777" w:rsidR="00D05BD2" w:rsidRPr="001026E6" w:rsidRDefault="00D05BD2" w:rsidP="009215FB">
      <w:pPr>
        <w:pStyle w:val="ListParagraph"/>
        <w:numPr>
          <w:ilvl w:val="0"/>
          <w:numId w:val="63"/>
        </w:numPr>
        <w:ind w:left="1276"/>
        <w:jc w:val="both"/>
        <w:rPr>
          <w:rFonts w:cs="Helvetica"/>
          <w:sz w:val="24"/>
          <w:szCs w:val="24"/>
        </w:rPr>
      </w:pPr>
      <w:r w:rsidRPr="001026E6">
        <w:rPr>
          <w:rFonts w:cs="Helvetica"/>
          <w:sz w:val="24"/>
          <w:szCs w:val="24"/>
        </w:rPr>
        <w:t>MIR Rule 4.5 (</w:t>
      </w:r>
      <w:r w:rsidR="00E40A29" w:rsidRPr="001026E6">
        <w:rPr>
          <w:rFonts w:cs="Helvetica"/>
          <w:sz w:val="24"/>
          <w:szCs w:val="24"/>
        </w:rPr>
        <w:t>e.g., d</w:t>
      </w:r>
      <w:r w:rsidRPr="001026E6">
        <w:rPr>
          <w:rFonts w:cs="Helvetica"/>
          <w:sz w:val="24"/>
          <w:szCs w:val="24"/>
        </w:rPr>
        <w:t>efault management);</w:t>
      </w:r>
    </w:p>
    <w:p w14:paraId="4C0BA914" w14:textId="77777777" w:rsidR="00D05BD2" w:rsidRPr="001026E6" w:rsidRDefault="00D05BD2" w:rsidP="009215FB">
      <w:pPr>
        <w:pStyle w:val="ListParagraph"/>
        <w:numPr>
          <w:ilvl w:val="0"/>
          <w:numId w:val="63"/>
        </w:numPr>
        <w:ind w:left="1276"/>
        <w:jc w:val="both"/>
        <w:rPr>
          <w:rFonts w:cs="Helvetica"/>
          <w:sz w:val="24"/>
          <w:szCs w:val="24"/>
        </w:rPr>
      </w:pPr>
      <w:r w:rsidRPr="001026E6">
        <w:rPr>
          <w:rFonts w:cs="Helvetica"/>
          <w:sz w:val="24"/>
          <w:szCs w:val="24"/>
        </w:rPr>
        <w:t>MIR Rule 4.6 (</w:t>
      </w:r>
      <w:r w:rsidR="00E40A29" w:rsidRPr="001026E6">
        <w:rPr>
          <w:rFonts w:cs="Helvetica"/>
          <w:sz w:val="24"/>
          <w:szCs w:val="24"/>
        </w:rPr>
        <w:t>e.g., s</w:t>
      </w:r>
      <w:r w:rsidRPr="001026E6">
        <w:rPr>
          <w:rFonts w:cs="Helvetica"/>
          <w:sz w:val="24"/>
          <w:szCs w:val="24"/>
        </w:rPr>
        <w:t>tress testing);</w:t>
      </w:r>
    </w:p>
    <w:p w14:paraId="766231F7" w14:textId="77777777" w:rsidR="00D05BD2" w:rsidRPr="001026E6" w:rsidRDefault="00193CC1" w:rsidP="009215FB">
      <w:pPr>
        <w:pStyle w:val="ListParagraph"/>
        <w:numPr>
          <w:ilvl w:val="0"/>
          <w:numId w:val="63"/>
        </w:numPr>
        <w:ind w:left="1276"/>
        <w:jc w:val="both"/>
        <w:rPr>
          <w:rFonts w:cs="Helvetica"/>
          <w:sz w:val="24"/>
          <w:szCs w:val="24"/>
        </w:rPr>
      </w:pPr>
      <w:r w:rsidRPr="001026E6">
        <w:rPr>
          <w:rFonts w:cs="Helvetica"/>
          <w:sz w:val="24"/>
          <w:szCs w:val="24"/>
        </w:rPr>
        <w:lastRenderedPageBreak/>
        <w:t>MIR Rule 4.7 (</w:t>
      </w:r>
      <w:r w:rsidR="00E40A29" w:rsidRPr="001026E6">
        <w:rPr>
          <w:rFonts w:cs="Helvetica"/>
          <w:sz w:val="24"/>
          <w:szCs w:val="24"/>
        </w:rPr>
        <w:t>risk management</w:t>
      </w:r>
      <w:r w:rsidRPr="001026E6">
        <w:rPr>
          <w:rFonts w:cs="Helvetica"/>
          <w:sz w:val="24"/>
          <w:szCs w:val="24"/>
        </w:rPr>
        <w:t>);</w:t>
      </w:r>
    </w:p>
    <w:p w14:paraId="3023C3E6" w14:textId="77777777" w:rsidR="00193CC1" w:rsidRPr="001026E6" w:rsidRDefault="00193CC1" w:rsidP="009215FB">
      <w:pPr>
        <w:pStyle w:val="ListParagraph"/>
        <w:numPr>
          <w:ilvl w:val="0"/>
          <w:numId w:val="63"/>
        </w:numPr>
        <w:ind w:left="1276"/>
        <w:jc w:val="both"/>
        <w:rPr>
          <w:rFonts w:cs="Helvetica"/>
          <w:sz w:val="24"/>
          <w:szCs w:val="24"/>
        </w:rPr>
      </w:pPr>
      <w:r w:rsidRPr="001026E6">
        <w:rPr>
          <w:rFonts w:cs="Helvetica"/>
          <w:sz w:val="24"/>
          <w:szCs w:val="24"/>
        </w:rPr>
        <w:t>MIR Rule 4.10 (collateral management and margin);</w:t>
      </w:r>
      <w:r w:rsidR="00664F0B" w:rsidRPr="001026E6">
        <w:rPr>
          <w:rFonts w:cs="Helvetica"/>
          <w:sz w:val="24"/>
          <w:szCs w:val="24"/>
        </w:rPr>
        <w:t xml:space="preserve"> and</w:t>
      </w:r>
    </w:p>
    <w:p w14:paraId="671F0912" w14:textId="77777777" w:rsidR="00193CC1" w:rsidRPr="001026E6" w:rsidRDefault="00193CC1" w:rsidP="009215FB">
      <w:pPr>
        <w:pStyle w:val="ListParagraph"/>
        <w:numPr>
          <w:ilvl w:val="0"/>
          <w:numId w:val="63"/>
        </w:numPr>
        <w:ind w:left="1276"/>
        <w:jc w:val="both"/>
        <w:rPr>
          <w:rFonts w:cs="Helvetica"/>
          <w:sz w:val="24"/>
          <w:szCs w:val="24"/>
        </w:rPr>
      </w:pPr>
      <w:r w:rsidRPr="001026E6">
        <w:rPr>
          <w:rFonts w:cs="Helvetica"/>
          <w:sz w:val="24"/>
          <w:szCs w:val="24"/>
        </w:rPr>
        <w:t>MIR Rule 4.12 (segregation and portability of Client Assets).</w:t>
      </w:r>
    </w:p>
    <w:p w14:paraId="2CABF26C" w14:textId="77777777" w:rsidR="0096051E" w:rsidRPr="001026E6" w:rsidRDefault="0096051E" w:rsidP="0008633D">
      <w:pPr>
        <w:pStyle w:val="ListParagraph"/>
        <w:ind w:left="1146"/>
        <w:jc w:val="both"/>
        <w:rPr>
          <w:rFonts w:cs="Helvetica"/>
          <w:sz w:val="24"/>
          <w:szCs w:val="24"/>
        </w:rPr>
      </w:pPr>
    </w:p>
    <w:p w14:paraId="5B7FEEE0" w14:textId="74A895B3" w:rsidR="005D543B" w:rsidRPr="001026E6" w:rsidRDefault="00643E9B">
      <w:pPr>
        <w:pStyle w:val="Heading1"/>
        <w:keepLines w:val="0"/>
        <w:spacing w:before="0" w:after="240" w:line="246" w:lineRule="atLeast"/>
        <w:jc w:val="both"/>
        <w:rPr>
          <w:rFonts w:asciiTheme="minorHAnsi" w:hAnsiTheme="minorHAnsi"/>
          <w:sz w:val="24"/>
          <w:szCs w:val="24"/>
        </w:rPr>
      </w:pPr>
      <w:bookmarkStart w:id="55" w:name="_Toc18571332"/>
      <w:bookmarkStart w:id="56" w:name="_Toc33443083"/>
      <w:r w:rsidRPr="001026E6">
        <w:rPr>
          <w:rFonts w:asciiTheme="minorHAnsi" w:hAnsiTheme="minorHAnsi"/>
          <w:sz w:val="24"/>
          <w:szCs w:val="24"/>
        </w:rPr>
        <w:t xml:space="preserve">AUTHORISED PERSONS </w:t>
      </w:r>
      <w:r w:rsidR="00F17B25" w:rsidRPr="001026E6">
        <w:rPr>
          <w:rFonts w:asciiTheme="minorHAnsi" w:hAnsiTheme="minorHAnsi"/>
          <w:sz w:val="24"/>
          <w:szCs w:val="24"/>
        </w:rPr>
        <w:t>CONDUCTING A REGULATED</w:t>
      </w:r>
      <w:r w:rsidRPr="001026E6">
        <w:rPr>
          <w:rFonts w:asciiTheme="minorHAnsi" w:hAnsiTheme="minorHAnsi"/>
          <w:sz w:val="24"/>
          <w:szCs w:val="24"/>
        </w:rPr>
        <w:t xml:space="preserve"> ACTIVIT</w:t>
      </w:r>
      <w:r w:rsidR="00F17B25" w:rsidRPr="001026E6">
        <w:rPr>
          <w:rFonts w:asciiTheme="minorHAnsi" w:hAnsiTheme="minorHAnsi"/>
          <w:sz w:val="24"/>
          <w:szCs w:val="24"/>
        </w:rPr>
        <w:t>Y</w:t>
      </w:r>
      <w:r w:rsidRPr="001026E6">
        <w:rPr>
          <w:rFonts w:asciiTheme="minorHAnsi" w:hAnsiTheme="minorHAnsi"/>
          <w:sz w:val="24"/>
          <w:szCs w:val="24"/>
        </w:rPr>
        <w:t xml:space="preserve"> IN RELATION TO VIRTUAL ASSETS </w:t>
      </w:r>
      <w:r w:rsidR="005D543B" w:rsidRPr="001026E6">
        <w:rPr>
          <w:rFonts w:asciiTheme="minorHAnsi" w:hAnsiTheme="minorHAnsi"/>
          <w:sz w:val="24"/>
          <w:szCs w:val="24"/>
        </w:rPr>
        <w:t xml:space="preserve">– </w:t>
      </w:r>
      <w:r w:rsidR="00F17B25" w:rsidRPr="001026E6">
        <w:rPr>
          <w:rFonts w:asciiTheme="minorHAnsi" w:hAnsiTheme="minorHAnsi"/>
          <w:sz w:val="24"/>
          <w:szCs w:val="24"/>
        </w:rPr>
        <w:t>EXTENSION INTO</w:t>
      </w:r>
      <w:r w:rsidR="005D543B" w:rsidRPr="001026E6">
        <w:rPr>
          <w:rFonts w:asciiTheme="minorHAnsi" w:hAnsiTheme="minorHAnsi"/>
          <w:sz w:val="24"/>
          <w:szCs w:val="24"/>
        </w:rPr>
        <w:t xml:space="preserve"> TO DIGITAL SECURITIES ACTIVITIES</w:t>
      </w:r>
      <w:bookmarkEnd w:id="55"/>
      <w:bookmarkEnd w:id="56"/>
    </w:p>
    <w:p w14:paraId="55FBF8D1" w14:textId="0B113767" w:rsidR="00FD4927" w:rsidRPr="001026E6" w:rsidRDefault="000D52D6">
      <w:pPr>
        <w:pStyle w:val="ListParagraph"/>
        <w:numPr>
          <w:ilvl w:val="0"/>
          <w:numId w:val="1"/>
        </w:numPr>
        <w:ind w:left="426"/>
        <w:jc w:val="both"/>
        <w:rPr>
          <w:rFonts w:cs="Helvetica"/>
          <w:sz w:val="24"/>
          <w:szCs w:val="24"/>
        </w:rPr>
      </w:pPr>
      <w:r w:rsidRPr="001026E6">
        <w:rPr>
          <w:rFonts w:cs="Helvetica"/>
          <w:sz w:val="24"/>
          <w:szCs w:val="24"/>
        </w:rPr>
        <w:t>This section of the Guidance set</w:t>
      </w:r>
      <w:r w:rsidR="004E645A" w:rsidRPr="001026E6">
        <w:rPr>
          <w:rFonts w:cs="Helvetica"/>
          <w:sz w:val="24"/>
          <w:szCs w:val="24"/>
        </w:rPr>
        <w:t>s</w:t>
      </w:r>
      <w:r w:rsidRPr="001026E6">
        <w:rPr>
          <w:rFonts w:cs="Helvetica"/>
          <w:sz w:val="24"/>
          <w:szCs w:val="24"/>
        </w:rPr>
        <w:t xml:space="preserve"> out </w:t>
      </w:r>
      <w:r w:rsidR="00664F0B" w:rsidRPr="001026E6">
        <w:rPr>
          <w:rFonts w:cs="Helvetica"/>
          <w:sz w:val="24"/>
          <w:szCs w:val="24"/>
        </w:rPr>
        <w:t xml:space="preserve">the </w:t>
      </w:r>
      <w:r w:rsidRPr="001026E6">
        <w:rPr>
          <w:rFonts w:cs="Helvetica"/>
          <w:sz w:val="24"/>
          <w:szCs w:val="24"/>
        </w:rPr>
        <w:t>FSRA</w:t>
      </w:r>
      <w:r w:rsidR="004E645A" w:rsidRPr="001026E6">
        <w:rPr>
          <w:rFonts w:cs="Helvetica"/>
          <w:sz w:val="24"/>
          <w:szCs w:val="24"/>
        </w:rPr>
        <w:t>’s</w:t>
      </w:r>
      <w:r w:rsidRPr="001026E6">
        <w:rPr>
          <w:rFonts w:cs="Helvetica"/>
          <w:sz w:val="24"/>
          <w:szCs w:val="24"/>
        </w:rPr>
        <w:t xml:space="preserve"> </w:t>
      </w:r>
      <w:r w:rsidR="00664F0B" w:rsidRPr="001026E6">
        <w:rPr>
          <w:rFonts w:cs="Helvetica"/>
          <w:sz w:val="24"/>
          <w:szCs w:val="24"/>
        </w:rPr>
        <w:t xml:space="preserve">views as </w:t>
      </w:r>
      <w:r w:rsidRPr="001026E6">
        <w:rPr>
          <w:rFonts w:cs="Helvetica"/>
          <w:sz w:val="24"/>
          <w:szCs w:val="24"/>
        </w:rPr>
        <w:t>to how</w:t>
      </w:r>
      <w:r w:rsidR="006C7E87" w:rsidRPr="001026E6">
        <w:rPr>
          <w:rFonts w:cs="Helvetica"/>
          <w:sz w:val="24"/>
          <w:szCs w:val="24"/>
        </w:rPr>
        <w:t xml:space="preserve"> </w:t>
      </w:r>
      <w:r w:rsidR="00643E9B" w:rsidRPr="001026E6">
        <w:rPr>
          <w:rFonts w:cs="Helvetica"/>
          <w:sz w:val="24"/>
          <w:szCs w:val="24"/>
        </w:rPr>
        <w:t xml:space="preserve">Authorised Persons </w:t>
      </w:r>
      <w:r w:rsidR="00F17B25" w:rsidRPr="001026E6">
        <w:rPr>
          <w:rFonts w:cs="Helvetica"/>
          <w:sz w:val="24"/>
          <w:szCs w:val="24"/>
        </w:rPr>
        <w:t>conducting a</w:t>
      </w:r>
      <w:r w:rsidR="00643E9B" w:rsidRPr="001026E6">
        <w:rPr>
          <w:rFonts w:cs="Helvetica"/>
          <w:sz w:val="24"/>
          <w:szCs w:val="24"/>
        </w:rPr>
        <w:t xml:space="preserve"> Regulated Activit</w:t>
      </w:r>
      <w:r w:rsidR="00F17B25" w:rsidRPr="001026E6">
        <w:rPr>
          <w:rFonts w:cs="Helvetica"/>
          <w:sz w:val="24"/>
          <w:szCs w:val="24"/>
        </w:rPr>
        <w:t>y</w:t>
      </w:r>
      <w:r w:rsidR="00643E9B" w:rsidRPr="001026E6">
        <w:rPr>
          <w:rFonts w:cs="Helvetica"/>
          <w:sz w:val="24"/>
          <w:szCs w:val="24"/>
        </w:rPr>
        <w:t xml:space="preserve"> (such as Operating an MTF</w:t>
      </w:r>
      <w:r w:rsidR="00F17B25" w:rsidRPr="001026E6">
        <w:rPr>
          <w:rFonts w:cs="Helvetica"/>
          <w:sz w:val="24"/>
          <w:szCs w:val="24"/>
        </w:rPr>
        <w:t>, acting as a Virtual Asset Custodian</w:t>
      </w:r>
      <w:r w:rsidR="00643E9B" w:rsidRPr="001026E6">
        <w:rPr>
          <w:rFonts w:cs="Helvetica"/>
          <w:sz w:val="24"/>
          <w:szCs w:val="24"/>
        </w:rPr>
        <w:t xml:space="preserve"> or other intermediary activities)</w:t>
      </w:r>
      <w:r w:rsidR="00C22D13" w:rsidRPr="001026E6">
        <w:rPr>
          <w:rFonts w:cs="Helvetica"/>
          <w:sz w:val="24"/>
          <w:szCs w:val="24"/>
        </w:rPr>
        <w:t xml:space="preserve"> in relation to Virtual Assets </w:t>
      </w:r>
      <w:r w:rsidR="00643E9B" w:rsidRPr="001026E6">
        <w:rPr>
          <w:rFonts w:cs="Helvetica"/>
          <w:sz w:val="24"/>
          <w:szCs w:val="24"/>
        </w:rPr>
        <w:t xml:space="preserve">can </w:t>
      </w:r>
      <w:r w:rsidR="00F17B25" w:rsidRPr="001026E6">
        <w:rPr>
          <w:rFonts w:cs="Helvetica"/>
          <w:sz w:val="24"/>
          <w:szCs w:val="24"/>
        </w:rPr>
        <w:t>extend</w:t>
      </w:r>
      <w:r w:rsidRPr="001026E6">
        <w:rPr>
          <w:rFonts w:cs="Helvetica"/>
          <w:sz w:val="24"/>
          <w:szCs w:val="24"/>
        </w:rPr>
        <w:t xml:space="preserve"> their </w:t>
      </w:r>
      <w:r w:rsidR="006C7E87" w:rsidRPr="001026E6">
        <w:rPr>
          <w:rFonts w:cs="Helvetica"/>
          <w:sz w:val="24"/>
          <w:szCs w:val="24"/>
        </w:rPr>
        <w:t>R</w:t>
      </w:r>
      <w:r w:rsidRPr="001026E6">
        <w:rPr>
          <w:rFonts w:cs="Helvetica"/>
          <w:sz w:val="24"/>
          <w:szCs w:val="24"/>
        </w:rPr>
        <w:t xml:space="preserve">egulated </w:t>
      </w:r>
      <w:r w:rsidR="006C7E87" w:rsidRPr="001026E6">
        <w:rPr>
          <w:rFonts w:cs="Helvetica"/>
          <w:sz w:val="24"/>
          <w:szCs w:val="24"/>
        </w:rPr>
        <w:t>A</w:t>
      </w:r>
      <w:r w:rsidRPr="001026E6">
        <w:rPr>
          <w:rFonts w:cs="Helvetica"/>
          <w:sz w:val="24"/>
          <w:szCs w:val="24"/>
        </w:rPr>
        <w:t>ctivities</w:t>
      </w:r>
      <w:r w:rsidR="00A22D83" w:rsidRPr="001026E6">
        <w:rPr>
          <w:rFonts w:cs="Helvetica"/>
          <w:sz w:val="24"/>
          <w:szCs w:val="24"/>
        </w:rPr>
        <w:t xml:space="preserve"> </w:t>
      </w:r>
      <w:r w:rsidR="006C7E87" w:rsidRPr="001026E6">
        <w:rPr>
          <w:rFonts w:cs="Helvetica"/>
          <w:sz w:val="24"/>
          <w:szCs w:val="24"/>
        </w:rPr>
        <w:t>by undertaking</w:t>
      </w:r>
      <w:r w:rsidRPr="001026E6">
        <w:rPr>
          <w:rFonts w:cs="Helvetica"/>
          <w:sz w:val="24"/>
          <w:szCs w:val="24"/>
        </w:rPr>
        <w:t xml:space="preserve"> Digital </w:t>
      </w:r>
      <w:r w:rsidR="00664F0B" w:rsidRPr="001026E6">
        <w:rPr>
          <w:rFonts w:cs="Helvetica"/>
          <w:sz w:val="24"/>
          <w:szCs w:val="24"/>
        </w:rPr>
        <w:t>Securities</w:t>
      </w:r>
      <w:r w:rsidR="006C7E87" w:rsidRPr="001026E6">
        <w:rPr>
          <w:rFonts w:cs="Helvetica"/>
          <w:sz w:val="24"/>
          <w:szCs w:val="24"/>
        </w:rPr>
        <w:t>-related Regulated Activities as well</w:t>
      </w:r>
      <w:r w:rsidRPr="001026E6">
        <w:rPr>
          <w:rFonts w:cs="Helvetica"/>
          <w:sz w:val="24"/>
          <w:szCs w:val="24"/>
        </w:rPr>
        <w:t xml:space="preserve"> (</w:t>
      </w:r>
      <w:r w:rsidR="00F17B25" w:rsidRPr="001026E6">
        <w:rPr>
          <w:rFonts w:cs="Helvetica"/>
          <w:sz w:val="24"/>
          <w:szCs w:val="24"/>
        </w:rPr>
        <w:t xml:space="preserve">including </w:t>
      </w:r>
      <w:r w:rsidRPr="001026E6">
        <w:rPr>
          <w:rFonts w:cs="Helvetica"/>
          <w:sz w:val="24"/>
          <w:szCs w:val="24"/>
        </w:rPr>
        <w:t>across RIEs, MTFs, and DSFs).</w:t>
      </w:r>
      <w:r w:rsidR="00664F0B" w:rsidRPr="001026E6">
        <w:rPr>
          <w:rFonts w:cs="Helvetica"/>
          <w:sz w:val="24"/>
          <w:szCs w:val="24"/>
        </w:rPr>
        <w:t xml:space="preserve">  </w:t>
      </w:r>
      <w:r w:rsidR="00F17B25" w:rsidRPr="001026E6">
        <w:rPr>
          <w:rFonts w:cs="Helvetica"/>
          <w:sz w:val="24"/>
          <w:szCs w:val="24"/>
        </w:rPr>
        <w:t xml:space="preserve">RIEs, or </w:t>
      </w:r>
      <w:r w:rsidR="00643E9B" w:rsidRPr="001026E6">
        <w:rPr>
          <w:rFonts w:cs="Helvetica"/>
          <w:sz w:val="24"/>
          <w:szCs w:val="24"/>
        </w:rPr>
        <w:t>Authorised Persons</w:t>
      </w:r>
      <w:r w:rsidR="00F17B25" w:rsidRPr="001026E6">
        <w:rPr>
          <w:rFonts w:cs="Helvetica"/>
          <w:sz w:val="24"/>
          <w:szCs w:val="24"/>
        </w:rPr>
        <w:t xml:space="preserve"> conducting a Regulated Activity in relation to</w:t>
      </w:r>
      <w:r w:rsidR="00643E9B" w:rsidRPr="001026E6">
        <w:rPr>
          <w:rFonts w:cs="Helvetica"/>
          <w:sz w:val="24"/>
          <w:szCs w:val="24"/>
        </w:rPr>
        <w:t xml:space="preserve"> Virtual Asset activities, </w:t>
      </w:r>
      <w:r w:rsidR="004E7534" w:rsidRPr="001026E6">
        <w:rPr>
          <w:rFonts w:cs="Helvetica"/>
          <w:sz w:val="24"/>
          <w:szCs w:val="24"/>
        </w:rPr>
        <w:t xml:space="preserve">wishing to expand into Digital Securities markets will need to apply to the FSRA for </w:t>
      </w:r>
      <w:r w:rsidR="008A5ACF" w:rsidRPr="001026E6">
        <w:rPr>
          <w:rFonts w:cs="Helvetica"/>
          <w:sz w:val="24"/>
          <w:szCs w:val="24"/>
        </w:rPr>
        <w:t xml:space="preserve">the relevant </w:t>
      </w:r>
      <w:r w:rsidR="004E7534" w:rsidRPr="001026E6">
        <w:rPr>
          <w:rFonts w:cs="Helvetica"/>
          <w:sz w:val="24"/>
          <w:szCs w:val="24"/>
        </w:rPr>
        <w:t xml:space="preserve">additional </w:t>
      </w:r>
      <w:r w:rsidR="006C7E87" w:rsidRPr="001026E6">
        <w:rPr>
          <w:rFonts w:cs="Helvetica"/>
          <w:sz w:val="24"/>
          <w:szCs w:val="24"/>
        </w:rPr>
        <w:t xml:space="preserve">regulatory </w:t>
      </w:r>
      <w:r w:rsidR="004E7534" w:rsidRPr="001026E6">
        <w:rPr>
          <w:rFonts w:cs="Helvetica"/>
          <w:sz w:val="24"/>
          <w:szCs w:val="24"/>
        </w:rPr>
        <w:t>approval</w:t>
      </w:r>
      <w:r w:rsidR="00896F41" w:rsidRPr="001026E6">
        <w:rPr>
          <w:rFonts w:cs="Helvetica"/>
          <w:sz w:val="24"/>
          <w:szCs w:val="24"/>
        </w:rPr>
        <w:t>s</w:t>
      </w:r>
      <w:r w:rsidR="004E7534" w:rsidRPr="001026E6">
        <w:rPr>
          <w:rFonts w:cs="Helvetica"/>
          <w:sz w:val="24"/>
          <w:szCs w:val="24"/>
        </w:rPr>
        <w:t xml:space="preserve"> to do so.  </w:t>
      </w:r>
    </w:p>
    <w:p w14:paraId="198B479E" w14:textId="786696C7" w:rsidR="005D543B" w:rsidRPr="001026E6" w:rsidRDefault="00DD1196" w:rsidP="00DD1196">
      <w:pPr>
        <w:pStyle w:val="ListParagraph"/>
        <w:tabs>
          <w:tab w:val="left" w:pos="1909"/>
        </w:tabs>
        <w:ind w:left="426"/>
        <w:jc w:val="both"/>
        <w:rPr>
          <w:rFonts w:cs="Helvetica"/>
          <w:sz w:val="24"/>
          <w:szCs w:val="24"/>
        </w:rPr>
      </w:pPr>
      <w:r w:rsidRPr="001026E6">
        <w:rPr>
          <w:rFonts w:cs="Helvetica"/>
          <w:sz w:val="24"/>
          <w:szCs w:val="24"/>
        </w:rPr>
        <w:tab/>
      </w:r>
    </w:p>
    <w:p w14:paraId="0F47498D" w14:textId="02ED77DB" w:rsidR="00496C3A" w:rsidRPr="001026E6" w:rsidRDefault="003B51F0">
      <w:pPr>
        <w:pStyle w:val="Heading2"/>
        <w:tabs>
          <w:tab w:val="clear" w:pos="720"/>
          <w:tab w:val="num" w:pos="0"/>
        </w:tabs>
        <w:ind w:left="0" w:firstLine="0"/>
        <w:rPr>
          <w:szCs w:val="24"/>
        </w:rPr>
      </w:pPr>
      <w:bookmarkStart w:id="57" w:name="_Toc33443084"/>
      <w:r w:rsidRPr="001026E6">
        <w:rPr>
          <w:szCs w:val="24"/>
        </w:rPr>
        <w:t xml:space="preserve">MTFs </w:t>
      </w:r>
      <w:r w:rsidR="00F17B25" w:rsidRPr="001026E6">
        <w:rPr>
          <w:szCs w:val="24"/>
        </w:rPr>
        <w:t>using</w:t>
      </w:r>
      <w:r w:rsidR="00087834" w:rsidRPr="001026E6">
        <w:rPr>
          <w:szCs w:val="24"/>
        </w:rPr>
        <w:t xml:space="preserve"> </w:t>
      </w:r>
      <w:r w:rsidRPr="001026E6">
        <w:rPr>
          <w:szCs w:val="24"/>
        </w:rPr>
        <w:t>Virtual Assets</w:t>
      </w:r>
      <w:r w:rsidR="00496C3A" w:rsidRPr="001026E6">
        <w:rPr>
          <w:szCs w:val="24"/>
        </w:rPr>
        <w:t xml:space="preserve"> – </w:t>
      </w:r>
      <w:r w:rsidR="00906D5F" w:rsidRPr="001026E6">
        <w:rPr>
          <w:szCs w:val="24"/>
        </w:rPr>
        <w:t>Ex</w:t>
      </w:r>
      <w:r w:rsidR="00F17B25" w:rsidRPr="001026E6">
        <w:rPr>
          <w:szCs w:val="24"/>
        </w:rPr>
        <w:t>tension</w:t>
      </w:r>
      <w:r w:rsidR="00906D5F" w:rsidRPr="001026E6">
        <w:rPr>
          <w:szCs w:val="24"/>
        </w:rPr>
        <w:t xml:space="preserve"> into trading of </w:t>
      </w:r>
      <w:r w:rsidR="00496C3A" w:rsidRPr="001026E6">
        <w:rPr>
          <w:szCs w:val="24"/>
        </w:rPr>
        <w:t>Digital Securities</w:t>
      </w:r>
      <w:bookmarkEnd w:id="57"/>
      <w:r w:rsidR="00496C3A" w:rsidRPr="001026E6">
        <w:rPr>
          <w:szCs w:val="24"/>
        </w:rPr>
        <w:t xml:space="preserve"> </w:t>
      </w:r>
    </w:p>
    <w:p w14:paraId="11262C74" w14:textId="1EC3645A" w:rsidR="00603B2E" w:rsidRPr="001026E6" w:rsidRDefault="003B51F0">
      <w:pPr>
        <w:pStyle w:val="ListParagraph"/>
        <w:numPr>
          <w:ilvl w:val="0"/>
          <w:numId w:val="1"/>
        </w:numPr>
        <w:ind w:left="426"/>
        <w:jc w:val="both"/>
        <w:rPr>
          <w:rFonts w:cs="Helvetica"/>
          <w:sz w:val="24"/>
          <w:szCs w:val="24"/>
        </w:rPr>
      </w:pPr>
      <w:r w:rsidRPr="001026E6">
        <w:rPr>
          <w:rFonts w:cs="Helvetica"/>
          <w:sz w:val="24"/>
          <w:szCs w:val="24"/>
        </w:rPr>
        <w:t xml:space="preserve">MTFs </w:t>
      </w:r>
      <w:r w:rsidR="00F17B25" w:rsidRPr="001026E6">
        <w:rPr>
          <w:rFonts w:cs="Helvetica"/>
          <w:sz w:val="24"/>
          <w:szCs w:val="24"/>
        </w:rPr>
        <w:t>using</w:t>
      </w:r>
      <w:r w:rsidR="00087834" w:rsidRPr="001026E6">
        <w:rPr>
          <w:rFonts w:cs="Helvetica"/>
          <w:sz w:val="24"/>
          <w:szCs w:val="24"/>
        </w:rPr>
        <w:t xml:space="preserve"> </w:t>
      </w:r>
      <w:r w:rsidRPr="001026E6">
        <w:rPr>
          <w:rFonts w:cs="Helvetica"/>
          <w:sz w:val="24"/>
          <w:szCs w:val="24"/>
        </w:rPr>
        <w:t xml:space="preserve">Virtual Assets </w:t>
      </w:r>
      <w:r w:rsidR="00087834" w:rsidRPr="001026E6">
        <w:rPr>
          <w:rFonts w:cs="Helvetica"/>
          <w:sz w:val="24"/>
          <w:szCs w:val="24"/>
        </w:rPr>
        <w:t xml:space="preserve">(“Virtual Asset MTFs”) </w:t>
      </w:r>
      <w:r w:rsidR="00D2571C" w:rsidRPr="001026E6">
        <w:rPr>
          <w:rFonts w:cs="Helvetica"/>
          <w:sz w:val="24"/>
          <w:szCs w:val="24"/>
        </w:rPr>
        <w:t xml:space="preserve">can apply to the FSRA for additional </w:t>
      </w:r>
      <w:r w:rsidR="00F17B25" w:rsidRPr="001026E6">
        <w:rPr>
          <w:rFonts w:cs="Helvetica"/>
          <w:sz w:val="24"/>
          <w:szCs w:val="24"/>
        </w:rPr>
        <w:t>approval</w:t>
      </w:r>
      <w:r w:rsidR="00603B2E" w:rsidRPr="001026E6">
        <w:rPr>
          <w:rFonts w:cs="Helvetica"/>
          <w:sz w:val="24"/>
          <w:szCs w:val="24"/>
        </w:rPr>
        <w:t xml:space="preserve"> to </w:t>
      </w:r>
      <w:r w:rsidRPr="001026E6">
        <w:rPr>
          <w:rFonts w:cs="Helvetica"/>
          <w:sz w:val="24"/>
          <w:szCs w:val="24"/>
        </w:rPr>
        <w:t xml:space="preserve">trade Digital Securities.  The MTF would therefore be able to have </w:t>
      </w:r>
      <w:r w:rsidR="00F615B0" w:rsidRPr="001026E6">
        <w:rPr>
          <w:rFonts w:cs="Helvetica"/>
          <w:sz w:val="24"/>
          <w:szCs w:val="24"/>
        </w:rPr>
        <w:t xml:space="preserve">Digital Securities admitted to trading, where such </w:t>
      </w:r>
      <w:r w:rsidR="00D2571C" w:rsidRPr="001026E6">
        <w:rPr>
          <w:rFonts w:cs="Helvetica"/>
          <w:sz w:val="24"/>
          <w:szCs w:val="24"/>
        </w:rPr>
        <w:t xml:space="preserve">Digital </w:t>
      </w:r>
      <w:r w:rsidR="00B20030" w:rsidRPr="001026E6">
        <w:rPr>
          <w:rFonts w:cs="Helvetica"/>
          <w:sz w:val="24"/>
          <w:szCs w:val="24"/>
        </w:rPr>
        <w:t>Securities</w:t>
      </w:r>
      <w:r w:rsidR="002D461D" w:rsidRPr="001026E6">
        <w:rPr>
          <w:rFonts w:cs="Helvetica"/>
          <w:sz w:val="24"/>
          <w:szCs w:val="24"/>
        </w:rPr>
        <w:t xml:space="preserve"> </w:t>
      </w:r>
      <w:r w:rsidR="00F615B0" w:rsidRPr="001026E6">
        <w:rPr>
          <w:rFonts w:cs="Helvetica"/>
          <w:sz w:val="24"/>
          <w:szCs w:val="24"/>
        </w:rPr>
        <w:t xml:space="preserve">were directly offered/issued </w:t>
      </w:r>
      <w:r w:rsidR="002D461D" w:rsidRPr="001026E6">
        <w:rPr>
          <w:rFonts w:cs="Helvetica"/>
          <w:sz w:val="24"/>
          <w:szCs w:val="24"/>
        </w:rPr>
        <w:t xml:space="preserve">based on </w:t>
      </w:r>
      <w:r w:rsidR="00F615B0" w:rsidRPr="001026E6">
        <w:rPr>
          <w:rFonts w:cs="Helvetica"/>
          <w:sz w:val="24"/>
          <w:szCs w:val="24"/>
        </w:rPr>
        <w:t xml:space="preserve">an </w:t>
      </w:r>
      <w:r w:rsidR="002D461D" w:rsidRPr="001026E6">
        <w:rPr>
          <w:rFonts w:cs="Helvetica"/>
          <w:sz w:val="24"/>
          <w:szCs w:val="24"/>
        </w:rPr>
        <w:t>Exempt Offer</w:t>
      </w:r>
      <w:r w:rsidR="00F615B0" w:rsidRPr="001026E6">
        <w:rPr>
          <w:rFonts w:cs="Helvetica"/>
          <w:sz w:val="24"/>
          <w:szCs w:val="24"/>
        </w:rPr>
        <w:t>,</w:t>
      </w:r>
      <w:r w:rsidR="002D461D" w:rsidRPr="001026E6">
        <w:rPr>
          <w:rFonts w:cs="Helvetica"/>
          <w:sz w:val="24"/>
          <w:szCs w:val="24"/>
        </w:rPr>
        <w:t xml:space="preserve"> or have already been admitted to a RIE (</w:t>
      </w:r>
      <w:r w:rsidR="00F615B0" w:rsidRPr="001026E6">
        <w:rPr>
          <w:rFonts w:cs="Helvetica"/>
          <w:sz w:val="24"/>
          <w:szCs w:val="24"/>
        </w:rPr>
        <w:t xml:space="preserve">as the primary venue for trading - </w:t>
      </w:r>
      <w:r w:rsidR="002D461D" w:rsidRPr="001026E6">
        <w:rPr>
          <w:rFonts w:cs="Helvetica"/>
          <w:sz w:val="24"/>
          <w:szCs w:val="24"/>
        </w:rPr>
        <w:t xml:space="preserve">refer </w:t>
      </w:r>
      <w:r w:rsidR="00C642A2" w:rsidRPr="001026E6">
        <w:rPr>
          <w:rFonts w:cs="Helvetica"/>
          <w:sz w:val="24"/>
          <w:szCs w:val="24"/>
        </w:rPr>
        <w:t>to paragraph</w:t>
      </w:r>
      <w:r w:rsidR="002D461D" w:rsidRPr="001026E6">
        <w:rPr>
          <w:rFonts w:cs="Helvetica"/>
          <w:sz w:val="24"/>
          <w:szCs w:val="24"/>
        </w:rPr>
        <w:t xml:space="preserve"> </w:t>
      </w:r>
      <w:r w:rsidR="009440D6" w:rsidRPr="001026E6">
        <w:rPr>
          <w:rFonts w:cs="Helvetica"/>
          <w:sz w:val="24"/>
          <w:szCs w:val="24"/>
        </w:rPr>
        <w:t>42</w:t>
      </w:r>
      <w:r w:rsidR="002D461D" w:rsidRPr="001026E6">
        <w:rPr>
          <w:rFonts w:cs="Helvetica"/>
          <w:sz w:val="24"/>
          <w:szCs w:val="24"/>
        </w:rPr>
        <w:t>)</w:t>
      </w:r>
      <w:r w:rsidR="00B20030" w:rsidRPr="001026E6">
        <w:rPr>
          <w:rFonts w:cs="Helvetica"/>
          <w:sz w:val="24"/>
          <w:szCs w:val="24"/>
        </w:rPr>
        <w:t xml:space="preserve">.  </w:t>
      </w:r>
    </w:p>
    <w:p w14:paraId="00842746" w14:textId="77777777" w:rsidR="00603B2E" w:rsidRPr="001026E6" w:rsidRDefault="00603B2E" w:rsidP="00603B2E">
      <w:pPr>
        <w:pStyle w:val="ListParagraph"/>
        <w:rPr>
          <w:rFonts w:cs="Helvetica"/>
          <w:sz w:val="24"/>
          <w:szCs w:val="24"/>
        </w:rPr>
      </w:pPr>
    </w:p>
    <w:p w14:paraId="68E366B1" w14:textId="163E727B" w:rsidR="005C5537" w:rsidRPr="001026E6" w:rsidRDefault="00087834">
      <w:pPr>
        <w:pStyle w:val="ListParagraph"/>
        <w:numPr>
          <w:ilvl w:val="0"/>
          <w:numId w:val="1"/>
        </w:numPr>
        <w:ind w:left="426"/>
        <w:jc w:val="both"/>
        <w:rPr>
          <w:rFonts w:cs="Helvetica"/>
          <w:sz w:val="24"/>
          <w:szCs w:val="24"/>
        </w:rPr>
      </w:pPr>
      <w:r w:rsidRPr="001026E6">
        <w:rPr>
          <w:rFonts w:cs="Helvetica"/>
          <w:sz w:val="24"/>
          <w:szCs w:val="24"/>
        </w:rPr>
        <w:t xml:space="preserve"> Virtual Asset MTFs</w:t>
      </w:r>
      <w:r w:rsidR="00FB09EF" w:rsidRPr="001026E6">
        <w:rPr>
          <w:rFonts w:cs="Helvetica"/>
          <w:sz w:val="24"/>
          <w:szCs w:val="24"/>
        </w:rPr>
        <w:t xml:space="preserve"> </w:t>
      </w:r>
      <w:r w:rsidR="00D8125C" w:rsidRPr="001026E6">
        <w:rPr>
          <w:rFonts w:cs="Helvetica"/>
          <w:sz w:val="24"/>
          <w:szCs w:val="24"/>
        </w:rPr>
        <w:t xml:space="preserve">seeking to extend their operations to include Digital Securities will be required to demonstrate that they can comply with those requirements </w:t>
      </w:r>
      <w:r w:rsidR="00D8125C" w:rsidRPr="001026E6">
        <w:rPr>
          <w:rFonts w:cs="Helvetica"/>
          <w:sz w:val="24"/>
          <w:szCs w:val="24"/>
        </w:rPr>
        <w:lastRenderedPageBreak/>
        <w:t xml:space="preserve">applicable to operating a </w:t>
      </w:r>
      <w:r w:rsidR="00664F0B" w:rsidRPr="001026E6">
        <w:rPr>
          <w:rFonts w:cs="Helvetica"/>
          <w:sz w:val="24"/>
          <w:szCs w:val="24"/>
        </w:rPr>
        <w:t>MTF</w:t>
      </w:r>
      <w:r w:rsidR="00D8125C" w:rsidRPr="001026E6">
        <w:rPr>
          <w:rFonts w:cs="Helvetica"/>
          <w:sz w:val="24"/>
          <w:szCs w:val="24"/>
        </w:rPr>
        <w:t xml:space="preserve"> </w:t>
      </w:r>
      <w:r w:rsidR="00E7272D" w:rsidRPr="001026E6">
        <w:rPr>
          <w:rFonts w:cs="Helvetica"/>
          <w:sz w:val="24"/>
          <w:szCs w:val="24"/>
        </w:rPr>
        <w:t xml:space="preserve">(e.g., COBS, MIR, GEN, AML) </w:t>
      </w:r>
      <w:r w:rsidR="00D8125C" w:rsidRPr="001026E6">
        <w:rPr>
          <w:rFonts w:cs="Helvetica"/>
          <w:sz w:val="24"/>
          <w:szCs w:val="24"/>
        </w:rPr>
        <w:t xml:space="preserve">in the context of </w:t>
      </w:r>
      <w:r w:rsidR="00C342E9" w:rsidRPr="001026E6">
        <w:rPr>
          <w:rFonts w:cs="Helvetica"/>
          <w:sz w:val="24"/>
          <w:szCs w:val="24"/>
        </w:rPr>
        <w:t>undertaking new Digital Securities-related f</w:t>
      </w:r>
      <w:r w:rsidR="00E7272D" w:rsidRPr="001026E6">
        <w:rPr>
          <w:rFonts w:cs="Helvetica"/>
          <w:sz w:val="24"/>
          <w:szCs w:val="24"/>
        </w:rPr>
        <w:t>inancial services</w:t>
      </w:r>
      <w:r w:rsidR="00D8125C" w:rsidRPr="001026E6">
        <w:rPr>
          <w:rFonts w:cs="Helvetica"/>
          <w:sz w:val="24"/>
          <w:szCs w:val="24"/>
        </w:rPr>
        <w:t>.  While</w:t>
      </w:r>
      <w:r w:rsidR="00600B7C" w:rsidRPr="001026E6">
        <w:rPr>
          <w:rFonts w:cs="Helvetica"/>
          <w:sz w:val="24"/>
          <w:szCs w:val="24"/>
        </w:rPr>
        <w:t xml:space="preserve"> the</w:t>
      </w:r>
      <w:r w:rsidR="00D8125C" w:rsidRPr="001026E6">
        <w:rPr>
          <w:rFonts w:cs="Helvetica"/>
          <w:sz w:val="24"/>
          <w:szCs w:val="24"/>
        </w:rPr>
        <w:t xml:space="preserve"> FSRA anticipates that the technology u</w:t>
      </w:r>
      <w:r w:rsidR="00E87060" w:rsidRPr="001026E6">
        <w:rPr>
          <w:rFonts w:cs="Helvetica"/>
          <w:sz w:val="24"/>
          <w:szCs w:val="24"/>
        </w:rPr>
        <w:t>tilised</w:t>
      </w:r>
      <w:r w:rsidR="00D8125C" w:rsidRPr="001026E6">
        <w:rPr>
          <w:rFonts w:cs="Helvetica"/>
          <w:sz w:val="24"/>
          <w:szCs w:val="24"/>
        </w:rPr>
        <w:t xml:space="preserve"> by </w:t>
      </w:r>
      <w:r w:rsidR="003E65DF" w:rsidRPr="001026E6">
        <w:rPr>
          <w:rFonts w:cs="Helvetica"/>
          <w:sz w:val="24"/>
          <w:szCs w:val="24"/>
        </w:rPr>
        <w:t>an</w:t>
      </w:r>
      <w:r w:rsidRPr="001026E6">
        <w:rPr>
          <w:rFonts w:cs="Helvetica"/>
          <w:sz w:val="24"/>
          <w:szCs w:val="24"/>
        </w:rPr>
        <w:t xml:space="preserve"> MTF for the purposes of trading of Virtual Assets </w:t>
      </w:r>
      <w:r w:rsidR="00FB09EF" w:rsidRPr="001026E6">
        <w:rPr>
          <w:rFonts w:cs="Helvetica"/>
          <w:sz w:val="24"/>
          <w:szCs w:val="24"/>
        </w:rPr>
        <w:t xml:space="preserve">may be the same, </w:t>
      </w:r>
      <w:r w:rsidR="00D8125C" w:rsidRPr="001026E6">
        <w:rPr>
          <w:rFonts w:cs="Helvetica"/>
          <w:sz w:val="24"/>
          <w:szCs w:val="24"/>
        </w:rPr>
        <w:t>or substantial</w:t>
      </w:r>
      <w:r w:rsidR="00FB09EF" w:rsidRPr="001026E6">
        <w:rPr>
          <w:rFonts w:cs="Helvetica"/>
          <w:sz w:val="24"/>
          <w:szCs w:val="24"/>
        </w:rPr>
        <w:t xml:space="preserve">ly similar, </w:t>
      </w:r>
      <w:r w:rsidR="00D8125C" w:rsidRPr="001026E6">
        <w:rPr>
          <w:rFonts w:cs="Helvetica"/>
          <w:sz w:val="24"/>
          <w:szCs w:val="24"/>
        </w:rPr>
        <w:t xml:space="preserve">as that required </w:t>
      </w:r>
      <w:r w:rsidRPr="001026E6">
        <w:rPr>
          <w:rFonts w:cs="Helvetica"/>
          <w:sz w:val="24"/>
          <w:szCs w:val="24"/>
        </w:rPr>
        <w:t xml:space="preserve">for the purposes of trading </w:t>
      </w:r>
      <w:r w:rsidR="00D8125C" w:rsidRPr="001026E6">
        <w:rPr>
          <w:rFonts w:cs="Helvetica"/>
          <w:sz w:val="24"/>
          <w:szCs w:val="24"/>
        </w:rPr>
        <w:t xml:space="preserve">Digital Securities, the </w:t>
      </w:r>
      <w:r w:rsidR="00E7272D" w:rsidRPr="001026E6">
        <w:rPr>
          <w:rFonts w:cs="Helvetica"/>
          <w:sz w:val="24"/>
          <w:szCs w:val="24"/>
        </w:rPr>
        <w:t>MTF</w:t>
      </w:r>
      <w:r w:rsidR="00D8125C" w:rsidRPr="001026E6">
        <w:rPr>
          <w:rFonts w:cs="Helvetica"/>
          <w:sz w:val="24"/>
          <w:szCs w:val="24"/>
        </w:rPr>
        <w:t xml:space="preserve"> will </w:t>
      </w:r>
      <w:r w:rsidR="00625345" w:rsidRPr="001026E6">
        <w:rPr>
          <w:rFonts w:cs="Helvetica"/>
          <w:sz w:val="24"/>
          <w:szCs w:val="24"/>
        </w:rPr>
        <w:t xml:space="preserve">still </w:t>
      </w:r>
      <w:r w:rsidR="00D8125C" w:rsidRPr="001026E6">
        <w:rPr>
          <w:rFonts w:cs="Helvetica"/>
          <w:sz w:val="24"/>
          <w:szCs w:val="24"/>
        </w:rPr>
        <w:t xml:space="preserve">be required to demonstrate to the FSRA how </w:t>
      </w:r>
      <w:r w:rsidR="00FB09EF" w:rsidRPr="001026E6">
        <w:rPr>
          <w:rFonts w:cs="Helvetica"/>
          <w:sz w:val="24"/>
          <w:szCs w:val="24"/>
        </w:rPr>
        <w:t xml:space="preserve">each of </w:t>
      </w:r>
      <w:r w:rsidR="00D8125C" w:rsidRPr="001026E6">
        <w:rPr>
          <w:rFonts w:cs="Helvetica"/>
          <w:sz w:val="24"/>
          <w:szCs w:val="24"/>
        </w:rPr>
        <w:t xml:space="preserve">the applicable </w:t>
      </w:r>
      <w:r w:rsidR="00E7272D" w:rsidRPr="001026E6">
        <w:rPr>
          <w:rFonts w:cs="Helvetica"/>
          <w:sz w:val="24"/>
          <w:szCs w:val="24"/>
        </w:rPr>
        <w:t xml:space="preserve">Authorised Person/MTF </w:t>
      </w:r>
      <w:r w:rsidR="00D8125C" w:rsidRPr="001026E6">
        <w:rPr>
          <w:rFonts w:cs="Helvetica"/>
          <w:sz w:val="24"/>
          <w:szCs w:val="24"/>
        </w:rPr>
        <w:t xml:space="preserve">requirements </w:t>
      </w:r>
      <w:r w:rsidR="008124F9" w:rsidRPr="001026E6">
        <w:rPr>
          <w:rFonts w:cs="Helvetica"/>
          <w:sz w:val="24"/>
          <w:szCs w:val="24"/>
        </w:rPr>
        <w:t>are to be</w:t>
      </w:r>
      <w:r w:rsidR="00D8125C" w:rsidRPr="001026E6">
        <w:rPr>
          <w:rFonts w:cs="Helvetica"/>
          <w:sz w:val="24"/>
          <w:szCs w:val="24"/>
        </w:rPr>
        <w:t xml:space="preserve"> met</w:t>
      </w:r>
      <w:r w:rsidR="00625345" w:rsidRPr="001026E6">
        <w:rPr>
          <w:rFonts w:cs="Helvetica"/>
          <w:sz w:val="24"/>
          <w:szCs w:val="24"/>
        </w:rPr>
        <w:t xml:space="preserve"> taking into account </w:t>
      </w:r>
      <w:r w:rsidR="00E7272D" w:rsidRPr="001026E6">
        <w:rPr>
          <w:rFonts w:cs="Helvetica"/>
          <w:sz w:val="24"/>
          <w:szCs w:val="24"/>
        </w:rPr>
        <w:t>Digital Securities requirements</w:t>
      </w:r>
      <w:r w:rsidR="00D8125C" w:rsidRPr="001026E6">
        <w:rPr>
          <w:rFonts w:cs="Helvetica"/>
          <w:sz w:val="24"/>
          <w:szCs w:val="24"/>
        </w:rPr>
        <w:t>.</w:t>
      </w:r>
    </w:p>
    <w:p w14:paraId="76E79254" w14:textId="77777777" w:rsidR="005C5537" w:rsidRPr="001026E6" w:rsidRDefault="005C5537" w:rsidP="005C5537">
      <w:pPr>
        <w:pStyle w:val="ListParagraph"/>
        <w:rPr>
          <w:rFonts w:cs="Helvetica"/>
          <w:sz w:val="24"/>
          <w:szCs w:val="24"/>
        </w:rPr>
      </w:pPr>
    </w:p>
    <w:p w14:paraId="2CE599C0" w14:textId="6EDE8DDB" w:rsidR="00C273C5" w:rsidRPr="001026E6" w:rsidRDefault="009B6877">
      <w:pPr>
        <w:pStyle w:val="ListParagraph"/>
        <w:numPr>
          <w:ilvl w:val="0"/>
          <w:numId w:val="1"/>
        </w:numPr>
        <w:ind w:left="426"/>
        <w:jc w:val="both"/>
        <w:rPr>
          <w:rFonts w:cs="Helvetica"/>
          <w:sz w:val="24"/>
          <w:szCs w:val="24"/>
        </w:rPr>
      </w:pPr>
      <w:r w:rsidRPr="001026E6">
        <w:rPr>
          <w:rFonts w:cs="Helvetica"/>
          <w:sz w:val="24"/>
          <w:szCs w:val="24"/>
        </w:rPr>
        <w:t xml:space="preserve">For the purposes of </w:t>
      </w:r>
      <w:r w:rsidR="005C5537" w:rsidRPr="001026E6">
        <w:rPr>
          <w:rFonts w:cs="Helvetica"/>
          <w:sz w:val="24"/>
          <w:szCs w:val="24"/>
        </w:rPr>
        <w:t>MIR Rule 3.8 (</w:t>
      </w:r>
      <w:r w:rsidRPr="001026E6">
        <w:rPr>
          <w:rFonts w:cs="Helvetica"/>
          <w:sz w:val="24"/>
          <w:szCs w:val="24"/>
        </w:rPr>
        <w:t>settlement</w:t>
      </w:r>
      <w:r w:rsidR="005C5537" w:rsidRPr="001026E6">
        <w:rPr>
          <w:rFonts w:cs="Helvetica"/>
          <w:sz w:val="24"/>
          <w:szCs w:val="24"/>
        </w:rPr>
        <w:t>)</w:t>
      </w:r>
      <w:r w:rsidRPr="001026E6">
        <w:rPr>
          <w:rFonts w:cs="Helvetica"/>
          <w:sz w:val="24"/>
          <w:szCs w:val="24"/>
        </w:rPr>
        <w:t xml:space="preserve">, </w:t>
      </w:r>
      <w:r w:rsidR="00D233CE" w:rsidRPr="001026E6">
        <w:rPr>
          <w:rFonts w:cs="Helvetica"/>
          <w:sz w:val="24"/>
          <w:szCs w:val="24"/>
        </w:rPr>
        <w:t xml:space="preserve">Virtual Asset MTFs </w:t>
      </w:r>
      <w:r w:rsidR="00C273C5" w:rsidRPr="001026E6">
        <w:rPr>
          <w:rFonts w:cs="Helvetica"/>
          <w:sz w:val="24"/>
          <w:szCs w:val="24"/>
        </w:rPr>
        <w:t>seek</w:t>
      </w:r>
      <w:r w:rsidRPr="001026E6">
        <w:rPr>
          <w:rFonts w:cs="Helvetica"/>
          <w:sz w:val="24"/>
          <w:szCs w:val="24"/>
        </w:rPr>
        <w:t>ing</w:t>
      </w:r>
      <w:r w:rsidR="00C273C5" w:rsidRPr="001026E6">
        <w:rPr>
          <w:rFonts w:cs="Helvetica"/>
          <w:sz w:val="24"/>
          <w:szCs w:val="24"/>
        </w:rPr>
        <w:t xml:space="preserve"> to extend their operations to include Digital Securities</w:t>
      </w:r>
      <w:r w:rsidRPr="001026E6">
        <w:rPr>
          <w:rFonts w:cs="Helvetica"/>
          <w:sz w:val="24"/>
          <w:szCs w:val="24"/>
        </w:rPr>
        <w:t xml:space="preserve"> </w:t>
      </w:r>
      <w:r w:rsidR="00C273C5" w:rsidRPr="001026E6">
        <w:rPr>
          <w:rFonts w:cs="Helvetica"/>
          <w:sz w:val="24"/>
          <w:szCs w:val="24"/>
        </w:rPr>
        <w:t>will</w:t>
      </w:r>
      <w:r w:rsidRPr="001026E6">
        <w:rPr>
          <w:rFonts w:cs="Helvetica"/>
          <w:sz w:val="24"/>
          <w:szCs w:val="24"/>
        </w:rPr>
        <w:t xml:space="preserve"> not</w:t>
      </w:r>
      <w:r w:rsidR="00C273C5" w:rsidRPr="001026E6">
        <w:rPr>
          <w:rFonts w:cs="Helvetica"/>
          <w:sz w:val="24"/>
          <w:szCs w:val="24"/>
        </w:rPr>
        <w:t xml:space="preserve"> be </w:t>
      </w:r>
      <w:r w:rsidRPr="001026E6">
        <w:rPr>
          <w:rFonts w:cs="Helvetica"/>
          <w:sz w:val="24"/>
          <w:szCs w:val="24"/>
        </w:rPr>
        <w:t xml:space="preserve">permitted to clear and settle transactions within the same legal entity that is conducting </w:t>
      </w:r>
      <w:r w:rsidR="008124F9" w:rsidRPr="001026E6">
        <w:rPr>
          <w:rFonts w:cs="Helvetica"/>
          <w:sz w:val="24"/>
          <w:szCs w:val="24"/>
        </w:rPr>
        <w:t>MTF-</w:t>
      </w:r>
      <w:r w:rsidRPr="001026E6">
        <w:rPr>
          <w:rFonts w:cs="Helvetica"/>
          <w:sz w:val="24"/>
          <w:szCs w:val="24"/>
        </w:rPr>
        <w:t>trading activities</w:t>
      </w:r>
      <w:r w:rsidR="005C5537" w:rsidRPr="001026E6">
        <w:rPr>
          <w:rFonts w:cs="Helvetica"/>
          <w:sz w:val="24"/>
          <w:szCs w:val="24"/>
        </w:rPr>
        <w:t>.</w:t>
      </w:r>
      <w:r w:rsidR="00E94184" w:rsidRPr="001026E6">
        <w:rPr>
          <w:rFonts w:cs="Helvetica"/>
          <w:sz w:val="24"/>
          <w:szCs w:val="24"/>
        </w:rPr>
        <w:t xml:space="preserve">  </w:t>
      </w:r>
      <w:r w:rsidR="005C5537" w:rsidRPr="001026E6">
        <w:rPr>
          <w:rFonts w:cs="Helvetica"/>
          <w:sz w:val="24"/>
          <w:szCs w:val="24"/>
        </w:rPr>
        <w:t>In such circumstances,</w:t>
      </w:r>
      <w:r w:rsidR="00B21CCB" w:rsidRPr="001026E6">
        <w:rPr>
          <w:rFonts w:cs="Helvetica"/>
          <w:sz w:val="24"/>
          <w:szCs w:val="24"/>
        </w:rPr>
        <w:t xml:space="preserve"> </w:t>
      </w:r>
      <w:r w:rsidR="005C5537" w:rsidRPr="001026E6">
        <w:rPr>
          <w:rFonts w:cs="Helvetica"/>
          <w:sz w:val="24"/>
          <w:szCs w:val="24"/>
        </w:rPr>
        <w:t xml:space="preserve">the </w:t>
      </w:r>
      <w:r w:rsidR="00D233CE" w:rsidRPr="001026E6">
        <w:rPr>
          <w:rFonts w:cs="Helvetica"/>
          <w:sz w:val="24"/>
          <w:szCs w:val="24"/>
        </w:rPr>
        <w:t xml:space="preserve">MTF </w:t>
      </w:r>
      <w:r w:rsidRPr="001026E6">
        <w:rPr>
          <w:rFonts w:cs="Helvetica"/>
          <w:sz w:val="24"/>
          <w:szCs w:val="24"/>
        </w:rPr>
        <w:t xml:space="preserve">will be </w:t>
      </w:r>
      <w:r w:rsidR="00C273C5" w:rsidRPr="001026E6">
        <w:rPr>
          <w:rFonts w:cs="Helvetica"/>
          <w:sz w:val="24"/>
          <w:szCs w:val="24"/>
        </w:rPr>
        <w:t xml:space="preserve">required to separately establish, or </w:t>
      </w:r>
      <w:r w:rsidRPr="001026E6">
        <w:rPr>
          <w:rFonts w:cs="Helvetica"/>
          <w:sz w:val="24"/>
          <w:szCs w:val="24"/>
        </w:rPr>
        <w:t>make arrangements to use</w:t>
      </w:r>
      <w:r w:rsidR="00C273C5" w:rsidRPr="001026E6">
        <w:rPr>
          <w:rFonts w:cs="Helvetica"/>
          <w:sz w:val="24"/>
          <w:szCs w:val="24"/>
        </w:rPr>
        <w:t xml:space="preserve">, a separate </w:t>
      </w:r>
      <w:r w:rsidRPr="001026E6">
        <w:rPr>
          <w:rFonts w:cs="Helvetica"/>
          <w:sz w:val="24"/>
          <w:szCs w:val="24"/>
        </w:rPr>
        <w:t xml:space="preserve">clearing and </w:t>
      </w:r>
      <w:r w:rsidR="00C273C5" w:rsidRPr="001026E6">
        <w:rPr>
          <w:rFonts w:cs="Helvetica"/>
          <w:sz w:val="24"/>
          <w:szCs w:val="24"/>
        </w:rPr>
        <w:t xml:space="preserve">settlement </w:t>
      </w:r>
      <w:r w:rsidRPr="001026E6">
        <w:rPr>
          <w:rFonts w:cs="Helvetica"/>
          <w:sz w:val="24"/>
          <w:szCs w:val="24"/>
        </w:rPr>
        <w:t>entity</w:t>
      </w:r>
      <w:r w:rsidR="005C5537" w:rsidRPr="001026E6">
        <w:rPr>
          <w:rFonts w:cs="Helvetica"/>
          <w:sz w:val="24"/>
          <w:szCs w:val="24"/>
        </w:rPr>
        <w:t xml:space="preserve"> (refer to the sections above in relation to RCHs or DSFs, in paragraphs </w:t>
      </w:r>
      <w:r w:rsidR="009440D6" w:rsidRPr="001026E6">
        <w:rPr>
          <w:rFonts w:cs="Helvetica"/>
          <w:sz w:val="24"/>
          <w:szCs w:val="24"/>
        </w:rPr>
        <w:t>53</w:t>
      </w:r>
      <w:r w:rsidR="0010223A" w:rsidRPr="001026E6">
        <w:rPr>
          <w:rFonts w:cs="Helvetica"/>
          <w:sz w:val="24"/>
          <w:szCs w:val="24"/>
        </w:rPr>
        <w:t xml:space="preserve"> </w:t>
      </w:r>
      <w:r w:rsidR="005C5537" w:rsidRPr="001026E6">
        <w:rPr>
          <w:rFonts w:cs="Helvetica"/>
          <w:sz w:val="24"/>
          <w:szCs w:val="24"/>
        </w:rPr>
        <w:t xml:space="preserve">or </w:t>
      </w:r>
      <w:r w:rsidR="009440D6" w:rsidRPr="001026E6">
        <w:rPr>
          <w:rFonts w:cs="Helvetica"/>
          <w:sz w:val="24"/>
          <w:szCs w:val="24"/>
        </w:rPr>
        <w:t>59</w:t>
      </w:r>
      <w:r w:rsidR="004B08E6" w:rsidRPr="001026E6">
        <w:rPr>
          <w:rFonts w:cs="Helvetica"/>
          <w:sz w:val="24"/>
          <w:szCs w:val="24"/>
        </w:rPr>
        <w:t xml:space="preserve"> </w:t>
      </w:r>
      <w:r w:rsidR="005C5537" w:rsidRPr="001026E6">
        <w:rPr>
          <w:rFonts w:cs="Helvetica"/>
          <w:sz w:val="24"/>
          <w:szCs w:val="24"/>
        </w:rPr>
        <w:t>respectively)</w:t>
      </w:r>
      <w:r w:rsidR="0010223A" w:rsidRPr="001026E6">
        <w:rPr>
          <w:rFonts w:cs="Helvetica"/>
          <w:sz w:val="24"/>
          <w:szCs w:val="24"/>
        </w:rPr>
        <w:t>.</w:t>
      </w:r>
      <w:r w:rsidR="00E87060" w:rsidRPr="001026E6">
        <w:rPr>
          <w:rStyle w:val="FootnoteReference"/>
          <w:rFonts w:cs="Helvetica"/>
          <w:sz w:val="24"/>
          <w:szCs w:val="24"/>
        </w:rPr>
        <w:footnoteReference w:id="17"/>
      </w:r>
      <w:r w:rsidR="0010223A" w:rsidRPr="001026E6">
        <w:rPr>
          <w:rFonts w:cs="Helvetica"/>
          <w:sz w:val="24"/>
          <w:szCs w:val="24"/>
        </w:rPr>
        <w:t xml:space="preserve">  </w:t>
      </w:r>
    </w:p>
    <w:p w14:paraId="7F4830B0" w14:textId="77777777" w:rsidR="00E90796" w:rsidRPr="001026E6" w:rsidRDefault="00E90796" w:rsidP="00E90796">
      <w:pPr>
        <w:jc w:val="both"/>
        <w:rPr>
          <w:rFonts w:cs="Helvetica"/>
          <w:sz w:val="24"/>
          <w:szCs w:val="24"/>
        </w:rPr>
      </w:pPr>
    </w:p>
    <w:p w14:paraId="0F80DD41" w14:textId="17F2CDC5" w:rsidR="0028426D" w:rsidRPr="001026E6" w:rsidRDefault="00340A36">
      <w:pPr>
        <w:pStyle w:val="ListParagraph"/>
        <w:numPr>
          <w:ilvl w:val="0"/>
          <w:numId w:val="1"/>
        </w:numPr>
        <w:ind w:left="426"/>
        <w:jc w:val="both"/>
        <w:rPr>
          <w:rFonts w:cs="Helvetica"/>
          <w:sz w:val="24"/>
          <w:szCs w:val="24"/>
        </w:rPr>
      </w:pPr>
      <w:r w:rsidRPr="001026E6">
        <w:rPr>
          <w:rFonts w:cs="Helvetica"/>
          <w:sz w:val="24"/>
          <w:szCs w:val="24"/>
        </w:rPr>
        <w:t xml:space="preserve">Subject to any differences </w:t>
      </w:r>
      <w:r w:rsidR="003C4D14" w:rsidRPr="001026E6">
        <w:rPr>
          <w:rFonts w:cs="Helvetica"/>
          <w:sz w:val="24"/>
          <w:szCs w:val="24"/>
        </w:rPr>
        <w:t xml:space="preserve">between the </w:t>
      </w:r>
      <w:r w:rsidRPr="001026E6">
        <w:rPr>
          <w:rFonts w:cs="Helvetica"/>
          <w:sz w:val="24"/>
          <w:szCs w:val="24"/>
        </w:rPr>
        <w:t>MT</w:t>
      </w:r>
      <w:r w:rsidR="00AD32C2" w:rsidRPr="001026E6">
        <w:rPr>
          <w:rFonts w:cs="Helvetica"/>
          <w:sz w:val="24"/>
          <w:szCs w:val="24"/>
        </w:rPr>
        <w:t>F</w:t>
      </w:r>
      <w:r w:rsidRPr="001026E6">
        <w:rPr>
          <w:rFonts w:cs="Helvetica"/>
          <w:sz w:val="24"/>
          <w:szCs w:val="24"/>
        </w:rPr>
        <w:t xml:space="preserve">’s </w:t>
      </w:r>
      <w:r w:rsidR="003C4D14" w:rsidRPr="001026E6">
        <w:rPr>
          <w:rFonts w:cs="Helvetica"/>
          <w:sz w:val="24"/>
          <w:szCs w:val="24"/>
        </w:rPr>
        <w:t>operation</w:t>
      </w:r>
      <w:r w:rsidRPr="001026E6">
        <w:rPr>
          <w:rFonts w:cs="Helvetica"/>
          <w:sz w:val="24"/>
          <w:szCs w:val="24"/>
        </w:rPr>
        <w:t>s</w:t>
      </w:r>
      <w:r w:rsidR="003C4D14" w:rsidRPr="001026E6">
        <w:rPr>
          <w:rFonts w:cs="Helvetica"/>
          <w:sz w:val="24"/>
          <w:szCs w:val="24"/>
        </w:rPr>
        <w:t xml:space="preserve"> (</w:t>
      </w:r>
      <w:r w:rsidR="00830AD1" w:rsidRPr="001026E6">
        <w:rPr>
          <w:rFonts w:cs="Helvetica"/>
          <w:sz w:val="24"/>
          <w:szCs w:val="24"/>
        </w:rPr>
        <w:t xml:space="preserve">particularly from a technology perspective) </w:t>
      </w:r>
      <w:r w:rsidRPr="001026E6">
        <w:rPr>
          <w:rFonts w:cs="Helvetica"/>
          <w:sz w:val="24"/>
          <w:szCs w:val="24"/>
        </w:rPr>
        <w:t xml:space="preserve">in relation to </w:t>
      </w:r>
      <w:r w:rsidR="00AD32C2" w:rsidRPr="001026E6">
        <w:rPr>
          <w:rFonts w:cs="Helvetica"/>
          <w:sz w:val="24"/>
          <w:szCs w:val="24"/>
        </w:rPr>
        <w:t xml:space="preserve">the </w:t>
      </w:r>
      <w:r w:rsidRPr="001026E6">
        <w:rPr>
          <w:rFonts w:cs="Helvetica"/>
          <w:sz w:val="24"/>
          <w:szCs w:val="24"/>
        </w:rPr>
        <w:t xml:space="preserve">trading of </w:t>
      </w:r>
      <w:r w:rsidR="00906D5F" w:rsidRPr="001026E6">
        <w:rPr>
          <w:rFonts w:cs="Helvetica"/>
          <w:sz w:val="24"/>
          <w:szCs w:val="24"/>
        </w:rPr>
        <w:t>Virtual Asset</w:t>
      </w:r>
      <w:r w:rsidRPr="001026E6">
        <w:rPr>
          <w:rFonts w:cs="Helvetica"/>
          <w:sz w:val="24"/>
          <w:szCs w:val="24"/>
        </w:rPr>
        <w:t>s</w:t>
      </w:r>
      <w:r w:rsidR="00906D5F" w:rsidRPr="001026E6">
        <w:rPr>
          <w:rFonts w:cs="Helvetica"/>
          <w:sz w:val="24"/>
          <w:szCs w:val="24"/>
        </w:rPr>
        <w:t xml:space="preserve"> </w:t>
      </w:r>
      <w:r w:rsidR="00830AD1" w:rsidRPr="001026E6">
        <w:rPr>
          <w:rFonts w:cs="Helvetica"/>
          <w:sz w:val="24"/>
          <w:szCs w:val="24"/>
        </w:rPr>
        <w:t xml:space="preserve">and </w:t>
      </w:r>
      <w:r w:rsidR="00AD32C2" w:rsidRPr="001026E6">
        <w:rPr>
          <w:rFonts w:cs="Helvetica"/>
          <w:sz w:val="24"/>
          <w:szCs w:val="24"/>
        </w:rPr>
        <w:t xml:space="preserve">the </w:t>
      </w:r>
      <w:r w:rsidRPr="001026E6">
        <w:rPr>
          <w:rFonts w:cs="Helvetica"/>
          <w:sz w:val="24"/>
          <w:szCs w:val="24"/>
        </w:rPr>
        <w:t xml:space="preserve">trading of </w:t>
      </w:r>
      <w:r w:rsidR="00830AD1" w:rsidRPr="001026E6">
        <w:rPr>
          <w:rFonts w:cs="Helvetica"/>
          <w:sz w:val="24"/>
          <w:szCs w:val="24"/>
        </w:rPr>
        <w:t>Digital Securit</w:t>
      </w:r>
      <w:r w:rsidRPr="001026E6">
        <w:rPr>
          <w:rFonts w:cs="Helvetica"/>
          <w:sz w:val="24"/>
          <w:szCs w:val="24"/>
        </w:rPr>
        <w:t>ies</w:t>
      </w:r>
      <w:r w:rsidR="00830AD1" w:rsidRPr="001026E6">
        <w:rPr>
          <w:rFonts w:cs="Helvetica"/>
          <w:sz w:val="24"/>
          <w:szCs w:val="24"/>
        </w:rPr>
        <w:t xml:space="preserve">, </w:t>
      </w:r>
      <w:r w:rsidR="008124F9" w:rsidRPr="001026E6">
        <w:rPr>
          <w:rFonts w:cs="Helvetica"/>
          <w:sz w:val="24"/>
          <w:szCs w:val="24"/>
        </w:rPr>
        <w:t>an extension</w:t>
      </w:r>
      <w:r w:rsidR="00830AD1" w:rsidRPr="001026E6">
        <w:rPr>
          <w:rFonts w:cs="Helvetica"/>
          <w:sz w:val="24"/>
          <w:szCs w:val="24"/>
        </w:rPr>
        <w:t xml:space="preserve"> from the former to the latter </w:t>
      </w:r>
      <w:r w:rsidR="00DB114A" w:rsidRPr="001026E6">
        <w:rPr>
          <w:rFonts w:cs="Helvetica"/>
          <w:sz w:val="24"/>
          <w:szCs w:val="24"/>
        </w:rPr>
        <w:t>may not raise significant technical issues</w:t>
      </w:r>
      <w:r w:rsidR="005C5537" w:rsidRPr="001026E6">
        <w:rPr>
          <w:rFonts w:cs="Helvetica"/>
          <w:sz w:val="24"/>
          <w:szCs w:val="24"/>
        </w:rPr>
        <w:t xml:space="preserve">.  </w:t>
      </w:r>
      <w:r w:rsidR="00DB114A" w:rsidRPr="001026E6">
        <w:rPr>
          <w:rFonts w:cs="Helvetica"/>
          <w:sz w:val="24"/>
          <w:szCs w:val="24"/>
        </w:rPr>
        <w:t>H</w:t>
      </w:r>
      <w:r w:rsidR="00646910" w:rsidRPr="001026E6">
        <w:rPr>
          <w:rFonts w:cs="Helvetica"/>
          <w:sz w:val="24"/>
          <w:szCs w:val="24"/>
        </w:rPr>
        <w:t>owever, t</w:t>
      </w:r>
      <w:r w:rsidR="005C5537" w:rsidRPr="001026E6">
        <w:rPr>
          <w:rFonts w:cs="Helvetica"/>
          <w:sz w:val="24"/>
          <w:szCs w:val="24"/>
        </w:rPr>
        <w:t xml:space="preserve">he update/integration of a </w:t>
      </w:r>
      <w:r w:rsidRPr="001026E6">
        <w:rPr>
          <w:rFonts w:cs="Helvetica"/>
          <w:sz w:val="24"/>
          <w:szCs w:val="24"/>
        </w:rPr>
        <w:t xml:space="preserve">Virtual Assets MTF’s </w:t>
      </w:r>
      <w:r w:rsidR="005C5537" w:rsidRPr="001026E6">
        <w:rPr>
          <w:rFonts w:cs="Helvetica"/>
          <w:sz w:val="24"/>
          <w:szCs w:val="24"/>
        </w:rPr>
        <w:t xml:space="preserve">technology in order to introduce </w:t>
      </w:r>
      <w:r w:rsidR="00831C4D" w:rsidRPr="001026E6">
        <w:rPr>
          <w:rFonts w:cs="Helvetica"/>
          <w:sz w:val="24"/>
          <w:szCs w:val="24"/>
        </w:rPr>
        <w:t xml:space="preserve">new </w:t>
      </w:r>
      <w:r w:rsidR="005C5537" w:rsidRPr="001026E6">
        <w:rPr>
          <w:rFonts w:cs="Helvetica"/>
          <w:sz w:val="24"/>
          <w:szCs w:val="24"/>
        </w:rPr>
        <w:t xml:space="preserve">primary market </w:t>
      </w:r>
      <w:r w:rsidR="00831C4D" w:rsidRPr="001026E6">
        <w:rPr>
          <w:rFonts w:cs="Helvetica"/>
          <w:sz w:val="24"/>
          <w:szCs w:val="24"/>
        </w:rPr>
        <w:t xml:space="preserve">and secondary market </w:t>
      </w:r>
      <w:r w:rsidR="005C5537" w:rsidRPr="001026E6">
        <w:rPr>
          <w:rFonts w:cs="Helvetica"/>
          <w:sz w:val="24"/>
          <w:szCs w:val="24"/>
        </w:rPr>
        <w:t>functionalit</w:t>
      </w:r>
      <w:r w:rsidR="00646910" w:rsidRPr="001026E6">
        <w:rPr>
          <w:rFonts w:cs="Helvetica"/>
          <w:sz w:val="24"/>
          <w:szCs w:val="24"/>
        </w:rPr>
        <w:t xml:space="preserve">ies (offers, issuance and </w:t>
      </w:r>
      <w:r w:rsidR="00831C4D" w:rsidRPr="001026E6">
        <w:rPr>
          <w:rFonts w:cs="Helvetica"/>
          <w:sz w:val="24"/>
          <w:szCs w:val="24"/>
        </w:rPr>
        <w:t xml:space="preserve">(Member) </w:t>
      </w:r>
      <w:r w:rsidR="00646910" w:rsidRPr="001026E6">
        <w:rPr>
          <w:rFonts w:cs="Helvetica"/>
          <w:sz w:val="24"/>
          <w:szCs w:val="24"/>
        </w:rPr>
        <w:t xml:space="preserve">trading of Digital Securities) </w:t>
      </w:r>
      <w:r w:rsidR="00646910" w:rsidRPr="001026E6">
        <w:rPr>
          <w:rFonts w:cs="Helvetica"/>
          <w:sz w:val="24"/>
          <w:szCs w:val="24"/>
        </w:rPr>
        <w:lastRenderedPageBreak/>
        <w:t xml:space="preserve">may likely impose </w:t>
      </w:r>
      <w:r w:rsidR="00831C4D" w:rsidRPr="001026E6">
        <w:rPr>
          <w:rFonts w:cs="Helvetica"/>
          <w:sz w:val="24"/>
          <w:szCs w:val="24"/>
        </w:rPr>
        <w:t xml:space="preserve">new </w:t>
      </w:r>
      <w:r w:rsidR="00646910" w:rsidRPr="001026E6">
        <w:rPr>
          <w:rFonts w:cs="Helvetica"/>
          <w:sz w:val="24"/>
          <w:szCs w:val="24"/>
        </w:rPr>
        <w:t>regulatory</w:t>
      </w:r>
      <w:r w:rsidR="00831C4D" w:rsidRPr="001026E6">
        <w:rPr>
          <w:rFonts w:cs="Helvetica"/>
          <w:sz w:val="24"/>
          <w:szCs w:val="24"/>
        </w:rPr>
        <w:t xml:space="preserve"> and te</w:t>
      </w:r>
      <w:r w:rsidR="00646910" w:rsidRPr="001026E6">
        <w:rPr>
          <w:rFonts w:cs="Helvetica"/>
          <w:sz w:val="24"/>
          <w:szCs w:val="24"/>
        </w:rPr>
        <w:t xml:space="preserve">chnical burdens on </w:t>
      </w:r>
      <w:r w:rsidR="00AD32C2" w:rsidRPr="001026E6">
        <w:rPr>
          <w:rFonts w:cs="Helvetica"/>
          <w:sz w:val="24"/>
          <w:szCs w:val="24"/>
        </w:rPr>
        <w:t>Virtual Asset MTFs</w:t>
      </w:r>
      <w:r w:rsidRPr="001026E6">
        <w:rPr>
          <w:rFonts w:cs="Helvetica"/>
          <w:sz w:val="24"/>
          <w:szCs w:val="24"/>
        </w:rPr>
        <w:t xml:space="preserve"> ex</w:t>
      </w:r>
      <w:r w:rsidR="008124F9" w:rsidRPr="001026E6">
        <w:rPr>
          <w:rFonts w:cs="Helvetica"/>
          <w:sz w:val="24"/>
          <w:szCs w:val="24"/>
        </w:rPr>
        <w:t>tending</w:t>
      </w:r>
      <w:r w:rsidRPr="001026E6">
        <w:rPr>
          <w:rFonts w:cs="Helvetica"/>
          <w:sz w:val="24"/>
          <w:szCs w:val="24"/>
        </w:rPr>
        <w:t xml:space="preserve"> into Digital Securities</w:t>
      </w:r>
      <w:r w:rsidR="00830AD1" w:rsidRPr="001026E6">
        <w:rPr>
          <w:rFonts w:cs="Helvetica"/>
          <w:sz w:val="24"/>
          <w:szCs w:val="24"/>
        </w:rPr>
        <w:t xml:space="preserve">.  </w:t>
      </w:r>
    </w:p>
    <w:p w14:paraId="5DB4D044" w14:textId="77777777" w:rsidR="00067D66" w:rsidRPr="001026E6" w:rsidRDefault="00067D66" w:rsidP="00E94184">
      <w:pPr>
        <w:pStyle w:val="ListParagraph"/>
        <w:rPr>
          <w:rFonts w:cs="Helvetica"/>
          <w:sz w:val="24"/>
          <w:szCs w:val="24"/>
        </w:rPr>
      </w:pPr>
    </w:p>
    <w:p w14:paraId="7CA6AFBE" w14:textId="71A0A885" w:rsidR="00067D66" w:rsidRPr="001026E6" w:rsidRDefault="00646910">
      <w:pPr>
        <w:pStyle w:val="ListParagraph"/>
        <w:numPr>
          <w:ilvl w:val="0"/>
          <w:numId w:val="1"/>
        </w:numPr>
        <w:ind w:left="426"/>
        <w:jc w:val="both"/>
        <w:rPr>
          <w:rFonts w:cs="Helvetica"/>
          <w:sz w:val="24"/>
          <w:szCs w:val="24"/>
        </w:rPr>
      </w:pPr>
      <w:r w:rsidRPr="001026E6">
        <w:rPr>
          <w:rFonts w:cs="Helvetica"/>
          <w:iCs/>
          <w:sz w:val="24"/>
        </w:rPr>
        <w:t>Please note that t</w:t>
      </w:r>
      <w:r w:rsidR="00067D66" w:rsidRPr="001026E6">
        <w:rPr>
          <w:rFonts w:cs="Helvetica"/>
          <w:iCs/>
          <w:sz w:val="24"/>
        </w:rPr>
        <w:t xml:space="preserve">he relief provided by FSRA in May 2019 (to allow </w:t>
      </w:r>
      <w:r w:rsidR="00AD32C2" w:rsidRPr="001026E6">
        <w:rPr>
          <w:rFonts w:cs="Helvetica"/>
          <w:iCs/>
          <w:sz w:val="24"/>
        </w:rPr>
        <w:t>Virtual</w:t>
      </w:r>
      <w:r w:rsidR="00067D66" w:rsidRPr="001026E6">
        <w:rPr>
          <w:rFonts w:cs="Helvetica"/>
          <w:iCs/>
          <w:sz w:val="24"/>
        </w:rPr>
        <w:t xml:space="preserve"> Asset </w:t>
      </w:r>
      <w:r w:rsidR="00AD32C2" w:rsidRPr="001026E6">
        <w:rPr>
          <w:rFonts w:cs="Helvetica"/>
          <w:iCs/>
          <w:sz w:val="24"/>
        </w:rPr>
        <w:t>MTFs</w:t>
      </w:r>
      <w:r w:rsidR="00067D66" w:rsidRPr="001026E6">
        <w:rPr>
          <w:rFonts w:cs="Helvetica"/>
          <w:iCs/>
          <w:sz w:val="24"/>
        </w:rPr>
        <w:t>) to operate a direct client access market has not been extended to allow MTFs to operate on a similar basis</w:t>
      </w:r>
      <w:r w:rsidR="00AD32C2" w:rsidRPr="001026E6">
        <w:rPr>
          <w:rFonts w:cs="Helvetica"/>
          <w:iCs/>
          <w:sz w:val="24"/>
        </w:rPr>
        <w:t xml:space="preserve"> in relation to Digital Securities</w:t>
      </w:r>
      <w:r w:rsidR="00067D66" w:rsidRPr="001026E6">
        <w:rPr>
          <w:rFonts w:cs="Helvetica"/>
          <w:iCs/>
          <w:sz w:val="24"/>
        </w:rPr>
        <w:t xml:space="preserve">.  As such, due to the policy/operational requirements at play, the FSRA suggests that </w:t>
      </w:r>
      <w:r w:rsidR="00AD32C2" w:rsidRPr="001026E6">
        <w:rPr>
          <w:rFonts w:cs="Helvetica"/>
          <w:iCs/>
          <w:sz w:val="24"/>
        </w:rPr>
        <w:t>MTFs</w:t>
      </w:r>
      <w:r w:rsidR="00067D66" w:rsidRPr="001026E6">
        <w:rPr>
          <w:rFonts w:cs="Helvetica"/>
          <w:iCs/>
          <w:sz w:val="24"/>
        </w:rPr>
        <w:t xml:space="preserve"> wanting to operate on a ‘direct client’ basis </w:t>
      </w:r>
      <w:r w:rsidR="00AD32C2" w:rsidRPr="001026E6">
        <w:rPr>
          <w:rFonts w:cs="Helvetica"/>
          <w:iCs/>
          <w:sz w:val="24"/>
        </w:rPr>
        <w:t xml:space="preserve">(in relation to Digital Securities) </w:t>
      </w:r>
      <w:r w:rsidR="00067D66" w:rsidRPr="001026E6">
        <w:rPr>
          <w:rFonts w:cs="Helvetica"/>
          <w:iCs/>
          <w:sz w:val="24"/>
        </w:rPr>
        <w:t>engage with the FSRA as early as possible.</w:t>
      </w:r>
    </w:p>
    <w:p w14:paraId="21B11392" w14:textId="77777777" w:rsidR="00AD32C2" w:rsidRPr="001026E6" w:rsidRDefault="00AD32C2" w:rsidP="00945345">
      <w:pPr>
        <w:pStyle w:val="ListParagraph"/>
        <w:rPr>
          <w:rFonts w:cs="Helvetica"/>
          <w:sz w:val="24"/>
          <w:szCs w:val="24"/>
        </w:rPr>
      </w:pPr>
    </w:p>
    <w:p w14:paraId="21489225" w14:textId="11343A2B" w:rsidR="00DD34DC" w:rsidRPr="001026E6" w:rsidRDefault="00C25835">
      <w:pPr>
        <w:pStyle w:val="Heading2"/>
        <w:tabs>
          <w:tab w:val="clear" w:pos="720"/>
          <w:tab w:val="num" w:pos="0"/>
        </w:tabs>
        <w:ind w:left="0" w:firstLine="0"/>
        <w:rPr>
          <w:szCs w:val="24"/>
        </w:rPr>
      </w:pPr>
      <w:bookmarkStart w:id="58" w:name="_Toc18571334"/>
      <w:bookmarkStart w:id="59" w:name="_Toc33443085"/>
      <w:r w:rsidRPr="001026E6">
        <w:rPr>
          <w:szCs w:val="24"/>
        </w:rPr>
        <w:t xml:space="preserve">MTFs </w:t>
      </w:r>
      <w:r w:rsidR="008124F9" w:rsidRPr="001026E6">
        <w:rPr>
          <w:szCs w:val="24"/>
        </w:rPr>
        <w:t>using</w:t>
      </w:r>
      <w:r w:rsidRPr="001026E6">
        <w:rPr>
          <w:szCs w:val="24"/>
        </w:rPr>
        <w:t xml:space="preserve"> Virtual Assets </w:t>
      </w:r>
      <w:r w:rsidR="005D543B" w:rsidRPr="001026E6">
        <w:rPr>
          <w:szCs w:val="24"/>
        </w:rPr>
        <w:t>– Becoming a Digital Securities RIE</w:t>
      </w:r>
      <w:bookmarkEnd w:id="58"/>
      <w:bookmarkEnd w:id="59"/>
    </w:p>
    <w:p w14:paraId="781B6191" w14:textId="7156B22D" w:rsidR="000716EE" w:rsidRPr="001026E6" w:rsidRDefault="00C25835">
      <w:pPr>
        <w:pStyle w:val="ListParagraph"/>
        <w:numPr>
          <w:ilvl w:val="0"/>
          <w:numId w:val="1"/>
        </w:numPr>
        <w:ind w:left="426"/>
        <w:jc w:val="both"/>
        <w:rPr>
          <w:rFonts w:cs="Helvetica"/>
          <w:sz w:val="24"/>
          <w:szCs w:val="24"/>
        </w:rPr>
      </w:pPr>
      <w:r w:rsidRPr="001026E6">
        <w:rPr>
          <w:rFonts w:cs="Helvetica"/>
          <w:sz w:val="24"/>
          <w:szCs w:val="24"/>
        </w:rPr>
        <w:t>Virtual Asset MTFs</w:t>
      </w:r>
      <w:r w:rsidR="000716EE" w:rsidRPr="001026E6">
        <w:rPr>
          <w:rFonts w:cs="Helvetica"/>
          <w:sz w:val="24"/>
          <w:szCs w:val="24"/>
        </w:rPr>
        <w:t xml:space="preserve"> wishing to operate a</w:t>
      </w:r>
      <w:r w:rsidR="008124F9" w:rsidRPr="001026E6">
        <w:rPr>
          <w:rFonts w:cs="Helvetica"/>
          <w:sz w:val="24"/>
          <w:szCs w:val="24"/>
        </w:rPr>
        <w:t>s an</w:t>
      </w:r>
      <w:r w:rsidR="000716EE" w:rsidRPr="001026E6">
        <w:rPr>
          <w:rFonts w:cs="Helvetica"/>
          <w:sz w:val="24"/>
          <w:szCs w:val="24"/>
        </w:rPr>
        <w:t xml:space="preserve"> </w:t>
      </w:r>
      <w:r w:rsidR="00E91F10" w:rsidRPr="001026E6">
        <w:rPr>
          <w:rFonts w:cs="Helvetica"/>
          <w:sz w:val="24"/>
          <w:szCs w:val="24"/>
        </w:rPr>
        <w:t xml:space="preserve">RIE </w:t>
      </w:r>
      <w:r w:rsidR="000716EE" w:rsidRPr="001026E6">
        <w:rPr>
          <w:rFonts w:cs="Helvetica"/>
          <w:sz w:val="24"/>
          <w:szCs w:val="24"/>
        </w:rPr>
        <w:t xml:space="preserve">will be required to relinquish their FSP </w:t>
      </w:r>
      <w:r w:rsidR="00600B7C" w:rsidRPr="001026E6">
        <w:rPr>
          <w:rFonts w:cs="Helvetica"/>
          <w:sz w:val="24"/>
          <w:szCs w:val="24"/>
        </w:rPr>
        <w:t>(</w:t>
      </w:r>
      <w:r w:rsidR="00466AF7" w:rsidRPr="001026E6">
        <w:rPr>
          <w:rFonts w:cs="Helvetica"/>
          <w:sz w:val="24"/>
          <w:szCs w:val="24"/>
        </w:rPr>
        <w:t>in relation to their</w:t>
      </w:r>
      <w:r w:rsidR="00600B7C" w:rsidRPr="001026E6">
        <w:rPr>
          <w:rFonts w:cs="Helvetica"/>
          <w:sz w:val="24"/>
          <w:szCs w:val="24"/>
        </w:rPr>
        <w:t xml:space="preserve"> operation of a</w:t>
      </w:r>
      <w:r w:rsidRPr="001026E6">
        <w:rPr>
          <w:rFonts w:cs="Helvetica"/>
          <w:sz w:val="24"/>
          <w:szCs w:val="24"/>
        </w:rPr>
        <w:t>n</w:t>
      </w:r>
      <w:r w:rsidR="00600B7C" w:rsidRPr="001026E6">
        <w:rPr>
          <w:rFonts w:cs="Helvetica"/>
          <w:sz w:val="24"/>
          <w:szCs w:val="24"/>
        </w:rPr>
        <w:t xml:space="preserve"> </w:t>
      </w:r>
      <w:r w:rsidRPr="001026E6">
        <w:rPr>
          <w:rFonts w:cs="Helvetica"/>
          <w:sz w:val="24"/>
          <w:szCs w:val="24"/>
        </w:rPr>
        <w:t>MTF</w:t>
      </w:r>
      <w:r w:rsidR="00600B7C" w:rsidRPr="001026E6">
        <w:rPr>
          <w:rFonts w:cs="Helvetica"/>
          <w:sz w:val="24"/>
          <w:szCs w:val="24"/>
        </w:rPr>
        <w:t xml:space="preserve">) </w:t>
      </w:r>
      <w:r w:rsidR="000716EE" w:rsidRPr="001026E6">
        <w:rPr>
          <w:rFonts w:cs="Helvetica"/>
          <w:sz w:val="24"/>
          <w:szCs w:val="24"/>
        </w:rPr>
        <w:t xml:space="preserve">upon obtaining a Recognition Order to operate </w:t>
      </w:r>
      <w:r w:rsidR="008124F9" w:rsidRPr="001026E6">
        <w:rPr>
          <w:rFonts w:cs="Helvetica"/>
          <w:sz w:val="24"/>
          <w:szCs w:val="24"/>
        </w:rPr>
        <w:t>the</w:t>
      </w:r>
      <w:r w:rsidR="000716EE" w:rsidRPr="001026E6">
        <w:rPr>
          <w:rFonts w:cs="Helvetica"/>
          <w:sz w:val="24"/>
          <w:szCs w:val="24"/>
        </w:rPr>
        <w:t xml:space="preserve"> </w:t>
      </w:r>
      <w:r w:rsidR="00E91F10" w:rsidRPr="001026E6">
        <w:rPr>
          <w:rFonts w:cs="Helvetica"/>
          <w:sz w:val="24"/>
          <w:szCs w:val="24"/>
        </w:rPr>
        <w:t>RIE</w:t>
      </w:r>
      <w:r w:rsidR="00DE2EDF" w:rsidRPr="001026E6">
        <w:rPr>
          <w:rFonts w:cs="Helvetica"/>
          <w:sz w:val="24"/>
          <w:szCs w:val="24"/>
        </w:rPr>
        <w:t xml:space="preserve">.  </w:t>
      </w:r>
      <w:r w:rsidR="00466AF7" w:rsidRPr="001026E6">
        <w:rPr>
          <w:rFonts w:cs="Helvetica"/>
          <w:sz w:val="24"/>
          <w:szCs w:val="24"/>
        </w:rPr>
        <w:t>Pursuant to MIR Rule 3.4.1, i</w:t>
      </w:r>
      <w:r w:rsidR="000716EE" w:rsidRPr="001026E6">
        <w:rPr>
          <w:rFonts w:cs="Helvetica"/>
          <w:sz w:val="24"/>
          <w:szCs w:val="24"/>
        </w:rPr>
        <w:t xml:space="preserve">f </w:t>
      </w:r>
      <w:r w:rsidR="00564344" w:rsidRPr="001026E6">
        <w:rPr>
          <w:rFonts w:cs="Helvetica"/>
          <w:sz w:val="24"/>
          <w:szCs w:val="24"/>
        </w:rPr>
        <w:t>licence</w:t>
      </w:r>
      <w:r w:rsidR="000716EE" w:rsidRPr="001026E6">
        <w:rPr>
          <w:rFonts w:cs="Helvetica"/>
          <w:sz w:val="24"/>
          <w:szCs w:val="24"/>
        </w:rPr>
        <w:t xml:space="preserve">d by the FSRA to carry out </w:t>
      </w:r>
      <w:r w:rsidR="00466AF7" w:rsidRPr="001026E6">
        <w:rPr>
          <w:rFonts w:cs="Helvetica"/>
          <w:sz w:val="24"/>
          <w:szCs w:val="24"/>
        </w:rPr>
        <w:t>the activities</w:t>
      </w:r>
      <w:r w:rsidR="000716EE" w:rsidRPr="001026E6">
        <w:rPr>
          <w:rFonts w:cs="Helvetica"/>
          <w:sz w:val="24"/>
          <w:szCs w:val="24"/>
        </w:rPr>
        <w:t xml:space="preserve"> </w:t>
      </w:r>
      <w:r w:rsidR="00466AF7" w:rsidRPr="001026E6">
        <w:rPr>
          <w:rFonts w:cs="Helvetica"/>
          <w:sz w:val="24"/>
          <w:szCs w:val="24"/>
        </w:rPr>
        <w:t xml:space="preserve">of both a RIE and </w:t>
      </w:r>
      <w:r w:rsidRPr="001026E6">
        <w:rPr>
          <w:rFonts w:cs="Helvetica"/>
          <w:sz w:val="24"/>
          <w:szCs w:val="24"/>
        </w:rPr>
        <w:t>an MTF</w:t>
      </w:r>
      <w:r w:rsidR="000716EE" w:rsidRPr="001026E6">
        <w:rPr>
          <w:rFonts w:cs="Helvetica"/>
          <w:sz w:val="24"/>
          <w:szCs w:val="24"/>
        </w:rPr>
        <w:t xml:space="preserve">, the Recognition Order </w:t>
      </w:r>
      <w:r w:rsidR="00466AF7" w:rsidRPr="001026E6">
        <w:rPr>
          <w:rFonts w:cs="Helvetica"/>
          <w:sz w:val="24"/>
          <w:szCs w:val="24"/>
        </w:rPr>
        <w:t xml:space="preserve">granted for the RIE </w:t>
      </w:r>
      <w:r w:rsidR="000716EE" w:rsidRPr="001026E6">
        <w:rPr>
          <w:rFonts w:cs="Helvetica"/>
          <w:sz w:val="24"/>
          <w:szCs w:val="24"/>
        </w:rPr>
        <w:t>will include a stipulation</w:t>
      </w:r>
      <w:r w:rsidR="00631108" w:rsidRPr="001026E6">
        <w:rPr>
          <w:rFonts w:cs="Helvetica"/>
          <w:sz w:val="24"/>
          <w:szCs w:val="24"/>
        </w:rPr>
        <w:t>,</w:t>
      </w:r>
      <w:r w:rsidR="000716EE" w:rsidRPr="001026E6">
        <w:rPr>
          <w:rFonts w:cs="Helvetica"/>
          <w:sz w:val="24"/>
          <w:szCs w:val="24"/>
        </w:rPr>
        <w:t xml:space="preserve"> </w:t>
      </w:r>
      <w:r w:rsidR="00466AF7" w:rsidRPr="001026E6">
        <w:rPr>
          <w:rFonts w:cs="Helvetica"/>
          <w:sz w:val="24"/>
          <w:szCs w:val="24"/>
        </w:rPr>
        <w:t>incl</w:t>
      </w:r>
      <w:r w:rsidR="00631108" w:rsidRPr="001026E6">
        <w:rPr>
          <w:rFonts w:cs="Helvetica"/>
          <w:sz w:val="24"/>
          <w:szCs w:val="24"/>
        </w:rPr>
        <w:t xml:space="preserve">uding the </w:t>
      </w:r>
      <w:r w:rsidRPr="001026E6">
        <w:rPr>
          <w:rFonts w:cs="Helvetica"/>
          <w:sz w:val="24"/>
          <w:szCs w:val="24"/>
        </w:rPr>
        <w:t>MTF</w:t>
      </w:r>
      <w:r w:rsidR="00631108" w:rsidRPr="001026E6">
        <w:rPr>
          <w:rFonts w:cs="Helvetica"/>
          <w:sz w:val="24"/>
          <w:szCs w:val="24"/>
        </w:rPr>
        <w:t xml:space="preserve">, </w:t>
      </w:r>
      <w:r w:rsidR="000716EE" w:rsidRPr="001026E6">
        <w:rPr>
          <w:rFonts w:cs="Helvetica"/>
          <w:sz w:val="24"/>
          <w:szCs w:val="24"/>
        </w:rPr>
        <w:t>to that effect.</w:t>
      </w:r>
    </w:p>
    <w:p w14:paraId="4D7AE67F" w14:textId="77777777" w:rsidR="00D55198" w:rsidRPr="001026E6" w:rsidRDefault="00D55198" w:rsidP="00DE2EDF">
      <w:pPr>
        <w:jc w:val="both"/>
        <w:rPr>
          <w:rFonts w:cs="Helvetica"/>
          <w:sz w:val="24"/>
          <w:szCs w:val="24"/>
        </w:rPr>
      </w:pPr>
    </w:p>
    <w:p w14:paraId="7EE9627C" w14:textId="77777777" w:rsidR="00E91F10" w:rsidRPr="001026E6" w:rsidRDefault="00326EDB" w:rsidP="00326EDB">
      <w:pPr>
        <w:pStyle w:val="ListParagraph"/>
        <w:numPr>
          <w:ilvl w:val="0"/>
          <w:numId w:val="1"/>
        </w:numPr>
        <w:ind w:left="426"/>
        <w:jc w:val="both"/>
        <w:rPr>
          <w:rFonts w:cs="Helvetica"/>
          <w:sz w:val="24"/>
          <w:szCs w:val="24"/>
        </w:rPr>
      </w:pPr>
      <w:r w:rsidRPr="001026E6">
        <w:rPr>
          <w:rFonts w:cs="Helvetica"/>
          <w:sz w:val="24"/>
          <w:szCs w:val="24"/>
        </w:rPr>
        <w:t xml:space="preserve">RIEs can admit to trading Digital Securities that have been admitted to the Official List of Securities (maintained by FSRA) and offered by way of an Approved Prospectus.  As set out earlier in </w:t>
      </w:r>
      <w:r w:rsidR="009440D6" w:rsidRPr="001026E6">
        <w:rPr>
          <w:rFonts w:cs="Helvetica"/>
          <w:sz w:val="24"/>
          <w:szCs w:val="24"/>
        </w:rPr>
        <w:t>paragraph 36</w:t>
      </w:r>
      <w:r w:rsidRPr="001026E6">
        <w:rPr>
          <w:rFonts w:cs="Helvetica"/>
          <w:sz w:val="24"/>
          <w:szCs w:val="24"/>
        </w:rPr>
        <w:t xml:space="preserve">, </w:t>
      </w:r>
      <w:r w:rsidR="00600B7C" w:rsidRPr="001026E6">
        <w:rPr>
          <w:rFonts w:cs="Helvetica"/>
          <w:sz w:val="24"/>
          <w:szCs w:val="24"/>
        </w:rPr>
        <w:t>t</w:t>
      </w:r>
      <w:r w:rsidR="000716EE" w:rsidRPr="001026E6">
        <w:rPr>
          <w:rFonts w:cs="Helvetica"/>
          <w:sz w:val="24"/>
          <w:szCs w:val="24"/>
        </w:rPr>
        <w:t xml:space="preserve">he FSRA </w:t>
      </w:r>
      <w:r w:rsidRPr="001026E6">
        <w:rPr>
          <w:rFonts w:cs="Helvetica"/>
          <w:sz w:val="24"/>
          <w:szCs w:val="24"/>
        </w:rPr>
        <w:t>is ADGM’s</w:t>
      </w:r>
      <w:r w:rsidR="000716EE" w:rsidRPr="001026E6">
        <w:rPr>
          <w:rFonts w:cs="Helvetica"/>
          <w:sz w:val="24"/>
          <w:szCs w:val="24"/>
        </w:rPr>
        <w:t xml:space="preserve"> Listing </w:t>
      </w:r>
      <w:r w:rsidRPr="001026E6">
        <w:rPr>
          <w:rFonts w:cs="Helvetica"/>
          <w:sz w:val="24"/>
          <w:szCs w:val="24"/>
        </w:rPr>
        <w:t xml:space="preserve">Authority, </w:t>
      </w:r>
      <w:r w:rsidR="000716EE" w:rsidRPr="001026E6">
        <w:rPr>
          <w:rFonts w:cs="Helvetica"/>
          <w:sz w:val="24"/>
          <w:szCs w:val="24"/>
        </w:rPr>
        <w:t xml:space="preserve">and as such the </w:t>
      </w:r>
      <w:r w:rsidR="00600B7C" w:rsidRPr="001026E6">
        <w:rPr>
          <w:rFonts w:cs="Helvetica"/>
          <w:sz w:val="24"/>
          <w:szCs w:val="24"/>
        </w:rPr>
        <w:t>I</w:t>
      </w:r>
      <w:r w:rsidR="000716EE" w:rsidRPr="001026E6">
        <w:rPr>
          <w:rFonts w:cs="Helvetica"/>
          <w:sz w:val="24"/>
          <w:szCs w:val="24"/>
        </w:rPr>
        <w:t>ssuer</w:t>
      </w:r>
      <w:r w:rsidRPr="001026E6">
        <w:rPr>
          <w:rFonts w:cs="Helvetica"/>
          <w:sz w:val="24"/>
          <w:szCs w:val="24"/>
        </w:rPr>
        <w:t>/Reporting Entity of the Digital Securities</w:t>
      </w:r>
      <w:r w:rsidR="000716EE" w:rsidRPr="001026E6">
        <w:rPr>
          <w:rFonts w:cs="Helvetica"/>
          <w:sz w:val="24"/>
          <w:szCs w:val="24"/>
        </w:rPr>
        <w:t xml:space="preserve"> must meet all requirements of th</w:t>
      </w:r>
      <w:r w:rsidR="003E15B5" w:rsidRPr="001026E6">
        <w:rPr>
          <w:rFonts w:cs="Helvetica"/>
          <w:sz w:val="24"/>
          <w:szCs w:val="24"/>
        </w:rPr>
        <w:t xml:space="preserve">e </w:t>
      </w:r>
      <w:r w:rsidR="00600B7C" w:rsidRPr="001026E6">
        <w:rPr>
          <w:rFonts w:cs="Helvetica"/>
          <w:sz w:val="24"/>
          <w:szCs w:val="24"/>
        </w:rPr>
        <w:t>L</w:t>
      </w:r>
      <w:r w:rsidR="003E15B5" w:rsidRPr="001026E6">
        <w:rPr>
          <w:rFonts w:cs="Helvetica"/>
          <w:sz w:val="24"/>
          <w:szCs w:val="24"/>
        </w:rPr>
        <w:t xml:space="preserve">isting </w:t>
      </w:r>
      <w:r w:rsidR="00600B7C" w:rsidRPr="001026E6">
        <w:rPr>
          <w:rFonts w:cs="Helvetica"/>
          <w:sz w:val="24"/>
          <w:szCs w:val="24"/>
        </w:rPr>
        <w:t>R</w:t>
      </w:r>
      <w:r w:rsidR="003E15B5" w:rsidRPr="001026E6">
        <w:rPr>
          <w:rFonts w:cs="Helvetica"/>
          <w:sz w:val="24"/>
          <w:szCs w:val="24"/>
        </w:rPr>
        <w:t>ules</w:t>
      </w:r>
      <w:r w:rsidR="00600B7C" w:rsidRPr="001026E6">
        <w:rPr>
          <w:rFonts w:cs="Helvetica"/>
          <w:sz w:val="24"/>
          <w:szCs w:val="24"/>
        </w:rPr>
        <w:t>,</w:t>
      </w:r>
      <w:r w:rsidR="003E15B5" w:rsidRPr="001026E6">
        <w:rPr>
          <w:rFonts w:cs="Helvetica"/>
          <w:sz w:val="24"/>
          <w:szCs w:val="24"/>
        </w:rPr>
        <w:t xml:space="preserve"> as outlined in C</w:t>
      </w:r>
      <w:r w:rsidR="000716EE" w:rsidRPr="001026E6">
        <w:rPr>
          <w:rFonts w:cs="Helvetica"/>
          <w:sz w:val="24"/>
          <w:szCs w:val="24"/>
        </w:rPr>
        <w:t>hapter 2 of the Market Rules (MKT) before a</w:t>
      </w:r>
      <w:r w:rsidR="00631108" w:rsidRPr="001026E6">
        <w:rPr>
          <w:rFonts w:cs="Helvetica"/>
          <w:sz w:val="24"/>
          <w:szCs w:val="24"/>
        </w:rPr>
        <w:t>n</w:t>
      </w:r>
      <w:r w:rsidR="000716EE" w:rsidRPr="001026E6">
        <w:rPr>
          <w:rFonts w:cs="Helvetica"/>
          <w:sz w:val="24"/>
          <w:szCs w:val="24"/>
        </w:rPr>
        <w:t xml:space="preserve"> </w:t>
      </w:r>
      <w:r w:rsidRPr="001026E6">
        <w:rPr>
          <w:rFonts w:cs="Helvetica"/>
          <w:sz w:val="24"/>
          <w:szCs w:val="24"/>
        </w:rPr>
        <w:t>admission to listing and admission to trading on a RIE</w:t>
      </w:r>
      <w:r w:rsidR="000716EE" w:rsidRPr="001026E6">
        <w:rPr>
          <w:rFonts w:cs="Helvetica"/>
          <w:sz w:val="24"/>
          <w:szCs w:val="24"/>
        </w:rPr>
        <w:t xml:space="preserve"> may occur.</w:t>
      </w:r>
    </w:p>
    <w:p w14:paraId="5A7432C5" w14:textId="77777777" w:rsidR="00E91F10" w:rsidRPr="001026E6" w:rsidRDefault="00E91F10" w:rsidP="00E91F10">
      <w:pPr>
        <w:pStyle w:val="ListParagraph"/>
        <w:rPr>
          <w:rFonts w:cs="Helvetica"/>
          <w:sz w:val="24"/>
          <w:szCs w:val="24"/>
        </w:rPr>
      </w:pPr>
    </w:p>
    <w:p w14:paraId="36CC95FF" w14:textId="20735F47" w:rsidR="00326EDB" w:rsidRPr="001026E6" w:rsidRDefault="00C25835">
      <w:pPr>
        <w:pStyle w:val="ListParagraph"/>
        <w:numPr>
          <w:ilvl w:val="0"/>
          <w:numId w:val="1"/>
        </w:numPr>
        <w:ind w:left="426"/>
        <w:jc w:val="both"/>
        <w:rPr>
          <w:rFonts w:cs="Helvetica"/>
          <w:sz w:val="24"/>
          <w:szCs w:val="24"/>
        </w:rPr>
      </w:pPr>
      <w:r w:rsidRPr="001026E6">
        <w:rPr>
          <w:rFonts w:cs="Helvetica"/>
          <w:sz w:val="24"/>
          <w:szCs w:val="24"/>
        </w:rPr>
        <w:t>M</w:t>
      </w:r>
      <w:r w:rsidR="00326EDB" w:rsidRPr="001026E6">
        <w:rPr>
          <w:rFonts w:cs="Helvetica"/>
          <w:sz w:val="24"/>
          <w:szCs w:val="24"/>
        </w:rPr>
        <w:t xml:space="preserve">igration </w:t>
      </w:r>
      <w:r w:rsidR="00723458" w:rsidRPr="001026E6">
        <w:rPr>
          <w:rFonts w:cs="Helvetica"/>
          <w:sz w:val="24"/>
          <w:szCs w:val="24"/>
        </w:rPr>
        <w:t>of</w:t>
      </w:r>
      <w:r w:rsidR="00326EDB" w:rsidRPr="001026E6">
        <w:rPr>
          <w:rFonts w:cs="Helvetica"/>
          <w:sz w:val="24"/>
          <w:szCs w:val="24"/>
        </w:rPr>
        <w:t xml:space="preserve"> a </w:t>
      </w:r>
      <w:r w:rsidRPr="001026E6">
        <w:rPr>
          <w:rFonts w:cs="Helvetica"/>
          <w:sz w:val="24"/>
          <w:szCs w:val="24"/>
        </w:rPr>
        <w:t xml:space="preserve">Virtual Assets MTF </w:t>
      </w:r>
      <w:r w:rsidR="00326EDB" w:rsidRPr="001026E6">
        <w:rPr>
          <w:rFonts w:cs="Helvetica"/>
          <w:sz w:val="24"/>
          <w:szCs w:val="24"/>
        </w:rPr>
        <w:t xml:space="preserve">to </w:t>
      </w:r>
      <w:r w:rsidR="00723458" w:rsidRPr="001026E6">
        <w:rPr>
          <w:rFonts w:cs="Helvetica"/>
          <w:sz w:val="24"/>
          <w:szCs w:val="24"/>
        </w:rPr>
        <w:t xml:space="preserve">a </w:t>
      </w:r>
      <w:r w:rsidR="00326EDB" w:rsidRPr="001026E6">
        <w:rPr>
          <w:rFonts w:cs="Helvetica"/>
          <w:sz w:val="24"/>
          <w:szCs w:val="24"/>
        </w:rPr>
        <w:t xml:space="preserve">RIE </w:t>
      </w:r>
      <w:r w:rsidR="00723458" w:rsidRPr="001026E6">
        <w:rPr>
          <w:rFonts w:cs="Helvetica"/>
          <w:sz w:val="24"/>
          <w:szCs w:val="24"/>
        </w:rPr>
        <w:t>is</w:t>
      </w:r>
      <w:r w:rsidR="00326EDB" w:rsidRPr="001026E6">
        <w:rPr>
          <w:rFonts w:cs="Helvetica"/>
          <w:sz w:val="24"/>
          <w:szCs w:val="24"/>
        </w:rPr>
        <w:t xml:space="preserve"> more complex than the </w:t>
      </w:r>
      <w:r w:rsidRPr="001026E6">
        <w:rPr>
          <w:rFonts w:cs="Helvetica"/>
          <w:sz w:val="24"/>
          <w:szCs w:val="24"/>
        </w:rPr>
        <w:t>ex</w:t>
      </w:r>
      <w:r w:rsidR="008124F9" w:rsidRPr="001026E6">
        <w:rPr>
          <w:rFonts w:cs="Helvetica"/>
          <w:sz w:val="24"/>
          <w:szCs w:val="24"/>
        </w:rPr>
        <w:t>tension</w:t>
      </w:r>
      <w:r w:rsidRPr="001026E6">
        <w:rPr>
          <w:rFonts w:cs="Helvetica"/>
          <w:sz w:val="24"/>
          <w:szCs w:val="24"/>
        </w:rPr>
        <w:t xml:space="preserve"> of a Virtual Assets MTF into Digital Securities </w:t>
      </w:r>
      <w:r w:rsidR="00326EDB" w:rsidRPr="001026E6">
        <w:rPr>
          <w:rFonts w:cs="Helvetica"/>
          <w:sz w:val="24"/>
          <w:szCs w:val="24"/>
        </w:rPr>
        <w:t>(as dealt with in paragraph</w:t>
      </w:r>
      <w:r w:rsidR="00723458" w:rsidRPr="001026E6">
        <w:rPr>
          <w:rFonts w:cs="Helvetica"/>
          <w:sz w:val="24"/>
          <w:szCs w:val="24"/>
        </w:rPr>
        <w:t>s</w:t>
      </w:r>
      <w:r w:rsidR="002630A9" w:rsidRPr="001026E6">
        <w:rPr>
          <w:rFonts w:cs="Helvetica"/>
          <w:sz w:val="24"/>
          <w:szCs w:val="24"/>
        </w:rPr>
        <w:t xml:space="preserve"> </w:t>
      </w:r>
      <w:r w:rsidR="009440D6" w:rsidRPr="001026E6">
        <w:rPr>
          <w:rFonts w:cs="Helvetica"/>
          <w:sz w:val="24"/>
          <w:szCs w:val="24"/>
        </w:rPr>
        <w:t>6</w:t>
      </w:r>
      <w:r w:rsidR="00DE619F" w:rsidRPr="001026E6">
        <w:rPr>
          <w:rFonts w:cs="Helvetica"/>
          <w:sz w:val="24"/>
          <w:szCs w:val="24"/>
        </w:rPr>
        <w:t>3</w:t>
      </w:r>
      <w:r w:rsidR="002630A9" w:rsidRPr="001026E6">
        <w:rPr>
          <w:rFonts w:cs="Helvetica"/>
          <w:sz w:val="24"/>
          <w:szCs w:val="24"/>
        </w:rPr>
        <w:t xml:space="preserve"> </w:t>
      </w:r>
      <w:r w:rsidR="00723458" w:rsidRPr="001026E6">
        <w:rPr>
          <w:rFonts w:cs="Helvetica"/>
          <w:sz w:val="24"/>
          <w:szCs w:val="24"/>
        </w:rPr>
        <w:t>-</w:t>
      </w:r>
      <w:r w:rsidR="002630A9" w:rsidRPr="001026E6">
        <w:rPr>
          <w:rFonts w:cs="Helvetica"/>
          <w:sz w:val="24"/>
          <w:szCs w:val="24"/>
        </w:rPr>
        <w:t xml:space="preserve"> </w:t>
      </w:r>
      <w:r w:rsidR="009440D6" w:rsidRPr="001026E6">
        <w:rPr>
          <w:rFonts w:cs="Helvetica"/>
          <w:sz w:val="24"/>
          <w:szCs w:val="24"/>
        </w:rPr>
        <w:t>6</w:t>
      </w:r>
      <w:r w:rsidR="00DE619F" w:rsidRPr="001026E6">
        <w:rPr>
          <w:rFonts w:cs="Helvetica"/>
          <w:sz w:val="24"/>
          <w:szCs w:val="24"/>
        </w:rPr>
        <w:t>7</w:t>
      </w:r>
      <w:r w:rsidR="00326EDB" w:rsidRPr="001026E6">
        <w:rPr>
          <w:rFonts w:cs="Helvetica"/>
          <w:sz w:val="24"/>
          <w:szCs w:val="24"/>
        </w:rPr>
        <w:t xml:space="preserve"> </w:t>
      </w:r>
      <w:r w:rsidR="00326EDB" w:rsidRPr="001026E6">
        <w:rPr>
          <w:rFonts w:cs="Helvetica"/>
          <w:sz w:val="24"/>
          <w:szCs w:val="24"/>
        </w:rPr>
        <w:lastRenderedPageBreak/>
        <w:t>above)</w:t>
      </w:r>
      <w:r w:rsidR="00723458" w:rsidRPr="001026E6">
        <w:rPr>
          <w:rFonts w:cs="Helvetica"/>
          <w:sz w:val="24"/>
          <w:szCs w:val="24"/>
        </w:rPr>
        <w:t>.  This is due to a number of factors, including that a RIE is required to meet the full suite of requirements in Chapters 2 and 3 of MIR</w:t>
      </w:r>
      <w:r w:rsidR="00326EDB" w:rsidRPr="001026E6">
        <w:rPr>
          <w:rFonts w:cs="Helvetica"/>
          <w:sz w:val="24"/>
          <w:szCs w:val="24"/>
        </w:rPr>
        <w:t xml:space="preserve">, </w:t>
      </w:r>
      <w:r w:rsidR="00723458" w:rsidRPr="001026E6">
        <w:rPr>
          <w:rFonts w:cs="Helvetica"/>
          <w:sz w:val="24"/>
          <w:szCs w:val="24"/>
        </w:rPr>
        <w:t xml:space="preserve">and </w:t>
      </w:r>
      <w:r w:rsidR="00326EDB" w:rsidRPr="001026E6">
        <w:rPr>
          <w:rFonts w:cs="Helvetica"/>
          <w:sz w:val="24"/>
          <w:szCs w:val="24"/>
        </w:rPr>
        <w:t>the primary market considerations associated with operating a RIE</w:t>
      </w:r>
      <w:r w:rsidR="00723458" w:rsidRPr="001026E6">
        <w:rPr>
          <w:rFonts w:cs="Helvetica"/>
          <w:sz w:val="24"/>
          <w:szCs w:val="24"/>
        </w:rPr>
        <w:t xml:space="preserve"> (e.g., requirement for Approved Prospectuses, admission to the Official List of Securities, and the ongoing technical/operational and regulatory requirements related to Digital Securities being admitted to trading and admitted to the Official List)</w:t>
      </w:r>
      <w:r w:rsidR="00326EDB" w:rsidRPr="001026E6">
        <w:rPr>
          <w:rFonts w:cs="Helvetica"/>
          <w:sz w:val="24"/>
          <w:szCs w:val="24"/>
        </w:rPr>
        <w:t xml:space="preserve">. </w:t>
      </w:r>
    </w:p>
    <w:p w14:paraId="61A316BA" w14:textId="77777777" w:rsidR="00326EDB" w:rsidRPr="001026E6" w:rsidRDefault="00326EDB" w:rsidP="00631108">
      <w:pPr>
        <w:pStyle w:val="ListParagraph"/>
        <w:rPr>
          <w:rFonts w:cs="Helvetica"/>
          <w:sz w:val="24"/>
          <w:szCs w:val="24"/>
        </w:rPr>
      </w:pPr>
    </w:p>
    <w:p w14:paraId="48ABB529" w14:textId="5740A5B4" w:rsidR="00326EDB" w:rsidRPr="001026E6" w:rsidRDefault="00326EDB" w:rsidP="008C5526">
      <w:pPr>
        <w:pStyle w:val="ListParagraph"/>
        <w:numPr>
          <w:ilvl w:val="0"/>
          <w:numId w:val="1"/>
        </w:numPr>
        <w:ind w:left="426"/>
        <w:jc w:val="both"/>
        <w:rPr>
          <w:rFonts w:cs="Helvetica"/>
          <w:sz w:val="24"/>
          <w:szCs w:val="24"/>
        </w:rPr>
      </w:pPr>
      <w:r w:rsidRPr="001026E6">
        <w:rPr>
          <w:rFonts w:cs="Helvetica"/>
          <w:sz w:val="24"/>
          <w:szCs w:val="24"/>
        </w:rPr>
        <w:t xml:space="preserve">For the purposes of MIR Rule 3.8 (settlement), </w:t>
      </w:r>
      <w:r w:rsidR="00FF36DE" w:rsidRPr="001026E6">
        <w:rPr>
          <w:rFonts w:cs="Helvetica"/>
          <w:sz w:val="24"/>
          <w:szCs w:val="24"/>
        </w:rPr>
        <w:t xml:space="preserve">Virtual Assets MTFs </w:t>
      </w:r>
      <w:r w:rsidRPr="001026E6">
        <w:rPr>
          <w:rFonts w:cs="Helvetica"/>
          <w:sz w:val="24"/>
          <w:szCs w:val="24"/>
        </w:rPr>
        <w:t>seeking to extend their operations to include Digital Securities will not be permitted to clear and settle transactions within the same legal entity that is conducting trading activities as a RIE.  In such circumstances (</w:t>
      </w:r>
      <w:r w:rsidR="008C5526" w:rsidRPr="001026E6">
        <w:rPr>
          <w:rFonts w:cs="Helvetica"/>
          <w:sz w:val="24"/>
          <w:szCs w:val="24"/>
        </w:rPr>
        <w:t xml:space="preserve">as noted in </w:t>
      </w:r>
      <w:r w:rsidR="009440D6" w:rsidRPr="001026E6">
        <w:rPr>
          <w:rFonts w:cs="Helvetica"/>
          <w:sz w:val="24"/>
          <w:szCs w:val="24"/>
        </w:rPr>
        <w:t>paragraph 6</w:t>
      </w:r>
      <w:r w:rsidR="00DE619F" w:rsidRPr="001026E6">
        <w:rPr>
          <w:rFonts w:cs="Helvetica"/>
          <w:sz w:val="24"/>
          <w:szCs w:val="24"/>
        </w:rPr>
        <w:t>5</w:t>
      </w:r>
      <w:r w:rsidR="008C5526" w:rsidRPr="001026E6">
        <w:rPr>
          <w:rFonts w:cs="Helvetica"/>
          <w:sz w:val="24"/>
          <w:szCs w:val="24"/>
        </w:rPr>
        <w:t xml:space="preserve"> above</w:t>
      </w:r>
      <w:r w:rsidRPr="001026E6">
        <w:rPr>
          <w:rFonts w:cs="Helvetica"/>
          <w:sz w:val="24"/>
          <w:szCs w:val="24"/>
        </w:rPr>
        <w:t>)</w:t>
      </w:r>
      <w:r w:rsidR="008C5526" w:rsidRPr="001026E6">
        <w:rPr>
          <w:rFonts w:cs="Helvetica"/>
          <w:sz w:val="24"/>
          <w:szCs w:val="24"/>
        </w:rPr>
        <w:t>)</w:t>
      </w:r>
      <w:r w:rsidRPr="001026E6">
        <w:rPr>
          <w:rFonts w:cs="Helvetica"/>
          <w:sz w:val="24"/>
          <w:szCs w:val="24"/>
        </w:rPr>
        <w:t xml:space="preserve"> the </w:t>
      </w:r>
      <w:r w:rsidR="00FF36DE" w:rsidRPr="001026E6">
        <w:rPr>
          <w:rFonts w:cs="Helvetica"/>
          <w:sz w:val="24"/>
          <w:szCs w:val="24"/>
        </w:rPr>
        <w:t xml:space="preserve">MTF </w:t>
      </w:r>
      <w:r w:rsidRPr="001026E6">
        <w:rPr>
          <w:rFonts w:cs="Helvetica"/>
          <w:sz w:val="24"/>
          <w:szCs w:val="24"/>
        </w:rPr>
        <w:t>will be required to separately establish, or make arrangements to use, a separate clearing and settlement entity</w:t>
      </w:r>
      <w:r w:rsidR="00E87060" w:rsidRPr="001026E6">
        <w:rPr>
          <w:rStyle w:val="FootnoteReference"/>
          <w:rFonts w:cs="Helvetica"/>
          <w:sz w:val="24"/>
          <w:szCs w:val="24"/>
        </w:rPr>
        <w:footnoteReference w:id="18"/>
      </w:r>
      <w:r w:rsidRPr="001026E6">
        <w:rPr>
          <w:rFonts w:cs="Helvetica"/>
          <w:sz w:val="24"/>
          <w:szCs w:val="24"/>
        </w:rPr>
        <w:t xml:space="preserve"> (refer to the sections above in relation to RCHs or DSFs, in paragraphs </w:t>
      </w:r>
      <w:r w:rsidR="009440D6" w:rsidRPr="001026E6">
        <w:rPr>
          <w:rFonts w:cs="Helvetica"/>
          <w:sz w:val="24"/>
          <w:szCs w:val="24"/>
        </w:rPr>
        <w:t>53</w:t>
      </w:r>
      <w:r w:rsidR="001E7BA8" w:rsidRPr="001026E6">
        <w:rPr>
          <w:rFonts w:cs="Helvetica"/>
          <w:sz w:val="24"/>
          <w:szCs w:val="24"/>
        </w:rPr>
        <w:t xml:space="preserve"> </w:t>
      </w:r>
      <w:r w:rsidR="009440D6" w:rsidRPr="001026E6">
        <w:rPr>
          <w:rFonts w:cs="Helvetica"/>
          <w:sz w:val="24"/>
          <w:szCs w:val="24"/>
        </w:rPr>
        <w:t>and 59</w:t>
      </w:r>
      <w:r w:rsidR="004B08E6" w:rsidRPr="001026E6">
        <w:rPr>
          <w:rFonts w:cs="Helvetica"/>
          <w:sz w:val="24"/>
          <w:szCs w:val="24"/>
        </w:rPr>
        <w:t xml:space="preserve"> </w:t>
      </w:r>
      <w:r w:rsidRPr="001026E6">
        <w:rPr>
          <w:rFonts w:cs="Helvetica"/>
          <w:sz w:val="24"/>
          <w:szCs w:val="24"/>
        </w:rPr>
        <w:t xml:space="preserve">respectively). </w:t>
      </w:r>
    </w:p>
    <w:p w14:paraId="7E51CCB1" w14:textId="77777777" w:rsidR="00067D66" w:rsidRPr="001026E6" w:rsidRDefault="00067D66" w:rsidP="00631108">
      <w:pPr>
        <w:pStyle w:val="ListParagraph"/>
        <w:ind w:left="426"/>
        <w:jc w:val="both"/>
        <w:rPr>
          <w:rFonts w:cs="Helvetica"/>
          <w:sz w:val="24"/>
          <w:szCs w:val="24"/>
        </w:rPr>
      </w:pPr>
    </w:p>
    <w:p w14:paraId="2326AA99" w14:textId="7CCCD35D" w:rsidR="00067D66" w:rsidRPr="001026E6" w:rsidRDefault="00723458">
      <w:pPr>
        <w:pStyle w:val="ListParagraph"/>
        <w:numPr>
          <w:ilvl w:val="0"/>
          <w:numId w:val="1"/>
        </w:numPr>
        <w:ind w:left="426"/>
        <w:jc w:val="both"/>
        <w:rPr>
          <w:rFonts w:cs="Helvetica"/>
          <w:sz w:val="24"/>
          <w:szCs w:val="24"/>
        </w:rPr>
      </w:pPr>
      <w:r w:rsidRPr="001026E6">
        <w:rPr>
          <w:rFonts w:cs="Helvetica"/>
          <w:iCs/>
          <w:sz w:val="24"/>
        </w:rPr>
        <w:t>Please note that t</w:t>
      </w:r>
      <w:r w:rsidR="00067D66" w:rsidRPr="001026E6">
        <w:rPr>
          <w:rFonts w:cs="Helvetica"/>
          <w:iCs/>
          <w:sz w:val="24"/>
        </w:rPr>
        <w:t xml:space="preserve">he relief provided by FSRA in May 2019 (to allow </w:t>
      </w:r>
      <w:r w:rsidR="00AD32C2" w:rsidRPr="001026E6">
        <w:rPr>
          <w:rFonts w:cs="Helvetica"/>
          <w:iCs/>
          <w:sz w:val="24"/>
        </w:rPr>
        <w:t>Virtual</w:t>
      </w:r>
      <w:r w:rsidR="00067D66" w:rsidRPr="001026E6">
        <w:rPr>
          <w:rFonts w:cs="Helvetica"/>
          <w:iCs/>
          <w:sz w:val="24"/>
        </w:rPr>
        <w:t xml:space="preserve"> Asset </w:t>
      </w:r>
      <w:r w:rsidR="00AD32C2" w:rsidRPr="001026E6">
        <w:rPr>
          <w:rFonts w:cs="Helvetica"/>
          <w:iCs/>
          <w:sz w:val="24"/>
        </w:rPr>
        <w:t>MTFs</w:t>
      </w:r>
      <w:r w:rsidR="00067D66" w:rsidRPr="001026E6">
        <w:rPr>
          <w:rFonts w:cs="Helvetica"/>
          <w:iCs/>
          <w:sz w:val="24"/>
        </w:rPr>
        <w:t>) to operate a direct client access market has not been extended to allow RIEs to operate on a similar basis</w:t>
      </w:r>
      <w:r w:rsidR="00AD32C2" w:rsidRPr="001026E6">
        <w:rPr>
          <w:rFonts w:cs="Helvetica"/>
          <w:iCs/>
          <w:sz w:val="24"/>
        </w:rPr>
        <w:t xml:space="preserve"> in relation to Digital Securities</w:t>
      </w:r>
      <w:r w:rsidR="00067D66" w:rsidRPr="001026E6">
        <w:rPr>
          <w:rFonts w:cs="Helvetica"/>
          <w:iCs/>
          <w:sz w:val="24"/>
        </w:rPr>
        <w:t>. As such, due to the policy/operational requirements at play, the FSRA suggests that entities wanting to operate a RIE on a ‘direct client’ basis engage with the FSRA as early as possible.</w:t>
      </w:r>
    </w:p>
    <w:p w14:paraId="1D6B72A5" w14:textId="77777777" w:rsidR="00DB10C4" w:rsidRPr="001026E6" w:rsidRDefault="00DB10C4" w:rsidP="00514F80">
      <w:pPr>
        <w:rPr>
          <w:rFonts w:cs="Helvetica"/>
          <w:sz w:val="24"/>
          <w:szCs w:val="24"/>
        </w:rPr>
      </w:pPr>
    </w:p>
    <w:p w14:paraId="3E19ED39" w14:textId="11E67E13" w:rsidR="00DD34DC" w:rsidRPr="001026E6" w:rsidRDefault="00221CA0" w:rsidP="00F74BC6">
      <w:pPr>
        <w:pStyle w:val="Heading2"/>
        <w:tabs>
          <w:tab w:val="clear" w:pos="720"/>
          <w:tab w:val="num" w:pos="0"/>
        </w:tabs>
        <w:ind w:left="0" w:firstLine="0"/>
        <w:rPr>
          <w:szCs w:val="24"/>
        </w:rPr>
      </w:pPr>
      <w:bookmarkStart w:id="60" w:name="_Toc18571335"/>
      <w:bookmarkStart w:id="61" w:name="_Toc33443086"/>
      <w:r w:rsidRPr="001026E6">
        <w:rPr>
          <w:szCs w:val="24"/>
        </w:rPr>
        <w:lastRenderedPageBreak/>
        <w:t>Virtual Asset Custodian</w:t>
      </w:r>
      <w:r w:rsidR="005D543B" w:rsidRPr="001026E6">
        <w:rPr>
          <w:szCs w:val="24"/>
        </w:rPr>
        <w:t xml:space="preserve"> – </w:t>
      </w:r>
      <w:r w:rsidR="00F74BC6" w:rsidRPr="001026E6">
        <w:rPr>
          <w:szCs w:val="24"/>
        </w:rPr>
        <w:t>Becoming a</w:t>
      </w:r>
      <w:r w:rsidR="00AC56B5" w:rsidRPr="001026E6">
        <w:rPr>
          <w:szCs w:val="24"/>
        </w:rPr>
        <w:t xml:space="preserve"> </w:t>
      </w:r>
      <w:r w:rsidR="005D543B" w:rsidRPr="001026E6">
        <w:rPr>
          <w:szCs w:val="24"/>
        </w:rPr>
        <w:t>DS</w:t>
      </w:r>
      <w:r w:rsidR="00AE1793" w:rsidRPr="001026E6">
        <w:rPr>
          <w:szCs w:val="24"/>
        </w:rPr>
        <w:t>F</w:t>
      </w:r>
      <w:bookmarkEnd w:id="60"/>
      <w:bookmarkEnd w:id="61"/>
    </w:p>
    <w:p w14:paraId="03AE6FEA" w14:textId="7EB63ACF" w:rsidR="0090478D" w:rsidRPr="001026E6" w:rsidRDefault="00E9284D">
      <w:pPr>
        <w:pStyle w:val="ListParagraph"/>
        <w:numPr>
          <w:ilvl w:val="0"/>
          <w:numId w:val="1"/>
        </w:numPr>
        <w:ind w:left="426"/>
        <w:jc w:val="both"/>
        <w:rPr>
          <w:rFonts w:cs="Helvetica"/>
          <w:sz w:val="24"/>
          <w:szCs w:val="24"/>
        </w:rPr>
      </w:pPr>
      <w:r w:rsidRPr="001026E6">
        <w:rPr>
          <w:rFonts w:cs="Helvetica"/>
          <w:sz w:val="24"/>
          <w:szCs w:val="24"/>
        </w:rPr>
        <w:t xml:space="preserve">A </w:t>
      </w:r>
      <w:r w:rsidR="00221CA0" w:rsidRPr="001026E6">
        <w:rPr>
          <w:rFonts w:cs="Helvetica"/>
          <w:sz w:val="24"/>
          <w:szCs w:val="24"/>
        </w:rPr>
        <w:t>Virtual Asset Custodian</w:t>
      </w:r>
      <w:r w:rsidR="007239A9" w:rsidRPr="001026E6">
        <w:rPr>
          <w:rFonts w:cs="Helvetica"/>
          <w:sz w:val="24"/>
          <w:szCs w:val="24"/>
        </w:rPr>
        <w:t xml:space="preserve"> seeking to operate as a DSF may apply to the FSRA to vary its FSP to </w:t>
      </w:r>
      <w:r w:rsidRPr="001026E6">
        <w:rPr>
          <w:rFonts w:cs="Helvetica"/>
          <w:sz w:val="24"/>
          <w:szCs w:val="24"/>
        </w:rPr>
        <w:t xml:space="preserve">allow it to expand its </w:t>
      </w:r>
      <w:r w:rsidR="007239A9" w:rsidRPr="001026E6">
        <w:rPr>
          <w:rFonts w:cs="Helvetica"/>
          <w:sz w:val="24"/>
          <w:szCs w:val="24"/>
        </w:rPr>
        <w:t>Providing Custody</w:t>
      </w:r>
      <w:r w:rsidRPr="001026E6">
        <w:rPr>
          <w:rFonts w:cs="Helvetica"/>
          <w:sz w:val="24"/>
          <w:szCs w:val="24"/>
        </w:rPr>
        <w:t xml:space="preserve"> operations to do so</w:t>
      </w:r>
      <w:r w:rsidR="007239A9" w:rsidRPr="001026E6">
        <w:rPr>
          <w:rFonts w:cs="Helvetica"/>
          <w:sz w:val="24"/>
          <w:szCs w:val="24"/>
        </w:rPr>
        <w:t xml:space="preserve">.  </w:t>
      </w:r>
      <w:r w:rsidR="007239A9" w:rsidRPr="001026E6">
        <w:rPr>
          <w:sz w:val="24"/>
          <w:szCs w:val="24"/>
        </w:rPr>
        <w:t xml:space="preserve">Further guidance on the considerations applicable to entities wishing to operate as a DSF are set out in paragraphs </w:t>
      </w:r>
      <w:r w:rsidR="009440D6" w:rsidRPr="001026E6">
        <w:rPr>
          <w:sz w:val="24"/>
          <w:szCs w:val="24"/>
        </w:rPr>
        <w:t>55 – 61</w:t>
      </w:r>
      <w:r w:rsidR="008D395E" w:rsidRPr="001026E6">
        <w:rPr>
          <w:sz w:val="24"/>
          <w:szCs w:val="24"/>
        </w:rPr>
        <w:t xml:space="preserve"> </w:t>
      </w:r>
      <w:r w:rsidR="007239A9" w:rsidRPr="001026E6">
        <w:rPr>
          <w:sz w:val="24"/>
          <w:szCs w:val="24"/>
        </w:rPr>
        <w:t>above.</w:t>
      </w:r>
      <w:r w:rsidR="00E87060" w:rsidRPr="001026E6">
        <w:rPr>
          <w:rFonts w:cs="Helvetica"/>
          <w:sz w:val="24"/>
          <w:szCs w:val="24"/>
        </w:rPr>
        <w:t xml:space="preserve">  N</w:t>
      </w:r>
      <w:r w:rsidR="007239A9" w:rsidRPr="001026E6">
        <w:rPr>
          <w:rFonts w:cs="Helvetica"/>
          <w:sz w:val="24"/>
          <w:szCs w:val="24"/>
        </w:rPr>
        <w:t>ote</w:t>
      </w:r>
      <w:r w:rsidR="00E87060" w:rsidRPr="001026E6">
        <w:rPr>
          <w:rFonts w:cs="Helvetica"/>
          <w:sz w:val="24"/>
          <w:szCs w:val="24"/>
        </w:rPr>
        <w:t>, however,</w:t>
      </w:r>
      <w:r w:rsidR="007239A9" w:rsidRPr="001026E6">
        <w:rPr>
          <w:rFonts w:cs="Helvetica"/>
          <w:sz w:val="24"/>
          <w:szCs w:val="24"/>
        </w:rPr>
        <w:t xml:space="preserve"> that with respect to </w:t>
      </w:r>
      <w:r w:rsidRPr="001026E6">
        <w:rPr>
          <w:rFonts w:cs="Helvetica"/>
          <w:sz w:val="24"/>
          <w:szCs w:val="24"/>
        </w:rPr>
        <w:t xml:space="preserve">Authorised Persons </w:t>
      </w:r>
      <w:r w:rsidR="007239A9" w:rsidRPr="001026E6">
        <w:rPr>
          <w:rFonts w:cs="Helvetica"/>
          <w:sz w:val="24"/>
          <w:szCs w:val="24"/>
        </w:rPr>
        <w:t xml:space="preserve">currently </w:t>
      </w:r>
      <w:r w:rsidRPr="001026E6">
        <w:rPr>
          <w:rFonts w:cs="Helvetica"/>
          <w:sz w:val="24"/>
          <w:szCs w:val="24"/>
        </w:rPr>
        <w:t>O</w:t>
      </w:r>
      <w:r w:rsidR="007239A9" w:rsidRPr="001026E6">
        <w:rPr>
          <w:rFonts w:cs="Helvetica"/>
          <w:sz w:val="24"/>
          <w:szCs w:val="24"/>
        </w:rPr>
        <w:t xml:space="preserve">perating </w:t>
      </w:r>
      <w:r w:rsidRPr="001026E6">
        <w:rPr>
          <w:rFonts w:cs="Helvetica"/>
          <w:sz w:val="24"/>
          <w:szCs w:val="24"/>
        </w:rPr>
        <w:t>a</w:t>
      </w:r>
      <w:r w:rsidR="00AD32C2" w:rsidRPr="001026E6">
        <w:rPr>
          <w:rFonts w:cs="Helvetica"/>
          <w:sz w:val="24"/>
          <w:szCs w:val="24"/>
        </w:rPr>
        <w:t>n</w:t>
      </w:r>
      <w:r w:rsidRPr="001026E6">
        <w:rPr>
          <w:rFonts w:cs="Helvetica"/>
          <w:sz w:val="24"/>
          <w:szCs w:val="24"/>
        </w:rPr>
        <w:t xml:space="preserve"> MTF (in relation to Virtual Assets)</w:t>
      </w:r>
      <w:r w:rsidR="007239A9" w:rsidRPr="001026E6">
        <w:rPr>
          <w:rFonts w:cs="Helvetica"/>
          <w:sz w:val="24"/>
          <w:szCs w:val="24"/>
        </w:rPr>
        <w:t xml:space="preserve">, the FSRA will require </w:t>
      </w:r>
      <w:r w:rsidR="0047563F" w:rsidRPr="001026E6">
        <w:rPr>
          <w:rFonts w:cs="Helvetica"/>
          <w:sz w:val="24"/>
          <w:szCs w:val="24"/>
        </w:rPr>
        <w:t>the</w:t>
      </w:r>
      <w:r w:rsidR="007239A9" w:rsidRPr="001026E6">
        <w:rPr>
          <w:rFonts w:cs="Helvetica"/>
          <w:sz w:val="24"/>
          <w:szCs w:val="24"/>
        </w:rPr>
        <w:t xml:space="preserve"> DSF to be a separate legal/operating entity from those entities it is providing settlement services</w:t>
      </w:r>
      <w:r w:rsidR="005F0B17" w:rsidRPr="001026E6">
        <w:rPr>
          <w:rFonts w:cs="Helvetica"/>
          <w:sz w:val="24"/>
          <w:szCs w:val="24"/>
        </w:rPr>
        <w:t xml:space="preserve"> </w:t>
      </w:r>
      <w:r w:rsidR="007239A9" w:rsidRPr="001026E6">
        <w:rPr>
          <w:rFonts w:cs="Helvetica"/>
          <w:sz w:val="24"/>
          <w:szCs w:val="24"/>
        </w:rPr>
        <w:t xml:space="preserve">(MIR </w:t>
      </w:r>
      <w:r w:rsidR="0047563F" w:rsidRPr="001026E6">
        <w:rPr>
          <w:rFonts w:cs="Helvetica"/>
          <w:sz w:val="24"/>
          <w:szCs w:val="24"/>
        </w:rPr>
        <w:t xml:space="preserve">Rule </w:t>
      </w:r>
      <w:r w:rsidR="007239A9" w:rsidRPr="001026E6">
        <w:rPr>
          <w:rFonts w:cs="Helvetica"/>
          <w:sz w:val="24"/>
          <w:szCs w:val="24"/>
        </w:rPr>
        <w:t xml:space="preserve">3.8) and/or custody services (MIR </w:t>
      </w:r>
      <w:r w:rsidR="0047563F" w:rsidRPr="001026E6">
        <w:rPr>
          <w:rFonts w:cs="Helvetica"/>
          <w:sz w:val="24"/>
          <w:szCs w:val="24"/>
        </w:rPr>
        <w:t xml:space="preserve">Rule </w:t>
      </w:r>
      <w:r w:rsidR="007239A9" w:rsidRPr="001026E6">
        <w:rPr>
          <w:rFonts w:cs="Helvetica"/>
          <w:sz w:val="24"/>
          <w:szCs w:val="24"/>
        </w:rPr>
        <w:t>2.10)</w:t>
      </w:r>
      <w:r w:rsidR="00AD32C2" w:rsidRPr="001026E6">
        <w:rPr>
          <w:rFonts w:cs="Helvetica"/>
          <w:sz w:val="24"/>
          <w:szCs w:val="24"/>
        </w:rPr>
        <w:t xml:space="preserve"> for</w:t>
      </w:r>
      <w:r w:rsidR="007239A9" w:rsidRPr="001026E6">
        <w:rPr>
          <w:rFonts w:cs="Helvetica"/>
          <w:sz w:val="24"/>
          <w:szCs w:val="24"/>
        </w:rPr>
        <w:t xml:space="preserve">.  Migration of an independent </w:t>
      </w:r>
      <w:r w:rsidR="00221CA0" w:rsidRPr="001026E6">
        <w:rPr>
          <w:rFonts w:cs="Helvetica"/>
          <w:sz w:val="24"/>
          <w:szCs w:val="24"/>
        </w:rPr>
        <w:t>Virtual Asset Custodian</w:t>
      </w:r>
      <w:r w:rsidRPr="001026E6">
        <w:rPr>
          <w:rFonts w:cs="Helvetica"/>
          <w:sz w:val="24"/>
          <w:szCs w:val="24"/>
        </w:rPr>
        <w:t xml:space="preserve"> </w:t>
      </w:r>
      <w:r w:rsidR="007239A9" w:rsidRPr="001026E6">
        <w:rPr>
          <w:rFonts w:cs="Helvetica"/>
          <w:sz w:val="24"/>
          <w:szCs w:val="24"/>
        </w:rPr>
        <w:t xml:space="preserve">to being a DSF </w:t>
      </w:r>
      <w:r w:rsidR="00AD32C2" w:rsidRPr="001026E6">
        <w:rPr>
          <w:rFonts w:cs="Helvetica"/>
          <w:sz w:val="24"/>
          <w:szCs w:val="24"/>
        </w:rPr>
        <w:t>may</w:t>
      </w:r>
      <w:r w:rsidR="007239A9" w:rsidRPr="001026E6">
        <w:rPr>
          <w:rFonts w:cs="Helvetica"/>
          <w:sz w:val="24"/>
          <w:szCs w:val="24"/>
        </w:rPr>
        <w:t xml:space="preserve"> therefore likely pose less operational/regulatory issues than an entity currently operating as both a</w:t>
      </w:r>
      <w:r w:rsidRPr="001026E6">
        <w:rPr>
          <w:rFonts w:cs="Helvetica"/>
          <w:sz w:val="24"/>
          <w:szCs w:val="24"/>
        </w:rPr>
        <w:t>n</w:t>
      </w:r>
      <w:r w:rsidR="007239A9" w:rsidRPr="001026E6">
        <w:rPr>
          <w:rFonts w:cs="Helvetica"/>
          <w:sz w:val="24"/>
          <w:szCs w:val="24"/>
        </w:rPr>
        <w:t xml:space="preserve"> </w:t>
      </w:r>
      <w:r w:rsidRPr="001026E6">
        <w:rPr>
          <w:rFonts w:cs="Helvetica"/>
          <w:sz w:val="24"/>
          <w:szCs w:val="24"/>
        </w:rPr>
        <w:t xml:space="preserve">MTF (in relation to Virtual Assets) </w:t>
      </w:r>
      <w:r w:rsidR="007239A9" w:rsidRPr="001026E6">
        <w:rPr>
          <w:rFonts w:cs="Helvetica"/>
          <w:sz w:val="24"/>
          <w:szCs w:val="24"/>
        </w:rPr>
        <w:t xml:space="preserve">and </w:t>
      </w:r>
      <w:r w:rsidR="00221CA0" w:rsidRPr="001026E6">
        <w:rPr>
          <w:rFonts w:cs="Helvetica"/>
          <w:sz w:val="24"/>
          <w:szCs w:val="24"/>
        </w:rPr>
        <w:t>Virtual Asset Custodian</w:t>
      </w:r>
      <w:r w:rsidR="007239A9" w:rsidRPr="001026E6">
        <w:rPr>
          <w:rFonts w:cs="Helvetica"/>
          <w:sz w:val="24"/>
          <w:szCs w:val="24"/>
        </w:rPr>
        <w:t>.</w:t>
      </w:r>
    </w:p>
    <w:p w14:paraId="56080D11" w14:textId="77777777" w:rsidR="007239A9" w:rsidRPr="001026E6" w:rsidRDefault="007239A9" w:rsidP="0090478D">
      <w:pPr>
        <w:pStyle w:val="ListParagraph"/>
        <w:ind w:left="426"/>
        <w:jc w:val="both"/>
        <w:rPr>
          <w:rFonts w:cs="Helvetica"/>
          <w:sz w:val="24"/>
          <w:szCs w:val="24"/>
        </w:rPr>
      </w:pPr>
    </w:p>
    <w:p w14:paraId="0DEA33B3" w14:textId="5B994C0B" w:rsidR="0090478D" w:rsidRPr="001026E6" w:rsidRDefault="00221CA0" w:rsidP="00D21D87">
      <w:pPr>
        <w:pStyle w:val="ListParagraph"/>
        <w:numPr>
          <w:ilvl w:val="0"/>
          <w:numId w:val="1"/>
        </w:numPr>
        <w:ind w:left="426"/>
        <w:jc w:val="both"/>
        <w:rPr>
          <w:rFonts w:cs="Helvetica"/>
          <w:sz w:val="24"/>
          <w:szCs w:val="24"/>
        </w:rPr>
      </w:pPr>
      <w:r w:rsidRPr="001026E6">
        <w:rPr>
          <w:rFonts w:cs="Helvetica"/>
          <w:sz w:val="24"/>
          <w:szCs w:val="24"/>
        </w:rPr>
        <w:t>Virtual Asset Custodian</w:t>
      </w:r>
      <w:r w:rsidR="0090478D" w:rsidRPr="001026E6">
        <w:rPr>
          <w:rFonts w:cs="Helvetica"/>
          <w:sz w:val="24"/>
          <w:szCs w:val="24"/>
        </w:rPr>
        <w:t xml:space="preserve">s may expand their </w:t>
      </w:r>
      <w:r w:rsidR="00EE5176" w:rsidRPr="001026E6">
        <w:rPr>
          <w:rFonts w:cs="Helvetica"/>
          <w:sz w:val="24"/>
          <w:szCs w:val="24"/>
        </w:rPr>
        <w:t xml:space="preserve">custodial </w:t>
      </w:r>
      <w:r w:rsidR="0090478D" w:rsidRPr="001026E6">
        <w:rPr>
          <w:rFonts w:cs="Helvetica"/>
          <w:sz w:val="24"/>
          <w:szCs w:val="24"/>
        </w:rPr>
        <w:t>offering to Digital Securities by utilising their existing technolog</w:t>
      </w:r>
      <w:r w:rsidR="00EE5176" w:rsidRPr="001026E6">
        <w:rPr>
          <w:rFonts w:cs="Helvetica"/>
          <w:sz w:val="24"/>
          <w:szCs w:val="24"/>
        </w:rPr>
        <w:t>ies</w:t>
      </w:r>
      <w:r w:rsidR="00471D98" w:rsidRPr="001026E6">
        <w:rPr>
          <w:rFonts w:cs="Helvetica"/>
          <w:sz w:val="24"/>
          <w:szCs w:val="24"/>
        </w:rPr>
        <w:t xml:space="preserve"> (or implementing new technolog</w:t>
      </w:r>
      <w:r w:rsidR="00EE5176" w:rsidRPr="001026E6">
        <w:rPr>
          <w:rFonts w:cs="Helvetica"/>
          <w:sz w:val="24"/>
          <w:szCs w:val="24"/>
        </w:rPr>
        <w:t>ies</w:t>
      </w:r>
      <w:r w:rsidR="00471D98" w:rsidRPr="001026E6">
        <w:rPr>
          <w:rFonts w:cs="Helvetica"/>
          <w:sz w:val="24"/>
          <w:szCs w:val="24"/>
        </w:rPr>
        <w:t>, if required)</w:t>
      </w:r>
      <w:r w:rsidR="0090478D" w:rsidRPr="001026E6">
        <w:rPr>
          <w:rFonts w:cs="Helvetica"/>
          <w:sz w:val="24"/>
          <w:szCs w:val="24"/>
        </w:rPr>
        <w:t xml:space="preserve">, </w:t>
      </w:r>
      <w:r w:rsidR="004F16F9" w:rsidRPr="001026E6">
        <w:rPr>
          <w:rFonts w:cs="Helvetica"/>
          <w:sz w:val="24"/>
          <w:szCs w:val="24"/>
        </w:rPr>
        <w:t>to allow it to operate as a</w:t>
      </w:r>
      <w:r w:rsidR="0090478D" w:rsidRPr="001026E6">
        <w:rPr>
          <w:rFonts w:cs="Helvetica"/>
          <w:sz w:val="24"/>
          <w:szCs w:val="24"/>
        </w:rPr>
        <w:t xml:space="preserve"> </w:t>
      </w:r>
      <w:r w:rsidR="00EE5176" w:rsidRPr="001026E6">
        <w:rPr>
          <w:rFonts w:cs="Helvetica"/>
          <w:sz w:val="24"/>
          <w:szCs w:val="24"/>
        </w:rPr>
        <w:t xml:space="preserve">DSF </w:t>
      </w:r>
      <w:r w:rsidR="004F16F9" w:rsidRPr="001026E6">
        <w:rPr>
          <w:rFonts w:cs="Helvetica"/>
          <w:sz w:val="24"/>
          <w:szCs w:val="24"/>
        </w:rPr>
        <w:t>across</w:t>
      </w:r>
      <w:r w:rsidR="0090478D" w:rsidRPr="001026E6">
        <w:rPr>
          <w:rFonts w:cs="Helvetica"/>
          <w:sz w:val="24"/>
          <w:szCs w:val="24"/>
        </w:rPr>
        <w:t xml:space="preserve"> custody</w:t>
      </w:r>
      <w:r w:rsidR="00471D98" w:rsidRPr="001026E6">
        <w:rPr>
          <w:rFonts w:cs="Helvetica"/>
          <w:sz w:val="24"/>
          <w:szCs w:val="24"/>
        </w:rPr>
        <w:t xml:space="preserve">, </w:t>
      </w:r>
      <w:r w:rsidR="00EE5176" w:rsidRPr="001026E6">
        <w:rPr>
          <w:rFonts w:cs="Helvetica"/>
          <w:sz w:val="24"/>
          <w:szCs w:val="24"/>
        </w:rPr>
        <w:t xml:space="preserve">clearing (as applicable) and </w:t>
      </w:r>
      <w:r w:rsidR="00471D98" w:rsidRPr="001026E6">
        <w:rPr>
          <w:rFonts w:cs="Helvetica"/>
          <w:sz w:val="24"/>
          <w:szCs w:val="24"/>
        </w:rPr>
        <w:t xml:space="preserve">settlement </w:t>
      </w:r>
      <w:r w:rsidR="0090478D" w:rsidRPr="001026E6">
        <w:rPr>
          <w:rFonts w:cs="Helvetica"/>
          <w:sz w:val="24"/>
          <w:szCs w:val="24"/>
        </w:rPr>
        <w:t>functions for Digital Securities.</w:t>
      </w:r>
      <w:r w:rsidR="00622E24" w:rsidRPr="001026E6">
        <w:rPr>
          <w:rStyle w:val="FootnoteReference"/>
          <w:rFonts w:cs="Helvetica"/>
          <w:sz w:val="24"/>
          <w:szCs w:val="24"/>
        </w:rPr>
        <w:footnoteReference w:id="19"/>
      </w:r>
      <w:r w:rsidR="0090478D" w:rsidRPr="001026E6">
        <w:rPr>
          <w:rFonts w:cs="Helvetica"/>
          <w:sz w:val="24"/>
          <w:szCs w:val="24"/>
        </w:rPr>
        <w:t xml:space="preserve"> </w:t>
      </w:r>
      <w:r w:rsidR="00AB6A9D" w:rsidRPr="001026E6">
        <w:rPr>
          <w:rFonts w:cs="Helvetica"/>
          <w:sz w:val="24"/>
          <w:szCs w:val="24"/>
        </w:rPr>
        <w:t>G</w:t>
      </w:r>
      <w:r w:rsidR="0090478D" w:rsidRPr="001026E6">
        <w:rPr>
          <w:rFonts w:cs="Helvetica"/>
          <w:sz w:val="24"/>
          <w:szCs w:val="24"/>
        </w:rPr>
        <w:t xml:space="preserve">iven the difference in nature between </w:t>
      </w:r>
      <w:r w:rsidR="00471D98" w:rsidRPr="001026E6">
        <w:rPr>
          <w:rFonts w:cs="Helvetica"/>
          <w:sz w:val="24"/>
          <w:szCs w:val="24"/>
        </w:rPr>
        <w:t>Digital S</w:t>
      </w:r>
      <w:r w:rsidR="0090478D" w:rsidRPr="001026E6">
        <w:rPr>
          <w:rFonts w:cs="Helvetica"/>
          <w:sz w:val="24"/>
          <w:szCs w:val="24"/>
        </w:rPr>
        <w:t xml:space="preserve">ecurities and </w:t>
      </w:r>
      <w:r w:rsidR="00E00E05" w:rsidRPr="001026E6">
        <w:rPr>
          <w:rFonts w:cs="Helvetica"/>
          <w:sz w:val="24"/>
          <w:szCs w:val="24"/>
        </w:rPr>
        <w:t>Virtual Asset</w:t>
      </w:r>
      <w:r w:rsidR="0090478D" w:rsidRPr="001026E6">
        <w:rPr>
          <w:rFonts w:cs="Helvetica"/>
          <w:sz w:val="24"/>
          <w:szCs w:val="24"/>
        </w:rPr>
        <w:t>s,</w:t>
      </w:r>
      <w:r w:rsidR="00AB6A9D" w:rsidRPr="001026E6">
        <w:rPr>
          <w:rFonts w:cs="Helvetica"/>
          <w:sz w:val="24"/>
          <w:szCs w:val="24"/>
        </w:rPr>
        <w:t xml:space="preserve"> however,</w:t>
      </w:r>
      <w:r w:rsidR="0090478D" w:rsidRPr="001026E6">
        <w:rPr>
          <w:rFonts w:cs="Helvetica"/>
          <w:sz w:val="24"/>
          <w:szCs w:val="24"/>
        </w:rPr>
        <w:t xml:space="preserve"> it is expected that a </w:t>
      </w:r>
      <w:r w:rsidRPr="001026E6">
        <w:rPr>
          <w:rFonts w:cs="Helvetica"/>
          <w:sz w:val="24"/>
          <w:szCs w:val="24"/>
        </w:rPr>
        <w:t>Virtual Asset Custodian</w:t>
      </w:r>
      <w:r w:rsidR="0090478D" w:rsidRPr="001026E6">
        <w:rPr>
          <w:rFonts w:cs="Helvetica"/>
          <w:sz w:val="24"/>
          <w:szCs w:val="24"/>
        </w:rPr>
        <w:t xml:space="preserve"> seeking to </w:t>
      </w:r>
      <w:r w:rsidR="00D604F3" w:rsidRPr="001026E6">
        <w:rPr>
          <w:rFonts w:cs="Helvetica"/>
          <w:sz w:val="24"/>
          <w:szCs w:val="24"/>
        </w:rPr>
        <w:t xml:space="preserve">migrate to becoming a DSF </w:t>
      </w:r>
      <w:r w:rsidR="0090478D" w:rsidRPr="001026E6">
        <w:rPr>
          <w:rFonts w:cs="Helvetica"/>
          <w:sz w:val="24"/>
          <w:szCs w:val="24"/>
        </w:rPr>
        <w:t xml:space="preserve">will </w:t>
      </w:r>
      <w:r w:rsidR="00AB6A9D" w:rsidRPr="001026E6">
        <w:rPr>
          <w:rFonts w:cs="Helvetica"/>
          <w:sz w:val="24"/>
          <w:szCs w:val="24"/>
        </w:rPr>
        <w:t xml:space="preserve">be required to </w:t>
      </w:r>
      <w:r w:rsidR="0090478D" w:rsidRPr="001026E6">
        <w:rPr>
          <w:rFonts w:cs="Helvetica"/>
          <w:sz w:val="24"/>
          <w:szCs w:val="24"/>
        </w:rPr>
        <w:t xml:space="preserve">meet a significant number of </w:t>
      </w:r>
      <w:r w:rsidR="00AB6A9D" w:rsidRPr="001026E6">
        <w:rPr>
          <w:rFonts w:cs="Helvetica"/>
          <w:sz w:val="24"/>
          <w:szCs w:val="24"/>
        </w:rPr>
        <w:t xml:space="preserve">new </w:t>
      </w:r>
      <w:r w:rsidR="0090478D" w:rsidRPr="001026E6">
        <w:rPr>
          <w:rFonts w:cs="Helvetica"/>
          <w:sz w:val="24"/>
          <w:szCs w:val="24"/>
        </w:rPr>
        <w:t xml:space="preserve">requirements, including but not limited to those outlined under paragraphs </w:t>
      </w:r>
      <w:r w:rsidR="009440D6" w:rsidRPr="001026E6">
        <w:rPr>
          <w:rFonts w:cs="Helvetica"/>
          <w:sz w:val="24"/>
          <w:szCs w:val="24"/>
        </w:rPr>
        <w:t>55</w:t>
      </w:r>
      <w:r w:rsidR="00D21D87" w:rsidRPr="001026E6">
        <w:rPr>
          <w:rFonts w:cs="Helvetica"/>
          <w:sz w:val="24"/>
          <w:szCs w:val="24"/>
        </w:rPr>
        <w:t xml:space="preserve"> </w:t>
      </w:r>
      <w:r w:rsidR="0090478D" w:rsidRPr="001026E6">
        <w:rPr>
          <w:rFonts w:cs="Helvetica"/>
          <w:sz w:val="24"/>
          <w:szCs w:val="24"/>
        </w:rPr>
        <w:t>-</w:t>
      </w:r>
      <w:r w:rsidR="009440D6" w:rsidRPr="001026E6">
        <w:rPr>
          <w:rFonts w:cs="Helvetica"/>
          <w:sz w:val="24"/>
          <w:szCs w:val="24"/>
        </w:rPr>
        <w:t>61</w:t>
      </w:r>
      <w:r w:rsidR="00AB6A9D" w:rsidRPr="001026E6">
        <w:rPr>
          <w:rFonts w:cs="Helvetica"/>
          <w:sz w:val="24"/>
          <w:szCs w:val="24"/>
        </w:rPr>
        <w:t xml:space="preserve"> </w:t>
      </w:r>
      <w:r w:rsidR="0090478D" w:rsidRPr="001026E6">
        <w:rPr>
          <w:rFonts w:cs="Helvetica"/>
          <w:sz w:val="24"/>
          <w:szCs w:val="24"/>
        </w:rPr>
        <w:t>of this Guidance.</w:t>
      </w:r>
    </w:p>
    <w:p w14:paraId="6CCE0A6E" w14:textId="77777777" w:rsidR="0090478D" w:rsidRPr="001026E6" w:rsidRDefault="0090478D" w:rsidP="0090478D">
      <w:pPr>
        <w:jc w:val="both"/>
        <w:rPr>
          <w:rFonts w:cs="Helvetica"/>
          <w:sz w:val="24"/>
          <w:szCs w:val="24"/>
        </w:rPr>
      </w:pPr>
    </w:p>
    <w:p w14:paraId="377304D7" w14:textId="23071DC9" w:rsidR="0090478D" w:rsidRPr="001026E6" w:rsidRDefault="00622E24" w:rsidP="009440D6">
      <w:pPr>
        <w:pStyle w:val="ListParagraph"/>
        <w:numPr>
          <w:ilvl w:val="0"/>
          <w:numId w:val="1"/>
        </w:numPr>
        <w:ind w:left="426"/>
        <w:jc w:val="both"/>
        <w:rPr>
          <w:rFonts w:cs="Helvetica"/>
          <w:sz w:val="24"/>
          <w:szCs w:val="24"/>
        </w:rPr>
      </w:pPr>
      <w:r w:rsidRPr="001026E6">
        <w:rPr>
          <w:rFonts w:cs="Helvetica"/>
          <w:sz w:val="24"/>
          <w:szCs w:val="24"/>
        </w:rPr>
        <w:lastRenderedPageBreak/>
        <w:t xml:space="preserve">As noted in paragraph </w:t>
      </w:r>
      <w:r w:rsidR="009440D6" w:rsidRPr="001026E6">
        <w:rPr>
          <w:rFonts w:cs="Helvetica"/>
          <w:sz w:val="24"/>
          <w:szCs w:val="24"/>
        </w:rPr>
        <w:t>60</w:t>
      </w:r>
      <w:r w:rsidRPr="001026E6">
        <w:rPr>
          <w:rFonts w:cs="Helvetica"/>
          <w:sz w:val="24"/>
          <w:szCs w:val="24"/>
        </w:rPr>
        <w:t>, the FSRA reserves the right to impose any of the Rules</w:t>
      </w:r>
      <w:r w:rsidR="004236BD" w:rsidRPr="001026E6">
        <w:rPr>
          <w:rFonts w:cs="Helvetica"/>
          <w:sz w:val="24"/>
          <w:szCs w:val="24"/>
        </w:rPr>
        <w:t xml:space="preserve"> outlined in MIR Chapter 4 on a</w:t>
      </w:r>
      <w:r w:rsidRPr="001026E6">
        <w:rPr>
          <w:rFonts w:cs="Helvetica"/>
          <w:sz w:val="24"/>
          <w:szCs w:val="24"/>
        </w:rPr>
        <w:t xml:space="preserve"> </w:t>
      </w:r>
      <w:r w:rsidR="00221CA0" w:rsidRPr="001026E6">
        <w:rPr>
          <w:rFonts w:cs="Helvetica"/>
          <w:sz w:val="24"/>
          <w:szCs w:val="24"/>
        </w:rPr>
        <w:t>Virtual Asset Custodian</w:t>
      </w:r>
      <w:r w:rsidRPr="001026E6">
        <w:rPr>
          <w:rFonts w:cs="Helvetica"/>
          <w:sz w:val="24"/>
          <w:szCs w:val="24"/>
        </w:rPr>
        <w:t xml:space="preserve"> seeking to operate as a DSF </w:t>
      </w:r>
      <w:r w:rsidR="00AB6A9D" w:rsidRPr="001026E6">
        <w:rPr>
          <w:rFonts w:cs="Helvetica"/>
          <w:sz w:val="24"/>
          <w:szCs w:val="24"/>
        </w:rPr>
        <w:t>(considering the particular business/operational model of the proposed DSF)</w:t>
      </w:r>
      <w:r w:rsidRPr="001026E6">
        <w:rPr>
          <w:rFonts w:cs="Helvetica"/>
          <w:sz w:val="24"/>
          <w:szCs w:val="24"/>
        </w:rPr>
        <w:t xml:space="preserve">.  </w:t>
      </w:r>
    </w:p>
    <w:p w14:paraId="528D6EB7" w14:textId="77777777" w:rsidR="002D3EA5" w:rsidRPr="001026E6" w:rsidRDefault="002D3EA5" w:rsidP="008633D9">
      <w:pPr>
        <w:pStyle w:val="ListParagraph"/>
        <w:ind w:left="426"/>
        <w:jc w:val="both"/>
        <w:rPr>
          <w:sz w:val="24"/>
        </w:rPr>
      </w:pPr>
    </w:p>
    <w:p w14:paraId="16DD4EAE" w14:textId="77777777" w:rsidR="005D543B" w:rsidRPr="001026E6" w:rsidRDefault="005D543B" w:rsidP="00AC56B5">
      <w:pPr>
        <w:pStyle w:val="Heading1"/>
        <w:keepLines w:val="0"/>
        <w:spacing w:before="0" w:after="240" w:line="246" w:lineRule="atLeast"/>
        <w:jc w:val="both"/>
        <w:rPr>
          <w:rFonts w:asciiTheme="minorHAnsi" w:hAnsiTheme="minorHAnsi"/>
          <w:sz w:val="24"/>
          <w:szCs w:val="24"/>
        </w:rPr>
      </w:pPr>
      <w:bookmarkStart w:id="62" w:name="_Toc18571336"/>
      <w:bookmarkStart w:id="63" w:name="_Toc33443087"/>
      <w:bookmarkStart w:id="64" w:name="_Toc511714349"/>
      <w:bookmarkStart w:id="65" w:name="_Toc512695609"/>
      <w:bookmarkStart w:id="66" w:name="_Toc514588778"/>
      <w:bookmarkStart w:id="67" w:name="_Toc517602848"/>
      <w:r w:rsidRPr="001026E6">
        <w:rPr>
          <w:rFonts w:asciiTheme="minorHAnsi" w:hAnsiTheme="minorHAnsi"/>
          <w:sz w:val="24"/>
          <w:szCs w:val="24"/>
        </w:rPr>
        <w:t xml:space="preserve">CONVENTIONAL MARKET INFRASTRUCTURES </w:t>
      </w:r>
      <w:r w:rsidR="00AC56B5" w:rsidRPr="001026E6">
        <w:rPr>
          <w:rFonts w:asciiTheme="minorHAnsi" w:hAnsiTheme="minorHAnsi"/>
          <w:sz w:val="24"/>
          <w:szCs w:val="24"/>
        </w:rPr>
        <w:t>&amp;</w:t>
      </w:r>
      <w:r w:rsidRPr="001026E6">
        <w:rPr>
          <w:rFonts w:asciiTheme="minorHAnsi" w:hAnsiTheme="minorHAnsi"/>
          <w:sz w:val="24"/>
          <w:szCs w:val="24"/>
        </w:rPr>
        <w:t xml:space="preserve"> DIGITAL SECURITIES</w:t>
      </w:r>
      <w:bookmarkEnd w:id="62"/>
      <w:bookmarkEnd w:id="63"/>
      <w:r w:rsidRPr="001026E6">
        <w:rPr>
          <w:rFonts w:asciiTheme="minorHAnsi" w:hAnsiTheme="minorHAnsi"/>
          <w:sz w:val="24"/>
          <w:szCs w:val="24"/>
        </w:rPr>
        <w:t xml:space="preserve"> </w:t>
      </w:r>
    </w:p>
    <w:p w14:paraId="432027C7" w14:textId="77777777" w:rsidR="00D10FB3" w:rsidRPr="001026E6" w:rsidRDefault="002F006C" w:rsidP="0047563F">
      <w:pPr>
        <w:pStyle w:val="ListParagraph"/>
        <w:numPr>
          <w:ilvl w:val="0"/>
          <w:numId w:val="1"/>
        </w:numPr>
        <w:ind w:left="426"/>
        <w:jc w:val="both"/>
        <w:rPr>
          <w:rFonts w:cs="Helvetica"/>
          <w:sz w:val="24"/>
          <w:szCs w:val="24"/>
        </w:rPr>
      </w:pPr>
      <w:r w:rsidRPr="001026E6">
        <w:rPr>
          <w:rFonts w:cs="Helvetica"/>
          <w:sz w:val="24"/>
          <w:szCs w:val="24"/>
        </w:rPr>
        <w:t xml:space="preserve">This section of the Guidance addresses </w:t>
      </w:r>
      <w:r w:rsidR="008F7555" w:rsidRPr="001026E6">
        <w:rPr>
          <w:rFonts w:cs="Helvetica"/>
          <w:sz w:val="24"/>
          <w:szCs w:val="24"/>
        </w:rPr>
        <w:t>Recognised Bodies or MTFs operating</w:t>
      </w:r>
      <w:r w:rsidR="000E4917" w:rsidRPr="001026E6">
        <w:rPr>
          <w:rFonts w:cs="Helvetica"/>
          <w:sz w:val="24"/>
          <w:szCs w:val="24"/>
        </w:rPr>
        <w:t xml:space="preserve"> </w:t>
      </w:r>
      <w:r w:rsidR="00B11BEF" w:rsidRPr="001026E6">
        <w:rPr>
          <w:rFonts w:cs="Helvetica"/>
          <w:sz w:val="24"/>
          <w:szCs w:val="24"/>
        </w:rPr>
        <w:t>traditional Securities markets</w:t>
      </w:r>
      <w:r w:rsidRPr="001026E6">
        <w:rPr>
          <w:rFonts w:cs="Helvetica"/>
          <w:sz w:val="24"/>
          <w:szCs w:val="24"/>
        </w:rPr>
        <w:t xml:space="preserve"> that</w:t>
      </w:r>
      <w:r w:rsidR="00B11BEF" w:rsidRPr="001026E6">
        <w:rPr>
          <w:rFonts w:cs="Helvetica"/>
          <w:sz w:val="24"/>
          <w:szCs w:val="24"/>
        </w:rPr>
        <w:t xml:space="preserve"> </w:t>
      </w:r>
      <w:r w:rsidR="008F7555" w:rsidRPr="001026E6">
        <w:rPr>
          <w:rFonts w:cs="Helvetica"/>
          <w:sz w:val="24"/>
          <w:szCs w:val="24"/>
        </w:rPr>
        <w:t xml:space="preserve">may </w:t>
      </w:r>
      <w:r w:rsidR="00B11BEF" w:rsidRPr="001026E6">
        <w:rPr>
          <w:rFonts w:cs="Helvetica"/>
          <w:sz w:val="24"/>
          <w:szCs w:val="24"/>
        </w:rPr>
        <w:t xml:space="preserve">wish to expand their product offering into Digital Securities.  </w:t>
      </w:r>
      <w:r w:rsidR="0047563F" w:rsidRPr="001026E6">
        <w:rPr>
          <w:rFonts w:cs="Helvetica"/>
          <w:sz w:val="24"/>
          <w:szCs w:val="24"/>
        </w:rPr>
        <w:t>E</w:t>
      </w:r>
      <w:r w:rsidR="008F7555" w:rsidRPr="001026E6">
        <w:rPr>
          <w:rFonts w:cs="Helvetica"/>
          <w:sz w:val="24"/>
          <w:szCs w:val="24"/>
        </w:rPr>
        <w:t xml:space="preserve">ntities </w:t>
      </w:r>
      <w:r w:rsidR="001E7C52" w:rsidRPr="001026E6">
        <w:rPr>
          <w:rFonts w:cs="Helvetica"/>
          <w:sz w:val="24"/>
          <w:szCs w:val="24"/>
        </w:rPr>
        <w:t>seeking to do so will need to demonstrate to the FSRA how they will meet the Rules applicable to Digital Securities</w:t>
      </w:r>
      <w:r w:rsidR="001F4285" w:rsidRPr="001026E6">
        <w:rPr>
          <w:rFonts w:cs="Helvetica"/>
          <w:sz w:val="24"/>
          <w:szCs w:val="24"/>
        </w:rPr>
        <w:t xml:space="preserve"> </w:t>
      </w:r>
      <w:r w:rsidR="001E7C52" w:rsidRPr="001026E6">
        <w:rPr>
          <w:rFonts w:cs="Helvetica"/>
          <w:sz w:val="24"/>
          <w:szCs w:val="24"/>
        </w:rPr>
        <w:t>and</w:t>
      </w:r>
      <w:r w:rsidR="008F7555" w:rsidRPr="001026E6">
        <w:rPr>
          <w:rFonts w:cs="Helvetica"/>
          <w:sz w:val="24"/>
          <w:szCs w:val="24"/>
        </w:rPr>
        <w:t xml:space="preserve"> </w:t>
      </w:r>
      <w:r w:rsidR="001E7C52" w:rsidRPr="001026E6">
        <w:rPr>
          <w:rFonts w:cs="Helvetica"/>
          <w:sz w:val="24"/>
          <w:szCs w:val="24"/>
        </w:rPr>
        <w:t xml:space="preserve">how </w:t>
      </w:r>
      <w:r w:rsidR="00B67DE8" w:rsidRPr="001026E6">
        <w:rPr>
          <w:rFonts w:cs="Helvetica"/>
          <w:sz w:val="24"/>
          <w:szCs w:val="24"/>
        </w:rPr>
        <w:t xml:space="preserve">either </w:t>
      </w:r>
      <w:r w:rsidR="001E7C52" w:rsidRPr="001026E6">
        <w:rPr>
          <w:rFonts w:cs="Helvetica"/>
          <w:sz w:val="24"/>
          <w:szCs w:val="24"/>
        </w:rPr>
        <w:t xml:space="preserve">its existing </w:t>
      </w:r>
      <w:r w:rsidR="001F4285" w:rsidRPr="001026E6">
        <w:rPr>
          <w:rFonts w:cs="Helvetica"/>
          <w:sz w:val="24"/>
          <w:szCs w:val="24"/>
        </w:rPr>
        <w:t xml:space="preserve">technology </w:t>
      </w:r>
      <w:r w:rsidR="001E7C52" w:rsidRPr="001026E6">
        <w:rPr>
          <w:rFonts w:cs="Helvetica"/>
          <w:sz w:val="24"/>
          <w:szCs w:val="24"/>
        </w:rPr>
        <w:t xml:space="preserve">infrastructure will be </w:t>
      </w:r>
      <w:r w:rsidR="001F4285" w:rsidRPr="001026E6">
        <w:rPr>
          <w:rFonts w:cs="Helvetica"/>
          <w:sz w:val="24"/>
          <w:szCs w:val="24"/>
        </w:rPr>
        <w:t xml:space="preserve">able </w:t>
      </w:r>
      <w:r w:rsidR="001E7C52" w:rsidRPr="001026E6">
        <w:rPr>
          <w:rFonts w:cs="Helvetica"/>
          <w:sz w:val="24"/>
          <w:szCs w:val="24"/>
        </w:rPr>
        <w:t>to meet these requirements</w:t>
      </w:r>
      <w:r w:rsidR="00B67DE8" w:rsidRPr="001026E6">
        <w:rPr>
          <w:rFonts w:cs="Helvetica"/>
          <w:sz w:val="24"/>
          <w:szCs w:val="24"/>
        </w:rPr>
        <w:t xml:space="preserve"> or new technology will be implemented</w:t>
      </w:r>
      <w:r w:rsidR="001E7C52" w:rsidRPr="001026E6">
        <w:rPr>
          <w:rFonts w:cs="Helvetica"/>
          <w:sz w:val="24"/>
          <w:szCs w:val="24"/>
        </w:rPr>
        <w:t xml:space="preserve">.   </w:t>
      </w:r>
    </w:p>
    <w:p w14:paraId="43A2CA78" w14:textId="77777777" w:rsidR="00246E8C" w:rsidRPr="001026E6" w:rsidRDefault="00246E8C" w:rsidP="008F2422">
      <w:pPr>
        <w:pStyle w:val="ListParagraph"/>
        <w:ind w:left="426"/>
        <w:jc w:val="both"/>
        <w:rPr>
          <w:rFonts w:cs="Helvetica"/>
          <w:sz w:val="24"/>
          <w:szCs w:val="24"/>
        </w:rPr>
      </w:pPr>
    </w:p>
    <w:p w14:paraId="573E3AE1" w14:textId="6D394F87" w:rsidR="005D543B" w:rsidRPr="009A74CC" w:rsidRDefault="001E25EE" w:rsidP="009A74CC">
      <w:pPr>
        <w:pStyle w:val="ListParagraph"/>
        <w:numPr>
          <w:ilvl w:val="0"/>
          <w:numId w:val="1"/>
        </w:numPr>
        <w:ind w:left="426"/>
        <w:jc w:val="both"/>
        <w:rPr>
          <w:rFonts w:cs="Helvetica"/>
          <w:sz w:val="24"/>
          <w:szCs w:val="24"/>
        </w:rPr>
      </w:pPr>
      <w:r w:rsidRPr="001026E6">
        <w:rPr>
          <w:rFonts w:cs="Helvetica"/>
          <w:sz w:val="24"/>
          <w:szCs w:val="24"/>
        </w:rPr>
        <w:t xml:space="preserve">Given the nature of digital markets, </w:t>
      </w:r>
      <w:r w:rsidR="0047563F" w:rsidRPr="001026E6">
        <w:rPr>
          <w:rFonts w:cs="Helvetica"/>
          <w:sz w:val="24"/>
          <w:szCs w:val="24"/>
        </w:rPr>
        <w:t>entities</w:t>
      </w:r>
      <w:r w:rsidR="001F4285" w:rsidRPr="001026E6">
        <w:rPr>
          <w:rFonts w:cs="Helvetica"/>
          <w:sz w:val="24"/>
          <w:szCs w:val="24"/>
        </w:rPr>
        <w:t xml:space="preserve"> can expect particular </w:t>
      </w:r>
      <w:r w:rsidR="0047563F" w:rsidRPr="001026E6">
        <w:rPr>
          <w:rFonts w:cs="Helvetica"/>
          <w:sz w:val="24"/>
          <w:szCs w:val="24"/>
        </w:rPr>
        <w:t xml:space="preserve">FSRA </w:t>
      </w:r>
      <w:r w:rsidR="001F4285" w:rsidRPr="001026E6">
        <w:rPr>
          <w:rFonts w:cs="Helvetica"/>
          <w:sz w:val="24"/>
          <w:szCs w:val="24"/>
        </w:rPr>
        <w:t xml:space="preserve">focus to be placed </w:t>
      </w:r>
      <w:r w:rsidR="001F4285" w:rsidRPr="009A74CC">
        <w:rPr>
          <w:rFonts w:cs="Helvetica"/>
          <w:sz w:val="24"/>
          <w:szCs w:val="24"/>
        </w:rPr>
        <w:t>on the</w:t>
      </w:r>
      <w:r w:rsidR="0047563F" w:rsidRPr="009A74CC">
        <w:rPr>
          <w:rFonts w:cs="Helvetica"/>
          <w:sz w:val="24"/>
          <w:szCs w:val="24"/>
        </w:rPr>
        <w:t>ir</w:t>
      </w:r>
      <w:r w:rsidR="001F4285" w:rsidRPr="009A74CC">
        <w:rPr>
          <w:rFonts w:cs="Helvetica"/>
          <w:sz w:val="24"/>
          <w:szCs w:val="24"/>
        </w:rPr>
        <w:t xml:space="preserve"> use of technology and technology governance</w:t>
      </w:r>
      <w:r w:rsidR="00042350" w:rsidRPr="009A74CC">
        <w:rPr>
          <w:rFonts w:cs="Helvetica"/>
          <w:sz w:val="24"/>
          <w:szCs w:val="24"/>
        </w:rPr>
        <w:t>.</w:t>
      </w:r>
      <w:r w:rsidR="001F4285" w:rsidRPr="009A74CC">
        <w:rPr>
          <w:rFonts w:cs="Helvetica"/>
          <w:sz w:val="24"/>
          <w:szCs w:val="24"/>
        </w:rPr>
        <w:t xml:space="preserve"> </w:t>
      </w:r>
      <w:r w:rsidR="00D10FB3" w:rsidRPr="009A74CC">
        <w:rPr>
          <w:rFonts w:cs="Helvetica"/>
          <w:sz w:val="24"/>
          <w:szCs w:val="24"/>
        </w:rPr>
        <w:t xml:space="preserve"> </w:t>
      </w:r>
      <w:r w:rsidR="0047563F" w:rsidRPr="009A74CC">
        <w:rPr>
          <w:rFonts w:cs="Helvetica"/>
          <w:sz w:val="24"/>
          <w:szCs w:val="24"/>
        </w:rPr>
        <w:t>Entities</w:t>
      </w:r>
      <w:r w:rsidR="00C8352D" w:rsidRPr="009A74CC">
        <w:rPr>
          <w:rFonts w:cs="Helvetica"/>
          <w:sz w:val="24"/>
          <w:szCs w:val="24"/>
        </w:rPr>
        <w:t xml:space="preserve"> should familiarise </w:t>
      </w:r>
      <w:r w:rsidR="00C8352D" w:rsidRPr="009A74CC">
        <w:rPr>
          <w:sz w:val="24"/>
          <w:shd w:val="clear" w:color="auto" w:fill="FFFFFF" w:themeFill="background1"/>
        </w:rPr>
        <w:t xml:space="preserve">themselves with the FSRA’s technology governance guidance </w:t>
      </w:r>
      <w:r w:rsidR="004E7534" w:rsidRPr="009A74CC">
        <w:rPr>
          <w:sz w:val="24"/>
          <w:shd w:val="clear" w:color="auto" w:fill="FFFFFF" w:themeFill="background1"/>
        </w:rPr>
        <w:t>as set out in paragraphs</w:t>
      </w:r>
      <w:r w:rsidR="009A74CC">
        <w:rPr>
          <w:sz w:val="24"/>
          <w:shd w:val="clear" w:color="auto" w:fill="FFFFFF" w:themeFill="background1"/>
        </w:rPr>
        <w:t xml:space="preserve"> 51-66, 69-70 and 77-87 of </w:t>
      </w:r>
      <w:r w:rsidR="00B47B3B" w:rsidRPr="009A74CC">
        <w:rPr>
          <w:sz w:val="24"/>
          <w:szCs w:val="24"/>
          <w:lang w:val="en-US"/>
        </w:rPr>
        <w:t xml:space="preserve">the </w:t>
      </w:r>
      <w:r w:rsidR="00E720F1" w:rsidRPr="009A74CC">
        <w:rPr>
          <w:sz w:val="24"/>
          <w:szCs w:val="24"/>
          <w:lang w:val="en-US"/>
        </w:rPr>
        <w:t>Virtual Assets Guidance</w:t>
      </w:r>
      <w:r w:rsidR="00B47B3B" w:rsidRPr="009A74CC">
        <w:rPr>
          <w:sz w:val="24"/>
          <w:szCs w:val="24"/>
          <w:lang w:val="en-US"/>
        </w:rPr>
        <w:t xml:space="preserve"> </w:t>
      </w:r>
      <w:r w:rsidR="00597624" w:rsidRPr="009A74CC">
        <w:rPr>
          <w:sz w:val="24"/>
          <w:szCs w:val="24"/>
          <w:lang w:val="en-US"/>
        </w:rPr>
        <w:t xml:space="preserve">(where </w:t>
      </w:r>
      <w:r w:rsidR="00E00E05" w:rsidRPr="009A74CC">
        <w:rPr>
          <w:sz w:val="24"/>
          <w:szCs w:val="24"/>
          <w:lang w:val="en-US"/>
        </w:rPr>
        <w:t>Virtual Asset</w:t>
      </w:r>
      <w:r w:rsidR="00597624" w:rsidRPr="009A74CC">
        <w:rPr>
          <w:sz w:val="24"/>
          <w:szCs w:val="24"/>
          <w:lang w:val="en-US"/>
        </w:rPr>
        <w:t>s shoul</w:t>
      </w:r>
      <w:r w:rsidR="00B47B3B" w:rsidRPr="009A74CC">
        <w:rPr>
          <w:sz w:val="24"/>
          <w:szCs w:val="24"/>
          <w:lang w:val="en-US"/>
        </w:rPr>
        <w:t>d be read as Digital Securities</w:t>
      </w:r>
      <w:r w:rsidR="00597624" w:rsidRPr="009A74CC">
        <w:rPr>
          <w:sz w:val="24"/>
          <w:szCs w:val="24"/>
          <w:lang w:val="en-US"/>
        </w:rPr>
        <w:t xml:space="preserve">) </w:t>
      </w:r>
      <w:r w:rsidR="00D10FB3" w:rsidRPr="009A74CC">
        <w:rPr>
          <w:rFonts w:cs="Helvetica"/>
          <w:sz w:val="24"/>
          <w:szCs w:val="24"/>
        </w:rPr>
        <w:t xml:space="preserve">which will form part of the basis for FSRA review.  </w:t>
      </w:r>
    </w:p>
    <w:p w14:paraId="0965A90D" w14:textId="77777777" w:rsidR="000336C0" w:rsidRPr="001026E6" w:rsidRDefault="000336C0" w:rsidP="000336C0">
      <w:pPr>
        <w:jc w:val="both"/>
        <w:rPr>
          <w:rFonts w:cs="Helvetica"/>
          <w:sz w:val="24"/>
          <w:szCs w:val="24"/>
        </w:rPr>
      </w:pPr>
    </w:p>
    <w:p w14:paraId="1C130D00" w14:textId="77777777" w:rsidR="00D16874" w:rsidRPr="001026E6" w:rsidRDefault="00D846FE" w:rsidP="00AC56B5">
      <w:pPr>
        <w:pStyle w:val="Heading2"/>
        <w:tabs>
          <w:tab w:val="clear" w:pos="720"/>
          <w:tab w:val="num" w:pos="0"/>
        </w:tabs>
        <w:ind w:left="0" w:firstLine="0"/>
        <w:rPr>
          <w:szCs w:val="24"/>
        </w:rPr>
      </w:pPr>
      <w:bookmarkStart w:id="68" w:name="_Toc18571337"/>
      <w:bookmarkStart w:id="69" w:name="_Toc33443088"/>
      <w:r w:rsidRPr="001026E6">
        <w:rPr>
          <w:szCs w:val="24"/>
        </w:rPr>
        <w:t>R</w:t>
      </w:r>
      <w:r w:rsidR="00B56B8A" w:rsidRPr="001026E6">
        <w:rPr>
          <w:szCs w:val="24"/>
        </w:rPr>
        <w:t>IEs</w:t>
      </w:r>
      <w:r w:rsidRPr="001026E6">
        <w:rPr>
          <w:szCs w:val="24"/>
        </w:rPr>
        <w:t xml:space="preserve"> </w:t>
      </w:r>
      <w:r w:rsidR="00AC56B5" w:rsidRPr="001026E6">
        <w:rPr>
          <w:szCs w:val="24"/>
        </w:rPr>
        <w:t>&amp;</w:t>
      </w:r>
      <w:r w:rsidRPr="001026E6">
        <w:rPr>
          <w:szCs w:val="24"/>
        </w:rPr>
        <w:t xml:space="preserve"> </w:t>
      </w:r>
      <w:r w:rsidR="00496C3A" w:rsidRPr="001026E6">
        <w:rPr>
          <w:szCs w:val="24"/>
        </w:rPr>
        <w:t>Digital Securities</w:t>
      </w:r>
      <w:bookmarkEnd w:id="68"/>
      <w:bookmarkEnd w:id="69"/>
    </w:p>
    <w:p w14:paraId="21E67219" w14:textId="5C6C2429" w:rsidR="002550D9" w:rsidRPr="001026E6" w:rsidRDefault="002033AF">
      <w:pPr>
        <w:pStyle w:val="ListParagraph"/>
        <w:numPr>
          <w:ilvl w:val="0"/>
          <w:numId w:val="1"/>
        </w:numPr>
        <w:ind w:left="426"/>
        <w:jc w:val="both"/>
        <w:rPr>
          <w:rFonts w:cs="Helvetica"/>
          <w:sz w:val="24"/>
          <w:szCs w:val="24"/>
        </w:rPr>
      </w:pPr>
      <w:r w:rsidRPr="001026E6">
        <w:rPr>
          <w:rFonts w:cs="Helvetica"/>
          <w:sz w:val="24"/>
          <w:szCs w:val="24"/>
        </w:rPr>
        <w:t>A</w:t>
      </w:r>
      <w:r w:rsidR="002550D9" w:rsidRPr="001026E6">
        <w:rPr>
          <w:rFonts w:cs="Helvetica"/>
          <w:sz w:val="24"/>
          <w:szCs w:val="24"/>
        </w:rPr>
        <w:t xml:space="preserve"> RIE should engage with the FSRA at an early stage and be in a position to outline how they intend to continue to meet the</w:t>
      </w:r>
      <w:r w:rsidRPr="001026E6">
        <w:rPr>
          <w:rFonts w:cs="Helvetica"/>
          <w:sz w:val="24"/>
          <w:szCs w:val="24"/>
        </w:rPr>
        <w:t>ir obligations as a</w:t>
      </w:r>
      <w:r w:rsidR="008B126D" w:rsidRPr="001026E6">
        <w:rPr>
          <w:rFonts w:cs="Helvetica"/>
          <w:sz w:val="24"/>
          <w:szCs w:val="24"/>
        </w:rPr>
        <w:t>n</w:t>
      </w:r>
      <w:r w:rsidRPr="001026E6">
        <w:rPr>
          <w:rFonts w:cs="Helvetica"/>
          <w:sz w:val="24"/>
          <w:szCs w:val="24"/>
        </w:rPr>
        <w:t xml:space="preserve"> R</w:t>
      </w:r>
      <w:r w:rsidR="008B126D" w:rsidRPr="001026E6">
        <w:rPr>
          <w:rFonts w:cs="Helvetica"/>
          <w:sz w:val="24"/>
          <w:szCs w:val="24"/>
        </w:rPr>
        <w:t>IE</w:t>
      </w:r>
      <w:r w:rsidRPr="001026E6">
        <w:rPr>
          <w:rFonts w:cs="Helvetica"/>
          <w:sz w:val="24"/>
          <w:szCs w:val="24"/>
        </w:rPr>
        <w:t xml:space="preserve"> in the context of Digital S</w:t>
      </w:r>
      <w:r w:rsidR="002550D9" w:rsidRPr="001026E6">
        <w:rPr>
          <w:rFonts w:cs="Helvetica"/>
          <w:sz w:val="24"/>
          <w:szCs w:val="24"/>
        </w:rPr>
        <w:t xml:space="preserve">ecurities </w:t>
      </w:r>
      <w:r w:rsidR="00AC56B5" w:rsidRPr="001026E6">
        <w:rPr>
          <w:rFonts w:cs="Helvetica"/>
          <w:sz w:val="24"/>
          <w:szCs w:val="24"/>
        </w:rPr>
        <w:t xml:space="preserve">(treated similarly to the introduction of </w:t>
      </w:r>
      <w:r w:rsidR="002550D9" w:rsidRPr="001026E6">
        <w:rPr>
          <w:rFonts w:cs="Helvetica"/>
          <w:sz w:val="24"/>
          <w:szCs w:val="24"/>
        </w:rPr>
        <w:t>a new asset class</w:t>
      </w:r>
      <w:r w:rsidR="00AC56B5" w:rsidRPr="001026E6">
        <w:rPr>
          <w:rFonts w:cs="Helvetica"/>
          <w:sz w:val="24"/>
          <w:szCs w:val="24"/>
        </w:rPr>
        <w:t>)</w:t>
      </w:r>
      <w:r w:rsidR="002550D9" w:rsidRPr="001026E6">
        <w:rPr>
          <w:rFonts w:cs="Helvetica"/>
          <w:sz w:val="24"/>
          <w:szCs w:val="24"/>
        </w:rPr>
        <w:t xml:space="preserve">. </w:t>
      </w:r>
      <w:r w:rsidRPr="001026E6">
        <w:rPr>
          <w:rFonts w:cs="Helvetica"/>
          <w:sz w:val="24"/>
          <w:szCs w:val="24"/>
        </w:rPr>
        <w:t xml:space="preserve"> F</w:t>
      </w:r>
      <w:r w:rsidR="002550D9" w:rsidRPr="001026E6">
        <w:rPr>
          <w:rFonts w:cs="Helvetica"/>
          <w:sz w:val="24"/>
          <w:szCs w:val="24"/>
        </w:rPr>
        <w:t>ormal approval from the FSRA will be required before a</w:t>
      </w:r>
      <w:r w:rsidR="008B126D" w:rsidRPr="001026E6">
        <w:rPr>
          <w:rFonts w:cs="Helvetica"/>
          <w:sz w:val="24"/>
          <w:szCs w:val="24"/>
        </w:rPr>
        <w:t>n</w:t>
      </w:r>
      <w:r w:rsidR="002550D9" w:rsidRPr="001026E6">
        <w:rPr>
          <w:rFonts w:cs="Helvetica"/>
          <w:sz w:val="24"/>
          <w:szCs w:val="24"/>
        </w:rPr>
        <w:t xml:space="preserve"> RIE can facilitate </w:t>
      </w:r>
      <w:r w:rsidR="00AC56B5" w:rsidRPr="001026E6">
        <w:rPr>
          <w:rFonts w:cs="Helvetica"/>
          <w:sz w:val="24"/>
          <w:szCs w:val="24"/>
        </w:rPr>
        <w:t xml:space="preserve">offers of, issuances in and the </w:t>
      </w:r>
      <w:r w:rsidR="002550D9" w:rsidRPr="001026E6">
        <w:rPr>
          <w:rFonts w:cs="Helvetica"/>
          <w:sz w:val="24"/>
          <w:szCs w:val="24"/>
        </w:rPr>
        <w:t xml:space="preserve">trading </w:t>
      </w:r>
      <w:r w:rsidR="00AC56B5" w:rsidRPr="001026E6">
        <w:rPr>
          <w:rFonts w:cs="Helvetica"/>
          <w:sz w:val="24"/>
          <w:szCs w:val="24"/>
        </w:rPr>
        <w:t>of</w:t>
      </w:r>
      <w:r w:rsidR="002550D9" w:rsidRPr="001026E6">
        <w:rPr>
          <w:rFonts w:cs="Helvetica"/>
          <w:sz w:val="24"/>
          <w:szCs w:val="24"/>
        </w:rPr>
        <w:t xml:space="preserve"> Digital Securities.  </w:t>
      </w:r>
    </w:p>
    <w:p w14:paraId="20B3EC4C" w14:textId="77777777" w:rsidR="002550D9" w:rsidRPr="001026E6" w:rsidRDefault="002550D9" w:rsidP="002550D9">
      <w:pPr>
        <w:pStyle w:val="ListParagraph"/>
        <w:rPr>
          <w:rFonts w:cs="Helvetica"/>
          <w:sz w:val="24"/>
          <w:szCs w:val="24"/>
        </w:rPr>
      </w:pPr>
    </w:p>
    <w:p w14:paraId="317CD077" w14:textId="05D52CC2" w:rsidR="002550D9" w:rsidRPr="001026E6" w:rsidRDefault="00AC56B5" w:rsidP="009305EB">
      <w:pPr>
        <w:pStyle w:val="ListParagraph"/>
        <w:numPr>
          <w:ilvl w:val="0"/>
          <w:numId w:val="1"/>
        </w:numPr>
        <w:ind w:left="426"/>
        <w:jc w:val="both"/>
        <w:rPr>
          <w:rFonts w:cs="Helvetica"/>
          <w:sz w:val="24"/>
          <w:szCs w:val="24"/>
        </w:rPr>
      </w:pPr>
      <w:r w:rsidRPr="001026E6">
        <w:rPr>
          <w:rFonts w:cs="Helvetica"/>
          <w:sz w:val="24"/>
          <w:szCs w:val="24"/>
        </w:rPr>
        <w:lastRenderedPageBreak/>
        <w:t>In addition to what is separately set out in this Guidance, a</w:t>
      </w:r>
      <w:r w:rsidR="008B126D" w:rsidRPr="001026E6">
        <w:rPr>
          <w:rFonts w:cs="Helvetica"/>
          <w:sz w:val="24"/>
          <w:szCs w:val="24"/>
        </w:rPr>
        <w:t>n</w:t>
      </w:r>
      <w:r w:rsidR="002550D9" w:rsidRPr="001026E6">
        <w:rPr>
          <w:rFonts w:cs="Helvetica"/>
          <w:sz w:val="24"/>
          <w:szCs w:val="24"/>
        </w:rPr>
        <w:t xml:space="preserve"> RIE operating </w:t>
      </w:r>
      <w:r w:rsidR="0047563F" w:rsidRPr="001026E6">
        <w:rPr>
          <w:rFonts w:cs="Helvetica"/>
          <w:sz w:val="24"/>
          <w:szCs w:val="24"/>
        </w:rPr>
        <w:t>within the</w:t>
      </w:r>
      <w:r w:rsidR="002550D9" w:rsidRPr="001026E6">
        <w:rPr>
          <w:rFonts w:cs="Helvetica"/>
          <w:sz w:val="24"/>
          <w:szCs w:val="24"/>
        </w:rPr>
        <w:t xml:space="preserve"> conventional </w:t>
      </w:r>
      <w:r w:rsidR="0047563F" w:rsidRPr="001026E6">
        <w:rPr>
          <w:rFonts w:cs="Helvetica"/>
          <w:sz w:val="24"/>
          <w:szCs w:val="24"/>
        </w:rPr>
        <w:t>S</w:t>
      </w:r>
      <w:r w:rsidR="002550D9" w:rsidRPr="001026E6">
        <w:rPr>
          <w:rFonts w:cs="Helvetica"/>
          <w:sz w:val="24"/>
          <w:szCs w:val="24"/>
        </w:rPr>
        <w:t>ecurities space</w:t>
      </w:r>
      <w:r w:rsidR="00391E2A" w:rsidRPr="001026E6">
        <w:rPr>
          <w:rFonts w:cs="Helvetica"/>
          <w:sz w:val="24"/>
          <w:szCs w:val="24"/>
        </w:rPr>
        <w:t xml:space="preserve"> seeking </w:t>
      </w:r>
      <w:r w:rsidR="002550D9" w:rsidRPr="001026E6">
        <w:rPr>
          <w:rFonts w:cs="Helvetica"/>
          <w:sz w:val="24"/>
          <w:szCs w:val="24"/>
        </w:rPr>
        <w:t xml:space="preserve">to facilitate Digital Securities </w:t>
      </w:r>
      <w:r w:rsidRPr="001026E6">
        <w:rPr>
          <w:rFonts w:cs="Helvetica"/>
          <w:sz w:val="24"/>
          <w:szCs w:val="24"/>
        </w:rPr>
        <w:t xml:space="preserve">offers and </w:t>
      </w:r>
      <w:r w:rsidR="005A10D5" w:rsidRPr="001026E6">
        <w:rPr>
          <w:rFonts w:cs="Helvetica"/>
          <w:sz w:val="24"/>
          <w:szCs w:val="24"/>
        </w:rPr>
        <w:t>trading</w:t>
      </w:r>
      <w:r w:rsidRPr="001026E6">
        <w:rPr>
          <w:rFonts w:cs="Helvetica"/>
          <w:sz w:val="24"/>
          <w:szCs w:val="24"/>
        </w:rPr>
        <w:t>, and proposing to use new technologies such as DLT</w:t>
      </w:r>
      <w:r w:rsidR="002550D9" w:rsidRPr="001026E6">
        <w:rPr>
          <w:rFonts w:cs="Helvetica"/>
          <w:sz w:val="24"/>
          <w:szCs w:val="24"/>
        </w:rPr>
        <w:t>, should</w:t>
      </w:r>
      <w:r w:rsidR="00391E2A" w:rsidRPr="001026E6">
        <w:rPr>
          <w:rFonts w:cs="Helvetica"/>
          <w:sz w:val="24"/>
          <w:szCs w:val="24"/>
        </w:rPr>
        <w:t xml:space="preserve"> review and consider </w:t>
      </w:r>
      <w:r w:rsidR="009305EB" w:rsidRPr="001026E6">
        <w:rPr>
          <w:rFonts w:cs="Helvetica"/>
          <w:sz w:val="24"/>
          <w:szCs w:val="24"/>
        </w:rPr>
        <w:t xml:space="preserve">a number of </w:t>
      </w:r>
      <w:r w:rsidR="00391E2A" w:rsidRPr="001026E6">
        <w:rPr>
          <w:rFonts w:cs="Helvetica"/>
          <w:sz w:val="24"/>
          <w:szCs w:val="24"/>
        </w:rPr>
        <w:t>areas </w:t>
      </w:r>
      <w:r w:rsidR="002550D9" w:rsidRPr="001026E6">
        <w:rPr>
          <w:rFonts w:cs="Helvetica"/>
          <w:sz w:val="24"/>
          <w:szCs w:val="24"/>
        </w:rPr>
        <w:t xml:space="preserve">of </w:t>
      </w:r>
      <w:r w:rsidR="00391E2A" w:rsidRPr="001026E6">
        <w:rPr>
          <w:rFonts w:cs="Helvetica"/>
          <w:sz w:val="24"/>
          <w:szCs w:val="24"/>
        </w:rPr>
        <w:t xml:space="preserve">the </w:t>
      </w:r>
      <w:r w:rsidR="00E720F1" w:rsidRPr="001026E6">
        <w:rPr>
          <w:rFonts w:cs="Helvetica"/>
          <w:sz w:val="24"/>
          <w:szCs w:val="24"/>
        </w:rPr>
        <w:t>Virtual Assets Guidance</w:t>
      </w:r>
      <w:r w:rsidRPr="001026E6">
        <w:rPr>
          <w:rFonts w:cs="Helvetica"/>
          <w:sz w:val="24"/>
          <w:szCs w:val="24"/>
        </w:rPr>
        <w:t xml:space="preserve"> (as applicable), </w:t>
      </w:r>
      <w:r w:rsidR="00130485" w:rsidRPr="001026E6">
        <w:rPr>
          <w:rFonts w:cs="Helvetica"/>
          <w:sz w:val="24"/>
          <w:szCs w:val="24"/>
        </w:rPr>
        <w:t xml:space="preserve">including </w:t>
      </w:r>
      <w:r w:rsidRPr="001026E6">
        <w:rPr>
          <w:rFonts w:cs="Helvetica"/>
          <w:sz w:val="24"/>
          <w:szCs w:val="24"/>
        </w:rPr>
        <w:t xml:space="preserve">the following: </w:t>
      </w:r>
    </w:p>
    <w:p w14:paraId="1C562931" w14:textId="77777777" w:rsidR="002550D9" w:rsidRPr="001026E6" w:rsidRDefault="002550D9" w:rsidP="002550D9">
      <w:pPr>
        <w:pStyle w:val="ListParagraph"/>
        <w:rPr>
          <w:rFonts w:cs="Helvetica"/>
          <w:sz w:val="24"/>
          <w:szCs w:val="24"/>
        </w:rPr>
      </w:pPr>
    </w:p>
    <w:p w14:paraId="30770CFA" w14:textId="692FBEE4" w:rsidR="002550D9" w:rsidRPr="001026E6" w:rsidRDefault="00A1585E" w:rsidP="005A4235">
      <w:pPr>
        <w:pStyle w:val="ListParagraph"/>
        <w:numPr>
          <w:ilvl w:val="0"/>
          <w:numId w:val="68"/>
        </w:numPr>
        <w:jc w:val="both"/>
        <w:rPr>
          <w:rFonts w:cs="Helvetica"/>
          <w:sz w:val="24"/>
          <w:szCs w:val="24"/>
        </w:rPr>
      </w:pPr>
      <w:r w:rsidRPr="001026E6">
        <w:rPr>
          <w:rFonts w:cs="Helvetica"/>
          <w:sz w:val="24"/>
          <w:szCs w:val="24"/>
        </w:rPr>
        <w:t>Technology </w:t>
      </w:r>
      <w:r w:rsidR="002550D9" w:rsidRPr="001026E6">
        <w:rPr>
          <w:rFonts w:cs="Helvetica"/>
          <w:sz w:val="24"/>
          <w:szCs w:val="24"/>
        </w:rPr>
        <w:t>Governance and Controls</w:t>
      </w:r>
      <w:r w:rsidR="00AC56B5" w:rsidRPr="001026E6">
        <w:rPr>
          <w:rFonts w:cs="Helvetica"/>
          <w:sz w:val="24"/>
          <w:szCs w:val="24"/>
        </w:rPr>
        <w:t xml:space="preserve"> (</w:t>
      </w:r>
      <w:r w:rsidR="00130485" w:rsidRPr="001026E6">
        <w:rPr>
          <w:rFonts w:cs="Helvetica"/>
          <w:sz w:val="24"/>
          <w:szCs w:val="24"/>
        </w:rPr>
        <w:t>paragraphs 4</w:t>
      </w:r>
      <w:r w:rsidR="00095341" w:rsidRPr="001026E6">
        <w:rPr>
          <w:rFonts w:cs="Helvetica"/>
          <w:sz w:val="24"/>
          <w:szCs w:val="24"/>
        </w:rPr>
        <w:t>7-92</w:t>
      </w:r>
      <w:r w:rsidR="008124F9" w:rsidRPr="001026E6">
        <w:rPr>
          <w:rFonts w:cs="Helvetica"/>
          <w:sz w:val="24"/>
          <w:szCs w:val="24"/>
        </w:rPr>
        <w:t>)</w:t>
      </w:r>
      <w:r w:rsidR="00130485" w:rsidRPr="001026E6">
        <w:rPr>
          <w:rFonts w:cs="Helvetica"/>
          <w:sz w:val="24"/>
          <w:szCs w:val="24"/>
        </w:rPr>
        <w:t>;</w:t>
      </w:r>
    </w:p>
    <w:p w14:paraId="623993EE" w14:textId="7640E1C4" w:rsidR="00130485" w:rsidRPr="001026E6" w:rsidRDefault="00A018D4" w:rsidP="005A10D5">
      <w:pPr>
        <w:pStyle w:val="ListParagraph"/>
        <w:numPr>
          <w:ilvl w:val="0"/>
          <w:numId w:val="68"/>
        </w:numPr>
        <w:jc w:val="both"/>
        <w:rPr>
          <w:rFonts w:cs="Helvetica"/>
          <w:sz w:val="24"/>
          <w:szCs w:val="24"/>
        </w:rPr>
      </w:pPr>
      <w:r w:rsidRPr="001026E6">
        <w:rPr>
          <w:rFonts w:cs="Helvetica"/>
          <w:sz w:val="24"/>
          <w:szCs w:val="24"/>
        </w:rPr>
        <w:t>A</w:t>
      </w:r>
      <w:r w:rsidR="00130485" w:rsidRPr="001026E6">
        <w:rPr>
          <w:rFonts w:cs="Helvetica"/>
          <w:sz w:val="24"/>
          <w:szCs w:val="24"/>
        </w:rPr>
        <w:t xml:space="preserve">ccepted </w:t>
      </w:r>
      <w:r w:rsidR="00E00E05" w:rsidRPr="001026E6">
        <w:rPr>
          <w:rFonts w:cs="Helvetica"/>
          <w:sz w:val="24"/>
          <w:szCs w:val="24"/>
        </w:rPr>
        <w:t>Virtual Asset</w:t>
      </w:r>
      <w:r w:rsidR="009305EB" w:rsidRPr="001026E6">
        <w:rPr>
          <w:rFonts w:cs="Helvetica"/>
          <w:sz w:val="24"/>
          <w:szCs w:val="24"/>
        </w:rPr>
        <w:t>s</w:t>
      </w:r>
      <w:r w:rsidR="00130485" w:rsidRPr="001026E6">
        <w:rPr>
          <w:rFonts w:cs="Helvetica"/>
          <w:sz w:val="24"/>
          <w:szCs w:val="24"/>
        </w:rPr>
        <w:t xml:space="preserve"> (paragraph 25, including for Security (b) and Type of DLT(e))</w:t>
      </w:r>
      <w:r w:rsidRPr="001026E6">
        <w:rPr>
          <w:rFonts w:cs="Helvetica"/>
          <w:sz w:val="24"/>
          <w:szCs w:val="24"/>
        </w:rPr>
        <w:t>;</w:t>
      </w:r>
    </w:p>
    <w:p w14:paraId="55ED0BBE" w14:textId="77777777" w:rsidR="00130485" w:rsidRPr="001026E6" w:rsidRDefault="00130485" w:rsidP="005A10D5">
      <w:pPr>
        <w:pStyle w:val="ListParagraph"/>
        <w:numPr>
          <w:ilvl w:val="0"/>
          <w:numId w:val="68"/>
        </w:numPr>
        <w:jc w:val="both"/>
        <w:rPr>
          <w:rFonts w:cs="Helvetica"/>
          <w:sz w:val="24"/>
          <w:szCs w:val="24"/>
        </w:rPr>
      </w:pPr>
      <w:r w:rsidRPr="001026E6">
        <w:rPr>
          <w:rFonts w:cs="Helvetica"/>
          <w:sz w:val="24"/>
          <w:szCs w:val="24"/>
        </w:rPr>
        <w:t>Capital requirements (paragraphs 31-36)</w:t>
      </w:r>
      <w:r w:rsidR="00A018D4" w:rsidRPr="001026E6">
        <w:rPr>
          <w:rFonts w:cs="Helvetica"/>
          <w:sz w:val="24"/>
          <w:szCs w:val="24"/>
        </w:rPr>
        <w:t>;</w:t>
      </w:r>
    </w:p>
    <w:p w14:paraId="01E862A7" w14:textId="66A673D3" w:rsidR="00130485" w:rsidRPr="001026E6" w:rsidRDefault="00130485" w:rsidP="005A10D5">
      <w:pPr>
        <w:pStyle w:val="ListParagraph"/>
        <w:numPr>
          <w:ilvl w:val="0"/>
          <w:numId w:val="68"/>
        </w:numPr>
        <w:jc w:val="both"/>
        <w:rPr>
          <w:rFonts w:cs="Helvetica"/>
          <w:sz w:val="24"/>
          <w:szCs w:val="24"/>
        </w:rPr>
      </w:pPr>
      <w:r w:rsidRPr="001026E6">
        <w:rPr>
          <w:rFonts w:cs="Helvetica"/>
          <w:sz w:val="24"/>
          <w:szCs w:val="24"/>
        </w:rPr>
        <w:t xml:space="preserve">Margin Trading (paragraph </w:t>
      </w:r>
      <w:r w:rsidR="00095341" w:rsidRPr="001026E6">
        <w:rPr>
          <w:rFonts w:cs="Helvetica"/>
          <w:sz w:val="24"/>
          <w:szCs w:val="24"/>
        </w:rPr>
        <w:t>121</w:t>
      </w:r>
      <w:r w:rsidRPr="001026E6">
        <w:rPr>
          <w:rFonts w:cs="Helvetica"/>
          <w:sz w:val="24"/>
          <w:szCs w:val="24"/>
        </w:rPr>
        <w:t>)</w:t>
      </w:r>
      <w:r w:rsidR="00A018D4" w:rsidRPr="001026E6">
        <w:rPr>
          <w:rFonts w:cs="Helvetica"/>
          <w:sz w:val="24"/>
          <w:szCs w:val="24"/>
        </w:rPr>
        <w:t>; and</w:t>
      </w:r>
    </w:p>
    <w:p w14:paraId="4B1D3FFD" w14:textId="0A366B30" w:rsidR="00130485" w:rsidRPr="001026E6" w:rsidRDefault="00130485" w:rsidP="005A10D5">
      <w:pPr>
        <w:pStyle w:val="ListParagraph"/>
        <w:numPr>
          <w:ilvl w:val="0"/>
          <w:numId w:val="68"/>
        </w:numPr>
        <w:jc w:val="both"/>
        <w:rPr>
          <w:rFonts w:cs="Helvetica"/>
          <w:sz w:val="24"/>
          <w:szCs w:val="24"/>
        </w:rPr>
      </w:pPr>
      <w:r w:rsidRPr="001026E6">
        <w:rPr>
          <w:rFonts w:cs="Helvetica"/>
          <w:sz w:val="24"/>
          <w:szCs w:val="24"/>
        </w:rPr>
        <w:t xml:space="preserve">Substance requirements (paragraphs </w:t>
      </w:r>
      <w:r w:rsidR="00095341" w:rsidRPr="001026E6">
        <w:rPr>
          <w:rFonts w:cs="Helvetica"/>
          <w:sz w:val="24"/>
          <w:szCs w:val="24"/>
        </w:rPr>
        <w:t>126-128</w:t>
      </w:r>
      <w:r w:rsidRPr="001026E6">
        <w:rPr>
          <w:rFonts w:cs="Helvetica"/>
          <w:sz w:val="24"/>
          <w:szCs w:val="24"/>
        </w:rPr>
        <w:t>)</w:t>
      </w:r>
      <w:r w:rsidR="00A018D4" w:rsidRPr="001026E6">
        <w:rPr>
          <w:rFonts w:cs="Helvetica"/>
          <w:sz w:val="24"/>
          <w:szCs w:val="24"/>
        </w:rPr>
        <w:t>.</w:t>
      </w:r>
    </w:p>
    <w:p w14:paraId="3C2CA3E8" w14:textId="77777777" w:rsidR="002550D9" w:rsidRPr="001026E6" w:rsidRDefault="002550D9" w:rsidP="002550D9">
      <w:pPr>
        <w:pStyle w:val="ListParagraph"/>
        <w:rPr>
          <w:rFonts w:cs="Helvetica"/>
          <w:sz w:val="24"/>
          <w:szCs w:val="24"/>
        </w:rPr>
      </w:pPr>
    </w:p>
    <w:p w14:paraId="1798C158" w14:textId="77777777" w:rsidR="002550D9" w:rsidRPr="001026E6" w:rsidRDefault="002550D9" w:rsidP="00C22A88">
      <w:pPr>
        <w:pStyle w:val="ListParagraph"/>
        <w:numPr>
          <w:ilvl w:val="0"/>
          <w:numId w:val="1"/>
        </w:numPr>
        <w:ind w:left="426"/>
        <w:jc w:val="both"/>
        <w:rPr>
          <w:rFonts w:cs="Helvetica"/>
          <w:sz w:val="24"/>
          <w:szCs w:val="24"/>
        </w:rPr>
      </w:pPr>
      <w:r w:rsidRPr="001026E6">
        <w:rPr>
          <w:rFonts w:cs="Helvetica"/>
          <w:sz w:val="24"/>
          <w:szCs w:val="24"/>
        </w:rPr>
        <w:t>A particular area of focus for the FSRA will be the Applicant</w:t>
      </w:r>
      <w:r w:rsidR="000616ED" w:rsidRPr="001026E6">
        <w:rPr>
          <w:rFonts w:cs="Helvetica"/>
          <w:sz w:val="24"/>
          <w:szCs w:val="24"/>
        </w:rPr>
        <w:t>’</w:t>
      </w:r>
      <w:r w:rsidRPr="001026E6">
        <w:rPr>
          <w:rFonts w:cs="Helvetica"/>
          <w:sz w:val="24"/>
          <w:szCs w:val="24"/>
        </w:rPr>
        <w:t xml:space="preserve">s </w:t>
      </w:r>
      <w:r w:rsidR="00A018D4" w:rsidRPr="001026E6">
        <w:rPr>
          <w:rFonts w:cs="Helvetica"/>
          <w:sz w:val="24"/>
          <w:szCs w:val="24"/>
        </w:rPr>
        <w:t xml:space="preserve">custody and </w:t>
      </w:r>
      <w:r w:rsidRPr="001026E6">
        <w:rPr>
          <w:rFonts w:cs="Helvetica"/>
          <w:sz w:val="24"/>
          <w:szCs w:val="24"/>
        </w:rPr>
        <w:t>settlement arrangements</w:t>
      </w:r>
      <w:r w:rsidR="00A018D4" w:rsidRPr="001026E6">
        <w:rPr>
          <w:rFonts w:cs="Helvetica"/>
          <w:sz w:val="24"/>
          <w:szCs w:val="24"/>
        </w:rPr>
        <w:t xml:space="preserve"> (pursuant to</w:t>
      </w:r>
      <w:r w:rsidRPr="001026E6">
        <w:rPr>
          <w:rFonts w:cs="Helvetica"/>
          <w:sz w:val="24"/>
          <w:szCs w:val="24"/>
        </w:rPr>
        <w:t xml:space="preserve"> MIR </w:t>
      </w:r>
      <w:r w:rsidR="00A018D4" w:rsidRPr="001026E6">
        <w:rPr>
          <w:rFonts w:cs="Helvetica"/>
          <w:sz w:val="24"/>
          <w:szCs w:val="24"/>
        </w:rPr>
        <w:t xml:space="preserve">Rules 2.10 and </w:t>
      </w:r>
      <w:r w:rsidRPr="001026E6">
        <w:rPr>
          <w:rFonts w:cs="Helvetica"/>
          <w:sz w:val="24"/>
          <w:szCs w:val="24"/>
        </w:rPr>
        <w:t>3.8</w:t>
      </w:r>
      <w:r w:rsidR="00A018D4" w:rsidRPr="001026E6">
        <w:rPr>
          <w:rFonts w:cs="Helvetica"/>
          <w:sz w:val="24"/>
          <w:szCs w:val="24"/>
        </w:rPr>
        <w:t xml:space="preserve"> (refer to paragraphs </w:t>
      </w:r>
      <w:r w:rsidR="009440D6" w:rsidRPr="001026E6">
        <w:rPr>
          <w:rFonts w:cs="Helvetica"/>
          <w:sz w:val="24"/>
          <w:szCs w:val="24"/>
        </w:rPr>
        <w:t>43(b) and 44</w:t>
      </w:r>
      <w:r w:rsidR="00C22A88" w:rsidRPr="001026E6">
        <w:rPr>
          <w:rFonts w:cs="Helvetica"/>
          <w:sz w:val="24"/>
          <w:szCs w:val="24"/>
        </w:rPr>
        <w:t xml:space="preserve">(a) </w:t>
      </w:r>
      <w:r w:rsidR="00A018D4" w:rsidRPr="001026E6">
        <w:rPr>
          <w:rFonts w:cs="Helvetica"/>
          <w:sz w:val="24"/>
          <w:szCs w:val="24"/>
        </w:rPr>
        <w:t>respectively).</w:t>
      </w:r>
    </w:p>
    <w:p w14:paraId="5A3DFA13" w14:textId="77777777" w:rsidR="005D543B" w:rsidRPr="001026E6" w:rsidRDefault="005D543B" w:rsidP="005D543B">
      <w:pPr>
        <w:pStyle w:val="ListParagraph"/>
        <w:rPr>
          <w:rFonts w:cs="Helvetica"/>
          <w:sz w:val="24"/>
          <w:szCs w:val="24"/>
        </w:rPr>
      </w:pPr>
    </w:p>
    <w:p w14:paraId="16AF9215" w14:textId="77777777" w:rsidR="00496C3A" w:rsidRPr="001026E6" w:rsidRDefault="00496C3A" w:rsidP="00AC56B5">
      <w:pPr>
        <w:pStyle w:val="Heading2"/>
        <w:tabs>
          <w:tab w:val="clear" w:pos="720"/>
          <w:tab w:val="num" w:pos="0"/>
        </w:tabs>
        <w:ind w:left="0" w:firstLine="0"/>
        <w:rPr>
          <w:szCs w:val="24"/>
        </w:rPr>
      </w:pPr>
      <w:bookmarkStart w:id="70" w:name="_Toc18571338"/>
      <w:bookmarkStart w:id="71" w:name="_Toc33443089"/>
      <w:r w:rsidRPr="001026E6">
        <w:rPr>
          <w:szCs w:val="24"/>
        </w:rPr>
        <w:t>MTF</w:t>
      </w:r>
      <w:r w:rsidR="00AC56B5" w:rsidRPr="001026E6">
        <w:rPr>
          <w:szCs w:val="24"/>
        </w:rPr>
        <w:t>s &amp;</w:t>
      </w:r>
      <w:r w:rsidR="00D16874" w:rsidRPr="001026E6">
        <w:rPr>
          <w:szCs w:val="24"/>
        </w:rPr>
        <w:t xml:space="preserve"> Digital Securities</w:t>
      </w:r>
      <w:bookmarkEnd w:id="70"/>
      <w:bookmarkEnd w:id="71"/>
    </w:p>
    <w:p w14:paraId="6883E7AC" w14:textId="35953C18" w:rsidR="002B118D" w:rsidRPr="001026E6" w:rsidRDefault="00402088" w:rsidP="009305EB">
      <w:pPr>
        <w:pStyle w:val="ListParagraph"/>
        <w:numPr>
          <w:ilvl w:val="0"/>
          <w:numId w:val="1"/>
        </w:numPr>
        <w:ind w:left="426"/>
        <w:jc w:val="both"/>
        <w:rPr>
          <w:rFonts w:cs="Helvetica"/>
          <w:sz w:val="24"/>
          <w:szCs w:val="24"/>
        </w:rPr>
      </w:pPr>
      <w:r w:rsidRPr="001026E6">
        <w:rPr>
          <w:rFonts w:cs="Helvetica"/>
          <w:sz w:val="24"/>
          <w:szCs w:val="24"/>
        </w:rPr>
        <w:t xml:space="preserve">MTFs operating </w:t>
      </w:r>
      <w:r w:rsidR="00BB6FED" w:rsidRPr="001026E6">
        <w:rPr>
          <w:rFonts w:cs="Helvetica"/>
          <w:sz w:val="24"/>
          <w:szCs w:val="24"/>
        </w:rPr>
        <w:t xml:space="preserve">a market for </w:t>
      </w:r>
      <w:r w:rsidRPr="001026E6">
        <w:rPr>
          <w:rFonts w:cs="Helvetica"/>
          <w:sz w:val="24"/>
          <w:szCs w:val="24"/>
        </w:rPr>
        <w:t xml:space="preserve">traditional </w:t>
      </w:r>
      <w:r w:rsidR="00D15366" w:rsidRPr="001026E6">
        <w:rPr>
          <w:rFonts w:cs="Helvetica"/>
          <w:sz w:val="24"/>
          <w:szCs w:val="24"/>
        </w:rPr>
        <w:t xml:space="preserve">Securities </w:t>
      </w:r>
      <w:r w:rsidR="00521D90" w:rsidRPr="001026E6">
        <w:rPr>
          <w:rFonts w:cs="Helvetica"/>
          <w:sz w:val="24"/>
          <w:szCs w:val="24"/>
        </w:rPr>
        <w:t xml:space="preserve">seeking </w:t>
      </w:r>
      <w:r w:rsidRPr="001026E6">
        <w:rPr>
          <w:rFonts w:cs="Helvetica"/>
          <w:sz w:val="24"/>
          <w:szCs w:val="24"/>
        </w:rPr>
        <w:t xml:space="preserve">to </w:t>
      </w:r>
      <w:r w:rsidR="00D15366" w:rsidRPr="001026E6">
        <w:rPr>
          <w:rFonts w:cs="Helvetica"/>
          <w:sz w:val="24"/>
          <w:szCs w:val="24"/>
        </w:rPr>
        <w:t>operate a market in</w:t>
      </w:r>
      <w:r w:rsidR="00D44EE5" w:rsidRPr="001026E6">
        <w:rPr>
          <w:rFonts w:cs="Helvetica"/>
          <w:sz w:val="24"/>
          <w:szCs w:val="24"/>
        </w:rPr>
        <w:t xml:space="preserve"> </w:t>
      </w:r>
      <w:r w:rsidRPr="001026E6">
        <w:rPr>
          <w:rFonts w:cs="Helvetica"/>
          <w:sz w:val="24"/>
          <w:szCs w:val="24"/>
        </w:rPr>
        <w:t xml:space="preserve">Digital Securities activities </w:t>
      </w:r>
      <w:r w:rsidR="00521D90" w:rsidRPr="001026E6">
        <w:rPr>
          <w:rFonts w:cs="Helvetica"/>
          <w:sz w:val="24"/>
          <w:szCs w:val="24"/>
        </w:rPr>
        <w:t xml:space="preserve">should </w:t>
      </w:r>
      <w:r w:rsidR="00D15366" w:rsidRPr="001026E6">
        <w:rPr>
          <w:rFonts w:cs="Helvetica"/>
          <w:sz w:val="24"/>
          <w:szCs w:val="24"/>
        </w:rPr>
        <w:t>engage with the FSRA at an early stage and be in a position to outline how they intend to continue to meet their obligations as an Authorised Person/MTF. It is important to recall that an MTF can only admit to trading Digital Securities offered by way of a</w:t>
      </w:r>
      <w:r w:rsidR="00160C98" w:rsidRPr="001026E6">
        <w:rPr>
          <w:rFonts w:cs="Helvetica"/>
          <w:sz w:val="24"/>
          <w:szCs w:val="24"/>
        </w:rPr>
        <w:t xml:space="preserve">n Exempt Offer or that have already been admitted to a RIE (refer to paragraphs </w:t>
      </w:r>
      <w:r w:rsidR="009440D6" w:rsidRPr="001026E6">
        <w:rPr>
          <w:rFonts w:cs="Helvetica"/>
          <w:sz w:val="24"/>
          <w:szCs w:val="24"/>
        </w:rPr>
        <w:t>46</w:t>
      </w:r>
      <w:r w:rsidR="00A63C01" w:rsidRPr="001026E6">
        <w:rPr>
          <w:rFonts w:cs="Helvetica"/>
          <w:sz w:val="24"/>
          <w:szCs w:val="24"/>
        </w:rPr>
        <w:t xml:space="preserve"> </w:t>
      </w:r>
      <w:r w:rsidR="00160C98" w:rsidRPr="001026E6">
        <w:rPr>
          <w:rFonts w:cs="Helvetica"/>
          <w:sz w:val="24"/>
          <w:szCs w:val="24"/>
        </w:rPr>
        <w:t xml:space="preserve">and </w:t>
      </w:r>
      <w:r w:rsidR="009440D6" w:rsidRPr="001026E6">
        <w:rPr>
          <w:rFonts w:cs="Helvetica"/>
          <w:sz w:val="24"/>
          <w:szCs w:val="24"/>
        </w:rPr>
        <w:t>47</w:t>
      </w:r>
      <w:r w:rsidR="00A63C01" w:rsidRPr="001026E6">
        <w:rPr>
          <w:rFonts w:cs="Helvetica"/>
          <w:sz w:val="24"/>
          <w:szCs w:val="24"/>
        </w:rPr>
        <w:t xml:space="preserve"> </w:t>
      </w:r>
      <w:r w:rsidR="00160C98" w:rsidRPr="001026E6">
        <w:rPr>
          <w:rFonts w:cs="Helvetica"/>
          <w:sz w:val="24"/>
          <w:szCs w:val="24"/>
        </w:rPr>
        <w:t>respectively)</w:t>
      </w:r>
      <w:r w:rsidRPr="001026E6">
        <w:rPr>
          <w:rFonts w:cs="Helvetica"/>
          <w:sz w:val="24"/>
          <w:szCs w:val="24"/>
        </w:rPr>
        <w:t>.  As noted in paragraph</w:t>
      </w:r>
      <w:r w:rsidR="009440D6" w:rsidRPr="001026E6">
        <w:rPr>
          <w:rFonts w:cs="Helvetica"/>
          <w:sz w:val="24"/>
          <w:szCs w:val="24"/>
        </w:rPr>
        <w:t xml:space="preserve"> 7</w:t>
      </w:r>
      <w:r w:rsidR="00686EBF" w:rsidRPr="001026E6">
        <w:rPr>
          <w:rFonts w:cs="Helvetica"/>
          <w:sz w:val="24"/>
          <w:szCs w:val="24"/>
        </w:rPr>
        <w:t>7</w:t>
      </w:r>
      <w:r w:rsidR="00DA6876" w:rsidRPr="001026E6">
        <w:rPr>
          <w:rFonts w:cs="Helvetica"/>
          <w:sz w:val="24"/>
          <w:szCs w:val="24"/>
        </w:rPr>
        <w:t xml:space="preserve"> </w:t>
      </w:r>
      <w:r w:rsidRPr="001026E6">
        <w:rPr>
          <w:rFonts w:cs="Helvetica"/>
          <w:sz w:val="24"/>
          <w:szCs w:val="24"/>
        </w:rPr>
        <w:t xml:space="preserve">above, </w:t>
      </w:r>
      <w:r w:rsidR="00C21EEA" w:rsidRPr="001026E6">
        <w:rPr>
          <w:rFonts w:cs="Helvetica"/>
          <w:sz w:val="24"/>
          <w:szCs w:val="24"/>
        </w:rPr>
        <w:t xml:space="preserve">for an </w:t>
      </w:r>
      <w:r w:rsidR="00D15366" w:rsidRPr="001026E6">
        <w:rPr>
          <w:rFonts w:cs="Helvetica"/>
          <w:sz w:val="24"/>
          <w:szCs w:val="24"/>
        </w:rPr>
        <w:t xml:space="preserve">entity that is already operating as </w:t>
      </w:r>
      <w:r w:rsidR="00C21EEA" w:rsidRPr="001026E6">
        <w:rPr>
          <w:rFonts w:cs="Helvetica"/>
          <w:sz w:val="24"/>
          <w:szCs w:val="24"/>
        </w:rPr>
        <w:t xml:space="preserve">an MTF, </w:t>
      </w:r>
      <w:r w:rsidR="000D3A1C" w:rsidRPr="001026E6">
        <w:rPr>
          <w:rFonts w:cs="Helvetica"/>
          <w:sz w:val="24"/>
          <w:szCs w:val="24"/>
        </w:rPr>
        <w:t xml:space="preserve">one </w:t>
      </w:r>
      <w:r w:rsidR="009305EB" w:rsidRPr="001026E6">
        <w:rPr>
          <w:rFonts w:cs="Helvetica"/>
          <w:sz w:val="24"/>
          <w:szCs w:val="24"/>
        </w:rPr>
        <w:t>area of</w:t>
      </w:r>
      <w:r w:rsidR="000D3A1C" w:rsidRPr="001026E6">
        <w:rPr>
          <w:rFonts w:cs="Helvetica"/>
          <w:sz w:val="24"/>
          <w:szCs w:val="24"/>
        </w:rPr>
        <w:t xml:space="preserve"> </w:t>
      </w:r>
      <w:r w:rsidR="00C21EEA" w:rsidRPr="001026E6">
        <w:rPr>
          <w:rFonts w:cs="Helvetica"/>
          <w:sz w:val="24"/>
          <w:szCs w:val="24"/>
        </w:rPr>
        <w:t>FSRA</w:t>
      </w:r>
      <w:r w:rsidR="009305EB" w:rsidRPr="001026E6">
        <w:rPr>
          <w:rFonts w:cs="Helvetica"/>
          <w:sz w:val="24"/>
          <w:szCs w:val="24"/>
        </w:rPr>
        <w:t xml:space="preserve"> focus </w:t>
      </w:r>
      <w:r w:rsidR="00C21EEA" w:rsidRPr="001026E6">
        <w:rPr>
          <w:rFonts w:cs="Helvetica"/>
          <w:sz w:val="24"/>
          <w:szCs w:val="24"/>
        </w:rPr>
        <w:t>when considering an application for exp</w:t>
      </w:r>
      <w:r w:rsidR="00614EB3" w:rsidRPr="001026E6">
        <w:rPr>
          <w:rFonts w:cs="Helvetica"/>
          <w:sz w:val="24"/>
          <w:szCs w:val="24"/>
        </w:rPr>
        <w:t xml:space="preserve">ansion into Digital </w:t>
      </w:r>
      <w:r w:rsidR="00614EB3" w:rsidRPr="001026E6">
        <w:rPr>
          <w:rFonts w:cs="Helvetica"/>
          <w:sz w:val="24"/>
          <w:szCs w:val="24"/>
        </w:rPr>
        <w:lastRenderedPageBreak/>
        <w:t xml:space="preserve">Securities </w:t>
      </w:r>
      <w:r w:rsidRPr="001026E6">
        <w:rPr>
          <w:rFonts w:cs="Helvetica"/>
          <w:sz w:val="24"/>
          <w:szCs w:val="24"/>
        </w:rPr>
        <w:t xml:space="preserve">will be on the </w:t>
      </w:r>
      <w:r w:rsidR="002B118D" w:rsidRPr="001026E6">
        <w:rPr>
          <w:rFonts w:cs="Helvetica"/>
          <w:sz w:val="24"/>
          <w:szCs w:val="24"/>
        </w:rPr>
        <w:t>MTFs</w:t>
      </w:r>
      <w:r w:rsidRPr="001026E6">
        <w:rPr>
          <w:rFonts w:cs="Helvetica"/>
          <w:sz w:val="24"/>
          <w:szCs w:val="24"/>
        </w:rPr>
        <w:t xml:space="preserve"> use of technology and the governance arrangements around technolog</w:t>
      </w:r>
      <w:r w:rsidR="009305EB" w:rsidRPr="001026E6">
        <w:rPr>
          <w:rFonts w:cs="Helvetica"/>
          <w:sz w:val="24"/>
          <w:szCs w:val="24"/>
        </w:rPr>
        <w:t>ies that are to be newly introduced</w:t>
      </w:r>
      <w:r w:rsidRPr="001026E6">
        <w:rPr>
          <w:rFonts w:cs="Helvetica"/>
          <w:sz w:val="24"/>
          <w:szCs w:val="24"/>
        </w:rPr>
        <w:t>.</w:t>
      </w:r>
      <w:r w:rsidR="00160C98" w:rsidRPr="001026E6">
        <w:rPr>
          <w:rFonts w:cs="Helvetica"/>
          <w:sz w:val="24"/>
          <w:szCs w:val="24"/>
        </w:rPr>
        <w:t xml:space="preserve">   Further discussion about the FSRA’s expectations in this regard is set out at paragraph</w:t>
      </w:r>
      <w:r w:rsidR="006266C2" w:rsidRPr="001026E6">
        <w:rPr>
          <w:rFonts w:cs="Helvetica"/>
          <w:sz w:val="24"/>
          <w:szCs w:val="24"/>
        </w:rPr>
        <w:t>s</w:t>
      </w:r>
      <w:r w:rsidR="00160C98" w:rsidRPr="001026E6">
        <w:rPr>
          <w:rFonts w:cs="Helvetica"/>
          <w:sz w:val="24"/>
          <w:szCs w:val="24"/>
        </w:rPr>
        <w:t xml:space="preserve"> </w:t>
      </w:r>
      <w:r w:rsidR="007C663E" w:rsidRPr="001026E6">
        <w:rPr>
          <w:rFonts w:cs="Helvetica"/>
          <w:sz w:val="24"/>
          <w:szCs w:val="24"/>
        </w:rPr>
        <w:t>98</w:t>
      </w:r>
      <w:r w:rsidR="00B73A66" w:rsidRPr="001026E6">
        <w:rPr>
          <w:rFonts w:cs="Helvetica"/>
          <w:sz w:val="24"/>
          <w:szCs w:val="24"/>
        </w:rPr>
        <w:t xml:space="preserve"> </w:t>
      </w:r>
      <w:r w:rsidR="006266C2" w:rsidRPr="001026E6">
        <w:rPr>
          <w:rFonts w:cs="Helvetica"/>
          <w:sz w:val="24"/>
          <w:szCs w:val="24"/>
        </w:rPr>
        <w:t>-</w:t>
      </w:r>
      <w:r w:rsidR="00B73A66" w:rsidRPr="001026E6">
        <w:rPr>
          <w:rFonts w:cs="Helvetica"/>
          <w:sz w:val="24"/>
          <w:szCs w:val="24"/>
        </w:rPr>
        <w:t xml:space="preserve"> </w:t>
      </w:r>
      <w:r w:rsidR="009440D6" w:rsidRPr="001026E6">
        <w:rPr>
          <w:rFonts w:cs="Helvetica"/>
          <w:sz w:val="24"/>
          <w:szCs w:val="24"/>
        </w:rPr>
        <w:t>10</w:t>
      </w:r>
      <w:r w:rsidR="007C663E" w:rsidRPr="001026E6">
        <w:rPr>
          <w:rFonts w:cs="Helvetica"/>
          <w:sz w:val="24"/>
          <w:szCs w:val="24"/>
        </w:rPr>
        <w:t>0</w:t>
      </w:r>
      <w:r w:rsidR="00160C98" w:rsidRPr="001026E6">
        <w:rPr>
          <w:rFonts w:cs="Helvetica"/>
          <w:sz w:val="24"/>
          <w:szCs w:val="24"/>
        </w:rPr>
        <w:t>.</w:t>
      </w:r>
      <w:r w:rsidR="00477490" w:rsidRPr="001026E6">
        <w:rPr>
          <w:rFonts w:cs="Helvetica"/>
          <w:sz w:val="24"/>
          <w:szCs w:val="24"/>
        </w:rPr>
        <w:t xml:space="preserve">  </w:t>
      </w:r>
    </w:p>
    <w:p w14:paraId="275BAC98" w14:textId="77777777" w:rsidR="005A10D5" w:rsidRPr="001026E6" w:rsidRDefault="005A10D5" w:rsidP="005A10D5">
      <w:pPr>
        <w:pStyle w:val="ListParagraph"/>
        <w:ind w:left="426"/>
        <w:jc w:val="both"/>
        <w:rPr>
          <w:rFonts w:cs="Helvetica"/>
          <w:sz w:val="24"/>
          <w:szCs w:val="24"/>
        </w:rPr>
      </w:pPr>
    </w:p>
    <w:p w14:paraId="02F90768" w14:textId="77777777" w:rsidR="002B118D" w:rsidRPr="001026E6" w:rsidRDefault="002B118D" w:rsidP="007F7517">
      <w:pPr>
        <w:pStyle w:val="ListParagraph"/>
        <w:numPr>
          <w:ilvl w:val="0"/>
          <w:numId w:val="1"/>
        </w:numPr>
        <w:ind w:left="426"/>
        <w:jc w:val="both"/>
        <w:rPr>
          <w:rFonts w:cs="Helvetica"/>
          <w:sz w:val="24"/>
          <w:szCs w:val="24"/>
        </w:rPr>
      </w:pPr>
      <w:r w:rsidRPr="001026E6">
        <w:rPr>
          <w:rFonts w:cs="Helvetica"/>
          <w:sz w:val="24"/>
          <w:szCs w:val="24"/>
        </w:rPr>
        <w:t>A</w:t>
      </w:r>
      <w:r w:rsidR="00564344" w:rsidRPr="001026E6">
        <w:rPr>
          <w:rFonts w:cs="Helvetica"/>
          <w:sz w:val="24"/>
          <w:szCs w:val="24"/>
        </w:rPr>
        <w:t>nother</w:t>
      </w:r>
      <w:r w:rsidRPr="001026E6">
        <w:rPr>
          <w:rFonts w:cs="Helvetica"/>
          <w:sz w:val="24"/>
          <w:szCs w:val="24"/>
        </w:rPr>
        <w:t xml:space="preserve"> particular area of focus for the FSRA will be the Applicant’s custody and settlement arrangements (pursuant to MIR Rules 2.10 and 3.8 (refer to paragraphs</w:t>
      </w:r>
      <w:r w:rsidR="00BA148D" w:rsidRPr="001026E6">
        <w:rPr>
          <w:rFonts w:cs="Helvetica"/>
          <w:sz w:val="24"/>
          <w:szCs w:val="24"/>
        </w:rPr>
        <w:t xml:space="preserve"> 43(b) and 44</w:t>
      </w:r>
      <w:r w:rsidR="007F7517" w:rsidRPr="001026E6">
        <w:rPr>
          <w:rFonts w:cs="Helvetica"/>
          <w:sz w:val="24"/>
          <w:szCs w:val="24"/>
        </w:rPr>
        <w:t xml:space="preserve">(a) </w:t>
      </w:r>
      <w:r w:rsidRPr="001026E6">
        <w:rPr>
          <w:rFonts w:cs="Helvetica"/>
          <w:sz w:val="24"/>
          <w:szCs w:val="24"/>
        </w:rPr>
        <w:t>respectively).</w:t>
      </w:r>
    </w:p>
    <w:p w14:paraId="269DDF80" w14:textId="77777777" w:rsidR="00402088" w:rsidRPr="001026E6" w:rsidRDefault="00402088" w:rsidP="00C21EEA">
      <w:pPr>
        <w:pStyle w:val="ListParagraph"/>
        <w:ind w:left="426"/>
        <w:jc w:val="both"/>
        <w:rPr>
          <w:rFonts w:cs="Helvetica"/>
          <w:sz w:val="24"/>
          <w:szCs w:val="24"/>
        </w:rPr>
      </w:pPr>
      <w:r w:rsidRPr="001026E6">
        <w:rPr>
          <w:rFonts w:cs="Helvetica"/>
          <w:sz w:val="24"/>
          <w:szCs w:val="24"/>
        </w:rPr>
        <w:t xml:space="preserve">  </w:t>
      </w:r>
    </w:p>
    <w:p w14:paraId="1193E641" w14:textId="77777777" w:rsidR="00A54B14" w:rsidRPr="001026E6" w:rsidRDefault="00D16874" w:rsidP="00F753BB">
      <w:pPr>
        <w:pStyle w:val="Heading2"/>
        <w:tabs>
          <w:tab w:val="clear" w:pos="720"/>
          <w:tab w:val="num" w:pos="0"/>
        </w:tabs>
        <w:ind w:left="0" w:firstLine="0"/>
        <w:rPr>
          <w:szCs w:val="24"/>
        </w:rPr>
      </w:pPr>
      <w:bookmarkStart w:id="72" w:name="_Toc18571339"/>
      <w:bookmarkStart w:id="73" w:name="_Toc33443090"/>
      <w:r w:rsidRPr="001026E6">
        <w:rPr>
          <w:szCs w:val="24"/>
        </w:rPr>
        <w:t>RCH</w:t>
      </w:r>
      <w:r w:rsidR="00AC56B5" w:rsidRPr="001026E6">
        <w:rPr>
          <w:szCs w:val="24"/>
        </w:rPr>
        <w:t xml:space="preserve">s &amp; </w:t>
      </w:r>
      <w:r w:rsidRPr="001026E6">
        <w:rPr>
          <w:szCs w:val="24"/>
        </w:rPr>
        <w:t>Digital Securities</w:t>
      </w:r>
      <w:bookmarkEnd w:id="72"/>
      <w:bookmarkEnd w:id="73"/>
      <w:r w:rsidRPr="001026E6">
        <w:rPr>
          <w:szCs w:val="24"/>
        </w:rPr>
        <w:t xml:space="preserve"> </w:t>
      </w:r>
    </w:p>
    <w:p w14:paraId="71F5114B" w14:textId="62B6BA2F" w:rsidR="00D12772" w:rsidRPr="001026E6" w:rsidRDefault="00F753BB" w:rsidP="009305EB">
      <w:pPr>
        <w:pStyle w:val="ListParagraph"/>
        <w:numPr>
          <w:ilvl w:val="0"/>
          <w:numId w:val="1"/>
        </w:numPr>
        <w:ind w:left="426"/>
        <w:jc w:val="both"/>
        <w:rPr>
          <w:rFonts w:cs="Helvetica"/>
          <w:sz w:val="24"/>
          <w:szCs w:val="24"/>
        </w:rPr>
      </w:pPr>
      <w:r w:rsidRPr="001026E6">
        <w:rPr>
          <w:rFonts w:cs="Helvetica"/>
          <w:sz w:val="24"/>
          <w:szCs w:val="24"/>
        </w:rPr>
        <w:t xml:space="preserve">RCHs providing services for the clearing and settlement </w:t>
      </w:r>
      <w:r w:rsidR="00D12772" w:rsidRPr="001026E6">
        <w:rPr>
          <w:rFonts w:cs="Helvetica"/>
          <w:sz w:val="24"/>
          <w:szCs w:val="24"/>
        </w:rPr>
        <w:t xml:space="preserve">of </w:t>
      </w:r>
      <w:r w:rsidRPr="001026E6">
        <w:rPr>
          <w:rFonts w:cs="Helvetica"/>
          <w:sz w:val="24"/>
          <w:szCs w:val="24"/>
        </w:rPr>
        <w:t xml:space="preserve">traditional Securities seeking to </w:t>
      </w:r>
      <w:r w:rsidR="00D12772" w:rsidRPr="001026E6">
        <w:rPr>
          <w:rFonts w:cs="Helvetica"/>
          <w:sz w:val="24"/>
          <w:szCs w:val="24"/>
        </w:rPr>
        <w:t xml:space="preserve">do the same for </w:t>
      </w:r>
      <w:r w:rsidRPr="001026E6">
        <w:rPr>
          <w:rFonts w:cs="Helvetica"/>
          <w:sz w:val="24"/>
          <w:szCs w:val="24"/>
        </w:rPr>
        <w:t>Digital Securities should engage with the FSRA at an early stage and be in a position to outline how they intend to continue to meet their obligations as a</w:t>
      </w:r>
      <w:r w:rsidR="00D12772" w:rsidRPr="001026E6">
        <w:rPr>
          <w:rFonts w:cs="Helvetica"/>
          <w:sz w:val="24"/>
          <w:szCs w:val="24"/>
        </w:rPr>
        <w:t xml:space="preserve"> RCH (noting the points raised earlier in this Guidance in relation to </w:t>
      </w:r>
      <w:r w:rsidR="007B3936" w:rsidRPr="001026E6">
        <w:rPr>
          <w:rFonts w:cs="Helvetica"/>
          <w:sz w:val="24"/>
          <w:szCs w:val="24"/>
        </w:rPr>
        <w:t>the use of technology and governance arrangements of a RCH (as a Recognised Body)</w:t>
      </w:r>
      <w:r w:rsidR="00955F97" w:rsidRPr="001026E6">
        <w:rPr>
          <w:rFonts w:cs="Helvetica"/>
          <w:sz w:val="24"/>
          <w:szCs w:val="24"/>
        </w:rPr>
        <w:t xml:space="preserve"> </w:t>
      </w:r>
      <w:r w:rsidR="00D12772" w:rsidRPr="001026E6">
        <w:rPr>
          <w:rFonts w:cs="Helvetica"/>
          <w:sz w:val="24"/>
          <w:szCs w:val="24"/>
        </w:rPr>
        <w:t xml:space="preserve">(refer to </w:t>
      </w:r>
      <w:r w:rsidR="00BA148D" w:rsidRPr="001026E6">
        <w:rPr>
          <w:rFonts w:cs="Helvetica"/>
          <w:sz w:val="24"/>
          <w:szCs w:val="24"/>
        </w:rPr>
        <w:t>paragraphs 7</w:t>
      </w:r>
      <w:r w:rsidR="00686EBF" w:rsidRPr="001026E6">
        <w:rPr>
          <w:rFonts w:cs="Helvetica"/>
          <w:sz w:val="24"/>
          <w:szCs w:val="24"/>
        </w:rPr>
        <w:t>7</w:t>
      </w:r>
      <w:r w:rsidR="00BA148D" w:rsidRPr="001026E6">
        <w:rPr>
          <w:rFonts w:cs="Helvetica"/>
          <w:sz w:val="24"/>
          <w:szCs w:val="24"/>
        </w:rPr>
        <w:t xml:space="preserve"> and </w:t>
      </w:r>
      <w:r w:rsidR="00686EBF" w:rsidRPr="001026E6">
        <w:rPr>
          <w:rFonts w:cs="Helvetica"/>
          <w:sz w:val="24"/>
          <w:szCs w:val="24"/>
        </w:rPr>
        <w:t>98</w:t>
      </w:r>
      <w:r w:rsidR="00BA148D" w:rsidRPr="001026E6">
        <w:rPr>
          <w:rFonts w:cs="Helvetica"/>
          <w:sz w:val="24"/>
          <w:szCs w:val="24"/>
        </w:rPr>
        <w:t>-10</w:t>
      </w:r>
      <w:r w:rsidR="00686EBF" w:rsidRPr="001026E6">
        <w:rPr>
          <w:rFonts w:cs="Helvetica"/>
          <w:sz w:val="24"/>
          <w:szCs w:val="24"/>
        </w:rPr>
        <w:t>0</w:t>
      </w:r>
      <w:r w:rsidR="00D12772" w:rsidRPr="001026E6">
        <w:rPr>
          <w:rFonts w:cs="Helvetica"/>
          <w:sz w:val="24"/>
          <w:szCs w:val="24"/>
        </w:rPr>
        <w:t>)</w:t>
      </w:r>
      <w:r w:rsidRPr="001026E6">
        <w:rPr>
          <w:rFonts w:cs="Helvetica"/>
          <w:sz w:val="24"/>
          <w:szCs w:val="24"/>
        </w:rPr>
        <w:t>.</w:t>
      </w:r>
      <w:r w:rsidR="00D12772" w:rsidRPr="001026E6">
        <w:rPr>
          <w:rFonts w:cs="Helvetica"/>
          <w:sz w:val="24"/>
          <w:szCs w:val="24"/>
        </w:rPr>
        <w:t xml:space="preserve">  </w:t>
      </w:r>
      <w:r w:rsidR="00DC16F2" w:rsidRPr="001026E6">
        <w:rPr>
          <w:rFonts w:cs="Helvetica"/>
          <w:sz w:val="24"/>
          <w:szCs w:val="24"/>
        </w:rPr>
        <w:t xml:space="preserve">Depending on the technology used, a Securities RCH seeking to additionally operate </w:t>
      </w:r>
      <w:r w:rsidR="009305EB" w:rsidRPr="001026E6">
        <w:rPr>
          <w:rFonts w:cs="Helvetica"/>
          <w:sz w:val="24"/>
          <w:szCs w:val="24"/>
        </w:rPr>
        <w:t>with</w:t>
      </w:r>
      <w:r w:rsidR="00DC16F2" w:rsidRPr="001026E6">
        <w:rPr>
          <w:rFonts w:cs="Helvetica"/>
          <w:sz w:val="24"/>
          <w:szCs w:val="24"/>
        </w:rPr>
        <w:t xml:space="preserve"> Digital Securities may potentially use their existing technology (DLT or similar) to enable the settlement of Digital Securities.</w:t>
      </w:r>
    </w:p>
    <w:p w14:paraId="61A56799" w14:textId="77777777" w:rsidR="00D12772" w:rsidRPr="001026E6" w:rsidRDefault="00D12772" w:rsidP="00963E36">
      <w:pPr>
        <w:pStyle w:val="ListParagraph"/>
        <w:ind w:left="426"/>
        <w:jc w:val="both"/>
        <w:rPr>
          <w:rFonts w:cs="Helvetica"/>
          <w:sz w:val="24"/>
          <w:szCs w:val="24"/>
        </w:rPr>
      </w:pPr>
    </w:p>
    <w:p w14:paraId="21845471" w14:textId="77777777" w:rsidR="00795BB8" w:rsidRPr="001026E6" w:rsidRDefault="00D12772" w:rsidP="00D12772">
      <w:pPr>
        <w:pStyle w:val="ListParagraph"/>
        <w:numPr>
          <w:ilvl w:val="0"/>
          <w:numId w:val="1"/>
        </w:numPr>
        <w:ind w:left="426"/>
        <w:jc w:val="both"/>
        <w:rPr>
          <w:rFonts w:cs="Helvetica"/>
          <w:sz w:val="24"/>
          <w:szCs w:val="24"/>
        </w:rPr>
      </w:pPr>
      <w:r w:rsidRPr="001026E6">
        <w:rPr>
          <w:rFonts w:cs="Helvetica"/>
          <w:sz w:val="24"/>
          <w:szCs w:val="24"/>
        </w:rPr>
        <w:t>In the context of clearing and settlement for Digital Securities, i</w:t>
      </w:r>
      <w:r w:rsidR="00795BB8" w:rsidRPr="001026E6">
        <w:rPr>
          <w:rFonts w:cs="Helvetica"/>
          <w:sz w:val="24"/>
          <w:szCs w:val="24"/>
        </w:rPr>
        <w:t xml:space="preserve">f </w:t>
      </w:r>
      <w:r w:rsidRPr="001026E6">
        <w:rPr>
          <w:rFonts w:cs="Helvetica"/>
          <w:sz w:val="24"/>
          <w:szCs w:val="24"/>
        </w:rPr>
        <w:t>it is determined</w:t>
      </w:r>
      <w:r w:rsidR="00795BB8" w:rsidRPr="001026E6">
        <w:rPr>
          <w:rFonts w:cs="Helvetica"/>
          <w:sz w:val="24"/>
          <w:szCs w:val="24"/>
        </w:rPr>
        <w:t xml:space="preserve"> that </w:t>
      </w:r>
      <w:r w:rsidRPr="001026E6">
        <w:rPr>
          <w:rFonts w:cs="Helvetica"/>
          <w:sz w:val="24"/>
          <w:szCs w:val="24"/>
        </w:rPr>
        <w:t>the RCH</w:t>
      </w:r>
      <w:r w:rsidR="00795BB8" w:rsidRPr="001026E6">
        <w:rPr>
          <w:rFonts w:cs="Helvetica"/>
          <w:sz w:val="24"/>
          <w:szCs w:val="24"/>
        </w:rPr>
        <w:t xml:space="preserve"> acts as a central counterparty (CCP) guaranteeing the settlement of transactions, then </w:t>
      </w:r>
      <w:r w:rsidRPr="001026E6">
        <w:rPr>
          <w:rFonts w:cs="Helvetica"/>
          <w:sz w:val="24"/>
          <w:szCs w:val="24"/>
        </w:rPr>
        <w:t>the RCH</w:t>
      </w:r>
      <w:r w:rsidR="00445C14" w:rsidRPr="001026E6">
        <w:rPr>
          <w:rFonts w:cs="Helvetica"/>
          <w:sz w:val="24"/>
          <w:szCs w:val="24"/>
        </w:rPr>
        <w:t xml:space="preserve"> </w:t>
      </w:r>
      <w:r w:rsidR="00795BB8" w:rsidRPr="001026E6">
        <w:rPr>
          <w:rFonts w:cs="Helvetica"/>
          <w:sz w:val="24"/>
          <w:szCs w:val="24"/>
        </w:rPr>
        <w:t>is considered to act as a clearing house.</w:t>
      </w:r>
    </w:p>
    <w:p w14:paraId="6CA83031" w14:textId="77777777" w:rsidR="00795BB8" w:rsidRPr="001026E6" w:rsidRDefault="00795BB8" w:rsidP="00A54B14">
      <w:pPr>
        <w:pStyle w:val="ListParagraph"/>
        <w:ind w:left="426"/>
        <w:jc w:val="both"/>
        <w:rPr>
          <w:rFonts w:cs="Helvetica"/>
          <w:sz w:val="24"/>
          <w:szCs w:val="24"/>
        </w:rPr>
      </w:pPr>
    </w:p>
    <w:p w14:paraId="0B4DAA09" w14:textId="77777777" w:rsidR="00795BB8" w:rsidRPr="001026E6" w:rsidRDefault="00795BB8" w:rsidP="00D12772">
      <w:pPr>
        <w:pStyle w:val="ListParagraph"/>
        <w:numPr>
          <w:ilvl w:val="0"/>
          <w:numId w:val="1"/>
        </w:numPr>
        <w:ind w:left="426"/>
        <w:jc w:val="both"/>
        <w:rPr>
          <w:rFonts w:cs="Helvetica"/>
          <w:sz w:val="24"/>
          <w:szCs w:val="24"/>
        </w:rPr>
      </w:pPr>
      <w:r w:rsidRPr="001026E6">
        <w:rPr>
          <w:rFonts w:cs="Helvetica"/>
          <w:sz w:val="24"/>
          <w:szCs w:val="24"/>
        </w:rPr>
        <w:t xml:space="preserve">If </w:t>
      </w:r>
      <w:r w:rsidR="00D12772" w:rsidRPr="001026E6">
        <w:rPr>
          <w:rFonts w:cs="Helvetica"/>
          <w:sz w:val="24"/>
          <w:szCs w:val="24"/>
        </w:rPr>
        <w:t xml:space="preserve">instead, </w:t>
      </w:r>
      <w:r w:rsidRPr="001026E6">
        <w:rPr>
          <w:rFonts w:cs="Helvetica"/>
          <w:sz w:val="24"/>
          <w:szCs w:val="24"/>
        </w:rPr>
        <w:t>instantaneous settlement occurs</w:t>
      </w:r>
      <w:r w:rsidR="00D12772" w:rsidRPr="001026E6">
        <w:rPr>
          <w:rFonts w:cs="Helvetica"/>
          <w:sz w:val="24"/>
          <w:szCs w:val="24"/>
        </w:rPr>
        <w:t xml:space="preserve"> within the RCH</w:t>
      </w:r>
      <w:r w:rsidRPr="001026E6">
        <w:rPr>
          <w:rFonts w:cs="Helvetica"/>
          <w:sz w:val="24"/>
          <w:szCs w:val="24"/>
        </w:rPr>
        <w:t xml:space="preserve">, then the </w:t>
      </w:r>
      <w:r w:rsidR="00D12772" w:rsidRPr="001026E6">
        <w:rPr>
          <w:rFonts w:cs="Helvetica"/>
          <w:sz w:val="24"/>
          <w:szCs w:val="24"/>
        </w:rPr>
        <w:t>RCH</w:t>
      </w:r>
      <w:r w:rsidRPr="001026E6">
        <w:rPr>
          <w:rFonts w:cs="Helvetica"/>
          <w:sz w:val="24"/>
          <w:szCs w:val="24"/>
        </w:rPr>
        <w:t xml:space="preserve"> does not act as a </w:t>
      </w:r>
      <w:r w:rsidR="00D12772" w:rsidRPr="001026E6">
        <w:rPr>
          <w:rFonts w:cs="Helvetica"/>
          <w:sz w:val="24"/>
          <w:szCs w:val="24"/>
        </w:rPr>
        <w:t>CCP</w:t>
      </w:r>
      <w:r w:rsidRPr="001026E6">
        <w:rPr>
          <w:rFonts w:cs="Helvetica"/>
          <w:sz w:val="24"/>
          <w:szCs w:val="24"/>
        </w:rPr>
        <w:t xml:space="preserve">, as it does not establish / hold positions on either side of a trade prior to settlement taking place, and it is therefore not considered to be a clearing </w:t>
      </w:r>
      <w:r w:rsidRPr="001026E6">
        <w:rPr>
          <w:rFonts w:cs="Helvetica"/>
          <w:sz w:val="24"/>
          <w:szCs w:val="24"/>
        </w:rPr>
        <w:lastRenderedPageBreak/>
        <w:t xml:space="preserve">house. Such a scenario may </w:t>
      </w:r>
      <w:r w:rsidR="00D12772" w:rsidRPr="001026E6">
        <w:rPr>
          <w:rFonts w:cs="Helvetica"/>
          <w:sz w:val="24"/>
          <w:szCs w:val="24"/>
        </w:rPr>
        <w:t xml:space="preserve">likely </w:t>
      </w:r>
      <w:r w:rsidRPr="001026E6">
        <w:rPr>
          <w:rFonts w:cs="Helvetica"/>
          <w:sz w:val="24"/>
          <w:szCs w:val="24"/>
        </w:rPr>
        <w:t>occur in the case of settlement for Digital Securities.</w:t>
      </w:r>
    </w:p>
    <w:p w14:paraId="3D80D3D7" w14:textId="77777777" w:rsidR="00795BB8" w:rsidRPr="001026E6" w:rsidRDefault="00795BB8" w:rsidP="00795BB8">
      <w:pPr>
        <w:pStyle w:val="ListParagraph"/>
        <w:ind w:left="426"/>
        <w:jc w:val="both"/>
        <w:rPr>
          <w:rFonts w:cs="Helvetica"/>
          <w:sz w:val="24"/>
          <w:szCs w:val="24"/>
        </w:rPr>
      </w:pPr>
    </w:p>
    <w:p w14:paraId="124BBE44" w14:textId="77777777" w:rsidR="00795BB8" w:rsidRPr="001026E6" w:rsidRDefault="00795BB8" w:rsidP="00465CBB">
      <w:pPr>
        <w:pStyle w:val="ListParagraph"/>
        <w:numPr>
          <w:ilvl w:val="0"/>
          <w:numId w:val="1"/>
        </w:numPr>
        <w:ind w:left="426"/>
        <w:jc w:val="both"/>
        <w:rPr>
          <w:rFonts w:cs="Helvetica"/>
          <w:sz w:val="24"/>
          <w:szCs w:val="24"/>
        </w:rPr>
      </w:pPr>
      <w:r w:rsidRPr="001026E6">
        <w:rPr>
          <w:rFonts w:cs="Helvetica"/>
          <w:sz w:val="24"/>
          <w:szCs w:val="24"/>
        </w:rPr>
        <w:t xml:space="preserve">RCHs </w:t>
      </w:r>
      <w:r w:rsidR="00D12772" w:rsidRPr="001026E6">
        <w:rPr>
          <w:rFonts w:cs="Helvetica"/>
          <w:sz w:val="24"/>
          <w:szCs w:val="24"/>
        </w:rPr>
        <w:t>(</w:t>
      </w:r>
      <w:r w:rsidR="00465CBB" w:rsidRPr="001026E6">
        <w:rPr>
          <w:rFonts w:cs="Helvetica"/>
          <w:sz w:val="24"/>
          <w:szCs w:val="24"/>
        </w:rPr>
        <w:t>operating</w:t>
      </w:r>
      <w:r w:rsidR="00D12772" w:rsidRPr="001026E6">
        <w:rPr>
          <w:rFonts w:cs="Helvetica"/>
          <w:sz w:val="24"/>
          <w:szCs w:val="24"/>
        </w:rPr>
        <w:t xml:space="preserve"> as a clearing house, as set out above) who </w:t>
      </w:r>
      <w:r w:rsidRPr="001026E6">
        <w:rPr>
          <w:rFonts w:cs="Helvetica"/>
          <w:sz w:val="24"/>
          <w:szCs w:val="24"/>
        </w:rPr>
        <w:t>settle transactions in Digital Securities, are also required to meet obligations in relation to Clearing, where this entails a process of establishing positions, including the calculation of net obligations and ensuring that Digital Securities, cash, or both</w:t>
      </w:r>
      <w:r w:rsidR="001611E7" w:rsidRPr="001026E6">
        <w:rPr>
          <w:rFonts w:cs="Helvetica"/>
          <w:sz w:val="24"/>
          <w:szCs w:val="24"/>
        </w:rPr>
        <w:t xml:space="preserve"> </w:t>
      </w:r>
      <w:r w:rsidRPr="001026E6">
        <w:rPr>
          <w:rFonts w:cs="Helvetica"/>
          <w:sz w:val="24"/>
          <w:szCs w:val="24"/>
        </w:rPr>
        <w:t>are available to secure the exposures arising from such positions.</w:t>
      </w:r>
    </w:p>
    <w:p w14:paraId="7ECF0466" w14:textId="77777777" w:rsidR="007C357A" w:rsidRPr="001026E6" w:rsidRDefault="007C357A" w:rsidP="001611E7"/>
    <w:p w14:paraId="66E8CB1E" w14:textId="77777777" w:rsidR="00D16874" w:rsidRPr="001026E6" w:rsidRDefault="00D237DB" w:rsidP="00CA5906">
      <w:pPr>
        <w:pStyle w:val="Heading1"/>
        <w:keepLines w:val="0"/>
        <w:spacing w:before="0" w:after="240" w:line="246" w:lineRule="atLeast"/>
        <w:jc w:val="both"/>
        <w:rPr>
          <w:rFonts w:asciiTheme="minorHAnsi" w:hAnsiTheme="minorHAnsi"/>
          <w:sz w:val="24"/>
          <w:szCs w:val="24"/>
        </w:rPr>
      </w:pPr>
      <w:bookmarkStart w:id="74" w:name="_Toc511714344"/>
      <w:bookmarkStart w:id="75" w:name="_Toc512695605"/>
      <w:bookmarkStart w:id="76" w:name="_Toc514588774"/>
      <w:bookmarkStart w:id="77" w:name="_Toc517602844"/>
      <w:bookmarkStart w:id="78" w:name="_Toc18571340"/>
      <w:bookmarkStart w:id="79" w:name="_Toc33443091"/>
      <w:r w:rsidRPr="001026E6">
        <w:rPr>
          <w:rFonts w:asciiTheme="minorHAnsi" w:hAnsiTheme="minorHAnsi"/>
          <w:sz w:val="24"/>
          <w:szCs w:val="24"/>
        </w:rPr>
        <w:t>DIGITAL SECURITIES</w:t>
      </w:r>
      <w:r w:rsidR="00D16874" w:rsidRPr="001026E6">
        <w:rPr>
          <w:rFonts w:asciiTheme="minorHAnsi" w:hAnsiTheme="minorHAnsi"/>
          <w:sz w:val="24"/>
          <w:szCs w:val="24"/>
        </w:rPr>
        <w:t xml:space="preserve"> </w:t>
      </w:r>
      <w:bookmarkEnd w:id="74"/>
      <w:bookmarkEnd w:id="75"/>
      <w:bookmarkEnd w:id="76"/>
      <w:bookmarkEnd w:id="77"/>
      <w:r w:rsidR="00FE794E" w:rsidRPr="001026E6">
        <w:rPr>
          <w:rFonts w:asciiTheme="minorHAnsi" w:hAnsiTheme="minorHAnsi"/>
          <w:sz w:val="24"/>
          <w:szCs w:val="24"/>
        </w:rPr>
        <w:t>–</w:t>
      </w:r>
      <w:r w:rsidR="00D16874" w:rsidRPr="001026E6">
        <w:rPr>
          <w:rFonts w:asciiTheme="minorHAnsi" w:hAnsiTheme="minorHAnsi"/>
          <w:sz w:val="24"/>
          <w:szCs w:val="24"/>
        </w:rPr>
        <w:t xml:space="preserve"> INTERMEDIARIES</w:t>
      </w:r>
      <w:bookmarkEnd w:id="78"/>
      <w:bookmarkEnd w:id="79"/>
    </w:p>
    <w:p w14:paraId="0BC526BA" w14:textId="1711798A" w:rsidR="000069EE" w:rsidRPr="001026E6" w:rsidRDefault="000069EE" w:rsidP="00E00E05">
      <w:pPr>
        <w:pStyle w:val="ListParagraph"/>
        <w:numPr>
          <w:ilvl w:val="0"/>
          <w:numId w:val="1"/>
        </w:numPr>
        <w:ind w:left="426"/>
        <w:jc w:val="both"/>
        <w:rPr>
          <w:rFonts w:cs="Helvetica"/>
          <w:sz w:val="24"/>
          <w:szCs w:val="24"/>
        </w:rPr>
      </w:pPr>
      <w:r w:rsidRPr="001026E6">
        <w:rPr>
          <w:rFonts w:cs="Helvetica"/>
          <w:sz w:val="24"/>
          <w:szCs w:val="24"/>
        </w:rPr>
        <w:t xml:space="preserve">This section applies to conventional and </w:t>
      </w:r>
      <w:r w:rsidR="00E00E05" w:rsidRPr="001026E6">
        <w:rPr>
          <w:rFonts w:cs="Helvetica"/>
          <w:sz w:val="24"/>
          <w:szCs w:val="24"/>
        </w:rPr>
        <w:t xml:space="preserve">virtual </w:t>
      </w:r>
      <w:r w:rsidRPr="001026E6">
        <w:rPr>
          <w:rFonts w:cs="Helvetica"/>
          <w:sz w:val="24"/>
          <w:szCs w:val="24"/>
        </w:rPr>
        <w:t>asset intermediaries such as</w:t>
      </w:r>
      <w:r w:rsidRPr="001026E6">
        <w:rPr>
          <w:sz w:val="24"/>
          <w:szCs w:val="24"/>
          <w:lang w:val="en-US"/>
        </w:rPr>
        <w:t xml:space="preserve"> brokers, dealers, managers, advisors and arrangers of Digital Securities</w:t>
      </w:r>
      <w:r w:rsidRPr="001026E6">
        <w:rPr>
          <w:rFonts w:cs="Helvetica"/>
          <w:sz w:val="24"/>
          <w:szCs w:val="24"/>
        </w:rPr>
        <w:t>.</w:t>
      </w:r>
    </w:p>
    <w:p w14:paraId="256B6578" w14:textId="77777777" w:rsidR="000069EE" w:rsidRPr="001026E6" w:rsidRDefault="000069EE" w:rsidP="000069EE">
      <w:pPr>
        <w:pStyle w:val="ListParagraph"/>
        <w:ind w:left="426"/>
        <w:jc w:val="both"/>
        <w:rPr>
          <w:rFonts w:cs="Helvetica"/>
          <w:sz w:val="24"/>
          <w:szCs w:val="24"/>
        </w:rPr>
      </w:pPr>
    </w:p>
    <w:p w14:paraId="24207367" w14:textId="77777777" w:rsidR="000069EE" w:rsidRPr="001026E6" w:rsidRDefault="000069EE" w:rsidP="000069EE">
      <w:pPr>
        <w:pStyle w:val="Heading2"/>
        <w:tabs>
          <w:tab w:val="clear" w:pos="720"/>
          <w:tab w:val="num" w:pos="0"/>
        </w:tabs>
        <w:ind w:left="0" w:firstLine="0"/>
        <w:rPr>
          <w:szCs w:val="24"/>
        </w:rPr>
      </w:pPr>
      <w:bookmarkStart w:id="80" w:name="_Toc18571341"/>
      <w:bookmarkStart w:id="81" w:name="_Toc33443092"/>
      <w:r w:rsidRPr="001026E6">
        <w:rPr>
          <w:szCs w:val="24"/>
        </w:rPr>
        <w:t>Conventional Intermediaries – Digital Securities</w:t>
      </w:r>
      <w:bookmarkEnd w:id="80"/>
      <w:bookmarkEnd w:id="81"/>
    </w:p>
    <w:p w14:paraId="0BF802D9" w14:textId="14705C28" w:rsidR="000069EE" w:rsidRPr="001026E6" w:rsidRDefault="000069EE">
      <w:pPr>
        <w:pStyle w:val="ListParagraph"/>
        <w:numPr>
          <w:ilvl w:val="0"/>
          <w:numId w:val="1"/>
        </w:numPr>
        <w:ind w:left="426"/>
        <w:jc w:val="both"/>
        <w:rPr>
          <w:rFonts w:cs="Helvetica"/>
          <w:sz w:val="24"/>
          <w:szCs w:val="24"/>
        </w:rPr>
      </w:pPr>
      <w:r w:rsidRPr="001026E6">
        <w:rPr>
          <w:rFonts w:cs="Helvetica"/>
          <w:sz w:val="24"/>
          <w:szCs w:val="24"/>
        </w:rPr>
        <w:t xml:space="preserve">A conventional intermediary </w:t>
      </w:r>
      <w:r w:rsidR="00564344" w:rsidRPr="001026E6">
        <w:rPr>
          <w:rFonts w:cs="Helvetica"/>
          <w:sz w:val="24"/>
          <w:szCs w:val="24"/>
        </w:rPr>
        <w:t>licence</w:t>
      </w:r>
      <w:r w:rsidRPr="001026E6">
        <w:rPr>
          <w:rFonts w:cs="Helvetica"/>
          <w:sz w:val="24"/>
          <w:szCs w:val="24"/>
        </w:rPr>
        <w:t xml:space="preserve">d </w:t>
      </w:r>
      <w:r w:rsidR="00F62051" w:rsidRPr="001026E6">
        <w:rPr>
          <w:rFonts w:cs="Helvetica"/>
          <w:sz w:val="24"/>
          <w:szCs w:val="24"/>
        </w:rPr>
        <w:t>by the FSRA is able to provide Regulated A</w:t>
      </w:r>
      <w:r w:rsidRPr="001026E6">
        <w:rPr>
          <w:rFonts w:cs="Helvetica"/>
          <w:sz w:val="24"/>
          <w:szCs w:val="24"/>
        </w:rPr>
        <w:t>ctivities within the scope of its existing FSP in relation to Specified Investments</w:t>
      </w:r>
      <w:r w:rsidR="00F62051" w:rsidRPr="001026E6">
        <w:rPr>
          <w:rFonts w:cs="Helvetica"/>
          <w:sz w:val="24"/>
          <w:szCs w:val="24"/>
        </w:rPr>
        <w:t>,</w:t>
      </w:r>
      <w:r w:rsidRPr="001026E6">
        <w:rPr>
          <w:rFonts w:cs="Helvetica"/>
          <w:sz w:val="24"/>
          <w:szCs w:val="24"/>
        </w:rPr>
        <w:t xml:space="preserve"> including Digital Securities</w:t>
      </w:r>
      <w:r w:rsidR="00F62051" w:rsidRPr="001026E6">
        <w:rPr>
          <w:rFonts w:cs="Helvetica"/>
          <w:sz w:val="24"/>
          <w:szCs w:val="24"/>
        </w:rPr>
        <w:t>.</w:t>
      </w:r>
      <w:r w:rsidRPr="001026E6">
        <w:rPr>
          <w:rStyle w:val="FootnoteReference"/>
          <w:rFonts w:cs="Helvetica"/>
          <w:sz w:val="24"/>
          <w:szCs w:val="24"/>
        </w:rPr>
        <w:footnoteReference w:id="20"/>
      </w:r>
      <w:r w:rsidRPr="001026E6">
        <w:rPr>
          <w:rFonts w:cs="Helvetica"/>
          <w:sz w:val="24"/>
          <w:szCs w:val="24"/>
        </w:rPr>
        <w:t xml:space="preserve">  However, should such intermediaries intend to </w:t>
      </w:r>
      <w:r w:rsidR="008B126D" w:rsidRPr="001026E6">
        <w:rPr>
          <w:rFonts w:cs="Helvetica"/>
          <w:sz w:val="24"/>
          <w:szCs w:val="24"/>
        </w:rPr>
        <w:t>undertake activities in relation to Digital Securities</w:t>
      </w:r>
      <w:r w:rsidRPr="001026E6">
        <w:rPr>
          <w:rFonts w:cs="Helvetica"/>
          <w:sz w:val="24"/>
          <w:szCs w:val="24"/>
        </w:rPr>
        <w:t xml:space="preserve">, they must provide prior notification to their FSRA Supervision Relationship Manager of the proposed changes to their business model. </w:t>
      </w:r>
    </w:p>
    <w:p w14:paraId="4491FCCC" w14:textId="77777777" w:rsidR="000D52D6" w:rsidRPr="001026E6" w:rsidRDefault="000D52D6" w:rsidP="00F62051">
      <w:pPr>
        <w:jc w:val="both"/>
        <w:rPr>
          <w:i/>
          <w:iCs/>
          <w:sz w:val="24"/>
          <w:szCs w:val="24"/>
          <w:lang w:val="en-US"/>
        </w:rPr>
      </w:pPr>
    </w:p>
    <w:p w14:paraId="2F9C0044" w14:textId="77777777" w:rsidR="000D52D6" w:rsidRPr="001026E6" w:rsidRDefault="009A7F0A" w:rsidP="00DC16F2">
      <w:pPr>
        <w:pStyle w:val="ListParagraph"/>
        <w:numPr>
          <w:ilvl w:val="0"/>
          <w:numId w:val="1"/>
        </w:numPr>
        <w:ind w:left="426"/>
        <w:jc w:val="both"/>
        <w:rPr>
          <w:rFonts w:cs="Helvetica"/>
          <w:sz w:val="24"/>
          <w:szCs w:val="24"/>
        </w:rPr>
      </w:pPr>
      <w:r w:rsidRPr="001026E6">
        <w:rPr>
          <w:rFonts w:cs="Helvetica"/>
          <w:sz w:val="24"/>
          <w:szCs w:val="24"/>
        </w:rPr>
        <w:t>Intermediaries</w:t>
      </w:r>
      <w:r w:rsidR="000D52D6" w:rsidRPr="001026E6">
        <w:rPr>
          <w:rFonts w:cs="Helvetica"/>
          <w:sz w:val="24"/>
          <w:szCs w:val="24"/>
        </w:rPr>
        <w:t xml:space="preserve"> intending to operate solely</w:t>
      </w:r>
      <w:r w:rsidRPr="001026E6">
        <w:rPr>
          <w:rFonts w:cs="Helvetica"/>
          <w:sz w:val="24"/>
          <w:szCs w:val="24"/>
        </w:rPr>
        <w:t>,</w:t>
      </w:r>
      <w:r w:rsidR="005F59F2" w:rsidRPr="001026E6">
        <w:rPr>
          <w:rFonts w:cs="Helvetica"/>
          <w:sz w:val="24"/>
          <w:szCs w:val="24"/>
        </w:rPr>
        <w:t xml:space="preserve"> in the context of Digital Securities,</w:t>
      </w:r>
      <w:r w:rsidR="000D52D6" w:rsidRPr="001026E6">
        <w:rPr>
          <w:rFonts w:cs="Helvetica"/>
          <w:sz w:val="24"/>
          <w:szCs w:val="24"/>
        </w:rPr>
        <w:t xml:space="preserve"> as a broker or dealer for Clients (including the operation of an OTC broking or dealing desk) are not permitted to structure their broking / dealing service or platform in </w:t>
      </w:r>
      <w:r w:rsidR="000D52D6" w:rsidRPr="001026E6">
        <w:rPr>
          <w:rFonts w:cs="Helvetica"/>
          <w:sz w:val="24"/>
          <w:szCs w:val="24"/>
        </w:rPr>
        <w:lastRenderedPageBreak/>
        <w:t xml:space="preserve">such a way that would have it be considered as operating a </w:t>
      </w:r>
      <w:r w:rsidR="005F59F2" w:rsidRPr="001026E6">
        <w:rPr>
          <w:rFonts w:cs="Helvetica"/>
          <w:sz w:val="24"/>
          <w:szCs w:val="24"/>
        </w:rPr>
        <w:t>RIE or MTF</w:t>
      </w:r>
      <w:r w:rsidR="00BE69CB" w:rsidRPr="001026E6">
        <w:rPr>
          <w:rFonts w:cs="Helvetica"/>
          <w:sz w:val="24"/>
          <w:szCs w:val="24"/>
        </w:rPr>
        <w:t xml:space="preserve">.  </w:t>
      </w:r>
      <w:r w:rsidR="000D52D6" w:rsidRPr="001026E6">
        <w:rPr>
          <w:rFonts w:cs="Helvetica"/>
          <w:sz w:val="24"/>
          <w:szCs w:val="24"/>
        </w:rPr>
        <w:t xml:space="preserve">The FSRA would consider features such as allowing for price discovery, displaying a public trading order book (accessible to any member of the public, regardless of whether they are Clients), and allowing trades to automatically be matched using an exchange-type matching engine as characteristic of a </w:t>
      </w:r>
      <w:r w:rsidR="005F59F2" w:rsidRPr="001026E6">
        <w:rPr>
          <w:rFonts w:cs="Helvetica"/>
          <w:sz w:val="24"/>
          <w:szCs w:val="24"/>
        </w:rPr>
        <w:t>RIE or MTF</w:t>
      </w:r>
      <w:r w:rsidR="000D52D6" w:rsidRPr="001026E6">
        <w:rPr>
          <w:rFonts w:cs="Helvetica"/>
          <w:sz w:val="24"/>
          <w:szCs w:val="24"/>
        </w:rPr>
        <w:t xml:space="preserve">, and not activities acceptable for an </w:t>
      </w:r>
      <w:r w:rsidR="005F59F2" w:rsidRPr="001026E6">
        <w:rPr>
          <w:rFonts w:cs="Helvetica"/>
          <w:sz w:val="24"/>
          <w:szCs w:val="24"/>
        </w:rPr>
        <w:t>Digital Securities</w:t>
      </w:r>
      <w:r w:rsidR="000D52D6" w:rsidRPr="001026E6">
        <w:rPr>
          <w:rFonts w:cs="Helvetica"/>
          <w:sz w:val="24"/>
          <w:szCs w:val="24"/>
        </w:rPr>
        <w:t xml:space="preserve"> intermediary to undertake.</w:t>
      </w:r>
    </w:p>
    <w:p w14:paraId="0EC30899" w14:textId="77777777" w:rsidR="00F62051" w:rsidRPr="001026E6" w:rsidRDefault="00F62051" w:rsidP="00F62051">
      <w:pPr>
        <w:rPr>
          <w:rFonts w:cs="Helvetica"/>
          <w:sz w:val="24"/>
          <w:szCs w:val="24"/>
        </w:rPr>
      </w:pPr>
    </w:p>
    <w:p w14:paraId="6B2D8B87" w14:textId="77777777" w:rsidR="00F62051" w:rsidRPr="001026E6" w:rsidRDefault="00F62051" w:rsidP="00F62051">
      <w:pPr>
        <w:pStyle w:val="ListParagraph"/>
        <w:numPr>
          <w:ilvl w:val="0"/>
          <w:numId w:val="1"/>
        </w:numPr>
        <w:ind w:left="426"/>
        <w:jc w:val="both"/>
        <w:rPr>
          <w:rFonts w:cs="Helvetica"/>
          <w:sz w:val="24"/>
          <w:szCs w:val="24"/>
        </w:rPr>
      </w:pPr>
      <w:r w:rsidRPr="001026E6">
        <w:rPr>
          <w:rFonts w:cs="Helvetica"/>
          <w:sz w:val="24"/>
          <w:szCs w:val="24"/>
        </w:rPr>
        <w:t xml:space="preserve">A conventional custodian may apply to the FSRA to be a DSF in order to provide custody of Digital Securities.  Refer to </w:t>
      </w:r>
      <w:r w:rsidR="00BA148D" w:rsidRPr="001026E6">
        <w:rPr>
          <w:rFonts w:cs="Helvetica"/>
          <w:sz w:val="24"/>
          <w:szCs w:val="24"/>
        </w:rPr>
        <w:t>paragraphs 55 to 61</w:t>
      </w:r>
      <w:r w:rsidRPr="001026E6">
        <w:rPr>
          <w:rFonts w:cs="Helvetica"/>
          <w:sz w:val="24"/>
          <w:szCs w:val="24"/>
        </w:rPr>
        <w:t xml:space="preserve">, for further information on the requirements relating to DSFs. </w:t>
      </w:r>
    </w:p>
    <w:p w14:paraId="4D4EB1DA" w14:textId="358C26C6" w:rsidR="009D798E" w:rsidRPr="001026E6" w:rsidRDefault="009D798E" w:rsidP="0003106E">
      <w:pPr>
        <w:jc w:val="both"/>
        <w:rPr>
          <w:rFonts w:cs="Helvetica"/>
          <w:sz w:val="24"/>
          <w:szCs w:val="24"/>
        </w:rPr>
      </w:pPr>
      <w:bookmarkStart w:id="82" w:name="_Toc18571342"/>
    </w:p>
    <w:p w14:paraId="5F09E31E" w14:textId="5CB85544" w:rsidR="00F62051" w:rsidRPr="001026E6" w:rsidRDefault="00F62051" w:rsidP="00785F91">
      <w:pPr>
        <w:pStyle w:val="Heading2"/>
        <w:tabs>
          <w:tab w:val="clear" w:pos="720"/>
          <w:tab w:val="num" w:pos="0"/>
        </w:tabs>
        <w:ind w:left="0" w:firstLine="0"/>
        <w:rPr>
          <w:i/>
          <w:iCs/>
          <w:szCs w:val="24"/>
        </w:rPr>
      </w:pPr>
      <w:bookmarkStart w:id="83" w:name="_Toc33443093"/>
      <w:r w:rsidRPr="001026E6">
        <w:t>Intermediaries</w:t>
      </w:r>
      <w:r w:rsidR="00883600" w:rsidRPr="001026E6">
        <w:t xml:space="preserve"> </w:t>
      </w:r>
      <w:r w:rsidR="00667EE6" w:rsidRPr="001026E6">
        <w:t>conducting a Regulated Activity in relation to</w:t>
      </w:r>
      <w:r w:rsidR="00883600" w:rsidRPr="001026E6">
        <w:t xml:space="preserve"> Virtual Assets</w:t>
      </w:r>
      <w:r w:rsidRPr="001026E6">
        <w:rPr>
          <w:i/>
          <w:iCs/>
        </w:rPr>
        <w:t xml:space="preserve"> – </w:t>
      </w:r>
      <w:r w:rsidRPr="001026E6">
        <w:rPr>
          <w:szCs w:val="24"/>
        </w:rPr>
        <w:t>Extension into Digital Securities</w:t>
      </w:r>
      <w:bookmarkEnd w:id="82"/>
      <w:bookmarkEnd w:id="83"/>
    </w:p>
    <w:p w14:paraId="195AD775" w14:textId="7D3F2D5F" w:rsidR="00F62051" w:rsidRPr="001026E6" w:rsidRDefault="00F62051">
      <w:pPr>
        <w:pStyle w:val="ListParagraph"/>
        <w:numPr>
          <w:ilvl w:val="0"/>
          <w:numId w:val="1"/>
        </w:numPr>
        <w:ind w:left="426"/>
        <w:jc w:val="both"/>
        <w:rPr>
          <w:rFonts w:cs="Helvetica"/>
          <w:sz w:val="24"/>
          <w:szCs w:val="24"/>
        </w:rPr>
      </w:pPr>
      <w:r w:rsidRPr="001026E6">
        <w:rPr>
          <w:rFonts w:cs="Helvetica"/>
          <w:sz w:val="24"/>
          <w:szCs w:val="24"/>
        </w:rPr>
        <w:t>An intermediary</w:t>
      </w:r>
      <w:r w:rsidR="00883600" w:rsidRPr="001026E6">
        <w:rPr>
          <w:rFonts w:cs="Helvetica"/>
          <w:sz w:val="24"/>
          <w:szCs w:val="24"/>
        </w:rPr>
        <w:t xml:space="preserve"> that has been authorised to conduct a Regulated Activity (including Dealing in Investments as Principal, Dealing in Investments as Agent, Managing Assets, Arranging Deals in Investments or Advising on Investments or Credit) </w:t>
      </w:r>
      <w:r w:rsidR="00667EE6" w:rsidRPr="001026E6">
        <w:rPr>
          <w:rFonts w:cs="Helvetica"/>
          <w:sz w:val="24"/>
          <w:szCs w:val="24"/>
        </w:rPr>
        <w:t>in relation to</w:t>
      </w:r>
      <w:r w:rsidR="00883600" w:rsidRPr="001026E6">
        <w:rPr>
          <w:rFonts w:cs="Helvetica"/>
          <w:sz w:val="24"/>
          <w:szCs w:val="24"/>
        </w:rPr>
        <w:t xml:space="preserve"> Virtual Assets </w:t>
      </w:r>
      <w:r w:rsidRPr="001026E6">
        <w:rPr>
          <w:rFonts w:cs="Helvetica"/>
          <w:sz w:val="24"/>
          <w:szCs w:val="24"/>
        </w:rPr>
        <w:t xml:space="preserve">may </w:t>
      </w:r>
      <w:r w:rsidR="00564344" w:rsidRPr="001026E6">
        <w:rPr>
          <w:rFonts w:cs="Helvetica"/>
          <w:sz w:val="24"/>
          <w:szCs w:val="24"/>
        </w:rPr>
        <w:t xml:space="preserve">provide </w:t>
      </w:r>
      <w:r w:rsidRPr="001026E6">
        <w:rPr>
          <w:rFonts w:cs="Helvetica"/>
          <w:sz w:val="24"/>
          <w:szCs w:val="24"/>
        </w:rPr>
        <w:t xml:space="preserve">services in respect of both Accepted </w:t>
      </w:r>
      <w:r w:rsidR="00E00E05" w:rsidRPr="001026E6">
        <w:rPr>
          <w:rFonts w:cs="Helvetica"/>
          <w:sz w:val="24"/>
          <w:szCs w:val="24"/>
        </w:rPr>
        <w:t>Virtual Asset</w:t>
      </w:r>
      <w:r w:rsidRPr="001026E6">
        <w:rPr>
          <w:rFonts w:cs="Helvetica"/>
          <w:sz w:val="24"/>
          <w:szCs w:val="24"/>
        </w:rPr>
        <w:t xml:space="preserve">s and Digital Securities.  In order to do so, it must apply to the FSRA to vary its FSP </w:t>
      </w:r>
      <w:r w:rsidR="00883600" w:rsidRPr="001026E6">
        <w:rPr>
          <w:rFonts w:cs="Helvetica"/>
          <w:sz w:val="24"/>
          <w:szCs w:val="24"/>
        </w:rPr>
        <w:t xml:space="preserve">such that it is permitted to extend its </w:t>
      </w:r>
      <w:r w:rsidR="00781A89" w:rsidRPr="001026E6">
        <w:rPr>
          <w:rFonts w:cs="Helvetica"/>
          <w:sz w:val="24"/>
          <w:szCs w:val="24"/>
        </w:rPr>
        <w:t xml:space="preserve">licensed </w:t>
      </w:r>
      <w:r w:rsidR="00883600" w:rsidRPr="001026E6">
        <w:rPr>
          <w:rFonts w:cs="Helvetica"/>
          <w:sz w:val="24"/>
          <w:szCs w:val="24"/>
        </w:rPr>
        <w:t>operations to Digital Securities</w:t>
      </w:r>
      <w:r w:rsidRPr="001026E6">
        <w:rPr>
          <w:rFonts w:cs="Helvetica"/>
          <w:sz w:val="24"/>
          <w:szCs w:val="24"/>
        </w:rPr>
        <w:t xml:space="preserve">. </w:t>
      </w:r>
    </w:p>
    <w:p w14:paraId="4D086A03" w14:textId="77777777" w:rsidR="00F62051" w:rsidRPr="001026E6" w:rsidRDefault="00F62051" w:rsidP="00F62051">
      <w:pPr>
        <w:pStyle w:val="ListParagraph"/>
        <w:ind w:left="426"/>
        <w:jc w:val="both"/>
        <w:rPr>
          <w:rFonts w:cs="Helvetica"/>
          <w:sz w:val="24"/>
          <w:szCs w:val="24"/>
        </w:rPr>
      </w:pPr>
    </w:p>
    <w:p w14:paraId="56D7CC01" w14:textId="40D46A99" w:rsidR="00F62051" w:rsidRPr="001026E6" w:rsidRDefault="00915159" w:rsidP="00F62051">
      <w:pPr>
        <w:pStyle w:val="ListParagraph"/>
        <w:numPr>
          <w:ilvl w:val="0"/>
          <w:numId w:val="1"/>
        </w:numPr>
        <w:ind w:left="426"/>
        <w:jc w:val="both"/>
        <w:rPr>
          <w:rFonts w:cs="Helvetica"/>
          <w:sz w:val="24"/>
          <w:szCs w:val="24"/>
        </w:rPr>
      </w:pPr>
      <w:r w:rsidRPr="001026E6">
        <w:rPr>
          <w:rFonts w:cs="Helvetica"/>
          <w:sz w:val="24"/>
          <w:szCs w:val="24"/>
        </w:rPr>
        <w:t>Vi</w:t>
      </w:r>
      <w:r w:rsidR="008B126D" w:rsidRPr="001026E6">
        <w:rPr>
          <w:rFonts w:cs="Helvetica"/>
          <w:sz w:val="24"/>
          <w:szCs w:val="24"/>
        </w:rPr>
        <w:t>r</w:t>
      </w:r>
      <w:r w:rsidRPr="001026E6">
        <w:rPr>
          <w:rFonts w:cs="Helvetica"/>
          <w:sz w:val="24"/>
          <w:szCs w:val="24"/>
        </w:rPr>
        <w:t xml:space="preserve">tual </w:t>
      </w:r>
      <w:r w:rsidR="00F62051" w:rsidRPr="001026E6">
        <w:rPr>
          <w:rFonts w:cs="Helvetica"/>
          <w:sz w:val="24"/>
          <w:szCs w:val="24"/>
        </w:rPr>
        <w:t xml:space="preserve">Asset Custodians may apply to the FSRA to be a DSF in order to provide custody of Digital Securities.  Refer to </w:t>
      </w:r>
      <w:r w:rsidR="00BA148D" w:rsidRPr="001026E6">
        <w:rPr>
          <w:rFonts w:cs="Helvetica"/>
          <w:sz w:val="24"/>
          <w:szCs w:val="24"/>
        </w:rPr>
        <w:t>paragraphs 7</w:t>
      </w:r>
      <w:r w:rsidR="00215F2F" w:rsidRPr="001026E6">
        <w:rPr>
          <w:rFonts w:cs="Helvetica"/>
          <w:sz w:val="24"/>
          <w:szCs w:val="24"/>
        </w:rPr>
        <w:t>3</w:t>
      </w:r>
      <w:r w:rsidR="00BA148D" w:rsidRPr="001026E6">
        <w:rPr>
          <w:rFonts w:cs="Helvetica"/>
          <w:sz w:val="24"/>
          <w:szCs w:val="24"/>
        </w:rPr>
        <w:t xml:space="preserve"> to 7</w:t>
      </w:r>
      <w:r w:rsidR="00215F2F" w:rsidRPr="001026E6">
        <w:rPr>
          <w:rFonts w:cs="Helvetica"/>
          <w:sz w:val="24"/>
          <w:szCs w:val="24"/>
        </w:rPr>
        <w:t>5</w:t>
      </w:r>
      <w:r w:rsidR="00F62051" w:rsidRPr="001026E6">
        <w:rPr>
          <w:rFonts w:cs="Helvetica"/>
          <w:sz w:val="24"/>
          <w:szCs w:val="24"/>
        </w:rPr>
        <w:t xml:space="preserve"> for further information on the requirements that will apply.</w:t>
      </w:r>
    </w:p>
    <w:p w14:paraId="2FBA372E" w14:textId="77777777" w:rsidR="00D16874" w:rsidRPr="001026E6" w:rsidRDefault="00D16874" w:rsidP="00D16874">
      <w:pPr>
        <w:pStyle w:val="ListParagraph"/>
        <w:ind w:left="426"/>
        <w:jc w:val="both"/>
        <w:rPr>
          <w:rFonts w:cs="Helvetica"/>
          <w:sz w:val="24"/>
          <w:szCs w:val="24"/>
        </w:rPr>
      </w:pPr>
    </w:p>
    <w:p w14:paraId="15E39A02" w14:textId="77777777" w:rsidR="00D16874" w:rsidRPr="001026E6" w:rsidRDefault="00D16874" w:rsidP="00522B26">
      <w:pPr>
        <w:pStyle w:val="Heading2"/>
        <w:tabs>
          <w:tab w:val="clear" w:pos="720"/>
          <w:tab w:val="num" w:pos="0"/>
        </w:tabs>
        <w:ind w:left="0" w:firstLine="0"/>
        <w:rPr>
          <w:szCs w:val="24"/>
        </w:rPr>
      </w:pPr>
      <w:bookmarkStart w:id="84" w:name="_Toc18571343"/>
      <w:bookmarkStart w:id="85" w:name="_Toc33443094"/>
      <w:r w:rsidRPr="001026E6">
        <w:rPr>
          <w:szCs w:val="24"/>
        </w:rPr>
        <w:lastRenderedPageBreak/>
        <w:t>Private Financing Platforms (PFPs)</w:t>
      </w:r>
      <w:bookmarkEnd w:id="84"/>
      <w:bookmarkEnd w:id="85"/>
    </w:p>
    <w:p w14:paraId="5797FE57" w14:textId="77777777" w:rsidR="00531DC5" w:rsidRPr="001026E6" w:rsidRDefault="00531DC5" w:rsidP="00DC16F2">
      <w:pPr>
        <w:pStyle w:val="ListParagraph"/>
        <w:numPr>
          <w:ilvl w:val="0"/>
          <w:numId w:val="1"/>
        </w:numPr>
        <w:ind w:left="426"/>
        <w:jc w:val="both"/>
        <w:rPr>
          <w:rFonts w:cs="Helvetica"/>
          <w:sz w:val="24"/>
          <w:szCs w:val="24"/>
        </w:rPr>
      </w:pPr>
      <w:r w:rsidRPr="001026E6">
        <w:rPr>
          <w:rFonts w:cs="Helvetica"/>
          <w:sz w:val="24"/>
          <w:szCs w:val="24"/>
        </w:rPr>
        <w:t xml:space="preserve">A PFP </w:t>
      </w:r>
      <w:r w:rsidR="009305EB" w:rsidRPr="001026E6">
        <w:rPr>
          <w:rFonts w:cs="Helvetica"/>
          <w:sz w:val="24"/>
          <w:szCs w:val="24"/>
        </w:rPr>
        <w:t>(</w:t>
      </w:r>
      <w:r w:rsidR="009A7F0A" w:rsidRPr="001026E6">
        <w:rPr>
          <w:rFonts w:cs="Helvetica"/>
          <w:sz w:val="24"/>
          <w:szCs w:val="24"/>
        </w:rPr>
        <w:t>as</w:t>
      </w:r>
      <w:r w:rsidRPr="001026E6">
        <w:rPr>
          <w:rFonts w:cs="Helvetica"/>
          <w:sz w:val="24"/>
          <w:szCs w:val="24"/>
        </w:rPr>
        <w:t xml:space="preserve"> </w:t>
      </w:r>
      <w:r w:rsidR="009A7F0A" w:rsidRPr="001026E6">
        <w:rPr>
          <w:rFonts w:cs="Helvetica"/>
          <w:sz w:val="24"/>
          <w:szCs w:val="24"/>
        </w:rPr>
        <w:t>provided for</w:t>
      </w:r>
      <w:r w:rsidRPr="001026E6">
        <w:rPr>
          <w:rFonts w:cs="Helvetica"/>
          <w:sz w:val="24"/>
          <w:szCs w:val="24"/>
        </w:rPr>
        <w:t xml:space="preserve"> in Schedule 1, Section 73E of FSMR</w:t>
      </w:r>
      <w:r w:rsidR="009305EB" w:rsidRPr="001026E6">
        <w:rPr>
          <w:rFonts w:cs="Helvetica"/>
          <w:sz w:val="24"/>
          <w:szCs w:val="24"/>
        </w:rPr>
        <w:t>)</w:t>
      </w:r>
      <w:r w:rsidRPr="001026E6">
        <w:rPr>
          <w:rFonts w:cs="Helvetica"/>
          <w:sz w:val="24"/>
          <w:szCs w:val="24"/>
        </w:rPr>
        <w:t xml:space="preserve"> includes electronic platforms which facilitate the provision of financing between </w:t>
      </w:r>
      <w:r w:rsidR="009A7F0A" w:rsidRPr="001026E6">
        <w:rPr>
          <w:rFonts w:cs="Helvetica"/>
          <w:sz w:val="24"/>
          <w:szCs w:val="24"/>
        </w:rPr>
        <w:t>I</w:t>
      </w:r>
      <w:r w:rsidRPr="001026E6">
        <w:rPr>
          <w:rFonts w:cs="Helvetica"/>
          <w:sz w:val="24"/>
          <w:szCs w:val="24"/>
        </w:rPr>
        <w:t>ssuers and investors in the form of Digital Securities.</w:t>
      </w:r>
    </w:p>
    <w:p w14:paraId="7D05319C" w14:textId="77777777" w:rsidR="00522B26" w:rsidRPr="001026E6" w:rsidRDefault="00522B26" w:rsidP="00DC16F2">
      <w:pPr>
        <w:pStyle w:val="ListParagraph"/>
        <w:ind w:left="426"/>
        <w:jc w:val="both"/>
        <w:rPr>
          <w:rFonts w:cs="Helvetica"/>
          <w:sz w:val="24"/>
          <w:szCs w:val="24"/>
        </w:rPr>
      </w:pPr>
    </w:p>
    <w:p w14:paraId="4B4D1DFD" w14:textId="77777777" w:rsidR="00531DC5" w:rsidRPr="001026E6" w:rsidRDefault="00531DC5" w:rsidP="00DC16F2">
      <w:pPr>
        <w:pStyle w:val="ListParagraph"/>
        <w:numPr>
          <w:ilvl w:val="0"/>
          <w:numId w:val="1"/>
        </w:numPr>
        <w:ind w:left="426"/>
        <w:jc w:val="both"/>
        <w:rPr>
          <w:rFonts w:cs="Helvetica"/>
          <w:sz w:val="24"/>
          <w:szCs w:val="24"/>
        </w:rPr>
      </w:pPr>
      <w:r w:rsidRPr="001026E6">
        <w:rPr>
          <w:rFonts w:cs="Helvetica"/>
          <w:sz w:val="24"/>
          <w:szCs w:val="24"/>
        </w:rPr>
        <w:t>The FSRA only allows a financing proposal to be published on a PFP where it qualifies as an Exempt Offer through satisfying any of the criteria set out in MKT Rule 4.3.</w:t>
      </w:r>
    </w:p>
    <w:p w14:paraId="68845789" w14:textId="77777777" w:rsidR="00531DC5" w:rsidRPr="001026E6" w:rsidRDefault="00531DC5" w:rsidP="00DC16F2">
      <w:pPr>
        <w:pStyle w:val="ListParagraph"/>
        <w:ind w:left="426"/>
        <w:rPr>
          <w:rFonts w:cs="Helvetica"/>
          <w:sz w:val="24"/>
          <w:szCs w:val="24"/>
        </w:rPr>
      </w:pPr>
    </w:p>
    <w:p w14:paraId="381F20CD" w14:textId="77777777" w:rsidR="00531DC5" w:rsidRPr="001026E6" w:rsidRDefault="00531DC5" w:rsidP="003F60E8">
      <w:pPr>
        <w:pStyle w:val="ListParagraph"/>
        <w:numPr>
          <w:ilvl w:val="0"/>
          <w:numId w:val="1"/>
        </w:numPr>
        <w:ind w:left="426"/>
        <w:jc w:val="both"/>
        <w:rPr>
          <w:rFonts w:cs="Helvetica"/>
          <w:sz w:val="24"/>
          <w:szCs w:val="24"/>
        </w:rPr>
      </w:pPr>
      <w:r w:rsidRPr="001026E6">
        <w:rPr>
          <w:rFonts w:cs="Helvetica"/>
          <w:sz w:val="24"/>
          <w:szCs w:val="24"/>
        </w:rPr>
        <w:t xml:space="preserve"> A PFP Operator may offer an incidental facility, termed an ‘Exit Facility’, to permit clients to exit their PFP transactions by allowing them to seek potential “buyers” who are also clients of the PFP Operator in order to transfer their rights and obligations under their investment agreements.  The Exit Facility should not allow active </w:t>
      </w:r>
      <w:r w:rsidR="009A7F0A" w:rsidRPr="001026E6">
        <w:rPr>
          <w:rFonts w:cs="Helvetica"/>
          <w:sz w:val="24"/>
          <w:szCs w:val="24"/>
        </w:rPr>
        <w:t xml:space="preserve">(secondary market) </w:t>
      </w:r>
      <w:r w:rsidRPr="001026E6">
        <w:rPr>
          <w:rFonts w:cs="Helvetica"/>
          <w:sz w:val="24"/>
          <w:szCs w:val="24"/>
        </w:rPr>
        <w:t>trading by clients</w:t>
      </w:r>
      <w:r w:rsidR="009A7F0A" w:rsidRPr="001026E6">
        <w:rPr>
          <w:rFonts w:cs="Helvetica"/>
          <w:sz w:val="24"/>
          <w:szCs w:val="24"/>
        </w:rPr>
        <w:t>,</w:t>
      </w:r>
      <w:r w:rsidRPr="001026E6">
        <w:rPr>
          <w:rFonts w:cs="Helvetica"/>
          <w:sz w:val="24"/>
          <w:szCs w:val="24"/>
        </w:rPr>
        <w:t xml:space="preserve"> and </w:t>
      </w:r>
      <w:r w:rsidR="009A7F0A" w:rsidRPr="001026E6">
        <w:rPr>
          <w:rFonts w:cs="Helvetica"/>
          <w:sz w:val="24"/>
          <w:szCs w:val="24"/>
        </w:rPr>
        <w:t>such trading can only be</w:t>
      </w:r>
      <w:r w:rsidRPr="001026E6">
        <w:rPr>
          <w:rFonts w:cs="Helvetica"/>
          <w:sz w:val="24"/>
          <w:szCs w:val="24"/>
        </w:rPr>
        <w:t xml:space="preserve"> an ancillary service provided by the PFP Operator.  The Exit Facility must comply with the requirements in COBS Rule 18.8.  In particular, the Exit Facility must not exhibit characteristics of a trading facility</w:t>
      </w:r>
      <w:r w:rsidR="009A7F0A" w:rsidRPr="001026E6">
        <w:rPr>
          <w:rFonts w:cs="Helvetica"/>
          <w:sz w:val="24"/>
          <w:szCs w:val="24"/>
        </w:rPr>
        <w:t>,</w:t>
      </w:r>
      <w:r w:rsidRPr="001026E6">
        <w:rPr>
          <w:rFonts w:cs="Helvetica"/>
          <w:sz w:val="24"/>
          <w:szCs w:val="24"/>
        </w:rPr>
        <w:t xml:space="preserve"> otherwise the PFP Operator will require a separate </w:t>
      </w:r>
      <w:r w:rsidR="00221017" w:rsidRPr="001026E6">
        <w:rPr>
          <w:rFonts w:cs="Helvetica"/>
          <w:sz w:val="24"/>
          <w:szCs w:val="24"/>
        </w:rPr>
        <w:t>FSP</w:t>
      </w:r>
      <w:r w:rsidRPr="001026E6">
        <w:rPr>
          <w:rFonts w:cs="Helvetica"/>
          <w:sz w:val="24"/>
          <w:szCs w:val="24"/>
        </w:rPr>
        <w:t xml:space="preserve"> for </w:t>
      </w:r>
      <w:r w:rsidR="003F60E8" w:rsidRPr="001026E6">
        <w:rPr>
          <w:rFonts w:cs="Helvetica"/>
          <w:sz w:val="24"/>
          <w:szCs w:val="24"/>
        </w:rPr>
        <w:t xml:space="preserve">Operating an </w:t>
      </w:r>
      <w:r w:rsidR="00664F0B" w:rsidRPr="001026E6">
        <w:rPr>
          <w:rFonts w:cs="Helvetica"/>
          <w:sz w:val="24"/>
          <w:szCs w:val="24"/>
        </w:rPr>
        <w:t>MTF</w:t>
      </w:r>
      <w:r w:rsidRPr="001026E6">
        <w:rPr>
          <w:rFonts w:cs="Helvetica"/>
          <w:sz w:val="24"/>
          <w:szCs w:val="24"/>
        </w:rPr>
        <w:t>.</w:t>
      </w:r>
      <w:r w:rsidR="003F60E8" w:rsidRPr="001026E6">
        <w:rPr>
          <w:rStyle w:val="FootnoteReference"/>
          <w:rFonts w:cs="Helvetica"/>
          <w:sz w:val="24"/>
          <w:szCs w:val="24"/>
        </w:rPr>
        <w:footnoteReference w:id="21"/>
      </w:r>
    </w:p>
    <w:p w14:paraId="1D3A1FE2" w14:textId="77777777" w:rsidR="000932A4" w:rsidRPr="001026E6" w:rsidRDefault="000932A4" w:rsidP="00DC16F2">
      <w:pPr>
        <w:pStyle w:val="ListParagraph"/>
        <w:ind w:left="426"/>
        <w:rPr>
          <w:rFonts w:cs="Helvetica"/>
          <w:sz w:val="24"/>
          <w:szCs w:val="24"/>
        </w:rPr>
      </w:pPr>
    </w:p>
    <w:p w14:paraId="59E5D88C" w14:textId="70EEC024" w:rsidR="00A51FE2" w:rsidRPr="001026E6" w:rsidRDefault="000932A4" w:rsidP="00C8132A">
      <w:pPr>
        <w:pStyle w:val="ListParagraph"/>
        <w:numPr>
          <w:ilvl w:val="0"/>
          <w:numId w:val="1"/>
        </w:numPr>
        <w:ind w:left="426"/>
        <w:jc w:val="both"/>
        <w:rPr>
          <w:rFonts w:cs="Helvetica"/>
          <w:sz w:val="24"/>
          <w:szCs w:val="24"/>
        </w:rPr>
      </w:pPr>
      <w:r w:rsidRPr="001026E6">
        <w:rPr>
          <w:rFonts w:cs="Helvetica"/>
          <w:sz w:val="24"/>
          <w:szCs w:val="24"/>
        </w:rPr>
        <w:t>A PFP Operator which facilitates the trading of Digital Securities through its platform will also need to consider</w:t>
      </w:r>
      <w:r w:rsidR="009A7F0A" w:rsidRPr="001026E6">
        <w:rPr>
          <w:rFonts w:cs="Helvetica"/>
          <w:sz w:val="24"/>
          <w:szCs w:val="24"/>
        </w:rPr>
        <w:t>, among other things,</w:t>
      </w:r>
      <w:r w:rsidR="00564344" w:rsidRPr="001026E6">
        <w:rPr>
          <w:rFonts w:cs="Helvetica"/>
          <w:sz w:val="24"/>
          <w:szCs w:val="24"/>
        </w:rPr>
        <w:t xml:space="preserve"> the relevant technology g</w:t>
      </w:r>
      <w:r w:rsidRPr="001026E6">
        <w:rPr>
          <w:rFonts w:cs="Helvetica"/>
          <w:sz w:val="24"/>
          <w:szCs w:val="24"/>
        </w:rPr>
        <w:t>overnance requirements set out in paragraphs 4</w:t>
      </w:r>
      <w:r w:rsidR="004362FD" w:rsidRPr="001026E6">
        <w:rPr>
          <w:rFonts w:cs="Helvetica"/>
          <w:sz w:val="24"/>
          <w:szCs w:val="24"/>
        </w:rPr>
        <w:t>7</w:t>
      </w:r>
      <w:r w:rsidRPr="001026E6">
        <w:rPr>
          <w:rFonts w:cs="Helvetica"/>
          <w:sz w:val="24"/>
          <w:szCs w:val="24"/>
        </w:rPr>
        <w:t xml:space="preserve"> to 8</w:t>
      </w:r>
      <w:r w:rsidR="003C4488" w:rsidRPr="001026E6">
        <w:rPr>
          <w:rFonts w:cs="Helvetica"/>
          <w:sz w:val="24"/>
          <w:szCs w:val="24"/>
        </w:rPr>
        <w:t>7</w:t>
      </w:r>
      <w:r w:rsidRPr="001026E6">
        <w:rPr>
          <w:rFonts w:cs="Helvetica"/>
          <w:sz w:val="24"/>
          <w:szCs w:val="24"/>
        </w:rPr>
        <w:t xml:space="preserve"> of the </w:t>
      </w:r>
      <w:r w:rsidR="00E720F1" w:rsidRPr="001026E6">
        <w:rPr>
          <w:rFonts w:cs="Helvetica"/>
          <w:sz w:val="24"/>
          <w:szCs w:val="24"/>
        </w:rPr>
        <w:t>Virtual Assets Guidance</w:t>
      </w:r>
      <w:r w:rsidRPr="001026E6">
        <w:rPr>
          <w:rFonts w:cs="Helvetica"/>
          <w:sz w:val="24"/>
          <w:szCs w:val="24"/>
        </w:rPr>
        <w:t xml:space="preserve">. </w:t>
      </w:r>
    </w:p>
    <w:p w14:paraId="61B15C95" w14:textId="77777777" w:rsidR="00C8132A" w:rsidRPr="001026E6" w:rsidRDefault="00C8132A" w:rsidP="00C8132A">
      <w:pPr>
        <w:pStyle w:val="ListParagraph"/>
        <w:ind w:left="426"/>
        <w:jc w:val="both"/>
        <w:rPr>
          <w:rFonts w:cs="Helvetica"/>
          <w:sz w:val="24"/>
          <w:szCs w:val="24"/>
        </w:rPr>
      </w:pPr>
    </w:p>
    <w:p w14:paraId="6C39A548" w14:textId="77777777" w:rsidR="00AC5C6E" w:rsidRPr="001026E6" w:rsidRDefault="00AC5C6E" w:rsidP="00AC5C6E">
      <w:pPr>
        <w:pStyle w:val="Heading1"/>
        <w:keepLines w:val="0"/>
        <w:spacing w:before="0" w:after="240" w:line="246" w:lineRule="atLeast"/>
        <w:jc w:val="both"/>
        <w:rPr>
          <w:rFonts w:asciiTheme="minorHAnsi" w:hAnsiTheme="minorHAnsi"/>
          <w:sz w:val="24"/>
          <w:szCs w:val="24"/>
        </w:rPr>
      </w:pPr>
      <w:bookmarkStart w:id="86" w:name="_Toc18571344"/>
      <w:bookmarkStart w:id="87" w:name="_Toc33443095"/>
      <w:r w:rsidRPr="001026E6">
        <w:rPr>
          <w:rFonts w:asciiTheme="minorHAnsi" w:hAnsiTheme="minorHAnsi"/>
          <w:sz w:val="24"/>
          <w:szCs w:val="24"/>
        </w:rPr>
        <w:lastRenderedPageBreak/>
        <w:t xml:space="preserve">DIGITAL SECURITIES </w:t>
      </w:r>
      <w:r w:rsidR="00D237DB" w:rsidRPr="001026E6">
        <w:rPr>
          <w:rFonts w:asciiTheme="minorHAnsi" w:hAnsiTheme="minorHAnsi"/>
          <w:sz w:val="24"/>
          <w:szCs w:val="24"/>
        </w:rPr>
        <w:t>–</w:t>
      </w:r>
      <w:r w:rsidRPr="001026E6">
        <w:rPr>
          <w:rFonts w:asciiTheme="minorHAnsi" w:hAnsiTheme="minorHAnsi"/>
          <w:sz w:val="24"/>
          <w:szCs w:val="24"/>
        </w:rPr>
        <w:t xml:space="preserve"> </w:t>
      </w:r>
      <w:r w:rsidR="00D237DB" w:rsidRPr="001026E6">
        <w:rPr>
          <w:rFonts w:asciiTheme="minorHAnsi" w:hAnsiTheme="minorHAnsi"/>
          <w:sz w:val="24"/>
          <w:szCs w:val="24"/>
        </w:rPr>
        <w:t xml:space="preserve">SPECIFIC </w:t>
      </w:r>
      <w:r w:rsidRPr="001026E6">
        <w:rPr>
          <w:rFonts w:asciiTheme="minorHAnsi" w:hAnsiTheme="minorHAnsi"/>
          <w:sz w:val="24"/>
          <w:szCs w:val="24"/>
        </w:rPr>
        <w:t>REGULATORY CONSIDERATIONS</w:t>
      </w:r>
      <w:bookmarkEnd w:id="86"/>
      <w:bookmarkEnd w:id="87"/>
    </w:p>
    <w:p w14:paraId="7A869D3C" w14:textId="77777777" w:rsidR="00716090" w:rsidRPr="001026E6" w:rsidRDefault="00716090" w:rsidP="00776636">
      <w:pPr>
        <w:pStyle w:val="ListParagraph"/>
        <w:numPr>
          <w:ilvl w:val="0"/>
          <w:numId w:val="1"/>
        </w:numPr>
        <w:ind w:left="426"/>
        <w:jc w:val="both"/>
        <w:rPr>
          <w:rFonts w:cs="Helvetica"/>
          <w:sz w:val="24"/>
          <w:szCs w:val="24"/>
        </w:rPr>
      </w:pPr>
      <w:r w:rsidRPr="001026E6">
        <w:rPr>
          <w:rFonts w:cs="Helvetica"/>
          <w:sz w:val="24"/>
          <w:szCs w:val="24"/>
        </w:rPr>
        <w:t xml:space="preserve">This section of the Guidance, rather than address specific requirements relating to the operation of activities undertaken by Authorised Persons or Recognised Bodies, sets out specific FSRA policy positions in relation to specific regulatory considerations relevant to Digital Securities. </w:t>
      </w:r>
    </w:p>
    <w:p w14:paraId="194AFE29" w14:textId="77777777" w:rsidR="00716090" w:rsidRPr="001026E6" w:rsidRDefault="00716090" w:rsidP="00776636">
      <w:pPr>
        <w:pStyle w:val="ListParagraph"/>
        <w:ind w:left="426"/>
        <w:jc w:val="both"/>
        <w:rPr>
          <w:rFonts w:cs="Helvetica"/>
          <w:szCs w:val="24"/>
        </w:rPr>
      </w:pPr>
    </w:p>
    <w:p w14:paraId="6D052C01" w14:textId="77777777" w:rsidR="00C60DC6" w:rsidRPr="001026E6" w:rsidRDefault="00C60DC6" w:rsidP="00D66982">
      <w:pPr>
        <w:pStyle w:val="Heading2"/>
      </w:pPr>
      <w:bookmarkStart w:id="88" w:name="_Toc511714351"/>
      <w:bookmarkStart w:id="89" w:name="_Toc512695612"/>
      <w:bookmarkStart w:id="90" w:name="_Toc514588781"/>
      <w:bookmarkStart w:id="91" w:name="_Toc517602851"/>
      <w:bookmarkStart w:id="92" w:name="_Toc18571345"/>
      <w:bookmarkStart w:id="93" w:name="_Toc33443096"/>
      <w:bookmarkStart w:id="94" w:name="_Toc3197731"/>
      <w:bookmarkStart w:id="95" w:name="_Toc517602857"/>
      <w:r w:rsidRPr="001026E6">
        <w:t>Technology Governance and Controls</w:t>
      </w:r>
      <w:bookmarkEnd w:id="88"/>
      <w:bookmarkEnd w:id="89"/>
      <w:bookmarkEnd w:id="90"/>
      <w:bookmarkEnd w:id="91"/>
      <w:bookmarkEnd w:id="92"/>
      <w:bookmarkEnd w:id="93"/>
    </w:p>
    <w:p w14:paraId="7A761CA5" w14:textId="77777777" w:rsidR="003242F6" w:rsidRPr="001026E6" w:rsidRDefault="003242F6" w:rsidP="003242F6">
      <w:pPr>
        <w:pStyle w:val="ListParagraph"/>
        <w:numPr>
          <w:ilvl w:val="0"/>
          <w:numId w:val="1"/>
        </w:numPr>
        <w:ind w:left="450"/>
        <w:jc w:val="both"/>
        <w:rPr>
          <w:sz w:val="24"/>
          <w:szCs w:val="24"/>
          <w:lang w:val="en-US"/>
        </w:rPr>
      </w:pPr>
      <w:r w:rsidRPr="001026E6">
        <w:rPr>
          <w:sz w:val="24"/>
          <w:szCs w:val="24"/>
          <w:lang w:val="en-US"/>
        </w:rPr>
        <w:t xml:space="preserve">While the FSRA adopts a technology-neutral approach to the regulation of Digital Securities markets, there is considerable industry appetite to use and deploy DLT, and related technologies. </w:t>
      </w:r>
      <w:r w:rsidR="00D93E40" w:rsidRPr="001026E6">
        <w:rPr>
          <w:sz w:val="24"/>
          <w:szCs w:val="24"/>
          <w:lang w:val="en-US"/>
        </w:rPr>
        <w:t xml:space="preserve"> </w:t>
      </w:r>
      <w:r w:rsidRPr="001026E6">
        <w:rPr>
          <w:sz w:val="24"/>
          <w:szCs w:val="24"/>
          <w:lang w:val="en-US"/>
        </w:rPr>
        <w:t xml:space="preserve">The development, and usage, of such technologies, however, is still widely considered to be in its early years of </w:t>
      </w:r>
      <w:r w:rsidR="009701ED" w:rsidRPr="001026E6">
        <w:rPr>
          <w:sz w:val="24"/>
          <w:szCs w:val="24"/>
          <w:lang w:val="en-US"/>
        </w:rPr>
        <w:t xml:space="preserve">development and usage at scale.  </w:t>
      </w:r>
      <w:r w:rsidRPr="001026E6">
        <w:rPr>
          <w:sz w:val="24"/>
          <w:szCs w:val="24"/>
          <w:lang w:val="en-US"/>
        </w:rPr>
        <w:t xml:space="preserve">While it does not seek to regulate specific technologies such as DLT directly, the FSRA expects users of such technology to meet particular requirements in terms of their technology systems, governance and controls.  </w:t>
      </w:r>
    </w:p>
    <w:p w14:paraId="2035D091" w14:textId="77777777" w:rsidR="003242F6" w:rsidRPr="001026E6" w:rsidRDefault="003242F6" w:rsidP="00D93E40">
      <w:pPr>
        <w:pStyle w:val="ListParagraph"/>
        <w:ind w:left="450"/>
        <w:jc w:val="both"/>
        <w:rPr>
          <w:sz w:val="24"/>
          <w:szCs w:val="24"/>
          <w:lang w:val="en-US"/>
        </w:rPr>
      </w:pPr>
    </w:p>
    <w:p w14:paraId="4B8F106F" w14:textId="55237762" w:rsidR="007D58D1" w:rsidRPr="001026E6" w:rsidRDefault="00A508B5" w:rsidP="0075521A">
      <w:pPr>
        <w:pStyle w:val="ListParagraph"/>
        <w:numPr>
          <w:ilvl w:val="0"/>
          <w:numId w:val="1"/>
        </w:numPr>
        <w:ind w:left="450"/>
        <w:jc w:val="both"/>
        <w:rPr>
          <w:sz w:val="24"/>
          <w:szCs w:val="24"/>
          <w:lang w:val="en-US"/>
        </w:rPr>
      </w:pPr>
      <w:r w:rsidRPr="001026E6">
        <w:rPr>
          <w:sz w:val="24"/>
          <w:szCs w:val="24"/>
          <w:lang w:val="en-US"/>
        </w:rPr>
        <w:t>A</w:t>
      </w:r>
      <w:r w:rsidR="003242F6" w:rsidRPr="001026E6">
        <w:rPr>
          <w:sz w:val="24"/>
          <w:szCs w:val="24"/>
          <w:lang w:val="en-US"/>
        </w:rPr>
        <w:t xml:space="preserve">ll Authorised Persons and holders of Recognition Orders </w:t>
      </w:r>
      <w:r w:rsidRPr="001026E6">
        <w:rPr>
          <w:sz w:val="24"/>
          <w:szCs w:val="24"/>
          <w:lang w:val="en-US"/>
        </w:rPr>
        <w:t>(</w:t>
      </w:r>
      <w:r w:rsidR="003242F6" w:rsidRPr="001026E6">
        <w:rPr>
          <w:sz w:val="24"/>
          <w:szCs w:val="24"/>
          <w:lang w:val="en-US"/>
        </w:rPr>
        <w:t xml:space="preserve">in relation to </w:t>
      </w:r>
      <w:r w:rsidR="007D58D1" w:rsidRPr="001026E6">
        <w:rPr>
          <w:sz w:val="24"/>
          <w:szCs w:val="24"/>
          <w:lang w:val="en-US"/>
        </w:rPr>
        <w:t>Digital Securities</w:t>
      </w:r>
      <w:r w:rsidRPr="001026E6">
        <w:rPr>
          <w:sz w:val="24"/>
          <w:szCs w:val="24"/>
          <w:lang w:val="en-US"/>
        </w:rPr>
        <w:t>)</w:t>
      </w:r>
      <w:r w:rsidR="007D58D1" w:rsidRPr="001026E6">
        <w:rPr>
          <w:sz w:val="24"/>
          <w:szCs w:val="24"/>
          <w:lang w:val="en-US"/>
        </w:rPr>
        <w:t xml:space="preserve"> will need to take into account </w:t>
      </w:r>
      <w:r w:rsidRPr="001026E6">
        <w:rPr>
          <w:sz w:val="24"/>
          <w:szCs w:val="24"/>
          <w:lang w:val="en-US"/>
        </w:rPr>
        <w:t xml:space="preserve">considerations relating to technology governance and controls, </w:t>
      </w:r>
      <w:r w:rsidR="007D58D1" w:rsidRPr="001026E6">
        <w:rPr>
          <w:sz w:val="24"/>
          <w:szCs w:val="24"/>
          <w:lang w:val="en-US"/>
        </w:rPr>
        <w:t xml:space="preserve">for the purposes of compliance with </w:t>
      </w:r>
      <w:r w:rsidR="006E6DF5" w:rsidRPr="001026E6">
        <w:rPr>
          <w:sz w:val="24"/>
          <w:szCs w:val="24"/>
          <w:lang w:val="en-US"/>
        </w:rPr>
        <w:t>primarily</w:t>
      </w:r>
      <w:r w:rsidR="003242F6" w:rsidRPr="001026E6">
        <w:rPr>
          <w:sz w:val="24"/>
          <w:szCs w:val="24"/>
          <w:lang w:val="en-US"/>
        </w:rPr>
        <w:t>,</w:t>
      </w:r>
      <w:r w:rsidR="009701ED" w:rsidRPr="001026E6">
        <w:rPr>
          <w:sz w:val="24"/>
          <w:szCs w:val="24"/>
          <w:lang w:val="en-US"/>
        </w:rPr>
        <w:t xml:space="preserve"> </w:t>
      </w:r>
      <w:r w:rsidR="006E6DF5" w:rsidRPr="001026E6">
        <w:rPr>
          <w:sz w:val="24"/>
          <w:szCs w:val="24"/>
          <w:lang w:val="en-US"/>
        </w:rPr>
        <w:t>in the case of a RIE</w:t>
      </w:r>
      <w:r w:rsidR="00B045C3" w:rsidRPr="001026E6">
        <w:rPr>
          <w:sz w:val="24"/>
          <w:szCs w:val="24"/>
          <w:lang w:val="en-US"/>
        </w:rPr>
        <w:t xml:space="preserve">, </w:t>
      </w:r>
      <w:r w:rsidR="007D58D1" w:rsidRPr="001026E6">
        <w:rPr>
          <w:sz w:val="24"/>
          <w:szCs w:val="24"/>
          <w:lang w:val="en-US"/>
        </w:rPr>
        <w:t xml:space="preserve">MIR </w:t>
      </w:r>
      <w:r w:rsidR="003242F6" w:rsidRPr="001026E6">
        <w:rPr>
          <w:sz w:val="24"/>
          <w:szCs w:val="24"/>
          <w:lang w:val="en-US"/>
        </w:rPr>
        <w:t xml:space="preserve">Rules </w:t>
      </w:r>
      <w:r w:rsidR="007D58D1" w:rsidRPr="001026E6">
        <w:rPr>
          <w:sz w:val="24"/>
          <w:szCs w:val="24"/>
          <w:lang w:val="en-US"/>
        </w:rPr>
        <w:t>2.5</w:t>
      </w:r>
      <w:r w:rsidR="003242F6" w:rsidRPr="001026E6">
        <w:rPr>
          <w:sz w:val="24"/>
          <w:szCs w:val="24"/>
          <w:lang w:val="en-US"/>
        </w:rPr>
        <w:t xml:space="preserve"> and</w:t>
      </w:r>
      <w:r w:rsidR="007D58D1" w:rsidRPr="001026E6">
        <w:rPr>
          <w:sz w:val="24"/>
          <w:szCs w:val="24"/>
          <w:lang w:val="en-US"/>
        </w:rPr>
        <w:t xml:space="preserve"> 2.6</w:t>
      </w:r>
      <w:r w:rsidR="003242F6" w:rsidRPr="001026E6">
        <w:rPr>
          <w:sz w:val="24"/>
          <w:szCs w:val="24"/>
          <w:lang w:val="en-US"/>
        </w:rPr>
        <w:t>,</w:t>
      </w:r>
      <w:r w:rsidR="006E6DF5" w:rsidRPr="001026E6">
        <w:rPr>
          <w:sz w:val="24"/>
          <w:szCs w:val="24"/>
          <w:lang w:val="en-US"/>
        </w:rPr>
        <w:t xml:space="preserve"> </w:t>
      </w:r>
      <w:r w:rsidR="00B045C3" w:rsidRPr="001026E6">
        <w:rPr>
          <w:sz w:val="24"/>
          <w:szCs w:val="24"/>
          <w:lang w:val="en-US"/>
        </w:rPr>
        <w:t xml:space="preserve">and </w:t>
      </w:r>
      <w:r w:rsidR="006E6DF5" w:rsidRPr="001026E6">
        <w:rPr>
          <w:sz w:val="24"/>
          <w:szCs w:val="24"/>
          <w:lang w:val="en-US"/>
        </w:rPr>
        <w:t xml:space="preserve">in the case of an MTF, GEN </w:t>
      </w:r>
      <w:r w:rsidR="003242F6" w:rsidRPr="001026E6">
        <w:rPr>
          <w:sz w:val="24"/>
          <w:szCs w:val="24"/>
          <w:lang w:val="en-US"/>
        </w:rPr>
        <w:t xml:space="preserve">Rule </w:t>
      </w:r>
      <w:r w:rsidR="006E6DF5" w:rsidRPr="001026E6">
        <w:rPr>
          <w:sz w:val="24"/>
          <w:szCs w:val="24"/>
          <w:lang w:val="en-US"/>
        </w:rPr>
        <w:t>3.3</w:t>
      </w:r>
      <w:r w:rsidR="007D58D1" w:rsidRPr="001026E6">
        <w:rPr>
          <w:sz w:val="24"/>
          <w:szCs w:val="24"/>
          <w:lang w:val="en-US"/>
        </w:rPr>
        <w:t>.</w:t>
      </w:r>
      <w:r w:rsidR="006E6DF5" w:rsidRPr="001026E6">
        <w:rPr>
          <w:sz w:val="24"/>
          <w:szCs w:val="24"/>
          <w:lang w:val="en-US"/>
        </w:rPr>
        <w:t xml:space="preserve">  The FSRA would </w:t>
      </w:r>
      <w:r w:rsidR="00B045C3" w:rsidRPr="001026E6">
        <w:rPr>
          <w:sz w:val="24"/>
          <w:szCs w:val="24"/>
          <w:lang w:val="en-US"/>
        </w:rPr>
        <w:t xml:space="preserve">further </w:t>
      </w:r>
      <w:r w:rsidR="006E6DF5" w:rsidRPr="001026E6">
        <w:rPr>
          <w:sz w:val="24"/>
          <w:szCs w:val="24"/>
          <w:lang w:val="en-US"/>
        </w:rPr>
        <w:t xml:space="preserve">recommend that when Applicants are seeking to comply with these requirements, they take into account </w:t>
      </w:r>
      <w:r w:rsidR="00ED4E60" w:rsidRPr="0075521A">
        <w:rPr>
          <w:sz w:val="24"/>
          <w:shd w:val="clear" w:color="auto" w:fill="FFFFFF" w:themeFill="background1"/>
        </w:rPr>
        <w:t>paragraphs</w:t>
      </w:r>
      <w:r w:rsidR="0075521A">
        <w:rPr>
          <w:sz w:val="24"/>
          <w:shd w:val="clear" w:color="auto" w:fill="FFFFFF" w:themeFill="background1"/>
        </w:rPr>
        <w:t xml:space="preserve"> 51-66, 69-70 and 77-87 of </w:t>
      </w:r>
      <w:r w:rsidR="00B045C3" w:rsidRPr="0075521A">
        <w:rPr>
          <w:sz w:val="24"/>
          <w:szCs w:val="24"/>
          <w:lang w:val="en-US"/>
        </w:rPr>
        <w:t>of the</w:t>
      </w:r>
      <w:r w:rsidR="00B045C3" w:rsidRPr="001026E6">
        <w:rPr>
          <w:sz w:val="24"/>
          <w:szCs w:val="24"/>
          <w:lang w:val="en-US"/>
        </w:rPr>
        <w:t xml:space="preserve"> </w:t>
      </w:r>
      <w:r w:rsidR="00E720F1" w:rsidRPr="001026E6">
        <w:rPr>
          <w:sz w:val="24"/>
          <w:szCs w:val="24"/>
          <w:lang w:val="en-US"/>
        </w:rPr>
        <w:t>Virtual Assets Guidance</w:t>
      </w:r>
      <w:r w:rsidR="006E6DF5" w:rsidRPr="001026E6">
        <w:rPr>
          <w:sz w:val="24"/>
          <w:szCs w:val="24"/>
          <w:lang w:val="en-US"/>
        </w:rPr>
        <w:t xml:space="preserve"> in relation to their technology governance</w:t>
      </w:r>
      <w:r w:rsidR="00BB05CD" w:rsidRPr="001026E6">
        <w:rPr>
          <w:sz w:val="24"/>
          <w:szCs w:val="24"/>
          <w:lang w:val="en-US"/>
        </w:rPr>
        <w:t xml:space="preserve"> (with </w:t>
      </w:r>
      <w:r w:rsidR="00E00E05" w:rsidRPr="001026E6">
        <w:rPr>
          <w:sz w:val="24"/>
          <w:szCs w:val="24"/>
          <w:lang w:val="en-US"/>
        </w:rPr>
        <w:t>Virtual Asset</w:t>
      </w:r>
      <w:r w:rsidR="00BB05CD" w:rsidRPr="001026E6">
        <w:rPr>
          <w:sz w:val="24"/>
          <w:szCs w:val="24"/>
          <w:lang w:val="en-US"/>
        </w:rPr>
        <w:t>s being read as Digital Securities for the purposes of th</w:t>
      </w:r>
      <w:r w:rsidR="003242F6" w:rsidRPr="001026E6">
        <w:rPr>
          <w:sz w:val="24"/>
          <w:szCs w:val="24"/>
          <w:lang w:val="en-US"/>
        </w:rPr>
        <w:t>at</w:t>
      </w:r>
      <w:r w:rsidR="00BB05CD" w:rsidRPr="001026E6">
        <w:rPr>
          <w:sz w:val="24"/>
          <w:szCs w:val="24"/>
          <w:lang w:val="en-US"/>
        </w:rPr>
        <w:t xml:space="preserve"> Guidance)</w:t>
      </w:r>
      <w:r w:rsidR="006E6DF5" w:rsidRPr="001026E6">
        <w:rPr>
          <w:sz w:val="24"/>
          <w:szCs w:val="24"/>
          <w:lang w:val="en-US"/>
        </w:rPr>
        <w:t xml:space="preserve">. </w:t>
      </w:r>
    </w:p>
    <w:p w14:paraId="4A765049" w14:textId="77777777" w:rsidR="00226964" w:rsidRPr="001026E6" w:rsidRDefault="00226964" w:rsidP="00D93E40">
      <w:pPr>
        <w:pStyle w:val="ListParagraph"/>
        <w:ind w:left="450"/>
        <w:jc w:val="both"/>
        <w:rPr>
          <w:sz w:val="24"/>
          <w:szCs w:val="24"/>
          <w:lang w:val="en-US"/>
        </w:rPr>
      </w:pPr>
    </w:p>
    <w:p w14:paraId="37F2D1D1" w14:textId="4627345E" w:rsidR="00226964" w:rsidRPr="001026E6" w:rsidRDefault="00226964" w:rsidP="00A508B5">
      <w:pPr>
        <w:pStyle w:val="ListParagraph"/>
        <w:numPr>
          <w:ilvl w:val="0"/>
          <w:numId w:val="1"/>
        </w:numPr>
        <w:ind w:left="450"/>
        <w:jc w:val="both"/>
        <w:rPr>
          <w:sz w:val="24"/>
          <w:szCs w:val="24"/>
          <w:lang w:val="en-US"/>
        </w:rPr>
      </w:pPr>
      <w:r w:rsidRPr="001026E6">
        <w:rPr>
          <w:sz w:val="24"/>
          <w:szCs w:val="24"/>
          <w:lang w:val="en-US"/>
        </w:rPr>
        <w:t>The FSRA acknowledges that non-DLT technologies m</w:t>
      </w:r>
      <w:r w:rsidR="00E34766" w:rsidRPr="001026E6">
        <w:rPr>
          <w:sz w:val="24"/>
          <w:szCs w:val="24"/>
          <w:lang w:val="en-US"/>
        </w:rPr>
        <w:t>ay</w:t>
      </w:r>
      <w:r w:rsidRPr="001026E6">
        <w:rPr>
          <w:sz w:val="24"/>
          <w:szCs w:val="24"/>
          <w:lang w:val="en-US"/>
        </w:rPr>
        <w:t xml:space="preserve"> be used for the secure </w:t>
      </w:r>
      <w:r w:rsidR="00E34766" w:rsidRPr="001026E6">
        <w:rPr>
          <w:sz w:val="24"/>
          <w:szCs w:val="24"/>
          <w:lang w:val="en-US"/>
        </w:rPr>
        <w:t>custody, c</w:t>
      </w:r>
      <w:r w:rsidRPr="001026E6">
        <w:rPr>
          <w:sz w:val="24"/>
          <w:szCs w:val="24"/>
          <w:lang w:val="en-US"/>
        </w:rPr>
        <w:t>learing</w:t>
      </w:r>
      <w:r w:rsidR="00E34766" w:rsidRPr="001026E6">
        <w:rPr>
          <w:sz w:val="24"/>
          <w:szCs w:val="24"/>
          <w:lang w:val="en-US"/>
        </w:rPr>
        <w:t xml:space="preserve"> and</w:t>
      </w:r>
      <w:r w:rsidRPr="001026E6">
        <w:rPr>
          <w:sz w:val="24"/>
          <w:szCs w:val="24"/>
          <w:lang w:val="en-US"/>
        </w:rPr>
        <w:t xml:space="preserve"> </w:t>
      </w:r>
      <w:r w:rsidR="00E34766" w:rsidRPr="001026E6">
        <w:rPr>
          <w:sz w:val="24"/>
          <w:szCs w:val="24"/>
          <w:lang w:val="en-US"/>
        </w:rPr>
        <w:t>s</w:t>
      </w:r>
      <w:r w:rsidRPr="001026E6">
        <w:rPr>
          <w:sz w:val="24"/>
          <w:szCs w:val="24"/>
          <w:lang w:val="en-US"/>
        </w:rPr>
        <w:t xml:space="preserve">ettlement of Digital Securities. Where this is the case, the </w:t>
      </w:r>
      <w:r w:rsidR="00E34766" w:rsidRPr="001026E6">
        <w:rPr>
          <w:sz w:val="24"/>
          <w:szCs w:val="24"/>
          <w:lang w:val="en-US"/>
        </w:rPr>
        <w:lastRenderedPageBreak/>
        <w:t>relevant licence holders</w:t>
      </w:r>
      <w:r w:rsidRPr="001026E6">
        <w:rPr>
          <w:sz w:val="24"/>
          <w:szCs w:val="24"/>
          <w:lang w:val="en-US"/>
        </w:rPr>
        <w:t xml:space="preserve"> are </w:t>
      </w:r>
      <w:r w:rsidR="00E34766" w:rsidRPr="001026E6">
        <w:rPr>
          <w:sz w:val="24"/>
          <w:szCs w:val="24"/>
          <w:lang w:val="en-US"/>
        </w:rPr>
        <w:t xml:space="preserve">still </w:t>
      </w:r>
      <w:r w:rsidRPr="001026E6">
        <w:rPr>
          <w:sz w:val="24"/>
          <w:szCs w:val="24"/>
          <w:lang w:val="en-US"/>
        </w:rPr>
        <w:t xml:space="preserve">required to meet MIR </w:t>
      </w:r>
      <w:r w:rsidR="00E34766" w:rsidRPr="001026E6">
        <w:rPr>
          <w:sz w:val="24"/>
          <w:szCs w:val="24"/>
          <w:lang w:val="en-US"/>
        </w:rPr>
        <w:t xml:space="preserve">Rules </w:t>
      </w:r>
      <w:r w:rsidRPr="001026E6">
        <w:rPr>
          <w:sz w:val="24"/>
          <w:szCs w:val="24"/>
          <w:lang w:val="en-US"/>
        </w:rPr>
        <w:t>2.6 and 2.10</w:t>
      </w:r>
      <w:r w:rsidR="00E34766" w:rsidRPr="001026E6">
        <w:rPr>
          <w:sz w:val="24"/>
          <w:szCs w:val="24"/>
          <w:lang w:val="en-US"/>
        </w:rPr>
        <w:t>, as applicable,</w:t>
      </w:r>
      <w:r w:rsidRPr="001026E6">
        <w:rPr>
          <w:sz w:val="24"/>
          <w:szCs w:val="24"/>
          <w:lang w:val="en-US"/>
        </w:rPr>
        <w:t xml:space="preserve"> at all times.</w:t>
      </w:r>
    </w:p>
    <w:p w14:paraId="79681BD5" w14:textId="77777777" w:rsidR="00226964" w:rsidRPr="001026E6" w:rsidRDefault="00226964" w:rsidP="00226964">
      <w:pPr>
        <w:pStyle w:val="Heading4"/>
        <w:tabs>
          <w:tab w:val="clear" w:pos="1440"/>
        </w:tabs>
        <w:spacing w:after="0" w:line="240" w:lineRule="auto"/>
        <w:rPr>
          <w:sz w:val="24"/>
          <w:lang w:val="en-US"/>
        </w:rPr>
      </w:pPr>
    </w:p>
    <w:p w14:paraId="2A00C393" w14:textId="77777777" w:rsidR="00716090" w:rsidRPr="001026E6" w:rsidRDefault="00716090" w:rsidP="00716090">
      <w:pPr>
        <w:pStyle w:val="Heading2"/>
      </w:pPr>
      <w:bookmarkStart w:id="96" w:name="_Toc18571346"/>
      <w:bookmarkStart w:id="97" w:name="_Toc33443097"/>
      <w:r w:rsidRPr="001026E6">
        <w:t>DLT Access Implications - Offers, Issuance &amp; Trading</w:t>
      </w:r>
      <w:bookmarkEnd w:id="96"/>
      <w:bookmarkEnd w:id="97"/>
    </w:p>
    <w:p w14:paraId="7A5BA85A" w14:textId="032B1FBC" w:rsidR="00721671" w:rsidRPr="001026E6" w:rsidRDefault="00721671" w:rsidP="00A508B5">
      <w:pPr>
        <w:pStyle w:val="ListParagraph"/>
        <w:numPr>
          <w:ilvl w:val="0"/>
          <w:numId w:val="1"/>
        </w:numPr>
        <w:ind w:left="450"/>
        <w:jc w:val="both"/>
        <w:rPr>
          <w:sz w:val="24"/>
          <w:szCs w:val="24"/>
          <w:lang w:val="en-US"/>
        </w:rPr>
      </w:pPr>
      <w:r w:rsidRPr="001026E6">
        <w:rPr>
          <w:sz w:val="24"/>
          <w:szCs w:val="24"/>
          <w:lang w:val="en-US"/>
        </w:rPr>
        <w:t>The FSRA expects that the particular use, and surrounding controls related to the use</w:t>
      </w:r>
      <w:r w:rsidR="00A508B5" w:rsidRPr="001026E6">
        <w:rPr>
          <w:sz w:val="24"/>
          <w:szCs w:val="24"/>
          <w:lang w:val="en-US"/>
        </w:rPr>
        <w:t>,</w:t>
      </w:r>
      <w:r w:rsidRPr="001026E6">
        <w:rPr>
          <w:sz w:val="24"/>
          <w:szCs w:val="24"/>
          <w:lang w:val="en-US"/>
        </w:rPr>
        <w:t xml:space="preserve"> of DLT will have implications for how Digital Securities are offered, issue</w:t>
      </w:r>
      <w:r w:rsidR="00A508B5" w:rsidRPr="001026E6">
        <w:rPr>
          <w:sz w:val="24"/>
          <w:szCs w:val="24"/>
          <w:lang w:val="en-US"/>
        </w:rPr>
        <w:t>d</w:t>
      </w:r>
      <w:r w:rsidRPr="001026E6">
        <w:rPr>
          <w:sz w:val="24"/>
          <w:szCs w:val="24"/>
          <w:lang w:val="en-US"/>
        </w:rPr>
        <w:t>, traded and ultimately settled.</w:t>
      </w:r>
      <w:r w:rsidR="009701ED" w:rsidRPr="001026E6">
        <w:rPr>
          <w:sz w:val="24"/>
          <w:szCs w:val="24"/>
          <w:lang w:val="en-US"/>
        </w:rPr>
        <w:t xml:space="preserve">  </w:t>
      </w:r>
      <w:r w:rsidRPr="001026E6">
        <w:rPr>
          <w:sz w:val="24"/>
          <w:szCs w:val="24"/>
          <w:lang w:val="en-US"/>
        </w:rPr>
        <w:t xml:space="preserve">On issuance, for example, the FSRA expects </w:t>
      </w:r>
      <w:r w:rsidR="00A508B5" w:rsidRPr="001026E6">
        <w:rPr>
          <w:sz w:val="24"/>
          <w:szCs w:val="24"/>
          <w:lang w:val="en-US"/>
        </w:rPr>
        <w:t>that O</w:t>
      </w:r>
      <w:r w:rsidRPr="001026E6">
        <w:rPr>
          <w:sz w:val="24"/>
          <w:szCs w:val="24"/>
          <w:lang w:val="en-US"/>
        </w:rPr>
        <w:t>ffers of Digital Securities to be limited/linked to an initial venue (e.g., MTF or RIE)</w:t>
      </w:r>
      <w:r w:rsidR="006201C4" w:rsidRPr="001026E6">
        <w:rPr>
          <w:sz w:val="24"/>
          <w:szCs w:val="24"/>
          <w:lang w:val="en-US"/>
        </w:rPr>
        <w:t>, due to the likelihood that permissioned access to a DLT will be limited due to commercial or technology compatibility issues. The implication therefore is that where an MTF or RIE</w:t>
      </w:r>
      <w:r w:rsidR="009701ED" w:rsidRPr="001026E6">
        <w:rPr>
          <w:sz w:val="24"/>
          <w:szCs w:val="24"/>
          <w:lang w:val="en-US"/>
        </w:rPr>
        <w:t xml:space="preserve">, </w:t>
      </w:r>
      <w:r w:rsidR="006201C4" w:rsidRPr="001026E6">
        <w:rPr>
          <w:sz w:val="24"/>
          <w:szCs w:val="24"/>
          <w:lang w:val="en-US"/>
        </w:rPr>
        <w:t xml:space="preserve">for example, controls access to a distributed ledger there may be a limit/restriction on an investor to transfer Digital Securities to another investor. This is </w:t>
      </w:r>
      <w:r w:rsidR="0091464D" w:rsidRPr="001026E6">
        <w:rPr>
          <w:sz w:val="24"/>
          <w:szCs w:val="24"/>
          <w:lang w:val="en-US"/>
        </w:rPr>
        <w:t xml:space="preserve">in contrast to </w:t>
      </w:r>
      <w:r w:rsidR="00E00E05" w:rsidRPr="001026E6">
        <w:rPr>
          <w:sz w:val="24"/>
          <w:szCs w:val="24"/>
          <w:lang w:val="en-US"/>
        </w:rPr>
        <w:t>Virtual Asset</w:t>
      </w:r>
      <w:r w:rsidR="006201C4" w:rsidRPr="001026E6">
        <w:rPr>
          <w:sz w:val="24"/>
          <w:szCs w:val="24"/>
          <w:lang w:val="en-US"/>
        </w:rPr>
        <w:t>s (for example, Bitcoin), where access to the Bitcoin distributed ledger is not permissioned.</w:t>
      </w:r>
    </w:p>
    <w:p w14:paraId="29568F9D" w14:textId="77777777" w:rsidR="006201C4" w:rsidRPr="001026E6" w:rsidRDefault="006201C4" w:rsidP="0091464D">
      <w:pPr>
        <w:pStyle w:val="ListParagraph"/>
        <w:ind w:left="450"/>
        <w:jc w:val="both"/>
        <w:rPr>
          <w:sz w:val="24"/>
          <w:szCs w:val="24"/>
          <w:lang w:val="en-US"/>
        </w:rPr>
      </w:pPr>
    </w:p>
    <w:p w14:paraId="78D04AE1" w14:textId="77777777" w:rsidR="006201C4" w:rsidRPr="001026E6" w:rsidRDefault="006201C4" w:rsidP="0091464D">
      <w:pPr>
        <w:pStyle w:val="ListParagraph"/>
        <w:numPr>
          <w:ilvl w:val="0"/>
          <w:numId w:val="1"/>
        </w:numPr>
        <w:ind w:left="450"/>
        <w:jc w:val="both"/>
        <w:rPr>
          <w:sz w:val="24"/>
          <w:szCs w:val="24"/>
          <w:lang w:val="en-US"/>
        </w:rPr>
      </w:pPr>
      <w:r w:rsidRPr="001026E6">
        <w:rPr>
          <w:sz w:val="24"/>
          <w:szCs w:val="24"/>
          <w:lang w:val="en-US"/>
        </w:rPr>
        <w:t xml:space="preserve">Access to DLT may alternatively </w:t>
      </w:r>
      <w:r w:rsidR="0091464D" w:rsidRPr="001026E6">
        <w:rPr>
          <w:sz w:val="24"/>
          <w:szCs w:val="24"/>
          <w:lang w:val="en-US"/>
        </w:rPr>
        <w:t xml:space="preserve">be </w:t>
      </w:r>
      <w:r w:rsidRPr="001026E6">
        <w:rPr>
          <w:sz w:val="24"/>
          <w:szCs w:val="24"/>
          <w:lang w:val="en-US"/>
        </w:rPr>
        <w:t xml:space="preserve">controlled by a DSF/RCH, or the Issuer of a Digital Security itself.  Whatever the model of access/permission, the FSRA would expect any costs for the transfer of a Digital Security to be clearly disclosed and be </w:t>
      </w:r>
      <w:r w:rsidR="0091464D" w:rsidRPr="001026E6">
        <w:rPr>
          <w:sz w:val="24"/>
          <w:szCs w:val="24"/>
          <w:lang w:val="en-US"/>
        </w:rPr>
        <w:t xml:space="preserve">undertaken </w:t>
      </w:r>
      <w:r w:rsidRPr="001026E6">
        <w:rPr>
          <w:sz w:val="24"/>
          <w:szCs w:val="24"/>
          <w:lang w:val="en-US"/>
        </w:rPr>
        <w:t>on a reasonable commercial basis.</w:t>
      </w:r>
    </w:p>
    <w:p w14:paraId="69D59990" w14:textId="77777777" w:rsidR="00721671" w:rsidRPr="001026E6" w:rsidRDefault="00721671" w:rsidP="0091464D">
      <w:pPr>
        <w:pStyle w:val="ListParagraph"/>
        <w:ind w:left="450"/>
        <w:jc w:val="both"/>
        <w:rPr>
          <w:sz w:val="24"/>
          <w:szCs w:val="24"/>
          <w:lang w:val="en-US"/>
        </w:rPr>
      </w:pPr>
      <w:r w:rsidRPr="001026E6">
        <w:rPr>
          <w:sz w:val="24"/>
          <w:szCs w:val="24"/>
          <w:lang w:val="en-US"/>
        </w:rPr>
        <w:t xml:space="preserve"> </w:t>
      </w:r>
      <w:r w:rsidR="00716090" w:rsidRPr="001026E6">
        <w:rPr>
          <w:sz w:val="24"/>
          <w:szCs w:val="24"/>
          <w:lang w:val="en-US"/>
        </w:rPr>
        <w:t xml:space="preserve"> </w:t>
      </w:r>
    </w:p>
    <w:p w14:paraId="42712505" w14:textId="77777777" w:rsidR="00D73704" w:rsidRPr="001026E6" w:rsidRDefault="00D73704" w:rsidP="00D73704">
      <w:pPr>
        <w:pStyle w:val="Heading2"/>
        <w:tabs>
          <w:tab w:val="clear" w:pos="720"/>
          <w:tab w:val="num" w:pos="0"/>
        </w:tabs>
        <w:spacing w:after="0"/>
        <w:ind w:left="0" w:firstLine="0"/>
        <w:rPr>
          <w:szCs w:val="24"/>
        </w:rPr>
      </w:pPr>
      <w:bookmarkStart w:id="98" w:name="_Toc18571347"/>
      <w:bookmarkStart w:id="99" w:name="_Toc33443098"/>
      <w:r w:rsidRPr="001026E6">
        <w:rPr>
          <w:szCs w:val="24"/>
        </w:rPr>
        <w:t>Subscriptions to an Offer of Digital Securities</w:t>
      </w:r>
      <w:bookmarkEnd w:id="98"/>
      <w:bookmarkEnd w:id="99"/>
      <w:r w:rsidRPr="001026E6">
        <w:rPr>
          <w:szCs w:val="24"/>
        </w:rPr>
        <w:t xml:space="preserve"> </w:t>
      </w:r>
    </w:p>
    <w:p w14:paraId="09A60663" w14:textId="77777777" w:rsidR="00D73704" w:rsidRPr="001026E6" w:rsidRDefault="00D73704" w:rsidP="00D73704">
      <w:pPr>
        <w:pStyle w:val="ListParagraph"/>
        <w:rPr>
          <w:rFonts w:cs="Helvetica"/>
          <w:sz w:val="24"/>
          <w:szCs w:val="24"/>
        </w:rPr>
      </w:pPr>
    </w:p>
    <w:p w14:paraId="414FC813" w14:textId="7A5478FF" w:rsidR="008E6896" w:rsidRPr="001026E6" w:rsidRDefault="00A508B5" w:rsidP="006635F3">
      <w:pPr>
        <w:pStyle w:val="ListParagraph"/>
        <w:numPr>
          <w:ilvl w:val="0"/>
          <w:numId w:val="1"/>
        </w:numPr>
        <w:ind w:left="450"/>
        <w:jc w:val="both"/>
        <w:rPr>
          <w:sz w:val="24"/>
          <w:szCs w:val="24"/>
          <w:lang w:val="en-US"/>
        </w:rPr>
      </w:pPr>
      <w:r w:rsidRPr="001026E6">
        <w:rPr>
          <w:sz w:val="24"/>
          <w:szCs w:val="24"/>
          <w:lang w:val="en-US"/>
        </w:rPr>
        <w:t xml:space="preserve">Pursuant to various requirements set out in MKT, an Offer of Securities should be denominated and priced in fiat currency. </w:t>
      </w:r>
      <w:r w:rsidR="00D73704" w:rsidRPr="001026E6">
        <w:rPr>
          <w:sz w:val="24"/>
          <w:szCs w:val="24"/>
          <w:lang w:val="en-US"/>
        </w:rPr>
        <w:t xml:space="preserve">It is </w:t>
      </w:r>
      <w:r w:rsidRPr="001026E6">
        <w:rPr>
          <w:sz w:val="24"/>
          <w:szCs w:val="24"/>
          <w:lang w:val="en-US"/>
        </w:rPr>
        <w:t>recognised, however,</w:t>
      </w:r>
      <w:r w:rsidR="00D73704" w:rsidRPr="001026E6">
        <w:rPr>
          <w:sz w:val="24"/>
          <w:szCs w:val="24"/>
          <w:lang w:val="en-US"/>
        </w:rPr>
        <w:t xml:space="preserve"> that subscriptions/payments for an Offer of Digital Securities c</w:t>
      </w:r>
      <w:r w:rsidR="006635F3" w:rsidRPr="001026E6">
        <w:rPr>
          <w:sz w:val="24"/>
          <w:szCs w:val="24"/>
          <w:lang w:val="en-US"/>
        </w:rPr>
        <w:t xml:space="preserve">ould </w:t>
      </w:r>
      <w:r w:rsidR="00D73704" w:rsidRPr="001026E6">
        <w:rPr>
          <w:sz w:val="24"/>
          <w:szCs w:val="24"/>
          <w:lang w:val="en-US"/>
        </w:rPr>
        <w:t xml:space="preserve">be made via fiat currencies </w:t>
      </w:r>
      <w:r w:rsidR="00D73704" w:rsidRPr="001026E6">
        <w:rPr>
          <w:sz w:val="24"/>
          <w:szCs w:val="24"/>
          <w:lang w:val="en-US"/>
        </w:rPr>
        <w:lastRenderedPageBreak/>
        <w:t xml:space="preserve">and/or Accepted </w:t>
      </w:r>
      <w:r w:rsidR="00E00E05" w:rsidRPr="001026E6">
        <w:rPr>
          <w:sz w:val="24"/>
          <w:szCs w:val="24"/>
          <w:lang w:val="en-US"/>
        </w:rPr>
        <w:t>Virtual Asset</w:t>
      </w:r>
      <w:r w:rsidR="00D73704" w:rsidRPr="001026E6">
        <w:rPr>
          <w:sz w:val="24"/>
          <w:szCs w:val="24"/>
          <w:lang w:val="en-US"/>
        </w:rPr>
        <w:t xml:space="preserve">s.  </w:t>
      </w:r>
      <w:r w:rsidR="006635F3" w:rsidRPr="001026E6">
        <w:rPr>
          <w:sz w:val="24"/>
          <w:szCs w:val="24"/>
          <w:lang w:val="en-US"/>
        </w:rPr>
        <w:t>S</w:t>
      </w:r>
      <w:r w:rsidR="00D73704" w:rsidRPr="001026E6">
        <w:rPr>
          <w:sz w:val="24"/>
          <w:szCs w:val="24"/>
          <w:lang w:val="en-US"/>
        </w:rPr>
        <w:t xml:space="preserve">ubscription amounts collected in Accepted </w:t>
      </w:r>
      <w:r w:rsidR="00E00E05" w:rsidRPr="001026E6">
        <w:rPr>
          <w:sz w:val="24"/>
          <w:szCs w:val="24"/>
          <w:lang w:val="en-US"/>
        </w:rPr>
        <w:t>Virtual Asset</w:t>
      </w:r>
      <w:r w:rsidR="00D73704" w:rsidRPr="001026E6">
        <w:rPr>
          <w:sz w:val="24"/>
          <w:szCs w:val="24"/>
          <w:lang w:val="en-US"/>
        </w:rPr>
        <w:t>s</w:t>
      </w:r>
      <w:r w:rsidR="006635F3" w:rsidRPr="001026E6">
        <w:rPr>
          <w:sz w:val="24"/>
          <w:szCs w:val="24"/>
          <w:lang w:val="en-US"/>
        </w:rPr>
        <w:t>, therefore,</w:t>
      </w:r>
      <w:r w:rsidR="00D73704" w:rsidRPr="001026E6">
        <w:rPr>
          <w:sz w:val="24"/>
          <w:szCs w:val="24"/>
          <w:lang w:val="en-US"/>
        </w:rPr>
        <w:t xml:space="preserve"> are subject to the prevailing exchange rate between the </w:t>
      </w:r>
      <w:r w:rsidR="006635F3" w:rsidRPr="001026E6">
        <w:rPr>
          <w:sz w:val="24"/>
          <w:szCs w:val="24"/>
          <w:lang w:val="en-US"/>
        </w:rPr>
        <w:t xml:space="preserve">(denominated) </w:t>
      </w:r>
      <w:r w:rsidR="00D73704" w:rsidRPr="001026E6">
        <w:rPr>
          <w:sz w:val="24"/>
          <w:szCs w:val="24"/>
          <w:lang w:val="en-US"/>
        </w:rPr>
        <w:t xml:space="preserve">fiat currency and the relevant Accepted </w:t>
      </w:r>
      <w:r w:rsidR="00E00E05" w:rsidRPr="001026E6">
        <w:rPr>
          <w:sz w:val="24"/>
          <w:szCs w:val="24"/>
          <w:lang w:val="en-US"/>
        </w:rPr>
        <w:t>Virtual Asset</w:t>
      </w:r>
      <w:r w:rsidR="00D73704" w:rsidRPr="001026E6">
        <w:rPr>
          <w:sz w:val="24"/>
          <w:szCs w:val="24"/>
          <w:lang w:val="en-US"/>
        </w:rPr>
        <w:t xml:space="preserve"> at the time of payment.  </w:t>
      </w:r>
    </w:p>
    <w:p w14:paraId="2CBB5F04" w14:textId="77777777" w:rsidR="008E6896" w:rsidRPr="001026E6" w:rsidRDefault="008E6896" w:rsidP="00712F59">
      <w:pPr>
        <w:pStyle w:val="ListParagraph"/>
        <w:ind w:left="450"/>
        <w:jc w:val="both"/>
        <w:rPr>
          <w:sz w:val="24"/>
          <w:szCs w:val="24"/>
          <w:lang w:val="en-US"/>
        </w:rPr>
      </w:pPr>
    </w:p>
    <w:p w14:paraId="2B38D553" w14:textId="648D66E1" w:rsidR="008E6896" w:rsidRPr="001026E6" w:rsidRDefault="007F6079" w:rsidP="00915159">
      <w:pPr>
        <w:pStyle w:val="ListParagraph"/>
        <w:numPr>
          <w:ilvl w:val="0"/>
          <w:numId w:val="1"/>
        </w:numPr>
        <w:ind w:left="450"/>
        <w:jc w:val="both"/>
        <w:rPr>
          <w:sz w:val="24"/>
          <w:szCs w:val="24"/>
          <w:lang w:val="en-US"/>
        </w:rPr>
      </w:pPr>
      <w:r w:rsidRPr="001026E6">
        <w:rPr>
          <w:sz w:val="24"/>
          <w:szCs w:val="24"/>
          <w:lang w:val="en-US"/>
        </w:rPr>
        <w:t xml:space="preserve">Accordingly, </w:t>
      </w:r>
      <w:r w:rsidR="00D73704" w:rsidRPr="001026E6">
        <w:rPr>
          <w:sz w:val="24"/>
          <w:szCs w:val="24"/>
          <w:lang w:val="en-US"/>
        </w:rPr>
        <w:t>an ADGM</w:t>
      </w:r>
      <w:r w:rsidR="006635F3" w:rsidRPr="001026E6">
        <w:rPr>
          <w:sz w:val="24"/>
          <w:szCs w:val="24"/>
          <w:lang w:val="en-US"/>
        </w:rPr>
        <w:t>-</w:t>
      </w:r>
      <w:r w:rsidR="00564344" w:rsidRPr="001026E6">
        <w:rPr>
          <w:sz w:val="24"/>
          <w:szCs w:val="24"/>
          <w:lang w:val="en-US"/>
        </w:rPr>
        <w:t>licence</w:t>
      </w:r>
      <w:r w:rsidR="006635F3" w:rsidRPr="001026E6">
        <w:rPr>
          <w:sz w:val="24"/>
          <w:szCs w:val="24"/>
          <w:lang w:val="en-US"/>
        </w:rPr>
        <w:t>d</w:t>
      </w:r>
      <w:r w:rsidR="00D73704" w:rsidRPr="001026E6">
        <w:rPr>
          <w:sz w:val="24"/>
          <w:szCs w:val="24"/>
          <w:lang w:val="en-US"/>
        </w:rPr>
        <w:t xml:space="preserve"> intermediary will also need to </w:t>
      </w:r>
      <w:r w:rsidR="008852E3" w:rsidRPr="001026E6">
        <w:rPr>
          <w:sz w:val="24"/>
          <w:szCs w:val="24"/>
          <w:lang w:val="en-US"/>
        </w:rPr>
        <w:t>ensure that it</w:t>
      </w:r>
      <w:r w:rsidR="004C2AD2" w:rsidRPr="001026E6">
        <w:rPr>
          <w:sz w:val="24"/>
          <w:szCs w:val="24"/>
          <w:lang w:val="en-US"/>
        </w:rPr>
        <w:t xml:space="preserve">s FSP permits it </w:t>
      </w:r>
      <w:r w:rsidR="00D73704" w:rsidRPr="001026E6">
        <w:rPr>
          <w:sz w:val="24"/>
          <w:szCs w:val="24"/>
          <w:lang w:val="en-US"/>
        </w:rPr>
        <w:t>to offer subscription services</w:t>
      </w:r>
      <w:r w:rsidR="006635F3" w:rsidRPr="001026E6">
        <w:rPr>
          <w:sz w:val="24"/>
          <w:szCs w:val="24"/>
          <w:lang w:val="en-US"/>
        </w:rPr>
        <w:t>,</w:t>
      </w:r>
      <w:r w:rsidRPr="001026E6">
        <w:rPr>
          <w:sz w:val="24"/>
          <w:szCs w:val="24"/>
          <w:lang w:val="en-US"/>
        </w:rPr>
        <w:t xml:space="preserve"> or a</w:t>
      </w:r>
      <w:r w:rsidR="008E6896" w:rsidRPr="001026E6">
        <w:rPr>
          <w:sz w:val="24"/>
          <w:szCs w:val="24"/>
          <w:lang w:val="en-US"/>
        </w:rPr>
        <w:t xml:space="preserve">lternatively may engage the services of </w:t>
      </w:r>
      <w:r w:rsidR="008852E3" w:rsidRPr="001026E6">
        <w:rPr>
          <w:sz w:val="24"/>
          <w:szCs w:val="24"/>
          <w:lang w:val="en-US"/>
        </w:rPr>
        <w:t xml:space="preserve">an Authorised Person </w:t>
      </w:r>
      <w:r w:rsidR="004C2AD2" w:rsidRPr="001026E6">
        <w:rPr>
          <w:sz w:val="24"/>
          <w:szCs w:val="24"/>
          <w:lang w:val="en-US"/>
        </w:rPr>
        <w:t>with such permission</w:t>
      </w:r>
      <w:r w:rsidR="008E6896" w:rsidRPr="001026E6">
        <w:rPr>
          <w:sz w:val="24"/>
          <w:szCs w:val="24"/>
          <w:lang w:val="en-US"/>
        </w:rPr>
        <w:t>.</w:t>
      </w:r>
    </w:p>
    <w:p w14:paraId="3E5CA5D2" w14:textId="77777777" w:rsidR="00D73704" w:rsidRPr="001026E6" w:rsidRDefault="00D73704" w:rsidP="00716090">
      <w:pPr>
        <w:jc w:val="both"/>
        <w:rPr>
          <w:b/>
          <w:bCs/>
          <w:sz w:val="24"/>
          <w:szCs w:val="24"/>
          <w:lang w:val="en-US"/>
        </w:rPr>
      </w:pPr>
    </w:p>
    <w:p w14:paraId="03524CDF" w14:textId="77777777" w:rsidR="00D73704" w:rsidRPr="001026E6" w:rsidRDefault="00D73704" w:rsidP="00D73704">
      <w:pPr>
        <w:pStyle w:val="Heading2"/>
        <w:tabs>
          <w:tab w:val="clear" w:pos="720"/>
        </w:tabs>
        <w:spacing w:after="0"/>
        <w:ind w:left="0" w:firstLine="0"/>
        <w:rPr>
          <w:szCs w:val="24"/>
        </w:rPr>
      </w:pPr>
      <w:bookmarkStart w:id="100" w:name="_Toc18571348"/>
      <w:bookmarkStart w:id="101" w:name="_Toc33443099"/>
      <w:bookmarkEnd w:id="94"/>
      <w:bookmarkEnd w:id="95"/>
      <w:r w:rsidRPr="001026E6">
        <w:rPr>
          <w:szCs w:val="24"/>
        </w:rPr>
        <w:t>Market Abuse, Transaction Reporting and Misleading Impressions (FSMR)</w:t>
      </w:r>
      <w:bookmarkEnd w:id="100"/>
      <w:bookmarkEnd w:id="101"/>
    </w:p>
    <w:p w14:paraId="075BC9DA" w14:textId="77777777" w:rsidR="00D73704" w:rsidRPr="001026E6" w:rsidRDefault="00D73704" w:rsidP="00D73704">
      <w:pPr>
        <w:pStyle w:val="ListParagraph"/>
        <w:ind w:left="450"/>
        <w:jc w:val="both"/>
        <w:rPr>
          <w:sz w:val="24"/>
          <w:szCs w:val="24"/>
          <w:lang w:val="en-US"/>
        </w:rPr>
      </w:pPr>
    </w:p>
    <w:p w14:paraId="675B6492" w14:textId="77777777" w:rsidR="00D73704" w:rsidRPr="001026E6" w:rsidRDefault="006635F3" w:rsidP="006635F3">
      <w:pPr>
        <w:pStyle w:val="ListParagraph"/>
        <w:numPr>
          <w:ilvl w:val="0"/>
          <w:numId w:val="1"/>
        </w:numPr>
        <w:ind w:left="450"/>
        <w:jc w:val="both"/>
        <w:rPr>
          <w:sz w:val="24"/>
          <w:szCs w:val="24"/>
          <w:lang w:val="en-US"/>
        </w:rPr>
      </w:pPr>
      <w:r w:rsidRPr="001026E6">
        <w:rPr>
          <w:sz w:val="24"/>
          <w:szCs w:val="24"/>
          <w:lang w:val="en-US"/>
        </w:rPr>
        <w:t>T</w:t>
      </w:r>
      <w:r w:rsidR="00D73704" w:rsidRPr="001026E6">
        <w:rPr>
          <w:sz w:val="24"/>
          <w:szCs w:val="24"/>
          <w:lang w:val="en-US"/>
        </w:rPr>
        <w:t xml:space="preserve">he Market Abuse Provisions in Part 8 of FSMR specifically cover Market Abuse Behaviour in relation to Securities (including Digital Securities) admitted to trading on a RIE or an MTF. </w:t>
      </w:r>
    </w:p>
    <w:p w14:paraId="382E2499" w14:textId="77777777" w:rsidR="00D73704" w:rsidRPr="001026E6" w:rsidRDefault="00D73704" w:rsidP="00D73704">
      <w:pPr>
        <w:pStyle w:val="ListParagraph"/>
        <w:rPr>
          <w:sz w:val="24"/>
          <w:szCs w:val="24"/>
          <w:lang w:val="en-US"/>
        </w:rPr>
      </w:pPr>
    </w:p>
    <w:p w14:paraId="5D3EDDE4" w14:textId="55F521CA" w:rsidR="00D73704" w:rsidRPr="001026E6" w:rsidRDefault="00D73704" w:rsidP="00915159">
      <w:pPr>
        <w:pStyle w:val="ListParagraph"/>
        <w:numPr>
          <w:ilvl w:val="0"/>
          <w:numId w:val="1"/>
        </w:numPr>
        <w:ind w:left="450"/>
        <w:jc w:val="both"/>
        <w:rPr>
          <w:sz w:val="24"/>
          <w:szCs w:val="24"/>
          <w:lang w:val="en-US"/>
        </w:rPr>
      </w:pPr>
      <w:r w:rsidRPr="001026E6">
        <w:rPr>
          <w:sz w:val="24"/>
          <w:szCs w:val="24"/>
          <w:lang w:val="en-US"/>
        </w:rPr>
        <w:t>FSMR Section 149 sets out the reporting obligations imposed on RIEs and MTFs which are required to report details of transactions in Securities (including Digital Securities) traded on their platforms.  Consistent with its treatment of all RIEs</w:t>
      </w:r>
      <w:r w:rsidR="004C2AD2" w:rsidRPr="001026E6">
        <w:rPr>
          <w:sz w:val="24"/>
          <w:szCs w:val="24"/>
          <w:lang w:val="en-US"/>
        </w:rPr>
        <w:t xml:space="preserve"> and </w:t>
      </w:r>
      <w:r w:rsidRPr="001026E6">
        <w:rPr>
          <w:sz w:val="24"/>
          <w:szCs w:val="24"/>
          <w:lang w:val="en-US"/>
        </w:rPr>
        <w:t>MTFs, the FSRA expects RIEs and MTFs (providing markets in Digital Securities) to report order/trading data to the FSRA on both a real-time and batch basis.</w:t>
      </w:r>
    </w:p>
    <w:p w14:paraId="4FD36BA3" w14:textId="77777777" w:rsidR="00D73704" w:rsidRPr="001026E6" w:rsidRDefault="00D73704" w:rsidP="00D73704">
      <w:pPr>
        <w:pStyle w:val="ListParagraph"/>
        <w:ind w:left="450"/>
        <w:jc w:val="both"/>
        <w:rPr>
          <w:sz w:val="24"/>
          <w:szCs w:val="24"/>
          <w:lang w:val="en-US"/>
        </w:rPr>
      </w:pPr>
    </w:p>
    <w:p w14:paraId="7CD5370F" w14:textId="77777777" w:rsidR="00D73704" w:rsidRPr="001026E6" w:rsidRDefault="00D73704" w:rsidP="00D73704">
      <w:pPr>
        <w:pStyle w:val="ListParagraph"/>
        <w:numPr>
          <w:ilvl w:val="0"/>
          <w:numId w:val="1"/>
        </w:numPr>
        <w:ind w:left="450"/>
        <w:jc w:val="both"/>
        <w:rPr>
          <w:sz w:val="24"/>
          <w:szCs w:val="24"/>
          <w:lang w:val="en-US"/>
        </w:rPr>
      </w:pPr>
      <w:r w:rsidRPr="001026E6">
        <w:rPr>
          <w:sz w:val="24"/>
          <w:szCs w:val="24"/>
          <w:lang w:val="en-US"/>
        </w:rPr>
        <w:t xml:space="preserve">In addition, the FSMR provisions on Misleading Statements apply to Securities (including Digital Securities).  The FSRA expects that all communications (including advertising or investment materials or other publications) made by a RIE or an MTF will be made in an appropriate manner and those infrastructures will implement suitable policies and procedures to comply with the relevant requirements of FSMR. </w:t>
      </w:r>
    </w:p>
    <w:p w14:paraId="1AAE3B67" w14:textId="77777777" w:rsidR="007F5DBD" w:rsidRPr="001026E6" w:rsidRDefault="007F5DBD" w:rsidP="007F5DBD">
      <w:pPr>
        <w:jc w:val="both"/>
        <w:rPr>
          <w:b/>
          <w:bCs/>
          <w:sz w:val="24"/>
          <w:szCs w:val="24"/>
          <w:lang w:val="en-US"/>
        </w:rPr>
      </w:pPr>
    </w:p>
    <w:p w14:paraId="2929A920" w14:textId="77777777" w:rsidR="007F5DBD" w:rsidRPr="001026E6" w:rsidRDefault="007F5DBD" w:rsidP="007F5DBD">
      <w:pPr>
        <w:pStyle w:val="Heading2"/>
        <w:tabs>
          <w:tab w:val="clear" w:pos="720"/>
        </w:tabs>
        <w:spacing w:after="0"/>
        <w:ind w:left="0" w:firstLine="0"/>
        <w:rPr>
          <w:szCs w:val="24"/>
        </w:rPr>
      </w:pPr>
      <w:bookmarkStart w:id="102" w:name="_Toc18571349"/>
      <w:bookmarkStart w:id="103" w:name="_Toc33443100"/>
      <w:r w:rsidRPr="001026E6">
        <w:rPr>
          <w:szCs w:val="24"/>
        </w:rPr>
        <w:t>Substance requirements</w:t>
      </w:r>
      <w:bookmarkEnd w:id="102"/>
      <w:bookmarkEnd w:id="103"/>
      <w:r w:rsidRPr="001026E6">
        <w:rPr>
          <w:szCs w:val="24"/>
        </w:rPr>
        <w:t xml:space="preserve"> </w:t>
      </w:r>
    </w:p>
    <w:p w14:paraId="3E49E7C6" w14:textId="77777777" w:rsidR="007F5DBD" w:rsidRPr="001026E6" w:rsidRDefault="007F5DBD" w:rsidP="007F5DBD">
      <w:pPr>
        <w:pStyle w:val="ListParagraph"/>
        <w:ind w:left="227"/>
        <w:jc w:val="both"/>
        <w:rPr>
          <w:rFonts w:cstheme="minorHAnsi"/>
          <w:b/>
          <w:bCs/>
          <w:sz w:val="24"/>
          <w:szCs w:val="24"/>
        </w:rPr>
      </w:pPr>
    </w:p>
    <w:p w14:paraId="344D64C8" w14:textId="77777777" w:rsidR="007F5DBD" w:rsidRPr="001026E6" w:rsidRDefault="007F5DBD" w:rsidP="006635F3">
      <w:pPr>
        <w:pStyle w:val="ListParagraph"/>
        <w:numPr>
          <w:ilvl w:val="0"/>
          <w:numId w:val="1"/>
        </w:numPr>
        <w:ind w:left="450"/>
        <w:jc w:val="both"/>
        <w:rPr>
          <w:sz w:val="24"/>
          <w:szCs w:val="24"/>
          <w:lang w:val="en-US"/>
        </w:rPr>
      </w:pPr>
      <w:r w:rsidRPr="001026E6">
        <w:rPr>
          <w:sz w:val="24"/>
          <w:szCs w:val="24"/>
          <w:lang w:val="en-US"/>
        </w:rPr>
        <w:t xml:space="preserve">In order to operate effectively within ADGM, Authorised Persons and holders of Recognition Orders for the operation of market infrastructures (including for all RIEs, MTFs, RCHs and DSFs) must commit resources of a nature allowing them to be operating in substance within ADGM.  The FSRA expects to see substantive resources committed within ADGM across all lines of activity, including, but not limited to, commercial, governance, compliance/surveillance, operations, technical, IT and HR functions.  In particular, the FSRA expects ‘mind and management’ to be located within ADGM.  </w:t>
      </w:r>
    </w:p>
    <w:p w14:paraId="18201BEF" w14:textId="77777777" w:rsidR="00CC597C" w:rsidRPr="001026E6" w:rsidRDefault="00CC597C" w:rsidP="007F5DBD">
      <w:pPr>
        <w:jc w:val="both"/>
        <w:rPr>
          <w:b/>
          <w:bCs/>
          <w:sz w:val="24"/>
          <w:szCs w:val="24"/>
          <w:lang w:val="en-US"/>
        </w:rPr>
      </w:pPr>
    </w:p>
    <w:p w14:paraId="22DC5A0C" w14:textId="77777777" w:rsidR="007F5DBD" w:rsidRPr="001026E6" w:rsidRDefault="007F5DBD" w:rsidP="007F5DBD">
      <w:pPr>
        <w:jc w:val="both"/>
        <w:rPr>
          <w:b/>
          <w:bCs/>
          <w:sz w:val="24"/>
          <w:szCs w:val="24"/>
          <w:lang w:val="en-US"/>
        </w:rPr>
      </w:pPr>
      <w:r w:rsidRPr="001026E6">
        <w:rPr>
          <w:b/>
          <w:bCs/>
          <w:sz w:val="24"/>
          <w:szCs w:val="24"/>
          <w:lang w:val="en-US"/>
        </w:rPr>
        <w:t>Third party audit obligations</w:t>
      </w:r>
    </w:p>
    <w:p w14:paraId="7A773700" w14:textId="77777777" w:rsidR="007F5DBD" w:rsidRPr="001026E6" w:rsidRDefault="007F5DBD" w:rsidP="007F5DBD">
      <w:pPr>
        <w:pStyle w:val="ListParagraph"/>
        <w:ind w:left="680"/>
        <w:jc w:val="both"/>
        <w:rPr>
          <w:i/>
          <w:iCs/>
          <w:sz w:val="24"/>
          <w:szCs w:val="24"/>
          <w:lang w:val="en-US"/>
        </w:rPr>
      </w:pPr>
    </w:p>
    <w:p w14:paraId="4A86077D" w14:textId="77777777" w:rsidR="007F5DBD" w:rsidRPr="001026E6" w:rsidRDefault="007F5DBD" w:rsidP="006635F3">
      <w:pPr>
        <w:pStyle w:val="ListParagraph"/>
        <w:numPr>
          <w:ilvl w:val="0"/>
          <w:numId w:val="1"/>
        </w:numPr>
        <w:ind w:left="450"/>
        <w:jc w:val="both"/>
        <w:rPr>
          <w:sz w:val="24"/>
          <w:szCs w:val="24"/>
          <w:lang w:val="en-US"/>
        </w:rPr>
      </w:pPr>
      <w:r w:rsidRPr="001026E6">
        <w:rPr>
          <w:sz w:val="24"/>
          <w:szCs w:val="24"/>
          <w:lang w:val="en-US"/>
        </w:rPr>
        <w:t xml:space="preserve"> All Authorised Persons and Recognised Bodies carrying out Digital Securities activities should have independent third party verification or checks carried out at least annually to verify that the amount and value of Digital Securities (and Client Money (e.g., fiat) held on custody on behalf of Clients) is correct and matches what is supposed to </w:t>
      </w:r>
      <w:r w:rsidR="006635F3" w:rsidRPr="001026E6">
        <w:rPr>
          <w:sz w:val="24"/>
          <w:szCs w:val="24"/>
          <w:lang w:val="en-US"/>
        </w:rPr>
        <w:t xml:space="preserve">be </w:t>
      </w:r>
      <w:r w:rsidRPr="001026E6">
        <w:rPr>
          <w:sz w:val="24"/>
          <w:szCs w:val="24"/>
          <w:lang w:val="en-US"/>
        </w:rPr>
        <w:t>h</w:t>
      </w:r>
      <w:r w:rsidR="006635F3" w:rsidRPr="001026E6">
        <w:rPr>
          <w:sz w:val="24"/>
          <w:szCs w:val="24"/>
          <w:lang w:val="en-US"/>
        </w:rPr>
        <w:t>e</w:t>
      </w:r>
      <w:r w:rsidRPr="001026E6">
        <w:rPr>
          <w:sz w:val="24"/>
          <w:szCs w:val="24"/>
          <w:lang w:val="en-US"/>
        </w:rPr>
        <w:t xml:space="preserve">ld. </w:t>
      </w:r>
    </w:p>
    <w:p w14:paraId="12DA366E" w14:textId="77777777" w:rsidR="00274841" w:rsidRPr="001026E6" w:rsidRDefault="00274841" w:rsidP="00B62910">
      <w:pPr>
        <w:pStyle w:val="Heading2"/>
        <w:tabs>
          <w:tab w:val="clear" w:pos="720"/>
          <w:tab w:val="num" w:pos="0"/>
        </w:tabs>
        <w:spacing w:after="0" w:line="240" w:lineRule="auto"/>
        <w:ind w:left="426" w:hanging="426"/>
        <w:rPr>
          <w:szCs w:val="24"/>
        </w:rPr>
      </w:pPr>
    </w:p>
    <w:p w14:paraId="5866E2A4" w14:textId="77777777" w:rsidR="007F5DBD" w:rsidRPr="001026E6" w:rsidRDefault="007F5DBD" w:rsidP="00B62910">
      <w:pPr>
        <w:pStyle w:val="Heading2"/>
        <w:tabs>
          <w:tab w:val="clear" w:pos="720"/>
          <w:tab w:val="num" w:pos="0"/>
        </w:tabs>
        <w:spacing w:after="0" w:line="240" w:lineRule="auto"/>
        <w:ind w:left="426" w:hanging="426"/>
        <w:rPr>
          <w:szCs w:val="24"/>
        </w:rPr>
      </w:pPr>
      <w:bookmarkStart w:id="104" w:name="_Toc18571350"/>
      <w:bookmarkStart w:id="105" w:name="_Toc33443101"/>
      <w:r w:rsidRPr="001026E6">
        <w:rPr>
          <w:szCs w:val="24"/>
        </w:rPr>
        <w:t>Third party outsourcing</w:t>
      </w:r>
      <w:bookmarkEnd w:id="104"/>
      <w:bookmarkEnd w:id="105"/>
    </w:p>
    <w:p w14:paraId="7E118EC2" w14:textId="77777777" w:rsidR="007F5DBD" w:rsidRPr="001026E6" w:rsidRDefault="007F5DBD" w:rsidP="00B62910">
      <w:pPr>
        <w:pStyle w:val="ListParagraph"/>
        <w:keepNext/>
        <w:ind w:left="644"/>
        <w:jc w:val="both"/>
        <w:rPr>
          <w:sz w:val="24"/>
          <w:szCs w:val="24"/>
          <w:lang w:val="en-US"/>
        </w:rPr>
      </w:pPr>
    </w:p>
    <w:p w14:paraId="029E98E0" w14:textId="135E4E0B" w:rsidR="007F5DBD" w:rsidRPr="001026E6" w:rsidRDefault="007F5DBD" w:rsidP="006635F3">
      <w:pPr>
        <w:pStyle w:val="ListParagraph"/>
        <w:keepNext/>
        <w:numPr>
          <w:ilvl w:val="0"/>
          <w:numId w:val="1"/>
        </w:numPr>
        <w:ind w:left="450"/>
        <w:jc w:val="both"/>
        <w:rPr>
          <w:sz w:val="24"/>
          <w:szCs w:val="24"/>
          <w:lang w:val="en-US"/>
        </w:rPr>
      </w:pPr>
      <w:r w:rsidRPr="001026E6">
        <w:rPr>
          <w:sz w:val="24"/>
          <w:szCs w:val="24"/>
          <w:lang w:val="en-US"/>
        </w:rPr>
        <w:t xml:space="preserve">FSRA’s policy position on outsourcing is set out paragraphs </w:t>
      </w:r>
      <w:r w:rsidR="0077595A" w:rsidRPr="001026E6">
        <w:rPr>
          <w:sz w:val="24"/>
          <w:szCs w:val="24"/>
          <w:lang w:val="en-US"/>
        </w:rPr>
        <w:t>82</w:t>
      </w:r>
      <w:r w:rsidRPr="001026E6">
        <w:rPr>
          <w:sz w:val="24"/>
          <w:szCs w:val="24"/>
          <w:lang w:val="en-US"/>
        </w:rPr>
        <w:t>-8</w:t>
      </w:r>
      <w:r w:rsidR="0077595A" w:rsidRPr="001026E6">
        <w:rPr>
          <w:sz w:val="24"/>
          <w:szCs w:val="24"/>
          <w:lang w:val="en-US"/>
        </w:rPr>
        <w:t>7</w:t>
      </w:r>
      <w:r w:rsidRPr="001026E6">
        <w:rPr>
          <w:sz w:val="24"/>
          <w:szCs w:val="24"/>
          <w:lang w:val="en-US"/>
        </w:rPr>
        <w:t xml:space="preserve"> of the </w:t>
      </w:r>
      <w:r w:rsidR="00E720F1" w:rsidRPr="001026E6">
        <w:rPr>
          <w:sz w:val="24"/>
          <w:szCs w:val="24"/>
          <w:lang w:val="en-US"/>
        </w:rPr>
        <w:t>Virtual Assets Guidance</w:t>
      </w:r>
      <w:r w:rsidR="006635F3" w:rsidRPr="001026E6">
        <w:rPr>
          <w:sz w:val="24"/>
          <w:szCs w:val="24"/>
          <w:lang w:val="en-US"/>
        </w:rPr>
        <w:t xml:space="preserve">, and </w:t>
      </w:r>
      <w:r w:rsidRPr="001026E6">
        <w:rPr>
          <w:sz w:val="24"/>
          <w:szCs w:val="24"/>
          <w:lang w:val="en-US"/>
        </w:rPr>
        <w:t xml:space="preserve">applies equally to entities engaged in Digital Securities activities.  In addition, FSRA expects that any outsourcing arrangements will meet </w:t>
      </w:r>
      <w:r w:rsidRPr="001026E6">
        <w:rPr>
          <w:sz w:val="24"/>
          <w:szCs w:val="24"/>
          <w:lang w:val="en-US"/>
        </w:rPr>
        <w:lastRenderedPageBreak/>
        <w:t xml:space="preserve">international regulatory guidelines applicable to outsourcing arrangements, including in relation to its contractual arrangements.    </w:t>
      </w:r>
    </w:p>
    <w:p w14:paraId="195B682C" w14:textId="77777777" w:rsidR="00D73704" w:rsidRPr="001026E6" w:rsidRDefault="00D73704" w:rsidP="00D73704">
      <w:pPr>
        <w:pStyle w:val="ListParagraph"/>
        <w:ind w:left="450"/>
        <w:jc w:val="both"/>
        <w:rPr>
          <w:sz w:val="24"/>
          <w:szCs w:val="24"/>
          <w:lang w:val="en-US"/>
        </w:rPr>
      </w:pPr>
    </w:p>
    <w:p w14:paraId="62B82C90" w14:textId="77777777" w:rsidR="007F5DBD" w:rsidRPr="001026E6" w:rsidRDefault="007F5DBD" w:rsidP="007F5DBD">
      <w:pPr>
        <w:pStyle w:val="Heading2"/>
      </w:pPr>
      <w:bookmarkStart w:id="106" w:name="_Toc18571351"/>
      <w:bookmarkStart w:id="107" w:name="_Toc33443102"/>
      <w:r w:rsidRPr="001026E6">
        <w:t>Anti-Money Laundering and Countering Financing of Terrorism</w:t>
      </w:r>
      <w:bookmarkEnd w:id="106"/>
      <w:bookmarkEnd w:id="107"/>
    </w:p>
    <w:p w14:paraId="4E927338" w14:textId="77777777" w:rsidR="007F5DBD" w:rsidRPr="001026E6" w:rsidRDefault="007F5DBD" w:rsidP="007F5DBD">
      <w:pPr>
        <w:pStyle w:val="ListParagraph"/>
        <w:numPr>
          <w:ilvl w:val="0"/>
          <w:numId w:val="1"/>
        </w:numPr>
        <w:ind w:left="450"/>
        <w:jc w:val="both"/>
        <w:rPr>
          <w:rFonts w:cs="Helvetica"/>
          <w:sz w:val="24"/>
          <w:szCs w:val="24"/>
        </w:rPr>
      </w:pPr>
      <w:r w:rsidRPr="001026E6">
        <w:rPr>
          <w:rFonts w:eastAsia="Calibri" w:cstheme="minorHAnsi"/>
          <w:sz w:val="24"/>
          <w:szCs w:val="24"/>
        </w:rPr>
        <w:t xml:space="preserve">As is required of all Authorised Persons and Recognised Bodies operating within the ADGM, those </w:t>
      </w:r>
      <w:r w:rsidRPr="001026E6">
        <w:rPr>
          <w:sz w:val="24"/>
          <w:szCs w:val="24"/>
          <w:lang w:val="en-US"/>
        </w:rPr>
        <w:t xml:space="preserve">entities </w:t>
      </w:r>
      <w:r w:rsidRPr="001026E6">
        <w:rPr>
          <w:rFonts w:eastAsia="Calibri" w:cstheme="minorHAnsi"/>
          <w:sz w:val="24"/>
          <w:szCs w:val="24"/>
        </w:rPr>
        <w:t>seeking to undertake Digital Securities-based financial services activities are required to comply with the FSRA’s Anti Money Laundering and Countering Financing of Terrorism “AML/CFT” framework including, among other things:</w:t>
      </w:r>
    </w:p>
    <w:p w14:paraId="635AFC31" w14:textId="77777777" w:rsidR="007F5DBD" w:rsidRPr="001026E6" w:rsidRDefault="007F5DBD" w:rsidP="007F5DBD">
      <w:pPr>
        <w:pStyle w:val="ListParagraph"/>
        <w:ind w:left="1440"/>
        <w:jc w:val="both"/>
        <w:rPr>
          <w:rFonts w:cs="Helvetica"/>
          <w:sz w:val="24"/>
          <w:szCs w:val="24"/>
        </w:rPr>
      </w:pPr>
    </w:p>
    <w:p w14:paraId="3489BD44" w14:textId="77777777" w:rsidR="007F5DBD" w:rsidRPr="001026E6" w:rsidRDefault="007F5DBD" w:rsidP="00BC4034">
      <w:pPr>
        <w:pStyle w:val="Heading4"/>
        <w:numPr>
          <w:ilvl w:val="0"/>
          <w:numId w:val="1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UAE AML/CFT Federal Laws, including the UAE Cabinet Resolution No. (10) of 2019 Concerning the Executive Regulation of the Federal Law No. 20 of 2018 concerning Anti-Money Laundering and Combating Terrorism Financing;</w:t>
      </w:r>
    </w:p>
    <w:p w14:paraId="232EAEE6" w14:textId="77777777" w:rsidR="007F5DBD" w:rsidRPr="001026E6" w:rsidRDefault="007F5DBD" w:rsidP="007F5DBD">
      <w:pPr>
        <w:pStyle w:val="Heading4"/>
        <w:tabs>
          <w:tab w:val="clear" w:pos="1440"/>
        </w:tabs>
        <w:spacing w:after="0" w:line="240" w:lineRule="auto"/>
        <w:ind w:left="851" w:firstLine="0"/>
        <w:rPr>
          <w:rFonts w:asciiTheme="minorHAnsi" w:eastAsiaTheme="minorHAnsi" w:hAnsiTheme="minorHAnsi" w:cs="Helvetica"/>
          <w:bCs w:val="0"/>
          <w:iCs w:val="0"/>
          <w:sz w:val="24"/>
        </w:rPr>
      </w:pPr>
    </w:p>
    <w:p w14:paraId="50F8752F" w14:textId="77777777" w:rsidR="00BC4034" w:rsidRPr="001026E6" w:rsidRDefault="00BC4034" w:rsidP="00BC4034">
      <w:pPr>
        <w:pStyle w:val="Heading4"/>
        <w:numPr>
          <w:ilvl w:val="0"/>
          <w:numId w:val="1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theme="minorHAnsi"/>
          <w:bCs w:val="0"/>
          <w:iCs w:val="0"/>
          <w:sz w:val="24"/>
        </w:rPr>
        <w:t xml:space="preserve">UAE </w:t>
      </w:r>
      <w:r w:rsidRPr="001026E6">
        <w:rPr>
          <w:rFonts w:asciiTheme="minorHAnsi" w:hAnsiTheme="minorHAnsi" w:cstheme="minorHAnsi"/>
          <w:sz w:val="24"/>
        </w:rPr>
        <w:t>Cabinet Resolution 20 of 2019 concerning the procedures of dealing with those listed under the UN sanctions list and UAE/local terrorist lists issued by the Cabinet, including</w:t>
      </w:r>
      <w:r w:rsidRPr="001026E6">
        <w:rPr>
          <w:sz w:val="24"/>
        </w:rPr>
        <w:t xml:space="preserve"> </w:t>
      </w:r>
      <w:r w:rsidRPr="001026E6">
        <w:rPr>
          <w:rFonts w:asciiTheme="minorHAnsi" w:eastAsiaTheme="minorHAnsi" w:hAnsiTheme="minorHAnsi" w:cs="Helvetica"/>
          <w:bCs w:val="0"/>
          <w:iCs w:val="0"/>
          <w:sz w:val="24"/>
        </w:rPr>
        <w:t xml:space="preserve">the FSRA AML and Sanctions Rules and Guidance (“AML Rules”) or such other AML rules as may be applicable in ADGM from time to time; and </w:t>
      </w:r>
    </w:p>
    <w:p w14:paraId="66B47ECA" w14:textId="77777777" w:rsidR="00BC4034" w:rsidRPr="001026E6" w:rsidRDefault="00BC4034" w:rsidP="0003106E">
      <w:pPr>
        <w:pStyle w:val="ListParagraph"/>
        <w:rPr>
          <w:rFonts w:cs="Helvetica"/>
          <w:bCs/>
          <w:iCs/>
          <w:sz w:val="24"/>
        </w:rPr>
      </w:pPr>
    </w:p>
    <w:p w14:paraId="3570E8BF" w14:textId="77777777" w:rsidR="007F5DBD" w:rsidRPr="001026E6" w:rsidRDefault="007F5DBD" w:rsidP="007F5DBD">
      <w:pPr>
        <w:pStyle w:val="Heading4"/>
        <w:numPr>
          <w:ilvl w:val="0"/>
          <w:numId w:val="1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 xml:space="preserve">the FSRA AML and Sanctions Rules and Guidance (“AML Rules”) or such other AML rules as may be applicable in ADGM from time to time; and </w:t>
      </w:r>
    </w:p>
    <w:p w14:paraId="479DA74D" w14:textId="77777777" w:rsidR="007F5DBD" w:rsidRPr="001026E6" w:rsidRDefault="007F5DBD" w:rsidP="007F5DBD">
      <w:pPr>
        <w:pStyle w:val="ListParagraph"/>
        <w:rPr>
          <w:rFonts w:cs="Helvetica"/>
          <w:bCs/>
          <w:iCs/>
          <w:sz w:val="24"/>
        </w:rPr>
      </w:pPr>
    </w:p>
    <w:p w14:paraId="06280C7E" w14:textId="77777777" w:rsidR="007F5DBD" w:rsidRPr="001026E6" w:rsidRDefault="007F5DBD" w:rsidP="007F5DBD">
      <w:pPr>
        <w:pStyle w:val="Heading4"/>
        <w:numPr>
          <w:ilvl w:val="0"/>
          <w:numId w:val="16"/>
        </w:numPr>
        <w:spacing w:after="0" w:line="240" w:lineRule="auto"/>
        <w:ind w:left="851"/>
        <w:rPr>
          <w:rFonts w:asciiTheme="minorHAnsi" w:eastAsiaTheme="minorHAnsi" w:hAnsiTheme="minorHAnsi" w:cs="Helvetica"/>
          <w:bCs w:val="0"/>
          <w:iCs w:val="0"/>
          <w:sz w:val="24"/>
        </w:rPr>
      </w:pPr>
      <w:r w:rsidRPr="001026E6">
        <w:rPr>
          <w:rFonts w:asciiTheme="minorHAnsi" w:eastAsiaTheme="minorHAnsi" w:hAnsiTheme="minorHAnsi" w:cs="Helvetica"/>
          <w:bCs w:val="0"/>
          <w:iCs w:val="0"/>
          <w:sz w:val="24"/>
        </w:rPr>
        <w:t>the adoption of international best practices (including FATF Recommendations).</w:t>
      </w:r>
    </w:p>
    <w:p w14:paraId="4973F73E" w14:textId="77777777" w:rsidR="007F5DBD" w:rsidRPr="001026E6" w:rsidRDefault="007F5DBD" w:rsidP="007F5DBD">
      <w:pPr>
        <w:pStyle w:val="BodyTextNumbered"/>
        <w:numPr>
          <w:ilvl w:val="0"/>
          <w:numId w:val="0"/>
        </w:numPr>
        <w:spacing w:before="0" w:after="0"/>
        <w:ind w:left="357"/>
        <w:rPr>
          <w:i/>
          <w:color w:val="auto"/>
          <w:sz w:val="24"/>
          <w:u w:val="single"/>
          <w:lang w:val="en-GB"/>
        </w:rPr>
      </w:pPr>
      <w:bookmarkStart w:id="108" w:name="_Toc512695610"/>
      <w:bookmarkStart w:id="109" w:name="_Toc514588779"/>
      <w:bookmarkStart w:id="110" w:name="_Toc517602849"/>
    </w:p>
    <w:p w14:paraId="00E0EB94" w14:textId="587D0E11" w:rsidR="007F5DBD" w:rsidRPr="001026E6" w:rsidRDefault="007F5DBD" w:rsidP="00A846EB">
      <w:pPr>
        <w:pStyle w:val="ListParagraph"/>
        <w:numPr>
          <w:ilvl w:val="0"/>
          <w:numId w:val="1"/>
        </w:numPr>
        <w:ind w:left="450"/>
        <w:jc w:val="both"/>
        <w:rPr>
          <w:rFonts w:eastAsia="Calibri"/>
          <w:sz w:val="24"/>
          <w:szCs w:val="24"/>
        </w:rPr>
      </w:pPr>
      <w:r w:rsidRPr="001026E6">
        <w:rPr>
          <w:rFonts w:eastAsia="Calibri" w:cstheme="minorHAnsi"/>
          <w:sz w:val="24"/>
          <w:szCs w:val="24"/>
        </w:rPr>
        <w:lastRenderedPageBreak/>
        <w:t xml:space="preserve">For </w:t>
      </w:r>
      <w:r w:rsidR="006635F3" w:rsidRPr="001026E6">
        <w:rPr>
          <w:rFonts w:eastAsia="Calibri" w:cstheme="minorHAnsi"/>
          <w:sz w:val="24"/>
          <w:szCs w:val="24"/>
        </w:rPr>
        <w:t xml:space="preserve">a </w:t>
      </w:r>
      <w:r w:rsidRPr="001026E6">
        <w:rPr>
          <w:rFonts w:eastAsia="Calibri" w:cstheme="minorHAnsi"/>
          <w:sz w:val="24"/>
          <w:szCs w:val="24"/>
        </w:rPr>
        <w:t xml:space="preserve">further understanding of the FSRA’s policy position in relation to AML, the FSRA recommends readers consider, as applicable, paragraphs </w:t>
      </w:r>
      <w:r w:rsidR="00CD7596" w:rsidRPr="001026E6">
        <w:rPr>
          <w:rFonts w:eastAsia="Calibri" w:cstheme="minorHAnsi"/>
          <w:sz w:val="24"/>
          <w:szCs w:val="24"/>
        </w:rPr>
        <w:t>37-4</w:t>
      </w:r>
      <w:r w:rsidR="0061393A" w:rsidRPr="001026E6">
        <w:rPr>
          <w:rFonts w:eastAsia="Calibri" w:cstheme="minorHAnsi"/>
          <w:sz w:val="24"/>
          <w:szCs w:val="24"/>
        </w:rPr>
        <w:t>5</w:t>
      </w:r>
      <w:r w:rsidR="00CD7596" w:rsidRPr="001026E6">
        <w:rPr>
          <w:rFonts w:eastAsia="Calibri" w:cstheme="minorHAnsi"/>
          <w:sz w:val="24"/>
          <w:szCs w:val="24"/>
        </w:rPr>
        <w:t xml:space="preserve"> </w:t>
      </w:r>
      <w:r w:rsidRPr="001026E6">
        <w:rPr>
          <w:rFonts w:eastAsia="Calibri" w:cstheme="minorHAnsi"/>
          <w:sz w:val="24"/>
          <w:szCs w:val="24"/>
        </w:rPr>
        <w:t xml:space="preserve">of the </w:t>
      </w:r>
      <w:r w:rsidR="00E720F1" w:rsidRPr="001026E6">
        <w:rPr>
          <w:rFonts w:eastAsia="Calibri" w:cstheme="minorHAnsi"/>
          <w:sz w:val="24"/>
          <w:szCs w:val="24"/>
        </w:rPr>
        <w:t>Virtual Assets Guidance</w:t>
      </w:r>
      <w:r w:rsidRPr="001026E6">
        <w:rPr>
          <w:rFonts w:eastAsia="Calibri" w:cstheme="minorHAnsi"/>
          <w:sz w:val="24"/>
          <w:szCs w:val="24"/>
        </w:rPr>
        <w:t>, particularly as it relates to</w:t>
      </w:r>
      <w:r w:rsidR="00841ABC" w:rsidRPr="001026E6">
        <w:rPr>
          <w:rFonts w:eastAsia="Calibri" w:cstheme="minorHAnsi"/>
          <w:sz w:val="24"/>
          <w:szCs w:val="24"/>
        </w:rPr>
        <w:t xml:space="preserve"> Digital </w:t>
      </w:r>
      <w:r w:rsidR="00A846EB" w:rsidRPr="001026E6">
        <w:rPr>
          <w:rFonts w:eastAsia="Calibri" w:cstheme="minorHAnsi"/>
          <w:sz w:val="24"/>
          <w:szCs w:val="24"/>
        </w:rPr>
        <w:t xml:space="preserve">Securities </w:t>
      </w:r>
      <w:r w:rsidR="00841ABC" w:rsidRPr="001026E6">
        <w:rPr>
          <w:rFonts w:eastAsia="Calibri" w:cstheme="minorHAnsi"/>
          <w:sz w:val="24"/>
          <w:szCs w:val="24"/>
        </w:rPr>
        <w:t xml:space="preserve">and </w:t>
      </w:r>
      <w:r w:rsidRPr="001026E6">
        <w:rPr>
          <w:rFonts w:eastAsia="Calibri" w:cstheme="minorHAnsi"/>
          <w:sz w:val="24"/>
          <w:szCs w:val="24"/>
        </w:rPr>
        <w:t xml:space="preserve">the FATF Recommendations. </w:t>
      </w:r>
    </w:p>
    <w:p w14:paraId="4FBA4F60" w14:textId="77777777" w:rsidR="007F5DBD" w:rsidRPr="001026E6" w:rsidRDefault="007F5DBD" w:rsidP="007F5DBD">
      <w:pPr>
        <w:pStyle w:val="BodyTextNumbered"/>
        <w:numPr>
          <w:ilvl w:val="0"/>
          <w:numId w:val="0"/>
        </w:numPr>
        <w:spacing w:before="0" w:after="0"/>
        <w:ind w:left="360"/>
        <w:rPr>
          <w:i/>
          <w:color w:val="auto"/>
          <w:sz w:val="24"/>
          <w:u w:val="single"/>
          <w:lang w:val="en-GB"/>
        </w:rPr>
      </w:pPr>
    </w:p>
    <w:p w14:paraId="39840213" w14:textId="77777777" w:rsidR="007F5DBD" w:rsidRPr="001026E6" w:rsidRDefault="007F5DBD" w:rsidP="007F5DBD">
      <w:pPr>
        <w:pStyle w:val="Heading2"/>
      </w:pPr>
      <w:bookmarkStart w:id="111" w:name="_Toc511714350"/>
      <w:bookmarkStart w:id="112" w:name="_Toc512695611"/>
      <w:bookmarkStart w:id="113" w:name="_Toc514588780"/>
      <w:bookmarkStart w:id="114" w:name="_Toc517602850"/>
      <w:bookmarkStart w:id="115" w:name="_Toc18571352"/>
      <w:bookmarkStart w:id="116" w:name="_Toc33443103"/>
      <w:bookmarkEnd w:id="108"/>
      <w:bookmarkEnd w:id="109"/>
      <w:bookmarkEnd w:id="110"/>
      <w:r w:rsidRPr="001026E6">
        <w:t>International Tax Reporting Obligations</w:t>
      </w:r>
      <w:bookmarkEnd w:id="111"/>
      <w:bookmarkEnd w:id="112"/>
      <w:bookmarkEnd w:id="113"/>
      <w:bookmarkEnd w:id="114"/>
      <w:bookmarkEnd w:id="115"/>
      <w:bookmarkEnd w:id="116"/>
      <w:r w:rsidRPr="001026E6">
        <w:t xml:space="preserve"> </w:t>
      </w:r>
    </w:p>
    <w:p w14:paraId="18505CEF" w14:textId="77777777" w:rsidR="007F5DBD" w:rsidRPr="001026E6" w:rsidRDefault="007F5DBD" w:rsidP="00564344">
      <w:pPr>
        <w:pStyle w:val="ListParagraph"/>
        <w:numPr>
          <w:ilvl w:val="0"/>
          <w:numId w:val="1"/>
        </w:numPr>
        <w:ind w:left="360"/>
        <w:jc w:val="both"/>
        <w:rPr>
          <w:sz w:val="24"/>
          <w:szCs w:val="24"/>
          <w:lang w:val="en-US"/>
        </w:rPr>
      </w:pPr>
      <w:r w:rsidRPr="001026E6">
        <w:rPr>
          <w:sz w:val="24"/>
          <w:szCs w:val="24"/>
          <w:lang w:val="en-US"/>
        </w:rPr>
        <w:t>All entities seeking to engage in Digital Securities</w:t>
      </w:r>
      <w:r w:rsidR="00564344" w:rsidRPr="001026E6">
        <w:rPr>
          <w:sz w:val="24"/>
          <w:szCs w:val="24"/>
          <w:lang w:val="en-US"/>
        </w:rPr>
        <w:t xml:space="preserve">-based financial services </w:t>
      </w:r>
      <w:r w:rsidRPr="001026E6">
        <w:rPr>
          <w:sz w:val="24"/>
          <w:szCs w:val="24"/>
          <w:lang w:val="en-US"/>
        </w:rPr>
        <w:t>activities must consider and, if applicable, adhere to their tax reporting obligations including, as applicable, under the Foreign Account Tax Compliance Act (“FATCA”) and the ADGM Common Reporting Standard Regulations 2017.</w:t>
      </w:r>
    </w:p>
    <w:p w14:paraId="5E0A01FB" w14:textId="77777777" w:rsidR="007F5DBD" w:rsidRPr="001026E6" w:rsidRDefault="007F5DBD" w:rsidP="00D73704">
      <w:pPr>
        <w:jc w:val="both"/>
        <w:rPr>
          <w:rFonts w:eastAsiaTheme="majorEastAsia" w:cs="Times New Roman"/>
          <w:b/>
          <w:bCs/>
          <w:sz w:val="24"/>
          <w:szCs w:val="24"/>
          <w:lang w:val="en-US"/>
        </w:rPr>
      </w:pPr>
    </w:p>
    <w:p w14:paraId="40FAED20" w14:textId="77777777" w:rsidR="00EC68E8" w:rsidRPr="001026E6" w:rsidRDefault="00EC68E8" w:rsidP="00D73704">
      <w:pPr>
        <w:jc w:val="both"/>
        <w:rPr>
          <w:rFonts w:eastAsiaTheme="majorEastAsia" w:cs="Times New Roman"/>
          <w:b/>
          <w:bCs/>
          <w:sz w:val="24"/>
          <w:szCs w:val="24"/>
        </w:rPr>
      </w:pPr>
      <w:r w:rsidRPr="001026E6">
        <w:rPr>
          <w:rFonts w:eastAsiaTheme="majorEastAsia" w:cs="Times New Roman"/>
          <w:b/>
          <w:bCs/>
          <w:sz w:val="24"/>
          <w:szCs w:val="24"/>
        </w:rPr>
        <w:t xml:space="preserve">Data protection obligations for </w:t>
      </w:r>
      <w:r w:rsidR="00545E76" w:rsidRPr="001026E6">
        <w:rPr>
          <w:rFonts w:eastAsiaTheme="majorEastAsia" w:cs="Times New Roman"/>
          <w:b/>
          <w:bCs/>
          <w:sz w:val="24"/>
          <w:szCs w:val="24"/>
        </w:rPr>
        <w:t>Issuers</w:t>
      </w:r>
    </w:p>
    <w:p w14:paraId="7567B086" w14:textId="77777777" w:rsidR="00D73704" w:rsidRPr="001026E6" w:rsidRDefault="00D73704" w:rsidP="00D73704">
      <w:pPr>
        <w:pStyle w:val="ListParagraph"/>
        <w:ind w:left="450"/>
        <w:jc w:val="both"/>
        <w:rPr>
          <w:sz w:val="24"/>
          <w:szCs w:val="24"/>
          <w:lang w:val="en-US"/>
        </w:rPr>
      </w:pPr>
    </w:p>
    <w:p w14:paraId="25EC04F5" w14:textId="570AE5AE" w:rsidR="00EC68E8" w:rsidRPr="001026E6" w:rsidRDefault="00545E76" w:rsidP="00CD7596">
      <w:pPr>
        <w:pStyle w:val="ListParagraph"/>
        <w:numPr>
          <w:ilvl w:val="0"/>
          <w:numId w:val="1"/>
        </w:numPr>
        <w:ind w:left="450"/>
        <w:jc w:val="both"/>
        <w:rPr>
          <w:sz w:val="24"/>
          <w:szCs w:val="24"/>
          <w:lang w:val="en-US"/>
        </w:rPr>
      </w:pPr>
      <w:r w:rsidRPr="001026E6">
        <w:rPr>
          <w:sz w:val="24"/>
          <w:szCs w:val="24"/>
          <w:lang w:val="en-US"/>
        </w:rPr>
        <w:t>Issuers</w:t>
      </w:r>
      <w:r w:rsidR="003A4E84" w:rsidRPr="001026E6">
        <w:rPr>
          <w:sz w:val="24"/>
          <w:szCs w:val="24"/>
          <w:lang w:val="en-US"/>
        </w:rPr>
        <w:t>, and other holders of client data,</w:t>
      </w:r>
      <w:r w:rsidRPr="001026E6">
        <w:rPr>
          <w:sz w:val="24"/>
          <w:szCs w:val="24"/>
          <w:lang w:val="en-US"/>
        </w:rPr>
        <w:t xml:space="preserve"> should familiari</w:t>
      </w:r>
      <w:r w:rsidR="003A4E84" w:rsidRPr="001026E6">
        <w:rPr>
          <w:sz w:val="24"/>
          <w:szCs w:val="24"/>
          <w:lang w:val="en-US"/>
        </w:rPr>
        <w:t>s</w:t>
      </w:r>
      <w:r w:rsidRPr="001026E6">
        <w:rPr>
          <w:sz w:val="24"/>
          <w:szCs w:val="24"/>
          <w:lang w:val="en-US"/>
        </w:rPr>
        <w:t>e themselves with the data protection obligations applying within ADGM.  Further information regarding the ADGM’s data protection requirements is addressed at paragraphs 1</w:t>
      </w:r>
      <w:r w:rsidR="0061393A" w:rsidRPr="001026E6">
        <w:rPr>
          <w:sz w:val="24"/>
          <w:szCs w:val="24"/>
          <w:lang w:val="en-US"/>
        </w:rPr>
        <w:t>13</w:t>
      </w:r>
      <w:r w:rsidR="00CD7596" w:rsidRPr="001026E6">
        <w:rPr>
          <w:sz w:val="24"/>
          <w:szCs w:val="24"/>
          <w:lang w:val="en-US"/>
        </w:rPr>
        <w:t xml:space="preserve"> </w:t>
      </w:r>
      <w:r w:rsidRPr="001026E6">
        <w:rPr>
          <w:sz w:val="24"/>
          <w:szCs w:val="24"/>
          <w:lang w:val="en-US"/>
        </w:rPr>
        <w:t>-</w:t>
      </w:r>
      <w:r w:rsidR="00CD7596" w:rsidRPr="001026E6">
        <w:rPr>
          <w:sz w:val="24"/>
          <w:szCs w:val="24"/>
          <w:lang w:val="en-US"/>
        </w:rPr>
        <w:t xml:space="preserve"> </w:t>
      </w:r>
      <w:r w:rsidRPr="001026E6">
        <w:rPr>
          <w:sz w:val="24"/>
          <w:szCs w:val="24"/>
          <w:lang w:val="en-US"/>
        </w:rPr>
        <w:t>11</w:t>
      </w:r>
      <w:r w:rsidR="0061393A" w:rsidRPr="001026E6">
        <w:rPr>
          <w:sz w:val="24"/>
          <w:szCs w:val="24"/>
          <w:lang w:val="en-US"/>
        </w:rPr>
        <w:t>8</w:t>
      </w:r>
      <w:r w:rsidRPr="001026E6">
        <w:rPr>
          <w:sz w:val="24"/>
          <w:szCs w:val="24"/>
          <w:lang w:val="en-US"/>
        </w:rPr>
        <w:t xml:space="preserve"> of the </w:t>
      </w:r>
      <w:r w:rsidR="00E720F1" w:rsidRPr="001026E6">
        <w:rPr>
          <w:sz w:val="24"/>
          <w:szCs w:val="24"/>
          <w:lang w:val="en-US"/>
        </w:rPr>
        <w:t>Virtual Assets Guidance</w:t>
      </w:r>
      <w:r w:rsidRPr="001026E6">
        <w:rPr>
          <w:sz w:val="24"/>
          <w:szCs w:val="24"/>
          <w:lang w:val="en-US"/>
        </w:rPr>
        <w:t xml:space="preserve">. </w:t>
      </w:r>
    </w:p>
    <w:p w14:paraId="6A8703A4" w14:textId="77777777" w:rsidR="00EC68E8" w:rsidRPr="001026E6" w:rsidRDefault="00EC68E8" w:rsidP="00EC68E8">
      <w:pPr>
        <w:jc w:val="both"/>
        <w:rPr>
          <w:rFonts w:cstheme="minorHAnsi"/>
          <w:sz w:val="24"/>
          <w:szCs w:val="24"/>
        </w:rPr>
      </w:pPr>
    </w:p>
    <w:p w14:paraId="58A3A635" w14:textId="77777777" w:rsidR="007C357A" w:rsidRPr="001026E6" w:rsidRDefault="007C357A" w:rsidP="007C357A">
      <w:pPr>
        <w:pStyle w:val="Heading2"/>
      </w:pPr>
      <w:bookmarkStart w:id="117" w:name="_Toc18571353"/>
      <w:bookmarkStart w:id="118" w:name="_Toc33443104"/>
      <w:bookmarkStart w:id="119" w:name="_Toc512695604"/>
      <w:bookmarkStart w:id="120" w:name="_Toc514588773"/>
      <w:bookmarkStart w:id="121" w:name="_Toc517602843"/>
      <w:r w:rsidRPr="001026E6">
        <w:t>Margin trading</w:t>
      </w:r>
      <w:bookmarkEnd w:id="117"/>
      <w:bookmarkEnd w:id="118"/>
    </w:p>
    <w:p w14:paraId="192C3438" w14:textId="4A103236" w:rsidR="007C357A" w:rsidRPr="001026E6" w:rsidRDefault="003A4E84">
      <w:pPr>
        <w:pStyle w:val="ListParagraph"/>
        <w:numPr>
          <w:ilvl w:val="0"/>
          <w:numId w:val="1"/>
        </w:numPr>
        <w:ind w:left="450"/>
        <w:jc w:val="both"/>
        <w:rPr>
          <w:sz w:val="24"/>
          <w:szCs w:val="24"/>
          <w:lang w:val="en-US"/>
        </w:rPr>
      </w:pPr>
      <w:r w:rsidRPr="001026E6">
        <w:rPr>
          <w:sz w:val="24"/>
          <w:szCs w:val="24"/>
          <w:lang w:val="en-US"/>
        </w:rPr>
        <w:t>Entities</w:t>
      </w:r>
      <w:r w:rsidR="007C357A" w:rsidRPr="001026E6">
        <w:rPr>
          <w:sz w:val="24"/>
          <w:szCs w:val="24"/>
          <w:lang w:val="en-US"/>
        </w:rPr>
        <w:t xml:space="preserve"> wishing to provide margin trading to its Clients will need to submit for approval details of the terms upon which it proposes to do so (for an Applicant, in its Application</w:t>
      </w:r>
      <w:r w:rsidR="00840E5C" w:rsidRPr="001026E6">
        <w:rPr>
          <w:sz w:val="24"/>
          <w:szCs w:val="24"/>
          <w:lang w:val="en-US"/>
        </w:rPr>
        <w:t>;</w:t>
      </w:r>
      <w:r w:rsidR="007C357A" w:rsidRPr="001026E6">
        <w:rPr>
          <w:sz w:val="24"/>
          <w:szCs w:val="24"/>
          <w:lang w:val="en-US"/>
        </w:rPr>
        <w:t xml:space="preserve"> for </w:t>
      </w:r>
      <w:r w:rsidR="00624767" w:rsidRPr="001026E6">
        <w:rPr>
          <w:sz w:val="24"/>
          <w:szCs w:val="24"/>
          <w:lang w:val="en-US"/>
        </w:rPr>
        <w:t xml:space="preserve">an </w:t>
      </w:r>
      <w:r w:rsidR="008B126D" w:rsidRPr="001026E6">
        <w:rPr>
          <w:sz w:val="24"/>
          <w:szCs w:val="24"/>
          <w:lang w:val="en-US"/>
        </w:rPr>
        <w:t>Authorised Person</w:t>
      </w:r>
      <w:r w:rsidRPr="001026E6">
        <w:rPr>
          <w:sz w:val="24"/>
          <w:szCs w:val="24"/>
          <w:lang w:val="en-US"/>
        </w:rPr>
        <w:t xml:space="preserve"> </w:t>
      </w:r>
      <w:r w:rsidR="00624767" w:rsidRPr="001026E6">
        <w:rPr>
          <w:sz w:val="24"/>
          <w:szCs w:val="24"/>
          <w:lang w:val="en-US"/>
        </w:rPr>
        <w:t>or Recognition Order holder</w:t>
      </w:r>
      <w:r w:rsidR="00840E5C" w:rsidRPr="001026E6">
        <w:rPr>
          <w:sz w:val="24"/>
          <w:szCs w:val="24"/>
          <w:lang w:val="en-US"/>
        </w:rPr>
        <w:t>,</w:t>
      </w:r>
      <w:r w:rsidR="00624767" w:rsidRPr="001026E6">
        <w:rPr>
          <w:sz w:val="24"/>
          <w:szCs w:val="24"/>
          <w:lang w:val="en-US"/>
        </w:rPr>
        <w:t xml:space="preserve"> </w:t>
      </w:r>
      <w:r w:rsidR="007C357A" w:rsidRPr="001026E6">
        <w:rPr>
          <w:sz w:val="24"/>
          <w:szCs w:val="24"/>
          <w:lang w:val="en-US"/>
        </w:rPr>
        <w:t xml:space="preserve">as part of ongoing supervisory arrangements).  As a general position, the FSRA would only consider allowing </w:t>
      </w:r>
      <w:r w:rsidR="00624767" w:rsidRPr="001026E6">
        <w:rPr>
          <w:sz w:val="24"/>
          <w:szCs w:val="24"/>
          <w:lang w:val="en-US"/>
        </w:rPr>
        <w:t xml:space="preserve">entities </w:t>
      </w:r>
      <w:r w:rsidR="007C357A" w:rsidRPr="001026E6">
        <w:rPr>
          <w:sz w:val="24"/>
          <w:szCs w:val="24"/>
          <w:lang w:val="en-US"/>
        </w:rPr>
        <w:t xml:space="preserve">with </w:t>
      </w:r>
      <w:r w:rsidRPr="001026E6">
        <w:rPr>
          <w:sz w:val="24"/>
          <w:szCs w:val="24"/>
          <w:lang w:val="en-US"/>
        </w:rPr>
        <w:t xml:space="preserve">a </w:t>
      </w:r>
      <w:r w:rsidR="007C357A" w:rsidRPr="001026E6">
        <w:rPr>
          <w:sz w:val="24"/>
          <w:szCs w:val="24"/>
          <w:lang w:val="en-US"/>
        </w:rPr>
        <w:t>relevant proven track rec</w:t>
      </w:r>
      <w:r w:rsidR="00F81DDD" w:rsidRPr="001026E6">
        <w:rPr>
          <w:sz w:val="24"/>
          <w:szCs w:val="24"/>
          <w:lang w:val="en-US"/>
        </w:rPr>
        <w:t xml:space="preserve">ord to provide margin trading.  </w:t>
      </w:r>
      <w:r w:rsidR="007C357A" w:rsidRPr="001026E6">
        <w:rPr>
          <w:sz w:val="24"/>
          <w:szCs w:val="24"/>
          <w:lang w:val="en-US"/>
        </w:rPr>
        <w:t>Particular focus</w:t>
      </w:r>
      <w:r w:rsidR="001A2645" w:rsidRPr="001026E6">
        <w:rPr>
          <w:sz w:val="24"/>
          <w:szCs w:val="24"/>
          <w:lang w:val="en-US"/>
        </w:rPr>
        <w:t xml:space="preserve"> will be placed on </w:t>
      </w:r>
      <w:r w:rsidRPr="001026E6">
        <w:rPr>
          <w:sz w:val="24"/>
          <w:szCs w:val="24"/>
          <w:lang w:val="en-US"/>
        </w:rPr>
        <w:t>the</w:t>
      </w:r>
      <w:r w:rsidR="001A2645" w:rsidRPr="001026E6">
        <w:rPr>
          <w:sz w:val="24"/>
          <w:szCs w:val="24"/>
          <w:lang w:val="en-US"/>
        </w:rPr>
        <w:t xml:space="preserve"> </w:t>
      </w:r>
      <w:r w:rsidR="007C357A" w:rsidRPr="001026E6">
        <w:rPr>
          <w:sz w:val="24"/>
          <w:szCs w:val="24"/>
          <w:lang w:val="en-US"/>
        </w:rPr>
        <w:t xml:space="preserve">proposed leverage ratio.  </w:t>
      </w:r>
    </w:p>
    <w:p w14:paraId="4FDC1093" w14:textId="77777777" w:rsidR="007C357A" w:rsidRPr="001026E6" w:rsidRDefault="007C357A" w:rsidP="0091464D">
      <w:pPr>
        <w:pStyle w:val="ListParagraph"/>
        <w:ind w:left="450"/>
        <w:jc w:val="both"/>
        <w:rPr>
          <w:sz w:val="24"/>
          <w:szCs w:val="24"/>
          <w:lang w:val="en-US"/>
        </w:rPr>
      </w:pPr>
    </w:p>
    <w:p w14:paraId="4874B523" w14:textId="77777777" w:rsidR="00785A34" w:rsidRPr="001026E6" w:rsidRDefault="003A4E84" w:rsidP="0091464D">
      <w:pPr>
        <w:pStyle w:val="ListParagraph"/>
        <w:numPr>
          <w:ilvl w:val="0"/>
          <w:numId w:val="1"/>
        </w:numPr>
        <w:ind w:left="450"/>
        <w:jc w:val="both"/>
        <w:rPr>
          <w:sz w:val="24"/>
          <w:szCs w:val="24"/>
          <w:lang w:val="en-US"/>
        </w:rPr>
      </w:pPr>
      <w:r w:rsidRPr="001026E6">
        <w:rPr>
          <w:sz w:val="24"/>
          <w:szCs w:val="24"/>
          <w:lang w:val="en-US"/>
        </w:rPr>
        <w:t>Entities</w:t>
      </w:r>
      <w:r w:rsidR="007C357A" w:rsidRPr="001026E6">
        <w:rPr>
          <w:sz w:val="24"/>
          <w:szCs w:val="24"/>
          <w:lang w:val="en-US"/>
        </w:rPr>
        <w:t xml:space="preserve"> that are not proposing, or permitted, to carry out margin trading will </w:t>
      </w:r>
      <w:r w:rsidRPr="001026E6">
        <w:rPr>
          <w:sz w:val="24"/>
          <w:szCs w:val="24"/>
          <w:lang w:val="en-US"/>
        </w:rPr>
        <w:t xml:space="preserve">likely </w:t>
      </w:r>
      <w:r w:rsidR="007C357A" w:rsidRPr="001026E6">
        <w:rPr>
          <w:sz w:val="24"/>
          <w:szCs w:val="24"/>
          <w:lang w:val="en-US"/>
        </w:rPr>
        <w:t>have a restriction from doing so placed on their FSP</w:t>
      </w:r>
      <w:r w:rsidRPr="001026E6">
        <w:rPr>
          <w:sz w:val="24"/>
          <w:szCs w:val="24"/>
          <w:lang w:val="en-US"/>
        </w:rPr>
        <w:t xml:space="preserve"> or Recognition Order</w:t>
      </w:r>
      <w:r w:rsidR="007C357A" w:rsidRPr="001026E6">
        <w:rPr>
          <w:sz w:val="24"/>
          <w:szCs w:val="24"/>
          <w:lang w:val="en-US"/>
        </w:rPr>
        <w:t>.</w:t>
      </w:r>
      <w:bookmarkEnd w:id="119"/>
      <w:bookmarkEnd w:id="120"/>
      <w:bookmarkEnd w:id="121"/>
    </w:p>
    <w:p w14:paraId="4055E278" w14:textId="77777777" w:rsidR="0091464D" w:rsidRPr="001026E6" w:rsidRDefault="0091464D" w:rsidP="0091464D">
      <w:pPr>
        <w:jc w:val="both"/>
        <w:rPr>
          <w:sz w:val="24"/>
          <w:szCs w:val="24"/>
          <w:lang w:val="en-US"/>
        </w:rPr>
      </w:pPr>
    </w:p>
    <w:p w14:paraId="39DDFEDE" w14:textId="77777777" w:rsidR="00785A34" w:rsidRPr="001026E6" w:rsidRDefault="00785A34" w:rsidP="00785A34">
      <w:pPr>
        <w:pStyle w:val="Heading2"/>
        <w:tabs>
          <w:tab w:val="clear" w:pos="720"/>
          <w:tab w:val="num" w:pos="0"/>
        </w:tabs>
        <w:spacing w:after="0"/>
        <w:ind w:left="0" w:firstLine="0"/>
        <w:rPr>
          <w:szCs w:val="24"/>
        </w:rPr>
      </w:pPr>
      <w:bookmarkStart w:id="122" w:name="_Toc18571354"/>
      <w:bookmarkStart w:id="123" w:name="_Toc33443105"/>
      <w:r w:rsidRPr="001026E6">
        <w:rPr>
          <w:szCs w:val="24"/>
        </w:rPr>
        <w:t>Islamic Finance Rules</w:t>
      </w:r>
      <w:bookmarkEnd w:id="122"/>
      <w:bookmarkEnd w:id="123"/>
    </w:p>
    <w:p w14:paraId="14876C5C" w14:textId="77777777" w:rsidR="00785A34" w:rsidRPr="001026E6" w:rsidRDefault="00785A34" w:rsidP="00785A34">
      <w:pPr>
        <w:pStyle w:val="ListParagraph"/>
        <w:ind w:left="1133"/>
        <w:jc w:val="both"/>
        <w:rPr>
          <w:sz w:val="24"/>
          <w:szCs w:val="24"/>
          <w:lang w:val="en-US"/>
        </w:rPr>
      </w:pPr>
    </w:p>
    <w:p w14:paraId="2A54B381" w14:textId="77777777" w:rsidR="00785A34" w:rsidRPr="001026E6" w:rsidRDefault="003A4E84" w:rsidP="0091464D">
      <w:pPr>
        <w:pStyle w:val="ListParagraph"/>
        <w:numPr>
          <w:ilvl w:val="0"/>
          <w:numId w:val="1"/>
        </w:numPr>
        <w:ind w:left="450"/>
        <w:jc w:val="both"/>
        <w:rPr>
          <w:sz w:val="24"/>
          <w:szCs w:val="24"/>
          <w:lang w:val="en-US"/>
        </w:rPr>
      </w:pPr>
      <w:r w:rsidRPr="001026E6">
        <w:rPr>
          <w:sz w:val="24"/>
          <w:szCs w:val="24"/>
          <w:lang w:val="en-US"/>
        </w:rPr>
        <w:t xml:space="preserve">FSRA’s Islamic Finance Rules (IFR) apply </w:t>
      </w:r>
      <w:r w:rsidR="005024D9" w:rsidRPr="001026E6">
        <w:rPr>
          <w:sz w:val="24"/>
          <w:szCs w:val="24"/>
          <w:lang w:val="en-US"/>
        </w:rPr>
        <w:t>to a number of entities that can operate within ADGM, including Authorised Persons and a Person making an Offer of Securities.  As IFR is linked to the use of ‘Specified Investments’, including (Digital) Securities, IFR can apply to Authorised Persons Conducting Islamic Financial Business or offering/distributing Shari’a-compliant Securities.</w:t>
      </w:r>
    </w:p>
    <w:p w14:paraId="0E772A8B" w14:textId="77777777" w:rsidR="007A2CBD" w:rsidRPr="001026E6" w:rsidRDefault="007A2CBD" w:rsidP="002937BC">
      <w:pPr>
        <w:jc w:val="both"/>
        <w:rPr>
          <w:sz w:val="24"/>
          <w:szCs w:val="24"/>
          <w:lang w:val="en-US"/>
        </w:rPr>
      </w:pPr>
    </w:p>
    <w:p w14:paraId="0CA7BF56" w14:textId="77777777" w:rsidR="00EC68E8" w:rsidRPr="001026E6" w:rsidRDefault="0091464D" w:rsidP="005C3C95">
      <w:pPr>
        <w:pStyle w:val="Heading1"/>
        <w:keepLines w:val="0"/>
        <w:spacing w:before="0" w:after="240" w:line="246" w:lineRule="atLeast"/>
        <w:jc w:val="both"/>
        <w:rPr>
          <w:rFonts w:asciiTheme="minorHAnsi" w:hAnsiTheme="minorHAnsi"/>
          <w:sz w:val="24"/>
          <w:szCs w:val="24"/>
        </w:rPr>
      </w:pPr>
      <w:bookmarkStart w:id="124" w:name="_Toc18571355"/>
      <w:bookmarkStart w:id="125" w:name="_Toc33443106"/>
      <w:r w:rsidRPr="001026E6">
        <w:rPr>
          <w:rFonts w:asciiTheme="minorHAnsi" w:hAnsiTheme="minorHAnsi"/>
          <w:sz w:val="24"/>
          <w:szCs w:val="24"/>
        </w:rPr>
        <w:t>S</w:t>
      </w:r>
      <w:r w:rsidR="00EC68E8" w:rsidRPr="001026E6">
        <w:rPr>
          <w:rFonts w:asciiTheme="minorHAnsi" w:hAnsiTheme="minorHAnsi"/>
          <w:sz w:val="24"/>
          <w:szCs w:val="24"/>
        </w:rPr>
        <w:t>TABLECOINS</w:t>
      </w:r>
      <w:bookmarkEnd w:id="124"/>
      <w:bookmarkEnd w:id="125"/>
      <w:r w:rsidR="008B126D" w:rsidRPr="001026E6">
        <w:rPr>
          <w:rFonts w:asciiTheme="minorHAnsi" w:hAnsiTheme="minorHAnsi"/>
          <w:sz w:val="24"/>
          <w:szCs w:val="24"/>
        </w:rPr>
        <w:t xml:space="preserve"> </w:t>
      </w:r>
    </w:p>
    <w:p w14:paraId="1A63F97F" w14:textId="0FE46BAC" w:rsidR="00EC68E8" w:rsidRPr="001026E6" w:rsidRDefault="00EC68E8" w:rsidP="005C3C95">
      <w:pPr>
        <w:pStyle w:val="ListParagraph"/>
        <w:numPr>
          <w:ilvl w:val="0"/>
          <w:numId w:val="1"/>
        </w:numPr>
        <w:ind w:left="450"/>
        <w:jc w:val="both"/>
        <w:rPr>
          <w:sz w:val="24"/>
          <w:szCs w:val="24"/>
          <w:lang w:val="en-US"/>
        </w:rPr>
      </w:pPr>
      <w:r w:rsidRPr="001026E6">
        <w:rPr>
          <w:sz w:val="24"/>
          <w:szCs w:val="24"/>
          <w:lang w:val="en-US"/>
        </w:rPr>
        <w:t>The FSRA recognises that the use of Digital Securities in ADGM may like</w:t>
      </w:r>
      <w:r w:rsidR="00837CE5" w:rsidRPr="001026E6">
        <w:rPr>
          <w:sz w:val="24"/>
          <w:szCs w:val="24"/>
          <w:lang w:val="en-US"/>
        </w:rPr>
        <w:t>ly</w:t>
      </w:r>
      <w:r w:rsidRPr="001026E6">
        <w:rPr>
          <w:sz w:val="24"/>
          <w:szCs w:val="24"/>
          <w:lang w:val="en-US"/>
        </w:rPr>
        <w:t xml:space="preserve"> coincide with the use of fiat tokens.  </w:t>
      </w:r>
      <w:r w:rsidR="00837CE5" w:rsidRPr="001026E6">
        <w:rPr>
          <w:sz w:val="24"/>
          <w:szCs w:val="24"/>
          <w:lang w:val="en-US"/>
        </w:rPr>
        <w:t xml:space="preserve">Further clarity on </w:t>
      </w:r>
      <w:r w:rsidRPr="001026E6">
        <w:rPr>
          <w:sz w:val="24"/>
          <w:szCs w:val="24"/>
          <w:lang w:val="en-US"/>
        </w:rPr>
        <w:t>FSRA’s regulatory posi</w:t>
      </w:r>
      <w:r w:rsidR="009A13BF" w:rsidRPr="001026E6">
        <w:rPr>
          <w:sz w:val="24"/>
          <w:szCs w:val="24"/>
          <w:lang w:val="en-US"/>
        </w:rPr>
        <w:t>tion in relation to stablecoins</w:t>
      </w:r>
      <w:r w:rsidR="00837CE5" w:rsidRPr="001026E6">
        <w:rPr>
          <w:sz w:val="24"/>
          <w:szCs w:val="24"/>
          <w:lang w:val="en-US"/>
        </w:rPr>
        <w:t xml:space="preserve"> is </w:t>
      </w:r>
      <w:r w:rsidR="009A13BF" w:rsidRPr="001026E6">
        <w:rPr>
          <w:sz w:val="24"/>
          <w:szCs w:val="24"/>
          <w:lang w:val="en-US"/>
        </w:rPr>
        <w:t xml:space="preserve">set out </w:t>
      </w:r>
      <w:r w:rsidR="00837CE5" w:rsidRPr="001026E6">
        <w:rPr>
          <w:sz w:val="24"/>
          <w:szCs w:val="24"/>
          <w:lang w:val="en-US"/>
        </w:rPr>
        <w:t xml:space="preserve">in </w:t>
      </w:r>
      <w:r w:rsidRPr="001026E6">
        <w:rPr>
          <w:sz w:val="24"/>
          <w:szCs w:val="24"/>
          <w:lang w:val="en-US"/>
        </w:rPr>
        <w:t xml:space="preserve">paragraphs </w:t>
      </w:r>
      <w:r w:rsidR="00837CE5" w:rsidRPr="001026E6">
        <w:rPr>
          <w:sz w:val="24"/>
          <w:szCs w:val="24"/>
          <w:lang w:val="en-US"/>
        </w:rPr>
        <w:t>1</w:t>
      </w:r>
      <w:r w:rsidR="0061393A" w:rsidRPr="001026E6">
        <w:rPr>
          <w:sz w:val="24"/>
          <w:szCs w:val="24"/>
          <w:lang w:val="en-US"/>
        </w:rPr>
        <w:t>62</w:t>
      </w:r>
      <w:r w:rsidR="00837CE5" w:rsidRPr="001026E6">
        <w:rPr>
          <w:sz w:val="24"/>
          <w:szCs w:val="24"/>
          <w:lang w:val="en-US"/>
        </w:rPr>
        <w:t xml:space="preserve"> – 16</w:t>
      </w:r>
      <w:r w:rsidR="0061393A" w:rsidRPr="001026E6">
        <w:rPr>
          <w:sz w:val="24"/>
          <w:szCs w:val="24"/>
          <w:lang w:val="en-US"/>
        </w:rPr>
        <w:t>6</w:t>
      </w:r>
      <w:r w:rsidR="00837CE5" w:rsidRPr="001026E6">
        <w:rPr>
          <w:sz w:val="24"/>
          <w:szCs w:val="24"/>
          <w:lang w:val="en-US"/>
        </w:rPr>
        <w:t xml:space="preserve"> </w:t>
      </w:r>
      <w:r w:rsidRPr="001026E6">
        <w:rPr>
          <w:sz w:val="24"/>
          <w:szCs w:val="24"/>
          <w:lang w:val="en-US"/>
        </w:rPr>
        <w:t xml:space="preserve">of the </w:t>
      </w:r>
      <w:r w:rsidR="00E720F1" w:rsidRPr="001026E6">
        <w:rPr>
          <w:sz w:val="24"/>
          <w:szCs w:val="24"/>
          <w:lang w:val="en-US"/>
        </w:rPr>
        <w:t>Virtual Assets Guidance</w:t>
      </w:r>
      <w:r w:rsidR="00837CE5" w:rsidRPr="001026E6">
        <w:rPr>
          <w:sz w:val="24"/>
          <w:szCs w:val="24"/>
          <w:lang w:val="en-US"/>
        </w:rPr>
        <w:t xml:space="preserve">.  For </w:t>
      </w:r>
      <w:r w:rsidR="004B24B1" w:rsidRPr="001026E6">
        <w:rPr>
          <w:sz w:val="24"/>
          <w:szCs w:val="24"/>
          <w:lang w:val="en-US"/>
        </w:rPr>
        <w:t xml:space="preserve">RIEs </w:t>
      </w:r>
      <w:r w:rsidR="00837CE5" w:rsidRPr="001026E6">
        <w:rPr>
          <w:sz w:val="24"/>
          <w:szCs w:val="24"/>
          <w:lang w:val="en-US"/>
        </w:rPr>
        <w:t xml:space="preserve">or MTFs trading in Digital Securities, the FSRA’s expectation is that </w:t>
      </w:r>
      <w:r w:rsidR="002D2078" w:rsidRPr="001026E6">
        <w:rPr>
          <w:sz w:val="24"/>
          <w:szCs w:val="24"/>
          <w:lang w:val="en-US"/>
        </w:rPr>
        <w:t>paragraph 1</w:t>
      </w:r>
      <w:r w:rsidR="0061393A" w:rsidRPr="001026E6">
        <w:rPr>
          <w:sz w:val="24"/>
          <w:szCs w:val="24"/>
          <w:lang w:val="en-US"/>
        </w:rPr>
        <w:t>66</w:t>
      </w:r>
      <w:r w:rsidR="002D2078" w:rsidRPr="001026E6">
        <w:rPr>
          <w:sz w:val="24"/>
          <w:szCs w:val="24"/>
          <w:lang w:val="en-US"/>
        </w:rPr>
        <w:t xml:space="preserve">d of the </w:t>
      </w:r>
      <w:r w:rsidR="00E720F1" w:rsidRPr="001026E6">
        <w:rPr>
          <w:sz w:val="24"/>
          <w:szCs w:val="24"/>
          <w:lang w:val="en-US"/>
        </w:rPr>
        <w:t>Virtual Assets Guidance</w:t>
      </w:r>
      <w:r w:rsidR="002D2078" w:rsidRPr="001026E6">
        <w:rPr>
          <w:sz w:val="24"/>
          <w:szCs w:val="24"/>
          <w:lang w:val="en-US"/>
        </w:rPr>
        <w:t xml:space="preserve"> (where an infrastructure is using its own fiat tokens as a payment/transaction mechanism solely within its own platform/ecosystem) </w:t>
      </w:r>
      <w:r w:rsidR="00837CE5" w:rsidRPr="001026E6">
        <w:rPr>
          <w:sz w:val="24"/>
          <w:szCs w:val="24"/>
          <w:lang w:val="en-US"/>
        </w:rPr>
        <w:t xml:space="preserve">is likely to be the only scenario </w:t>
      </w:r>
      <w:r w:rsidR="002D2078" w:rsidRPr="001026E6">
        <w:rPr>
          <w:sz w:val="24"/>
          <w:szCs w:val="24"/>
          <w:lang w:val="en-US"/>
        </w:rPr>
        <w:t xml:space="preserve">for </w:t>
      </w:r>
      <w:r w:rsidR="00837CE5" w:rsidRPr="001026E6">
        <w:rPr>
          <w:sz w:val="24"/>
          <w:szCs w:val="24"/>
          <w:lang w:val="en-US"/>
        </w:rPr>
        <w:t xml:space="preserve">the use of stablecoins by a </w:t>
      </w:r>
      <w:r w:rsidR="004B24B1" w:rsidRPr="001026E6">
        <w:rPr>
          <w:sz w:val="24"/>
          <w:szCs w:val="24"/>
          <w:lang w:val="en-US"/>
        </w:rPr>
        <w:t xml:space="preserve">RIE </w:t>
      </w:r>
      <w:r w:rsidR="00837CE5" w:rsidRPr="001026E6">
        <w:rPr>
          <w:sz w:val="24"/>
          <w:szCs w:val="24"/>
          <w:lang w:val="en-US"/>
        </w:rPr>
        <w:t>or MTF trading in Digital Securities</w:t>
      </w:r>
      <w:r w:rsidR="002D2078" w:rsidRPr="001026E6">
        <w:rPr>
          <w:sz w:val="24"/>
          <w:szCs w:val="24"/>
          <w:lang w:val="en-US"/>
        </w:rPr>
        <w:t>.</w:t>
      </w:r>
      <w:r w:rsidR="0047219E" w:rsidRPr="001026E6">
        <w:rPr>
          <w:sz w:val="24"/>
          <w:szCs w:val="24"/>
          <w:lang w:val="en-US"/>
        </w:rPr>
        <w:t xml:space="preserve">  </w:t>
      </w:r>
      <w:r w:rsidR="009A13BF" w:rsidRPr="001026E6">
        <w:rPr>
          <w:sz w:val="24"/>
          <w:szCs w:val="24"/>
          <w:lang w:val="en-US"/>
        </w:rPr>
        <w:t xml:space="preserve">Where Applicants consider </w:t>
      </w:r>
      <w:r w:rsidR="00CD1A0E" w:rsidRPr="001026E6">
        <w:rPr>
          <w:sz w:val="24"/>
          <w:szCs w:val="24"/>
          <w:lang w:val="en-US"/>
        </w:rPr>
        <w:t xml:space="preserve">that </w:t>
      </w:r>
      <w:r w:rsidR="009A13BF" w:rsidRPr="001026E6">
        <w:rPr>
          <w:sz w:val="24"/>
          <w:szCs w:val="24"/>
          <w:lang w:val="en-US"/>
        </w:rPr>
        <w:t xml:space="preserve">there </w:t>
      </w:r>
      <w:r w:rsidR="00CD1A0E" w:rsidRPr="001026E6">
        <w:rPr>
          <w:sz w:val="24"/>
          <w:szCs w:val="24"/>
          <w:lang w:val="en-US"/>
        </w:rPr>
        <w:t>are</w:t>
      </w:r>
      <w:r w:rsidR="009A13BF" w:rsidRPr="001026E6">
        <w:rPr>
          <w:sz w:val="24"/>
          <w:szCs w:val="24"/>
          <w:lang w:val="en-US"/>
        </w:rPr>
        <w:t xml:space="preserve"> other business </w:t>
      </w:r>
      <w:r w:rsidR="00840E5C" w:rsidRPr="001026E6">
        <w:rPr>
          <w:sz w:val="24"/>
          <w:szCs w:val="24"/>
          <w:lang w:val="en-US"/>
        </w:rPr>
        <w:t xml:space="preserve">use </w:t>
      </w:r>
      <w:r w:rsidR="009A13BF" w:rsidRPr="001026E6">
        <w:rPr>
          <w:sz w:val="24"/>
          <w:szCs w:val="24"/>
          <w:lang w:val="en-US"/>
        </w:rPr>
        <w:t>case</w:t>
      </w:r>
      <w:r w:rsidR="00840E5C" w:rsidRPr="001026E6">
        <w:rPr>
          <w:sz w:val="24"/>
          <w:szCs w:val="24"/>
          <w:lang w:val="en-US"/>
        </w:rPr>
        <w:t>s</w:t>
      </w:r>
      <w:r w:rsidR="009A13BF" w:rsidRPr="001026E6">
        <w:rPr>
          <w:sz w:val="24"/>
          <w:szCs w:val="24"/>
          <w:lang w:val="en-US"/>
        </w:rPr>
        <w:t xml:space="preserve"> for stablecoins </w:t>
      </w:r>
      <w:r w:rsidR="00CD1A0E" w:rsidRPr="001026E6">
        <w:rPr>
          <w:sz w:val="24"/>
          <w:szCs w:val="24"/>
          <w:lang w:val="en-US"/>
        </w:rPr>
        <w:t xml:space="preserve">(particularly when used by </w:t>
      </w:r>
      <w:r w:rsidR="009A13BF" w:rsidRPr="001026E6">
        <w:rPr>
          <w:sz w:val="24"/>
          <w:szCs w:val="24"/>
          <w:lang w:val="en-US"/>
        </w:rPr>
        <w:t xml:space="preserve">a </w:t>
      </w:r>
      <w:r w:rsidR="004B24B1" w:rsidRPr="001026E6">
        <w:rPr>
          <w:sz w:val="24"/>
          <w:szCs w:val="24"/>
          <w:lang w:val="en-US"/>
        </w:rPr>
        <w:t>RIE</w:t>
      </w:r>
      <w:r w:rsidR="00CD1A0E" w:rsidRPr="001026E6">
        <w:rPr>
          <w:sz w:val="24"/>
          <w:szCs w:val="24"/>
          <w:lang w:val="en-US"/>
        </w:rPr>
        <w:t>,</w:t>
      </w:r>
      <w:r w:rsidR="009A13BF" w:rsidRPr="001026E6">
        <w:rPr>
          <w:sz w:val="24"/>
          <w:szCs w:val="24"/>
          <w:lang w:val="en-US"/>
        </w:rPr>
        <w:t xml:space="preserve"> MTF</w:t>
      </w:r>
      <w:r w:rsidR="00CD1A0E" w:rsidRPr="001026E6">
        <w:rPr>
          <w:sz w:val="24"/>
          <w:szCs w:val="24"/>
          <w:lang w:val="en-US"/>
        </w:rPr>
        <w:t xml:space="preserve"> or DSF)</w:t>
      </w:r>
      <w:r w:rsidR="009A13BF" w:rsidRPr="001026E6">
        <w:rPr>
          <w:sz w:val="24"/>
          <w:szCs w:val="24"/>
          <w:lang w:val="en-US"/>
        </w:rPr>
        <w:t xml:space="preserve">, these would need to be raised </w:t>
      </w:r>
      <w:r w:rsidR="00CD1A0E" w:rsidRPr="001026E6">
        <w:rPr>
          <w:sz w:val="24"/>
          <w:szCs w:val="24"/>
          <w:lang w:val="en-US"/>
        </w:rPr>
        <w:t xml:space="preserve">(in writing, and for discussion) </w:t>
      </w:r>
      <w:r w:rsidR="009A13BF" w:rsidRPr="001026E6">
        <w:rPr>
          <w:sz w:val="24"/>
          <w:szCs w:val="24"/>
          <w:lang w:val="en-US"/>
        </w:rPr>
        <w:t>with the FSRA.</w:t>
      </w:r>
    </w:p>
    <w:p w14:paraId="086739E8" w14:textId="77777777" w:rsidR="00EC68E8" w:rsidRPr="001026E6" w:rsidRDefault="00EC68E8" w:rsidP="002D2078">
      <w:pPr>
        <w:jc w:val="both"/>
        <w:rPr>
          <w:sz w:val="24"/>
          <w:szCs w:val="24"/>
          <w:lang w:val="en-US"/>
        </w:rPr>
      </w:pPr>
    </w:p>
    <w:p w14:paraId="7B2538AB" w14:textId="77777777" w:rsidR="00EC68E8" w:rsidRPr="001026E6" w:rsidRDefault="00EC68E8" w:rsidP="00274841">
      <w:pPr>
        <w:pStyle w:val="Heading1"/>
        <w:keepLines w:val="0"/>
        <w:spacing w:before="0" w:after="240" w:line="246" w:lineRule="atLeast"/>
        <w:jc w:val="both"/>
        <w:rPr>
          <w:rFonts w:asciiTheme="minorHAnsi" w:hAnsiTheme="minorHAnsi"/>
          <w:sz w:val="24"/>
          <w:szCs w:val="24"/>
        </w:rPr>
      </w:pPr>
      <w:bookmarkStart w:id="126" w:name="_Toc18571356"/>
      <w:bookmarkStart w:id="127" w:name="_Toc33443107"/>
      <w:r w:rsidRPr="001026E6">
        <w:rPr>
          <w:rFonts w:asciiTheme="minorHAnsi" w:hAnsiTheme="minorHAnsi"/>
          <w:sz w:val="24"/>
          <w:szCs w:val="24"/>
        </w:rPr>
        <w:lastRenderedPageBreak/>
        <w:t>APPLICATION PROCESS</w:t>
      </w:r>
      <w:bookmarkEnd w:id="126"/>
      <w:bookmarkEnd w:id="127"/>
    </w:p>
    <w:p w14:paraId="5DFBEB96" w14:textId="77777777" w:rsidR="00CD1A0E" w:rsidRPr="001026E6" w:rsidRDefault="00CD1A0E" w:rsidP="00840E5C">
      <w:pPr>
        <w:pStyle w:val="ListParagraph"/>
        <w:numPr>
          <w:ilvl w:val="0"/>
          <w:numId w:val="1"/>
        </w:numPr>
        <w:ind w:left="450"/>
        <w:jc w:val="both"/>
        <w:rPr>
          <w:sz w:val="24"/>
          <w:szCs w:val="24"/>
          <w:lang w:val="en-US"/>
        </w:rPr>
      </w:pPr>
      <w:r w:rsidRPr="001026E6">
        <w:rPr>
          <w:sz w:val="24"/>
          <w:szCs w:val="24"/>
          <w:lang w:val="en-US"/>
        </w:rPr>
        <w:t>In the context of Digital Securities, engagement with the FSRA in relation to approvals required under MKT (</w:t>
      </w:r>
      <w:r w:rsidR="00840E5C" w:rsidRPr="001026E6">
        <w:rPr>
          <w:sz w:val="24"/>
          <w:szCs w:val="24"/>
          <w:lang w:val="en-US"/>
        </w:rPr>
        <w:t>Offers of Securities and/or Admissions to the Official List</w:t>
      </w:r>
      <w:r w:rsidRPr="001026E6">
        <w:rPr>
          <w:sz w:val="24"/>
          <w:szCs w:val="24"/>
          <w:lang w:val="en-US"/>
        </w:rPr>
        <w:t>) will be via the FSRA Listing Authority.</w:t>
      </w:r>
    </w:p>
    <w:p w14:paraId="2489AFE3" w14:textId="77777777" w:rsidR="00CD1A0E" w:rsidRPr="001026E6" w:rsidRDefault="00CD1A0E" w:rsidP="00B62910">
      <w:pPr>
        <w:pStyle w:val="ListParagraph"/>
        <w:ind w:left="450"/>
        <w:jc w:val="both"/>
        <w:rPr>
          <w:sz w:val="24"/>
          <w:szCs w:val="24"/>
          <w:lang w:val="en-US"/>
        </w:rPr>
      </w:pPr>
    </w:p>
    <w:p w14:paraId="512D5B80" w14:textId="77777777" w:rsidR="00EC68E8" w:rsidRPr="001026E6" w:rsidRDefault="00CD1A0E" w:rsidP="006201C4">
      <w:pPr>
        <w:pStyle w:val="ListParagraph"/>
        <w:numPr>
          <w:ilvl w:val="0"/>
          <w:numId w:val="1"/>
        </w:numPr>
        <w:ind w:left="450"/>
        <w:jc w:val="both"/>
        <w:rPr>
          <w:sz w:val="24"/>
          <w:szCs w:val="24"/>
          <w:lang w:val="en-US"/>
        </w:rPr>
      </w:pPr>
      <w:r w:rsidRPr="001026E6">
        <w:rPr>
          <w:sz w:val="24"/>
          <w:szCs w:val="24"/>
          <w:lang w:val="en-US"/>
        </w:rPr>
        <w:t xml:space="preserve"> Separately, </w:t>
      </w:r>
      <w:r w:rsidR="00EC68E8" w:rsidRPr="001026E6">
        <w:rPr>
          <w:sz w:val="24"/>
          <w:szCs w:val="24"/>
          <w:lang w:val="en-US"/>
        </w:rPr>
        <w:t xml:space="preserve">Applicants seeking </w:t>
      </w:r>
      <w:r w:rsidRPr="001026E6">
        <w:rPr>
          <w:sz w:val="24"/>
          <w:szCs w:val="24"/>
          <w:lang w:val="en-US"/>
        </w:rPr>
        <w:t>approvals to operate as a RIE, MTF, DSF or RCH</w:t>
      </w:r>
      <w:r w:rsidR="003D2AB1" w:rsidRPr="001026E6">
        <w:rPr>
          <w:sz w:val="24"/>
          <w:szCs w:val="24"/>
          <w:lang w:val="en-US"/>
        </w:rPr>
        <w:t xml:space="preserve"> </w:t>
      </w:r>
      <w:r w:rsidR="00EC68E8" w:rsidRPr="001026E6">
        <w:rPr>
          <w:sz w:val="24"/>
          <w:szCs w:val="24"/>
          <w:lang w:val="en-US"/>
        </w:rPr>
        <w:t xml:space="preserve">must be prepared to engage heavily with the FSRA throughout the </w:t>
      </w:r>
      <w:r w:rsidRPr="001026E6">
        <w:rPr>
          <w:sz w:val="24"/>
          <w:szCs w:val="24"/>
          <w:lang w:val="en-US"/>
        </w:rPr>
        <w:t xml:space="preserve">relevant </w:t>
      </w:r>
      <w:r w:rsidR="00EC68E8" w:rsidRPr="001026E6">
        <w:rPr>
          <w:sz w:val="24"/>
          <w:szCs w:val="24"/>
          <w:lang w:val="en-US"/>
        </w:rPr>
        <w:t>application process.  The Application process is broadly broken down into five stages, as follows:</w:t>
      </w:r>
    </w:p>
    <w:p w14:paraId="541C14A4" w14:textId="77777777" w:rsidR="00D237DB" w:rsidRPr="001026E6" w:rsidRDefault="00D237DB" w:rsidP="00D237DB">
      <w:pPr>
        <w:pStyle w:val="Heading4"/>
        <w:tabs>
          <w:tab w:val="clear" w:pos="1440"/>
        </w:tabs>
        <w:spacing w:after="0" w:line="240" w:lineRule="auto"/>
        <w:ind w:left="1134" w:firstLine="0"/>
        <w:rPr>
          <w:bCs w:val="0"/>
          <w:sz w:val="24"/>
          <w:lang w:val="en-US"/>
        </w:rPr>
      </w:pPr>
    </w:p>
    <w:p w14:paraId="5450BAEF" w14:textId="77777777" w:rsidR="00EC68E8" w:rsidRPr="001026E6" w:rsidRDefault="00EC68E8" w:rsidP="006201C4">
      <w:pPr>
        <w:pStyle w:val="Heading4"/>
        <w:numPr>
          <w:ilvl w:val="0"/>
          <w:numId w:val="13"/>
        </w:numPr>
        <w:spacing w:after="0" w:line="240" w:lineRule="auto"/>
        <w:ind w:left="900"/>
        <w:rPr>
          <w:bCs w:val="0"/>
          <w:sz w:val="24"/>
          <w:lang w:val="en-US"/>
        </w:rPr>
      </w:pPr>
      <w:r w:rsidRPr="001026E6">
        <w:rPr>
          <w:rFonts w:asciiTheme="minorHAnsi" w:eastAsiaTheme="minorHAnsi" w:hAnsiTheme="minorHAnsi" w:cstheme="minorBidi"/>
          <w:bCs w:val="0"/>
          <w:iCs w:val="0"/>
          <w:sz w:val="24"/>
          <w:lang w:val="en-US"/>
        </w:rPr>
        <w:t>Due Diligence &amp; Discussions with FSRA team(s);</w:t>
      </w:r>
    </w:p>
    <w:p w14:paraId="3820371F" w14:textId="77777777" w:rsidR="00EC68E8" w:rsidRPr="001026E6" w:rsidRDefault="00EC68E8" w:rsidP="006201C4">
      <w:pPr>
        <w:pStyle w:val="Heading4"/>
        <w:numPr>
          <w:ilvl w:val="0"/>
          <w:numId w:val="13"/>
        </w:numPr>
        <w:spacing w:after="0" w:line="240" w:lineRule="auto"/>
        <w:ind w:left="900"/>
        <w:rPr>
          <w:bCs w:val="0"/>
          <w:sz w:val="24"/>
          <w:lang w:val="en-US"/>
        </w:rPr>
      </w:pPr>
      <w:r w:rsidRPr="001026E6">
        <w:rPr>
          <w:rFonts w:asciiTheme="minorHAnsi" w:eastAsiaTheme="minorHAnsi" w:hAnsiTheme="minorHAnsi" w:cstheme="minorBidi"/>
          <w:bCs w:val="0"/>
          <w:iCs w:val="0"/>
          <w:sz w:val="24"/>
          <w:lang w:val="en-US"/>
        </w:rPr>
        <w:t xml:space="preserve">Submission of Formal Application; </w:t>
      </w:r>
    </w:p>
    <w:p w14:paraId="46EF6100" w14:textId="77777777" w:rsidR="00EC68E8" w:rsidRPr="001026E6" w:rsidRDefault="00EC68E8" w:rsidP="006201C4">
      <w:pPr>
        <w:pStyle w:val="Heading4"/>
        <w:numPr>
          <w:ilvl w:val="0"/>
          <w:numId w:val="13"/>
        </w:numPr>
        <w:spacing w:after="0" w:line="240" w:lineRule="auto"/>
        <w:ind w:left="900"/>
        <w:rPr>
          <w:bCs w:val="0"/>
          <w:sz w:val="24"/>
          <w:lang w:val="en-US"/>
        </w:rPr>
      </w:pPr>
      <w:r w:rsidRPr="001026E6">
        <w:rPr>
          <w:rFonts w:asciiTheme="minorHAnsi" w:eastAsiaTheme="minorHAnsi" w:hAnsiTheme="minorHAnsi" w:cstheme="minorBidi"/>
          <w:bCs w:val="0"/>
          <w:iCs w:val="0"/>
          <w:sz w:val="24"/>
          <w:lang w:val="en-US"/>
        </w:rPr>
        <w:t>Granting of In Principle Approval;</w:t>
      </w:r>
    </w:p>
    <w:p w14:paraId="68691470" w14:textId="77777777" w:rsidR="00EC68E8" w:rsidRPr="001026E6" w:rsidRDefault="00EC68E8" w:rsidP="006201C4">
      <w:pPr>
        <w:pStyle w:val="Heading4"/>
        <w:numPr>
          <w:ilvl w:val="0"/>
          <w:numId w:val="13"/>
        </w:numPr>
        <w:spacing w:after="0" w:line="240" w:lineRule="auto"/>
        <w:ind w:left="900"/>
        <w:rPr>
          <w:bCs w:val="0"/>
          <w:sz w:val="24"/>
          <w:lang w:val="en-US"/>
        </w:rPr>
      </w:pPr>
      <w:r w:rsidRPr="001026E6">
        <w:rPr>
          <w:rFonts w:asciiTheme="minorHAnsi" w:eastAsiaTheme="minorHAnsi" w:hAnsiTheme="minorHAnsi" w:cstheme="minorBidi"/>
          <w:bCs w:val="0"/>
          <w:iCs w:val="0"/>
          <w:sz w:val="24"/>
          <w:lang w:val="en-US"/>
        </w:rPr>
        <w:t>Granting of Final Approval; and</w:t>
      </w:r>
    </w:p>
    <w:p w14:paraId="22420BEB" w14:textId="77777777" w:rsidR="00EC68E8" w:rsidRPr="001026E6" w:rsidRDefault="00EC68E8" w:rsidP="006201C4">
      <w:pPr>
        <w:pStyle w:val="Heading4"/>
        <w:numPr>
          <w:ilvl w:val="0"/>
          <w:numId w:val="13"/>
        </w:numPr>
        <w:spacing w:after="0" w:line="240" w:lineRule="auto"/>
        <w:ind w:left="900"/>
        <w:rPr>
          <w:bCs w:val="0"/>
        </w:rPr>
      </w:pPr>
      <w:r w:rsidRPr="001026E6">
        <w:rPr>
          <w:rFonts w:asciiTheme="minorHAnsi" w:eastAsiaTheme="minorHAnsi" w:hAnsiTheme="minorHAnsi" w:cstheme="minorBidi"/>
          <w:bCs w:val="0"/>
          <w:iCs w:val="0"/>
          <w:sz w:val="24"/>
          <w:lang w:val="en-US"/>
        </w:rPr>
        <w:t>‘Operational Launch’ Testing</w:t>
      </w:r>
    </w:p>
    <w:p w14:paraId="5ACFFA2E" w14:textId="77777777" w:rsidR="00EC68E8" w:rsidRPr="001026E6" w:rsidRDefault="00EC68E8" w:rsidP="00EC68E8">
      <w:pPr>
        <w:pStyle w:val="ListParagraph"/>
        <w:ind w:left="680"/>
        <w:jc w:val="both"/>
        <w:rPr>
          <w:sz w:val="24"/>
          <w:szCs w:val="24"/>
          <w:lang w:val="en-US"/>
        </w:rPr>
      </w:pPr>
    </w:p>
    <w:p w14:paraId="77BD9F4F" w14:textId="77777777" w:rsidR="00EC68E8" w:rsidRPr="001026E6" w:rsidRDefault="00EC68E8" w:rsidP="006201C4">
      <w:pPr>
        <w:jc w:val="both"/>
        <w:rPr>
          <w:i/>
          <w:iCs/>
          <w:sz w:val="24"/>
          <w:szCs w:val="24"/>
          <w:lang w:val="en-US"/>
        </w:rPr>
      </w:pPr>
      <w:r w:rsidRPr="001026E6">
        <w:rPr>
          <w:i/>
          <w:iCs/>
          <w:sz w:val="24"/>
          <w:szCs w:val="24"/>
          <w:lang w:val="en-US"/>
        </w:rPr>
        <w:t>Due diligence and Discussions with FSRA team(s)</w:t>
      </w:r>
    </w:p>
    <w:p w14:paraId="4095896B" w14:textId="77777777" w:rsidR="00EC68E8" w:rsidRPr="001026E6" w:rsidRDefault="00EC68E8" w:rsidP="00EC68E8">
      <w:pPr>
        <w:pStyle w:val="ListParagraph"/>
        <w:ind w:left="680"/>
        <w:jc w:val="both"/>
        <w:rPr>
          <w:i/>
          <w:iCs/>
          <w:sz w:val="24"/>
          <w:szCs w:val="24"/>
          <w:lang w:val="en-US"/>
        </w:rPr>
      </w:pPr>
    </w:p>
    <w:p w14:paraId="43C5A11E" w14:textId="77777777" w:rsidR="00EC68E8" w:rsidRPr="001026E6" w:rsidRDefault="00EC68E8" w:rsidP="006201C4">
      <w:pPr>
        <w:pStyle w:val="ListParagraph"/>
        <w:numPr>
          <w:ilvl w:val="0"/>
          <w:numId w:val="1"/>
        </w:numPr>
        <w:ind w:left="450"/>
        <w:jc w:val="both"/>
        <w:rPr>
          <w:sz w:val="24"/>
          <w:szCs w:val="24"/>
          <w:lang w:val="en-US"/>
        </w:rPr>
      </w:pPr>
      <w:r w:rsidRPr="001026E6">
        <w:rPr>
          <w:sz w:val="24"/>
          <w:szCs w:val="24"/>
          <w:lang w:val="en-US"/>
        </w:rPr>
        <w:t xml:space="preserve">Prior to the submission of an Application, all Applicants are expected to provide the FSRA with a clear explanation of their proposed business model and to demonstrate how the Applicant will meet all applicable FSRA Rules and requirements. These sessions will also involve the Applicants providing a number of in-depth technology demonstrations, across all aspects of its proposed </w:t>
      </w:r>
      <w:r w:rsidR="00A40B8F" w:rsidRPr="001026E6">
        <w:rPr>
          <w:sz w:val="24"/>
          <w:szCs w:val="24"/>
          <w:lang w:val="en-US"/>
        </w:rPr>
        <w:t xml:space="preserve">Digital Securities </w:t>
      </w:r>
      <w:r w:rsidRPr="001026E6">
        <w:rPr>
          <w:sz w:val="24"/>
          <w:szCs w:val="24"/>
          <w:lang w:val="en-US"/>
        </w:rPr>
        <w:t xml:space="preserve">activities.  The FSRA generally expects these meetings, where possible, to take place between the Applicant and the FSRA in person.  </w:t>
      </w:r>
      <w:r w:rsidR="00A40B8F" w:rsidRPr="001026E6">
        <w:rPr>
          <w:sz w:val="24"/>
          <w:szCs w:val="24"/>
          <w:lang w:val="en-US"/>
        </w:rPr>
        <w:t xml:space="preserve">In addition, the FSRA </w:t>
      </w:r>
      <w:r w:rsidR="00A40B8F" w:rsidRPr="001026E6">
        <w:rPr>
          <w:sz w:val="24"/>
          <w:szCs w:val="24"/>
          <w:lang w:val="en-US"/>
        </w:rPr>
        <w:lastRenderedPageBreak/>
        <w:t xml:space="preserve">further expects that </w:t>
      </w:r>
      <w:r w:rsidRPr="001026E6">
        <w:rPr>
          <w:sz w:val="24"/>
          <w:szCs w:val="24"/>
          <w:lang w:val="en-US"/>
        </w:rPr>
        <w:t xml:space="preserve">a number of meetings will need to be held between an Applicant and the FSRA before the Applicant will be in a position to submit a draft, then formal, application.    </w:t>
      </w:r>
    </w:p>
    <w:p w14:paraId="0FC2CE2C" w14:textId="77777777" w:rsidR="00564344" w:rsidRPr="001026E6" w:rsidRDefault="00564344" w:rsidP="00564344">
      <w:pPr>
        <w:pStyle w:val="ListParagraph"/>
        <w:ind w:left="450"/>
        <w:jc w:val="both"/>
        <w:rPr>
          <w:sz w:val="24"/>
          <w:szCs w:val="24"/>
          <w:lang w:val="en-US"/>
        </w:rPr>
      </w:pPr>
    </w:p>
    <w:p w14:paraId="3F6C3265" w14:textId="77777777" w:rsidR="00EC68E8" w:rsidRPr="001026E6" w:rsidRDefault="00EC68E8" w:rsidP="006201C4">
      <w:pPr>
        <w:jc w:val="both"/>
        <w:rPr>
          <w:i/>
          <w:iCs/>
          <w:sz w:val="24"/>
          <w:szCs w:val="24"/>
          <w:lang w:val="en-US"/>
        </w:rPr>
      </w:pPr>
      <w:r w:rsidRPr="001026E6">
        <w:rPr>
          <w:i/>
          <w:iCs/>
          <w:sz w:val="24"/>
          <w:szCs w:val="24"/>
          <w:lang w:val="en-US"/>
        </w:rPr>
        <w:t>Submission of Formal Application</w:t>
      </w:r>
    </w:p>
    <w:p w14:paraId="34D62050" w14:textId="77777777" w:rsidR="00EC68E8" w:rsidRPr="001026E6" w:rsidRDefault="00EC68E8" w:rsidP="00EC68E8">
      <w:pPr>
        <w:pStyle w:val="ListParagraph"/>
        <w:ind w:left="680"/>
        <w:jc w:val="both"/>
        <w:rPr>
          <w:i/>
          <w:iCs/>
          <w:sz w:val="24"/>
          <w:szCs w:val="24"/>
          <w:lang w:val="en-US"/>
        </w:rPr>
      </w:pPr>
    </w:p>
    <w:p w14:paraId="15A26BD1" w14:textId="35FD2FAA" w:rsidR="00EC68E8" w:rsidRPr="001026E6" w:rsidRDefault="00EC68E8" w:rsidP="00073ADC">
      <w:pPr>
        <w:pStyle w:val="ListParagraph"/>
        <w:numPr>
          <w:ilvl w:val="0"/>
          <w:numId w:val="1"/>
        </w:numPr>
        <w:ind w:left="450"/>
        <w:jc w:val="both"/>
        <w:rPr>
          <w:sz w:val="24"/>
          <w:szCs w:val="24"/>
          <w:lang w:val="en-US"/>
        </w:rPr>
      </w:pPr>
      <w:r w:rsidRPr="001026E6">
        <w:rPr>
          <w:sz w:val="24"/>
          <w:szCs w:val="24"/>
          <w:lang w:val="en-US"/>
        </w:rPr>
        <w:t xml:space="preserve">Following discussions with the FSRA, and upon the FSRA having reasonable comfort that the Applicant’s proposed business processes, technologies and capabilities are at a sufficiently advanced stage, the Applicant will be required to submit a completed Application Form, and supporting documents, to the FSRA.  Payment of the fees applicable to the Application, as set out in paragraphs </w:t>
      </w:r>
      <w:r w:rsidR="00073ADC" w:rsidRPr="001026E6">
        <w:rPr>
          <w:sz w:val="24"/>
          <w:szCs w:val="24"/>
          <w:lang w:val="en-US"/>
        </w:rPr>
        <w:t xml:space="preserve">128 </w:t>
      </w:r>
      <w:r w:rsidR="00BA148D" w:rsidRPr="001026E6">
        <w:rPr>
          <w:sz w:val="24"/>
          <w:szCs w:val="24"/>
          <w:lang w:val="en-US"/>
        </w:rPr>
        <w:t xml:space="preserve">- </w:t>
      </w:r>
      <w:r w:rsidR="00073ADC" w:rsidRPr="001026E6">
        <w:rPr>
          <w:sz w:val="24"/>
          <w:szCs w:val="24"/>
          <w:lang w:val="en-US"/>
        </w:rPr>
        <w:t>139</w:t>
      </w:r>
      <w:r w:rsidRPr="001026E6">
        <w:rPr>
          <w:sz w:val="24"/>
          <w:szCs w:val="24"/>
          <w:lang w:val="en-US"/>
        </w:rPr>
        <w:t xml:space="preserve">, must also be made at the time of submission.  The FSRA will only consider an Application as having been formally submitted, and commence its formal review of the Application, upon receipt of both the completed Application and the associated fees.    </w:t>
      </w:r>
    </w:p>
    <w:p w14:paraId="130EE0BC" w14:textId="77777777" w:rsidR="00EC68E8" w:rsidRPr="001026E6" w:rsidRDefault="00EC68E8" w:rsidP="00EC68E8">
      <w:pPr>
        <w:pStyle w:val="ListParagraph"/>
        <w:ind w:left="680"/>
        <w:jc w:val="both"/>
        <w:rPr>
          <w:i/>
          <w:sz w:val="24"/>
          <w:lang w:val="en-US"/>
        </w:rPr>
      </w:pPr>
    </w:p>
    <w:p w14:paraId="3CD03B6D" w14:textId="77777777" w:rsidR="00EC68E8" w:rsidRPr="001026E6" w:rsidRDefault="00EC68E8" w:rsidP="006201C4">
      <w:pPr>
        <w:jc w:val="both"/>
        <w:rPr>
          <w:i/>
          <w:iCs/>
          <w:sz w:val="24"/>
          <w:szCs w:val="24"/>
          <w:lang w:val="en-US"/>
        </w:rPr>
      </w:pPr>
      <w:r w:rsidRPr="001026E6">
        <w:rPr>
          <w:i/>
          <w:iCs/>
          <w:sz w:val="24"/>
          <w:szCs w:val="24"/>
          <w:lang w:val="en-US"/>
        </w:rPr>
        <w:t>Granting of In Principle Approval (IPA)</w:t>
      </w:r>
    </w:p>
    <w:p w14:paraId="1B84A81B" w14:textId="77777777" w:rsidR="00EC68E8" w:rsidRPr="001026E6" w:rsidRDefault="00EC68E8" w:rsidP="00EC68E8">
      <w:pPr>
        <w:pStyle w:val="ListParagraph"/>
        <w:ind w:left="680"/>
        <w:jc w:val="both"/>
        <w:rPr>
          <w:bCs/>
          <w:i/>
          <w:iCs/>
          <w:sz w:val="24"/>
          <w:lang w:val="en-US"/>
        </w:rPr>
      </w:pPr>
    </w:p>
    <w:p w14:paraId="4B31CFAD" w14:textId="77777777" w:rsidR="00EC68E8" w:rsidRPr="001026E6" w:rsidRDefault="00EC68E8" w:rsidP="006201C4">
      <w:pPr>
        <w:pStyle w:val="ListParagraph"/>
        <w:numPr>
          <w:ilvl w:val="0"/>
          <w:numId w:val="1"/>
        </w:numPr>
        <w:ind w:left="450"/>
        <w:jc w:val="both"/>
        <w:rPr>
          <w:sz w:val="24"/>
          <w:szCs w:val="24"/>
          <w:lang w:val="en-US"/>
        </w:rPr>
      </w:pPr>
      <w:r w:rsidRPr="001026E6">
        <w:rPr>
          <w:sz w:val="24"/>
          <w:szCs w:val="24"/>
          <w:lang w:val="en-US"/>
        </w:rPr>
        <w:t>The FSRA will undertake an in</w:t>
      </w:r>
      <w:r w:rsidR="00CD1A0E" w:rsidRPr="001026E6">
        <w:rPr>
          <w:sz w:val="24"/>
          <w:szCs w:val="24"/>
          <w:lang w:val="en-US"/>
        </w:rPr>
        <w:t>-</w:t>
      </w:r>
      <w:r w:rsidRPr="001026E6">
        <w:rPr>
          <w:sz w:val="24"/>
          <w:szCs w:val="24"/>
          <w:lang w:val="en-US"/>
        </w:rPr>
        <w:t>depth review of the Application, and supporting documents, submitted by an Applicant.  The FSRA will only consider granting an IPA for those Applicants that are considered able to adequately meet all applicable Rules and requirements.  An Applicant will be required to meet all conditions applicable to the IPA prior to being granted with final approval</w:t>
      </w:r>
      <w:r w:rsidR="00CD1A0E" w:rsidRPr="001026E6">
        <w:rPr>
          <w:sz w:val="24"/>
          <w:szCs w:val="24"/>
          <w:lang w:val="en-US"/>
        </w:rPr>
        <w:t>,</w:t>
      </w:r>
      <w:r w:rsidRPr="001026E6">
        <w:rPr>
          <w:sz w:val="24"/>
          <w:szCs w:val="24"/>
          <w:lang w:val="en-US"/>
        </w:rPr>
        <w:t xml:space="preserve"> and an FSP </w:t>
      </w:r>
      <w:r w:rsidR="008247F8" w:rsidRPr="001026E6">
        <w:rPr>
          <w:sz w:val="24"/>
          <w:szCs w:val="24"/>
          <w:lang w:val="en-US"/>
        </w:rPr>
        <w:t xml:space="preserve">or Recognition Order (as </w:t>
      </w:r>
      <w:r w:rsidR="003D10F8" w:rsidRPr="001026E6">
        <w:rPr>
          <w:sz w:val="24"/>
          <w:szCs w:val="24"/>
          <w:lang w:val="en-US"/>
        </w:rPr>
        <w:t>applicable</w:t>
      </w:r>
      <w:r w:rsidR="008247F8" w:rsidRPr="001026E6">
        <w:rPr>
          <w:sz w:val="24"/>
          <w:szCs w:val="24"/>
          <w:lang w:val="en-US"/>
        </w:rPr>
        <w:t>)</w:t>
      </w:r>
      <w:r w:rsidRPr="001026E6">
        <w:rPr>
          <w:sz w:val="24"/>
          <w:szCs w:val="24"/>
          <w:lang w:val="en-US"/>
        </w:rPr>
        <w:t xml:space="preserve">. </w:t>
      </w:r>
    </w:p>
    <w:p w14:paraId="50F8FEB5" w14:textId="77777777" w:rsidR="00EC68E8" w:rsidRPr="001026E6" w:rsidRDefault="00EC68E8" w:rsidP="00EC68E8">
      <w:pPr>
        <w:pStyle w:val="Heading4"/>
        <w:tabs>
          <w:tab w:val="clear" w:pos="1440"/>
        </w:tabs>
        <w:spacing w:after="0" w:line="240" w:lineRule="auto"/>
        <w:ind w:left="0" w:firstLine="0"/>
        <w:rPr>
          <w:rFonts w:asciiTheme="minorHAnsi" w:eastAsiaTheme="minorHAnsi" w:hAnsiTheme="minorHAnsi" w:cstheme="minorBidi"/>
          <w:bCs w:val="0"/>
          <w:iCs w:val="0"/>
          <w:sz w:val="24"/>
          <w:lang w:val="en-US"/>
        </w:rPr>
      </w:pPr>
    </w:p>
    <w:p w14:paraId="7B503DF1" w14:textId="77777777" w:rsidR="00EC68E8" w:rsidRPr="001026E6" w:rsidRDefault="00EC68E8" w:rsidP="006201C4">
      <w:pPr>
        <w:pStyle w:val="Heading4"/>
        <w:tabs>
          <w:tab w:val="clear" w:pos="1440"/>
        </w:tabs>
        <w:spacing w:after="0" w:line="240" w:lineRule="auto"/>
        <w:ind w:left="0" w:firstLine="0"/>
        <w:rPr>
          <w:rFonts w:asciiTheme="minorHAnsi" w:eastAsiaTheme="minorHAnsi" w:hAnsiTheme="minorHAnsi" w:cstheme="minorBidi"/>
          <w:bCs w:val="0"/>
          <w:i/>
          <w:sz w:val="24"/>
          <w:lang w:val="en-US"/>
        </w:rPr>
      </w:pPr>
      <w:r w:rsidRPr="001026E6">
        <w:rPr>
          <w:rFonts w:asciiTheme="minorHAnsi" w:eastAsiaTheme="minorHAnsi" w:hAnsiTheme="minorHAnsi" w:cstheme="minorBidi"/>
          <w:bCs w:val="0"/>
          <w:i/>
          <w:sz w:val="24"/>
          <w:lang w:val="en-US"/>
        </w:rPr>
        <w:t>Granting of Final Approval (Financial Services Permission</w:t>
      </w:r>
      <w:r w:rsidR="0027252C" w:rsidRPr="001026E6">
        <w:rPr>
          <w:rFonts w:asciiTheme="minorHAnsi" w:eastAsiaTheme="minorHAnsi" w:hAnsiTheme="minorHAnsi" w:cstheme="minorBidi"/>
          <w:bCs w:val="0"/>
          <w:i/>
          <w:sz w:val="24"/>
          <w:lang w:val="en-US"/>
        </w:rPr>
        <w:t>/ Recognition Order</w:t>
      </w:r>
      <w:r w:rsidRPr="001026E6">
        <w:rPr>
          <w:rFonts w:asciiTheme="minorHAnsi" w:eastAsiaTheme="minorHAnsi" w:hAnsiTheme="minorHAnsi" w:cstheme="minorBidi"/>
          <w:bCs w:val="0"/>
          <w:i/>
          <w:sz w:val="24"/>
          <w:lang w:val="en-US"/>
        </w:rPr>
        <w:t>)</w:t>
      </w:r>
    </w:p>
    <w:p w14:paraId="50653EBC" w14:textId="77777777" w:rsidR="00EC68E8" w:rsidRPr="001026E6" w:rsidRDefault="00EC68E8" w:rsidP="00EC68E8">
      <w:pPr>
        <w:pStyle w:val="Heading4"/>
        <w:tabs>
          <w:tab w:val="clear" w:pos="1440"/>
        </w:tabs>
        <w:spacing w:after="0" w:line="240" w:lineRule="auto"/>
        <w:ind w:left="0" w:firstLine="227"/>
        <w:rPr>
          <w:rFonts w:asciiTheme="minorHAnsi" w:eastAsiaTheme="minorHAnsi" w:hAnsiTheme="minorHAnsi" w:cstheme="minorBidi"/>
          <w:bCs w:val="0"/>
          <w:i/>
          <w:sz w:val="24"/>
          <w:lang w:val="en-US"/>
        </w:rPr>
      </w:pPr>
    </w:p>
    <w:p w14:paraId="5724999F" w14:textId="77777777" w:rsidR="00EC68E8" w:rsidRPr="001026E6" w:rsidRDefault="00EC68E8" w:rsidP="006201C4">
      <w:pPr>
        <w:pStyle w:val="ListParagraph"/>
        <w:numPr>
          <w:ilvl w:val="0"/>
          <w:numId w:val="1"/>
        </w:numPr>
        <w:ind w:left="450"/>
        <w:jc w:val="both"/>
        <w:rPr>
          <w:sz w:val="24"/>
          <w:szCs w:val="24"/>
          <w:lang w:val="en-US"/>
        </w:rPr>
      </w:pPr>
      <w:r w:rsidRPr="001026E6">
        <w:rPr>
          <w:sz w:val="24"/>
          <w:szCs w:val="24"/>
          <w:lang w:val="en-US"/>
        </w:rPr>
        <w:lastRenderedPageBreak/>
        <w:t xml:space="preserve">Subject to being satisfied that the Applicant has met all conditions applicable to the IPA, the FSRA will grant the Applicant with final approval for an FSP </w:t>
      </w:r>
      <w:r w:rsidR="003D10F8" w:rsidRPr="001026E6">
        <w:rPr>
          <w:sz w:val="24"/>
          <w:szCs w:val="24"/>
          <w:lang w:val="en-US"/>
        </w:rPr>
        <w:t>or Recognition Order (as applicable)</w:t>
      </w:r>
      <w:r w:rsidRPr="001026E6">
        <w:rPr>
          <w:sz w:val="24"/>
          <w:szCs w:val="24"/>
          <w:lang w:val="en-US"/>
        </w:rPr>
        <w:t>.  Final approval will be conditional upon the FSRA being further satisfied in relation to the Applicant’s operational testing and capabilities, and completion of a third</w:t>
      </w:r>
      <w:r w:rsidR="00CD1A0E" w:rsidRPr="001026E6">
        <w:rPr>
          <w:sz w:val="24"/>
          <w:szCs w:val="24"/>
          <w:lang w:val="en-US"/>
        </w:rPr>
        <w:t>-</w:t>
      </w:r>
      <w:r w:rsidRPr="001026E6">
        <w:rPr>
          <w:sz w:val="24"/>
          <w:szCs w:val="24"/>
          <w:lang w:val="en-US"/>
        </w:rPr>
        <w:t>party verification of the Applicant’s systems where applicable.</w:t>
      </w:r>
    </w:p>
    <w:p w14:paraId="3226551C" w14:textId="77777777" w:rsidR="00EC68E8" w:rsidRPr="001026E6" w:rsidRDefault="00EC68E8" w:rsidP="00EC68E8">
      <w:pPr>
        <w:pStyle w:val="ListParagraph"/>
        <w:ind w:left="680"/>
        <w:jc w:val="both"/>
        <w:rPr>
          <w:i/>
          <w:iCs/>
          <w:sz w:val="24"/>
          <w:szCs w:val="24"/>
          <w:lang w:val="en-US"/>
        </w:rPr>
      </w:pPr>
    </w:p>
    <w:p w14:paraId="039BDFAD" w14:textId="77777777" w:rsidR="00EC68E8" w:rsidRPr="001026E6" w:rsidRDefault="00EC68E8" w:rsidP="006201C4">
      <w:pPr>
        <w:jc w:val="both"/>
        <w:rPr>
          <w:bCs/>
          <w:i/>
          <w:iCs/>
          <w:sz w:val="24"/>
          <w:lang w:val="en-US"/>
        </w:rPr>
      </w:pPr>
      <w:r w:rsidRPr="001026E6">
        <w:rPr>
          <w:i/>
          <w:iCs/>
          <w:sz w:val="24"/>
          <w:lang w:val="en-US"/>
        </w:rPr>
        <w:t>‘</w:t>
      </w:r>
      <w:r w:rsidRPr="001026E6">
        <w:rPr>
          <w:i/>
          <w:iCs/>
          <w:sz w:val="24"/>
          <w:szCs w:val="24"/>
          <w:lang w:val="en-US"/>
        </w:rPr>
        <w:t>Operational</w:t>
      </w:r>
      <w:r w:rsidRPr="001026E6">
        <w:rPr>
          <w:bCs/>
          <w:i/>
          <w:iCs/>
          <w:sz w:val="24"/>
          <w:lang w:val="en-US"/>
        </w:rPr>
        <w:t xml:space="preserve"> Launch’ Testing</w:t>
      </w:r>
    </w:p>
    <w:p w14:paraId="0DE0B4C9" w14:textId="77777777" w:rsidR="00EC68E8" w:rsidRPr="001026E6" w:rsidRDefault="00EC68E8" w:rsidP="00EC68E8">
      <w:pPr>
        <w:pStyle w:val="ListParagraph"/>
        <w:ind w:left="680"/>
        <w:jc w:val="both"/>
        <w:rPr>
          <w:bCs/>
          <w:i/>
        </w:rPr>
      </w:pPr>
    </w:p>
    <w:p w14:paraId="00843AB2" w14:textId="77777777" w:rsidR="00EC68E8" w:rsidRPr="001026E6" w:rsidRDefault="00EC68E8" w:rsidP="006201C4">
      <w:pPr>
        <w:pStyle w:val="ListParagraph"/>
        <w:numPr>
          <w:ilvl w:val="0"/>
          <w:numId w:val="1"/>
        </w:numPr>
        <w:ind w:left="450"/>
        <w:jc w:val="both"/>
        <w:rPr>
          <w:sz w:val="24"/>
          <w:szCs w:val="24"/>
          <w:lang w:val="en-US"/>
        </w:rPr>
      </w:pPr>
      <w:r w:rsidRPr="001026E6">
        <w:rPr>
          <w:sz w:val="24"/>
          <w:szCs w:val="24"/>
          <w:lang w:val="en-US"/>
        </w:rPr>
        <w:t xml:space="preserve">An Applicant </w:t>
      </w:r>
      <w:r w:rsidR="001304DC" w:rsidRPr="001026E6">
        <w:rPr>
          <w:sz w:val="24"/>
          <w:szCs w:val="24"/>
          <w:lang w:val="en-US"/>
        </w:rPr>
        <w:t xml:space="preserve">operating a </w:t>
      </w:r>
      <w:r w:rsidR="003D51C1" w:rsidRPr="001026E6">
        <w:rPr>
          <w:sz w:val="24"/>
          <w:szCs w:val="24"/>
          <w:lang w:val="en-US"/>
        </w:rPr>
        <w:t>RIE</w:t>
      </w:r>
      <w:r w:rsidR="00CD1A0E" w:rsidRPr="001026E6">
        <w:rPr>
          <w:sz w:val="24"/>
          <w:szCs w:val="24"/>
          <w:lang w:val="en-US"/>
        </w:rPr>
        <w:t>,</w:t>
      </w:r>
      <w:r w:rsidR="001304DC" w:rsidRPr="001026E6">
        <w:rPr>
          <w:sz w:val="24"/>
          <w:szCs w:val="24"/>
          <w:lang w:val="en-US"/>
        </w:rPr>
        <w:t xml:space="preserve"> </w:t>
      </w:r>
      <w:r w:rsidR="003D51C1" w:rsidRPr="001026E6">
        <w:rPr>
          <w:sz w:val="24"/>
          <w:szCs w:val="24"/>
          <w:lang w:val="en-US"/>
        </w:rPr>
        <w:t>MTF</w:t>
      </w:r>
      <w:r w:rsidR="00CD1A0E" w:rsidRPr="001026E6">
        <w:rPr>
          <w:sz w:val="24"/>
          <w:szCs w:val="24"/>
          <w:lang w:val="en-US"/>
        </w:rPr>
        <w:t>, DSF or RCH</w:t>
      </w:r>
      <w:r w:rsidR="003D51C1" w:rsidRPr="001026E6">
        <w:rPr>
          <w:sz w:val="24"/>
          <w:szCs w:val="24"/>
          <w:lang w:val="en-US"/>
        </w:rPr>
        <w:t xml:space="preserve"> </w:t>
      </w:r>
      <w:r w:rsidRPr="001026E6">
        <w:rPr>
          <w:sz w:val="24"/>
          <w:szCs w:val="24"/>
          <w:lang w:val="en-US"/>
        </w:rPr>
        <w:t xml:space="preserve">will only be permitted to progress to operational launch when it has completed its operational launch testing to the FSRA’s satisfaction, including completion of third party verification of the Applicant’s systems, where applicable.  </w:t>
      </w:r>
    </w:p>
    <w:p w14:paraId="6BCC7090" w14:textId="77777777" w:rsidR="00EC68E8" w:rsidRPr="001026E6" w:rsidRDefault="00EC68E8" w:rsidP="006201C4">
      <w:pPr>
        <w:pStyle w:val="ListParagraph"/>
        <w:ind w:left="450"/>
        <w:jc w:val="both"/>
        <w:rPr>
          <w:sz w:val="24"/>
          <w:szCs w:val="24"/>
          <w:lang w:val="en-US"/>
        </w:rPr>
      </w:pPr>
    </w:p>
    <w:p w14:paraId="1D074378" w14:textId="77777777" w:rsidR="00EC68E8" w:rsidRPr="001026E6" w:rsidRDefault="00EC68E8" w:rsidP="00945345">
      <w:pPr>
        <w:pStyle w:val="ListParagraph"/>
        <w:numPr>
          <w:ilvl w:val="0"/>
          <w:numId w:val="1"/>
        </w:numPr>
        <w:tabs>
          <w:tab w:val="left" w:pos="7321"/>
        </w:tabs>
        <w:ind w:left="450"/>
        <w:jc w:val="both"/>
        <w:rPr>
          <w:sz w:val="24"/>
          <w:szCs w:val="24"/>
          <w:lang w:val="en-US"/>
        </w:rPr>
      </w:pPr>
      <w:r w:rsidRPr="001026E6">
        <w:rPr>
          <w:sz w:val="24"/>
          <w:szCs w:val="24"/>
          <w:lang w:val="en-US"/>
        </w:rPr>
        <w:t xml:space="preserve">Noting the </w:t>
      </w:r>
      <w:r w:rsidR="00DB633C" w:rsidRPr="001026E6">
        <w:rPr>
          <w:sz w:val="24"/>
          <w:szCs w:val="24"/>
          <w:lang w:val="en-US"/>
        </w:rPr>
        <w:t xml:space="preserve">public nature of </w:t>
      </w:r>
      <w:r w:rsidR="00CD1A0E" w:rsidRPr="001026E6">
        <w:rPr>
          <w:sz w:val="24"/>
          <w:szCs w:val="24"/>
          <w:lang w:val="en-US"/>
        </w:rPr>
        <w:t>these entities</w:t>
      </w:r>
      <w:r w:rsidR="00DB633C" w:rsidRPr="001026E6">
        <w:rPr>
          <w:sz w:val="24"/>
          <w:szCs w:val="24"/>
          <w:lang w:val="en-US"/>
        </w:rPr>
        <w:t xml:space="preserve"> and the consumer protection considerations associated with </w:t>
      </w:r>
      <w:r w:rsidR="00CD1A0E" w:rsidRPr="001026E6">
        <w:rPr>
          <w:sz w:val="24"/>
          <w:szCs w:val="24"/>
          <w:lang w:val="en-US"/>
        </w:rPr>
        <w:t>significant client</w:t>
      </w:r>
      <w:r w:rsidR="00DB633C" w:rsidRPr="001026E6">
        <w:rPr>
          <w:sz w:val="24"/>
          <w:szCs w:val="24"/>
          <w:lang w:val="en-US"/>
        </w:rPr>
        <w:t xml:space="preserve"> participation</w:t>
      </w:r>
      <w:r w:rsidR="000D58EF" w:rsidRPr="001026E6">
        <w:rPr>
          <w:sz w:val="24"/>
          <w:szCs w:val="24"/>
          <w:lang w:val="en-US"/>
        </w:rPr>
        <w:t xml:space="preserve">, these </w:t>
      </w:r>
      <w:r w:rsidR="00564344" w:rsidRPr="001026E6">
        <w:rPr>
          <w:sz w:val="24"/>
          <w:szCs w:val="24"/>
          <w:lang w:val="en-US"/>
        </w:rPr>
        <w:t>licence</w:t>
      </w:r>
      <w:r w:rsidR="000D58EF" w:rsidRPr="001026E6">
        <w:rPr>
          <w:sz w:val="24"/>
          <w:szCs w:val="24"/>
          <w:lang w:val="en-US"/>
        </w:rPr>
        <w:t xml:space="preserve"> holders</w:t>
      </w:r>
      <w:r w:rsidR="00DB633C" w:rsidRPr="001026E6">
        <w:rPr>
          <w:sz w:val="24"/>
          <w:szCs w:val="24"/>
          <w:lang w:val="en-US"/>
        </w:rPr>
        <w:t>, like many others</w:t>
      </w:r>
      <w:r w:rsidR="00CD1A0E" w:rsidRPr="001026E6">
        <w:rPr>
          <w:sz w:val="24"/>
          <w:szCs w:val="24"/>
          <w:lang w:val="en-US"/>
        </w:rPr>
        <w:t xml:space="preserve"> regulated by FSRA</w:t>
      </w:r>
      <w:r w:rsidR="00DB633C" w:rsidRPr="001026E6">
        <w:rPr>
          <w:sz w:val="24"/>
          <w:szCs w:val="24"/>
          <w:lang w:val="en-US"/>
        </w:rPr>
        <w:t xml:space="preserve">, </w:t>
      </w:r>
      <w:r w:rsidRPr="001026E6">
        <w:rPr>
          <w:sz w:val="24"/>
          <w:szCs w:val="24"/>
          <w:lang w:val="en-US"/>
        </w:rPr>
        <w:t xml:space="preserve">will be closely supervised by the FSRA once </w:t>
      </w:r>
      <w:r w:rsidR="00564344" w:rsidRPr="001026E6">
        <w:rPr>
          <w:sz w:val="24"/>
          <w:szCs w:val="24"/>
          <w:lang w:val="en-US"/>
        </w:rPr>
        <w:t>licence</w:t>
      </w:r>
      <w:r w:rsidRPr="001026E6">
        <w:rPr>
          <w:sz w:val="24"/>
          <w:szCs w:val="24"/>
          <w:lang w:val="en-US"/>
        </w:rPr>
        <w:t xml:space="preserve">d.  </w:t>
      </w:r>
      <w:r w:rsidR="00CD1A0E" w:rsidRPr="001026E6">
        <w:rPr>
          <w:sz w:val="24"/>
          <w:szCs w:val="24"/>
          <w:lang w:val="en-US"/>
        </w:rPr>
        <w:t>Entities should expect</w:t>
      </w:r>
      <w:r w:rsidRPr="001026E6">
        <w:rPr>
          <w:sz w:val="24"/>
          <w:szCs w:val="24"/>
          <w:lang w:val="en-US"/>
        </w:rPr>
        <w:t xml:space="preserve"> to meet frequently with the FSRA, be subject to ongoing assessments</w:t>
      </w:r>
      <w:r w:rsidR="00CD1A0E" w:rsidRPr="001026E6">
        <w:rPr>
          <w:sz w:val="24"/>
          <w:szCs w:val="24"/>
          <w:lang w:val="en-US"/>
        </w:rPr>
        <w:t>,</w:t>
      </w:r>
      <w:r w:rsidRPr="001026E6">
        <w:rPr>
          <w:sz w:val="24"/>
          <w:szCs w:val="24"/>
          <w:lang w:val="en-US"/>
        </w:rPr>
        <w:t xml:space="preserve"> and be prepared to undergo thematic reviews from time to time</w:t>
      </w:r>
      <w:r w:rsidR="00CD1A0E" w:rsidRPr="001026E6">
        <w:rPr>
          <w:sz w:val="24"/>
          <w:szCs w:val="24"/>
          <w:lang w:val="en-US"/>
        </w:rPr>
        <w:t xml:space="preserve"> (particularly considering the nascent stage of Digital Securities markets globally)</w:t>
      </w:r>
      <w:r w:rsidRPr="001026E6">
        <w:rPr>
          <w:sz w:val="24"/>
          <w:szCs w:val="24"/>
          <w:lang w:val="en-US"/>
        </w:rPr>
        <w:t>.</w:t>
      </w:r>
    </w:p>
    <w:p w14:paraId="3AB41B0D" w14:textId="77777777" w:rsidR="00E00143" w:rsidRPr="001026E6" w:rsidRDefault="00E00143" w:rsidP="00E00143">
      <w:pPr>
        <w:pStyle w:val="ListParagraph"/>
        <w:rPr>
          <w:sz w:val="24"/>
          <w:szCs w:val="24"/>
          <w:lang w:val="en-US"/>
        </w:rPr>
      </w:pPr>
    </w:p>
    <w:p w14:paraId="560191D7" w14:textId="177ECA41" w:rsidR="00073ADC" w:rsidRPr="001026E6" w:rsidRDefault="00E00143" w:rsidP="00073ADC">
      <w:pPr>
        <w:pStyle w:val="ListParagraph"/>
        <w:numPr>
          <w:ilvl w:val="0"/>
          <w:numId w:val="1"/>
        </w:numPr>
        <w:ind w:left="450"/>
        <w:jc w:val="both"/>
        <w:rPr>
          <w:sz w:val="24"/>
          <w:szCs w:val="24"/>
          <w:lang w:val="en-US"/>
        </w:rPr>
      </w:pPr>
      <w:r w:rsidRPr="001026E6">
        <w:rPr>
          <w:sz w:val="24"/>
          <w:szCs w:val="24"/>
          <w:lang w:val="en-US"/>
        </w:rPr>
        <w:t>Authorised Persons seeking FSP variations, other than MTFs, will follow the variation process as set out in sections 2.9.6 and 2.9.7 of the Guidance &amp; Policies Manual (GPM) and are encouraged to discuss their variation proposals with their Supervision Relationship Managers as early as possible.</w:t>
      </w:r>
    </w:p>
    <w:p w14:paraId="605CFD60" w14:textId="77777777" w:rsidR="00073ADC" w:rsidRPr="001026E6" w:rsidRDefault="00073ADC" w:rsidP="00073ADC">
      <w:pPr>
        <w:pStyle w:val="ListParagraph"/>
        <w:ind w:left="450"/>
        <w:jc w:val="both"/>
        <w:rPr>
          <w:sz w:val="24"/>
          <w:szCs w:val="24"/>
          <w:lang w:val="en-US"/>
        </w:rPr>
      </w:pPr>
    </w:p>
    <w:p w14:paraId="3B8AE9AC" w14:textId="77777777" w:rsidR="00785F91" w:rsidRPr="001026E6" w:rsidRDefault="00785F91">
      <w:pPr>
        <w:spacing w:after="160" w:line="259" w:lineRule="auto"/>
        <w:rPr>
          <w:rFonts w:eastAsiaTheme="majorEastAsia" w:cstheme="majorBidi"/>
          <w:b/>
          <w:sz w:val="24"/>
          <w:szCs w:val="24"/>
        </w:rPr>
      </w:pPr>
      <w:bookmarkStart w:id="128" w:name="_Toc511714359"/>
      <w:bookmarkStart w:id="129" w:name="_Toc512695627"/>
      <w:bookmarkStart w:id="130" w:name="_Toc514588796"/>
      <w:bookmarkStart w:id="131" w:name="_Toc517602866"/>
      <w:bookmarkStart w:id="132" w:name="_Toc18571357"/>
      <w:r w:rsidRPr="001026E6">
        <w:rPr>
          <w:sz w:val="24"/>
          <w:szCs w:val="24"/>
        </w:rPr>
        <w:lastRenderedPageBreak/>
        <w:br w:type="page"/>
      </w:r>
    </w:p>
    <w:p w14:paraId="541A6C64" w14:textId="27B08FD7" w:rsidR="00BD03D5" w:rsidRPr="001026E6" w:rsidRDefault="00BD03D5" w:rsidP="00BD03D5">
      <w:pPr>
        <w:pStyle w:val="Heading1"/>
        <w:keepLines w:val="0"/>
        <w:spacing w:before="0" w:after="240" w:line="246" w:lineRule="atLeast"/>
        <w:jc w:val="both"/>
        <w:rPr>
          <w:rFonts w:asciiTheme="minorHAnsi" w:hAnsiTheme="minorHAnsi"/>
          <w:sz w:val="24"/>
          <w:szCs w:val="24"/>
        </w:rPr>
      </w:pPr>
      <w:bookmarkStart w:id="133" w:name="_Toc33443108"/>
      <w:r w:rsidRPr="001026E6">
        <w:rPr>
          <w:rFonts w:asciiTheme="minorHAnsi" w:hAnsiTheme="minorHAnsi"/>
          <w:sz w:val="24"/>
          <w:szCs w:val="24"/>
        </w:rPr>
        <w:lastRenderedPageBreak/>
        <w:t>FEES</w:t>
      </w:r>
      <w:bookmarkEnd w:id="128"/>
      <w:bookmarkEnd w:id="129"/>
      <w:bookmarkEnd w:id="130"/>
      <w:bookmarkEnd w:id="131"/>
      <w:bookmarkEnd w:id="132"/>
      <w:bookmarkEnd w:id="133"/>
    </w:p>
    <w:p w14:paraId="14BD22BB" w14:textId="77777777" w:rsidR="00BD03D5" w:rsidRPr="001026E6" w:rsidRDefault="00BD03D5" w:rsidP="00BD03D5">
      <w:pPr>
        <w:rPr>
          <w:bCs/>
          <w:sz w:val="24"/>
          <w:szCs w:val="24"/>
        </w:rPr>
      </w:pPr>
      <w:r w:rsidRPr="001026E6">
        <w:rPr>
          <w:b/>
          <w:bCs/>
          <w:sz w:val="24"/>
          <w:szCs w:val="24"/>
        </w:rPr>
        <w:t>Authorisation and supervision fees</w:t>
      </w:r>
    </w:p>
    <w:p w14:paraId="36EA10B6" w14:textId="77777777" w:rsidR="00BD03D5" w:rsidRPr="001026E6" w:rsidRDefault="00BD03D5" w:rsidP="00BD03D5"/>
    <w:p w14:paraId="4C8FF979" w14:textId="77777777" w:rsidR="00BD03D5" w:rsidRPr="001026E6" w:rsidRDefault="00BD03D5" w:rsidP="00840E5C">
      <w:pPr>
        <w:pStyle w:val="ListParagraph"/>
        <w:numPr>
          <w:ilvl w:val="0"/>
          <w:numId w:val="1"/>
        </w:numPr>
        <w:ind w:left="450"/>
        <w:jc w:val="both"/>
        <w:rPr>
          <w:sz w:val="24"/>
          <w:szCs w:val="24"/>
          <w:lang w:val="en-US"/>
        </w:rPr>
      </w:pPr>
      <w:r w:rsidRPr="001026E6">
        <w:rPr>
          <w:sz w:val="24"/>
          <w:szCs w:val="24"/>
          <w:lang w:val="en-US"/>
        </w:rPr>
        <w:t xml:space="preserve">The applicable fees for entities seeking to carry out Digital Securities activities within ADGM are set out in the FEES Rulebook.  Examples of the application of these fees to particular scenarios are set out in the paragraphs below.   </w:t>
      </w:r>
    </w:p>
    <w:p w14:paraId="4A626B40" w14:textId="77777777" w:rsidR="00BD03D5" w:rsidRPr="001026E6" w:rsidRDefault="00BD03D5" w:rsidP="00BD03D5">
      <w:pPr>
        <w:pStyle w:val="ListParagraph"/>
        <w:ind w:left="450"/>
        <w:jc w:val="both"/>
        <w:rPr>
          <w:sz w:val="24"/>
          <w:szCs w:val="24"/>
          <w:lang w:val="en-US"/>
        </w:rPr>
      </w:pPr>
    </w:p>
    <w:p w14:paraId="3CB95D5A" w14:textId="77777777" w:rsidR="007B2A7D" w:rsidRPr="001026E6" w:rsidRDefault="007B2A7D" w:rsidP="007B2A7D">
      <w:pPr>
        <w:pStyle w:val="ListParagraph"/>
        <w:numPr>
          <w:ilvl w:val="0"/>
          <w:numId w:val="1"/>
        </w:numPr>
        <w:ind w:left="450"/>
        <w:jc w:val="both"/>
        <w:rPr>
          <w:sz w:val="24"/>
          <w:szCs w:val="24"/>
          <w:lang w:val="en-US"/>
        </w:rPr>
      </w:pPr>
      <w:r w:rsidRPr="001026E6">
        <w:rPr>
          <w:sz w:val="24"/>
          <w:szCs w:val="24"/>
          <w:lang w:val="en-US"/>
        </w:rPr>
        <w:t>As it is not proposed that there be an immediate change to the fee structure in relation to Digital Securities, the FSRA will continue to monitor its position in relation to these fees as part of the wider Securities</w:t>
      </w:r>
      <w:r w:rsidR="00840E5C" w:rsidRPr="001026E6">
        <w:rPr>
          <w:sz w:val="24"/>
          <w:szCs w:val="24"/>
          <w:lang w:val="en-US"/>
        </w:rPr>
        <w:t>-regulatory</w:t>
      </w:r>
      <w:r w:rsidRPr="001026E6">
        <w:rPr>
          <w:sz w:val="24"/>
          <w:szCs w:val="24"/>
          <w:lang w:val="en-US"/>
        </w:rPr>
        <w:t xml:space="preserve"> framework.  </w:t>
      </w:r>
    </w:p>
    <w:p w14:paraId="2E3F1D23" w14:textId="77777777" w:rsidR="007B2A7D" w:rsidRPr="001026E6" w:rsidRDefault="007B2A7D" w:rsidP="007B2A7D">
      <w:pPr>
        <w:pStyle w:val="ListParagraph"/>
        <w:rPr>
          <w:sz w:val="24"/>
          <w:szCs w:val="24"/>
          <w:lang w:val="en-US"/>
        </w:rPr>
      </w:pPr>
    </w:p>
    <w:p w14:paraId="464DA094" w14:textId="4D1A69E5" w:rsidR="00BD03D5" w:rsidRPr="001026E6" w:rsidRDefault="008621AA" w:rsidP="00BD03D5">
      <w:pPr>
        <w:pStyle w:val="ListParagraph"/>
        <w:numPr>
          <w:ilvl w:val="0"/>
          <w:numId w:val="1"/>
        </w:numPr>
        <w:ind w:left="450"/>
        <w:jc w:val="both"/>
        <w:rPr>
          <w:sz w:val="24"/>
          <w:szCs w:val="24"/>
          <w:lang w:val="en-US"/>
        </w:rPr>
      </w:pPr>
      <w:r w:rsidRPr="001026E6">
        <w:rPr>
          <w:sz w:val="24"/>
          <w:szCs w:val="24"/>
          <w:lang w:val="en-US"/>
        </w:rPr>
        <w:t>As noted in paragraph 12</w:t>
      </w:r>
      <w:r w:rsidR="00073ADC" w:rsidRPr="001026E6">
        <w:rPr>
          <w:sz w:val="24"/>
          <w:szCs w:val="24"/>
          <w:lang w:val="en-US"/>
        </w:rPr>
        <w:t>2</w:t>
      </w:r>
      <w:r w:rsidRPr="001026E6">
        <w:rPr>
          <w:sz w:val="24"/>
          <w:szCs w:val="24"/>
          <w:lang w:val="en-US"/>
        </w:rPr>
        <w:t xml:space="preserve"> above, t</w:t>
      </w:r>
      <w:r w:rsidR="00BD03D5" w:rsidRPr="001026E6">
        <w:rPr>
          <w:sz w:val="24"/>
          <w:szCs w:val="24"/>
          <w:lang w:val="en-US"/>
        </w:rPr>
        <w:t>he FSRA will only consider an Application as having been submitted, and commence its formal review of the Application, upon receipt of both the completed Application and the associated fees.</w:t>
      </w:r>
    </w:p>
    <w:p w14:paraId="2B1637F1" w14:textId="7A741945" w:rsidR="00BD03D5" w:rsidRPr="001026E6" w:rsidRDefault="00BD03D5" w:rsidP="00BD03D5"/>
    <w:p w14:paraId="0E6CDACA" w14:textId="77777777" w:rsidR="00BD03D5" w:rsidRPr="001026E6" w:rsidRDefault="00BD03D5" w:rsidP="00BD03D5">
      <w:pPr>
        <w:rPr>
          <w:bCs/>
          <w:sz w:val="24"/>
          <w:szCs w:val="24"/>
        </w:rPr>
      </w:pPr>
      <w:r w:rsidRPr="001026E6">
        <w:rPr>
          <w:b/>
          <w:bCs/>
          <w:sz w:val="24"/>
          <w:szCs w:val="24"/>
        </w:rPr>
        <w:t xml:space="preserve">Authorisation fees </w:t>
      </w:r>
    </w:p>
    <w:p w14:paraId="011240BE" w14:textId="77777777" w:rsidR="00BD03D5" w:rsidRPr="001026E6" w:rsidRDefault="00BD03D5" w:rsidP="00BD03D5"/>
    <w:p w14:paraId="344A65D5" w14:textId="095D4791" w:rsidR="00BD03D5" w:rsidRPr="001026E6" w:rsidRDefault="00BD03D5" w:rsidP="00BA148D">
      <w:pPr>
        <w:pStyle w:val="ListParagraph"/>
        <w:numPr>
          <w:ilvl w:val="0"/>
          <w:numId w:val="1"/>
        </w:numPr>
        <w:ind w:left="450"/>
        <w:jc w:val="both"/>
        <w:rPr>
          <w:sz w:val="24"/>
          <w:szCs w:val="24"/>
          <w:lang w:val="en-US"/>
        </w:rPr>
      </w:pPr>
      <w:r w:rsidRPr="001026E6">
        <w:rPr>
          <w:sz w:val="24"/>
          <w:szCs w:val="24"/>
          <w:u w:val="single"/>
          <w:lang w:val="en-US"/>
        </w:rPr>
        <w:t>For Digital Securities activities by new entrants applying to operate in ADGM</w:t>
      </w:r>
      <w:r w:rsidRPr="001026E6">
        <w:rPr>
          <w:sz w:val="24"/>
          <w:szCs w:val="24"/>
          <w:lang w:val="en-US"/>
        </w:rPr>
        <w:t xml:space="preserve">:  For Applicants seeking to carry on Digital Securities activities within ADGM, with no existing ADGM </w:t>
      </w:r>
      <w:r w:rsidR="00564344" w:rsidRPr="001026E6">
        <w:rPr>
          <w:sz w:val="24"/>
          <w:szCs w:val="24"/>
          <w:lang w:val="en-US"/>
        </w:rPr>
        <w:t>licence</w:t>
      </w:r>
      <w:r w:rsidRPr="001026E6">
        <w:rPr>
          <w:sz w:val="24"/>
          <w:szCs w:val="24"/>
          <w:lang w:val="en-US"/>
        </w:rPr>
        <w:t xml:space="preserve">d business operations, the Authorisation fees are the same as those already provided in the applicable Rulebook for the relevant activity, subject to paragraph </w:t>
      </w:r>
      <w:r w:rsidR="00BA148D" w:rsidRPr="001026E6">
        <w:rPr>
          <w:sz w:val="24"/>
          <w:szCs w:val="24"/>
          <w:lang w:val="en-US"/>
        </w:rPr>
        <w:t>13</w:t>
      </w:r>
      <w:r w:rsidR="004937DD" w:rsidRPr="001026E6">
        <w:rPr>
          <w:sz w:val="24"/>
          <w:szCs w:val="24"/>
          <w:lang w:val="en-US"/>
        </w:rPr>
        <w:t>3</w:t>
      </w:r>
      <w:r w:rsidR="00BA148D" w:rsidRPr="001026E6">
        <w:rPr>
          <w:sz w:val="24"/>
          <w:szCs w:val="24"/>
          <w:lang w:val="en-US"/>
        </w:rPr>
        <w:t xml:space="preserve"> </w:t>
      </w:r>
      <w:r w:rsidRPr="001026E6">
        <w:rPr>
          <w:sz w:val="24"/>
          <w:szCs w:val="24"/>
          <w:lang w:val="en-US"/>
        </w:rPr>
        <w:t xml:space="preserve">below.  In summary:  </w:t>
      </w:r>
    </w:p>
    <w:p w14:paraId="253167AF" w14:textId="77777777" w:rsidR="00BD03D5" w:rsidRPr="001026E6" w:rsidRDefault="00BD03D5" w:rsidP="00BD03D5">
      <w:pPr>
        <w:pStyle w:val="ListParagraph"/>
        <w:ind w:left="450"/>
        <w:jc w:val="both"/>
        <w:rPr>
          <w:sz w:val="24"/>
          <w:szCs w:val="24"/>
          <w:lang w:val="en-US"/>
        </w:rPr>
      </w:pPr>
    </w:p>
    <w:p w14:paraId="7363789A" w14:textId="77777777" w:rsidR="00BD03D5" w:rsidRPr="001026E6" w:rsidRDefault="00BD03D5" w:rsidP="00840E5C">
      <w:pPr>
        <w:pStyle w:val="ListParagraph"/>
        <w:numPr>
          <w:ilvl w:val="1"/>
          <w:numId w:val="1"/>
        </w:numPr>
        <w:ind w:left="851"/>
        <w:jc w:val="both"/>
        <w:rPr>
          <w:sz w:val="24"/>
          <w:szCs w:val="24"/>
          <w:lang w:val="en-US"/>
        </w:rPr>
      </w:pPr>
      <w:r w:rsidRPr="001026E6">
        <w:rPr>
          <w:sz w:val="24"/>
          <w:szCs w:val="24"/>
          <w:lang w:val="en-US"/>
        </w:rPr>
        <w:t xml:space="preserve">the applicable fees for a Recognition Order as an RIE or an RCH are set out in FEES Rule 3.7.1(a); </w:t>
      </w:r>
    </w:p>
    <w:p w14:paraId="4A16B434" w14:textId="77777777" w:rsidR="00840E5C" w:rsidRPr="001026E6" w:rsidRDefault="00840E5C" w:rsidP="00840E5C">
      <w:pPr>
        <w:pStyle w:val="ListParagraph"/>
        <w:ind w:left="851"/>
        <w:jc w:val="both"/>
        <w:rPr>
          <w:sz w:val="24"/>
          <w:szCs w:val="24"/>
          <w:lang w:val="en-US"/>
        </w:rPr>
      </w:pPr>
    </w:p>
    <w:p w14:paraId="640C01AF" w14:textId="77777777" w:rsidR="00BD03D5" w:rsidRPr="001026E6" w:rsidRDefault="00BD03D5" w:rsidP="00840E5C">
      <w:pPr>
        <w:pStyle w:val="ListParagraph"/>
        <w:numPr>
          <w:ilvl w:val="1"/>
          <w:numId w:val="1"/>
        </w:numPr>
        <w:ind w:left="851"/>
        <w:jc w:val="both"/>
        <w:rPr>
          <w:sz w:val="24"/>
          <w:szCs w:val="24"/>
          <w:lang w:val="en-US"/>
        </w:rPr>
      </w:pPr>
      <w:r w:rsidRPr="001026E6">
        <w:rPr>
          <w:sz w:val="24"/>
          <w:szCs w:val="24"/>
          <w:lang w:val="en-US"/>
        </w:rPr>
        <w:lastRenderedPageBreak/>
        <w:t>the fees for a FSP for an Authorised Person (other than a DSF) are set out in FEES Rules 2.2.1(a) and 3.5; and</w:t>
      </w:r>
    </w:p>
    <w:p w14:paraId="3BA98BC3" w14:textId="77777777" w:rsidR="00840E5C" w:rsidRPr="001026E6" w:rsidRDefault="00840E5C" w:rsidP="00840E5C">
      <w:pPr>
        <w:pStyle w:val="ListParagraph"/>
        <w:ind w:left="851"/>
        <w:jc w:val="both"/>
        <w:rPr>
          <w:sz w:val="24"/>
          <w:szCs w:val="24"/>
          <w:lang w:val="en-US"/>
        </w:rPr>
      </w:pPr>
    </w:p>
    <w:p w14:paraId="726394F9" w14:textId="471E2462" w:rsidR="00BD03D5" w:rsidRPr="001026E6" w:rsidRDefault="00BD03D5" w:rsidP="00840E5C">
      <w:pPr>
        <w:pStyle w:val="ListParagraph"/>
        <w:numPr>
          <w:ilvl w:val="1"/>
          <w:numId w:val="1"/>
        </w:numPr>
        <w:ind w:left="851"/>
        <w:jc w:val="both"/>
        <w:rPr>
          <w:sz w:val="24"/>
          <w:szCs w:val="24"/>
          <w:lang w:val="en-US"/>
        </w:rPr>
      </w:pPr>
      <w:r w:rsidRPr="001026E6">
        <w:rPr>
          <w:sz w:val="24"/>
          <w:szCs w:val="24"/>
          <w:lang w:val="en-US"/>
        </w:rPr>
        <w:t xml:space="preserve">the fees for a DSF are as set out in paragraph </w:t>
      </w:r>
      <w:r w:rsidR="0061393A" w:rsidRPr="001026E6">
        <w:rPr>
          <w:sz w:val="24"/>
          <w:szCs w:val="24"/>
          <w:lang w:val="en-US"/>
        </w:rPr>
        <w:t>133</w:t>
      </w:r>
      <w:r w:rsidR="00BA148D" w:rsidRPr="001026E6">
        <w:rPr>
          <w:sz w:val="24"/>
          <w:szCs w:val="24"/>
          <w:lang w:val="en-US"/>
        </w:rPr>
        <w:t xml:space="preserve"> </w:t>
      </w:r>
      <w:r w:rsidRPr="001026E6">
        <w:rPr>
          <w:sz w:val="24"/>
          <w:szCs w:val="24"/>
          <w:lang w:val="en-US"/>
        </w:rPr>
        <w:t xml:space="preserve">below.  </w:t>
      </w:r>
    </w:p>
    <w:p w14:paraId="71570C31" w14:textId="77777777" w:rsidR="00BD03D5" w:rsidRPr="001026E6" w:rsidRDefault="00BD03D5" w:rsidP="00BD03D5">
      <w:pPr>
        <w:pStyle w:val="ListParagraph"/>
        <w:ind w:left="450"/>
        <w:jc w:val="both"/>
        <w:rPr>
          <w:sz w:val="24"/>
          <w:szCs w:val="24"/>
          <w:lang w:val="en-US"/>
        </w:rPr>
      </w:pPr>
    </w:p>
    <w:p w14:paraId="337B97D5" w14:textId="77777777" w:rsidR="00BD03D5" w:rsidRPr="001026E6" w:rsidRDefault="00BD03D5" w:rsidP="00BD03D5">
      <w:pPr>
        <w:pStyle w:val="ListParagraph"/>
        <w:numPr>
          <w:ilvl w:val="0"/>
          <w:numId w:val="1"/>
        </w:numPr>
        <w:ind w:left="450"/>
        <w:jc w:val="both"/>
        <w:rPr>
          <w:sz w:val="24"/>
          <w:szCs w:val="24"/>
          <w:lang w:val="en-US"/>
        </w:rPr>
      </w:pPr>
      <w:r w:rsidRPr="001026E6">
        <w:rPr>
          <w:sz w:val="24"/>
          <w:szCs w:val="24"/>
          <w:u w:val="single"/>
          <w:lang w:val="en-US"/>
        </w:rPr>
        <w:t xml:space="preserve">For Digital Securities activities to be conducted by existing ADGM </w:t>
      </w:r>
      <w:r w:rsidR="00564344" w:rsidRPr="001026E6">
        <w:rPr>
          <w:sz w:val="24"/>
          <w:szCs w:val="24"/>
          <w:u w:val="single"/>
          <w:lang w:val="en-US"/>
        </w:rPr>
        <w:t>licence</w:t>
      </w:r>
      <w:r w:rsidRPr="001026E6">
        <w:rPr>
          <w:sz w:val="24"/>
          <w:szCs w:val="24"/>
          <w:u w:val="single"/>
          <w:lang w:val="en-US"/>
        </w:rPr>
        <w:t>d intermediaries or MTFs</w:t>
      </w:r>
      <w:r w:rsidRPr="001026E6">
        <w:rPr>
          <w:sz w:val="24"/>
          <w:szCs w:val="24"/>
          <w:lang w:val="en-US"/>
        </w:rPr>
        <w:t xml:space="preserve">:  </w:t>
      </w:r>
    </w:p>
    <w:p w14:paraId="277C8CBD" w14:textId="77777777" w:rsidR="00BD03D5" w:rsidRPr="001026E6" w:rsidRDefault="00BD03D5" w:rsidP="00BD03D5">
      <w:pPr>
        <w:pStyle w:val="ListParagraph"/>
        <w:rPr>
          <w:sz w:val="24"/>
          <w:szCs w:val="24"/>
          <w:lang w:val="en-US"/>
        </w:rPr>
      </w:pPr>
    </w:p>
    <w:p w14:paraId="702FF7A3" w14:textId="5A8F4331" w:rsidR="00BD03D5" w:rsidRPr="001026E6" w:rsidRDefault="00BD03D5" w:rsidP="00F44C0F">
      <w:pPr>
        <w:pStyle w:val="ListParagraph"/>
        <w:numPr>
          <w:ilvl w:val="0"/>
          <w:numId w:val="73"/>
        </w:numPr>
        <w:ind w:left="851"/>
        <w:jc w:val="both"/>
        <w:rPr>
          <w:sz w:val="24"/>
          <w:szCs w:val="24"/>
          <w:lang w:val="en-US"/>
        </w:rPr>
      </w:pPr>
      <w:r w:rsidRPr="001026E6">
        <w:rPr>
          <w:sz w:val="24"/>
          <w:szCs w:val="24"/>
          <w:lang w:val="en-US"/>
        </w:rPr>
        <w:t>For Authorised Persons seeking to expand their activities to include Digital Securities activities</w:t>
      </w:r>
      <w:r w:rsidR="00F44C0F" w:rsidRPr="001026E6">
        <w:rPr>
          <w:sz w:val="24"/>
          <w:szCs w:val="24"/>
          <w:lang w:val="en-US"/>
        </w:rPr>
        <w:t xml:space="preserve"> in relation to a different Regulated Activity</w:t>
      </w:r>
      <w:r w:rsidRPr="001026E6">
        <w:rPr>
          <w:sz w:val="24"/>
          <w:szCs w:val="24"/>
          <w:lang w:val="en-US"/>
        </w:rPr>
        <w:t xml:space="preserve">, an application for an amendment to the scope to their existing FSP will need to be submitted.  The applicable fees will be as set out in </w:t>
      </w:r>
      <w:r w:rsidR="00840E5C" w:rsidRPr="001026E6">
        <w:rPr>
          <w:sz w:val="24"/>
          <w:szCs w:val="24"/>
          <w:lang w:val="en-US"/>
        </w:rPr>
        <w:t>FEES Rule 3.8</w:t>
      </w:r>
      <w:r w:rsidRPr="001026E6">
        <w:rPr>
          <w:sz w:val="24"/>
          <w:szCs w:val="24"/>
          <w:lang w:val="en-US"/>
        </w:rPr>
        <w:t>; and</w:t>
      </w:r>
    </w:p>
    <w:p w14:paraId="7B3C2544" w14:textId="77777777" w:rsidR="00BD03D5" w:rsidRPr="001026E6" w:rsidRDefault="00BD03D5" w:rsidP="00840E5C">
      <w:pPr>
        <w:pStyle w:val="ListParagraph"/>
        <w:ind w:left="851"/>
        <w:jc w:val="both"/>
        <w:rPr>
          <w:sz w:val="24"/>
          <w:szCs w:val="24"/>
          <w:lang w:val="en-US"/>
        </w:rPr>
      </w:pPr>
    </w:p>
    <w:p w14:paraId="4D6EA80D" w14:textId="45118D83" w:rsidR="00BD03D5" w:rsidRPr="001026E6" w:rsidRDefault="00BD03D5" w:rsidP="00840E5C">
      <w:pPr>
        <w:pStyle w:val="ListParagraph"/>
        <w:numPr>
          <w:ilvl w:val="0"/>
          <w:numId w:val="73"/>
        </w:numPr>
        <w:ind w:left="851"/>
        <w:jc w:val="both"/>
        <w:rPr>
          <w:sz w:val="24"/>
          <w:szCs w:val="24"/>
          <w:lang w:val="en-US"/>
        </w:rPr>
      </w:pPr>
      <w:r w:rsidRPr="001026E6">
        <w:rPr>
          <w:sz w:val="24"/>
          <w:szCs w:val="24"/>
          <w:lang w:val="en-US"/>
        </w:rPr>
        <w:t xml:space="preserve">For an Authorised Person intending to provide Regulated Activities in relation to Digital Securities within the scope of their existing FSP, no fees will apply, subject to paragraph </w:t>
      </w:r>
      <w:r w:rsidR="00BA148D" w:rsidRPr="001026E6">
        <w:rPr>
          <w:sz w:val="24"/>
          <w:szCs w:val="24"/>
          <w:lang w:val="en-US"/>
        </w:rPr>
        <w:t>(a) and paragraph 13</w:t>
      </w:r>
      <w:r w:rsidR="004937DD" w:rsidRPr="001026E6">
        <w:rPr>
          <w:sz w:val="24"/>
          <w:szCs w:val="24"/>
          <w:lang w:val="en-US"/>
        </w:rPr>
        <w:t>3</w:t>
      </w:r>
      <w:r w:rsidR="00BA148D" w:rsidRPr="001026E6">
        <w:rPr>
          <w:sz w:val="24"/>
          <w:szCs w:val="24"/>
          <w:lang w:val="en-US"/>
        </w:rPr>
        <w:t xml:space="preserve"> </w:t>
      </w:r>
      <w:r w:rsidRPr="001026E6">
        <w:rPr>
          <w:sz w:val="24"/>
          <w:szCs w:val="24"/>
          <w:lang w:val="en-US"/>
        </w:rPr>
        <w:t>below, but firms are required to discuss this with their FSRA Supervision Relationship Manager as early as possible (as there may be wider fee or other supervisory implications).</w:t>
      </w:r>
    </w:p>
    <w:p w14:paraId="2931C86D" w14:textId="77777777" w:rsidR="00BD03D5" w:rsidRPr="001026E6" w:rsidRDefault="00BD03D5" w:rsidP="00BD03D5">
      <w:pPr>
        <w:pStyle w:val="ListParagraph"/>
        <w:ind w:left="1853"/>
        <w:jc w:val="both"/>
        <w:rPr>
          <w:sz w:val="24"/>
          <w:szCs w:val="24"/>
          <w:lang w:val="en-US"/>
        </w:rPr>
      </w:pPr>
    </w:p>
    <w:p w14:paraId="75E2BEEF" w14:textId="77777777" w:rsidR="00BD03D5" w:rsidRPr="001026E6" w:rsidRDefault="00BD03D5" w:rsidP="00BD03D5">
      <w:pPr>
        <w:pStyle w:val="ListParagraph"/>
        <w:numPr>
          <w:ilvl w:val="0"/>
          <w:numId w:val="1"/>
        </w:numPr>
        <w:ind w:left="450"/>
        <w:jc w:val="both"/>
        <w:rPr>
          <w:sz w:val="24"/>
          <w:szCs w:val="24"/>
          <w:u w:val="single"/>
          <w:lang w:val="en-US"/>
        </w:rPr>
      </w:pPr>
      <w:r w:rsidRPr="001026E6">
        <w:rPr>
          <w:sz w:val="24"/>
          <w:szCs w:val="24"/>
          <w:u w:val="single"/>
          <w:lang w:val="en-US"/>
        </w:rPr>
        <w:t>For entities seeking to be authorised for Providing Custody (and by extension as a DSF):</w:t>
      </w:r>
      <w:r w:rsidRPr="001026E6">
        <w:rPr>
          <w:sz w:val="24"/>
          <w:szCs w:val="24"/>
          <w:lang w:val="en-US"/>
        </w:rPr>
        <w:t xml:space="preserve">  For these entities, the authorisation fee will be US$20,000, comprising a fee of US$5,000 for Providing Custody and a US$15,000 supplementary fee in accordance with FEES Rule 1.2.6, reflective of the regulatory burden imposed on FSRA to ensure compliance with the applicable Rules and requirements for conducting DSF related activities. </w:t>
      </w:r>
    </w:p>
    <w:p w14:paraId="16C3BFA7" w14:textId="77777777" w:rsidR="00BD03D5" w:rsidRPr="001026E6" w:rsidRDefault="00BD03D5" w:rsidP="00BD03D5">
      <w:pPr>
        <w:pStyle w:val="ListParagraph"/>
        <w:rPr>
          <w:sz w:val="24"/>
          <w:szCs w:val="24"/>
          <w:u w:val="single"/>
          <w:lang w:val="en-US"/>
        </w:rPr>
      </w:pPr>
    </w:p>
    <w:p w14:paraId="6E9C21A3" w14:textId="77777777" w:rsidR="00BD03D5" w:rsidRPr="001026E6" w:rsidRDefault="00BD03D5" w:rsidP="00BD03D5">
      <w:pPr>
        <w:pStyle w:val="ListParagraph"/>
        <w:numPr>
          <w:ilvl w:val="0"/>
          <w:numId w:val="1"/>
        </w:numPr>
        <w:ind w:left="450"/>
        <w:jc w:val="both"/>
        <w:rPr>
          <w:sz w:val="24"/>
          <w:szCs w:val="24"/>
          <w:u w:val="single"/>
          <w:lang w:val="en-US"/>
        </w:rPr>
      </w:pPr>
      <w:r w:rsidRPr="001026E6">
        <w:rPr>
          <w:sz w:val="24"/>
          <w:szCs w:val="24"/>
          <w:u w:val="single"/>
          <w:lang w:val="en-US"/>
        </w:rPr>
        <w:lastRenderedPageBreak/>
        <w:t>RIEs or RCHs with Recognitions Orders seeking to expand their activities to include Digital Securities activities:</w:t>
      </w:r>
      <w:r w:rsidRPr="001026E6">
        <w:rPr>
          <w:sz w:val="24"/>
          <w:szCs w:val="24"/>
          <w:lang w:val="en-US"/>
        </w:rPr>
        <w:t xml:space="preserve"> No additional fees will apply.</w:t>
      </w:r>
    </w:p>
    <w:p w14:paraId="76C35E5A" w14:textId="77777777" w:rsidR="00BD03D5" w:rsidRPr="001026E6" w:rsidRDefault="00BD03D5" w:rsidP="00BD03D5">
      <w:pPr>
        <w:jc w:val="both"/>
        <w:rPr>
          <w:sz w:val="24"/>
          <w:szCs w:val="24"/>
          <w:u w:val="single"/>
          <w:lang w:val="en-US"/>
        </w:rPr>
      </w:pPr>
    </w:p>
    <w:p w14:paraId="40079184" w14:textId="28B6CC89" w:rsidR="00BD03D5" w:rsidRPr="001026E6" w:rsidRDefault="00BD03D5" w:rsidP="00915159">
      <w:pPr>
        <w:pStyle w:val="ListParagraph"/>
        <w:numPr>
          <w:ilvl w:val="0"/>
          <w:numId w:val="1"/>
        </w:numPr>
        <w:ind w:left="450"/>
        <w:jc w:val="both"/>
        <w:rPr>
          <w:sz w:val="24"/>
          <w:szCs w:val="24"/>
          <w:lang w:val="en-US"/>
        </w:rPr>
      </w:pPr>
      <w:r w:rsidRPr="001026E6">
        <w:rPr>
          <w:sz w:val="24"/>
          <w:szCs w:val="24"/>
          <w:u w:val="single"/>
          <w:lang w:val="en-US"/>
        </w:rPr>
        <w:t xml:space="preserve">For </w:t>
      </w:r>
      <w:r w:rsidR="001D1FC8" w:rsidRPr="001026E6">
        <w:rPr>
          <w:sz w:val="24"/>
          <w:szCs w:val="24"/>
          <w:u w:val="single"/>
          <w:lang w:val="en-US"/>
        </w:rPr>
        <w:t xml:space="preserve">MTFs (using Virtual Assets) </w:t>
      </w:r>
      <w:r w:rsidRPr="001026E6">
        <w:rPr>
          <w:sz w:val="24"/>
          <w:szCs w:val="24"/>
          <w:u w:val="single"/>
          <w:lang w:val="en-US"/>
        </w:rPr>
        <w:t>upgrading to a Digital Securities RIE:</w:t>
      </w:r>
      <w:r w:rsidRPr="001026E6">
        <w:rPr>
          <w:sz w:val="24"/>
          <w:szCs w:val="24"/>
          <w:lang w:val="en-US"/>
        </w:rPr>
        <w:t xml:space="preserve">  For Authorised Persons operating </w:t>
      </w:r>
      <w:r w:rsidR="001D1FC8" w:rsidRPr="001026E6">
        <w:rPr>
          <w:sz w:val="24"/>
          <w:szCs w:val="24"/>
          <w:lang w:val="en-US"/>
        </w:rPr>
        <w:t>an MTF</w:t>
      </w:r>
      <w:r w:rsidRPr="001026E6">
        <w:rPr>
          <w:sz w:val="24"/>
          <w:szCs w:val="24"/>
          <w:lang w:val="en-US"/>
        </w:rPr>
        <w:t xml:space="preserve"> and seeking to further operate as a Digital Securities RIE, it is unlikely that the FSRA would seek to impose the full RIE Recognition Order fee (being US $125,000), on the assumption that there is likely to be significant overlap in the systems, controls and technology used by the entity across both activities.  The FSRA may instead impose a fee in the region of US$40,000 (dependent on the Applicant’s business model and any overlap/similarities in its technology, systems and controls).  </w:t>
      </w:r>
    </w:p>
    <w:p w14:paraId="7D66414D" w14:textId="77777777" w:rsidR="00BD03D5" w:rsidRPr="001026E6" w:rsidRDefault="00BD03D5" w:rsidP="00BD03D5">
      <w:pPr>
        <w:pStyle w:val="ListParagraph"/>
        <w:rPr>
          <w:sz w:val="24"/>
          <w:szCs w:val="24"/>
          <w:lang w:val="en-US"/>
        </w:rPr>
      </w:pPr>
    </w:p>
    <w:p w14:paraId="56E42AB2" w14:textId="77777777" w:rsidR="00BD03D5" w:rsidRPr="001026E6" w:rsidRDefault="00BD03D5" w:rsidP="00BD03D5">
      <w:pPr>
        <w:spacing w:after="160" w:line="259" w:lineRule="auto"/>
        <w:rPr>
          <w:bCs/>
          <w:sz w:val="24"/>
          <w:szCs w:val="24"/>
        </w:rPr>
      </w:pPr>
      <w:r w:rsidRPr="001026E6">
        <w:rPr>
          <w:b/>
          <w:bCs/>
          <w:sz w:val="24"/>
          <w:szCs w:val="24"/>
        </w:rPr>
        <w:t>Supervision fees</w:t>
      </w:r>
    </w:p>
    <w:p w14:paraId="0A46D518" w14:textId="77777777" w:rsidR="00BD03D5" w:rsidRPr="001026E6" w:rsidRDefault="00BD03D5" w:rsidP="00BD03D5">
      <w:pPr>
        <w:pStyle w:val="ListParagraph"/>
        <w:numPr>
          <w:ilvl w:val="0"/>
          <w:numId w:val="1"/>
        </w:numPr>
        <w:ind w:left="450"/>
        <w:jc w:val="both"/>
        <w:rPr>
          <w:sz w:val="24"/>
          <w:szCs w:val="24"/>
          <w:lang w:val="en-US"/>
        </w:rPr>
      </w:pPr>
      <w:r w:rsidRPr="001026E6">
        <w:rPr>
          <w:sz w:val="24"/>
          <w:szCs w:val="24"/>
          <w:lang w:val="en-US"/>
        </w:rPr>
        <w:t>Annual supervision fees applicable to Authorised Persons and Recognised Bodies carrying on Digital Securities activities within ADGM are as set out in the FEES Rulebook, in particular:</w:t>
      </w:r>
    </w:p>
    <w:p w14:paraId="5A69B8CF" w14:textId="77777777" w:rsidR="00BD03D5" w:rsidRPr="001026E6" w:rsidRDefault="00BD03D5" w:rsidP="00BD03D5">
      <w:pPr>
        <w:pStyle w:val="ListParagraph"/>
        <w:ind w:left="680"/>
        <w:jc w:val="both"/>
        <w:rPr>
          <w:sz w:val="24"/>
          <w:szCs w:val="24"/>
          <w:lang w:val="en-US"/>
        </w:rPr>
      </w:pPr>
    </w:p>
    <w:p w14:paraId="24E3B4CB" w14:textId="07D163FD" w:rsidR="00BD03D5" w:rsidRPr="001026E6" w:rsidRDefault="00BD03D5" w:rsidP="004937DD">
      <w:pPr>
        <w:pStyle w:val="ListParagraph"/>
        <w:numPr>
          <w:ilvl w:val="0"/>
          <w:numId w:val="70"/>
        </w:numPr>
        <w:ind w:left="810"/>
        <w:jc w:val="both"/>
        <w:rPr>
          <w:sz w:val="24"/>
          <w:szCs w:val="24"/>
          <w:lang w:val="en-US"/>
        </w:rPr>
      </w:pPr>
      <w:r w:rsidRPr="001026E6">
        <w:rPr>
          <w:sz w:val="24"/>
          <w:szCs w:val="24"/>
          <w:lang w:val="en-US"/>
        </w:rPr>
        <w:t xml:space="preserve">for Authorised Persons (excluding those outlined in paragraph </w:t>
      </w:r>
      <w:r w:rsidR="004937DD" w:rsidRPr="001026E6">
        <w:rPr>
          <w:sz w:val="24"/>
          <w:szCs w:val="24"/>
          <w:lang w:val="en-US"/>
        </w:rPr>
        <w:t xml:space="preserve">137 </w:t>
      </w:r>
      <w:r w:rsidRPr="001026E6">
        <w:rPr>
          <w:sz w:val="24"/>
          <w:szCs w:val="24"/>
          <w:lang w:val="en-US"/>
        </w:rPr>
        <w:t>below), in FEES Rules 2.2.2, 2.2.3 and 3.5.3; and</w:t>
      </w:r>
    </w:p>
    <w:p w14:paraId="4E9B902F" w14:textId="77777777" w:rsidR="00BD03D5" w:rsidRPr="001026E6" w:rsidRDefault="00BD03D5" w:rsidP="00BD03D5">
      <w:pPr>
        <w:jc w:val="both"/>
        <w:rPr>
          <w:sz w:val="24"/>
          <w:szCs w:val="24"/>
          <w:lang w:val="en-US"/>
        </w:rPr>
      </w:pPr>
    </w:p>
    <w:p w14:paraId="40F73D01" w14:textId="77777777" w:rsidR="00BD03D5" w:rsidRPr="001026E6" w:rsidRDefault="00BD03D5" w:rsidP="00BD03D5">
      <w:pPr>
        <w:pStyle w:val="ListParagraph"/>
        <w:numPr>
          <w:ilvl w:val="0"/>
          <w:numId w:val="70"/>
        </w:numPr>
        <w:ind w:left="810"/>
        <w:jc w:val="both"/>
        <w:rPr>
          <w:sz w:val="24"/>
          <w:szCs w:val="24"/>
          <w:lang w:val="en-US"/>
        </w:rPr>
      </w:pPr>
      <w:r w:rsidRPr="001026E6">
        <w:rPr>
          <w:sz w:val="24"/>
          <w:szCs w:val="24"/>
          <w:lang w:val="en-US"/>
        </w:rPr>
        <w:t>for Recognised Bodies, in FEES Rules 3.7.1 (b) and 3.7.2(b).</w:t>
      </w:r>
    </w:p>
    <w:p w14:paraId="67EC38B6" w14:textId="77777777" w:rsidR="00BD03D5" w:rsidRPr="001026E6" w:rsidRDefault="00BD03D5" w:rsidP="00BD03D5">
      <w:pPr>
        <w:pStyle w:val="ListParagraph"/>
        <w:rPr>
          <w:sz w:val="24"/>
          <w:szCs w:val="24"/>
          <w:lang w:val="en-US"/>
        </w:rPr>
      </w:pPr>
    </w:p>
    <w:p w14:paraId="6C4886CA" w14:textId="77777777" w:rsidR="00BD03D5" w:rsidRPr="001026E6" w:rsidRDefault="00BD03D5" w:rsidP="00BD03D5">
      <w:pPr>
        <w:pStyle w:val="ListParagraph"/>
        <w:numPr>
          <w:ilvl w:val="0"/>
          <w:numId w:val="1"/>
        </w:numPr>
        <w:ind w:left="450"/>
        <w:jc w:val="both"/>
        <w:rPr>
          <w:sz w:val="24"/>
          <w:szCs w:val="24"/>
          <w:lang w:val="en-US"/>
        </w:rPr>
      </w:pPr>
      <w:r w:rsidRPr="001026E6">
        <w:rPr>
          <w:sz w:val="24"/>
          <w:szCs w:val="24"/>
          <w:lang w:val="en-US"/>
        </w:rPr>
        <w:t>Annual supervision fees applicable to Authorised Persons who are Providing Custody (and by extension meeting the obligations of a DSF) within the ADGM, are US$15,000 (which will be imposed as a condition to the granting of an FSP).</w:t>
      </w:r>
    </w:p>
    <w:p w14:paraId="3567EA12" w14:textId="77777777" w:rsidR="00BD03D5" w:rsidRPr="001026E6" w:rsidRDefault="00BD03D5" w:rsidP="00BD03D5">
      <w:pPr>
        <w:jc w:val="both"/>
        <w:rPr>
          <w:b/>
          <w:bCs/>
          <w:sz w:val="24"/>
          <w:szCs w:val="24"/>
          <w:lang w:val="en-US"/>
        </w:rPr>
      </w:pPr>
    </w:p>
    <w:p w14:paraId="6E8B8396" w14:textId="77777777" w:rsidR="00BD03D5" w:rsidRPr="001026E6" w:rsidRDefault="00BD03D5" w:rsidP="00BD03D5">
      <w:pPr>
        <w:jc w:val="both"/>
        <w:rPr>
          <w:b/>
          <w:bCs/>
          <w:sz w:val="24"/>
          <w:szCs w:val="24"/>
          <w:lang w:val="en-US"/>
        </w:rPr>
      </w:pPr>
      <w:r w:rsidRPr="001026E6">
        <w:rPr>
          <w:b/>
          <w:bCs/>
          <w:sz w:val="24"/>
          <w:szCs w:val="24"/>
          <w:lang w:val="en-US"/>
        </w:rPr>
        <w:t xml:space="preserve">Fees – Prospectus Offers and Admission to Official List </w:t>
      </w:r>
    </w:p>
    <w:p w14:paraId="79440388" w14:textId="77777777" w:rsidR="00BD03D5" w:rsidRPr="001026E6" w:rsidRDefault="00BD03D5" w:rsidP="00BD03D5">
      <w:pPr>
        <w:jc w:val="both"/>
        <w:rPr>
          <w:b/>
          <w:bCs/>
          <w:sz w:val="24"/>
          <w:szCs w:val="24"/>
          <w:lang w:val="en-US"/>
        </w:rPr>
      </w:pPr>
    </w:p>
    <w:p w14:paraId="414863EE" w14:textId="77777777" w:rsidR="00BD03D5" w:rsidRPr="001026E6" w:rsidRDefault="00BD03D5" w:rsidP="00BD03D5">
      <w:pPr>
        <w:pStyle w:val="ListParagraph"/>
        <w:numPr>
          <w:ilvl w:val="0"/>
          <w:numId w:val="1"/>
        </w:numPr>
        <w:ind w:left="450"/>
        <w:jc w:val="both"/>
        <w:rPr>
          <w:sz w:val="24"/>
          <w:szCs w:val="24"/>
          <w:lang w:val="en-US"/>
        </w:rPr>
      </w:pPr>
      <w:r w:rsidRPr="001026E6">
        <w:rPr>
          <w:sz w:val="24"/>
          <w:szCs w:val="24"/>
          <w:lang w:val="en-US"/>
        </w:rPr>
        <w:t xml:space="preserve">The fees for Offers and Listings of Digital Securities are as set out in Rules 3.10 (Funds), 4.1.1(a) (Digital Securities Prospectus) and 4.1.1(b) (Debenture Prospectus) of the FEES Rulebook. </w:t>
      </w:r>
    </w:p>
    <w:p w14:paraId="112E6E1E" w14:textId="77777777" w:rsidR="00BD03D5" w:rsidRPr="001026E6" w:rsidRDefault="00BD03D5" w:rsidP="00BD03D5">
      <w:pPr>
        <w:pStyle w:val="ListParagraph"/>
        <w:ind w:left="450"/>
        <w:jc w:val="both"/>
        <w:rPr>
          <w:sz w:val="24"/>
          <w:szCs w:val="24"/>
          <w:lang w:val="en-US"/>
        </w:rPr>
      </w:pPr>
    </w:p>
    <w:p w14:paraId="3D432168" w14:textId="77777777" w:rsidR="00BD03D5" w:rsidRPr="001026E6" w:rsidRDefault="00BD03D5" w:rsidP="00BD03D5">
      <w:pPr>
        <w:pStyle w:val="ListParagraph"/>
        <w:numPr>
          <w:ilvl w:val="0"/>
          <w:numId w:val="1"/>
        </w:numPr>
        <w:ind w:left="450"/>
        <w:jc w:val="both"/>
        <w:rPr>
          <w:sz w:val="24"/>
          <w:szCs w:val="24"/>
          <w:lang w:val="en-US"/>
        </w:rPr>
      </w:pPr>
      <w:r w:rsidRPr="001026E6">
        <w:rPr>
          <w:sz w:val="24"/>
          <w:szCs w:val="24"/>
          <w:lang w:val="en-US"/>
        </w:rPr>
        <w:t xml:space="preserve">The listing fee for an admission of Digital Securities to the Official List of Securities is US$3,000 as set out in FEES </w:t>
      </w:r>
      <w:r w:rsidR="009215FB" w:rsidRPr="001026E6">
        <w:rPr>
          <w:sz w:val="24"/>
          <w:szCs w:val="24"/>
          <w:lang w:val="en-US"/>
        </w:rPr>
        <w:t xml:space="preserve">Rule </w:t>
      </w:r>
      <w:r w:rsidRPr="001026E6">
        <w:rPr>
          <w:sz w:val="24"/>
          <w:szCs w:val="24"/>
          <w:lang w:val="en-US"/>
        </w:rPr>
        <w:t xml:space="preserve">3.9.1.  </w:t>
      </w:r>
    </w:p>
    <w:bookmarkEnd w:id="64"/>
    <w:bookmarkEnd w:id="65"/>
    <w:bookmarkEnd w:id="66"/>
    <w:bookmarkEnd w:id="67"/>
    <w:p w14:paraId="53656893" w14:textId="77777777" w:rsidR="000E4FA4" w:rsidRPr="001026E6" w:rsidRDefault="000E4FA4" w:rsidP="00006D0B">
      <w:pPr>
        <w:jc w:val="both"/>
        <w:rPr>
          <w:rFonts w:eastAsiaTheme="majorEastAsia" w:cs="Times New Roman"/>
          <w:sz w:val="24"/>
          <w:szCs w:val="26"/>
          <w:lang w:val="en-US"/>
        </w:rPr>
      </w:pPr>
    </w:p>
    <w:sectPr w:rsidR="000E4FA4" w:rsidRPr="001026E6">
      <w:footerReference w:type="default" r:id="rId13"/>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5A328" w16cid:durableId="2114F4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F2727" w14:textId="77777777" w:rsidR="00094F56" w:rsidRDefault="00094F56" w:rsidP="006261AA">
      <w:r>
        <w:separator/>
      </w:r>
    </w:p>
  </w:endnote>
  <w:endnote w:type="continuationSeparator" w:id="0">
    <w:p w14:paraId="7E0504E2" w14:textId="77777777" w:rsidR="00094F56" w:rsidRDefault="00094F56" w:rsidP="006261AA">
      <w:r>
        <w:continuationSeparator/>
      </w:r>
    </w:p>
  </w:endnote>
  <w:endnote w:type="continuationNotice" w:id="1">
    <w:p w14:paraId="0EFAAE7D" w14:textId="77777777" w:rsidR="00094F56" w:rsidRDefault="00094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783229"/>
      <w:docPartObj>
        <w:docPartGallery w:val="Page Numbers (Bottom of Page)"/>
        <w:docPartUnique/>
      </w:docPartObj>
    </w:sdtPr>
    <w:sdtEndPr>
      <w:rPr>
        <w:noProof/>
      </w:rPr>
    </w:sdtEndPr>
    <w:sdtContent>
      <w:p w14:paraId="7FBDAF00" w14:textId="5418544B" w:rsidR="00094F56" w:rsidRDefault="00094F56">
        <w:pPr>
          <w:pStyle w:val="Footer"/>
          <w:jc w:val="right"/>
        </w:pPr>
        <w:r>
          <w:fldChar w:fldCharType="begin"/>
        </w:r>
        <w:r>
          <w:instrText xml:space="preserve"> PAGE   \* MERGEFORMAT </w:instrText>
        </w:r>
        <w:r>
          <w:fldChar w:fldCharType="separate"/>
        </w:r>
        <w:r w:rsidR="00447617">
          <w:rPr>
            <w:noProof/>
          </w:rPr>
          <w:t>1</w:t>
        </w:r>
        <w:r>
          <w:rPr>
            <w:noProof/>
          </w:rPr>
          <w:fldChar w:fldCharType="end"/>
        </w:r>
      </w:p>
    </w:sdtContent>
  </w:sdt>
  <w:p w14:paraId="2AEF99F3" w14:textId="364919D2" w:rsidR="00094F56" w:rsidRDefault="007E7388" w:rsidP="007E7388">
    <w:pPr>
      <w:pStyle w:val="Footer"/>
    </w:pPr>
    <w:r>
      <w:t>VER02.240220</w:t>
    </w:r>
    <w:r w:rsidR="00094F5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77E2E" w14:textId="77777777" w:rsidR="00094F56" w:rsidRDefault="00094F56" w:rsidP="006261AA">
      <w:r>
        <w:separator/>
      </w:r>
    </w:p>
  </w:footnote>
  <w:footnote w:type="continuationSeparator" w:id="0">
    <w:p w14:paraId="62A65AE2" w14:textId="77777777" w:rsidR="00094F56" w:rsidRDefault="00094F56" w:rsidP="006261AA">
      <w:r>
        <w:continuationSeparator/>
      </w:r>
    </w:p>
  </w:footnote>
  <w:footnote w:type="continuationNotice" w:id="1">
    <w:p w14:paraId="565F08D7" w14:textId="77777777" w:rsidR="00094F56" w:rsidRDefault="00094F56"/>
  </w:footnote>
  <w:footnote w:id="2">
    <w:p w14:paraId="32D257C2" w14:textId="4A28EC2E" w:rsidR="00094F56" w:rsidRPr="00490412" w:rsidRDefault="00094F56" w:rsidP="0033134E">
      <w:pPr>
        <w:pStyle w:val="FootnoteText"/>
        <w:rPr>
          <w:color w:val="000000" w:themeColor="text1"/>
          <w:lang w:val="en-US"/>
        </w:rPr>
      </w:pPr>
      <w:r w:rsidRPr="00A6396A">
        <w:rPr>
          <w:rStyle w:val="FootnoteReference"/>
        </w:rPr>
        <w:footnoteRef/>
      </w:r>
      <w:r w:rsidRPr="00A6396A">
        <w:t xml:space="preserve"> </w:t>
      </w:r>
      <w:hyperlink r:id="rId1" w:history="1">
        <w:r w:rsidR="0033134E" w:rsidRPr="00EC2834">
          <w:rPr>
            <w:rStyle w:val="Hyperlink"/>
          </w:rPr>
          <w:t>https://en.adgm.thomsonreuters.com/rulebook/guidance-regulation-digital-security-offerings-and-virtual-assets-under-financial-services</w:t>
        </w:r>
      </w:hyperlink>
    </w:p>
  </w:footnote>
  <w:footnote w:id="3">
    <w:p w14:paraId="4A7D6F90" w14:textId="16A87155" w:rsidR="00094F56" w:rsidRPr="00490412" w:rsidRDefault="00094F56" w:rsidP="0033134E">
      <w:pPr>
        <w:pStyle w:val="FootnoteText"/>
        <w:rPr>
          <w:color w:val="000000" w:themeColor="text1"/>
        </w:rPr>
      </w:pPr>
      <w:r w:rsidRPr="00490412">
        <w:rPr>
          <w:rStyle w:val="FootnoteReference"/>
          <w:color w:val="000000" w:themeColor="text1"/>
        </w:rPr>
        <w:footnoteRef/>
      </w:r>
      <w:r w:rsidRPr="00490412">
        <w:rPr>
          <w:color w:val="000000" w:themeColor="text1"/>
        </w:rPr>
        <w:t xml:space="preserve"> </w:t>
      </w:r>
      <w:hyperlink r:id="rId2" w:history="1">
        <w:r w:rsidR="0033134E">
          <w:rPr>
            <w:rStyle w:val="Hyperlink"/>
          </w:rPr>
          <w:t>https://en.adgm.thomsonreuters.com/rulebook/guidance-regulation-virtual-asset-activities-adgm</w:t>
        </w:r>
      </w:hyperlink>
    </w:p>
  </w:footnote>
  <w:footnote w:id="4">
    <w:p w14:paraId="492DC918" w14:textId="305EEB27" w:rsidR="00094F56" w:rsidRPr="001655D6" w:rsidRDefault="00094F56" w:rsidP="0033134E">
      <w:pPr>
        <w:pStyle w:val="FootnoteText"/>
      </w:pPr>
      <w:r w:rsidRPr="00490412">
        <w:rPr>
          <w:rStyle w:val="FootnoteReference"/>
          <w:color w:val="000000" w:themeColor="text1"/>
        </w:rPr>
        <w:footnoteRef/>
      </w:r>
      <w:r w:rsidRPr="00490412">
        <w:rPr>
          <w:color w:val="000000" w:themeColor="text1"/>
        </w:rPr>
        <w:t xml:space="preserve"> </w:t>
      </w:r>
      <w:hyperlink r:id="rId3" w:history="1">
        <w:r w:rsidR="0033134E">
          <w:rPr>
            <w:rStyle w:val="Hyperlink"/>
          </w:rPr>
          <w:t>https://en.adgm.thomsonreuters.com/rulebook/guidance-regulatory-framework-private-financing-platforms</w:t>
        </w:r>
      </w:hyperlink>
    </w:p>
  </w:footnote>
  <w:footnote w:id="5">
    <w:p w14:paraId="7C887921" w14:textId="77777777" w:rsidR="00094F56" w:rsidRPr="00E32110" w:rsidRDefault="00094F56" w:rsidP="00930A69">
      <w:pPr>
        <w:pStyle w:val="FootnoteText"/>
        <w:jc w:val="both"/>
      </w:pPr>
      <w:r>
        <w:rPr>
          <w:rStyle w:val="FootnoteReference"/>
        </w:rPr>
        <w:footnoteRef/>
      </w:r>
      <w:r>
        <w:t xml:space="preserve"> Securities,</w:t>
      </w:r>
      <w:r w:rsidRPr="00785A34">
        <w:t xml:space="preserve"> </w:t>
      </w:r>
      <w:r>
        <w:t xml:space="preserve">as set out in Schedule 1 of FSMR, include the following,: Shares (paragraph 87); Instruments creating of acknowledging indebtedness (paragraph 88); Sukuk (paragraph 89); Government and public Financial Instruments (paragraph 90); Instruments giving entitlements to investments (paragraph 91); Certificates representing certain Financial Instruments (paragraph 92); and Units in a Collective Investment Fund (paragraph 93). </w:t>
      </w:r>
    </w:p>
  </w:footnote>
  <w:footnote w:id="6">
    <w:p w14:paraId="1A9BD7E8" w14:textId="77777777" w:rsidR="00094F56" w:rsidRPr="00BB0D6E" w:rsidRDefault="00094F56" w:rsidP="006E1BC7">
      <w:pPr>
        <w:pStyle w:val="FootnoteText"/>
        <w:jc w:val="both"/>
      </w:pPr>
      <w:r>
        <w:rPr>
          <w:rStyle w:val="FootnoteReference"/>
        </w:rPr>
        <w:footnoteRef/>
      </w:r>
      <w:r>
        <w:t xml:space="preserve"> This Guidance interchangeably uses terms relating to Providing Custody (and by extension providing DSF services) and DSF.</w:t>
      </w:r>
    </w:p>
  </w:footnote>
  <w:footnote w:id="7">
    <w:p w14:paraId="67B6AEEE" w14:textId="77777777" w:rsidR="00094F56" w:rsidRPr="00FA2353" w:rsidRDefault="00094F56" w:rsidP="00945345">
      <w:pPr>
        <w:pStyle w:val="FootnoteText"/>
        <w:jc w:val="both"/>
      </w:pPr>
      <w:r>
        <w:rPr>
          <w:rStyle w:val="FootnoteReference"/>
        </w:rPr>
        <w:footnoteRef/>
      </w:r>
      <w:r>
        <w:t xml:space="preserve"> Section 58(2) of FSMR sets out that the FSRA may, by written notice ‘deem any investment which is not a Security to be a Security for the purposes of these Regulations and the Rules made under these Regulations.’</w:t>
      </w:r>
    </w:p>
  </w:footnote>
  <w:footnote w:id="8">
    <w:p w14:paraId="6661BD85" w14:textId="77777777" w:rsidR="00094F56" w:rsidRDefault="00094F56" w:rsidP="00112B90">
      <w:pPr>
        <w:pStyle w:val="FootnoteText"/>
      </w:pPr>
      <w:r>
        <w:rPr>
          <w:rStyle w:val="FootnoteReference"/>
        </w:rPr>
        <w:footnoteRef/>
      </w:r>
      <w:r>
        <w:t xml:space="preserve"> Section 59 of FSMR excludes from an Offer of Securities any:</w:t>
      </w:r>
    </w:p>
    <w:p w14:paraId="4EB08815" w14:textId="77777777" w:rsidR="00094F56" w:rsidRDefault="00094F56" w:rsidP="00044CAA">
      <w:pPr>
        <w:pStyle w:val="FootnoteText"/>
        <w:numPr>
          <w:ilvl w:val="0"/>
          <w:numId w:val="56"/>
        </w:numPr>
        <w:ind w:left="426"/>
      </w:pPr>
      <w:r>
        <w:t>communication in connection with the trading of Securities admitted to trading on a RIE;</w:t>
      </w:r>
    </w:p>
    <w:p w14:paraId="656175A1" w14:textId="77777777" w:rsidR="00094F56" w:rsidRDefault="00094F56" w:rsidP="00044CAA">
      <w:pPr>
        <w:pStyle w:val="FootnoteText"/>
        <w:numPr>
          <w:ilvl w:val="0"/>
          <w:numId w:val="56"/>
        </w:numPr>
        <w:ind w:left="426"/>
      </w:pPr>
      <w:r>
        <w:t>communication made for the purposes of complying with the on-going reporting requirements of the FSRA or a RIE; or</w:t>
      </w:r>
    </w:p>
    <w:p w14:paraId="66EA7FD2" w14:textId="77777777" w:rsidR="00094F56" w:rsidRPr="00112B90" w:rsidRDefault="00094F56" w:rsidP="00044CAA">
      <w:pPr>
        <w:pStyle w:val="FootnoteText"/>
        <w:numPr>
          <w:ilvl w:val="0"/>
          <w:numId w:val="56"/>
        </w:numPr>
        <w:ind w:left="426"/>
      </w:pPr>
      <w:r>
        <w:t xml:space="preserve">other communication prescribed in Rules as an exempt communication. </w:t>
      </w:r>
    </w:p>
  </w:footnote>
  <w:footnote w:id="9">
    <w:p w14:paraId="4D368F6D" w14:textId="77777777" w:rsidR="00094F56" w:rsidRPr="00D21619" w:rsidRDefault="00094F56">
      <w:pPr>
        <w:pStyle w:val="FootnoteText"/>
      </w:pPr>
      <w:r>
        <w:rPr>
          <w:rStyle w:val="FootnoteReference"/>
        </w:rPr>
        <w:footnoteRef/>
      </w:r>
      <w:r>
        <w:t xml:space="preserve"> Included within Part 6 of FSMR (Official Listing and Offers).</w:t>
      </w:r>
    </w:p>
  </w:footnote>
  <w:footnote w:id="10">
    <w:p w14:paraId="41293744" w14:textId="77777777" w:rsidR="00094F56" w:rsidRPr="00372B75" w:rsidRDefault="00094F56" w:rsidP="00D55198">
      <w:pPr>
        <w:pStyle w:val="FootnoteText"/>
      </w:pPr>
      <w:r>
        <w:rPr>
          <w:rStyle w:val="FootnoteReference"/>
        </w:rPr>
        <w:footnoteRef/>
      </w:r>
      <w:r>
        <w:t xml:space="preserve"> That cannot rely an exemption provided for under FSMR or MKT.</w:t>
      </w:r>
    </w:p>
  </w:footnote>
  <w:footnote w:id="11">
    <w:p w14:paraId="653A1068" w14:textId="77777777" w:rsidR="00094F56" w:rsidRPr="00BC304D" w:rsidRDefault="00094F56" w:rsidP="00BC304D">
      <w:pPr>
        <w:pStyle w:val="FootnoteText"/>
        <w:jc w:val="both"/>
        <w:rPr>
          <w:i/>
          <w:iCs/>
        </w:rPr>
      </w:pPr>
      <w:r>
        <w:rPr>
          <w:rStyle w:val="FootnoteReference"/>
        </w:rPr>
        <w:footnoteRef/>
      </w:r>
      <w:r>
        <w:t xml:space="preserve"> MIR Rule 2.10 requires that for a Recognised Body ‘</w:t>
      </w:r>
      <w:r>
        <w:rPr>
          <w:i/>
          <w:iCs/>
        </w:rPr>
        <w:t>where its facilities include making provision for the safeguarding and administration of assets belonging to users of those facilities, satisfactory arrangements are made for that purpose with an appropriate custodian or settlement facility’.</w:t>
      </w:r>
    </w:p>
  </w:footnote>
  <w:footnote w:id="12">
    <w:p w14:paraId="7F94446A" w14:textId="70A7BD1A" w:rsidR="00094F56" w:rsidRPr="00AA2496" w:rsidRDefault="00094F56" w:rsidP="00915159">
      <w:pPr>
        <w:pStyle w:val="FootnoteText"/>
        <w:jc w:val="both"/>
        <w:rPr>
          <w:lang w:val="en-US"/>
        </w:rPr>
      </w:pPr>
      <w:r>
        <w:rPr>
          <w:rStyle w:val="FootnoteReference"/>
        </w:rPr>
        <w:footnoteRef/>
      </w:r>
      <w:r>
        <w:t xml:space="preserve"> </w:t>
      </w:r>
      <w:r w:rsidRPr="00AA2496">
        <w:rPr>
          <w:rFonts w:cs="Helvetica"/>
        </w:rPr>
        <w:t xml:space="preserve">This is distinctly different to the view currently taken by FSRA in relation to </w:t>
      </w:r>
      <w:r>
        <w:rPr>
          <w:rFonts w:cs="Helvetica"/>
        </w:rPr>
        <w:t>MTFs (using Virtual Assets)</w:t>
      </w:r>
      <w:r w:rsidRPr="00AA2496">
        <w:rPr>
          <w:rFonts w:cs="Helvetica"/>
        </w:rPr>
        <w:t xml:space="preserve"> which are also permitted to operate, subject to suitable internal segregation, as </w:t>
      </w:r>
      <w:r>
        <w:rPr>
          <w:rFonts w:cs="Helvetica"/>
        </w:rPr>
        <w:t>Virtual Asset Custodian</w:t>
      </w:r>
      <w:r w:rsidRPr="00AA2496">
        <w:rPr>
          <w:rFonts w:cs="Helvetica"/>
        </w:rPr>
        <w:t>s.</w:t>
      </w:r>
    </w:p>
  </w:footnote>
  <w:footnote w:id="13">
    <w:p w14:paraId="76118027" w14:textId="6E0E8162" w:rsidR="00094F56" w:rsidRPr="00AA2496" w:rsidRDefault="00094F56" w:rsidP="00915159">
      <w:pPr>
        <w:pStyle w:val="FootnoteText"/>
        <w:jc w:val="both"/>
        <w:rPr>
          <w:lang w:val="en-US"/>
        </w:rPr>
      </w:pPr>
      <w:r>
        <w:rPr>
          <w:rStyle w:val="FootnoteReference"/>
        </w:rPr>
        <w:footnoteRef/>
      </w:r>
      <w:r>
        <w:t xml:space="preserve"> </w:t>
      </w:r>
      <w:r>
        <w:rPr>
          <w:lang w:val="en-US"/>
        </w:rPr>
        <w:t xml:space="preserve">For further insight on issues relating to FSRA treatment of MIR Rule 3.2.1, </w:t>
      </w:r>
      <w:r w:rsidRPr="009A74CC">
        <w:rPr>
          <w:lang w:val="en-US"/>
        </w:rPr>
        <w:t>please refer to paragraphs 31-36 of</w:t>
      </w:r>
      <w:r>
        <w:rPr>
          <w:lang w:val="en-US"/>
        </w:rPr>
        <w:t xml:space="preserve"> the Virtual Asset Guidance.</w:t>
      </w:r>
    </w:p>
  </w:footnote>
  <w:footnote w:id="14">
    <w:p w14:paraId="186E5CDE" w14:textId="77777777" w:rsidR="00094F56" w:rsidRPr="006C25D6" w:rsidRDefault="00094F56" w:rsidP="006C25D6">
      <w:pPr>
        <w:pStyle w:val="FootnoteText"/>
        <w:jc w:val="both"/>
      </w:pPr>
      <w:r>
        <w:rPr>
          <w:rStyle w:val="FootnoteReference"/>
        </w:rPr>
        <w:footnoteRef/>
      </w:r>
      <w:r>
        <w:t xml:space="preserve"> </w:t>
      </w:r>
      <w:r w:rsidRPr="006C25D6">
        <w:rPr>
          <w:rFonts w:cs="Helvetica"/>
        </w:rPr>
        <w:t xml:space="preserve">As set out in other parts of this Guidance, such </w:t>
      </w:r>
      <w:r>
        <w:rPr>
          <w:rFonts w:cs="Helvetica"/>
        </w:rPr>
        <w:t xml:space="preserve">custodian/settlement </w:t>
      </w:r>
      <w:r w:rsidRPr="006C25D6">
        <w:rPr>
          <w:rFonts w:cs="Helvetica"/>
        </w:rPr>
        <w:t>facility will need to be operated and established as a standalone legal entity.</w:t>
      </w:r>
    </w:p>
  </w:footnote>
  <w:footnote w:id="15">
    <w:p w14:paraId="5CED7E7F" w14:textId="77777777" w:rsidR="00094F56" w:rsidRPr="002D73FC" w:rsidRDefault="00094F56" w:rsidP="004F628F">
      <w:pPr>
        <w:pStyle w:val="FootnoteText"/>
      </w:pPr>
      <w:r>
        <w:rPr>
          <w:rStyle w:val="FootnoteReference"/>
        </w:rPr>
        <w:footnoteRef/>
      </w:r>
      <w:r>
        <w:t xml:space="preserve"> Whether at the point of In-Principle Approval or at the time of Final Approval.</w:t>
      </w:r>
    </w:p>
  </w:footnote>
  <w:footnote w:id="16">
    <w:p w14:paraId="1E1AC3C7" w14:textId="77777777" w:rsidR="00094F56" w:rsidRPr="00EC4764" w:rsidRDefault="00094F56" w:rsidP="00D478A3">
      <w:pPr>
        <w:pStyle w:val="FootnoteText"/>
        <w:jc w:val="both"/>
      </w:pPr>
      <w:r>
        <w:rPr>
          <w:rStyle w:val="FootnoteReference"/>
        </w:rPr>
        <w:footnoteRef/>
      </w:r>
      <w:r>
        <w:t xml:space="preserve"> </w:t>
      </w:r>
      <w:r w:rsidRPr="00866197">
        <w:t>DvP is considered to be the irrevocable and unconditional transfer of an asset or Financial Instrument, or the discharge of obligations arising under the underlying contract by the parties to the contract (as per the definition contained in MIR Rule 4.11.3).</w:t>
      </w:r>
    </w:p>
  </w:footnote>
  <w:footnote w:id="17">
    <w:p w14:paraId="03D56384" w14:textId="6D05B05A" w:rsidR="00094F56" w:rsidRPr="00E87060" w:rsidRDefault="00094F56" w:rsidP="00915159">
      <w:pPr>
        <w:pStyle w:val="FootnoteText"/>
        <w:jc w:val="both"/>
      </w:pPr>
      <w:r>
        <w:rPr>
          <w:rStyle w:val="FootnoteReference"/>
        </w:rPr>
        <w:footnoteRef/>
      </w:r>
      <w:r>
        <w:t xml:space="preserve"> </w:t>
      </w:r>
      <w:r w:rsidRPr="00E87060">
        <w:rPr>
          <w:rFonts w:cs="Helvetica"/>
        </w:rPr>
        <w:t xml:space="preserve">The requirement to use a separate entity for the (clearing and/or) settlement of Digital Securities differs from the FSRA’s current position relating to settlement of </w:t>
      </w:r>
      <w:r>
        <w:rPr>
          <w:rFonts w:cs="Helvetica"/>
        </w:rPr>
        <w:t xml:space="preserve">Virtual </w:t>
      </w:r>
      <w:r w:rsidRPr="00E87060">
        <w:rPr>
          <w:rFonts w:cs="Helvetica"/>
        </w:rPr>
        <w:t xml:space="preserve">Asset transactions, where an </w:t>
      </w:r>
      <w:r>
        <w:rPr>
          <w:rFonts w:cs="Helvetica"/>
        </w:rPr>
        <w:t xml:space="preserve">Authorised Person conducting Regulated Activities in relation to Virtual Assets </w:t>
      </w:r>
      <w:r w:rsidRPr="00E87060">
        <w:rPr>
          <w:rFonts w:cs="Helvetica"/>
        </w:rPr>
        <w:t xml:space="preserve">can operate as both a </w:t>
      </w:r>
      <w:r>
        <w:rPr>
          <w:rFonts w:cs="Helvetica"/>
        </w:rPr>
        <w:t>MTF (using Virtual Assets)</w:t>
      </w:r>
      <w:r w:rsidRPr="00E87060">
        <w:rPr>
          <w:rFonts w:cs="Helvetica"/>
        </w:rPr>
        <w:t xml:space="preserve"> and a </w:t>
      </w:r>
      <w:r>
        <w:rPr>
          <w:rFonts w:cs="Helvetica"/>
        </w:rPr>
        <w:t>Virtual Asset Custodian</w:t>
      </w:r>
      <w:r w:rsidRPr="00E87060">
        <w:rPr>
          <w:rFonts w:cs="Helvetica"/>
        </w:rPr>
        <w:t xml:space="preserve"> without legal entity (and operational) segregation</w:t>
      </w:r>
      <w:r w:rsidRPr="005C5537">
        <w:rPr>
          <w:rFonts w:cs="Helvetica"/>
          <w:sz w:val="24"/>
          <w:szCs w:val="24"/>
        </w:rPr>
        <w:t>.</w:t>
      </w:r>
    </w:p>
  </w:footnote>
  <w:footnote w:id="18">
    <w:p w14:paraId="2C57779A" w14:textId="420C4547" w:rsidR="00094F56" w:rsidRPr="00E87060" w:rsidRDefault="00094F56" w:rsidP="008C5526">
      <w:pPr>
        <w:pStyle w:val="FootnoteText"/>
        <w:jc w:val="both"/>
      </w:pPr>
      <w:r w:rsidRPr="00600934">
        <w:rPr>
          <w:rStyle w:val="FootnoteReference"/>
        </w:rPr>
        <w:footnoteRef/>
      </w:r>
      <w:r w:rsidRPr="00600934">
        <w:t xml:space="preserve"> </w:t>
      </w:r>
      <w:r w:rsidRPr="00600934">
        <w:rPr>
          <w:rFonts w:cs="Helvetica"/>
        </w:rPr>
        <w:t xml:space="preserve">The requirement to use a separate entity for the (clearing and/or) settlement of Digital Securities differs from the FSRA’s current position relating to settlement of </w:t>
      </w:r>
      <w:r w:rsidRPr="00BC4034">
        <w:rPr>
          <w:rFonts w:cs="Helvetica"/>
        </w:rPr>
        <w:t xml:space="preserve">Virtual </w:t>
      </w:r>
      <w:r w:rsidRPr="005C3C95">
        <w:rPr>
          <w:rFonts w:cs="Helvetica"/>
        </w:rPr>
        <w:t xml:space="preserve">Asset transactions, where an </w:t>
      </w:r>
      <w:r w:rsidRPr="00F44C0F">
        <w:rPr>
          <w:rFonts w:cs="Helvetica"/>
        </w:rPr>
        <w:t xml:space="preserve">Authorised Person can operate as both a </w:t>
      </w:r>
      <w:r w:rsidRPr="00023735">
        <w:rPr>
          <w:rFonts w:cs="Helvetica"/>
        </w:rPr>
        <w:t xml:space="preserve">Virtual Assets MTF </w:t>
      </w:r>
      <w:r w:rsidRPr="0003106E">
        <w:rPr>
          <w:rFonts w:cs="Helvetica"/>
        </w:rPr>
        <w:t>and a Virtual Asset Custodian without legal entity segregation.</w:t>
      </w:r>
    </w:p>
  </w:footnote>
  <w:footnote w:id="19">
    <w:p w14:paraId="32940EB6" w14:textId="6BCA8A0F" w:rsidR="00094F56" w:rsidRPr="00622E24" w:rsidRDefault="00094F56" w:rsidP="00915159">
      <w:pPr>
        <w:pStyle w:val="FootnoteText"/>
        <w:jc w:val="both"/>
      </w:pPr>
      <w:r>
        <w:rPr>
          <w:rStyle w:val="FootnoteReference"/>
        </w:rPr>
        <w:footnoteRef/>
      </w:r>
      <w:r>
        <w:t xml:space="preserve"> </w:t>
      </w:r>
      <w:r w:rsidRPr="00622E24">
        <w:t xml:space="preserve">This may require the </w:t>
      </w:r>
      <w:r>
        <w:t xml:space="preserve">DSF Applicant </w:t>
      </w:r>
      <w:r w:rsidRPr="00622E24">
        <w:t xml:space="preserve">to </w:t>
      </w:r>
      <w:r>
        <w:t xml:space="preserve">make necessary changes </w:t>
      </w:r>
      <w:r w:rsidRPr="00622E24">
        <w:t xml:space="preserve">to ensure </w:t>
      </w:r>
      <w:r>
        <w:t xml:space="preserve">that </w:t>
      </w:r>
      <w:r w:rsidRPr="00622E24">
        <w:t xml:space="preserve">it can process all settlement obligations based on the features of </w:t>
      </w:r>
      <w:r>
        <w:t>particular</w:t>
      </w:r>
      <w:r w:rsidRPr="00622E24">
        <w:t xml:space="preserve"> </w:t>
      </w:r>
      <w:r>
        <w:t xml:space="preserve">Digital </w:t>
      </w:r>
      <w:r w:rsidRPr="00622E24">
        <w:t>Securit</w:t>
      </w:r>
      <w:r>
        <w:t>ies</w:t>
      </w:r>
      <w:r w:rsidRPr="00622E24">
        <w:t xml:space="preserve"> (includ</w:t>
      </w:r>
      <w:r>
        <w:t>ing,</w:t>
      </w:r>
      <w:r w:rsidRPr="00622E24">
        <w:t xml:space="preserve"> but not limited to</w:t>
      </w:r>
      <w:r>
        <w:t>,</w:t>
      </w:r>
      <w:r w:rsidRPr="00622E24">
        <w:t xml:space="preserve"> Dividends and Coupon Payments).</w:t>
      </w:r>
    </w:p>
  </w:footnote>
  <w:footnote w:id="20">
    <w:p w14:paraId="750525B2" w14:textId="77777777" w:rsidR="00094F56" w:rsidRPr="00F63232" w:rsidRDefault="00094F56" w:rsidP="000069EE">
      <w:pPr>
        <w:pStyle w:val="FootnoteText"/>
        <w:rPr>
          <w:lang w:val="en-US"/>
        </w:rPr>
      </w:pPr>
      <w:r w:rsidRPr="00BE69CB">
        <w:rPr>
          <w:rStyle w:val="FootnoteReference"/>
        </w:rPr>
        <w:footnoteRef/>
      </w:r>
      <w:r w:rsidRPr="00BE69CB">
        <w:t xml:space="preserve"> </w:t>
      </w:r>
      <w:r w:rsidRPr="00BE69CB">
        <w:rPr>
          <w:lang w:val="en-US"/>
        </w:rPr>
        <w:t>Unless there is a specific restriction on its FSP stating otherwise.</w:t>
      </w:r>
      <w:r>
        <w:rPr>
          <w:lang w:val="en-US"/>
        </w:rPr>
        <w:t xml:space="preserve"> </w:t>
      </w:r>
    </w:p>
  </w:footnote>
  <w:footnote w:id="21">
    <w:p w14:paraId="618405BD" w14:textId="541F5669" w:rsidR="00094F56" w:rsidRPr="003F60E8" w:rsidRDefault="00094F56" w:rsidP="00025DDB">
      <w:pPr>
        <w:pStyle w:val="FootnoteText"/>
        <w:rPr>
          <w:lang w:val="en-US"/>
        </w:rPr>
      </w:pPr>
      <w:r>
        <w:rPr>
          <w:rStyle w:val="FootnoteReference"/>
        </w:rPr>
        <w:footnoteRef/>
      </w:r>
      <w:r>
        <w:t xml:space="preserve"> </w:t>
      </w:r>
      <w:r w:rsidRPr="003F60E8">
        <w:t xml:space="preserve">See </w:t>
      </w:r>
      <w:r w:rsidRPr="00ED4E60">
        <w:t>paragraph 49 for the FSRA’s</w:t>
      </w:r>
      <w:r w:rsidRPr="009305EB">
        <w:t xml:space="preserve"> policy</w:t>
      </w:r>
      <w:r w:rsidRPr="003F60E8">
        <w:t xml:space="preserve"> position on OTFs with regard to Digital Securities.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AF6"/>
    <w:multiLevelType w:val="hybridMultilevel"/>
    <w:tmpl w:val="BECE61E6"/>
    <w:lvl w:ilvl="0" w:tplc="254E709A">
      <w:start w:val="1"/>
      <w:numFmt w:val="lowerLetter"/>
      <w:lvlText w:val="%1)"/>
      <w:lvlJc w:val="left"/>
      <w:pPr>
        <w:ind w:left="2226" w:hanging="360"/>
      </w:pPr>
      <w:rPr>
        <w:rFonts w:asciiTheme="minorHAnsi" w:hAnsiTheme="minorHAnsi" w:hint="default"/>
      </w:rPr>
    </w:lvl>
    <w:lvl w:ilvl="1" w:tplc="08090019">
      <w:start w:val="1"/>
      <w:numFmt w:val="lowerLetter"/>
      <w:lvlText w:val="%2."/>
      <w:lvlJc w:val="left"/>
      <w:pPr>
        <w:ind w:left="2946" w:hanging="360"/>
      </w:pPr>
    </w:lvl>
    <w:lvl w:ilvl="2" w:tplc="0809001B" w:tentative="1">
      <w:start w:val="1"/>
      <w:numFmt w:val="lowerRoman"/>
      <w:lvlText w:val="%3."/>
      <w:lvlJc w:val="right"/>
      <w:pPr>
        <w:ind w:left="3666" w:hanging="180"/>
      </w:pPr>
    </w:lvl>
    <w:lvl w:ilvl="3" w:tplc="0809000F">
      <w:start w:val="1"/>
      <w:numFmt w:val="decimal"/>
      <w:lvlText w:val="%4."/>
      <w:lvlJc w:val="left"/>
      <w:pPr>
        <w:ind w:left="4386" w:hanging="360"/>
      </w:pPr>
    </w:lvl>
    <w:lvl w:ilvl="4" w:tplc="08090019" w:tentative="1">
      <w:start w:val="1"/>
      <w:numFmt w:val="lowerLetter"/>
      <w:lvlText w:val="%5."/>
      <w:lvlJc w:val="left"/>
      <w:pPr>
        <w:ind w:left="5106" w:hanging="360"/>
      </w:pPr>
    </w:lvl>
    <w:lvl w:ilvl="5" w:tplc="0809001B" w:tentative="1">
      <w:start w:val="1"/>
      <w:numFmt w:val="lowerRoman"/>
      <w:lvlText w:val="%6."/>
      <w:lvlJc w:val="right"/>
      <w:pPr>
        <w:ind w:left="5826" w:hanging="180"/>
      </w:pPr>
    </w:lvl>
    <w:lvl w:ilvl="6" w:tplc="0809000F" w:tentative="1">
      <w:start w:val="1"/>
      <w:numFmt w:val="decimal"/>
      <w:lvlText w:val="%7."/>
      <w:lvlJc w:val="left"/>
      <w:pPr>
        <w:ind w:left="6546" w:hanging="360"/>
      </w:pPr>
    </w:lvl>
    <w:lvl w:ilvl="7" w:tplc="08090019" w:tentative="1">
      <w:start w:val="1"/>
      <w:numFmt w:val="lowerLetter"/>
      <w:lvlText w:val="%8."/>
      <w:lvlJc w:val="left"/>
      <w:pPr>
        <w:ind w:left="7266" w:hanging="360"/>
      </w:pPr>
    </w:lvl>
    <w:lvl w:ilvl="8" w:tplc="0809001B" w:tentative="1">
      <w:start w:val="1"/>
      <w:numFmt w:val="lowerRoman"/>
      <w:lvlText w:val="%9."/>
      <w:lvlJc w:val="right"/>
      <w:pPr>
        <w:ind w:left="7986" w:hanging="180"/>
      </w:pPr>
    </w:lvl>
  </w:abstractNum>
  <w:abstractNum w:abstractNumId="1" w15:restartNumberingAfterBreak="0">
    <w:nsid w:val="00130B15"/>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496178"/>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AAB"/>
    <w:multiLevelType w:val="hybridMultilevel"/>
    <w:tmpl w:val="E9167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F6EF5"/>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AD25D7B"/>
    <w:multiLevelType w:val="hybridMultilevel"/>
    <w:tmpl w:val="F622360C"/>
    <w:lvl w:ilvl="0" w:tplc="23A4967E">
      <w:start w:val="1"/>
      <w:numFmt w:val="decimal"/>
      <w:lvlText w:val="%1)"/>
      <w:lvlJc w:val="left"/>
      <w:pPr>
        <w:ind w:left="1133" w:hanging="453"/>
      </w:pPr>
      <w:rPr>
        <w:rFonts w:cs="Helvetica" w:hint="default"/>
        <w:i w:val="0"/>
        <w:iCs w:val="0"/>
        <w:sz w:val="24"/>
        <w:lang w:val="en-GB"/>
      </w:rPr>
    </w:lvl>
    <w:lvl w:ilvl="1" w:tplc="CDC203E8">
      <w:start w:val="1"/>
      <w:numFmt w:val="lowerLetter"/>
      <w:lvlText w:val="%2)"/>
      <w:lvlJc w:val="left"/>
      <w:pPr>
        <w:ind w:left="1893" w:hanging="360"/>
      </w:pPr>
      <w:rPr>
        <w:rFonts w:hint="default"/>
        <w:i w:val="0"/>
        <w:iCs w:val="0"/>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6" w15:restartNumberingAfterBreak="0">
    <w:nsid w:val="0C4847A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0C5F1F"/>
    <w:multiLevelType w:val="hybridMultilevel"/>
    <w:tmpl w:val="C5700170"/>
    <w:lvl w:ilvl="0" w:tplc="08090019">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11C67E7C"/>
    <w:multiLevelType w:val="hybridMultilevel"/>
    <w:tmpl w:val="809C5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43353C"/>
    <w:multiLevelType w:val="hybridMultilevel"/>
    <w:tmpl w:val="FC90E53A"/>
    <w:lvl w:ilvl="0" w:tplc="08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007BE"/>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834AB"/>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92ADF"/>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BB05C2B"/>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3F6068"/>
    <w:multiLevelType w:val="hybridMultilevel"/>
    <w:tmpl w:val="62F030FE"/>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1D8C3F9C"/>
    <w:multiLevelType w:val="hybridMultilevel"/>
    <w:tmpl w:val="3D264BE4"/>
    <w:lvl w:ilvl="0" w:tplc="C02017F2">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F524D07"/>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B34B3D"/>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0D00230"/>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1CB1995"/>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7D5099"/>
    <w:multiLevelType w:val="hybridMultilevel"/>
    <w:tmpl w:val="6BDA1EF2"/>
    <w:lvl w:ilvl="0" w:tplc="08090017">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23A64999"/>
    <w:multiLevelType w:val="hybridMultilevel"/>
    <w:tmpl w:val="BECE61E6"/>
    <w:lvl w:ilvl="0" w:tplc="254E709A">
      <w:start w:val="1"/>
      <w:numFmt w:val="lowerLetter"/>
      <w:lvlText w:val="%1)"/>
      <w:lvlJc w:val="left"/>
      <w:pPr>
        <w:ind w:left="2880" w:hanging="360"/>
      </w:pPr>
      <w:rPr>
        <w:rFonts w:asciiTheme="minorHAnsi" w:hAnsiTheme="minorHAnsi" w:hint="default"/>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3" w15:restartNumberingAfterBreak="0">
    <w:nsid w:val="25C35D84"/>
    <w:multiLevelType w:val="hybridMultilevel"/>
    <w:tmpl w:val="D686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14E0F"/>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2864503B"/>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29042F31"/>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29DA3AB8"/>
    <w:multiLevelType w:val="hybridMultilevel"/>
    <w:tmpl w:val="BECE61E6"/>
    <w:lvl w:ilvl="0" w:tplc="254E709A">
      <w:start w:val="1"/>
      <w:numFmt w:val="lowerLetter"/>
      <w:lvlText w:val="%1)"/>
      <w:lvlJc w:val="left"/>
      <w:pPr>
        <w:ind w:left="2880" w:hanging="360"/>
      </w:pPr>
      <w:rPr>
        <w:rFonts w:asciiTheme="minorHAnsi" w:hAnsiTheme="minorHAnsi" w:hint="default"/>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8" w15:restartNumberingAfterBreak="0">
    <w:nsid w:val="2AA52F18"/>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B593F9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BE22824"/>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E9410A1"/>
    <w:multiLevelType w:val="hybridMultilevel"/>
    <w:tmpl w:val="FF305E74"/>
    <w:lvl w:ilvl="0" w:tplc="8A184F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EBB6558"/>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F690860"/>
    <w:multiLevelType w:val="hybridMultilevel"/>
    <w:tmpl w:val="F622360C"/>
    <w:lvl w:ilvl="0" w:tplc="23A4967E">
      <w:start w:val="1"/>
      <w:numFmt w:val="decimal"/>
      <w:lvlText w:val="%1)"/>
      <w:lvlJc w:val="left"/>
      <w:pPr>
        <w:ind w:left="1133" w:hanging="453"/>
      </w:pPr>
      <w:rPr>
        <w:rFonts w:cs="Helvetica" w:hint="default"/>
        <w:i w:val="0"/>
        <w:iCs w:val="0"/>
        <w:sz w:val="24"/>
        <w:lang w:val="en-GB"/>
      </w:rPr>
    </w:lvl>
    <w:lvl w:ilvl="1" w:tplc="CDC203E8">
      <w:start w:val="1"/>
      <w:numFmt w:val="lowerLetter"/>
      <w:lvlText w:val="%2)"/>
      <w:lvlJc w:val="left"/>
      <w:pPr>
        <w:ind w:left="1893" w:hanging="360"/>
      </w:pPr>
      <w:rPr>
        <w:rFonts w:hint="default"/>
        <w:i w:val="0"/>
        <w:iCs w:val="0"/>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34" w15:restartNumberingAfterBreak="0">
    <w:nsid w:val="32657F44"/>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4112B2F"/>
    <w:multiLevelType w:val="hybridMultilevel"/>
    <w:tmpl w:val="1A5A654E"/>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23230B"/>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3D6F0F23"/>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5E3666D"/>
    <w:multiLevelType w:val="hybridMultilevel"/>
    <w:tmpl w:val="A300C244"/>
    <w:lvl w:ilvl="0" w:tplc="23A4967E">
      <w:start w:val="1"/>
      <w:numFmt w:val="decimal"/>
      <w:lvlText w:val="%1)"/>
      <w:lvlJc w:val="left"/>
      <w:pPr>
        <w:ind w:left="680" w:hanging="453"/>
      </w:pPr>
      <w:rPr>
        <w:rFonts w:cs="Helvetica" w:hint="default"/>
        <w:i w:val="0"/>
        <w:iCs w:val="0"/>
        <w:sz w:val="24"/>
        <w:lang w:val="en-GB"/>
      </w:rPr>
    </w:lvl>
    <w:lvl w:ilvl="1" w:tplc="68340CCE">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7D14106C">
      <w:start w:val="1"/>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6352602"/>
    <w:multiLevelType w:val="hybridMultilevel"/>
    <w:tmpl w:val="601C90FA"/>
    <w:lvl w:ilvl="0" w:tplc="0809001B">
      <w:start w:val="1"/>
      <w:numFmt w:val="lowerRoman"/>
      <w:lvlText w:val="%1."/>
      <w:lvlJc w:val="right"/>
      <w:pPr>
        <w:ind w:left="3150" w:hanging="18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0" w15:restartNumberingAfterBreak="0">
    <w:nsid w:val="49CD0B85"/>
    <w:multiLevelType w:val="hybridMultilevel"/>
    <w:tmpl w:val="F602435C"/>
    <w:lvl w:ilvl="0" w:tplc="A36267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BA66F6D"/>
    <w:multiLevelType w:val="hybridMultilevel"/>
    <w:tmpl w:val="E8CEA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4D6021D8"/>
    <w:multiLevelType w:val="hybridMultilevel"/>
    <w:tmpl w:val="0406B39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3" w15:restartNumberingAfterBreak="0">
    <w:nsid w:val="4EEB4AE6"/>
    <w:multiLevelType w:val="hybridMultilevel"/>
    <w:tmpl w:val="2C7C112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0A87900"/>
    <w:multiLevelType w:val="hybridMultilevel"/>
    <w:tmpl w:val="B06A578A"/>
    <w:lvl w:ilvl="0" w:tplc="68340C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69684B"/>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2234E7E"/>
    <w:multiLevelType w:val="hybridMultilevel"/>
    <w:tmpl w:val="01D47808"/>
    <w:lvl w:ilvl="0" w:tplc="656AF2E6">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22F25AC"/>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2320B50"/>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275111C"/>
    <w:multiLevelType w:val="hybridMultilevel"/>
    <w:tmpl w:val="360CB3D8"/>
    <w:lvl w:ilvl="0" w:tplc="04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53202AB2"/>
    <w:multiLevelType w:val="hybridMultilevel"/>
    <w:tmpl w:val="FF783AD8"/>
    <w:lvl w:ilvl="0" w:tplc="F86007FA">
      <w:start w:val="1"/>
      <w:numFmt w:val="lowerLetter"/>
      <w:lvlText w:val="%1)"/>
      <w:lvlJc w:val="left"/>
      <w:pPr>
        <w:ind w:left="1080" w:hanging="360"/>
      </w:pPr>
      <w:rPr>
        <w:rFonts w:asciiTheme="minorHAnsi" w:hAnsiTheme="minorHAnsi" w:cstheme="minorHAnsi" w:hint="default"/>
        <w:sz w:val="24"/>
        <w:szCs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550D1CDA"/>
    <w:multiLevelType w:val="hybridMultilevel"/>
    <w:tmpl w:val="9C38C0EE"/>
    <w:lvl w:ilvl="0" w:tplc="254E709A">
      <w:start w:val="1"/>
      <w:numFmt w:val="lowerLetter"/>
      <w:lvlText w:val="%1)"/>
      <w:lvlJc w:val="left"/>
      <w:pPr>
        <w:ind w:left="261" w:hanging="360"/>
      </w:pPr>
      <w:rPr>
        <w:rFonts w:asciiTheme="minorHAnsi" w:hAnsiTheme="minorHAnsi" w:hint="default"/>
      </w:rPr>
    </w:lvl>
    <w:lvl w:ilvl="1" w:tplc="08090019">
      <w:start w:val="1"/>
      <w:numFmt w:val="lowerLetter"/>
      <w:lvlText w:val="%2."/>
      <w:lvlJc w:val="left"/>
      <w:pPr>
        <w:ind w:left="981" w:hanging="360"/>
      </w:pPr>
    </w:lvl>
    <w:lvl w:ilvl="2" w:tplc="0809001B" w:tentative="1">
      <w:start w:val="1"/>
      <w:numFmt w:val="lowerRoman"/>
      <w:lvlText w:val="%3."/>
      <w:lvlJc w:val="right"/>
      <w:pPr>
        <w:ind w:left="1701" w:hanging="180"/>
      </w:pPr>
    </w:lvl>
    <w:lvl w:ilvl="3" w:tplc="0809000F" w:tentative="1">
      <w:start w:val="1"/>
      <w:numFmt w:val="decimal"/>
      <w:lvlText w:val="%4."/>
      <w:lvlJc w:val="left"/>
      <w:pPr>
        <w:ind w:left="2421" w:hanging="360"/>
      </w:pPr>
    </w:lvl>
    <w:lvl w:ilvl="4" w:tplc="08090019" w:tentative="1">
      <w:start w:val="1"/>
      <w:numFmt w:val="lowerLetter"/>
      <w:lvlText w:val="%5."/>
      <w:lvlJc w:val="left"/>
      <w:pPr>
        <w:ind w:left="3141" w:hanging="360"/>
      </w:pPr>
    </w:lvl>
    <w:lvl w:ilvl="5" w:tplc="0809001B" w:tentative="1">
      <w:start w:val="1"/>
      <w:numFmt w:val="lowerRoman"/>
      <w:lvlText w:val="%6."/>
      <w:lvlJc w:val="right"/>
      <w:pPr>
        <w:ind w:left="3861" w:hanging="180"/>
      </w:pPr>
    </w:lvl>
    <w:lvl w:ilvl="6" w:tplc="0809000F" w:tentative="1">
      <w:start w:val="1"/>
      <w:numFmt w:val="decimal"/>
      <w:lvlText w:val="%7."/>
      <w:lvlJc w:val="left"/>
      <w:pPr>
        <w:ind w:left="4581" w:hanging="360"/>
      </w:pPr>
    </w:lvl>
    <w:lvl w:ilvl="7" w:tplc="08090019" w:tentative="1">
      <w:start w:val="1"/>
      <w:numFmt w:val="lowerLetter"/>
      <w:lvlText w:val="%8."/>
      <w:lvlJc w:val="left"/>
      <w:pPr>
        <w:ind w:left="5301" w:hanging="360"/>
      </w:pPr>
    </w:lvl>
    <w:lvl w:ilvl="8" w:tplc="0809001B" w:tentative="1">
      <w:start w:val="1"/>
      <w:numFmt w:val="lowerRoman"/>
      <w:lvlText w:val="%9."/>
      <w:lvlJc w:val="right"/>
      <w:pPr>
        <w:ind w:left="6021" w:hanging="180"/>
      </w:pPr>
    </w:lvl>
  </w:abstractNum>
  <w:abstractNum w:abstractNumId="52" w15:restartNumberingAfterBreak="0">
    <w:nsid w:val="5597563D"/>
    <w:multiLevelType w:val="hybridMultilevel"/>
    <w:tmpl w:val="A99095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F173C0C"/>
    <w:multiLevelType w:val="hybridMultilevel"/>
    <w:tmpl w:val="AE8CB252"/>
    <w:lvl w:ilvl="0" w:tplc="BC78F042">
      <w:start w:val="1"/>
      <w:numFmt w:val="lowerLetter"/>
      <w:lvlText w:val="%1)"/>
      <w:lvlJc w:val="left"/>
      <w:pPr>
        <w:ind w:left="1040" w:hanging="360"/>
      </w:pPr>
      <w:rPr>
        <w:rFonts w:hint="default"/>
      </w:rPr>
    </w:lvl>
    <w:lvl w:ilvl="1" w:tplc="08090019" w:tentative="1">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54" w15:restartNumberingAfterBreak="0">
    <w:nsid w:val="5F7967FA"/>
    <w:multiLevelType w:val="hybridMultilevel"/>
    <w:tmpl w:val="01D47808"/>
    <w:lvl w:ilvl="0" w:tplc="656AF2E6">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5FE63D4E"/>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5FF20D9F"/>
    <w:multiLevelType w:val="hybridMultilevel"/>
    <w:tmpl w:val="F21CB90A"/>
    <w:lvl w:ilvl="0" w:tplc="08090017">
      <w:start w:val="1"/>
      <w:numFmt w:val="lowerLetter"/>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57" w15:restartNumberingAfterBreak="0">
    <w:nsid w:val="614B3E66"/>
    <w:multiLevelType w:val="hybridMultilevel"/>
    <w:tmpl w:val="02BC3A9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F324C5"/>
    <w:multiLevelType w:val="hybridMultilevel"/>
    <w:tmpl w:val="601C90FA"/>
    <w:lvl w:ilvl="0" w:tplc="0809001B">
      <w:start w:val="1"/>
      <w:numFmt w:val="lowerRoman"/>
      <w:lvlText w:val="%1."/>
      <w:lvlJc w:val="righ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60" w15:restartNumberingAfterBreak="0">
    <w:nsid w:val="68FB3BC0"/>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6993061E"/>
    <w:multiLevelType w:val="hybridMultilevel"/>
    <w:tmpl w:val="C56436A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D56166"/>
    <w:multiLevelType w:val="hybridMultilevel"/>
    <w:tmpl w:val="BECE61E6"/>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6BF73D9A"/>
    <w:multiLevelType w:val="hybridMultilevel"/>
    <w:tmpl w:val="998289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BFF539A"/>
    <w:multiLevelType w:val="hybridMultilevel"/>
    <w:tmpl w:val="F21CB90A"/>
    <w:lvl w:ilvl="0" w:tplc="08090017">
      <w:start w:val="1"/>
      <w:numFmt w:val="lowerLetter"/>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65" w15:restartNumberingAfterBreak="0">
    <w:nsid w:val="6CBD6620"/>
    <w:multiLevelType w:val="hybridMultilevel"/>
    <w:tmpl w:val="C02CD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FB83F2F"/>
    <w:multiLevelType w:val="hybridMultilevel"/>
    <w:tmpl w:val="0818040C"/>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68" w15:restartNumberingAfterBreak="0">
    <w:nsid w:val="763F216E"/>
    <w:multiLevelType w:val="hybridMultilevel"/>
    <w:tmpl w:val="FF783AD8"/>
    <w:lvl w:ilvl="0" w:tplc="F86007FA">
      <w:start w:val="1"/>
      <w:numFmt w:val="lowerLetter"/>
      <w:lvlText w:val="%1)"/>
      <w:lvlJc w:val="left"/>
      <w:pPr>
        <w:ind w:left="1080" w:hanging="360"/>
      </w:pPr>
      <w:rPr>
        <w:rFonts w:asciiTheme="minorHAnsi" w:hAnsiTheme="minorHAnsi" w:cstheme="minorHAnsi" w:hint="default"/>
        <w:sz w:val="24"/>
        <w:szCs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76520AEB"/>
    <w:multiLevelType w:val="hybridMultilevel"/>
    <w:tmpl w:val="A300C244"/>
    <w:lvl w:ilvl="0" w:tplc="23A4967E">
      <w:start w:val="1"/>
      <w:numFmt w:val="decimal"/>
      <w:lvlText w:val="%1)"/>
      <w:lvlJc w:val="left"/>
      <w:pPr>
        <w:ind w:left="680" w:hanging="453"/>
      </w:pPr>
      <w:rPr>
        <w:rFonts w:cs="Helvetica" w:hint="default"/>
        <w:i w:val="0"/>
        <w:iCs w:val="0"/>
        <w:sz w:val="24"/>
        <w:lang w:val="en-GB"/>
      </w:rPr>
    </w:lvl>
    <w:lvl w:ilvl="1" w:tplc="68340CCE">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7D14106C">
      <w:start w:val="1"/>
      <w:numFmt w:val="lowerRoman"/>
      <w:lvlText w:val="(%5)"/>
      <w:lvlJc w:val="left"/>
      <w:pPr>
        <w:ind w:left="3960" w:hanging="72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7472432"/>
    <w:multiLevelType w:val="hybridMultilevel"/>
    <w:tmpl w:val="ADE26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15:restartNumberingAfterBreak="0">
    <w:nsid w:val="77D615F0"/>
    <w:multiLevelType w:val="hybridMultilevel"/>
    <w:tmpl w:val="A36A8426"/>
    <w:lvl w:ilvl="0" w:tplc="0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A73C35"/>
    <w:multiLevelType w:val="hybridMultilevel"/>
    <w:tmpl w:val="F622360C"/>
    <w:lvl w:ilvl="0" w:tplc="23A4967E">
      <w:start w:val="1"/>
      <w:numFmt w:val="decimal"/>
      <w:lvlText w:val="%1)"/>
      <w:lvlJc w:val="left"/>
      <w:pPr>
        <w:ind w:left="1133" w:hanging="453"/>
      </w:pPr>
      <w:rPr>
        <w:rFonts w:cs="Helvetica" w:hint="default"/>
        <w:i w:val="0"/>
        <w:iCs w:val="0"/>
        <w:sz w:val="24"/>
        <w:lang w:val="en-GB"/>
      </w:rPr>
    </w:lvl>
    <w:lvl w:ilvl="1" w:tplc="CDC203E8">
      <w:start w:val="1"/>
      <w:numFmt w:val="lowerLetter"/>
      <w:lvlText w:val="%2)"/>
      <w:lvlJc w:val="left"/>
      <w:pPr>
        <w:ind w:left="1893" w:hanging="360"/>
      </w:pPr>
      <w:rPr>
        <w:rFonts w:hint="default"/>
        <w:i w:val="0"/>
        <w:iCs w:val="0"/>
      </w:rPr>
    </w:lvl>
    <w:lvl w:ilvl="2" w:tplc="0809001B">
      <w:start w:val="1"/>
      <w:numFmt w:val="lowerRoman"/>
      <w:lvlText w:val="%3."/>
      <w:lvlJc w:val="right"/>
      <w:pPr>
        <w:ind w:left="2613" w:hanging="180"/>
      </w:pPr>
    </w:lvl>
    <w:lvl w:ilvl="3" w:tplc="0809000F">
      <w:start w:val="1"/>
      <w:numFmt w:val="decimal"/>
      <w:lvlText w:val="%4."/>
      <w:lvlJc w:val="left"/>
      <w:pPr>
        <w:ind w:left="3333" w:hanging="360"/>
      </w:pPr>
    </w:lvl>
    <w:lvl w:ilvl="4" w:tplc="7D14106C">
      <w:start w:val="1"/>
      <w:numFmt w:val="lowerRoman"/>
      <w:lvlText w:val="(%5)"/>
      <w:lvlJc w:val="left"/>
      <w:pPr>
        <w:ind w:left="4413" w:hanging="720"/>
      </w:pPr>
      <w:rPr>
        <w:rFonts w:hint="default"/>
      </w:rPr>
    </w:lvl>
    <w:lvl w:ilvl="5" w:tplc="0809001B" w:tentative="1">
      <w:start w:val="1"/>
      <w:numFmt w:val="lowerRoman"/>
      <w:lvlText w:val="%6."/>
      <w:lvlJc w:val="right"/>
      <w:pPr>
        <w:ind w:left="4773" w:hanging="180"/>
      </w:pPr>
    </w:lvl>
    <w:lvl w:ilvl="6" w:tplc="0809000F" w:tentative="1">
      <w:start w:val="1"/>
      <w:numFmt w:val="decimal"/>
      <w:lvlText w:val="%7."/>
      <w:lvlJc w:val="left"/>
      <w:pPr>
        <w:ind w:left="5493" w:hanging="360"/>
      </w:pPr>
    </w:lvl>
    <w:lvl w:ilvl="7" w:tplc="08090019" w:tentative="1">
      <w:start w:val="1"/>
      <w:numFmt w:val="lowerLetter"/>
      <w:lvlText w:val="%8."/>
      <w:lvlJc w:val="left"/>
      <w:pPr>
        <w:ind w:left="6213" w:hanging="360"/>
      </w:pPr>
    </w:lvl>
    <w:lvl w:ilvl="8" w:tplc="0809001B" w:tentative="1">
      <w:start w:val="1"/>
      <w:numFmt w:val="lowerRoman"/>
      <w:lvlText w:val="%9."/>
      <w:lvlJc w:val="right"/>
      <w:pPr>
        <w:ind w:left="6933" w:hanging="180"/>
      </w:pPr>
    </w:lvl>
  </w:abstractNum>
  <w:abstractNum w:abstractNumId="73" w15:restartNumberingAfterBreak="0">
    <w:nsid w:val="7E8752DA"/>
    <w:multiLevelType w:val="hybridMultilevel"/>
    <w:tmpl w:val="7F92A630"/>
    <w:lvl w:ilvl="0" w:tplc="254E709A">
      <w:start w:val="1"/>
      <w:numFmt w:val="lowerLetter"/>
      <w:lvlText w:val="%1)"/>
      <w:lvlJc w:val="left"/>
      <w:pPr>
        <w:ind w:left="1080" w:hanging="360"/>
      </w:pPr>
      <w:rPr>
        <w:rFonts w:asciiTheme="minorHAnsi" w:hAnsiTheme="minorHAnsi"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2"/>
  </w:num>
  <w:num w:numId="2">
    <w:abstractNumId w:val="59"/>
  </w:num>
  <w:num w:numId="3">
    <w:abstractNumId w:val="1"/>
  </w:num>
  <w:num w:numId="4">
    <w:abstractNumId w:val="73"/>
  </w:num>
  <w:num w:numId="5">
    <w:abstractNumId w:val="0"/>
  </w:num>
  <w:num w:numId="6">
    <w:abstractNumId w:val="51"/>
  </w:num>
  <w:num w:numId="7">
    <w:abstractNumId w:val="24"/>
  </w:num>
  <w:num w:numId="8">
    <w:abstractNumId w:val="27"/>
  </w:num>
  <w:num w:numId="9">
    <w:abstractNumId w:val="28"/>
  </w:num>
  <w:num w:numId="10">
    <w:abstractNumId w:val="32"/>
  </w:num>
  <w:num w:numId="11">
    <w:abstractNumId w:val="6"/>
  </w:num>
  <w:num w:numId="12">
    <w:abstractNumId w:val="29"/>
  </w:num>
  <w:num w:numId="13">
    <w:abstractNumId w:val="68"/>
  </w:num>
  <w:num w:numId="14">
    <w:abstractNumId w:val="25"/>
  </w:num>
  <w:num w:numId="15">
    <w:abstractNumId w:val="46"/>
  </w:num>
  <w:num w:numId="16">
    <w:abstractNumId w:val="26"/>
  </w:num>
  <w:num w:numId="17">
    <w:abstractNumId w:val="4"/>
  </w:num>
  <w:num w:numId="18">
    <w:abstractNumId w:val="14"/>
  </w:num>
  <w:num w:numId="19">
    <w:abstractNumId w:val="37"/>
  </w:num>
  <w:num w:numId="20">
    <w:abstractNumId w:val="42"/>
  </w:num>
  <w:num w:numId="21">
    <w:abstractNumId w:val="62"/>
  </w:num>
  <w:num w:numId="22">
    <w:abstractNumId w:val="21"/>
  </w:num>
  <w:num w:numId="23">
    <w:abstractNumId w:val="66"/>
  </w:num>
  <w:num w:numId="24">
    <w:abstractNumId w:val="10"/>
  </w:num>
  <w:num w:numId="25">
    <w:abstractNumId w:val="2"/>
  </w:num>
  <w:num w:numId="26">
    <w:abstractNumId w:val="71"/>
  </w:num>
  <w:num w:numId="27">
    <w:abstractNumId w:val="35"/>
  </w:num>
  <w:num w:numId="28">
    <w:abstractNumId w:val="57"/>
  </w:num>
  <w:num w:numId="29">
    <w:abstractNumId w:val="12"/>
  </w:num>
  <w:num w:numId="30">
    <w:abstractNumId w:val="11"/>
  </w:num>
  <w:num w:numId="31">
    <w:abstractNumId w:val="58"/>
  </w:num>
  <w:num w:numId="32">
    <w:abstractNumId w:val="53"/>
  </w:num>
  <w:num w:numId="33">
    <w:abstractNumId w:val="19"/>
  </w:num>
  <w:num w:numId="34">
    <w:abstractNumId w:val="47"/>
  </w:num>
  <w:num w:numId="35">
    <w:abstractNumId w:val="36"/>
  </w:num>
  <w:num w:numId="36">
    <w:abstractNumId w:val="54"/>
  </w:num>
  <w:num w:numId="37">
    <w:abstractNumId w:val="23"/>
  </w:num>
  <w:num w:numId="38">
    <w:abstractNumId w:val="18"/>
  </w:num>
  <w:num w:numId="39">
    <w:abstractNumId w:val="45"/>
  </w:num>
  <w:num w:numId="40">
    <w:abstractNumId w:val="20"/>
  </w:num>
  <w:num w:numId="41">
    <w:abstractNumId w:val="13"/>
  </w:num>
  <w:num w:numId="42">
    <w:abstractNumId w:val="48"/>
  </w:num>
  <w:num w:numId="43">
    <w:abstractNumId w:val="39"/>
  </w:num>
  <w:num w:numId="44">
    <w:abstractNumId w:val="30"/>
  </w:num>
  <w:num w:numId="45">
    <w:abstractNumId w:val="49"/>
  </w:num>
  <w:num w:numId="46">
    <w:abstractNumId w:val="55"/>
  </w:num>
  <w:num w:numId="47">
    <w:abstractNumId w:val="50"/>
  </w:num>
  <w:num w:numId="48">
    <w:abstractNumId w:val="7"/>
  </w:num>
  <w:num w:numId="49">
    <w:abstractNumId w:val="70"/>
  </w:num>
  <w:num w:numId="50">
    <w:abstractNumId w:val="9"/>
  </w:num>
  <w:num w:numId="51">
    <w:abstractNumId w:val="65"/>
  </w:num>
  <w:num w:numId="52">
    <w:abstractNumId w:val="22"/>
  </w:num>
  <w:num w:numId="53">
    <w:abstractNumId w:val="40"/>
  </w:num>
  <w:num w:numId="54">
    <w:abstractNumId w:val="3"/>
  </w:num>
  <w:num w:numId="55">
    <w:abstractNumId w:val="8"/>
  </w:num>
  <w:num w:numId="56">
    <w:abstractNumId w:val="31"/>
  </w:num>
  <w:num w:numId="57">
    <w:abstractNumId w:val="60"/>
  </w:num>
  <w:num w:numId="58">
    <w:abstractNumId w:val="43"/>
  </w:num>
  <w:num w:numId="59">
    <w:abstractNumId w:val="16"/>
  </w:num>
  <w:num w:numId="60">
    <w:abstractNumId w:val="61"/>
  </w:num>
  <w:num w:numId="61">
    <w:abstractNumId w:val="17"/>
  </w:num>
  <w:num w:numId="62">
    <w:abstractNumId w:val="34"/>
  </w:num>
  <w:num w:numId="63">
    <w:abstractNumId w:val="15"/>
  </w:num>
  <w:num w:numId="64">
    <w:abstractNumId w:val="38"/>
  </w:num>
  <w:num w:numId="65">
    <w:abstractNumId w:val="41"/>
  </w:num>
  <w:num w:numId="66">
    <w:abstractNumId w:val="69"/>
  </w:num>
  <w:num w:numId="67">
    <w:abstractNumId w:val="52"/>
  </w:num>
  <w:num w:numId="68">
    <w:abstractNumId w:val="63"/>
  </w:num>
  <w:num w:numId="69">
    <w:abstractNumId w:val="5"/>
  </w:num>
  <w:num w:numId="70">
    <w:abstractNumId w:val="44"/>
  </w:num>
  <w:num w:numId="71">
    <w:abstractNumId w:val="33"/>
  </w:num>
  <w:num w:numId="72">
    <w:abstractNumId w:val="64"/>
  </w:num>
  <w:num w:numId="73">
    <w:abstractNumId w:val="5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AA"/>
    <w:rsid w:val="00003B70"/>
    <w:rsid w:val="000069EE"/>
    <w:rsid w:val="00006D0B"/>
    <w:rsid w:val="00011485"/>
    <w:rsid w:val="0001171A"/>
    <w:rsid w:val="000123A6"/>
    <w:rsid w:val="00012B4D"/>
    <w:rsid w:val="000136E4"/>
    <w:rsid w:val="00014105"/>
    <w:rsid w:val="00014947"/>
    <w:rsid w:val="00014C40"/>
    <w:rsid w:val="00015262"/>
    <w:rsid w:val="00015B7B"/>
    <w:rsid w:val="0001614B"/>
    <w:rsid w:val="000161F7"/>
    <w:rsid w:val="000218FC"/>
    <w:rsid w:val="0002223B"/>
    <w:rsid w:val="00023735"/>
    <w:rsid w:val="00023DED"/>
    <w:rsid w:val="00024950"/>
    <w:rsid w:val="00025DDB"/>
    <w:rsid w:val="00027E65"/>
    <w:rsid w:val="0003106E"/>
    <w:rsid w:val="000316EC"/>
    <w:rsid w:val="0003172B"/>
    <w:rsid w:val="0003209D"/>
    <w:rsid w:val="000336C0"/>
    <w:rsid w:val="000340C1"/>
    <w:rsid w:val="000343A8"/>
    <w:rsid w:val="00034819"/>
    <w:rsid w:val="00034DD2"/>
    <w:rsid w:val="0003660F"/>
    <w:rsid w:val="00036FCE"/>
    <w:rsid w:val="00037291"/>
    <w:rsid w:val="00037A25"/>
    <w:rsid w:val="00037AA9"/>
    <w:rsid w:val="00040206"/>
    <w:rsid w:val="00040272"/>
    <w:rsid w:val="00041AA5"/>
    <w:rsid w:val="00042181"/>
    <w:rsid w:val="00042350"/>
    <w:rsid w:val="000426C6"/>
    <w:rsid w:val="00042E4C"/>
    <w:rsid w:val="00044007"/>
    <w:rsid w:val="00044CAA"/>
    <w:rsid w:val="00045DC9"/>
    <w:rsid w:val="00046AA3"/>
    <w:rsid w:val="00046E95"/>
    <w:rsid w:val="00052D79"/>
    <w:rsid w:val="00054C59"/>
    <w:rsid w:val="00055D3E"/>
    <w:rsid w:val="00057DCD"/>
    <w:rsid w:val="0006075C"/>
    <w:rsid w:val="000616ED"/>
    <w:rsid w:val="000620D0"/>
    <w:rsid w:val="00062352"/>
    <w:rsid w:val="00062F6C"/>
    <w:rsid w:val="000630D4"/>
    <w:rsid w:val="00065567"/>
    <w:rsid w:val="0006606C"/>
    <w:rsid w:val="00066366"/>
    <w:rsid w:val="000668E7"/>
    <w:rsid w:val="00067D66"/>
    <w:rsid w:val="000716EE"/>
    <w:rsid w:val="0007249E"/>
    <w:rsid w:val="00073A47"/>
    <w:rsid w:val="00073ADC"/>
    <w:rsid w:val="00074295"/>
    <w:rsid w:val="000744D3"/>
    <w:rsid w:val="0007567E"/>
    <w:rsid w:val="00075DDD"/>
    <w:rsid w:val="000763DC"/>
    <w:rsid w:val="0007730B"/>
    <w:rsid w:val="00077529"/>
    <w:rsid w:val="00080719"/>
    <w:rsid w:val="0008222C"/>
    <w:rsid w:val="00082854"/>
    <w:rsid w:val="00082A9B"/>
    <w:rsid w:val="00085086"/>
    <w:rsid w:val="000850F7"/>
    <w:rsid w:val="00086072"/>
    <w:rsid w:val="0008633D"/>
    <w:rsid w:val="000866AB"/>
    <w:rsid w:val="000869A2"/>
    <w:rsid w:val="00087834"/>
    <w:rsid w:val="00087C0F"/>
    <w:rsid w:val="000900C3"/>
    <w:rsid w:val="00091A58"/>
    <w:rsid w:val="000922B9"/>
    <w:rsid w:val="00092BA2"/>
    <w:rsid w:val="000932A4"/>
    <w:rsid w:val="00094F56"/>
    <w:rsid w:val="00095315"/>
    <w:rsid w:val="00095341"/>
    <w:rsid w:val="0009615B"/>
    <w:rsid w:val="00096ACF"/>
    <w:rsid w:val="00096B5C"/>
    <w:rsid w:val="00097074"/>
    <w:rsid w:val="000972BF"/>
    <w:rsid w:val="00097DA5"/>
    <w:rsid w:val="000A0B46"/>
    <w:rsid w:val="000A0EA5"/>
    <w:rsid w:val="000A1123"/>
    <w:rsid w:val="000A223D"/>
    <w:rsid w:val="000A22BF"/>
    <w:rsid w:val="000A3CAF"/>
    <w:rsid w:val="000A3F32"/>
    <w:rsid w:val="000A6C44"/>
    <w:rsid w:val="000B09E0"/>
    <w:rsid w:val="000B1C01"/>
    <w:rsid w:val="000B245C"/>
    <w:rsid w:val="000B28C9"/>
    <w:rsid w:val="000B2DDC"/>
    <w:rsid w:val="000B3831"/>
    <w:rsid w:val="000B3B99"/>
    <w:rsid w:val="000B7A79"/>
    <w:rsid w:val="000C0420"/>
    <w:rsid w:val="000C117F"/>
    <w:rsid w:val="000C1392"/>
    <w:rsid w:val="000C293F"/>
    <w:rsid w:val="000C2B44"/>
    <w:rsid w:val="000C2FC7"/>
    <w:rsid w:val="000C3725"/>
    <w:rsid w:val="000C3BE6"/>
    <w:rsid w:val="000C4857"/>
    <w:rsid w:val="000D1FC4"/>
    <w:rsid w:val="000D2F27"/>
    <w:rsid w:val="000D3A1C"/>
    <w:rsid w:val="000D52D6"/>
    <w:rsid w:val="000D56A4"/>
    <w:rsid w:val="000D58EF"/>
    <w:rsid w:val="000D5BAB"/>
    <w:rsid w:val="000D61F7"/>
    <w:rsid w:val="000D70DC"/>
    <w:rsid w:val="000D773B"/>
    <w:rsid w:val="000D7A84"/>
    <w:rsid w:val="000E056E"/>
    <w:rsid w:val="000E0599"/>
    <w:rsid w:val="000E0A1D"/>
    <w:rsid w:val="000E1E31"/>
    <w:rsid w:val="000E242C"/>
    <w:rsid w:val="000E2C27"/>
    <w:rsid w:val="000E380A"/>
    <w:rsid w:val="000E3E8F"/>
    <w:rsid w:val="000E4917"/>
    <w:rsid w:val="000E49AF"/>
    <w:rsid w:val="000E4D22"/>
    <w:rsid w:val="000E4FA4"/>
    <w:rsid w:val="000E5437"/>
    <w:rsid w:val="000E68BA"/>
    <w:rsid w:val="000E6FC2"/>
    <w:rsid w:val="000E7F4F"/>
    <w:rsid w:val="000F060B"/>
    <w:rsid w:val="000F1264"/>
    <w:rsid w:val="000F1E22"/>
    <w:rsid w:val="000F3F4A"/>
    <w:rsid w:val="000F5087"/>
    <w:rsid w:val="000F5492"/>
    <w:rsid w:val="000F5704"/>
    <w:rsid w:val="000F60FA"/>
    <w:rsid w:val="000F6573"/>
    <w:rsid w:val="000F6BA9"/>
    <w:rsid w:val="000F6C2B"/>
    <w:rsid w:val="000F7057"/>
    <w:rsid w:val="000F7067"/>
    <w:rsid w:val="000F7BE8"/>
    <w:rsid w:val="00100C13"/>
    <w:rsid w:val="00101B32"/>
    <w:rsid w:val="001021D7"/>
    <w:rsid w:val="0010223A"/>
    <w:rsid w:val="001026E6"/>
    <w:rsid w:val="001030DA"/>
    <w:rsid w:val="00103B95"/>
    <w:rsid w:val="001051CE"/>
    <w:rsid w:val="00105E25"/>
    <w:rsid w:val="00105FF3"/>
    <w:rsid w:val="00106C96"/>
    <w:rsid w:val="00107A29"/>
    <w:rsid w:val="001103D7"/>
    <w:rsid w:val="00110748"/>
    <w:rsid w:val="00111267"/>
    <w:rsid w:val="00112B90"/>
    <w:rsid w:val="00113EBA"/>
    <w:rsid w:val="00113F5F"/>
    <w:rsid w:val="001140E5"/>
    <w:rsid w:val="001142D5"/>
    <w:rsid w:val="00115444"/>
    <w:rsid w:val="00115C8D"/>
    <w:rsid w:val="001168C8"/>
    <w:rsid w:val="0011692F"/>
    <w:rsid w:val="00116A19"/>
    <w:rsid w:val="001207FC"/>
    <w:rsid w:val="00124880"/>
    <w:rsid w:val="0012494D"/>
    <w:rsid w:val="001256D7"/>
    <w:rsid w:val="00125ECC"/>
    <w:rsid w:val="00126180"/>
    <w:rsid w:val="001271B0"/>
    <w:rsid w:val="00127F7C"/>
    <w:rsid w:val="00130485"/>
    <w:rsid w:val="001304DC"/>
    <w:rsid w:val="00132E3B"/>
    <w:rsid w:val="001333D5"/>
    <w:rsid w:val="00134D74"/>
    <w:rsid w:val="00135DBE"/>
    <w:rsid w:val="001361EE"/>
    <w:rsid w:val="001367B1"/>
    <w:rsid w:val="00136902"/>
    <w:rsid w:val="00136F28"/>
    <w:rsid w:val="00141585"/>
    <w:rsid w:val="00141F9C"/>
    <w:rsid w:val="00141FAA"/>
    <w:rsid w:val="0014468C"/>
    <w:rsid w:val="00145F0D"/>
    <w:rsid w:val="001467AD"/>
    <w:rsid w:val="001504EC"/>
    <w:rsid w:val="00153876"/>
    <w:rsid w:val="00154537"/>
    <w:rsid w:val="00154566"/>
    <w:rsid w:val="00155774"/>
    <w:rsid w:val="00156347"/>
    <w:rsid w:val="00156435"/>
    <w:rsid w:val="00160C98"/>
    <w:rsid w:val="001611E7"/>
    <w:rsid w:val="00161BD0"/>
    <w:rsid w:val="00161ECE"/>
    <w:rsid w:val="0016211D"/>
    <w:rsid w:val="001649F4"/>
    <w:rsid w:val="00165010"/>
    <w:rsid w:val="0016716B"/>
    <w:rsid w:val="001678C3"/>
    <w:rsid w:val="00167C73"/>
    <w:rsid w:val="00170A72"/>
    <w:rsid w:val="00170A8E"/>
    <w:rsid w:val="00172C0B"/>
    <w:rsid w:val="001741CF"/>
    <w:rsid w:val="00176638"/>
    <w:rsid w:val="00176DC5"/>
    <w:rsid w:val="00177501"/>
    <w:rsid w:val="0018151C"/>
    <w:rsid w:val="00183C2D"/>
    <w:rsid w:val="00183FE9"/>
    <w:rsid w:val="0018456D"/>
    <w:rsid w:val="001857F8"/>
    <w:rsid w:val="0018630E"/>
    <w:rsid w:val="001873F7"/>
    <w:rsid w:val="00187BEC"/>
    <w:rsid w:val="001903F9"/>
    <w:rsid w:val="001905E2"/>
    <w:rsid w:val="001916F4"/>
    <w:rsid w:val="00193796"/>
    <w:rsid w:val="00193874"/>
    <w:rsid w:val="0019392F"/>
    <w:rsid w:val="00193CC1"/>
    <w:rsid w:val="001942F8"/>
    <w:rsid w:val="00195597"/>
    <w:rsid w:val="00196A9B"/>
    <w:rsid w:val="00196AB8"/>
    <w:rsid w:val="001A032E"/>
    <w:rsid w:val="001A0588"/>
    <w:rsid w:val="001A0F44"/>
    <w:rsid w:val="001A119D"/>
    <w:rsid w:val="001A233B"/>
    <w:rsid w:val="001A2645"/>
    <w:rsid w:val="001A3E38"/>
    <w:rsid w:val="001A4E4A"/>
    <w:rsid w:val="001A52F8"/>
    <w:rsid w:val="001A6743"/>
    <w:rsid w:val="001B06F1"/>
    <w:rsid w:val="001B165E"/>
    <w:rsid w:val="001B1E9E"/>
    <w:rsid w:val="001B2265"/>
    <w:rsid w:val="001B34FB"/>
    <w:rsid w:val="001B39A7"/>
    <w:rsid w:val="001B3EB3"/>
    <w:rsid w:val="001B445A"/>
    <w:rsid w:val="001B4AE7"/>
    <w:rsid w:val="001B64DF"/>
    <w:rsid w:val="001B74DA"/>
    <w:rsid w:val="001B78D0"/>
    <w:rsid w:val="001C08E8"/>
    <w:rsid w:val="001C1987"/>
    <w:rsid w:val="001C1E65"/>
    <w:rsid w:val="001C2FEE"/>
    <w:rsid w:val="001C3389"/>
    <w:rsid w:val="001C39F7"/>
    <w:rsid w:val="001C3AFB"/>
    <w:rsid w:val="001C59E9"/>
    <w:rsid w:val="001C5B21"/>
    <w:rsid w:val="001C5BDB"/>
    <w:rsid w:val="001C661D"/>
    <w:rsid w:val="001C6799"/>
    <w:rsid w:val="001D03E1"/>
    <w:rsid w:val="001D0F6F"/>
    <w:rsid w:val="001D11F9"/>
    <w:rsid w:val="001D1A8B"/>
    <w:rsid w:val="001D1FC8"/>
    <w:rsid w:val="001D23D8"/>
    <w:rsid w:val="001D3010"/>
    <w:rsid w:val="001D40BE"/>
    <w:rsid w:val="001D46D8"/>
    <w:rsid w:val="001D5B27"/>
    <w:rsid w:val="001D6369"/>
    <w:rsid w:val="001D7352"/>
    <w:rsid w:val="001E184F"/>
    <w:rsid w:val="001E1FAF"/>
    <w:rsid w:val="001E25EE"/>
    <w:rsid w:val="001E569C"/>
    <w:rsid w:val="001E59A5"/>
    <w:rsid w:val="001E602A"/>
    <w:rsid w:val="001E6D26"/>
    <w:rsid w:val="001E6E6E"/>
    <w:rsid w:val="001E7B01"/>
    <w:rsid w:val="001E7BA8"/>
    <w:rsid w:val="001E7C52"/>
    <w:rsid w:val="001E7F06"/>
    <w:rsid w:val="001F02F4"/>
    <w:rsid w:val="001F12AD"/>
    <w:rsid w:val="001F1AB6"/>
    <w:rsid w:val="001F22DC"/>
    <w:rsid w:val="001F28E0"/>
    <w:rsid w:val="001F4285"/>
    <w:rsid w:val="001F4964"/>
    <w:rsid w:val="001F4CCA"/>
    <w:rsid w:val="001F4D5B"/>
    <w:rsid w:val="001F4E1B"/>
    <w:rsid w:val="001F6185"/>
    <w:rsid w:val="001F61B9"/>
    <w:rsid w:val="001F6D9F"/>
    <w:rsid w:val="001F73FF"/>
    <w:rsid w:val="001F75DE"/>
    <w:rsid w:val="001F77F8"/>
    <w:rsid w:val="001F7BDD"/>
    <w:rsid w:val="002001DD"/>
    <w:rsid w:val="00200782"/>
    <w:rsid w:val="002014B2"/>
    <w:rsid w:val="00201EB7"/>
    <w:rsid w:val="0020268D"/>
    <w:rsid w:val="0020324B"/>
    <w:rsid w:val="002033AF"/>
    <w:rsid w:val="00203582"/>
    <w:rsid w:val="0020389A"/>
    <w:rsid w:val="00205DA9"/>
    <w:rsid w:val="002065CC"/>
    <w:rsid w:val="00206FFA"/>
    <w:rsid w:val="00207788"/>
    <w:rsid w:val="00211603"/>
    <w:rsid w:val="00211DDD"/>
    <w:rsid w:val="00211F02"/>
    <w:rsid w:val="002133E3"/>
    <w:rsid w:val="0021431C"/>
    <w:rsid w:val="00215C11"/>
    <w:rsid w:val="00215F2F"/>
    <w:rsid w:val="002162CA"/>
    <w:rsid w:val="00220D07"/>
    <w:rsid w:val="00221017"/>
    <w:rsid w:val="00221514"/>
    <w:rsid w:val="00221CA0"/>
    <w:rsid w:val="00222711"/>
    <w:rsid w:val="002232A1"/>
    <w:rsid w:val="00223333"/>
    <w:rsid w:val="00223A77"/>
    <w:rsid w:val="00224E1D"/>
    <w:rsid w:val="00225E93"/>
    <w:rsid w:val="00226395"/>
    <w:rsid w:val="00226964"/>
    <w:rsid w:val="002326F8"/>
    <w:rsid w:val="00232AA6"/>
    <w:rsid w:val="00233130"/>
    <w:rsid w:val="0023339B"/>
    <w:rsid w:val="00233425"/>
    <w:rsid w:val="002349EB"/>
    <w:rsid w:val="00234B0A"/>
    <w:rsid w:val="00234CCA"/>
    <w:rsid w:val="0023569F"/>
    <w:rsid w:val="002358C5"/>
    <w:rsid w:val="00235A81"/>
    <w:rsid w:val="00242CC9"/>
    <w:rsid w:val="00242F43"/>
    <w:rsid w:val="00243CDB"/>
    <w:rsid w:val="00244DD2"/>
    <w:rsid w:val="00245D9B"/>
    <w:rsid w:val="00245DDE"/>
    <w:rsid w:val="00246E8C"/>
    <w:rsid w:val="002472D3"/>
    <w:rsid w:val="00250EA5"/>
    <w:rsid w:val="00251BF6"/>
    <w:rsid w:val="0025230B"/>
    <w:rsid w:val="0025295C"/>
    <w:rsid w:val="00252EDA"/>
    <w:rsid w:val="0025508E"/>
    <w:rsid w:val="002550D9"/>
    <w:rsid w:val="00255856"/>
    <w:rsid w:val="002559F2"/>
    <w:rsid w:val="002561DF"/>
    <w:rsid w:val="00257081"/>
    <w:rsid w:val="00257B4E"/>
    <w:rsid w:val="00257CC8"/>
    <w:rsid w:val="00257E9D"/>
    <w:rsid w:val="002620BC"/>
    <w:rsid w:val="00262642"/>
    <w:rsid w:val="002630A9"/>
    <w:rsid w:val="0026337B"/>
    <w:rsid w:val="00263B58"/>
    <w:rsid w:val="0026410B"/>
    <w:rsid w:val="00264EF4"/>
    <w:rsid w:val="002666A9"/>
    <w:rsid w:val="0026737B"/>
    <w:rsid w:val="0026756F"/>
    <w:rsid w:val="00270797"/>
    <w:rsid w:val="00270D22"/>
    <w:rsid w:val="002718ED"/>
    <w:rsid w:val="0027252C"/>
    <w:rsid w:val="00273F32"/>
    <w:rsid w:val="002745E5"/>
    <w:rsid w:val="00274841"/>
    <w:rsid w:val="0028081B"/>
    <w:rsid w:val="00280A9A"/>
    <w:rsid w:val="00280FF3"/>
    <w:rsid w:val="00281B30"/>
    <w:rsid w:val="00281C75"/>
    <w:rsid w:val="0028254D"/>
    <w:rsid w:val="00282C42"/>
    <w:rsid w:val="00282DC5"/>
    <w:rsid w:val="00282FB0"/>
    <w:rsid w:val="0028372E"/>
    <w:rsid w:val="0028426D"/>
    <w:rsid w:val="002846EB"/>
    <w:rsid w:val="00286AAD"/>
    <w:rsid w:val="00287378"/>
    <w:rsid w:val="00287A2E"/>
    <w:rsid w:val="00287DB4"/>
    <w:rsid w:val="00287F44"/>
    <w:rsid w:val="00291F3D"/>
    <w:rsid w:val="00292B32"/>
    <w:rsid w:val="00292B67"/>
    <w:rsid w:val="00292C72"/>
    <w:rsid w:val="00292F56"/>
    <w:rsid w:val="002937BC"/>
    <w:rsid w:val="00293BD1"/>
    <w:rsid w:val="002942A6"/>
    <w:rsid w:val="00294468"/>
    <w:rsid w:val="00296F2C"/>
    <w:rsid w:val="00296FF2"/>
    <w:rsid w:val="00297179"/>
    <w:rsid w:val="002A2368"/>
    <w:rsid w:val="002A290D"/>
    <w:rsid w:val="002A2A32"/>
    <w:rsid w:val="002A4D9D"/>
    <w:rsid w:val="002A5250"/>
    <w:rsid w:val="002A5B5D"/>
    <w:rsid w:val="002A5E1B"/>
    <w:rsid w:val="002A6D23"/>
    <w:rsid w:val="002A71C8"/>
    <w:rsid w:val="002A7414"/>
    <w:rsid w:val="002A7599"/>
    <w:rsid w:val="002A787A"/>
    <w:rsid w:val="002A79BD"/>
    <w:rsid w:val="002B0E11"/>
    <w:rsid w:val="002B118D"/>
    <w:rsid w:val="002B34D2"/>
    <w:rsid w:val="002B55D2"/>
    <w:rsid w:val="002B702A"/>
    <w:rsid w:val="002B7E8F"/>
    <w:rsid w:val="002C0619"/>
    <w:rsid w:val="002C099D"/>
    <w:rsid w:val="002C0A1E"/>
    <w:rsid w:val="002C11D4"/>
    <w:rsid w:val="002C1426"/>
    <w:rsid w:val="002C224F"/>
    <w:rsid w:val="002C2848"/>
    <w:rsid w:val="002C365E"/>
    <w:rsid w:val="002C40DC"/>
    <w:rsid w:val="002C416A"/>
    <w:rsid w:val="002C72E1"/>
    <w:rsid w:val="002D09A8"/>
    <w:rsid w:val="002D1173"/>
    <w:rsid w:val="002D2078"/>
    <w:rsid w:val="002D2ABC"/>
    <w:rsid w:val="002D3EA5"/>
    <w:rsid w:val="002D461D"/>
    <w:rsid w:val="002D4A39"/>
    <w:rsid w:val="002D6D6C"/>
    <w:rsid w:val="002D6E58"/>
    <w:rsid w:val="002D73FC"/>
    <w:rsid w:val="002E25B9"/>
    <w:rsid w:val="002E3B69"/>
    <w:rsid w:val="002E62ED"/>
    <w:rsid w:val="002E6C0E"/>
    <w:rsid w:val="002E7C45"/>
    <w:rsid w:val="002F006C"/>
    <w:rsid w:val="002F05F0"/>
    <w:rsid w:val="002F10CC"/>
    <w:rsid w:val="002F1763"/>
    <w:rsid w:val="002F1ED7"/>
    <w:rsid w:val="002F3936"/>
    <w:rsid w:val="002F45C3"/>
    <w:rsid w:val="002F4990"/>
    <w:rsid w:val="002F6055"/>
    <w:rsid w:val="002F7D13"/>
    <w:rsid w:val="00300A10"/>
    <w:rsid w:val="00301363"/>
    <w:rsid w:val="003026B8"/>
    <w:rsid w:val="00302DEC"/>
    <w:rsid w:val="00303E03"/>
    <w:rsid w:val="00306D55"/>
    <w:rsid w:val="0030703D"/>
    <w:rsid w:val="003073BF"/>
    <w:rsid w:val="00307D81"/>
    <w:rsid w:val="0031092C"/>
    <w:rsid w:val="00310A6F"/>
    <w:rsid w:val="0031328C"/>
    <w:rsid w:val="003137A1"/>
    <w:rsid w:val="00314CA5"/>
    <w:rsid w:val="00316FB4"/>
    <w:rsid w:val="00320C6E"/>
    <w:rsid w:val="003213CD"/>
    <w:rsid w:val="003214C5"/>
    <w:rsid w:val="00323FD3"/>
    <w:rsid w:val="003242F6"/>
    <w:rsid w:val="0032497A"/>
    <w:rsid w:val="0032499B"/>
    <w:rsid w:val="00325C1A"/>
    <w:rsid w:val="00325DD0"/>
    <w:rsid w:val="003264DF"/>
    <w:rsid w:val="00326EDB"/>
    <w:rsid w:val="00327149"/>
    <w:rsid w:val="00327B06"/>
    <w:rsid w:val="00327BC4"/>
    <w:rsid w:val="00330CAC"/>
    <w:rsid w:val="0033134E"/>
    <w:rsid w:val="0033239F"/>
    <w:rsid w:val="00333E9D"/>
    <w:rsid w:val="0033507E"/>
    <w:rsid w:val="003352B7"/>
    <w:rsid w:val="00335521"/>
    <w:rsid w:val="00337635"/>
    <w:rsid w:val="003379B9"/>
    <w:rsid w:val="00337AD9"/>
    <w:rsid w:val="00337D8E"/>
    <w:rsid w:val="00337EC3"/>
    <w:rsid w:val="003404F4"/>
    <w:rsid w:val="00340932"/>
    <w:rsid w:val="00340A36"/>
    <w:rsid w:val="003419D9"/>
    <w:rsid w:val="003428E5"/>
    <w:rsid w:val="00342973"/>
    <w:rsid w:val="00343014"/>
    <w:rsid w:val="00343533"/>
    <w:rsid w:val="003442A6"/>
    <w:rsid w:val="003457F8"/>
    <w:rsid w:val="00346E3B"/>
    <w:rsid w:val="003515A9"/>
    <w:rsid w:val="00351A09"/>
    <w:rsid w:val="003521C5"/>
    <w:rsid w:val="003525BF"/>
    <w:rsid w:val="00353235"/>
    <w:rsid w:val="00354660"/>
    <w:rsid w:val="003572FE"/>
    <w:rsid w:val="00360843"/>
    <w:rsid w:val="0036191E"/>
    <w:rsid w:val="00361E5E"/>
    <w:rsid w:val="00362FF6"/>
    <w:rsid w:val="0036309F"/>
    <w:rsid w:val="0036334C"/>
    <w:rsid w:val="003635ED"/>
    <w:rsid w:val="00363D18"/>
    <w:rsid w:val="0036677C"/>
    <w:rsid w:val="00367CA0"/>
    <w:rsid w:val="00367CA8"/>
    <w:rsid w:val="00370005"/>
    <w:rsid w:val="00371814"/>
    <w:rsid w:val="00372C64"/>
    <w:rsid w:val="00372FE9"/>
    <w:rsid w:val="00373CAE"/>
    <w:rsid w:val="0037446A"/>
    <w:rsid w:val="00374E34"/>
    <w:rsid w:val="00374F0B"/>
    <w:rsid w:val="0037673A"/>
    <w:rsid w:val="0038126F"/>
    <w:rsid w:val="003821CB"/>
    <w:rsid w:val="00382559"/>
    <w:rsid w:val="00382A3E"/>
    <w:rsid w:val="00382A98"/>
    <w:rsid w:val="00382DB2"/>
    <w:rsid w:val="003841FF"/>
    <w:rsid w:val="0038568B"/>
    <w:rsid w:val="00385BA5"/>
    <w:rsid w:val="00386141"/>
    <w:rsid w:val="00391E2A"/>
    <w:rsid w:val="0039207B"/>
    <w:rsid w:val="00393165"/>
    <w:rsid w:val="0039396C"/>
    <w:rsid w:val="00394058"/>
    <w:rsid w:val="00394E47"/>
    <w:rsid w:val="003950E5"/>
    <w:rsid w:val="00395AD3"/>
    <w:rsid w:val="00395B9B"/>
    <w:rsid w:val="003969DB"/>
    <w:rsid w:val="003975DC"/>
    <w:rsid w:val="003978A1"/>
    <w:rsid w:val="003A17ED"/>
    <w:rsid w:val="003A29D8"/>
    <w:rsid w:val="003A2BA8"/>
    <w:rsid w:val="003A3639"/>
    <w:rsid w:val="003A4778"/>
    <w:rsid w:val="003A4E84"/>
    <w:rsid w:val="003A5DB7"/>
    <w:rsid w:val="003A73C0"/>
    <w:rsid w:val="003A7C9C"/>
    <w:rsid w:val="003B01BA"/>
    <w:rsid w:val="003B1648"/>
    <w:rsid w:val="003B30D3"/>
    <w:rsid w:val="003B3D6E"/>
    <w:rsid w:val="003B40EE"/>
    <w:rsid w:val="003B4860"/>
    <w:rsid w:val="003B51F0"/>
    <w:rsid w:val="003B56A9"/>
    <w:rsid w:val="003B7AD2"/>
    <w:rsid w:val="003C043D"/>
    <w:rsid w:val="003C1703"/>
    <w:rsid w:val="003C2457"/>
    <w:rsid w:val="003C2F98"/>
    <w:rsid w:val="003C4217"/>
    <w:rsid w:val="003C4218"/>
    <w:rsid w:val="003C4488"/>
    <w:rsid w:val="003C4B35"/>
    <w:rsid w:val="003C4D14"/>
    <w:rsid w:val="003C6D69"/>
    <w:rsid w:val="003C7311"/>
    <w:rsid w:val="003C79C2"/>
    <w:rsid w:val="003D0E01"/>
    <w:rsid w:val="003D10F8"/>
    <w:rsid w:val="003D2710"/>
    <w:rsid w:val="003D2AB1"/>
    <w:rsid w:val="003D2CC2"/>
    <w:rsid w:val="003D2E07"/>
    <w:rsid w:val="003D37A5"/>
    <w:rsid w:val="003D42CD"/>
    <w:rsid w:val="003D51C1"/>
    <w:rsid w:val="003D5705"/>
    <w:rsid w:val="003D60BD"/>
    <w:rsid w:val="003D62B6"/>
    <w:rsid w:val="003D6906"/>
    <w:rsid w:val="003D776F"/>
    <w:rsid w:val="003E0920"/>
    <w:rsid w:val="003E12C8"/>
    <w:rsid w:val="003E15B5"/>
    <w:rsid w:val="003E2071"/>
    <w:rsid w:val="003E4368"/>
    <w:rsid w:val="003E5E59"/>
    <w:rsid w:val="003E65DF"/>
    <w:rsid w:val="003E66BD"/>
    <w:rsid w:val="003E7391"/>
    <w:rsid w:val="003E7763"/>
    <w:rsid w:val="003F0901"/>
    <w:rsid w:val="003F0C91"/>
    <w:rsid w:val="003F15AE"/>
    <w:rsid w:val="003F3573"/>
    <w:rsid w:val="003F43D8"/>
    <w:rsid w:val="003F5567"/>
    <w:rsid w:val="003F5577"/>
    <w:rsid w:val="003F5657"/>
    <w:rsid w:val="003F5EEE"/>
    <w:rsid w:val="003F60E8"/>
    <w:rsid w:val="003F635D"/>
    <w:rsid w:val="004004DE"/>
    <w:rsid w:val="00402071"/>
    <w:rsid w:val="00402088"/>
    <w:rsid w:val="00402780"/>
    <w:rsid w:val="0040305F"/>
    <w:rsid w:val="00403739"/>
    <w:rsid w:val="00404642"/>
    <w:rsid w:val="00404CE1"/>
    <w:rsid w:val="00405843"/>
    <w:rsid w:val="00405C74"/>
    <w:rsid w:val="004106E5"/>
    <w:rsid w:val="00410FAC"/>
    <w:rsid w:val="0041239D"/>
    <w:rsid w:val="00412649"/>
    <w:rsid w:val="00412F41"/>
    <w:rsid w:val="00413098"/>
    <w:rsid w:val="00413793"/>
    <w:rsid w:val="00414FE8"/>
    <w:rsid w:val="004151CD"/>
    <w:rsid w:val="004154BE"/>
    <w:rsid w:val="0041730A"/>
    <w:rsid w:val="00420462"/>
    <w:rsid w:val="00420A1B"/>
    <w:rsid w:val="00421E09"/>
    <w:rsid w:val="004236BD"/>
    <w:rsid w:val="0042385E"/>
    <w:rsid w:val="00423989"/>
    <w:rsid w:val="004246EB"/>
    <w:rsid w:val="00425B2A"/>
    <w:rsid w:val="0042780A"/>
    <w:rsid w:val="00427C49"/>
    <w:rsid w:val="00430235"/>
    <w:rsid w:val="00430380"/>
    <w:rsid w:val="00433595"/>
    <w:rsid w:val="00434AF8"/>
    <w:rsid w:val="0043543B"/>
    <w:rsid w:val="00435F25"/>
    <w:rsid w:val="004362FD"/>
    <w:rsid w:val="00437E28"/>
    <w:rsid w:val="004404D4"/>
    <w:rsid w:val="004421E0"/>
    <w:rsid w:val="0044347E"/>
    <w:rsid w:val="0044448A"/>
    <w:rsid w:val="004448EC"/>
    <w:rsid w:val="00445C14"/>
    <w:rsid w:val="004461A6"/>
    <w:rsid w:val="00447617"/>
    <w:rsid w:val="00447A67"/>
    <w:rsid w:val="00450AF0"/>
    <w:rsid w:val="00450C71"/>
    <w:rsid w:val="0045300E"/>
    <w:rsid w:val="00454262"/>
    <w:rsid w:val="0045440B"/>
    <w:rsid w:val="0045489D"/>
    <w:rsid w:val="00454E68"/>
    <w:rsid w:val="004560D8"/>
    <w:rsid w:val="00456206"/>
    <w:rsid w:val="00456A57"/>
    <w:rsid w:val="00460737"/>
    <w:rsid w:val="00460ADB"/>
    <w:rsid w:val="00460AF3"/>
    <w:rsid w:val="00461366"/>
    <w:rsid w:val="00461523"/>
    <w:rsid w:val="00462891"/>
    <w:rsid w:val="00462B5B"/>
    <w:rsid w:val="00462B7A"/>
    <w:rsid w:val="00462F30"/>
    <w:rsid w:val="00463E03"/>
    <w:rsid w:val="00463E0D"/>
    <w:rsid w:val="00465CBB"/>
    <w:rsid w:val="0046601E"/>
    <w:rsid w:val="00466AF7"/>
    <w:rsid w:val="0047067D"/>
    <w:rsid w:val="00471D98"/>
    <w:rsid w:val="0047219E"/>
    <w:rsid w:val="00473128"/>
    <w:rsid w:val="0047313F"/>
    <w:rsid w:val="00474496"/>
    <w:rsid w:val="00475603"/>
    <w:rsid w:val="0047563F"/>
    <w:rsid w:val="00476582"/>
    <w:rsid w:val="00477490"/>
    <w:rsid w:val="0048113B"/>
    <w:rsid w:val="00483400"/>
    <w:rsid w:val="00483729"/>
    <w:rsid w:val="00484191"/>
    <w:rsid w:val="004864AB"/>
    <w:rsid w:val="00487022"/>
    <w:rsid w:val="00487CCD"/>
    <w:rsid w:val="00490412"/>
    <w:rsid w:val="004909DB"/>
    <w:rsid w:val="00490C72"/>
    <w:rsid w:val="00492383"/>
    <w:rsid w:val="004925EF"/>
    <w:rsid w:val="004932FA"/>
    <w:rsid w:val="004937DD"/>
    <w:rsid w:val="00493C2A"/>
    <w:rsid w:val="00494425"/>
    <w:rsid w:val="00494BB7"/>
    <w:rsid w:val="0049508B"/>
    <w:rsid w:val="00495345"/>
    <w:rsid w:val="00495FA9"/>
    <w:rsid w:val="004966BF"/>
    <w:rsid w:val="00496C3A"/>
    <w:rsid w:val="00497BD5"/>
    <w:rsid w:val="004A1DCC"/>
    <w:rsid w:val="004A201C"/>
    <w:rsid w:val="004A21B8"/>
    <w:rsid w:val="004A4A88"/>
    <w:rsid w:val="004A69F7"/>
    <w:rsid w:val="004A6A79"/>
    <w:rsid w:val="004A6EC7"/>
    <w:rsid w:val="004A7151"/>
    <w:rsid w:val="004B08E6"/>
    <w:rsid w:val="004B2447"/>
    <w:rsid w:val="004B24B1"/>
    <w:rsid w:val="004B2E82"/>
    <w:rsid w:val="004B4014"/>
    <w:rsid w:val="004B7848"/>
    <w:rsid w:val="004B786C"/>
    <w:rsid w:val="004C02FD"/>
    <w:rsid w:val="004C1851"/>
    <w:rsid w:val="004C1D35"/>
    <w:rsid w:val="004C2AD2"/>
    <w:rsid w:val="004C2B7F"/>
    <w:rsid w:val="004C4B23"/>
    <w:rsid w:val="004C53AF"/>
    <w:rsid w:val="004C688D"/>
    <w:rsid w:val="004C749F"/>
    <w:rsid w:val="004D000E"/>
    <w:rsid w:val="004D02CD"/>
    <w:rsid w:val="004D28AF"/>
    <w:rsid w:val="004D5353"/>
    <w:rsid w:val="004D5BEC"/>
    <w:rsid w:val="004D646E"/>
    <w:rsid w:val="004E0F2B"/>
    <w:rsid w:val="004E1BDB"/>
    <w:rsid w:val="004E341E"/>
    <w:rsid w:val="004E50FA"/>
    <w:rsid w:val="004E645A"/>
    <w:rsid w:val="004E6744"/>
    <w:rsid w:val="004E7534"/>
    <w:rsid w:val="004F103A"/>
    <w:rsid w:val="004F120F"/>
    <w:rsid w:val="004F16F9"/>
    <w:rsid w:val="004F3D07"/>
    <w:rsid w:val="004F474A"/>
    <w:rsid w:val="004F4CEB"/>
    <w:rsid w:val="004F556C"/>
    <w:rsid w:val="004F628F"/>
    <w:rsid w:val="004F713C"/>
    <w:rsid w:val="004F7CBE"/>
    <w:rsid w:val="005024D9"/>
    <w:rsid w:val="00502560"/>
    <w:rsid w:val="00502E0F"/>
    <w:rsid w:val="00503CF1"/>
    <w:rsid w:val="00505187"/>
    <w:rsid w:val="005060D8"/>
    <w:rsid w:val="00511350"/>
    <w:rsid w:val="00511D99"/>
    <w:rsid w:val="005129B4"/>
    <w:rsid w:val="00512AEC"/>
    <w:rsid w:val="00513241"/>
    <w:rsid w:val="00513A34"/>
    <w:rsid w:val="00513EA8"/>
    <w:rsid w:val="00513EFF"/>
    <w:rsid w:val="005147CE"/>
    <w:rsid w:val="00514F80"/>
    <w:rsid w:val="005156DF"/>
    <w:rsid w:val="00515783"/>
    <w:rsid w:val="005165CE"/>
    <w:rsid w:val="00516F8F"/>
    <w:rsid w:val="005219F8"/>
    <w:rsid w:val="00521D90"/>
    <w:rsid w:val="00521FE2"/>
    <w:rsid w:val="00522B26"/>
    <w:rsid w:val="00523866"/>
    <w:rsid w:val="00524173"/>
    <w:rsid w:val="005255B1"/>
    <w:rsid w:val="005259D3"/>
    <w:rsid w:val="00525AED"/>
    <w:rsid w:val="00525D0E"/>
    <w:rsid w:val="0052612C"/>
    <w:rsid w:val="00526D9F"/>
    <w:rsid w:val="005279FB"/>
    <w:rsid w:val="00530168"/>
    <w:rsid w:val="00530CEF"/>
    <w:rsid w:val="00531DC5"/>
    <w:rsid w:val="00534034"/>
    <w:rsid w:val="00534951"/>
    <w:rsid w:val="00534C6E"/>
    <w:rsid w:val="005359BC"/>
    <w:rsid w:val="00535C18"/>
    <w:rsid w:val="00536CF6"/>
    <w:rsid w:val="00536FC9"/>
    <w:rsid w:val="0053767F"/>
    <w:rsid w:val="00537CBC"/>
    <w:rsid w:val="00537D91"/>
    <w:rsid w:val="00537DEE"/>
    <w:rsid w:val="0054009F"/>
    <w:rsid w:val="00540BBA"/>
    <w:rsid w:val="0054190C"/>
    <w:rsid w:val="00544985"/>
    <w:rsid w:val="00545E76"/>
    <w:rsid w:val="00546008"/>
    <w:rsid w:val="005471EF"/>
    <w:rsid w:val="005477C0"/>
    <w:rsid w:val="00550189"/>
    <w:rsid w:val="00550481"/>
    <w:rsid w:val="0055051B"/>
    <w:rsid w:val="00550694"/>
    <w:rsid w:val="00550CA3"/>
    <w:rsid w:val="00551076"/>
    <w:rsid w:val="00551B7E"/>
    <w:rsid w:val="005525E0"/>
    <w:rsid w:val="00553B0D"/>
    <w:rsid w:val="00554028"/>
    <w:rsid w:val="00554D0E"/>
    <w:rsid w:val="0055760C"/>
    <w:rsid w:val="00560279"/>
    <w:rsid w:val="00562EB1"/>
    <w:rsid w:val="005637B6"/>
    <w:rsid w:val="00563F71"/>
    <w:rsid w:val="0056415F"/>
    <w:rsid w:val="00564344"/>
    <w:rsid w:val="0056488C"/>
    <w:rsid w:val="00564E34"/>
    <w:rsid w:val="005653C1"/>
    <w:rsid w:val="00565913"/>
    <w:rsid w:val="005661BE"/>
    <w:rsid w:val="005700FC"/>
    <w:rsid w:val="005702C3"/>
    <w:rsid w:val="0057244A"/>
    <w:rsid w:val="005725CC"/>
    <w:rsid w:val="0057296D"/>
    <w:rsid w:val="0057335D"/>
    <w:rsid w:val="00574B78"/>
    <w:rsid w:val="00574DF1"/>
    <w:rsid w:val="00577838"/>
    <w:rsid w:val="00580020"/>
    <w:rsid w:val="005810D5"/>
    <w:rsid w:val="0058179F"/>
    <w:rsid w:val="0058388F"/>
    <w:rsid w:val="00584BCE"/>
    <w:rsid w:val="005858D5"/>
    <w:rsid w:val="00586237"/>
    <w:rsid w:val="00586510"/>
    <w:rsid w:val="005868BB"/>
    <w:rsid w:val="00591DDC"/>
    <w:rsid w:val="005936E2"/>
    <w:rsid w:val="005937C2"/>
    <w:rsid w:val="00593B75"/>
    <w:rsid w:val="00595B7A"/>
    <w:rsid w:val="005961B2"/>
    <w:rsid w:val="00597624"/>
    <w:rsid w:val="005A0F0A"/>
    <w:rsid w:val="005A10D5"/>
    <w:rsid w:val="005A18A9"/>
    <w:rsid w:val="005A1C19"/>
    <w:rsid w:val="005A3593"/>
    <w:rsid w:val="005A4235"/>
    <w:rsid w:val="005A461F"/>
    <w:rsid w:val="005A4674"/>
    <w:rsid w:val="005A46EE"/>
    <w:rsid w:val="005A5BCB"/>
    <w:rsid w:val="005A6969"/>
    <w:rsid w:val="005A6C5E"/>
    <w:rsid w:val="005B0099"/>
    <w:rsid w:val="005B0149"/>
    <w:rsid w:val="005B0D29"/>
    <w:rsid w:val="005B148C"/>
    <w:rsid w:val="005B1ABD"/>
    <w:rsid w:val="005B2B05"/>
    <w:rsid w:val="005B4CC9"/>
    <w:rsid w:val="005B50D0"/>
    <w:rsid w:val="005C1633"/>
    <w:rsid w:val="005C1697"/>
    <w:rsid w:val="005C16C8"/>
    <w:rsid w:val="005C1E59"/>
    <w:rsid w:val="005C2333"/>
    <w:rsid w:val="005C30E7"/>
    <w:rsid w:val="005C35EE"/>
    <w:rsid w:val="005C3C95"/>
    <w:rsid w:val="005C49A2"/>
    <w:rsid w:val="005C4EFA"/>
    <w:rsid w:val="005C5537"/>
    <w:rsid w:val="005C6661"/>
    <w:rsid w:val="005C6F41"/>
    <w:rsid w:val="005C799D"/>
    <w:rsid w:val="005D0E65"/>
    <w:rsid w:val="005D227A"/>
    <w:rsid w:val="005D27A0"/>
    <w:rsid w:val="005D34B5"/>
    <w:rsid w:val="005D36C1"/>
    <w:rsid w:val="005D3C87"/>
    <w:rsid w:val="005D412C"/>
    <w:rsid w:val="005D543B"/>
    <w:rsid w:val="005D5D2E"/>
    <w:rsid w:val="005D67B8"/>
    <w:rsid w:val="005D7779"/>
    <w:rsid w:val="005E036E"/>
    <w:rsid w:val="005E081B"/>
    <w:rsid w:val="005E0F17"/>
    <w:rsid w:val="005E1F7D"/>
    <w:rsid w:val="005E2797"/>
    <w:rsid w:val="005E2DBA"/>
    <w:rsid w:val="005E31F1"/>
    <w:rsid w:val="005E32B4"/>
    <w:rsid w:val="005E3519"/>
    <w:rsid w:val="005E37B8"/>
    <w:rsid w:val="005E4A9A"/>
    <w:rsid w:val="005F02DA"/>
    <w:rsid w:val="005F0A42"/>
    <w:rsid w:val="005F0B17"/>
    <w:rsid w:val="005F161B"/>
    <w:rsid w:val="005F1AC6"/>
    <w:rsid w:val="005F35BE"/>
    <w:rsid w:val="005F3C14"/>
    <w:rsid w:val="005F45D7"/>
    <w:rsid w:val="005F4BDB"/>
    <w:rsid w:val="005F5644"/>
    <w:rsid w:val="005F59F2"/>
    <w:rsid w:val="005F6C93"/>
    <w:rsid w:val="00600934"/>
    <w:rsid w:val="00600B7C"/>
    <w:rsid w:val="00600F02"/>
    <w:rsid w:val="00602C7F"/>
    <w:rsid w:val="00603836"/>
    <w:rsid w:val="00603B2E"/>
    <w:rsid w:val="00603CE4"/>
    <w:rsid w:val="006045B5"/>
    <w:rsid w:val="00605034"/>
    <w:rsid w:val="0060600B"/>
    <w:rsid w:val="00606410"/>
    <w:rsid w:val="006068C6"/>
    <w:rsid w:val="006104B2"/>
    <w:rsid w:val="00611636"/>
    <w:rsid w:val="0061175B"/>
    <w:rsid w:val="00611D8A"/>
    <w:rsid w:val="0061203E"/>
    <w:rsid w:val="006124D7"/>
    <w:rsid w:val="00612517"/>
    <w:rsid w:val="006134E2"/>
    <w:rsid w:val="0061393A"/>
    <w:rsid w:val="00614EB3"/>
    <w:rsid w:val="00615C95"/>
    <w:rsid w:val="00617142"/>
    <w:rsid w:val="00617171"/>
    <w:rsid w:val="006172D0"/>
    <w:rsid w:val="006201C4"/>
    <w:rsid w:val="00620E88"/>
    <w:rsid w:val="00621E28"/>
    <w:rsid w:val="00622E24"/>
    <w:rsid w:val="00623BD0"/>
    <w:rsid w:val="00623D17"/>
    <w:rsid w:val="00624315"/>
    <w:rsid w:val="00624767"/>
    <w:rsid w:val="00624829"/>
    <w:rsid w:val="00625345"/>
    <w:rsid w:val="006261AA"/>
    <w:rsid w:val="006265AA"/>
    <w:rsid w:val="0062661B"/>
    <w:rsid w:val="006266C2"/>
    <w:rsid w:val="00626DA8"/>
    <w:rsid w:val="006301CC"/>
    <w:rsid w:val="00630EA2"/>
    <w:rsid w:val="00631103"/>
    <w:rsid w:val="00631108"/>
    <w:rsid w:val="00631746"/>
    <w:rsid w:val="00631C0A"/>
    <w:rsid w:val="006329AF"/>
    <w:rsid w:val="00632E53"/>
    <w:rsid w:val="006332BD"/>
    <w:rsid w:val="00634BF8"/>
    <w:rsid w:val="0063649F"/>
    <w:rsid w:val="00636592"/>
    <w:rsid w:val="00641296"/>
    <w:rsid w:val="00641741"/>
    <w:rsid w:val="00641A07"/>
    <w:rsid w:val="00643B94"/>
    <w:rsid w:val="00643E9B"/>
    <w:rsid w:val="00644071"/>
    <w:rsid w:val="00644107"/>
    <w:rsid w:val="006442DA"/>
    <w:rsid w:val="00644448"/>
    <w:rsid w:val="0064448E"/>
    <w:rsid w:val="00645C69"/>
    <w:rsid w:val="006465DA"/>
    <w:rsid w:val="00646910"/>
    <w:rsid w:val="00646BE3"/>
    <w:rsid w:val="00647088"/>
    <w:rsid w:val="006477CF"/>
    <w:rsid w:val="00647BEA"/>
    <w:rsid w:val="00650686"/>
    <w:rsid w:val="006530A8"/>
    <w:rsid w:val="006541EB"/>
    <w:rsid w:val="00654765"/>
    <w:rsid w:val="0065498F"/>
    <w:rsid w:val="006558B8"/>
    <w:rsid w:val="00655964"/>
    <w:rsid w:val="0065637A"/>
    <w:rsid w:val="00656B04"/>
    <w:rsid w:val="00657A24"/>
    <w:rsid w:val="006607CC"/>
    <w:rsid w:val="00660CC3"/>
    <w:rsid w:val="00662D1D"/>
    <w:rsid w:val="006635F3"/>
    <w:rsid w:val="00663BC4"/>
    <w:rsid w:val="0066475A"/>
    <w:rsid w:val="00664F0B"/>
    <w:rsid w:val="00665B41"/>
    <w:rsid w:val="00666840"/>
    <w:rsid w:val="0066684B"/>
    <w:rsid w:val="00667CA8"/>
    <w:rsid w:val="00667EE6"/>
    <w:rsid w:val="0067047D"/>
    <w:rsid w:val="00670848"/>
    <w:rsid w:val="006730D5"/>
    <w:rsid w:val="00674113"/>
    <w:rsid w:val="00674183"/>
    <w:rsid w:val="00677C5B"/>
    <w:rsid w:val="006800F1"/>
    <w:rsid w:val="00680386"/>
    <w:rsid w:val="00680506"/>
    <w:rsid w:val="006839CF"/>
    <w:rsid w:val="00684CFF"/>
    <w:rsid w:val="006859F7"/>
    <w:rsid w:val="00685D42"/>
    <w:rsid w:val="00685EEC"/>
    <w:rsid w:val="00686972"/>
    <w:rsid w:val="006869A1"/>
    <w:rsid w:val="00686AE1"/>
    <w:rsid w:val="00686EBF"/>
    <w:rsid w:val="00687E05"/>
    <w:rsid w:val="00690472"/>
    <w:rsid w:val="00692315"/>
    <w:rsid w:val="0069368B"/>
    <w:rsid w:val="00694296"/>
    <w:rsid w:val="00695283"/>
    <w:rsid w:val="006A061D"/>
    <w:rsid w:val="006A0C3D"/>
    <w:rsid w:val="006A0F3B"/>
    <w:rsid w:val="006A1536"/>
    <w:rsid w:val="006A1F75"/>
    <w:rsid w:val="006A588A"/>
    <w:rsid w:val="006A5A2A"/>
    <w:rsid w:val="006A60AE"/>
    <w:rsid w:val="006A71FA"/>
    <w:rsid w:val="006B0AD0"/>
    <w:rsid w:val="006B16D5"/>
    <w:rsid w:val="006B1F49"/>
    <w:rsid w:val="006B2CAC"/>
    <w:rsid w:val="006B33FB"/>
    <w:rsid w:val="006B3E5E"/>
    <w:rsid w:val="006B47FF"/>
    <w:rsid w:val="006B5935"/>
    <w:rsid w:val="006B5B80"/>
    <w:rsid w:val="006B5D35"/>
    <w:rsid w:val="006B641A"/>
    <w:rsid w:val="006B65BC"/>
    <w:rsid w:val="006C1D57"/>
    <w:rsid w:val="006C25D6"/>
    <w:rsid w:val="006C48A2"/>
    <w:rsid w:val="006C48DB"/>
    <w:rsid w:val="006C56AB"/>
    <w:rsid w:val="006C6DB7"/>
    <w:rsid w:val="006C7E0D"/>
    <w:rsid w:val="006C7E87"/>
    <w:rsid w:val="006D22C8"/>
    <w:rsid w:val="006D2514"/>
    <w:rsid w:val="006D3441"/>
    <w:rsid w:val="006D5133"/>
    <w:rsid w:val="006D5495"/>
    <w:rsid w:val="006D5757"/>
    <w:rsid w:val="006D595A"/>
    <w:rsid w:val="006D6119"/>
    <w:rsid w:val="006D6DD8"/>
    <w:rsid w:val="006D70FD"/>
    <w:rsid w:val="006D7B78"/>
    <w:rsid w:val="006E0DA8"/>
    <w:rsid w:val="006E1BC7"/>
    <w:rsid w:val="006E28A8"/>
    <w:rsid w:val="006E4159"/>
    <w:rsid w:val="006E4793"/>
    <w:rsid w:val="006E4FED"/>
    <w:rsid w:val="006E5159"/>
    <w:rsid w:val="006E5431"/>
    <w:rsid w:val="006E6DF5"/>
    <w:rsid w:val="006E7135"/>
    <w:rsid w:val="006E7D02"/>
    <w:rsid w:val="006F1A79"/>
    <w:rsid w:val="006F207F"/>
    <w:rsid w:val="006F22DA"/>
    <w:rsid w:val="006F4F48"/>
    <w:rsid w:val="006F64C5"/>
    <w:rsid w:val="006F7562"/>
    <w:rsid w:val="007008C9"/>
    <w:rsid w:val="00701454"/>
    <w:rsid w:val="0070149F"/>
    <w:rsid w:val="00701C2A"/>
    <w:rsid w:val="00701E3E"/>
    <w:rsid w:val="00702BCA"/>
    <w:rsid w:val="00702F81"/>
    <w:rsid w:val="00703A3D"/>
    <w:rsid w:val="007043B0"/>
    <w:rsid w:val="0070649F"/>
    <w:rsid w:val="00706DDB"/>
    <w:rsid w:val="00706F9B"/>
    <w:rsid w:val="00707102"/>
    <w:rsid w:val="007074F8"/>
    <w:rsid w:val="00707C83"/>
    <w:rsid w:val="00711329"/>
    <w:rsid w:val="00711997"/>
    <w:rsid w:val="00712F59"/>
    <w:rsid w:val="007131BF"/>
    <w:rsid w:val="0071349F"/>
    <w:rsid w:val="00713708"/>
    <w:rsid w:val="00714866"/>
    <w:rsid w:val="00714BC7"/>
    <w:rsid w:val="00716090"/>
    <w:rsid w:val="0071682A"/>
    <w:rsid w:val="00716C98"/>
    <w:rsid w:val="00717CAD"/>
    <w:rsid w:val="00720053"/>
    <w:rsid w:val="00720E89"/>
    <w:rsid w:val="00721671"/>
    <w:rsid w:val="00722303"/>
    <w:rsid w:val="00722BA3"/>
    <w:rsid w:val="00723458"/>
    <w:rsid w:val="007239A9"/>
    <w:rsid w:val="00724962"/>
    <w:rsid w:val="00725E60"/>
    <w:rsid w:val="00730A92"/>
    <w:rsid w:val="007315D0"/>
    <w:rsid w:val="00731FB2"/>
    <w:rsid w:val="00732632"/>
    <w:rsid w:val="00732A73"/>
    <w:rsid w:val="00733583"/>
    <w:rsid w:val="007344AD"/>
    <w:rsid w:val="007353F0"/>
    <w:rsid w:val="007354B0"/>
    <w:rsid w:val="00735DD7"/>
    <w:rsid w:val="0073785A"/>
    <w:rsid w:val="00740C4D"/>
    <w:rsid w:val="007426B6"/>
    <w:rsid w:val="007447D0"/>
    <w:rsid w:val="00744C62"/>
    <w:rsid w:val="00745360"/>
    <w:rsid w:val="00746106"/>
    <w:rsid w:val="00752369"/>
    <w:rsid w:val="007523D8"/>
    <w:rsid w:val="007526D0"/>
    <w:rsid w:val="00752B4A"/>
    <w:rsid w:val="00752CE2"/>
    <w:rsid w:val="00752E9E"/>
    <w:rsid w:val="00754FBD"/>
    <w:rsid w:val="0075521A"/>
    <w:rsid w:val="00756B51"/>
    <w:rsid w:val="007579DD"/>
    <w:rsid w:val="00757B9B"/>
    <w:rsid w:val="00760249"/>
    <w:rsid w:val="00761503"/>
    <w:rsid w:val="00761F4C"/>
    <w:rsid w:val="007627E8"/>
    <w:rsid w:val="00765706"/>
    <w:rsid w:val="007663CD"/>
    <w:rsid w:val="00767F57"/>
    <w:rsid w:val="00770A16"/>
    <w:rsid w:val="00770BB2"/>
    <w:rsid w:val="0077116D"/>
    <w:rsid w:val="0077121C"/>
    <w:rsid w:val="00771C4C"/>
    <w:rsid w:val="00772C3C"/>
    <w:rsid w:val="00772F64"/>
    <w:rsid w:val="007743A5"/>
    <w:rsid w:val="00774BF0"/>
    <w:rsid w:val="00774E0D"/>
    <w:rsid w:val="007752AA"/>
    <w:rsid w:val="0077595A"/>
    <w:rsid w:val="007760C7"/>
    <w:rsid w:val="007761B3"/>
    <w:rsid w:val="007761DF"/>
    <w:rsid w:val="00776636"/>
    <w:rsid w:val="00776C94"/>
    <w:rsid w:val="007774EF"/>
    <w:rsid w:val="007804A0"/>
    <w:rsid w:val="00781A89"/>
    <w:rsid w:val="00781BA3"/>
    <w:rsid w:val="00781DD6"/>
    <w:rsid w:val="007821BE"/>
    <w:rsid w:val="00782ACC"/>
    <w:rsid w:val="00783ACD"/>
    <w:rsid w:val="007850B3"/>
    <w:rsid w:val="00785A25"/>
    <w:rsid w:val="00785A34"/>
    <w:rsid w:val="00785D52"/>
    <w:rsid w:val="00785F91"/>
    <w:rsid w:val="0078658B"/>
    <w:rsid w:val="00786D99"/>
    <w:rsid w:val="007870C8"/>
    <w:rsid w:val="0078728E"/>
    <w:rsid w:val="00787B7A"/>
    <w:rsid w:val="00787D78"/>
    <w:rsid w:val="007906AE"/>
    <w:rsid w:val="00792021"/>
    <w:rsid w:val="007932D6"/>
    <w:rsid w:val="007937B2"/>
    <w:rsid w:val="00793A79"/>
    <w:rsid w:val="007945C0"/>
    <w:rsid w:val="00795BB8"/>
    <w:rsid w:val="00796C86"/>
    <w:rsid w:val="007971D1"/>
    <w:rsid w:val="007A0555"/>
    <w:rsid w:val="007A165A"/>
    <w:rsid w:val="007A185F"/>
    <w:rsid w:val="007A2500"/>
    <w:rsid w:val="007A2CBD"/>
    <w:rsid w:val="007A5D48"/>
    <w:rsid w:val="007A664A"/>
    <w:rsid w:val="007B11AB"/>
    <w:rsid w:val="007B2A7D"/>
    <w:rsid w:val="007B3936"/>
    <w:rsid w:val="007B4BE2"/>
    <w:rsid w:val="007B4CA7"/>
    <w:rsid w:val="007B540E"/>
    <w:rsid w:val="007B5F61"/>
    <w:rsid w:val="007B63F7"/>
    <w:rsid w:val="007B666F"/>
    <w:rsid w:val="007C134A"/>
    <w:rsid w:val="007C16FE"/>
    <w:rsid w:val="007C1E64"/>
    <w:rsid w:val="007C3317"/>
    <w:rsid w:val="007C357A"/>
    <w:rsid w:val="007C38D9"/>
    <w:rsid w:val="007C44BD"/>
    <w:rsid w:val="007C4A4E"/>
    <w:rsid w:val="007C4A71"/>
    <w:rsid w:val="007C5642"/>
    <w:rsid w:val="007C5E76"/>
    <w:rsid w:val="007C663E"/>
    <w:rsid w:val="007C776A"/>
    <w:rsid w:val="007C78AA"/>
    <w:rsid w:val="007D069B"/>
    <w:rsid w:val="007D1915"/>
    <w:rsid w:val="007D1B60"/>
    <w:rsid w:val="007D23D5"/>
    <w:rsid w:val="007D24E7"/>
    <w:rsid w:val="007D3739"/>
    <w:rsid w:val="007D40E9"/>
    <w:rsid w:val="007D58D1"/>
    <w:rsid w:val="007D6379"/>
    <w:rsid w:val="007D644B"/>
    <w:rsid w:val="007D7170"/>
    <w:rsid w:val="007D73C6"/>
    <w:rsid w:val="007E0F9A"/>
    <w:rsid w:val="007E16D5"/>
    <w:rsid w:val="007E1EC7"/>
    <w:rsid w:val="007E22EC"/>
    <w:rsid w:val="007E3995"/>
    <w:rsid w:val="007E3D1A"/>
    <w:rsid w:val="007E4AF0"/>
    <w:rsid w:val="007E57FA"/>
    <w:rsid w:val="007E5BF8"/>
    <w:rsid w:val="007E5F6D"/>
    <w:rsid w:val="007E72B3"/>
    <w:rsid w:val="007E7388"/>
    <w:rsid w:val="007F04E4"/>
    <w:rsid w:val="007F079C"/>
    <w:rsid w:val="007F2BC4"/>
    <w:rsid w:val="007F5C92"/>
    <w:rsid w:val="007F5DBD"/>
    <w:rsid w:val="007F6079"/>
    <w:rsid w:val="007F6648"/>
    <w:rsid w:val="007F7517"/>
    <w:rsid w:val="007F75F9"/>
    <w:rsid w:val="00801984"/>
    <w:rsid w:val="00803485"/>
    <w:rsid w:val="0080384A"/>
    <w:rsid w:val="008065A1"/>
    <w:rsid w:val="00807445"/>
    <w:rsid w:val="0081009E"/>
    <w:rsid w:val="00810EC5"/>
    <w:rsid w:val="00811B5A"/>
    <w:rsid w:val="008124F9"/>
    <w:rsid w:val="0081261B"/>
    <w:rsid w:val="0081277A"/>
    <w:rsid w:val="0081485B"/>
    <w:rsid w:val="00814E56"/>
    <w:rsid w:val="00816BDA"/>
    <w:rsid w:val="00817C4D"/>
    <w:rsid w:val="00817CC5"/>
    <w:rsid w:val="008207A1"/>
    <w:rsid w:val="008223B8"/>
    <w:rsid w:val="00822C08"/>
    <w:rsid w:val="00823C29"/>
    <w:rsid w:val="00824031"/>
    <w:rsid w:val="008247F8"/>
    <w:rsid w:val="00824E8F"/>
    <w:rsid w:val="00826858"/>
    <w:rsid w:val="0083077B"/>
    <w:rsid w:val="00830AD1"/>
    <w:rsid w:val="00830F2A"/>
    <w:rsid w:val="008310F2"/>
    <w:rsid w:val="00831623"/>
    <w:rsid w:val="00831626"/>
    <w:rsid w:val="00831C4D"/>
    <w:rsid w:val="00831D25"/>
    <w:rsid w:val="00832958"/>
    <w:rsid w:val="008329B5"/>
    <w:rsid w:val="00836BAF"/>
    <w:rsid w:val="008370D9"/>
    <w:rsid w:val="00837886"/>
    <w:rsid w:val="00837CE5"/>
    <w:rsid w:val="00840015"/>
    <w:rsid w:val="00840926"/>
    <w:rsid w:val="00840E5C"/>
    <w:rsid w:val="00840ED2"/>
    <w:rsid w:val="00841ABC"/>
    <w:rsid w:val="008440CF"/>
    <w:rsid w:val="00844548"/>
    <w:rsid w:val="00847E07"/>
    <w:rsid w:val="00850E26"/>
    <w:rsid w:val="00851DCD"/>
    <w:rsid w:val="00853A3C"/>
    <w:rsid w:val="00857058"/>
    <w:rsid w:val="008570C6"/>
    <w:rsid w:val="0086061D"/>
    <w:rsid w:val="0086123B"/>
    <w:rsid w:val="008621AA"/>
    <w:rsid w:val="008633D9"/>
    <w:rsid w:val="00863BA2"/>
    <w:rsid w:val="00866197"/>
    <w:rsid w:val="00870070"/>
    <w:rsid w:val="0087080F"/>
    <w:rsid w:val="00870A58"/>
    <w:rsid w:val="0087108D"/>
    <w:rsid w:val="00871AE4"/>
    <w:rsid w:val="00874809"/>
    <w:rsid w:val="00874C05"/>
    <w:rsid w:val="0087527B"/>
    <w:rsid w:val="00875474"/>
    <w:rsid w:val="008759EE"/>
    <w:rsid w:val="00881717"/>
    <w:rsid w:val="00881DC1"/>
    <w:rsid w:val="00882106"/>
    <w:rsid w:val="008823F9"/>
    <w:rsid w:val="0088342E"/>
    <w:rsid w:val="0088356A"/>
    <w:rsid w:val="00883600"/>
    <w:rsid w:val="00883FED"/>
    <w:rsid w:val="00885033"/>
    <w:rsid w:val="008852E3"/>
    <w:rsid w:val="0088562B"/>
    <w:rsid w:val="00885FD2"/>
    <w:rsid w:val="00887147"/>
    <w:rsid w:val="00887996"/>
    <w:rsid w:val="0089054A"/>
    <w:rsid w:val="008906EB"/>
    <w:rsid w:val="00892622"/>
    <w:rsid w:val="00893126"/>
    <w:rsid w:val="0089688D"/>
    <w:rsid w:val="00896F41"/>
    <w:rsid w:val="008971BC"/>
    <w:rsid w:val="00897A14"/>
    <w:rsid w:val="008A0DB3"/>
    <w:rsid w:val="008A1589"/>
    <w:rsid w:val="008A1CF2"/>
    <w:rsid w:val="008A201B"/>
    <w:rsid w:val="008A40FA"/>
    <w:rsid w:val="008A4B26"/>
    <w:rsid w:val="008A5ACF"/>
    <w:rsid w:val="008A5E89"/>
    <w:rsid w:val="008A6828"/>
    <w:rsid w:val="008A7836"/>
    <w:rsid w:val="008B0C60"/>
    <w:rsid w:val="008B126D"/>
    <w:rsid w:val="008B3A97"/>
    <w:rsid w:val="008B4EAD"/>
    <w:rsid w:val="008C0241"/>
    <w:rsid w:val="008C112F"/>
    <w:rsid w:val="008C183E"/>
    <w:rsid w:val="008C2377"/>
    <w:rsid w:val="008C3631"/>
    <w:rsid w:val="008C4C78"/>
    <w:rsid w:val="008C51FC"/>
    <w:rsid w:val="008C5526"/>
    <w:rsid w:val="008C5CF4"/>
    <w:rsid w:val="008C6223"/>
    <w:rsid w:val="008C79EC"/>
    <w:rsid w:val="008C7AE7"/>
    <w:rsid w:val="008C7B21"/>
    <w:rsid w:val="008C7BBD"/>
    <w:rsid w:val="008C7CCA"/>
    <w:rsid w:val="008D1010"/>
    <w:rsid w:val="008D32E4"/>
    <w:rsid w:val="008D395E"/>
    <w:rsid w:val="008D4248"/>
    <w:rsid w:val="008D67B3"/>
    <w:rsid w:val="008D7042"/>
    <w:rsid w:val="008D7758"/>
    <w:rsid w:val="008E0B77"/>
    <w:rsid w:val="008E214B"/>
    <w:rsid w:val="008E49C5"/>
    <w:rsid w:val="008E49ED"/>
    <w:rsid w:val="008E4D43"/>
    <w:rsid w:val="008E6896"/>
    <w:rsid w:val="008E6A87"/>
    <w:rsid w:val="008E76D8"/>
    <w:rsid w:val="008E7FA0"/>
    <w:rsid w:val="008F0A85"/>
    <w:rsid w:val="008F2422"/>
    <w:rsid w:val="008F3454"/>
    <w:rsid w:val="008F753C"/>
    <w:rsid w:val="008F7555"/>
    <w:rsid w:val="008F7DCF"/>
    <w:rsid w:val="00900FBF"/>
    <w:rsid w:val="009010E3"/>
    <w:rsid w:val="009019DE"/>
    <w:rsid w:val="00901FAD"/>
    <w:rsid w:val="009020D6"/>
    <w:rsid w:val="0090225D"/>
    <w:rsid w:val="00902FF3"/>
    <w:rsid w:val="00903545"/>
    <w:rsid w:val="00903771"/>
    <w:rsid w:val="00904130"/>
    <w:rsid w:val="0090478D"/>
    <w:rsid w:val="00904ADD"/>
    <w:rsid w:val="0090545D"/>
    <w:rsid w:val="00905DEA"/>
    <w:rsid w:val="00906D5F"/>
    <w:rsid w:val="00907525"/>
    <w:rsid w:val="00907BEF"/>
    <w:rsid w:val="00910E8F"/>
    <w:rsid w:val="00911A04"/>
    <w:rsid w:val="00911F07"/>
    <w:rsid w:val="00914594"/>
    <w:rsid w:val="0091464D"/>
    <w:rsid w:val="009147E1"/>
    <w:rsid w:val="00914EE2"/>
    <w:rsid w:val="0091509E"/>
    <w:rsid w:val="00915159"/>
    <w:rsid w:val="0091694D"/>
    <w:rsid w:val="0092045A"/>
    <w:rsid w:val="0092083C"/>
    <w:rsid w:val="009215FB"/>
    <w:rsid w:val="009219AC"/>
    <w:rsid w:val="00922411"/>
    <w:rsid w:val="00922846"/>
    <w:rsid w:val="009228EA"/>
    <w:rsid w:val="00923EF3"/>
    <w:rsid w:val="00924068"/>
    <w:rsid w:val="0092471C"/>
    <w:rsid w:val="0092494D"/>
    <w:rsid w:val="0092581C"/>
    <w:rsid w:val="0092687D"/>
    <w:rsid w:val="009279E6"/>
    <w:rsid w:val="009305EB"/>
    <w:rsid w:val="00930A69"/>
    <w:rsid w:val="00930B63"/>
    <w:rsid w:val="00930B9C"/>
    <w:rsid w:val="00930F01"/>
    <w:rsid w:val="00931896"/>
    <w:rsid w:val="00931EA0"/>
    <w:rsid w:val="00933158"/>
    <w:rsid w:val="00933ED9"/>
    <w:rsid w:val="00933F14"/>
    <w:rsid w:val="009346E9"/>
    <w:rsid w:val="0093635C"/>
    <w:rsid w:val="00936B4B"/>
    <w:rsid w:val="00937D4D"/>
    <w:rsid w:val="009408E3"/>
    <w:rsid w:val="0094142A"/>
    <w:rsid w:val="00941541"/>
    <w:rsid w:val="009440D6"/>
    <w:rsid w:val="009441C8"/>
    <w:rsid w:val="00944FFF"/>
    <w:rsid w:val="00945345"/>
    <w:rsid w:val="00945693"/>
    <w:rsid w:val="0094783A"/>
    <w:rsid w:val="00952A9F"/>
    <w:rsid w:val="00955F97"/>
    <w:rsid w:val="009576A0"/>
    <w:rsid w:val="009604EC"/>
    <w:rsid w:val="0096051E"/>
    <w:rsid w:val="009606A2"/>
    <w:rsid w:val="009617BD"/>
    <w:rsid w:val="00963E36"/>
    <w:rsid w:val="0096579C"/>
    <w:rsid w:val="009658C0"/>
    <w:rsid w:val="00965F9D"/>
    <w:rsid w:val="00966E9E"/>
    <w:rsid w:val="009701ED"/>
    <w:rsid w:val="00970BBA"/>
    <w:rsid w:val="00971122"/>
    <w:rsid w:val="0097157B"/>
    <w:rsid w:val="0097274E"/>
    <w:rsid w:val="00972D34"/>
    <w:rsid w:val="00975AE0"/>
    <w:rsid w:val="00975BCF"/>
    <w:rsid w:val="009767F2"/>
    <w:rsid w:val="00976B98"/>
    <w:rsid w:val="009800EA"/>
    <w:rsid w:val="009801E8"/>
    <w:rsid w:val="00980828"/>
    <w:rsid w:val="00980E8B"/>
    <w:rsid w:val="00982B74"/>
    <w:rsid w:val="00983B46"/>
    <w:rsid w:val="009861A1"/>
    <w:rsid w:val="00986CB7"/>
    <w:rsid w:val="00990735"/>
    <w:rsid w:val="009920EF"/>
    <w:rsid w:val="0099283A"/>
    <w:rsid w:val="00993673"/>
    <w:rsid w:val="0099451E"/>
    <w:rsid w:val="0099564D"/>
    <w:rsid w:val="009957F0"/>
    <w:rsid w:val="00995947"/>
    <w:rsid w:val="00995BCE"/>
    <w:rsid w:val="00996D51"/>
    <w:rsid w:val="009972B9"/>
    <w:rsid w:val="00997CF4"/>
    <w:rsid w:val="009A0BCD"/>
    <w:rsid w:val="009A13BF"/>
    <w:rsid w:val="009A1CCD"/>
    <w:rsid w:val="009A1D34"/>
    <w:rsid w:val="009A2089"/>
    <w:rsid w:val="009A383D"/>
    <w:rsid w:val="009A4F5E"/>
    <w:rsid w:val="009A5835"/>
    <w:rsid w:val="009A638C"/>
    <w:rsid w:val="009A64D5"/>
    <w:rsid w:val="009A71AD"/>
    <w:rsid w:val="009A71B5"/>
    <w:rsid w:val="009A74CC"/>
    <w:rsid w:val="009A77AF"/>
    <w:rsid w:val="009A7F0A"/>
    <w:rsid w:val="009B0DC0"/>
    <w:rsid w:val="009B1402"/>
    <w:rsid w:val="009B2C4F"/>
    <w:rsid w:val="009B32CB"/>
    <w:rsid w:val="009B3BBE"/>
    <w:rsid w:val="009B4A29"/>
    <w:rsid w:val="009B59AF"/>
    <w:rsid w:val="009B63AF"/>
    <w:rsid w:val="009B6877"/>
    <w:rsid w:val="009B6E5D"/>
    <w:rsid w:val="009B70C9"/>
    <w:rsid w:val="009B74F8"/>
    <w:rsid w:val="009C063E"/>
    <w:rsid w:val="009C08D7"/>
    <w:rsid w:val="009C1DB3"/>
    <w:rsid w:val="009C1F5B"/>
    <w:rsid w:val="009C2A64"/>
    <w:rsid w:val="009C55CE"/>
    <w:rsid w:val="009C6B5E"/>
    <w:rsid w:val="009C746D"/>
    <w:rsid w:val="009D0CCC"/>
    <w:rsid w:val="009D1EE2"/>
    <w:rsid w:val="009D2091"/>
    <w:rsid w:val="009D3043"/>
    <w:rsid w:val="009D3386"/>
    <w:rsid w:val="009D3D01"/>
    <w:rsid w:val="009D4618"/>
    <w:rsid w:val="009D6448"/>
    <w:rsid w:val="009D798E"/>
    <w:rsid w:val="009D7F06"/>
    <w:rsid w:val="009E024A"/>
    <w:rsid w:val="009E0285"/>
    <w:rsid w:val="009E12CD"/>
    <w:rsid w:val="009E1385"/>
    <w:rsid w:val="009E2988"/>
    <w:rsid w:val="009E31A2"/>
    <w:rsid w:val="009E37C5"/>
    <w:rsid w:val="009E38EF"/>
    <w:rsid w:val="009E47AE"/>
    <w:rsid w:val="009E5900"/>
    <w:rsid w:val="009E6030"/>
    <w:rsid w:val="009E64FB"/>
    <w:rsid w:val="009E68F3"/>
    <w:rsid w:val="009F06F2"/>
    <w:rsid w:val="009F0823"/>
    <w:rsid w:val="009F160B"/>
    <w:rsid w:val="009F26A4"/>
    <w:rsid w:val="009F27F2"/>
    <w:rsid w:val="009F2DAC"/>
    <w:rsid w:val="009F2F95"/>
    <w:rsid w:val="009F33BE"/>
    <w:rsid w:val="009F46BB"/>
    <w:rsid w:val="009F4A94"/>
    <w:rsid w:val="009F5AA7"/>
    <w:rsid w:val="009F6B1D"/>
    <w:rsid w:val="009F728C"/>
    <w:rsid w:val="009F742B"/>
    <w:rsid w:val="00A00293"/>
    <w:rsid w:val="00A00540"/>
    <w:rsid w:val="00A010DD"/>
    <w:rsid w:val="00A012B4"/>
    <w:rsid w:val="00A018D4"/>
    <w:rsid w:val="00A03A4C"/>
    <w:rsid w:val="00A047F8"/>
    <w:rsid w:val="00A04A6C"/>
    <w:rsid w:val="00A054FE"/>
    <w:rsid w:val="00A055C6"/>
    <w:rsid w:val="00A05EF6"/>
    <w:rsid w:val="00A07202"/>
    <w:rsid w:val="00A0735E"/>
    <w:rsid w:val="00A073B8"/>
    <w:rsid w:val="00A07546"/>
    <w:rsid w:val="00A1015F"/>
    <w:rsid w:val="00A105AE"/>
    <w:rsid w:val="00A10CA7"/>
    <w:rsid w:val="00A10CEE"/>
    <w:rsid w:val="00A1135E"/>
    <w:rsid w:val="00A13E40"/>
    <w:rsid w:val="00A14B32"/>
    <w:rsid w:val="00A14D4C"/>
    <w:rsid w:val="00A1585E"/>
    <w:rsid w:val="00A15C2F"/>
    <w:rsid w:val="00A17587"/>
    <w:rsid w:val="00A176DE"/>
    <w:rsid w:val="00A21FA4"/>
    <w:rsid w:val="00A22D83"/>
    <w:rsid w:val="00A23808"/>
    <w:rsid w:val="00A23D9A"/>
    <w:rsid w:val="00A267C5"/>
    <w:rsid w:val="00A2719F"/>
    <w:rsid w:val="00A30197"/>
    <w:rsid w:val="00A30717"/>
    <w:rsid w:val="00A30A22"/>
    <w:rsid w:val="00A30B4F"/>
    <w:rsid w:val="00A328CE"/>
    <w:rsid w:val="00A34774"/>
    <w:rsid w:val="00A347F7"/>
    <w:rsid w:val="00A348A9"/>
    <w:rsid w:val="00A34996"/>
    <w:rsid w:val="00A34C6A"/>
    <w:rsid w:val="00A34DB8"/>
    <w:rsid w:val="00A360E9"/>
    <w:rsid w:val="00A369D9"/>
    <w:rsid w:val="00A369F8"/>
    <w:rsid w:val="00A372E4"/>
    <w:rsid w:val="00A40ABC"/>
    <w:rsid w:val="00A40B8F"/>
    <w:rsid w:val="00A412E9"/>
    <w:rsid w:val="00A412EB"/>
    <w:rsid w:val="00A41EC7"/>
    <w:rsid w:val="00A42896"/>
    <w:rsid w:val="00A43C84"/>
    <w:rsid w:val="00A442D3"/>
    <w:rsid w:val="00A44AC1"/>
    <w:rsid w:val="00A45143"/>
    <w:rsid w:val="00A45BF9"/>
    <w:rsid w:val="00A45FB1"/>
    <w:rsid w:val="00A46EC3"/>
    <w:rsid w:val="00A5029C"/>
    <w:rsid w:val="00A5087B"/>
    <w:rsid w:val="00A508B5"/>
    <w:rsid w:val="00A50950"/>
    <w:rsid w:val="00A510E6"/>
    <w:rsid w:val="00A51251"/>
    <w:rsid w:val="00A51FE2"/>
    <w:rsid w:val="00A53C8C"/>
    <w:rsid w:val="00A54B14"/>
    <w:rsid w:val="00A54F46"/>
    <w:rsid w:val="00A554F3"/>
    <w:rsid w:val="00A6053A"/>
    <w:rsid w:val="00A63745"/>
    <w:rsid w:val="00A638F3"/>
    <w:rsid w:val="00A6396A"/>
    <w:rsid w:val="00A63C01"/>
    <w:rsid w:val="00A64088"/>
    <w:rsid w:val="00A6448D"/>
    <w:rsid w:val="00A6548F"/>
    <w:rsid w:val="00A66A12"/>
    <w:rsid w:val="00A708E0"/>
    <w:rsid w:val="00A7209E"/>
    <w:rsid w:val="00A7218B"/>
    <w:rsid w:val="00A72DA1"/>
    <w:rsid w:val="00A72F11"/>
    <w:rsid w:val="00A72F42"/>
    <w:rsid w:val="00A7343C"/>
    <w:rsid w:val="00A759E4"/>
    <w:rsid w:val="00A75C0B"/>
    <w:rsid w:val="00A75D88"/>
    <w:rsid w:val="00A75E33"/>
    <w:rsid w:val="00A77B04"/>
    <w:rsid w:val="00A810A1"/>
    <w:rsid w:val="00A81401"/>
    <w:rsid w:val="00A82DA9"/>
    <w:rsid w:val="00A83144"/>
    <w:rsid w:val="00A835D0"/>
    <w:rsid w:val="00A83C31"/>
    <w:rsid w:val="00A83E3D"/>
    <w:rsid w:val="00A846EB"/>
    <w:rsid w:val="00A848A6"/>
    <w:rsid w:val="00A84B4A"/>
    <w:rsid w:val="00A85C41"/>
    <w:rsid w:val="00A91C8E"/>
    <w:rsid w:val="00A93EBE"/>
    <w:rsid w:val="00A95014"/>
    <w:rsid w:val="00A95032"/>
    <w:rsid w:val="00A95DFA"/>
    <w:rsid w:val="00A9766A"/>
    <w:rsid w:val="00A97DF2"/>
    <w:rsid w:val="00AA035E"/>
    <w:rsid w:val="00AA043D"/>
    <w:rsid w:val="00AA0EEA"/>
    <w:rsid w:val="00AA2496"/>
    <w:rsid w:val="00AA2943"/>
    <w:rsid w:val="00AA4430"/>
    <w:rsid w:val="00AA48BE"/>
    <w:rsid w:val="00AA508F"/>
    <w:rsid w:val="00AA50DB"/>
    <w:rsid w:val="00AA52E6"/>
    <w:rsid w:val="00AA5E1B"/>
    <w:rsid w:val="00AA6A57"/>
    <w:rsid w:val="00AA6AFB"/>
    <w:rsid w:val="00AA6F44"/>
    <w:rsid w:val="00AB0726"/>
    <w:rsid w:val="00AB0977"/>
    <w:rsid w:val="00AB0A16"/>
    <w:rsid w:val="00AB2B56"/>
    <w:rsid w:val="00AB2DF4"/>
    <w:rsid w:val="00AB2E4C"/>
    <w:rsid w:val="00AB36D2"/>
    <w:rsid w:val="00AB3A2B"/>
    <w:rsid w:val="00AB5082"/>
    <w:rsid w:val="00AB579C"/>
    <w:rsid w:val="00AB5804"/>
    <w:rsid w:val="00AB6A9D"/>
    <w:rsid w:val="00AB7074"/>
    <w:rsid w:val="00AB7B4A"/>
    <w:rsid w:val="00AC09AC"/>
    <w:rsid w:val="00AC1DD6"/>
    <w:rsid w:val="00AC1ED0"/>
    <w:rsid w:val="00AC3B73"/>
    <w:rsid w:val="00AC43C8"/>
    <w:rsid w:val="00AC4F81"/>
    <w:rsid w:val="00AC56B5"/>
    <w:rsid w:val="00AC5C6E"/>
    <w:rsid w:val="00AC6AFC"/>
    <w:rsid w:val="00AC7BB3"/>
    <w:rsid w:val="00AD0615"/>
    <w:rsid w:val="00AD0623"/>
    <w:rsid w:val="00AD1399"/>
    <w:rsid w:val="00AD1918"/>
    <w:rsid w:val="00AD1B28"/>
    <w:rsid w:val="00AD1F94"/>
    <w:rsid w:val="00AD2985"/>
    <w:rsid w:val="00AD2AED"/>
    <w:rsid w:val="00AD32C2"/>
    <w:rsid w:val="00AD4C1E"/>
    <w:rsid w:val="00AD4E3E"/>
    <w:rsid w:val="00AD5746"/>
    <w:rsid w:val="00AD6253"/>
    <w:rsid w:val="00AD73BB"/>
    <w:rsid w:val="00AD7BC8"/>
    <w:rsid w:val="00AD7F49"/>
    <w:rsid w:val="00AE003C"/>
    <w:rsid w:val="00AE028D"/>
    <w:rsid w:val="00AE1793"/>
    <w:rsid w:val="00AE1EBB"/>
    <w:rsid w:val="00AE20EE"/>
    <w:rsid w:val="00AE2A42"/>
    <w:rsid w:val="00AE33D9"/>
    <w:rsid w:val="00AE45FA"/>
    <w:rsid w:val="00AE5F81"/>
    <w:rsid w:val="00AE64E6"/>
    <w:rsid w:val="00AE68E2"/>
    <w:rsid w:val="00AE6AB0"/>
    <w:rsid w:val="00AE6EA2"/>
    <w:rsid w:val="00AE6F08"/>
    <w:rsid w:val="00AE7113"/>
    <w:rsid w:val="00AF1F9C"/>
    <w:rsid w:val="00AF3B20"/>
    <w:rsid w:val="00AF4EC5"/>
    <w:rsid w:val="00AF6270"/>
    <w:rsid w:val="00AF6659"/>
    <w:rsid w:val="00AF774E"/>
    <w:rsid w:val="00B01CEF"/>
    <w:rsid w:val="00B03CBA"/>
    <w:rsid w:val="00B03FD7"/>
    <w:rsid w:val="00B04395"/>
    <w:rsid w:val="00B045C3"/>
    <w:rsid w:val="00B04A83"/>
    <w:rsid w:val="00B06C50"/>
    <w:rsid w:val="00B07045"/>
    <w:rsid w:val="00B106E6"/>
    <w:rsid w:val="00B10E6F"/>
    <w:rsid w:val="00B11305"/>
    <w:rsid w:val="00B11BEF"/>
    <w:rsid w:val="00B122A5"/>
    <w:rsid w:val="00B12EF2"/>
    <w:rsid w:val="00B141DD"/>
    <w:rsid w:val="00B1470B"/>
    <w:rsid w:val="00B15101"/>
    <w:rsid w:val="00B17042"/>
    <w:rsid w:val="00B1781A"/>
    <w:rsid w:val="00B17994"/>
    <w:rsid w:val="00B17D5B"/>
    <w:rsid w:val="00B20030"/>
    <w:rsid w:val="00B20709"/>
    <w:rsid w:val="00B207A4"/>
    <w:rsid w:val="00B219B8"/>
    <w:rsid w:val="00B21CCB"/>
    <w:rsid w:val="00B22112"/>
    <w:rsid w:val="00B22C60"/>
    <w:rsid w:val="00B24C2E"/>
    <w:rsid w:val="00B24E04"/>
    <w:rsid w:val="00B276B4"/>
    <w:rsid w:val="00B277F5"/>
    <w:rsid w:val="00B3029F"/>
    <w:rsid w:val="00B315B7"/>
    <w:rsid w:val="00B321E0"/>
    <w:rsid w:val="00B332BB"/>
    <w:rsid w:val="00B34D42"/>
    <w:rsid w:val="00B3504A"/>
    <w:rsid w:val="00B35FEC"/>
    <w:rsid w:val="00B36968"/>
    <w:rsid w:val="00B3793D"/>
    <w:rsid w:val="00B400D5"/>
    <w:rsid w:val="00B4214D"/>
    <w:rsid w:val="00B4320D"/>
    <w:rsid w:val="00B434D4"/>
    <w:rsid w:val="00B43B1C"/>
    <w:rsid w:val="00B449BA"/>
    <w:rsid w:val="00B473AD"/>
    <w:rsid w:val="00B4768F"/>
    <w:rsid w:val="00B47B3B"/>
    <w:rsid w:val="00B47D3F"/>
    <w:rsid w:val="00B47EDB"/>
    <w:rsid w:val="00B5065D"/>
    <w:rsid w:val="00B50FC1"/>
    <w:rsid w:val="00B529BC"/>
    <w:rsid w:val="00B53396"/>
    <w:rsid w:val="00B53D97"/>
    <w:rsid w:val="00B53FBC"/>
    <w:rsid w:val="00B54220"/>
    <w:rsid w:val="00B544E8"/>
    <w:rsid w:val="00B56B8A"/>
    <w:rsid w:val="00B57D90"/>
    <w:rsid w:val="00B60DCD"/>
    <w:rsid w:val="00B6195D"/>
    <w:rsid w:val="00B61AD4"/>
    <w:rsid w:val="00B627C0"/>
    <w:rsid w:val="00B62910"/>
    <w:rsid w:val="00B62A26"/>
    <w:rsid w:val="00B65984"/>
    <w:rsid w:val="00B66059"/>
    <w:rsid w:val="00B67DE8"/>
    <w:rsid w:val="00B67E7E"/>
    <w:rsid w:val="00B701E1"/>
    <w:rsid w:val="00B705A6"/>
    <w:rsid w:val="00B71513"/>
    <w:rsid w:val="00B71CD2"/>
    <w:rsid w:val="00B728BF"/>
    <w:rsid w:val="00B733B8"/>
    <w:rsid w:val="00B73A66"/>
    <w:rsid w:val="00B74137"/>
    <w:rsid w:val="00B7470F"/>
    <w:rsid w:val="00B774A2"/>
    <w:rsid w:val="00B77F03"/>
    <w:rsid w:val="00B8050B"/>
    <w:rsid w:val="00B8090D"/>
    <w:rsid w:val="00B80C40"/>
    <w:rsid w:val="00B8130B"/>
    <w:rsid w:val="00B816CF"/>
    <w:rsid w:val="00B82976"/>
    <w:rsid w:val="00B834C9"/>
    <w:rsid w:val="00B855DD"/>
    <w:rsid w:val="00B86B58"/>
    <w:rsid w:val="00B87ADF"/>
    <w:rsid w:val="00B906DB"/>
    <w:rsid w:val="00B90F0D"/>
    <w:rsid w:val="00B93D4F"/>
    <w:rsid w:val="00B93E8F"/>
    <w:rsid w:val="00B945DF"/>
    <w:rsid w:val="00B94746"/>
    <w:rsid w:val="00B94ECA"/>
    <w:rsid w:val="00B94F83"/>
    <w:rsid w:val="00B96579"/>
    <w:rsid w:val="00B96F47"/>
    <w:rsid w:val="00BA0981"/>
    <w:rsid w:val="00BA0EB7"/>
    <w:rsid w:val="00BA148D"/>
    <w:rsid w:val="00BA2052"/>
    <w:rsid w:val="00BA2C3F"/>
    <w:rsid w:val="00BA4E7A"/>
    <w:rsid w:val="00BA5865"/>
    <w:rsid w:val="00BA7A0A"/>
    <w:rsid w:val="00BA7E99"/>
    <w:rsid w:val="00BB05CD"/>
    <w:rsid w:val="00BB0D6E"/>
    <w:rsid w:val="00BB1CE1"/>
    <w:rsid w:val="00BB27B4"/>
    <w:rsid w:val="00BB545C"/>
    <w:rsid w:val="00BB6BAE"/>
    <w:rsid w:val="00BB6FED"/>
    <w:rsid w:val="00BC0031"/>
    <w:rsid w:val="00BC0C97"/>
    <w:rsid w:val="00BC16E4"/>
    <w:rsid w:val="00BC304D"/>
    <w:rsid w:val="00BC34C4"/>
    <w:rsid w:val="00BC36F6"/>
    <w:rsid w:val="00BC379D"/>
    <w:rsid w:val="00BC4034"/>
    <w:rsid w:val="00BC4F5D"/>
    <w:rsid w:val="00BC5147"/>
    <w:rsid w:val="00BC6401"/>
    <w:rsid w:val="00BC78B0"/>
    <w:rsid w:val="00BD02CC"/>
    <w:rsid w:val="00BD03D5"/>
    <w:rsid w:val="00BD1FC8"/>
    <w:rsid w:val="00BD25D4"/>
    <w:rsid w:val="00BD344D"/>
    <w:rsid w:val="00BD3975"/>
    <w:rsid w:val="00BD39EB"/>
    <w:rsid w:val="00BD4304"/>
    <w:rsid w:val="00BD4A0B"/>
    <w:rsid w:val="00BD4DD2"/>
    <w:rsid w:val="00BD5B66"/>
    <w:rsid w:val="00BE0381"/>
    <w:rsid w:val="00BE078E"/>
    <w:rsid w:val="00BE08D7"/>
    <w:rsid w:val="00BE12E0"/>
    <w:rsid w:val="00BE2768"/>
    <w:rsid w:val="00BE293E"/>
    <w:rsid w:val="00BE2AAB"/>
    <w:rsid w:val="00BE3323"/>
    <w:rsid w:val="00BE4EB2"/>
    <w:rsid w:val="00BE5170"/>
    <w:rsid w:val="00BE6998"/>
    <w:rsid w:val="00BE69CB"/>
    <w:rsid w:val="00BE74DC"/>
    <w:rsid w:val="00BE76AB"/>
    <w:rsid w:val="00BF2361"/>
    <w:rsid w:val="00BF4952"/>
    <w:rsid w:val="00BF4E91"/>
    <w:rsid w:val="00BF55E5"/>
    <w:rsid w:val="00C0016E"/>
    <w:rsid w:val="00C014C3"/>
    <w:rsid w:val="00C02AE1"/>
    <w:rsid w:val="00C031E9"/>
    <w:rsid w:val="00C04AEE"/>
    <w:rsid w:val="00C05587"/>
    <w:rsid w:val="00C05B33"/>
    <w:rsid w:val="00C06293"/>
    <w:rsid w:val="00C06AD6"/>
    <w:rsid w:val="00C06AE8"/>
    <w:rsid w:val="00C06DD3"/>
    <w:rsid w:val="00C10A02"/>
    <w:rsid w:val="00C11811"/>
    <w:rsid w:val="00C11862"/>
    <w:rsid w:val="00C12372"/>
    <w:rsid w:val="00C12C4E"/>
    <w:rsid w:val="00C15279"/>
    <w:rsid w:val="00C1540B"/>
    <w:rsid w:val="00C1575E"/>
    <w:rsid w:val="00C17378"/>
    <w:rsid w:val="00C201CE"/>
    <w:rsid w:val="00C20E11"/>
    <w:rsid w:val="00C21118"/>
    <w:rsid w:val="00C213C7"/>
    <w:rsid w:val="00C21653"/>
    <w:rsid w:val="00C21A35"/>
    <w:rsid w:val="00C21EEA"/>
    <w:rsid w:val="00C2269A"/>
    <w:rsid w:val="00C22A88"/>
    <w:rsid w:val="00C22D13"/>
    <w:rsid w:val="00C22D78"/>
    <w:rsid w:val="00C232EB"/>
    <w:rsid w:val="00C24523"/>
    <w:rsid w:val="00C252F4"/>
    <w:rsid w:val="00C2563B"/>
    <w:rsid w:val="00C25835"/>
    <w:rsid w:val="00C273C5"/>
    <w:rsid w:val="00C30328"/>
    <w:rsid w:val="00C32A2B"/>
    <w:rsid w:val="00C32F2F"/>
    <w:rsid w:val="00C33981"/>
    <w:rsid w:val="00C342E9"/>
    <w:rsid w:val="00C34FE9"/>
    <w:rsid w:val="00C378D6"/>
    <w:rsid w:val="00C4120B"/>
    <w:rsid w:val="00C41C5B"/>
    <w:rsid w:val="00C420A8"/>
    <w:rsid w:val="00C4210A"/>
    <w:rsid w:val="00C421C8"/>
    <w:rsid w:val="00C429E9"/>
    <w:rsid w:val="00C44B48"/>
    <w:rsid w:val="00C4551A"/>
    <w:rsid w:val="00C45A1F"/>
    <w:rsid w:val="00C469C9"/>
    <w:rsid w:val="00C46DBE"/>
    <w:rsid w:val="00C46FE9"/>
    <w:rsid w:val="00C47BB8"/>
    <w:rsid w:val="00C47E4E"/>
    <w:rsid w:val="00C5082C"/>
    <w:rsid w:val="00C52F8A"/>
    <w:rsid w:val="00C558F6"/>
    <w:rsid w:val="00C57D8E"/>
    <w:rsid w:val="00C60141"/>
    <w:rsid w:val="00C60DC6"/>
    <w:rsid w:val="00C61D1A"/>
    <w:rsid w:val="00C629E6"/>
    <w:rsid w:val="00C62A58"/>
    <w:rsid w:val="00C636EB"/>
    <w:rsid w:val="00C63D24"/>
    <w:rsid w:val="00C642A2"/>
    <w:rsid w:val="00C64514"/>
    <w:rsid w:val="00C64FB1"/>
    <w:rsid w:val="00C65AEC"/>
    <w:rsid w:val="00C675E4"/>
    <w:rsid w:val="00C67DC8"/>
    <w:rsid w:val="00C710E7"/>
    <w:rsid w:val="00C739F4"/>
    <w:rsid w:val="00C73FEC"/>
    <w:rsid w:val="00C74339"/>
    <w:rsid w:val="00C74EE8"/>
    <w:rsid w:val="00C7536C"/>
    <w:rsid w:val="00C75ADF"/>
    <w:rsid w:val="00C75CCB"/>
    <w:rsid w:val="00C75F18"/>
    <w:rsid w:val="00C767AF"/>
    <w:rsid w:val="00C7689C"/>
    <w:rsid w:val="00C77641"/>
    <w:rsid w:val="00C77D93"/>
    <w:rsid w:val="00C80EEA"/>
    <w:rsid w:val="00C80F88"/>
    <w:rsid w:val="00C8132A"/>
    <w:rsid w:val="00C81384"/>
    <w:rsid w:val="00C81C10"/>
    <w:rsid w:val="00C8247B"/>
    <w:rsid w:val="00C833A2"/>
    <w:rsid w:val="00C8352D"/>
    <w:rsid w:val="00C835B7"/>
    <w:rsid w:val="00C8465C"/>
    <w:rsid w:val="00C84988"/>
    <w:rsid w:val="00C84BEF"/>
    <w:rsid w:val="00C84F9E"/>
    <w:rsid w:val="00C85F5C"/>
    <w:rsid w:val="00C861C5"/>
    <w:rsid w:val="00C867BD"/>
    <w:rsid w:val="00C874A3"/>
    <w:rsid w:val="00C8784A"/>
    <w:rsid w:val="00C9016F"/>
    <w:rsid w:val="00C91D77"/>
    <w:rsid w:val="00C94680"/>
    <w:rsid w:val="00C95A3A"/>
    <w:rsid w:val="00C96C97"/>
    <w:rsid w:val="00CA0205"/>
    <w:rsid w:val="00CA238D"/>
    <w:rsid w:val="00CA4360"/>
    <w:rsid w:val="00CA5906"/>
    <w:rsid w:val="00CA5A2E"/>
    <w:rsid w:val="00CA6C36"/>
    <w:rsid w:val="00CA7721"/>
    <w:rsid w:val="00CB0637"/>
    <w:rsid w:val="00CB13DF"/>
    <w:rsid w:val="00CB1E51"/>
    <w:rsid w:val="00CB1E91"/>
    <w:rsid w:val="00CB2E92"/>
    <w:rsid w:val="00CB3132"/>
    <w:rsid w:val="00CB3211"/>
    <w:rsid w:val="00CB33E3"/>
    <w:rsid w:val="00CB359B"/>
    <w:rsid w:val="00CB48EB"/>
    <w:rsid w:val="00CB49E6"/>
    <w:rsid w:val="00CB552B"/>
    <w:rsid w:val="00CB5C6C"/>
    <w:rsid w:val="00CB6E8B"/>
    <w:rsid w:val="00CB7493"/>
    <w:rsid w:val="00CB785E"/>
    <w:rsid w:val="00CC041D"/>
    <w:rsid w:val="00CC0879"/>
    <w:rsid w:val="00CC10AA"/>
    <w:rsid w:val="00CC1C05"/>
    <w:rsid w:val="00CC2506"/>
    <w:rsid w:val="00CC28BF"/>
    <w:rsid w:val="00CC54F6"/>
    <w:rsid w:val="00CC597C"/>
    <w:rsid w:val="00CC5A47"/>
    <w:rsid w:val="00CC5C01"/>
    <w:rsid w:val="00CC6ACF"/>
    <w:rsid w:val="00CC7706"/>
    <w:rsid w:val="00CC7AF8"/>
    <w:rsid w:val="00CD1319"/>
    <w:rsid w:val="00CD1823"/>
    <w:rsid w:val="00CD1944"/>
    <w:rsid w:val="00CD1A0E"/>
    <w:rsid w:val="00CD3542"/>
    <w:rsid w:val="00CD3935"/>
    <w:rsid w:val="00CD40B5"/>
    <w:rsid w:val="00CD4F1C"/>
    <w:rsid w:val="00CD593D"/>
    <w:rsid w:val="00CD6D3C"/>
    <w:rsid w:val="00CD7596"/>
    <w:rsid w:val="00CE01F1"/>
    <w:rsid w:val="00CE025B"/>
    <w:rsid w:val="00CE2116"/>
    <w:rsid w:val="00CE215B"/>
    <w:rsid w:val="00CE2282"/>
    <w:rsid w:val="00CE2715"/>
    <w:rsid w:val="00CE3E2A"/>
    <w:rsid w:val="00CE432C"/>
    <w:rsid w:val="00CE4723"/>
    <w:rsid w:val="00CE55C7"/>
    <w:rsid w:val="00CE57C7"/>
    <w:rsid w:val="00CE5DE2"/>
    <w:rsid w:val="00CE7347"/>
    <w:rsid w:val="00CE7A0C"/>
    <w:rsid w:val="00CE7ADD"/>
    <w:rsid w:val="00CF3526"/>
    <w:rsid w:val="00CF391A"/>
    <w:rsid w:val="00CF4080"/>
    <w:rsid w:val="00CF499E"/>
    <w:rsid w:val="00CF59D6"/>
    <w:rsid w:val="00CF634A"/>
    <w:rsid w:val="00CF7A87"/>
    <w:rsid w:val="00D00CCB"/>
    <w:rsid w:val="00D01AE8"/>
    <w:rsid w:val="00D01BCC"/>
    <w:rsid w:val="00D01EAE"/>
    <w:rsid w:val="00D02CBF"/>
    <w:rsid w:val="00D03EF5"/>
    <w:rsid w:val="00D056DE"/>
    <w:rsid w:val="00D05BD2"/>
    <w:rsid w:val="00D10FB3"/>
    <w:rsid w:val="00D11515"/>
    <w:rsid w:val="00D12772"/>
    <w:rsid w:val="00D130C2"/>
    <w:rsid w:val="00D15366"/>
    <w:rsid w:val="00D16144"/>
    <w:rsid w:val="00D16874"/>
    <w:rsid w:val="00D17151"/>
    <w:rsid w:val="00D17BF0"/>
    <w:rsid w:val="00D200A9"/>
    <w:rsid w:val="00D20AC5"/>
    <w:rsid w:val="00D215C8"/>
    <w:rsid w:val="00D21619"/>
    <w:rsid w:val="00D21C2C"/>
    <w:rsid w:val="00D21D87"/>
    <w:rsid w:val="00D21EF9"/>
    <w:rsid w:val="00D22354"/>
    <w:rsid w:val="00D22CE4"/>
    <w:rsid w:val="00D233CE"/>
    <w:rsid w:val="00D237DB"/>
    <w:rsid w:val="00D23BA2"/>
    <w:rsid w:val="00D23EB6"/>
    <w:rsid w:val="00D24114"/>
    <w:rsid w:val="00D2571C"/>
    <w:rsid w:val="00D25F1F"/>
    <w:rsid w:val="00D2655B"/>
    <w:rsid w:val="00D270D6"/>
    <w:rsid w:val="00D27295"/>
    <w:rsid w:val="00D27E1F"/>
    <w:rsid w:val="00D30B0D"/>
    <w:rsid w:val="00D3188C"/>
    <w:rsid w:val="00D31FF1"/>
    <w:rsid w:val="00D323DB"/>
    <w:rsid w:val="00D32AF3"/>
    <w:rsid w:val="00D32DC0"/>
    <w:rsid w:val="00D32F2F"/>
    <w:rsid w:val="00D331DD"/>
    <w:rsid w:val="00D33E4F"/>
    <w:rsid w:val="00D3519F"/>
    <w:rsid w:val="00D355FF"/>
    <w:rsid w:val="00D35A83"/>
    <w:rsid w:val="00D37803"/>
    <w:rsid w:val="00D40F4A"/>
    <w:rsid w:val="00D42BAD"/>
    <w:rsid w:val="00D43045"/>
    <w:rsid w:val="00D43319"/>
    <w:rsid w:val="00D43525"/>
    <w:rsid w:val="00D43E76"/>
    <w:rsid w:val="00D446C9"/>
    <w:rsid w:val="00D44A09"/>
    <w:rsid w:val="00D44EAC"/>
    <w:rsid w:val="00D44EE5"/>
    <w:rsid w:val="00D45522"/>
    <w:rsid w:val="00D478A3"/>
    <w:rsid w:val="00D47C83"/>
    <w:rsid w:val="00D50305"/>
    <w:rsid w:val="00D507E7"/>
    <w:rsid w:val="00D5098C"/>
    <w:rsid w:val="00D51980"/>
    <w:rsid w:val="00D5317B"/>
    <w:rsid w:val="00D55198"/>
    <w:rsid w:val="00D55739"/>
    <w:rsid w:val="00D571DD"/>
    <w:rsid w:val="00D575CA"/>
    <w:rsid w:val="00D57C7B"/>
    <w:rsid w:val="00D604F3"/>
    <w:rsid w:val="00D62D7B"/>
    <w:rsid w:val="00D63058"/>
    <w:rsid w:val="00D63A23"/>
    <w:rsid w:val="00D63CFD"/>
    <w:rsid w:val="00D64603"/>
    <w:rsid w:val="00D648FB"/>
    <w:rsid w:val="00D6497E"/>
    <w:rsid w:val="00D65931"/>
    <w:rsid w:val="00D659F2"/>
    <w:rsid w:val="00D6654A"/>
    <w:rsid w:val="00D66982"/>
    <w:rsid w:val="00D66DDC"/>
    <w:rsid w:val="00D6715D"/>
    <w:rsid w:val="00D67DEB"/>
    <w:rsid w:val="00D71064"/>
    <w:rsid w:val="00D72799"/>
    <w:rsid w:val="00D73211"/>
    <w:rsid w:val="00D7347E"/>
    <w:rsid w:val="00D73508"/>
    <w:rsid w:val="00D73704"/>
    <w:rsid w:val="00D74AC9"/>
    <w:rsid w:val="00D751F5"/>
    <w:rsid w:val="00D755A4"/>
    <w:rsid w:val="00D76078"/>
    <w:rsid w:val="00D7667E"/>
    <w:rsid w:val="00D77050"/>
    <w:rsid w:val="00D7771E"/>
    <w:rsid w:val="00D8125C"/>
    <w:rsid w:val="00D823FC"/>
    <w:rsid w:val="00D82B8B"/>
    <w:rsid w:val="00D8311F"/>
    <w:rsid w:val="00D846FE"/>
    <w:rsid w:val="00D852A9"/>
    <w:rsid w:val="00D857B3"/>
    <w:rsid w:val="00D85CA1"/>
    <w:rsid w:val="00D86277"/>
    <w:rsid w:val="00D90BC4"/>
    <w:rsid w:val="00D9194C"/>
    <w:rsid w:val="00D92081"/>
    <w:rsid w:val="00D93E40"/>
    <w:rsid w:val="00D9483F"/>
    <w:rsid w:val="00D95F86"/>
    <w:rsid w:val="00D973ED"/>
    <w:rsid w:val="00D9749B"/>
    <w:rsid w:val="00D975EE"/>
    <w:rsid w:val="00D97DF3"/>
    <w:rsid w:val="00DA02F6"/>
    <w:rsid w:val="00DA09E3"/>
    <w:rsid w:val="00DA2EA8"/>
    <w:rsid w:val="00DA5F70"/>
    <w:rsid w:val="00DA6276"/>
    <w:rsid w:val="00DA6876"/>
    <w:rsid w:val="00DA750D"/>
    <w:rsid w:val="00DA7E3B"/>
    <w:rsid w:val="00DB10C4"/>
    <w:rsid w:val="00DB114A"/>
    <w:rsid w:val="00DB14F3"/>
    <w:rsid w:val="00DB2789"/>
    <w:rsid w:val="00DB375C"/>
    <w:rsid w:val="00DB3C28"/>
    <w:rsid w:val="00DB5831"/>
    <w:rsid w:val="00DB5EF1"/>
    <w:rsid w:val="00DB633C"/>
    <w:rsid w:val="00DB6758"/>
    <w:rsid w:val="00DB7389"/>
    <w:rsid w:val="00DB79CF"/>
    <w:rsid w:val="00DC16F2"/>
    <w:rsid w:val="00DC1727"/>
    <w:rsid w:val="00DC24C4"/>
    <w:rsid w:val="00DC2617"/>
    <w:rsid w:val="00DC3309"/>
    <w:rsid w:val="00DC3789"/>
    <w:rsid w:val="00DC4739"/>
    <w:rsid w:val="00DC4B8F"/>
    <w:rsid w:val="00DC7289"/>
    <w:rsid w:val="00DC785C"/>
    <w:rsid w:val="00DD0C80"/>
    <w:rsid w:val="00DD1196"/>
    <w:rsid w:val="00DD162A"/>
    <w:rsid w:val="00DD18F3"/>
    <w:rsid w:val="00DD23A8"/>
    <w:rsid w:val="00DD3379"/>
    <w:rsid w:val="00DD34DC"/>
    <w:rsid w:val="00DD3B35"/>
    <w:rsid w:val="00DD4071"/>
    <w:rsid w:val="00DD5AFF"/>
    <w:rsid w:val="00DD5CD9"/>
    <w:rsid w:val="00DD6457"/>
    <w:rsid w:val="00DD66A4"/>
    <w:rsid w:val="00DE00EA"/>
    <w:rsid w:val="00DE21CB"/>
    <w:rsid w:val="00DE2EDF"/>
    <w:rsid w:val="00DE38B1"/>
    <w:rsid w:val="00DE3D43"/>
    <w:rsid w:val="00DE3D8E"/>
    <w:rsid w:val="00DE47CF"/>
    <w:rsid w:val="00DE55FC"/>
    <w:rsid w:val="00DE619F"/>
    <w:rsid w:val="00DE64C6"/>
    <w:rsid w:val="00DE6628"/>
    <w:rsid w:val="00DE68BD"/>
    <w:rsid w:val="00DE6E6D"/>
    <w:rsid w:val="00DF09E6"/>
    <w:rsid w:val="00DF0A7E"/>
    <w:rsid w:val="00DF0C88"/>
    <w:rsid w:val="00DF22D1"/>
    <w:rsid w:val="00DF261B"/>
    <w:rsid w:val="00DF2A1E"/>
    <w:rsid w:val="00DF2E20"/>
    <w:rsid w:val="00DF3BD4"/>
    <w:rsid w:val="00DF436F"/>
    <w:rsid w:val="00DF64B1"/>
    <w:rsid w:val="00DF68F9"/>
    <w:rsid w:val="00DF72C9"/>
    <w:rsid w:val="00E00143"/>
    <w:rsid w:val="00E00E05"/>
    <w:rsid w:val="00E0119C"/>
    <w:rsid w:val="00E02534"/>
    <w:rsid w:val="00E035A0"/>
    <w:rsid w:val="00E04B3B"/>
    <w:rsid w:val="00E051C4"/>
    <w:rsid w:val="00E05B4B"/>
    <w:rsid w:val="00E061B4"/>
    <w:rsid w:val="00E06ABE"/>
    <w:rsid w:val="00E06BB3"/>
    <w:rsid w:val="00E06D14"/>
    <w:rsid w:val="00E07F6D"/>
    <w:rsid w:val="00E10371"/>
    <w:rsid w:val="00E10EF2"/>
    <w:rsid w:val="00E10F93"/>
    <w:rsid w:val="00E10FD3"/>
    <w:rsid w:val="00E1170F"/>
    <w:rsid w:val="00E11FC9"/>
    <w:rsid w:val="00E12B7E"/>
    <w:rsid w:val="00E12D17"/>
    <w:rsid w:val="00E12EAD"/>
    <w:rsid w:val="00E13B1B"/>
    <w:rsid w:val="00E14790"/>
    <w:rsid w:val="00E14BAE"/>
    <w:rsid w:val="00E157D0"/>
    <w:rsid w:val="00E16534"/>
    <w:rsid w:val="00E166E8"/>
    <w:rsid w:val="00E17466"/>
    <w:rsid w:val="00E177A3"/>
    <w:rsid w:val="00E177FA"/>
    <w:rsid w:val="00E179E0"/>
    <w:rsid w:val="00E17B96"/>
    <w:rsid w:val="00E17D3E"/>
    <w:rsid w:val="00E17E87"/>
    <w:rsid w:val="00E20149"/>
    <w:rsid w:val="00E206F3"/>
    <w:rsid w:val="00E217D3"/>
    <w:rsid w:val="00E22509"/>
    <w:rsid w:val="00E228C4"/>
    <w:rsid w:val="00E24996"/>
    <w:rsid w:val="00E25529"/>
    <w:rsid w:val="00E25F7E"/>
    <w:rsid w:val="00E269FF"/>
    <w:rsid w:val="00E27839"/>
    <w:rsid w:val="00E27AB8"/>
    <w:rsid w:val="00E305D8"/>
    <w:rsid w:val="00E308C7"/>
    <w:rsid w:val="00E314B5"/>
    <w:rsid w:val="00E31746"/>
    <w:rsid w:val="00E317AB"/>
    <w:rsid w:val="00E32110"/>
    <w:rsid w:val="00E34766"/>
    <w:rsid w:val="00E34DCC"/>
    <w:rsid w:val="00E37FF6"/>
    <w:rsid w:val="00E40A29"/>
    <w:rsid w:val="00E40C93"/>
    <w:rsid w:val="00E422B6"/>
    <w:rsid w:val="00E43306"/>
    <w:rsid w:val="00E438D6"/>
    <w:rsid w:val="00E4563C"/>
    <w:rsid w:val="00E4563F"/>
    <w:rsid w:val="00E512BD"/>
    <w:rsid w:val="00E515E0"/>
    <w:rsid w:val="00E515E5"/>
    <w:rsid w:val="00E51A09"/>
    <w:rsid w:val="00E535D6"/>
    <w:rsid w:val="00E536B9"/>
    <w:rsid w:val="00E55163"/>
    <w:rsid w:val="00E609A7"/>
    <w:rsid w:val="00E62242"/>
    <w:rsid w:val="00E62CA8"/>
    <w:rsid w:val="00E63F04"/>
    <w:rsid w:val="00E6477C"/>
    <w:rsid w:val="00E65330"/>
    <w:rsid w:val="00E6737F"/>
    <w:rsid w:val="00E70AC4"/>
    <w:rsid w:val="00E717C9"/>
    <w:rsid w:val="00E720F1"/>
    <w:rsid w:val="00E7270C"/>
    <w:rsid w:val="00E7272D"/>
    <w:rsid w:val="00E73E8A"/>
    <w:rsid w:val="00E76451"/>
    <w:rsid w:val="00E765FD"/>
    <w:rsid w:val="00E76C87"/>
    <w:rsid w:val="00E7705F"/>
    <w:rsid w:val="00E770FA"/>
    <w:rsid w:val="00E77945"/>
    <w:rsid w:val="00E81529"/>
    <w:rsid w:val="00E81540"/>
    <w:rsid w:val="00E81655"/>
    <w:rsid w:val="00E822B5"/>
    <w:rsid w:val="00E82A5E"/>
    <w:rsid w:val="00E833D3"/>
    <w:rsid w:val="00E84118"/>
    <w:rsid w:val="00E86677"/>
    <w:rsid w:val="00E867BC"/>
    <w:rsid w:val="00E86CBF"/>
    <w:rsid w:val="00E87060"/>
    <w:rsid w:val="00E879C8"/>
    <w:rsid w:val="00E90796"/>
    <w:rsid w:val="00E9086B"/>
    <w:rsid w:val="00E91409"/>
    <w:rsid w:val="00E91C39"/>
    <w:rsid w:val="00E91F10"/>
    <w:rsid w:val="00E9284D"/>
    <w:rsid w:val="00E929BD"/>
    <w:rsid w:val="00E92A4F"/>
    <w:rsid w:val="00E94184"/>
    <w:rsid w:val="00E94A48"/>
    <w:rsid w:val="00E960DE"/>
    <w:rsid w:val="00E97E44"/>
    <w:rsid w:val="00EA3FDB"/>
    <w:rsid w:val="00EA56D8"/>
    <w:rsid w:val="00EA71BD"/>
    <w:rsid w:val="00EA7DF9"/>
    <w:rsid w:val="00EB0896"/>
    <w:rsid w:val="00EB0BCF"/>
    <w:rsid w:val="00EB3A60"/>
    <w:rsid w:val="00EB4726"/>
    <w:rsid w:val="00EB4B96"/>
    <w:rsid w:val="00EB5B3A"/>
    <w:rsid w:val="00EB75B2"/>
    <w:rsid w:val="00EB7F38"/>
    <w:rsid w:val="00EC05CB"/>
    <w:rsid w:val="00EC3399"/>
    <w:rsid w:val="00EC4711"/>
    <w:rsid w:val="00EC4764"/>
    <w:rsid w:val="00EC51F4"/>
    <w:rsid w:val="00EC54C7"/>
    <w:rsid w:val="00EC5A32"/>
    <w:rsid w:val="00EC5E6E"/>
    <w:rsid w:val="00EC643D"/>
    <w:rsid w:val="00EC68E8"/>
    <w:rsid w:val="00EC7825"/>
    <w:rsid w:val="00EC7F89"/>
    <w:rsid w:val="00ED0097"/>
    <w:rsid w:val="00ED0B21"/>
    <w:rsid w:val="00ED1466"/>
    <w:rsid w:val="00ED19C1"/>
    <w:rsid w:val="00ED1D3B"/>
    <w:rsid w:val="00ED2206"/>
    <w:rsid w:val="00ED2BED"/>
    <w:rsid w:val="00ED3570"/>
    <w:rsid w:val="00ED3E17"/>
    <w:rsid w:val="00ED4E60"/>
    <w:rsid w:val="00ED599C"/>
    <w:rsid w:val="00ED6330"/>
    <w:rsid w:val="00EE1921"/>
    <w:rsid w:val="00EE1B31"/>
    <w:rsid w:val="00EE1F7D"/>
    <w:rsid w:val="00EE21DC"/>
    <w:rsid w:val="00EE2631"/>
    <w:rsid w:val="00EE5176"/>
    <w:rsid w:val="00EE527B"/>
    <w:rsid w:val="00EE57F5"/>
    <w:rsid w:val="00EE6919"/>
    <w:rsid w:val="00EE7AEF"/>
    <w:rsid w:val="00EE7FC0"/>
    <w:rsid w:val="00EF07D2"/>
    <w:rsid w:val="00EF0D00"/>
    <w:rsid w:val="00EF34E9"/>
    <w:rsid w:val="00EF3C52"/>
    <w:rsid w:val="00EF3F99"/>
    <w:rsid w:val="00EF43E1"/>
    <w:rsid w:val="00EF5AA5"/>
    <w:rsid w:val="00EF5F27"/>
    <w:rsid w:val="00EF7D52"/>
    <w:rsid w:val="00F00281"/>
    <w:rsid w:val="00F004CC"/>
    <w:rsid w:val="00F01062"/>
    <w:rsid w:val="00F01E11"/>
    <w:rsid w:val="00F01F3D"/>
    <w:rsid w:val="00F02D31"/>
    <w:rsid w:val="00F03117"/>
    <w:rsid w:val="00F05755"/>
    <w:rsid w:val="00F05E22"/>
    <w:rsid w:val="00F103F9"/>
    <w:rsid w:val="00F1068A"/>
    <w:rsid w:val="00F12D35"/>
    <w:rsid w:val="00F12F57"/>
    <w:rsid w:val="00F1376E"/>
    <w:rsid w:val="00F1430D"/>
    <w:rsid w:val="00F14C79"/>
    <w:rsid w:val="00F17593"/>
    <w:rsid w:val="00F17AD3"/>
    <w:rsid w:val="00F17B25"/>
    <w:rsid w:val="00F202FB"/>
    <w:rsid w:val="00F2190B"/>
    <w:rsid w:val="00F21E03"/>
    <w:rsid w:val="00F2230A"/>
    <w:rsid w:val="00F2279E"/>
    <w:rsid w:val="00F233C4"/>
    <w:rsid w:val="00F236E5"/>
    <w:rsid w:val="00F23C20"/>
    <w:rsid w:val="00F23F6C"/>
    <w:rsid w:val="00F2460B"/>
    <w:rsid w:val="00F24936"/>
    <w:rsid w:val="00F25211"/>
    <w:rsid w:val="00F25CEC"/>
    <w:rsid w:val="00F25E32"/>
    <w:rsid w:val="00F26440"/>
    <w:rsid w:val="00F26995"/>
    <w:rsid w:val="00F273D8"/>
    <w:rsid w:val="00F30166"/>
    <w:rsid w:val="00F30552"/>
    <w:rsid w:val="00F316D9"/>
    <w:rsid w:val="00F31DFB"/>
    <w:rsid w:val="00F31EE1"/>
    <w:rsid w:val="00F32816"/>
    <w:rsid w:val="00F333EF"/>
    <w:rsid w:val="00F334DF"/>
    <w:rsid w:val="00F33803"/>
    <w:rsid w:val="00F33830"/>
    <w:rsid w:val="00F33B94"/>
    <w:rsid w:val="00F33CF7"/>
    <w:rsid w:val="00F345FC"/>
    <w:rsid w:val="00F35449"/>
    <w:rsid w:val="00F35596"/>
    <w:rsid w:val="00F355C3"/>
    <w:rsid w:val="00F36695"/>
    <w:rsid w:val="00F37D47"/>
    <w:rsid w:val="00F4042B"/>
    <w:rsid w:val="00F405CA"/>
    <w:rsid w:val="00F41C69"/>
    <w:rsid w:val="00F43289"/>
    <w:rsid w:val="00F4429F"/>
    <w:rsid w:val="00F44C0F"/>
    <w:rsid w:val="00F45549"/>
    <w:rsid w:val="00F47216"/>
    <w:rsid w:val="00F50727"/>
    <w:rsid w:val="00F50AB3"/>
    <w:rsid w:val="00F510BA"/>
    <w:rsid w:val="00F52C3B"/>
    <w:rsid w:val="00F55B1F"/>
    <w:rsid w:val="00F55E8A"/>
    <w:rsid w:val="00F566D6"/>
    <w:rsid w:val="00F57C90"/>
    <w:rsid w:val="00F604B3"/>
    <w:rsid w:val="00F615B0"/>
    <w:rsid w:val="00F62051"/>
    <w:rsid w:val="00F62676"/>
    <w:rsid w:val="00F6360F"/>
    <w:rsid w:val="00F63FF5"/>
    <w:rsid w:val="00F67088"/>
    <w:rsid w:val="00F674EA"/>
    <w:rsid w:val="00F71BC4"/>
    <w:rsid w:val="00F72785"/>
    <w:rsid w:val="00F72F21"/>
    <w:rsid w:val="00F7409C"/>
    <w:rsid w:val="00F7436F"/>
    <w:rsid w:val="00F74791"/>
    <w:rsid w:val="00F749CD"/>
    <w:rsid w:val="00F74BC6"/>
    <w:rsid w:val="00F74D56"/>
    <w:rsid w:val="00F753BB"/>
    <w:rsid w:val="00F75FE4"/>
    <w:rsid w:val="00F77782"/>
    <w:rsid w:val="00F81714"/>
    <w:rsid w:val="00F81DDD"/>
    <w:rsid w:val="00F82CFB"/>
    <w:rsid w:val="00F83415"/>
    <w:rsid w:val="00F8519A"/>
    <w:rsid w:val="00F852DD"/>
    <w:rsid w:val="00F86BC1"/>
    <w:rsid w:val="00F8730A"/>
    <w:rsid w:val="00F90BFE"/>
    <w:rsid w:val="00F92669"/>
    <w:rsid w:val="00F9569A"/>
    <w:rsid w:val="00F9640B"/>
    <w:rsid w:val="00F97C48"/>
    <w:rsid w:val="00FA2353"/>
    <w:rsid w:val="00FA2F70"/>
    <w:rsid w:val="00FA3F57"/>
    <w:rsid w:val="00FA4A87"/>
    <w:rsid w:val="00FA4AEA"/>
    <w:rsid w:val="00FA615D"/>
    <w:rsid w:val="00FA7AD7"/>
    <w:rsid w:val="00FB09EF"/>
    <w:rsid w:val="00FB0FD3"/>
    <w:rsid w:val="00FB1198"/>
    <w:rsid w:val="00FB23F6"/>
    <w:rsid w:val="00FB32EF"/>
    <w:rsid w:val="00FB36C3"/>
    <w:rsid w:val="00FB42BE"/>
    <w:rsid w:val="00FB44B5"/>
    <w:rsid w:val="00FB54A5"/>
    <w:rsid w:val="00FB574D"/>
    <w:rsid w:val="00FB5D1E"/>
    <w:rsid w:val="00FB7219"/>
    <w:rsid w:val="00FC177E"/>
    <w:rsid w:val="00FC1891"/>
    <w:rsid w:val="00FC3046"/>
    <w:rsid w:val="00FC392C"/>
    <w:rsid w:val="00FC4761"/>
    <w:rsid w:val="00FC5309"/>
    <w:rsid w:val="00FC5869"/>
    <w:rsid w:val="00FC63C4"/>
    <w:rsid w:val="00FC6477"/>
    <w:rsid w:val="00FC7C5B"/>
    <w:rsid w:val="00FD146C"/>
    <w:rsid w:val="00FD3106"/>
    <w:rsid w:val="00FD4575"/>
    <w:rsid w:val="00FD4927"/>
    <w:rsid w:val="00FD53B9"/>
    <w:rsid w:val="00FD53DC"/>
    <w:rsid w:val="00FD5427"/>
    <w:rsid w:val="00FD66AB"/>
    <w:rsid w:val="00FD6B62"/>
    <w:rsid w:val="00FE05EC"/>
    <w:rsid w:val="00FE189D"/>
    <w:rsid w:val="00FE1A77"/>
    <w:rsid w:val="00FE1AC7"/>
    <w:rsid w:val="00FE1D7E"/>
    <w:rsid w:val="00FE2496"/>
    <w:rsid w:val="00FE3B59"/>
    <w:rsid w:val="00FE4A96"/>
    <w:rsid w:val="00FE4C5E"/>
    <w:rsid w:val="00FE6123"/>
    <w:rsid w:val="00FE6CC4"/>
    <w:rsid w:val="00FE6E2F"/>
    <w:rsid w:val="00FE794E"/>
    <w:rsid w:val="00FE7DE2"/>
    <w:rsid w:val="00FF0980"/>
    <w:rsid w:val="00FF0AB3"/>
    <w:rsid w:val="00FF185F"/>
    <w:rsid w:val="00FF32A1"/>
    <w:rsid w:val="00FF36DE"/>
    <w:rsid w:val="00FF3B86"/>
    <w:rsid w:val="00FF3BE0"/>
    <w:rsid w:val="00FF3E81"/>
    <w:rsid w:val="00FF4743"/>
    <w:rsid w:val="00FF4AF1"/>
    <w:rsid w:val="00FF4CC5"/>
    <w:rsid w:val="00FF513F"/>
    <w:rsid w:val="00FF54B7"/>
    <w:rsid w:val="00FF5771"/>
    <w:rsid w:val="00FF62AD"/>
    <w:rsid w:val="00FF6D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CF26E54"/>
  <w15:chartTrackingRefBased/>
  <w15:docId w15:val="{65E47990-5FB7-49FA-837C-A553257E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AC56B5"/>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156347"/>
    <w:pPr>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semiHidden/>
    <w:unhideWhenUsed/>
    <w:rsid w:val="00310A6F"/>
    <w:rPr>
      <w:sz w:val="20"/>
      <w:szCs w:val="20"/>
    </w:rPr>
  </w:style>
  <w:style w:type="character" w:customStyle="1" w:styleId="CommentTextChar">
    <w:name w:val="Comment Text Char"/>
    <w:basedOn w:val="DefaultParagraphFont"/>
    <w:link w:val="CommentText"/>
    <w:uiPriority w:val="99"/>
    <w:semiHidden/>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223A77"/>
    <w:rPr>
      <w:color w:val="954F72" w:themeColor="followedHyperlink"/>
      <w:u w:val="single"/>
    </w:rPr>
  </w:style>
  <w:style w:type="paragraph" w:styleId="NormalWeb">
    <w:name w:val="Normal (Web)"/>
    <w:basedOn w:val="Normal"/>
    <w:uiPriority w:val="99"/>
    <w:semiHidden/>
    <w:unhideWhenUsed/>
    <w:rsid w:val="000C4857"/>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19163">
      <w:bodyDiv w:val="1"/>
      <w:marLeft w:val="0"/>
      <w:marRight w:val="0"/>
      <w:marTop w:val="0"/>
      <w:marBottom w:val="0"/>
      <w:divBdr>
        <w:top w:val="none" w:sz="0" w:space="0" w:color="auto"/>
        <w:left w:val="none" w:sz="0" w:space="0" w:color="auto"/>
        <w:bottom w:val="none" w:sz="0" w:space="0" w:color="auto"/>
        <w:right w:val="none" w:sz="0" w:space="0" w:color="auto"/>
      </w:divBdr>
    </w:div>
    <w:div w:id="605621042">
      <w:bodyDiv w:val="1"/>
      <w:marLeft w:val="0"/>
      <w:marRight w:val="0"/>
      <w:marTop w:val="0"/>
      <w:marBottom w:val="0"/>
      <w:divBdr>
        <w:top w:val="none" w:sz="0" w:space="0" w:color="auto"/>
        <w:left w:val="none" w:sz="0" w:space="0" w:color="auto"/>
        <w:bottom w:val="none" w:sz="0" w:space="0" w:color="auto"/>
        <w:right w:val="none" w:sz="0" w:space="0" w:color="auto"/>
      </w:divBdr>
    </w:div>
    <w:div w:id="1688674210">
      <w:bodyDiv w:val="1"/>
      <w:marLeft w:val="0"/>
      <w:marRight w:val="0"/>
      <w:marTop w:val="0"/>
      <w:marBottom w:val="0"/>
      <w:divBdr>
        <w:top w:val="none" w:sz="0" w:space="0" w:color="auto"/>
        <w:left w:val="none" w:sz="0" w:space="0" w:color="auto"/>
        <w:bottom w:val="none" w:sz="0" w:space="0" w:color="auto"/>
        <w:right w:val="none" w:sz="0" w:space="0" w:color="auto"/>
      </w:divBdr>
    </w:div>
    <w:div w:id="1875263487">
      <w:bodyDiv w:val="1"/>
      <w:marLeft w:val="0"/>
      <w:marRight w:val="0"/>
      <w:marTop w:val="0"/>
      <w:marBottom w:val="0"/>
      <w:divBdr>
        <w:top w:val="none" w:sz="0" w:space="0" w:color="auto"/>
        <w:left w:val="none" w:sz="0" w:space="0" w:color="auto"/>
        <w:bottom w:val="none" w:sz="0" w:space="0" w:color="auto"/>
        <w:right w:val="none" w:sz="0" w:space="0" w:color="auto"/>
      </w:divBdr>
    </w:div>
    <w:div w:id="20657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thorisation@adg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P@adgm.com" TargetMode="External"/><Relationship Id="rId4" Type="http://schemas.openxmlformats.org/officeDocument/2006/relationships/settings" Target="settings.xml"/><Relationship Id="rId9" Type="http://schemas.openxmlformats.org/officeDocument/2006/relationships/hyperlink" Target="mailto:MIP@adgm.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adgm.thomsonreuters.com/rulebook/guidance-regulatory-framework-private-financing-platforms" TargetMode="External"/><Relationship Id="rId2" Type="http://schemas.openxmlformats.org/officeDocument/2006/relationships/hyperlink" Target="https://en.adgm.thomsonreuters.com/rulebook/guidance-regulation-virtual-asset-activities-adgm" TargetMode="External"/><Relationship Id="rId1" Type="http://schemas.openxmlformats.org/officeDocument/2006/relationships/hyperlink" Target="https://en.adgm.thomsonreuters.com/rulebook/guidance-regulation-digital-security-offerings-and-virtual-assets-under-financi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A4C0-4252-47CA-AB72-97C909E5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12054</Words>
  <Characters>68708</Characters>
  <Application>Microsoft Office Word</Application>
  <DocSecurity>4</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Nadra Al Marjeby</cp:lastModifiedBy>
  <cp:revision>2</cp:revision>
  <cp:lastPrinted>2020-02-24T10:30:00Z</cp:lastPrinted>
  <dcterms:created xsi:type="dcterms:W3CDTF">2020-02-26T08:42:00Z</dcterms:created>
  <dcterms:modified xsi:type="dcterms:W3CDTF">2020-02-26T08:42:00Z</dcterms:modified>
</cp:coreProperties>
</file>