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21BB6" w14:textId="77777777" w:rsidR="0002224E" w:rsidRPr="0087630C" w:rsidRDefault="0002224E" w:rsidP="00084128">
      <w:pPr>
        <w:rPr>
          <w:sz w:val="28"/>
          <w:szCs w:val="28"/>
        </w:rPr>
      </w:pPr>
    </w:p>
    <w:p w14:paraId="1FCDD76E" w14:textId="77777777" w:rsidR="00B24A3D" w:rsidRPr="0087630C" w:rsidRDefault="00B24A3D" w:rsidP="00084128">
      <w:pPr>
        <w:rPr>
          <w:sz w:val="28"/>
          <w:szCs w:val="28"/>
        </w:rPr>
      </w:pPr>
    </w:p>
    <w:p w14:paraId="36CE6749" w14:textId="77777777" w:rsidR="00B24A3D" w:rsidRPr="0087630C" w:rsidRDefault="00B24A3D" w:rsidP="00084128">
      <w:pPr>
        <w:rPr>
          <w:sz w:val="28"/>
          <w:szCs w:val="28"/>
        </w:rPr>
      </w:pPr>
    </w:p>
    <w:p w14:paraId="275D2A92" w14:textId="77777777" w:rsidR="00B24A3D" w:rsidRPr="0087630C" w:rsidRDefault="00B24A3D" w:rsidP="00084128">
      <w:pPr>
        <w:rPr>
          <w:sz w:val="28"/>
          <w:szCs w:val="28"/>
        </w:rPr>
      </w:pPr>
    </w:p>
    <w:p w14:paraId="3C36EEB8" w14:textId="77777777" w:rsidR="00B24A3D" w:rsidRPr="0087630C" w:rsidRDefault="00B24A3D" w:rsidP="00084128">
      <w:pPr>
        <w:rPr>
          <w:sz w:val="28"/>
          <w:szCs w:val="28"/>
        </w:rPr>
      </w:pPr>
    </w:p>
    <w:p w14:paraId="2270CDDB" w14:textId="77777777" w:rsidR="00B24A3D" w:rsidRPr="0087630C" w:rsidRDefault="00B24A3D" w:rsidP="00084128">
      <w:pPr>
        <w:rPr>
          <w:sz w:val="28"/>
          <w:szCs w:val="28"/>
        </w:rPr>
      </w:pPr>
    </w:p>
    <w:p w14:paraId="5C960932" w14:textId="77777777" w:rsidR="00B24A3D" w:rsidRPr="0087630C" w:rsidRDefault="00B24A3D" w:rsidP="00084128">
      <w:pPr>
        <w:rPr>
          <w:sz w:val="28"/>
          <w:szCs w:val="28"/>
        </w:rPr>
      </w:pPr>
    </w:p>
    <w:p w14:paraId="02EBBDAD" w14:textId="77777777" w:rsidR="00B24A3D" w:rsidRPr="0087630C" w:rsidRDefault="00B24A3D" w:rsidP="00084128">
      <w:pPr>
        <w:rPr>
          <w:sz w:val="28"/>
          <w:szCs w:val="28"/>
        </w:rPr>
      </w:pPr>
    </w:p>
    <w:p w14:paraId="28D848A7" w14:textId="77777777" w:rsidR="00B33D51" w:rsidRPr="0087630C" w:rsidRDefault="00312209" w:rsidP="00084128">
      <w:pPr>
        <w:rPr>
          <w:sz w:val="28"/>
          <w:szCs w:val="28"/>
        </w:rPr>
      </w:pPr>
      <w:r w:rsidRPr="0087630C"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61312" behindDoc="0" locked="0" layoutInCell="1" allowOverlap="1" wp14:anchorId="3C7D6C54" wp14:editId="32B19F2B">
            <wp:simplePos x="0" y="0"/>
            <wp:positionH relativeFrom="page">
              <wp:posOffset>528955</wp:posOffset>
            </wp:positionH>
            <wp:positionV relativeFrom="paragraph">
              <wp:posOffset>101710</wp:posOffset>
            </wp:positionV>
            <wp:extent cx="4658360" cy="904240"/>
            <wp:effectExtent l="0" t="0" r="8890" b="0"/>
            <wp:wrapNone/>
            <wp:docPr id="5" name="Picture 5" descr="Z:\MarComms To Update\GIRA-Form-F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MarComms To Update\GIRA-Form-Foo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7" r="46027"/>
                    <a:stretch/>
                  </pic:blipFill>
                  <pic:spPr bwMode="auto">
                    <a:xfrm>
                      <a:off x="0" y="0"/>
                      <a:ext cx="465836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7E7FE" w14:textId="77777777" w:rsidR="00035BD9" w:rsidRPr="0087630C" w:rsidRDefault="00312209" w:rsidP="00312209">
      <w:pPr>
        <w:tabs>
          <w:tab w:val="left" w:pos="1230"/>
        </w:tabs>
        <w:rPr>
          <w:b/>
          <w:bCs/>
          <w:sz w:val="28"/>
          <w:szCs w:val="28"/>
        </w:rPr>
      </w:pPr>
      <w:r w:rsidRPr="0087630C">
        <w:rPr>
          <w:b/>
          <w:bCs/>
          <w:sz w:val="28"/>
          <w:szCs w:val="28"/>
        </w:rPr>
        <w:tab/>
      </w:r>
    </w:p>
    <w:p w14:paraId="093BC408" w14:textId="77777777" w:rsidR="00C90402" w:rsidRPr="0087630C" w:rsidRDefault="00C90402" w:rsidP="00E022A7">
      <w:pPr>
        <w:jc w:val="center"/>
        <w:rPr>
          <w:b/>
          <w:bCs/>
          <w:sz w:val="28"/>
          <w:szCs w:val="28"/>
        </w:rPr>
      </w:pPr>
    </w:p>
    <w:p w14:paraId="54DC28B1" w14:textId="77777777" w:rsidR="00662125" w:rsidRPr="0087630C" w:rsidRDefault="00662125" w:rsidP="00704BA9">
      <w:pPr>
        <w:jc w:val="center"/>
        <w:rPr>
          <w:b/>
          <w:bCs/>
          <w:sz w:val="28"/>
          <w:szCs w:val="28"/>
        </w:rPr>
      </w:pPr>
    </w:p>
    <w:p w14:paraId="1D11FA93" w14:textId="77777777" w:rsidR="00662125" w:rsidRPr="0087630C" w:rsidRDefault="00662125" w:rsidP="00704BA9">
      <w:pPr>
        <w:jc w:val="center"/>
        <w:rPr>
          <w:b/>
          <w:bCs/>
          <w:sz w:val="28"/>
          <w:szCs w:val="28"/>
        </w:rPr>
      </w:pPr>
    </w:p>
    <w:p w14:paraId="55C69EEF" w14:textId="4A46C97F" w:rsidR="003B79BA" w:rsidRPr="0087630C" w:rsidRDefault="00C871D6" w:rsidP="00C871D6">
      <w:pPr>
        <w:rPr>
          <w:b/>
          <w:bCs/>
          <w:color w:val="AD9961"/>
          <w:sz w:val="28"/>
          <w:szCs w:val="28"/>
        </w:rPr>
      </w:pPr>
      <w:r w:rsidRPr="0087630C">
        <w:rPr>
          <w:b/>
          <w:bCs/>
          <w:color w:val="AD9961"/>
          <w:sz w:val="28"/>
          <w:szCs w:val="28"/>
        </w:rPr>
        <w:t>Guidance</w:t>
      </w:r>
      <w:r w:rsidR="00A02F37" w:rsidRPr="0087630C">
        <w:rPr>
          <w:b/>
          <w:bCs/>
          <w:color w:val="AD9961"/>
          <w:sz w:val="28"/>
          <w:szCs w:val="28"/>
        </w:rPr>
        <w:t xml:space="preserve"> –</w:t>
      </w:r>
    </w:p>
    <w:p w14:paraId="3FCC263E" w14:textId="01DCCA85" w:rsidR="00DF3288" w:rsidRPr="0087630C" w:rsidRDefault="006B5791" w:rsidP="00A82810">
      <w:pPr>
        <w:rPr>
          <w:b/>
          <w:bCs/>
          <w:color w:val="AD9961"/>
          <w:sz w:val="28"/>
          <w:szCs w:val="28"/>
        </w:rPr>
      </w:pPr>
      <w:r>
        <w:rPr>
          <w:b/>
          <w:bCs/>
          <w:color w:val="AD9961"/>
          <w:sz w:val="28"/>
          <w:szCs w:val="28"/>
        </w:rPr>
        <w:t xml:space="preserve">Regulation of </w:t>
      </w:r>
      <w:r w:rsidR="00DC69F0">
        <w:rPr>
          <w:b/>
          <w:bCs/>
          <w:color w:val="AD9961"/>
          <w:sz w:val="28"/>
          <w:szCs w:val="28"/>
        </w:rPr>
        <w:t>Digital Security</w:t>
      </w:r>
      <w:r w:rsidR="002974B2">
        <w:rPr>
          <w:b/>
          <w:bCs/>
          <w:color w:val="AD9961"/>
          <w:sz w:val="28"/>
          <w:szCs w:val="28"/>
        </w:rPr>
        <w:t xml:space="preserve"> Offerings and </w:t>
      </w:r>
      <w:r w:rsidR="00A82810">
        <w:rPr>
          <w:b/>
          <w:bCs/>
          <w:color w:val="AD9961"/>
          <w:sz w:val="28"/>
          <w:szCs w:val="28"/>
        </w:rPr>
        <w:t xml:space="preserve">Virtual </w:t>
      </w:r>
      <w:r w:rsidR="00484702">
        <w:rPr>
          <w:b/>
          <w:bCs/>
          <w:color w:val="AD9961"/>
          <w:sz w:val="28"/>
          <w:szCs w:val="28"/>
        </w:rPr>
        <w:t>Assets</w:t>
      </w:r>
      <w:r w:rsidR="002974B2">
        <w:rPr>
          <w:b/>
          <w:bCs/>
          <w:color w:val="AD9961"/>
          <w:sz w:val="28"/>
          <w:szCs w:val="28"/>
        </w:rPr>
        <w:t xml:space="preserve"> </w:t>
      </w:r>
      <w:r>
        <w:rPr>
          <w:b/>
          <w:bCs/>
          <w:color w:val="AD9961"/>
          <w:sz w:val="28"/>
          <w:szCs w:val="28"/>
        </w:rPr>
        <w:t>under the Financial Services and Markets Regulations</w:t>
      </w:r>
    </w:p>
    <w:p w14:paraId="15E3F630" w14:textId="42D97901" w:rsidR="00A02F37" w:rsidRDefault="00A02F37" w:rsidP="00952BAE">
      <w:pPr>
        <w:rPr>
          <w:b/>
          <w:bCs/>
          <w:color w:val="AD9961"/>
          <w:sz w:val="28"/>
          <w:szCs w:val="28"/>
        </w:rPr>
      </w:pPr>
    </w:p>
    <w:p w14:paraId="2C03E685" w14:textId="03DDCBC8" w:rsidR="00311FFF" w:rsidRDefault="00311FFF" w:rsidP="00952BAE">
      <w:pPr>
        <w:rPr>
          <w:b/>
          <w:bCs/>
          <w:color w:val="AD9961"/>
          <w:sz w:val="28"/>
          <w:szCs w:val="28"/>
        </w:rPr>
      </w:pPr>
    </w:p>
    <w:p w14:paraId="6EDF6429" w14:textId="6B07E640" w:rsidR="00311FFF" w:rsidRDefault="00311FFF" w:rsidP="00952BAE">
      <w:pPr>
        <w:rPr>
          <w:b/>
          <w:bCs/>
          <w:color w:val="AD9961"/>
          <w:sz w:val="28"/>
          <w:szCs w:val="28"/>
        </w:rPr>
      </w:pPr>
    </w:p>
    <w:p w14:paraId="291919C4" w14:textId="0A88E45F" w:rsidR="00311FFF" w:rsidRDefault="00311FFF" w:rsidP="00952BAE">
      <w:pPr>
        <w:rPr>
          <w:b/>
          <w:bCs/>
          <w:color w:val="AD9961"/>
          <w:sz w:val="28"/>
          <w:szCs w:val="28"/>
        </w:rPr>
      </w:pPr>
    </w:p>
    <w:p w14:paraId="40ADD346" w14:textId="1BAA208D" w:rsidR="00311FFF" w:rsidRDefault="00311FFF" w:rsidP="00952BAE">
      <w:pPr>
        <w:rPr>
          <w:b/>
          <w:bCs/>
          <w:color w:val="AD9961"/>
          <w:sz w:val="28"/>
          <w:szCs w:val="28"/>
        </w:rPr>
      </w:pPr>
    </w:p>
    <w:p w14:paraId="68AF7D2A" w14:textId="3BC35167" w:rsidR="00311FFF" w:rsidRDefault="00311FFF" w:rsidP="00952BAE">
      <w:pPr>
        <w:rPr>
          <w:b/>
          <w:bCs/>
          <w:color w:val="AD9961"/>
          <w:sz w:val="28"/>
          <w:szCs w:val="28"/>
        </w:rPr>
      </w:pPr>
    </w:p>
    <w:p w14:paraId="4F16A027" w14:textId="0CFB3AA8" w:rsidR="00311FFF" w:rsidRDefault="00311FFF" w:rsidP="00952BAE">
      <w:pPr>
        <w:rPr>
          <w:b/>
          <w:bCs/>
          <w:color w:val="AD9961"/>
          <w:sz w:val="28"/>
          <w:szCs w:val="28"/>
        </w:rPr>
      </w:pPr>
    </w:p>
    <w:p w14:paraId="1D060551" w14:textId="14C059D7" w:rsidR="00311FFF" w:rsidRDefault="00311FFF" w:rsidP="00952BAE">
      <w:pPr>
        <w:rPr>
          <w:b/>
          <w:bCs/>
          <w:color w:val="AD9961"/>
          <w:sz w:val="28"/>
          <w:szCs w:val="28"/>
        </w:rPr>
      </w:pPr>
    </w:p>
    <w:p w14:paraId="32435291" w14:textId="4094922C" w:rsidR="00311FFF" w:rsidRDefault="00311FFF" w:rsidP="00952BAE">
      <w:pPr>
        <w:rPr>
          <w:b/>
          <w:bCs/>
          <w:color w:val="AD9961"/>
          <w:sz w:val="28"/>
          <w:szCs w:val="28"/>
        </w:rPr>
      </w:pPr>
    </w:p>
    <w:p w14:paraId="1EB8899D" w14:textId="750CBC90" w:rsidR="00311FFF" w:rsidRDefault="00311FFF" w:rsidP="00952BAE">
      <w:pPr>
        <w:rPr>
          <w:b/>
          <w:bCs/>
          <w:color w:val="AD9961"/>
          <w:sz w:val="28"/>
          <w:szCs w:val="28"/>
        </w:rPr>
      </w:pPr>
    </w:p>
    <w:p w14:paraId="04AAD6EE" w14:textId="507B9E3B" w:rsidR="00311FFF" w:rsidRDefault="00311FFF" w:rsidP="00952BAE">
      <w:pPr>
        <w:rPr>
          <w:b/>
          <w:bCs/>
          <w:color w:val="AD9961"/>
          <w:sz w:val="28"/>
          <w:szCs w:val="28"/>
        </w:rPr>
      </w:pPr>
    </w:p>
    <w:p w14:paraId="31721E3E" w14:textId="2FB0B03F" w:rsidR="00311FFF" w:rsidRDefault="00311FFF" w:rsidP="00952BAE">
      <w:pPr>
        <w:rPr>
          <w:b/>
          <w:bCs/>
          <w:color w:val="AD9961"/>
          <w:sz w:val="28"/>
          <w:szCs w:val="28"/>
        </w:rPr>
      </w:pPr>
    </w:p>
    <w:p w14:paraId="286638EE" w14:textId="5A9B05E0" w:rsidR="00311FFF" w:rsidRDefault="00311FFF" w:rsidP="00952BAE">
      <w:pPr>
        <w:rPr>
          <w:b/>
          <w:bCs/>
          <w:color w:val="AD9961"/>
          <w:sz w:val="28"/>
          <w:szCs w:val="28"/>
        </w:rPr>
      </w:pPr>
    </w:p>
    <w:p w14:paraId="083D5B2A" w14:textId="72A1605C" w:rsidR="00311FFF" w:rsidRDefault="00311FFF" w:rsidP="00952BAE">
      <w:pPr>
        <w:rPr>
          <w:b/>
          <w:bCs/>
          <w:color w:val="AD9961"/>
          <w:sz w:val="28"/>
          <w:szCs w:val="28"/>
        </w:rPr>
      </w:pPr>
    </w:p>
    <w:p w14:paraId="33FA9CE3" w14:textId="0A8462C3" w:rsidR="00311FFF" w:rsidRDefault="00311FFF" w:rsidP="00952BAE">
      <w:pPr>
        <w:rPr>
          <w:b/>
          <w:bCs/>
          <w:color w:val="AD9961"/>
          <w:sz w:val="28"/>
          <w:szCs w:val="28"/>
        </w:rPr>
      </w:pPr>
    </w:p>
    <w:p w14:paraId="13CD8558" w14:textId="37F3690D" w:rsidR="00311FFF" w:rsidRDefault="00311FFF" w:rsidP="00952BAE">
      <w:pPr>
        <w:rPr>
          <w:b/>
          <w:bCs/>
          <w:color w:val="AD9961"/>
          <w:sz w:val="28"/>
          <w:szCs w:val="28"/>
        </w:rPr>
      </w:pPr>
    </w:p>
    <w:p w14:paraId="1011E9FF" w14:textId="6FC534FB" w:rsidR="00311FFF" w:rsidRDefault="00311FFF" w:rsidP="00952BAE">
      <w:pPr>
        <w:rPr>
          <w:b/>
          <w:bCs/>
          <w:color w:val="AD9961"/>
          <w:sz w:val="28"/>
          <w:szCs w:val="28"/>
        </w:rPr>
      </w:pPr>
    </w:p>
    <w:p w14:paraId="7B8E8668" w14:textId="05860BEF" w:rsidR="00311FFF" w:rsidRDefault="00311FFF" w:rsidP="00952BAE">
      <w:pPr>
        <w:rPr>
          <w:b/>
          <w:bCs/>
          <w:color w:val="AD9961"/>
          <w:sz w:val="28"/>
          <w:szCs w:val="28"/>
        </w:rPr>
      </w:pPr>
    </w:p>
    <w:p w14:paraId="02847C8F" w14:textId="7E3610CB" w:rsidR="00311FFF" w:rsidRDefault="00311FFF" w:rsidP="00952BAE">
      <w:pPr>
        <w:rPr>
          <w:b/>
          <w:bCs/>
          <w:color w:val="AD9961"/>
          <w:sz w:val="28"/>
          <w:szCs w:val="28"/>
        </w:rPr>
      </w:pPr>
    </w:p>
    <w:p w14:paraId="2F890423" w14:textId="77777777" w:rsidR="00311FFF" w:rsidRDefault="00311FFF" w:rsidP="00311FFF">
      <w:pPr>
        <w:pStyle w:val="ListParagraph"/>
        <w:jc w:val="right"/>
        <w:rPr>
          <w:b/>
          <w:bCs/>
          <w:color w:val="AD9961"/>
          <w:sz w:val="28"/>
          <w:szCs w:val="28"/>
        </w:rPr>
      </w:pPr>
      <w:r w:rsidRPr="000D70DC">
        <w:rPr>
          <w:b/>
          <w:bCs/>
          <w:color w:val="AD9961"/>
          <w:sz w:val="28"/>
          <w:szCs w:val="28"/>
        </w:rPr>
        <w:t>DATE</w:t>
      </w:r>
      <w:r w:rsidRPr="00175BCD">
        <w:rPr>
          <w:b/>
          <w:bCs/>
          <w:color w:val="AD9961"/>
          <w:sz w:val="28"/>
          <w:szCs w:val="28"/>
        </w:rPr>
        <w:t xml:space="preserve">: </w:t>
      </w:r>
      <w:r w:rsidRPr="00175BCD">
        <w:rPr>
          <w:b/>
          <w:color w:val="AD9961"/>
          <w:sz w:val="28"/>
        </w:rPr>
        <w:t xml:space="preserve"> 24 February 2020</w:t>
      </w:r>
    </w:p>
    <w:p w14:paraId="4EE98E70" w14:textId="56F82154" w:rsidR="00311FFF" w:rsidRPr="0087630C" w:rsidRDefault="00311FFF" w:rsidP="00311FFF">
      <w:pPr>
        <w:jc w:val="right"/>
        <w:rPr>
          <w:b/>
          <w:bCs/>
          <w:color w:val="AD9961"/>
          <w:sz w:val="28"/>
          <w:szCs w:val="28"/>
        </w:rPr>
      </w:pPr>
    </w:p>
    <w:p w14:paraId="656844DC" w14:textId="77777777" w:rsidR="00304668" w:rsidRPr="0087630C" w:rsidRDefault="00304668" w:rsidP="007B5EB7">
      <w:pPr>
        <w:jc w:val="center"/>
        <w:rPr>
          <w:sz w:val="28"/>
          <w:szCs w:val="28"/>
        </w:rPr>
      </w:pPr>
    </w:p>
    <w:p w14:paraId="6C269951" w14:textId="77777777" w:rsidR="006F3D63" w:rsidRPr="0087630C" w:rsidRDefault="006F3D63" w:rsidP="000F52CC">
      <w:pPr>
        <w:rPr>
          <w:sz w:val="28"/>
          <w:szCs w:val="28"/>
        </w:rPr>
      </w:pPr>
    </w:p>
    <w:p w14:paraId="1FD499C3" w14:textId="77777777" w:rsidR="00B33D51" w:rsidRPr="0087630C" w:rsidRDefault="00B33D51" w:rsidP="00F270E7">
      <w:pPr>
        <w:rPr>
          <w:sz w:val="28"/>
          <w:szCs w:val="28"/>
        </w:rPr>
      </w:pPr>
    </w:p>
    <w:p w14:paraId="3A1B7F85" w14:textId="2112F0DE" w:rsidR="00044AE3" w:rsidRPr="0087630C" w:rsidRDefault="00DF1263" w:rsidP="007B3BAB">
      <w:pPr>
        <w:jc w:val="center"/>
        <w:rPr>
          <w:b/>
          <w:bCs/>
          <w:sz w:val="28"/>
          <w:szCs w:val="28"/>
        </w:rPr>
      </w:pPr>
      <w:r w:rsidRPr="0087630C">
        <w:rPr>
          <w:b/>
          <w:bCs/>
          <w:sz w:val="28"/>
          <w:szCs w:val="28"/>
        </w:rPr>
        <w:br w:type="page"/>
      </w:r>
      <w:r w:rsidR="007B3BAB">
        <w:rPr>
          <w:b/>
          <w:bCs/>
          <w:sz w:val="28"/>
          <w:szCs w:val="28"/>
        </w:rPr>
        <w:lastRenderedPageBreak/>
        <w:t xml:space="preserve">TABLE OF </w:t>
      </w:r>
      <w:r w:rsidR="008966C7" w:rsidRPr="0087630C">
        <w:rPr>
          <w:b/>
          <w:bCs/>
          <w:sz w:val="28"/>
          <w:szCs w:val="28"/>
        </w:rPr>
        <w:t>CONTENTS</w:t>
      </w:r>
    </w:p>
    <w:p w14:paraId="4BF7D533" w14:textId="77777777" w:rsidR="003C34A3" w:rsidRPr="0087630C" w:rsidRDefault="003C34A3" w:rsidP="003C34A3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575157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BAF518" w14:textId="49BF2E3D" w:rsidR="0065681E" w:rsidRDefault="0065681E" w:rsidP="007B3BAB">
          <w:pPr>
            <w:pStyle w:val="TOCHeading"/>
          </w:pPr>
        </w:p>
        <w:p w14:paraId="67B27B2E" w14:textId="1C128612" w:rsidR="00EC0063" w:rsidRDefault="0065681E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3431582" w:history="1">
            <w:r w:rsidR="00EC0063" w:rsidRPr="000C2525">
              <w:rPr>
                <w:rStyle w:val="Hyperlink"/>
                <w:noProof/>
              </w:rPr>
              <w:t>1.</w:t>
            </w:r>
            <w:r w:rsidR="00EC0063">
              <w:rPr>
                <w:rFonts w:eastAsiaTheme="minorEastAsia"/>
                <w:noProof/>
                <w:lang w:eastAsia="en-GB"/>
              </w:rPr>
              <w:tab/>
            </w:r>
            <w:r w:rsidR="00EC0063" w:rsidRPr="000C2525">
              <w:rPr>
                <w:rStyle w:val="Hyperlink"/>
                <w:noProof/>
              </w:rPr>
              <w:t>INTRODUCTION</w:t>
            </w:r>
            <w:r w:rsidR="00EC0063">
              <w:rPr>
                <w:noProof/>
                <w:webHidden/>
              </w:rPr>
              <w:tab/>
            </w:r>
            <w:r w:rsidR="00EC0063">
              <w:rPr>
                <w:noProof/>
                <w:webHidden/>
              </w:rPr>
              <w:fldChar w:fldCharType="begin"/>
            </w:r>
            <w:r w:rsidR="00EC0063">
              <w:rPr>
                <w:noProof/>
                <w:webHidden/>
              </w:rPr>
              <w:instrText xml:space="preserve"> PAGEREF _Toc33431582 \h </w:instrText>
            </w:r>
            <w:r w:rsidR="00EC0063">
              <w:rPr>
                <w:noProof/>
                <w:webHidden/>
              </w:rPr>
            </w:r>
            <w:r w:rsidR="00EC0063">
              <w:rPr>
                <w:noProof/>
                <w:webHidden/>
              </w:rPr>
              <w:fldChar w:fldCharType="separate"/>
            </w:r>
            <w:r w:rsidR="008C39B7">
              <w:rPr>
                <w:noProof/>
                <w:webHidden/>
              </w:rPr>
              <w:t>3</w:t>
            </w:r>
            <w:r w:rsidR="00EC0063">
              <w:rPr>
                <w:noProof/>
                <w:webHidden/>
              </w:rPr>
              <w:fldChar w:fldCharType="end"/>
            </w:r>
          </w:hyperlink>
        </w:p>
        <w:p w14:paraId="452C7950" w14:textId="6E82EC97" w:rsidR="00EC0063" w:rsidRDefault="00826E63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3431583" w:history="1">
            <w:r w:rsidR="00EC0063" w:rsidRPr="000C2525">
              <w:rPr>
                <w:rStyle w:val="Hyperlink"/>
                <w:noProof/>
              </w:rPr>
              <w:t>2.</w:t>
            </w:r>
            <w:r w:rsidR="00EC0063">
              <w:rPr>
                <w:rFonts w:eastAsiaTheme="minorEastAsia"/>
                <w:noProof/>
                <w:lang w:eastAsia="en-GB"/>
              </w:rPr>
              <w:tab/>
            </w:r>
            <w:r w:rsidR="00EC0063" w:rsidRPr="000C2525">
              <w:rPr>
                <w:rStyle w:val="Hyperlink"/>
                <w:noProof/>
              </w:rPr>
              <w:t>BACKGROUND</w:t>
            </w:r>
            <w:r w:rsidR="00EC0063">
              <w:rPr>
                <w:noProof/>
                <w:webHidden/>
              </w:rPr>
              <w:tab/>
            </w:r>
            <w:r w:rsidR="00EC0063">
              <w:rPr>
                <w:noProof/>
                <w:webHidden/>
              </w:rPr>
              <w:fldChar w:fldCharType="begin"/>
            </w:r>
            <w:r w:rsidR="00EC0063">
              <w:rPr>
                <w:noProof/>
                <w:webHidden/>
              </w:rPr>
              <w:instrText xml:space="preserve"> PAGEREF _Toc33431583 \h </w:instrText>
            </w:r>
            <w:r w:rsidR="00EC0063">
              <w:rPr>
                <w:noProof/>
                <w:webHidden/>
              </w:rPr>
            </w:r>
            <w:r w:rsidR="00EC0063">
              <w:rPr>
                <w:noProof/>
                <w:webHidden/>
              </w:rPr>
              <w:fldChar w:fldCharType="separate"/>
            </w:r>
            <w:r w:rsidR="008C39B7">
              <w:rPr>
                <w:noProof/>
                <w:webHidden/>
              </w:rPr>
              <w:t>3</w:t>
            </w:r>
            <w:r w:rsidR="00EC0063">
              <w:rPr>
                <w:noProof/>
                <w:webHidden/>
              </w:rPr>
              <w:fldChar w:fldCharType="end"/>
            </w:r>
          </w:hyperlink>
        </w:p>
        <w:p w14:paraId="5636D797" w14:textId="3E16C66D" w:rsidR="00EC0063" w:rsidRDefault="00826E63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3431584" w:history="1">
            <w:r w:rsidR="00EC0063" w:rsidRPr="000C2525">
              <w:rPr>
                <w:rStyle w:val="Hyperlink"/>
                <w:noProof/>
              </w:rPr>
              <w:t>3.</w:t>
            </w:r>
            <w:r w:rsidR="00EC0063">
              <w:rPr>
                <w:rFonts w:eastAsiaTheme="minorEastAsia"/>
                <w:noProof/>
                <w:lang w:eastAsia="en-GB"/>
              </w:rPr>
              <w:tab/>
            </w:r>
            <w:r w:rsidR="00EC0063" w:rsidRPr="000C2525">
              <w:rPr>
                <w:rStyle w:val="Hyperlink"/>
                <w:noProof/>
              </w:rPr>
              <w:t>INITIAL COIN OFFERINGS</w:t>
            </w:r>
            <w:r w:rsidR="00EC0063">
              <w:rPr>
                <w:noProof/>
                <w:webHidden/>
              </w:rPr>
              <w:tab/>
            </w:r>
            <w:r w:rsidR="00EC0063">
              <w:rPr>
                <w:noProof/>
                <w:webHidden/>
              </w:rPr>
              <w:fldChar w:fldCharType="begin"/>
            </w:r>
            <w:r w:rsidR="00EC0063">
              <w:rPr>
                <w:noProof/>
                <w:webHidden/>
              </w:rPr>
              <w:instrText xml:space="preserve"> PAGEREF _Toc33431584 \h </w:instrText>
            </w:r>
            <w:r w:rsidR="00EC0063">
              <w:rPr>
                <w:noProof/>
                <w:webHidden/>
              </w:rPr>
            </w:r>
            <w:r w:rsidR="00EC0063">
              <w:rPr>
                <w:noProof/>
                <w:webHidden/>
              </w:rPr>
              <w:fldChar w:fldCharType="separate"/>
            </w:r>
            <w:r w:rsidR="008C39B7">
              <w:rPr>
                <w:noProof/>
                <w:webHidden/>
              </w:rPr>
              <w:t>4</w:t>
            </w:r>
            <w:r w:rsidR="00EC0063">
              <w:rPr>
                <w:noProof/>
                <w:webHidden/>
              </w:rPr>
              <w:fldChar w:fldCharType="end"/>
            </w:r>
          </w:hyperlink>
        </w:p>
        <w:p w14:paraId="10F99A6B" w14:textId="133A0971" w:rsidR="00EC0063" w:rsidRDefault="00826E63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3431585" w:history="1">
            <w:r w:rsidR="00EC0063" w:rsidRPr="000C2525">
              <w:rPr>
                <w:rStyle w:val="Hyperlink"/>
                <w:rFonts w:cstheme="minorHAnsi"/>
                <w:noProof/>
              </w:rPr>
              <w:t>4.</w:t>
            </w:r>
            <w:r w:rsidR="00EC0063">
              <w:rPr>
                <w:rFonts w:eastAsiaTheme="minorEastAsia"/>
                <w:noProof/>
                <w:lang w:eastAsia="en-GB"/>
              </w:rPr>
              <w:tab/>
            </w:r>
            <w:r w:rsidR="00EC0063" w:rsidRPr="000C2525">
              <w:rPr>
                <w:rStyle w:val="Hyperlink"/>
                <w:noProof/>
              </w:rPr>
              <w:t>VIRTUAL ASSETS</w:t>
            </w:r>
            <w:r w:rsidR="00EC0063">
              <w:rPr>
                <w:noProof/>
                <w:webHidden/>
              </w:rPr>
              <w:tab/>
            </w:r>
            <w:r w:rsidR="00EC0063">
              <w:rPr>
                <w:noProof/>
                <w:webHidden/>
              </w:rPr>
              <w:fldChar w:fldCharType="begin"/>
            </w:r>
            <w:r w:rsidR="00EC0063">
              <w:rPr>
                <w:noProof/>
                <w:webHidden/>
              </w:rPr>
              <w:instrText xml:space="preserve"> PAGEREF _Toc33431585 \h </w:instrText>
            </w:r>
            <w:r w:rsidR="00EC0063">
              <w:rPr>
                <w:noProof/>
                <w:webHidden/>
              </w:rPr>
            </w:r>
            <w:r w:rsidR="00EC0063">
              <w:rPr>
                <w:noProof/>
                <w:webHidden/>
              </w:rPr>
              <w:fldChar w:fldCharType="separate"/>
            </w:r>
            <w:r w:rsidR="008C39B7">
              <w:rPr>
                <w:noProof/>
                <w:webHidden/>
              </w:rPr>
              <w:t>7</w:t>
            </w:r>
            <w:r w:rsidR="00EC0063">
              <w:rPr>
                <w:noProof/>
                <w:webHidden/>
              </w:rPr>
              <w:fldChar w:fldCharType="end"/>
            </w:r>
          </w:hyperlink>
        </w:p>
        <w:p w14:paraId="52A5B730" w14:textId="035D9543" w:rsidR="00EC0063" w:rsidRDefault="00826E63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33431586" w:history="1">
            <w:r w:rsidR="00EC0063" w:rsidRPr="000C2525">
              <w:rPr>
                <w:rStyle w:val="Hyperlink"/>
                <w:noProof/>
              </w:rPr>
              <w:t>5.</w:t>
            </w:r>
            <w:r w:rsidR="00EC0063">
              <w:rPr>
                <w:rFonts w:eastAsiaTheme="minorEastAsia"/>
                <w:noProof/>
                <w:lang w:eastAsia="en-GB"/>
              </w:rPr>
              <w:tab/>
            </w:r>
            <w:r w:rsidR="00EC0063" w:rsidRPr="000C2525">
              <w:rPr>
                <w:rStyle w:val="Hyperlink"/>
                <w:noProof/>
              </w:rPr>
              <w:t>SUMMARY</w:t>
            </w:r>
            <w:r w:rsidR="00EC0063">
              <w:rPr>
                <w:noProof/>
                <w:webHidden/>
              </w:rPr>
              <w:tab/>
            </w:r>
            <w:r w:rsidR="00EC0063">
              <w:rPr>
                <w:noProof/>
                <w:webHidden/>
              </w:rPr>
              <w:fldChar w:fldCharType="begin"/>
            </w:r>
            <w:r w:rsidR="00EC0063">
              <w:rPr>
                <w:noProof/>
                <w:webHidden/>
              </w:rPr>
              <w:instrText xml:space="preserve"> PAGEREF _Toc33431586 \h </w:instrText>
            </w:r>
            <w:r w:rsidR="00EC0063">
              <w:rPr>
                <w:noProof/>
                <w:webHidden/>
              </w:rPr>
            </w:r>
            <w:r w:rsidR="00EC0063">
              <w:rPr>
                <w:noProof/>
                <w:webHidden/>
              </w:rPr>
              <w:fldChar w:fldCharType="separate"/>
            </w:r>
            <w:r w:rsidR="008C39B7">
              <w:rPr>
                <w:noProof/>
                <w:webHidden/>
              </w:rPr>
              <w:t>9</w:t>
            </w:r>
            <w:r w:rsidR="00EC0063">
              <w:rPr>
                <w:noProof/>
                <w:webHidden/>
              </w:rPr>
              <w:fldChar w:fldCharType="end"/>
            </w:r>
          </w:hyperlink>
        </w:p>
        <w:p w14:paraId="0673B901" w14:textId="62D6DB93" w:rsidR="0065681E" w:rsidRDefault="0065681E">
          <w:r>
            <w:fldChar w:fldCharType="end"/>
          </w:r>
        </w:p>
      </w:sdtContent>
    </w:sdt>
    <w:p w14:paraId="208D0639" w14:textId="77777777" w:rsidR="0087630C" w:rsidRPr="0087630C" w:rsidRDefault="0087630C">
      <w:pPr>
        <w:rPr>
          <w:rFonts w:eastAsiaTheme="majorEastAsia" w:cs="Times New Roman"/>
          <w:b/>
          <w:caps/>
          <w:sz w:val="28"/>
          <w:szCs w:val="28"/>
        </w:rPr>
      </w:pPr>
      <w:r w:rsidRPr="0087630C">
        <w:rPr>
          <w:bCs/>
          <w:sz w:val="28"/>
          <w:szCs w:val="28"/>
        </w:rPr>
        <w:br w:type="page"/>
      </w:r>
    </w:p>
    <w:p w14:paraId="5D348EA6" w14:textId="77777777" w:rsidR="009F2A49" w:rsidRPr="0087630C" w:rsidRDefault="00045200" w:rsidP="004A39DF">
      <w:pPr>
        <w:pStyle w:val="Heading1"/>
        <w:rPr>
          <w:rFonts w:asciiTheme="minorHAnsi" w:hAnsiTheme="minorHAnsi"/>
          <w:bCs w:val="0"/>
          <w:sz w:val="28"/>
        </w:rPr>
      </w:pPr>
      <w:bookmarkStart w:id="0" w:name="_Toc33431582"/>
      <w:r w:rsidRPr="0087630C">
        <w:rPr>
          <w:rFonts w:asciiTheme="minorHAnsi" w:hAnsiTheme="minorHAnsi"/>
          <w:bCs w:val="0"/>
          <w:sz w:val="28"/>
        </w:rPr>
        <w:lastRenderedPageBreak/>
        <w:t>INTRODUCTION</w:t>
      </w:r>
      <w:bookmarkStart w:id="1" w:name="_Toc459894263"/>
      <w:bookmarkEnd w:id="1"/>
      <w:bookmarkEnd w:id="0"/>
    </w:p>
    <w:p w14:paraId="44515D42" w14:textId="6DA4B535" w:rsidR="00E7068E" w:rsidRPr="0087630C" w:rsidRDefault="00D2285A" w:rsidP="006067C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after="240"/>
        <w:contextualSpacing w:val="0"/>
        <w:jc w:val="both"/>
        <w:rPr>
          <w:sz w:val="28"/>
          <w:szCs w:val="28"/>
        </w:rPr>
      </w:pPr>
      <w:r w:rsidRPr="0087630C">
        <w:rPr>
          <w:sz w:val="28"/>
          <w:szCs w:val="28"/>
        </w:rPr>
        <w:t>This Guidance is issued under section 15(2) of the Financial Services and Markets Regulations 2015 (“</w:t>
      </w:r>
      <w:r w:rsidRPr="0087630C">
        <w:rPr>
          <w:b/>
          <w:sz w:val="28"/>
          <w:szCs w:val="28"/>
        </w:rPr>
        <w:t>FSMR</w:t>
      </w:r>
      <w:r w:rsidRPr="0087630C">
        <w:rPr>
          <w:sz w:val="28"/>
          <w:szCs w:val="28"/>
        </w:rPr>
        <w:t>”)</w:t>
      </w:r>
      <w:r w:rsidR="006C2D1E" w:rsidRPr="0087630C">
        <w:rPr>
          <w:sz w:val="28"/>
          <w:szCs w:val="28"/>
        </w:rPr>
        <w:t>.</w:t>
      </w:r>
      <w:r w:rsidR="008C1655" w:rsidRPr="0087630C">
        <w:rPr>
          <w:sz w:val="28"/>
          <w:szCs w:val="28"/>
        </w:rPr>
        <w:t xml:space="preserve">  It should be re</w:t>
      </w:r>
      <w:r w:rsidR="00324BFB" w:rsidRPr="0087630C">
        <w:rPr>
          <w:sz w:val="28"/>
          <w:szCs w:val="28"/>
        </w:rPr>
        <w:t>ad in conjunction with FSMR</w:t>
      </w:r>
      <w:r w:rsidR="00983A40">
        <w:rPr>
          <w:sz w:val="28"/>
          <w:szCs w:val="28"/>
        </w:rPr>
        <w:t>,</w:t>
      </w:r>
      <w:r w:rsidR="008C1655" w:rsidRPr="0087630C">
        <w:rPr>
          <w:sz w:val="28"/>
          <w:szCs w:val="28"/>
        </w:rPr>
        <w:t xml:space="preserve"> the</w:t>
      </w:r>
      <w:r w:rsidR="008D44BA" w:rsidRPr="0087630C">
        <w:rPr>
          <w:sz w:val="28"/>
          <w:szCs w:val="28"/>
        </w:rPr>
        <w:t xml:space="preserve"> relevant </w:t>
      </w:r>
      <w:r w:rsidR="008C1655" w:rsidRPr="00983A40">
        <w:rPr>
          <w:sz w:val="28"/>
          <w:szCs w:val="28"/>
        </w:rPr>
        <w:t>Rulebook</w:t>
      </w:r>
      <w:r w:rsidR="008D44BA" w:rsidRPr="00983A40">
        <w:rPr>
          <w:sz w:val="28"/>
          <w:szCs w:val="28"/>
        </w:rPr>
        <w:t>s</w:t>
      </w:r>
      <w:r w:rsidR="008D44BA" w:rsidRPr="0087630C">
        <w:rPr>
          <w:sz w:val="28"/>
          <w:szCs w:val="28"/>
        </w:rPr>
        <w:t xml:space="preserve"> </w:t>
      </w:r>
      <w:r w:rsidR="002F00FC">
        <w:rPr>
          <w:sz w:val="28"/>
          <w:szCs w:val="28"/>
        </w:rPr>
        <w:t xml:space="preserve">of the </w:t>
      </w:r>
      <w:r w:rsidR="002F00FC" w:rsidRPr="0087630C">
        <w:rPr>
          <w:sz w:val="28"/>
          <w:szCs w:val="28"/>
        </w:rPr>
        <w:t>F</w:t>
      </w:r>
      <w:r w:rsidR="002F00FC">
        <w:rPr>
          <w:sz w:val="28"/>
          <w:szCs w:val="28"/>
        </w:rPr>
        <w:t xml:space="preserve">inancial </w:t>
      </w:r>
      <w:r w:rsidR="002F00FC" w:rsidRPr="0087630C">
        <w:rPr>
          <w:sz w:val="28"/>
          <w:szCs w:val="28"/>
        </w:rPr>
        <w:t>S</w:t>
      </w:r>
      <w:r w:rsidR="002F00FC">
        <w:rPr>
          <w:sz w:val="28"/>
          <w:szCs w:val="28"/>
        </w:rPr>
        <w:t xml:space="preserve">ervices </w:t>
      </w:r>
      <w:r w:rsidR="00DB70C5" w:rsidRPr="0087630C">
        <w:rPr>
          <w:sz w:val="28"/>
          <w:szCs w:val="28"/>
        </w:rPr>
        <w:t>R</w:t>
      </w:r>
      <w:r w:rsidR="00DB70C5">
        <w:rPr>
          <w:sz w:val="28"/>
          <w:szCs w:val="28"/>
        </w:rPr>
        <w:t>egulatory</w:t>
      </w:r>
      <w:r w:rsidR="002F00FC">
        <w:rPr>
          <w:sz w:val="28"/>
          <w:szCs w:val="28"/>
        </w:rPr>
        <w:t xml:space="preserve"> </w:t>
      </w:r>
      <w:r w:rsidR="002F00FC" w:rsidRPr="0087630C">
        <w:rPr>
          <w:sz w:val="28"/>
          <w:szCs w:val="28"/>
        </w:rPr>
        <w:t>A</w:t>
      </w:r>
      <w:r w:rsidR="002F00FC">
        <w:rPr>
          <w:sz w:val="28"/>
          <w:szCs w:val="28"/>
        </w:rPr>
        <w:t>uthority</w:t>
      </w:r>
      <w:r w:rsidR="002F00FC" w:rsidRPr="0087630C">
        <w:rPr>
          <w:sz w:val="28"/>
          <w:szCs w:val="28"/>
        </w:rPr>
        <w:t xml:space="preserve"> </w:t>
      </w:r>
      <w:r w:rsidR="002F00FC">
        <w:rPr>
          <w:sz w:val="28"/>
          <w:szCs w:val="28"/>
        </w:rPr>
        <w:t>(</w:t>
      </w:r>
      <w:r w:rsidR="004C07BF">
        <w:rPr>
          <w:sz w:val="28"/>
          <w:szCs w:val="28"/>
        </w:rPr>
        <w:t>“</w:t>
      </w:r>
      <w:r w:rsidR="004C07BF">
        <w:rPr>
          <w:b/>
          <w:bCs/>
          <w:sz w:val="28"/>
          <w:szCs w:val="28"/>
        </w:rPr>
        <w:t>FSRA</w:t>
      </w:r>
      <w:r w:rsidR="004C07BF">
        <w:rPr>
          <w:sz w:val="28"/>
          <w:szCs w:val="28"/>
        </w:rPr>
        <w:t>”</w:t>
      </w:r>
      <w:r w:rsidR="002F00FC">
        <w:rPr>
          <w:sz w:val="28"/>
          <w:szCs w:val="28"/>
        </w:rPr>
        <w:t>)</w:t>
      </w:r>
      <w:r w:rsidR="00484702">
        <w:rPr>
          <w:sz w:val="28"/>
          <w:szCs w:val="28"/>
        </w:rPr>
        <w:t>,</w:t>
      </w:r>
      <w:r w:rsidR="00983A40">
        <w:rPr>
          <w:sz w:val="28"/>
          <w:szCs w:val="28"/>
        </w:rPr>
        <w:t xml:space="preserve"> the Guidance &amp; Policies Manual</w:t>
      </w:r>
      <w:r w:rsidR="002F00FC">
        <w:rPr>
          <w:sz w:val="28"/>
          <w:szCs w:val="28"/>
        </w:rPr>
        <w:t xml:space="preserve"> of </w:t>
      </w:r>
      <w:r w:rsidR="00163C40">
        <w:rPr>
          <w:sz w:val="28"/>
          <w:szCs w:val="28"/>
        </w:rPr>
        <w:t>FSRA</w:t>
      </w:r>
      <w:r w:rsidR="00484702">
        <w:rPr>
          <w:sz w:val="28"/>
          <w:szCs w:val="28"/>
        </w:rPr>
        <w:t xml:space="preserve">, the ‘Guidance – Regulation of </w:t>
      </w:r>
      <w:r w:rsidR="00A82810">
        <w:rPr>
          <w:sz w:val="28"/>
          <w:szCs w:val="28"/>
        </w:rPr>
        <w:t xml:space="preserve">Virtual </w:t>
      </w:r>
      <w:r w:rsidR="00484702">
        <w:rPr>
          <w:sz w:val="28"/>
          <w:szCs w:val="28"/>
        </w:rPr>
        <w:t>Asset Activities in ADGM’</w:t>
      </w:r>
      <w:r w:rsidR="006067C4">
        <w:rPr>
          <w:rStyle w:val="FootnoteReference"/>
          <w:sz w:val="28"/>
          <w:szCs w:val="28"/>
        </w:rPr>
        <w:footnoteReference w:id="2"/>
      </w:r>
      <w:r w:rsidR="00A82810">
        <w:rPr>
          <w:sz w:val="28"/>
          <w:szCs w:val="28"/>
        </w:rPr>
        <w:t xml:space="preserve"> and the </w:t>
      </w:r>
      <w:r w:rsidR="00A82810" w:rsidRPr="008D2622">
        <w:rPr>
          <w:rFonts w:cs="Helvetica"/>
          <w:sz w:val="28"/>
          <w:szCs w:val="28"/>
        </w:rPr>
        <w:t>‘</w:t>
      </w:r>
      <w:r w:rsidR="00A82810" w:rsidRPr="00775042">
        <w:rPr>
          <w:rFonts w:cs="Helvetica"/>
          <w:sz w:val="28"/>
          <w:szCs w:val="28"/>
        </w:rPr>
        <w:t>Guidance – Regulation of Digital Securities Activity in ADGM</w:t>
      </w:r>
      <w:r w:rsidR="00A82810" w:rsidRPr="008D2622">
        <w:rPr>
          <w:rFonts w:cs="Helvetica"/>
          <w:i/>
          <w:iCs/>
          <w:sz w:val="28"/>
          <w:szCs w:val="28"/>
        </w:rPr>
        <w:t>’</w:t>
      </w:r>
      <w:r w:rsidR="00A82810" w:rsidRPr="008D2622">
        <w:rPr>
          <w:rFonts w:cs="Helvetica"/>
          <w:sz w:val="28"/>
          <w:szCs w:val="28"/>
        </w:rPr>
        <w:t xml:space="preserve"> (“Digital Securities Guidance”)</w:t>
      </w:r>
      <w:r w:rsidR="008C1655" w:rsidRPr="00A82810">
        <w:rPr>
          <w:sz w:val="28"/>
          <w:szCs w:val="28"/>
        </w:rPr>
        <w:t>.</w:t>
      </w:r>
      <w:r w:rsidR="006067C4" w:rsidRPr="006067C4">
        <w:rPr>
          <w:rStyle w:val="FootnoteReference"/>
          <w:rFonts w:cs="Helvetica"/>
          <w:i/>
          <w:iCs/>
          <w:sz w:val="28"/>
          <w:szCs w:val="28"/>
        </w:rPr>
        <w:t xml:space="preserve"> </w:t>
      </w:r>
      <w:r w:rsidR="006067C4" w:rsidRPr="006067C4">
        <w:rPr>
          <w:rStyle w:val="FootnoteReference"/>
          <w:rFonts w:cs="Helvetica"/>
          <w:sz w:val="28"/>
          <w:szCs w:val="28"/>
        </w:rPr>
        <w:footnoteReference w:id="3"/>
      </w:r>
    </w:p>
    <w:p w14:paraId="0073767C" w14:textId="4573BAAF" w:rsidR="006C2D1E" w:rsidRPr="0087630C" w:rsidRDefault="00E7068E" w:rsidP="00A8281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after="240"/>
        <w:contextualSpacing w:val="0"/>
        <w:jc w:val="both"/>
        <w:rPr>
          <w:rFonts w:cs="Calibri"/>
          <w:sz w:val="28"/>
          <w:szCs w:val="28"/>
        </w:rPr>
      </w:pPr>
      <w:r w:rsidRPr="0087630C">
        <w:rPr>
          <w:sz w:val="28"/>
          <w:szCs w:val="28"/>
        </w:rPr>
        <w:t>Th</w:t>
      </w:r>
      <w:r w:rsidR="00163C40">
        <w:rPr>
          <w:sz w:val="28"/>
          <w:szCs w:val="28"/>
        </w:rPr>
        <w:t>is</w:t>
      </w:r>
      <w:r w:rsidRPr="0087630C">
        <w:rPr>
          <w:sz w:val="28"/>
          <w:szCs w:val="28"/>
        </w:rPr>
        <w:t xml:space="preserve"> Guidance </w:t>
      </w:r>
      <w:r w:rsidRPr="0087630C">
        <w:rPr>
          <w:rFonts w:cs="Calibri"/>
          <w:sz w:val="28"/>
          <w:szCs w:val="28"/>
        </w:rPr>
        <w:t>is appl</w:t>
      </w:r>
      <w:r w:rsidR="00EC4336" w:rsidRPr="0087630C">
        <w:rPr>
          <w:rFonts w:cs="Calibri"/>
          <w:sz w:val="28"/>
          <w:szCs w:val="28"/>
        </w:rPr>
        <w:t xml:space="preserve">icable to </w:t>
      </w:r>
      <w:r w:rsidR="00B7459C">
        <w:rPr>
          <w:sz w:val="28"/>
          <w:szCs w:val="28"/>
        </w:rPr>
        <w:t xml:space="preserve">those considering the use of </w:t>
      </w:r>
      <w:r w:rsidR="00A81D80">
        <w:rPr>
          <w:sz w:val="28"/>
          <w:szCs w:val="28"/>
        </w:rPr>
        <w:t>i</w:t>
      </w:r>
      <w:r w:rsidR="00B7459C">
        <w:rPr>
          <w:sz w:val="28"/>
          <w:szCs w:val="28"/>
        </w:rPr>
        <w:t xml:space="preserve">nitial </w:t>
      </w:r>
      <w:r w:rsidR="00A81D80">
        <w:rPr>
          <w:sz w:val="28"/>
          <w:szCs w:val="28"/>
        </w:rPr>
        <w:t>c</w:t>
      </w:r>
      <w:r w:rsidR="00B7459C">
        <w:rPr>
          <w:sz w:val="28"/>
          <w:szCs w:val="28"/>
        </w:rPr>
        <w:t xml:space="preserve">oin or </w:t>
      </w:r>
      <w:r w:rsidR="00A81D80">
        <w:rPr>
          <w:sz w:val="28"/>
          <w:szCs w:val="28"/>
        </w:rPr>
        <w:t>t</w:t>
      </w:r>
      <w:r w:rsidR="00B7459C">
        <w:rPr>
          <w:sz w:val="28"/>
          <w:szCs w:val="28"/>
        </w:rPr>
        <w:t xml:space="preserve">oken </w:t>
      </w:r>
      <w:r w:rsidR="00A81D80" w:rsidRPr="001565E7">
        <w:rPr>
          <w:sz w:val="28"/>
          <w:szCs w:val="28"/>
        </w:rPr>
        <w:t>o</w:t>
      </w:r>
      <w:r w:rsidR="00B7459C" w:rsidRPr="001565E7">
        <w:rPr>
          <w:sz w:val="28"/>
          <w:szCs w:val="28"/>
        </w:rPr>
        <w:t>fferings (“</w:t>
      </w:r>
      <w:r w:rsidR="00B7459C" w:rsidRPr="001565E7">
        <w:rPr>
          <w:b/>
          <w:bCs/>
          <w:sz w:val="28"/>
          <w:szCs w:val="28"/>
        </w:rPr>
        <w:t>ICOs</w:t>
      </w:r>
      <w:r w:rsidR="00B7459C" w:rsidRPr="001565E7">
        <w:rPr>
          <w:sz w:val="28"/>
          <w:szCs w:val="28"/>
        </w:rPr>
        <w:t>”, also known as a Coin or Token Sale)</w:t>
      </w:r>
      <w:r w:rsidR="00B7459C">
        <w:rPr>
          <w:sz w:val="28"/>
          <w:szCs w:val="28"/>
        </w:rPr>
        <w:t xml:space="preserve"> to raise funds. The Guidance is also applicable to those considering transacting in</w:t>
      </w:r>
      <w:r w:rsidR="00163C40">
        <w:rPr>
          <w:sz w:val="28"/>
          <w:szCs w:val="28"/>
        </w:rPr>
        <w:t>,</w:t>
      </w:r>
      <w:r w:rsidR="00B7459C">
        <w:rPr>
          <w:sz w:val="28"/>
          <w:szCs w:val="28"/>
        </w:rPr>
        <w:t xml:space="preserve"> and the general use of</w:t>
      </w:r>
      <w:r w:rsidR="00163C40">
        <w:rPr>
          <w:sz w:val="28"/>
          <w:szCs w:val="28"/>
        </w:rPr>
        <w:t>,</w:t>
      </w:r>
      <w:r w:rsidR="00B7459C">
        <w:rPr>
          <w:sz w:val="28"/>
          <w:szCs w:val="28"/>
        </w:rPr>
        <w:t xml:space="preserve"> virtual </w:t>
      </w:r>
      <w:r w:rsidR="00DD75AC">
        <w:rPr>
          <w:sz w:val="28"/>
          <w:szCs w:val="28"/>
        </w:rPr>
        <w:t xml:space="preserve">tokens and </w:t>
      </w:r>
      <w:r w:rsidR="00A82810">
        <w:rPr>
          <w:sz w:val="28"/>
          <w:szCs w:val="28"/>
        </w:rPr>
        <w:t xml:space="preserve">Virtual </w:t>
      </w:r>
      <w:r w:rsidR="00A400DB">
        <w:rPr>
          <w:sz w:val="28"/>
          <w:szCs w:val="28"/>
        </w:rPr>
        <w:t>A</w:t>
      </w:r>
      <w:r w:rsidR="00484702">
        <w:rPr>
          <w:sz w:val="28"/>
          <w:szCs w:val="28"/>
        </w:rPr>
        <w:t>ssets</w:t>
      </w:r>
      <w:r w:rsidR="00A82810">
        <w:rPr>
          <w:sz w:val="28"/>
          <w:szCs w:val="28"/>
        </w:rPr>
        <w:t xml:space="preserve"> (as defined below)</w:t>
      </w:r>
      <w:r w:rsidR="00B7459C">
        <w:rPr>
          <w:sz w:val="28"/>
          <w:szCs w:val="28"/>
        </w:rPr>
        <w:t xml:space="preserve">.  </w:t>
      </w:r>
    </w:p>
    <w:p w14:paraId="68952DCA" w14:textId="03CDA02C" w:rsidR="006B3C0D" w:rsidRPr="006B3C0D" w:rsidRDefault="006B3C0D" w:rsidP="00A8281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after="240"/>
        <w:contextualSpacing w:val="0"/>
        <w:jc w:val="both"/>
        <w:rPr>
          <w:color w:val="000000"/>
          <w:sz w:val="28"/>
          <w:szCs w:val="28"/>
        </w:rPr>
      </w:pPr>
      <w:r w:rsidRPr="006B3C0D">
        <w:rPr>
          <w:sz w:val="28"/>
          <w:szCs w:val="28"/>
        </w:rPr>
        <w:t>T</w:t>
      </w:r>
      <w:r>
        <w:rPr>
          <w:sz w:val="28"/>
          <w:szCs w:val="28"/>
        </w:rPr>
        <w:t>he</w:t>
      </w:r>
      <w:r w:rsidR="00976211" w:rsidRPr="006B3C0D">
        <w:rPr>
          <w:sz w:val="28"/>
          <w:szCs w:val="28"/>
        </w:rPr>
        <w:t xml:space="preserve"> </w:t>
      </w:r>
      <w:r w:rsidR="00D2285A" w:rsidRPr="006B3C0D">
        <w:rPr>
          <w:spacing w:val="-1"/>
          <w:sz w:val="28"/>
          <w:szCs w:val="28"/>
        </w:rPr>
        <w:t>Guidance</w:t>
      </w:r>
      <w:r w:rsidR="00C6520C" w:rsidRPr="006B3C0D">
        <w:rPr>
          <w:spacing w:val="2"/>
          <w:sz w:val="28"/>
          <w:szCs w:val="28"/>
        </w:rPr>
        <w:t xml:space="preserve"> set</w:t>
      </w:r>
      <w:r w:rsidR="00742FF3" w:rsidRPr="006B3C0D">
        <w:rPr>
          <w:spacing w:val="2"/>
          <w:sz w:val="28"/>
          <w:szCs w:val="28"/>
        </w:rPr>
        <w:t>s</w:t>
      </w:r>
      <w:r w:rsidR="00E45674" w:rsidRPr="006B3C0D">
        <w:rPr>
          <w:spacing w:val="2"/>
          <w:sz w:val="28"/>
          <w:szCs w:val="28"/>
        </w:rPr>
        <w:t xml:space="preserve"> out </w:t>
      </w:r>
      <w:r w:rsidR="00163C40">
        <w:rPr>
          <w:sz w:val="28"/>
          <w:szCs w:val="28"/>
        </w:rPr>
        <w:t>FSRA</w:t>
      </w:r>
      <w:r w:rsidR="00235822" w:rsidRPr="006B3C0D">
        <w:rPr>
          <w:bCs/>
          <w:spacing w:val="2"/>
          <w:sz w:val="28"/>
          <w:szCs w:val="28"/>
        </w:rPr>
        <w:t>’s</w:t>
      </w:r>
      <w:r w:rsidR="005B7A29" w:rsidRPr="006B3C0D">
        <w:rPr>
          <w:spacing w:val="2"/>
          <w:sz w:val="28"/>
          <w:szCs w:val="28"/>
        </w:rPr>
        <w:t xml:space="preserve"> approach</w:t>
      </w:r>
      <w:r w:rsidRPr="006B3C0D">
        <w:rPr>
          <w:spacing w:val="2"/>
          <w:sz w:val="28"/>
          <w:szCs w:val="28"/>
        </w:rPr>
        <w:t xml:space="preserve"> </w:t>
      </w:r>
      <w:r w:rsidR="00A12ABC" w:rsidRPr="006B3C0D">
        <w:rPr>
          <w:spacing w:val="2"/>
          <w:sz w:val="28"/>
          <w:szCs w:val="28"/>
        </w:rPr>
        <w:t xml:space="preserve">to </w:t>
      </w:r>
      <w:r w:rsidR="009F3611">
        <w:rPr>
          <w:spacing w:val="2"/>
          <w:sz w:val="28"/>
          <w:szCs w:val="28"/>
        </w:rPr>
        <w:t xml:space="preserve">digital security </w:t>
      </w:r>
      <w:r w:rsidR="00BA51B7">
        <w:rPr>
          <w:spacing w:val="2"/>
          <w:sz w:val="28"/>
          <w:szCs w:val="28"/>
        </w:rPr>
        <w:t>issuers</w:t>
      </w:r>
      <w:r w:rsidR="00B7459C">
        <w:rPr>
          <w:spacing w:val="2"/>
          <w:sz w:val="28"/>
          <w:szCs w:val="28"/>
        </w:rPr>
        <w:t xml:space="preserve"> seeking to</w:t>
      </w:r>
      <w:r w:rsidRPr="006B3C0D">
        <w:rPr>
          <w:rFonts w:cs="Helvetica"/>
          <w:sz w:val="28"/>
          <w:szCs w:val="28"/>
        </w:rPr>
        <w:t xml:space="preserve"> </w:t>
      </w:r>
      <w:r w:rsidR="00B7459C">
        <w:rPr>
          <w:rFonts w:cs="Helvetica"/>
          <w:sz w:val="28"/>
          <w:szCs w:val="28"/>
        </w:rPr>
        <w:t xml:space="preserve">raise funds </w:t>
      </w:r>
      <w:r w:rsidR="00563DAF">
        <w:rPr>
          <w:rFonts w:cs="Helvetica"/>
          <w:sz w:val="28"/>
          <w:szCs w:val="28"/>
        </w:rPr>
        <w:t>through ICOs</w:t>
      </w:r>
      <w:r w:rsidR="00B82841">
        <w:rPr>
          <w:rFonts w:cs="Helvetica"/>
          <w:sz w:val="28"/>
          <w:szCs w:val="28"/>
        </w:rPr>
        <w:t>,</w:t>
      </w:r>
      <w:r w:rsidR="00B7459C">
        <w:rPr>
          <w:rFonts w:cs="Helvetica"/>
          <w:sz w:val="28"/>
          <w:szCs w:val="28"/>
        </w:rPr>
        <w:t xml:space="preserve"> and </w:t>
      </w:r>
      <w:r w:rsidR="00D06B85">
        <w:rPr>
          <w:rFonts w:cs="Helvetica"/>
          <w:sz w:val="28"/>
          <w:szCs w:val="28"/>
        </w:rPr>
        <w:t>market intermediaries or</w:t>
      </w:r>
      <w:r w:rsidR="00163C40">
        <w:rPr>
          <w:rFonts w:cs="Helvetica"/>
          <w:sz w:val="28"/>
          <w:szCs w:val="28"/>
        </w:rPr>
        <w:t xml:space="preserve"> </w:t>
      </w:r>
      <w:r w:rsidR="00B82841">
        <w:rPr>
          <w:rFonts w:cs="Helvetica"/>
          <w:sz w:val="28"/>
          <w:szCs w:val="28"/>
        </w:rPr>
        <w:t>operators</w:t>
      </w:r>
      <w:r w:rsidR="00563DAF">
        <w:rPr>
          <w:rFonts w:cs="Helvetica"/>
          <w:sz w:val="28"/>
          <w:szCs w:val="28"/>
        </w:rPr>
        <w:t xml:space="preserve"> dealing in or offering services in </w:t>
      </w:r>
      <w:r w:rsidR="009F3611">
        <w:rPr>
          <w:rFonts w:cs="Helvetica"/>
          <w:sz w:val="28"/>
          <w:szCs w:val="28"/>
        </w:rPr>
        <w:t>digital securities</w:t>
      </w:r>
      <w:r w:rsidR="008F659E">
        <w:rPr>
          <w:rFonts w:cs="Helvetica"/>
          <w:sz w:val="28"/>
          <w:szCs w:val="28"/>
        </w:rPr>
        <w:t xml:space="preserve"> and </w:t>
      </w:r>
      <w:r w:rsidR="00A82810">
        <w:rPr>
          <w:rFonts w:cs="Helvetica"/>
          <w:sz w:val="28"/>
          <w:szCs w:val="28"/>
        </w:rPr>
        <w:t xml:space="preserve">Virtual </w:t>
      </w:r>
      <w:r w:rsidR="00A400DB">
        <w:rPr>
          <w:rFonts w:cs="Helvetica"/>
          <w:sz w:val="28"/>
          <w:szCs w:val="28"/>
        </w:rPr>
        <w:t>A</w:t>
      </w:r>
      <w:r w:rsidR="00484702">
        <w:rPr>
          <w:rFonts w:cs="Helvetica"/>
          <w:sz w:val="28"/>
          <w:szCs w:val="28"/>
        </w:rPr>
        <w:t>ssets</w:t>
      </w:r>
      <w:r w:rsidR="00B7459C">
        <w:rPr>
          <w:rFonts w:cs="Helvetica"/>
          <w:sz w:val="28"/>
          <w:szCs w:val="28"/>
        </w:rPr>
        <w:t>.</w:t>
      </w:r>
    </w:p>
    <w:p w14:paraId="3E0A87CF" w14:textId="6E12DC88" w:rsidR="00C97E7A" w:rsidRPr="0087630C" w:rsidRDefault="00A36506" w:rsidP="00255D63">
      <w:pPr>
        <w:pStyle w:val="ListParagraph"/>
        <w:numPr>
          <w:ilvl w:val="1"/>
          <w:numId w:val="1"/>
        </w:numPr>
        <w:spacing w:before="240" w:after="240"/>
        <w:contextualSpacing w:val="0"/>
        <w:jc w:val="both"/>
        <w:rPr>
          <w:sz w:val="28"/>
          <w:szCs w:val="28"/>
        </w:rPr>
      </w:pPr>
      <w:r w:rsidRPr="0087630C">
        <w:rPr>
          <w:sz w:val="28"/>
          <w:szCs w:val="28"/>
        </w:rPr>
        <w:lastRenderedPageBreak/>
        <w:t xml:space="preserve">This </w:t>
      </w:r>
      <w:r w:rsidR="008C1655" w:rsidRPr="0087630C">
        <w:rPr>
          <w:sz w:val="28"/>
          <w:szCs w:val="28"/>
        </w:rPr>
        <w:t>Guidance</w:t>
      </w:r>
      <w:r w:rsidR="00730DED" w:rsidRPr="0087630C">
        <w:rPr>
          <w:sz w:val="28"/>
          <w:szCs w:val="28"/>
        </w:rPr>
        <w:t xml:space="preserve"> is not an ex</w:t>
      </w:r>
      <w:r w:rsidR="00082534" w:rsidRPr="0087630C">
        <w:rPr>
          <w:sz w:val="28"/>
          <w:szCs w:val="28"/>
        </w:rPr>
        <w:t xml:space="preserve">haustive source of </w:t>
      </w:r>
      <w:r w:rsidR="0027376E">
        <w:rPr>
          <w:sz w:val="28"/>
          <w:szCs w:val="28"/>
        </w:rPr>
        <w:t xml:space="preserve">the </w:t>
      </w:r>
      <w:r w:rsidR="00163C40">
        <w:rPr>
          <w:sz w:val="28"/>
          <w:szCs w:val="28"/>
        </w:rPr>
        <w:t>FSRA</w:t>
      </w:r>
      <w:r w:rsidR="00235822" w:rsidRPr="0087630C">
        <w:rPr>
          <w:sz w:val="28"/>
          <w:szCs w:val="28"/>
        </w:rPr>
        <w:t>’s</w:t>
      </w:r>
      <w:r w:rsidR="00730DED" w:rsidRPr="0087630C">
        <w:rPr>
          <w:sz w:val="28"/>
          <w:szCs w:val="28"/>
        </w:rPr>
        <w:t xml:space="preserve"> policy on the exercise of its </w:t>
      </w:r>
      <w:r w:rsidR="00163C40">
        <w:rPr>
          <w:sz w:val="28"/>
          <w:szCs w:val="28"/>
        </w:rPr>
        <w:t>regulatory mandate, and</w:t>
      </w:r>
      <w:r w:rsidR="00730DED" w:rsidRPr="0087630C">
        <w:rPr>
          <w:sz w:val="28"/>
          <w:szCs w:val="28"/>
        </w:rPr>
        <w:t xml:space="preserve"> </w:t>
      </w:r>
      <w:r w:rsidR="0027376E">
        <w:rPr>
          <w:sz w:val="28"/>
          <w:szCs w:val="28"/>
        </w:rPr>
        <w:t xml:space="preserve">the </w:t>
      </w:r>
      <w:r w:rsidR="00163C40">
        <w:rPr>
          <w:sz w:val="28"/>
          <w:szCs w:val="28"/>
        </w:rPr>
        <w:t>FSRA</w:t>
      </w:r>
      <w:r w:rsidR="00235822" w:rsidRPr="0087630C">
        <w:rPr>
          <w:sz w:val="28"/>
          <w:szCs w:val="28"/>
        </w:rPr>
        <w:t xml:space="preserve"> </w:t>
      </w:r>
      <w:r w:rsidR="007A6F61" w:rsidRPr="0087630C">
        <w:rPr>
          <w:sz w:val="28"/>
          <w:szCs w:val="28"/>
        </w:rPr>
        <w:t>may</w:t>
      </w:r>
      <w:r w:rsidR="00730DED" w:rsidRPr="0087630C">
        <w:rPr>
          <w:sz w:val="28"/>
          <w:szCs w:val="28"/>
        </w:rPr>
        <w:t xml:space="preserve"> </w:t>
      </w:r>
      <w:r w:rsidR="007A6F61" w:rsidRPr="0087630C">
        <w:rPr>
          <w:sz w:val="28"/>
          <w:szCs w:val="28"/>
        </w:rPr>
        <w:t>impose other</w:t>
      </w:r>
      <w:r w:rsidR="005D0EAD">
        <w:rPr>
          <w:sz w:val="28"/>
          <w:szCs w:val="28"/>
        </w:rPr>
        <w:t>, specific</w:t>
      </w:r>
      <w:r w:rsidR="007A6F61" w:rsidRPr="0087630C">
        <w:rPr>
          <w:sz w:val="28"/>
          <w:szCs w:val="28"/>
        </w:rPr>
        <w:t xml:space="preserve"> </w:t>
      </w:r>
      <w:r w:rsidR="00755C2F">
        <w:rPr>
          <w:sz w:val="28"/>
          <w:szCs w:val="28"/>
        </w:rPr>
        <w:t>conditions</w:t>
      </w:r>
      <w:r w:rsidR="00755C2F" w:rsidRPr="0087630C">
        <w:rPr>
          <w:sz w:val="28"/>
          <w:szCs w:val="28"/>
        </w:rPr>
        <w:t xml:space="preserve"> </w:t>
      </w:r>
      <w:r w:rsidR="00241649" w:rsidRPr="0087630C">
        <w:rPr>
          <w:sz w:val="28"/>
          <w:szCs w:val="28"/>
        </w:rPr>
        <w:t xml:space="preserve">to address any specific risks </w:t>
      </w:r>
      <w:r w:rsidR="009F111C" w:rsidRPr="0087630C">
        <w:rPr>
          <w:sz w:val="28"/>
          <w:szCs w:val="28"/>
        </w:rPr>
        <w:t>posed</w:t>
      </w:r>
      <w:r w:rsidR="00241649" w:rsidRPr="0087630C">
        <w:rPr>
          <w:sz w:val="28"/>
          <w:szCs w:val="28"/>
        </w:rPr>
        <w:t xml:space="preserve"> by the prop</w:t>
      </w:r>
      <w:r w:rsidR="00327FE2" w:rsidRPr="0087630C">
        <w:rPr>
          <w:sz w:val="28"/>
          <w:szCs w:val="28"/>
        </w:rPr>
        <w:t xml:space="preserve">osed activities </w:t>
      </w:r>
      <w:r w:rsidR="00D36518">
        <w:rPr>
          <w:sz w:val="28"/>
          <w:szCs w:val="28"/>
        </w:rPr>
        <w:t>set out herein.</w:t>
      </w:r>
    </w:p>
    <w:p w14:paraId="3508E4F2" w14:textId="1763AA4D" w:rsidR="0010479C" w:rsidRPr="0087630C" w:rsidRDefault="0027376E" w:rsidP="00255D63">
      <w:pPr>
        <w:pStyle w:val="ListParagraph"/>
        <w:numPr>
          <w:ilvl w:val="1"/>
          <w:numId w:val="1"/>
        </w:numPr>
        <w:spacing w:before="240" w:after="24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163C40">
        <w:rPr>
          <w:sz w:val="28"/>
          <w:szCs w:val="28"/>
        </w:rPr>
        <w:t>FSRA</w:t>
      </w:r>
      <w:r w:rsidR="00235822" w:rsidRPr="0087630C">
        <w:rPr>
          <w:sz w:val="28"/>
          <w:szCs w:val="28"/>
        </w:rPr>
        <w:t xml:space="preserve"> </w:t>
      </w:r>
      <w:r w:rsidR="007F3657" w:rsidRPr="0087630C">
        <w:rPr>
          <w:sz w:val="28"/>
          <w:szCs w:val="28"/>
        </w:rPr>
        <w:t xml:space="preserve">is not bound by the requirements set out in this Guidance and may waive or modify </w:t>
      </w:r>
      <w:r w:rsidR="008222F5">
        <w:rPr>
          <w:sz w:val="28"/>
          <w:szCs w:val="28"/>
        </w:rPr>
        <w:t>this Guidance</w:t>
      </w:r>
      <w:r w:rsidR="007F3657" w:rsidRPr="0087630C">
        <w:rPr>
          <w:sz w:val="28"/>
          <w:szCs w:val="28"/>
        </w:rPr>
        <w:t xml:space="preserve"> at its discretion where appropriate.</w:t>
      </w:r>
    </w:p>
    <w:p w14:paraId="3143DC1A" w14:textId="77777777" w:rsidR="00BD6A78" w:rsidRPr="0087630C" w:rsidRDefault="008C1655" w:rsidP="00255D6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after="240"/>
        <w:contextualSpacing w:val="0"/>
        <w:jc w:val="both"/>
        <w:rPr>
          <w:sz w:val="28"/>
          <w:szCs w:val="28"/>
        </w:rPr>
      </w:pPr>
      <w:r w:rsidRPr="0087630C">
        <w:rPr>
          <w:sz w:val="28"/>
          <w:szCs w:val="28"/>
        </w:rPr>
        <w:t>U</w:t>
      </w:r>
      <w:r w:rsidR="009F2A49" w:rsidRPr="0087630C">
        <w:rPr>
          <w:sz w:val="28"/>
          <w:szCs w:val="28"/>
        </w:rPr>
        <w:t>nless otherwise defined</w:t>
      </w:r>
      <w:r w:rsidR="0096665C" w:rsidRPr="0087630C">
        <w:rPr>
          <w:sz w:val="28"/>
          <w:szCs w:val="28"/>
        </w:rPr>
        <w:t xml:space="preserve"> or the context oth</w:t>
      </w:r>
      <w:r w:rsidR="000768B5" w:rsidRPr="0087630C">
        <w:rPr>
          <w:sz w:val="28"/>
          <w:szCs w:val="28"/>
        </w:rPr>
        <w:t>erwise requires, the</w:t>
      </w:r>
      <w:r w:rsidR="0096665C" w:rsidRPr="0087630C">
        <w:rPr>
          <w:sz w:val="28"/>
          <w:szCs w:val="28"/>
        </w:rPr>
        <w:t xml:space="preserve"> </w:t>
      </w:r>
      <w:r w:rsidR="009F2A49" w:rsidRPr="0087630C">
        <w:rPr>
          <w:sz w:val="28"/>
          <w:szCs w:val="28"/>
        </w:rPr>
        <w:t>terms contained in</w:t>
      </w:r>
      <w:r w:rsidR="003D780F" w:rsidRPr="0087630C">
        <w:rPr>
          <w:sz w:val="28"/>
          <w:szCs w:val="28"/>
        </w:rPr>
        <w:t xml:space="preserve"> </w:t>
      </w:r>
      <w:r w:rsidR="00A36506" w:rsidRPr="0087630C">
        <w:rPr>
          <w:sz w:val="28"/>
          <w:szCs w:val="28"/>
        </w:rPr>
        <w:t xml:space="preserve">this </w:t>
      </w:r>
      <w:r w:rsidR="003D780F" w:rsidRPr="0087630C">
        <w:rPr>
          <w:sz w:val="28"/>
          <w:szCs w:val="28"/>
        </w:rPr>
        <w:t>Guidance</w:t>
      </w:r>
      <w:r w:rsidR="004E3F86" w:rsidRPr="0087630C">
        <w:rPr>
          <w:sz w:val="28"/>
          <w:szCs w:val="28"/>
        </w:rPr>
        <w:t xml:space="preserve"> have the same </w:t>
      </w:r>
      <w:r w:rsidR="009F2A49" w:rsidRPr="0087630C">
        <w:rPr>
          <w:sz w:val="28"/>
          <w:szCs w:val="28"/>
        </w:rPr>
        <w:t>meaning</w:t>
      </w:r>
      <w:r w:rsidR="00755C2F">
        <w:rPr>
          <w:sz w:val="28"/>
          <w:szCs w:val="28"/>
        </w:rPr>
        <w:t>s</w:t>
      </w:r>
      <w:r w:rsidR="009F2A49" w:rsidRPr="0087630C">
        <w:rPr>
          <w:sz w:val="28"/>
          <w:szCs w:val="28"/>
        </w:rPr>
        <w:t xml:space="preserve"> as d</w:t>
      </w:r>
      <w:r w:rsidR="00FA43EE" w:rsidRPr="0087630C">
        <w:rPr>
          <w:sz w:val="28"/>
          <w:szCs w:val="28"/>
        </w:rPr>
        <w:t>efined in FS</w:t>
      </w:r>
      <w:r w:rsidR="00610D01" w:rsidRPr="0087630C">
        <w:rPr>
          <w:sz w:val="28"/>
          <w:szCs w:val="28"/>
        </w:rPr>
        <w:t>MR and</w:t>
      </w:r>
      <w:r w:rsidR="00A331B1" w:rsidRPr="0087630C">
        <w:rPr>
          <w:sz w:val="28"/>
          <w:szCs w:val="28"/>
        </w:rPr>
        <w:t xml:space="preserve"> the </w:t>
      </w:r>
      <w:r w:rsidR="007C45E8">
        <w:rPr>
          <w:sz w:val="28"/>
          <w:szCs w:val="28"/>
        </w:rPr>
        <w:t>Glossary (</w:t>
      </w:r>
      <w:r w:rsidR="00A331B1" w:rsidRPr="0087630C">
        <w:rPr>
          <w:sz w:val="28"/>
          <w:szCs w:val="28"/>
        </w:rPr>
        <w:t>GLO</w:t>
      </w:r>
      <w:r w:rsidR="007C45E8">
        <w:rPr>
          <w:sz w:val="28"/>
          <w:szCs w:val="28"/>
        </w:rPr>
        <w:t>)</w:t>
      </w:r>
      <w:r w:rsidR="00FA43EE" w:rsidRPr="0087630C">
        <w:rPr>
          <w:sz w:val="28"/>
          <w:szCs w:val="28"/>
        </w:rPr>
        <w:t>.</w:t>
      </w:r>
    </w:p>
    <w:p w14:paraId="135F902A" w14:textId="2D9F4ADF" w:rsidR="008A76A0" w:rsidRDefault="0056230C" w:rsidP="004A39DF">
      <w:pPr>
        <w:pStyle w:val="Heading1"/>
        <w:spacing w:before="240"/>
        <w:rPr>
          <w:rFonts w:asciiTheme="minorHAnsi" w:hAnsiTheme="minorHAnsi"/>
          <w:b w:val="0"/>
          <w:sz w:val="28"/>
        </w:rPr>
      </w:pPr>
      <w:bookmarkStart w:id="3" w:name="_Toc459894264"/>
      <w:bookmarkStart w:id="4" w:name="_Toc459894266"/>
      <w:bookmarkStart w:id="5" w:name="_Toc33431583"/>
      <w:bookmarkEnd w:id="3"/>
      <w:bookmarkEnd w:id="4"/>
      <w:r>
        <w:rPr>
          <w:rFonts w:asciiTheme="minorHAnsi" w:hAnsiTheme="minorHAnsi"/>
          <w:bCs w:val="0"/>
          <w:sz w:val="28"/>
        </w:rPr>
        <w:t>BACKGROUND</w:t>
      </w:r>
      <w:bookmarkEnd w:id="5"/>
    </w:p>
    <w:p w14:paraId="542A5002" w14:textId="7B0B337B" w:rsidR="00981D57" w:rsidRPr="007A62EF" w:rsidRDefault="007A62EF" w:rsidP="009F3611">
      <w:pPr>
        <w:pStyle w:val="Heading2"/>
      </w:pPr>
      <w:r>
        <w:rPr>
          <w:rFonts w:asciiTheme="minorHAnsi" w:hAnsiTheme="minorHAnsi"/>
          <w:b w:val="0"/>
          <w:bCs w:val="0"/>
          <w:sz w:val="28"/>
          <w:szCs w:val="28"/>
        </w:rPr>
        <w:t xml:space="preserve">Globally, the use of virtual tokens </w:t>
      </w:r>
      <w:r w:rsidR="00A400DB">
        <w:rPr>
          <w:rFonts w:asciiTheme="minorHAnsi" w:hAnsiTheme="minorHAnsi"/>
          <w:b w:val="0"/>
          <w:bCs w:val="0"/>
          <w:sz w:val="28"/>
          <w:szCs w:val="28"/>
        </w:rPr>
        <w:t xml:space="preserve">and </w:t>
      </w:r>
      <w:r w:rsidR="00A82810">
        <w:rPr>
          <w:rFonts w:asciiTheme="minorHAnsi" w:hAnsiTheme="minorHAnsi"/>
          <w:b w:val="0"/>
          <w:bCs w:val="0"/>
          <w:sz w:val="28"/>
          <w:szCs w:val="28"/>
        </w:rPr>
        <w:t>Virtual</w:t>
      </w:r>
      <w:r w:rsidR="00A400DB">
        <w:rPr>
          <w:rFonts w:asciiTheme="minorHAnsi" w:hAnsiTheme="minorHAnsi"/>
          <w:b w:val="0"/>
          <w:bCs w:val="0"/>
          <w:sz w:val="28"/>
          <w:szCs w:val="28"/>
        </w:rPr>
        <w:t xml:space="preserve"> A</w:t>
      </w:r>
      <w:r w:rsidR="004F3E38">
        <w:rPr>
          <w:rFonts w:asciiTheme="minorHAnsi" w:hAnsiTheme="minorHAnsi"/>
          <w:b w:val="0"/>
          <w:bCs w:val="0"/>
          <w:sz w:val="28"/>
          <w:szCs w:val="28"/>
        </w:rPr>
        <w:t>ssets</w:t>
      </w:r>
      <w:r>
        <w:rPr>
          <w:rFonts w:asciiTheme="minorHAnsi" w:hAnsiTheme="minorHAnsi"/>
          <w:b w:val="0"/>
          <w:bCs w:val="0"/>
          <w:sz w:val="28"/>
          <w:szCs w:val="28"/>
        </w:rPr>
        <w:t xml:space="preserve"> to raise funding and facilitate economic transactions has been on the rise</w:t>
      </w:r>
      <w:r w:rsidR="00611E81">
        <w:rPr>
          <w:rFonts w:asciiTheme="minorHAnsi" w:hAnsiTheme="minorHAnsi"/>
          <w:b w:val="0"/>
          <w:bCs w:val="0"/>
          <w:sz w:val="28"/>
          <w:szCs w:val="28"/>
        </w:rPr>
        <w:t xml:space="preserve"> in recent years.</w:t>
      </w:r>
      <w:r w:rsidR="00163C40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r w:rsid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A</w:t>
      </w:r>
      <w:r w:rsidRPr="00617779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number </w:t>
      </w:r>
      <w:r w:rsid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of financial services regulators </w:t>
      </w:r>
      <w:r w:rsidR="001B154D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have issued comments or consumer alerts </w:t>
      </w:r>
      <w:r w:rsid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setting out</w:t>
      </w:r>
      <w:r w:rsidR="001B154D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their regulatory</w:t>
      </w:r>
      <w:r w:rsid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position on virtual tokens and</w:t>
      </w:r>
      <w:r w:rsidR="001B67E6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/or </w:t>
      </w:r>
      <w:r w:rsidR="00A8281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Virtual</w:t>
      </w:r>
      <w:r w:rsidR="00A400DB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</w:t>
      </w:r>
      <w:r w:rsidR="004F3E38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ssets</w:t>
      </w:r>
      <w:r w:rsidRPr="00617779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.  This is especially relevant since the use </w:t>
      </w:r>
      <w:r w:rsid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of virtual tokens and </w:t>
      </w:r>
      <w:r w:rsidR="00A8281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Virtual</w:t>
      </w:r>
      <w:r w:rsidR="00A400DB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</w:t>
      </w:r>
      <w:r w:rsidR="004F3E38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ssets</w:t>
      </w:r>
      <w:r w:rsid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Pr="00617779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can be subject to risks arising from fraud, money-laundering and terroris</w:t>
      </w:r>
      <w:r w:rsidR="00611E8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t</w:t>
      </w:r>
      <w:r w:rsidRPr="00617779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Pr="00617779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lastRenderedPageBreak/>
        <w:t xml:space="preserve">financing, 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as well as</w:t>
      </w:r>
      <w:r w:rsidRPr="00617779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the observed volatility of the “value” of </w:t>
      </w:r>
      <w:r w:rsidR="00A8281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Virtual</w:t>
      </w:r>
      <w:r w:rsidRPr="00617779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27376E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A</w:t>
      </w:r>
      <w:r w:rsidR="00802B2B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ssets</w:t>
      </w:r>
    </w:p>
    <w:p w14:paraId="764C31C4" w14:textId="2B90EEED" w:rsidR="00E24686" w:rsidRPr="00E24686" w:rsidRDefault="0027376E" w:rsidP="009F3611">
      <w:pPr>
        <w:pStyle w:val="Heading2"/>
      </w:pP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The </w:t>
      </w:r>
      <w:r w:rsidR="004C07BF" w:rsidRPr="00636D18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FSRA adopts a technology-neutra</w:t>
      </w:r>
      <w:r w:rsidR="001B154D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l approach to regulation, where</w:t>
      </w:r>
      <w:r w:rsidR="004C07BF" w:rsidRPr="00636D18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regulatory requirements are applied to the conduct of Regulated Activi</w:t>
      </w:r>
      <w:r w:rsidR="00B8284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ties</w:t>
      </w:r>
      <w:r w:rsidR="002B0795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or activities envisaged under a Recognition Order</w:t>
      </w:r>
      <w:r w:rsidR="002B0795">
        <w:rPr>
          <w:rStyle w:val="FootnoteReference"/>
          <w:rFonts w:asciiTheme="minorHAnsi" w:eastAsiaTheme="minorHAnsi" w:hAnsiTheme="minorHAnsi" w:cstheme="minorBidi"/>
          <w:b w:val="0"/>
          <w:bCs w:val="0"/>
          <w:sz w:val="28"/>
          <w:szCs w:val="28"/>
        </w:rPr>
        <w:footnoteReference w:id="4"/>
      </w:r>
      <w:r w:rsidR="004C07BF" w:rsidRPr="00636D18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, as opposed to the </w:t>
      </w:r>
      <w:r w:rsidR="003F6C1D" w:rsidRPr="00FF764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technological </w:t>
      </w:r>
      <w:r w:rsidR="009935D9" w:rsidRPr="00FF764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means</w:t>
      </w:r>
      <w:r w:rsidR="004C07BF" w:rsidRPr="00FF764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to </w:t>
      </w:r>
      <w:r w:rsidR="0048727C" w:rsidRPr="00FF764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conduct</w:t>
      </w:r>
      <w:r w:rsidR="004C07BF" w:rsidRPr="00FF764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 Regulated Activity. </w:t>
      </w:r>
      <w:r w:rsidR="00BA51B7" w:rsidRPr="00FF764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4C07BF" w:rsidRPr="00FF764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To the extent that virtual </w:t>
      </w:r>
      <w:r w:rsidR="001B67E6" w:rsidRPr="00FF764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tokens </w:t>
      </w:r>
      <w:r w:rsidR="004C07BF" w:rsidRPr="00FF764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are used </w:t>
      </w:r>
      <w:r w:rsidR="009935D9" w:rsidRPr="00FF764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as a mechanism</w:t>
      </w:r>
      <w:r w:rsidR="00F81CAA" w:rsidRPr="00FF764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4C07BF" w:rsidRPr="00FF764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to enable </w:t>
      </w:r>
      <w:r w:rsidR="001B154D" w:rsidRPr="00FF764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or facilitate </w:t>
      </w:r>
      <w:r w:rsidR="004C07BF" w:rsidRPr="00FF764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a Regulated Activity to be </w:t>
      </w:r>
      <w:r w:rsidR="001B154D" w:rsidRPr="00FF764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carried out</w:t>
      </w:r>
      <w:r w:rsidR="004C07BF" w:rsidRPr="00FF764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, they are generally </w:t>
      </w:r>
      <w:r w:rsidR="001B154D" w:rsidRPr="00FF764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permitted</w:t>
      </w:r>
      <w:r w:rsidR="004C07BF" w:rsidRPr="00FF764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.  For example, subject to </w:t>
      </w:r>
      <w:r w:rsidR="00443591" w:rsidRPr="00FF764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fit and proper</w:t>
      </w:r>
      <w:r w:rsidR="002B0795" w:rsidRPr="00FF764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4C07BF" w:rsidRPr="00FF764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safeguards, an authorised money remittance house may receive fiat currencies from Clients and use virtual </w:t>
      </w:r>
      <w:r w:rsidR="00802B2B" w:rsidRPr="00FF764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tokens</w:t>
      </w:r>
      <w:r w:rsidR="004C07BF" w:rsidRPr="00FF764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to securely remit an equivalent value overseas directly to a regulated foreign counterparty via the internet in real-time; the foreign counterparty can then </w:t>
      </w:r>
      <w:r w:rsidR="00ED1C19" w:rsidRPr="00FF764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pay out</w:t>
      </w:r>
      <w:r w:rsidR="004C07BF" w:rsidRPr="00FF764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in fiat currencies to the intended </w:t>
      </w:r>
      <w:r w:rsidR="0056230C" w:rsidRPr="00FF764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end-c</w:t>
      </w:r>
      <w:r w:rsidR="004C07BF" w:rsidRPr="00FF764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lients.</w:t>
      </w:r>
    </w:p>
    <w:p w14:paraId="641E329F" w14:textId="037C98F9" w:rsidR="001B154D" w:rsidRPr="00E24686" w:rsidRDefault="009935D9" w:rsidP="009F3611">
      <w:pPr>
        <w:pStyle w:val="Heading2"/>
        <w:rPr>
          <w:rFonts w:asciiTheme="minorHAnsi" w:hAnsiTheme="minorHAnsi"/>
          <w:b w:val="0"/>
          <w:bCs w:val="0"/>
        </w:rPr>
      </w:pPr>
      <w:r w:rsidRPr="00E24686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Given the evolving developments in the space of virtual tokens</w:t>
      </w:r>
      <w:r w:rsidR="00A400DB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and </w:t>
      </w:r>
      <w:r w:rsidR="00A8281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Virtual</w:t>
      </w:r>
      <w:r w:rsidR="00A400DB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</w:t>
      </w:r>
      <w:r w:rsidR="00802B2B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ssets</w:t>
      </w:r>
      <w:r w:rsidRPr="00E24686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, FSRA will continue to closely monitor industry developments</w:t>
      </w:r>
      <w:r w:rsid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.</w:t>
      </w:r>
      <w:r w:rsidRPr="00E24686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FSRA</w:t>
      </w:r>
      <w:r w:rsidRPr="00E24686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may issue further Guidance as necessary</w:t>
      </w:r>
      <w:r w:rsid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,</w:t>
      </w:r>
      <w:r w:rsidRPr="00E24686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to ensure the regulatory framework is updated and risk-appropriate</w:t>
      </w:r>
      <w:r w:rsidR="00E24686" w:rsidRPr="00E24686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r w:rsidR="00163C40">
        <w:rPr>
          <w:rFonts w:asciiTheme="minorHAnsi" w:hAnsiTheme="minorHAnsi"/>
          <w:b w:val="0"/>
          <w:bCs w:val="0"/>
          <w:sz w:val="28"/>
          <w:szCs w:val="28"/>
        </w:rPr>
        <w:lastRenderedPageBreak/>
        <w:t xml:space="preserve">in order </w:t>
      </w:r>
      <w:r w:rsidR="00E24686" w:rsidRPr="00E24686">
        <w:rPr>
          <w:rFonts w:asciiTheme="minorHAnsi" w:hAnsiTheme="minorHAnsi"/>
          <w:b w:val="0"/>
          <w:bCs w:val="0"/>
          <w:sz w:val="28"/>
          <w:szCs w:val="28"/>
        </w:rPr>
        <w:t>to facilitate the sound development and deployment of promising financial technology innovations</w:t>
      </w:r>
      <w:r w:rsidRPr="00E24686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.</w:t>
      </w:r>
      <w:r w:rsidR="00ED1C19" w:rsidRPr="00E24686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</w:p>
    <w:p w14:paraId="7588F8DE" w14:textId="67E642C4" w:rsidR="008C29CF" w:rsidRPr="0087630C" w:rsidRDefault="00317A4E" w:rsidP="004A39DF">
      <w:pPr>
        <w:pStyle w:val="Heading1"/>
        <w:spacing w:before="240"/>
        <w:rPr>
          <w:rFonts w:asciiTheme="minorHAnsi" w:hAnsiTheme="minorHAnsi"/>
          <w:bCs w:val="0"/>
          <w:sz w:val="28"/>
        </w:rPr>
      </w:pPr>
      <w:bookmarkStart w:id="6" w:name="_Toc33431584"/>
      <w:r>
        <w:rPr>
          <w:rFonts w:asciiTheme="minorHAnsi" w:hAnsiTheme="minorHAnsi"/>
          <w:bCs w:val="0"/>
          <w:sz w:val="28"/>
        </w:rPr>
        <w:t>INITIAL COIN OFFERINGS</w:t>
      </w:r>
      <w:bookmarkEnd w:id="6"/>
    </w:p>
    <w:p w14:paraId="22C04733" w14:textId="5E0533C4" w:rsidR="009516D6" w:rsidRPr="00317A4E" w:rsidRDefault="00B7459C" w:rsidP="00A7292A">
      <w:pPr>
        <w:pStyle w:val="Heading2"/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</w:pP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ICOs</w:t>
      </w:r>
      <w:r w:rsidR="00317A4E" w:rsidRPr="00317A4E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56230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can take many forms, </w:t>
      </w:r>
      <w:r w:rsidR="00D06065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but all of </w:t>
      </w:r>
      <w:r w:rsidR="00807C92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them</w:t>
      </w:r>
      <w:r w:rsidR="00D06065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utilise </w:t>
      </w:r>
      <w:r w:rsidR="00D06065" w:rsidRPr="00317A4E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D</w:t>
      </w:r>
      <w:r w:rsidR="00D06065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istributed </w:t>
      </w:r>
      <w:r w:rsidR="00D06065" w:rsidRPr="00317A4E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L</w:t>
      </w:r>
      <w:r w:rsidR="00D06065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edger </w:t>
      </w:r>
      <w:r w:rsidR="00D06065" w:rsidRPr="00317A4E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T</w:t>
      </w:r>
      <w:r w:rsidR="00D06065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echnology (“</w:t>
      </w:r>
      <w:r w:rsidR="00D06065" w:rsidRPr="005E60F9">
        <w:rPr>
          <w:rFonts w:asciiTheme="minorHAnsi" w:eastAsiaTheme="minorHAnsi" w:hAnsiTheme="minorHAnsi" w:cstheme="minorBidi"/>
          <w:sz w:val="28"/>
          <w:szCs w:val="28"/>
        </w:rPr>
        <w:t>DLT</w:t>
      </w:r>
      <w:r w:rsidR="00D06065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”)</w:t>
      </w:r>
      <w:r w:rsidR="00D06065" w:rsidRPr="00317A4E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. </w:t>
      </w:r>
      <w:r w:rsidR="00D06065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Investors will </w:t>
      </w:r>
      <w:r w:rsidR="001B67E6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typically </w:t>
      </w:r>
      <w:r w:rsidR="00D06065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give </w:t>
      </w:r>
      <w:r w:rsidR="00A8281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Virtual</w:t>
      </w:r>
      <w:r w:rsidR="00A400DB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</w:t>
      </w:r>
      <w:r w:rsidR="00802B2B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ssets</w:t>
      </w:r>
      <w:r w:rsidR="00D06065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to an ICO issuer in exchange for a proprietary digital medium of exchange on the DLT platform, being termed a “coin” or “token” (where the latter term will be used hereafter). In some cases the </w:t>
      </w:r>
      <w:r w:rsidR="00807C92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proprietary</w:t>
      </w:r>
      <w:r w:rsidR="00D06065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tokens will not represent an underlying financial asset; for example, a DLT token may represent a digital identity record, a voting right, or simply access to software running on a DLT platform.</w:t>
      </w:r>
      <w:r w:rsidR="0056230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</w:p>
    <w:p w14:paraId="45782E64" w14:textId="77777777" w:rsidR="00317A4E" w:rsidRDefault="00D06065" w:rsidP="00D06065">
      <w:pPr>
        <w:pStyle w:val="Heading2"/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</w:pP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Alternatively, an emerging method of fund-raising uses DLT with the </w:t>
      </w:r>
      <w:r w:rsidR="00317A4E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tokens represent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ing</w:t>
      </w:r>
      <w:r w:rsidR="00317A4E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 “traditional”</w:t>
      </w:r>
      <w:r w:rsidR="00B7459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regulated</w:t>
      </w:r>
      <w:r w:rsidR="00317A4E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issuance</w:t>
      </w:r>
      <w:r w:rsid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,</w:t>
      </w:r>
      <w:r w:rsidR="00317A4E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B7459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such as </w:t>
      </w:r>
      <w:r w:rsid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S</w:t>
      </w:r>
      <w:r w:rsidR="00317A4E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hares</w:t>
      </w:r>
      <w:r w:rsid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, Debentures or Units</w:t>
      </w:r>
      <w:r w:rsidR="00611E8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in </w:t>
      </w:r>
      <w:r w:rsidR="00611E8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a Collective Investment Fund</w:t>
      </w:r>
      <w:r w:rsidR="00317A4E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. In </w:t>
      </w:r>
      <w:r w:rsidR="00B7459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these</w:t>
      </w:r>
      <w:r w:rsidR="00317A4E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instances, a DLT </w:t>
      </w:r>
      <w:r w:rsidR="00B7459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platform</w:t>
      </w:r>
      <w:r w:rsidR="00317A4E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may also comprise a share or bond register. </w:t>
      </w:r>
      <w:r w:rsidR="00317A4E" w:rsidRPr="00E22CF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We are aware that there are many companies seeking to raise money through such traditional and regulated means using a DLT-enabled platform.</w:t>
      </w:r>
      <w:r w:rsidR="00B23D44" w:rsidRPr="00E22CF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</w:p>
    <w:p w14:paraId="2E989B61" w14:textId="483B9A89" w:rsidR="0056230C" w:rsidRDefault="0056230C" w:rsidP="005F2301">
      <w:pPr>
        <w:ind w:firstLine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Regulatory treatment</w:t>
      </w:r>
      <w:r w:rsidR="002564C5">
        <w:rPr>
          <w:i/>
          <w:iCs/>
          <w:sz w:val="28"/>
          <w:szCs w:val="28"/>
        </w:rPr>
        <w:t xml:space="preserve"> of tokens deemed to be Securities</w:t>
      </w:r>
    </w:p>
    <w:p w14:paraId="31A4564F" w14:textId="77777777" w:rsidR="005F2301" w:rsidRPr="001B67E6" w:rsidRDefault="005F2301" w:rsidP="005F2301">
      <w:pPr>
        <w:rPr>
          <w:b/>
          <w:bCs/>
          <w:i/>
          <w:iCs/>
          <w:sz w:val="28"/>
          <w:szCs w:val="28"/>
        </w:rPr>
      </w:pPr>
    </w:p>
    <w:p w14:paraId="2F8DA50B" w14:textId="347F2DEA" w:rsidR="00462B8E" w:rsidRDefault="00462B8E" w:rsidP="00AB62CD">
      <w:pPr>
        <w:pStyle w:val="Heading2"/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</w:pP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lastRenderedPageBreak/>
        <w:t>Whether an ICO is</w:t>
      </w:r>
      <w:r w:rsidR="00807C92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to be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regulated under FSMR will be assessed by FSRA on a case-by-case basis.  To this end, if the tokens in an ICO are assessed to exhibit the characteristics of a Security, FSRA may deem the tokens as a Security pursuant to Section 58(2)(b)</w:t>
      </w:r>
      <w:r>
        <w:rPr>
          <w:rStyle w:val="FootnoteReference"/>
          <w:rFonts w:asciiTheme="minorHAnsi" w:eastAsiaTheme="minorHAnsi" w:hAnsiTheme="minorHAnsi" w:cstheme="minorBidi"/>
          <w:b w:val="0"/>
          <w:bCs w:val="0"/>
          <w:sz w:val="28"/>
          <w:szCs w:val="28"/>
        </w:rPr>
        <w:footnoteReference w:id="5"/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of </w:t>
      </w:r>
      <w:r w:rsidRPr="00B26FAD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FSMR</w:t>
      </w:r>
      <w:r w:rsidR="002564C5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, 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hereinafter referred to as “</w:t>
      </w:r>
      <w:r w:rsidR="001565E7">
        <w:rPr>
          <w:rFonts w:asciiTheme="minorHAnsi" w:eastAsiaTheme="minorHAnsi" w:hAnsiTheme="minorHAnsi" w:cstheme="minorBidi"/>
          <w:sz w:val="28"/>
          <w:szCs w:val="28"/>
        </w:rPr>
        <w:t>Digital Securities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”</w:t>
      </w:r>
      <w:r w:rsidRPr="00B26FAD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.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 Consequently, an issuer seeking </w:t>
      </w:r>
      <w:r w:rsidR="002564C5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to launch 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an ICO in </w:t>
      </w:r>
      <w:r w:rsidR="002564C5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or from 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ADGM should approach FSRA at the earliest opportunity.</w:t>
      </w:r>
    </w:p>
    <w:p w14:paraId="68015170" w14:textId="34D66E91" w:rsidR="00317A4E" w:rsidRDefault="00317A4E" w:rsidP="00462B8E">
      <w:pPr>
        <w:pStyle w:val="Heading2"/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</w:pP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For regulatory purposes, issuances of </w:t>
      </w:r>
      <w:r w:rsid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S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ecurities</w:t>
      </w:r>
      <w:r w:rsidR="004844B8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(as defined in Section 258 of FSMR)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, whether through a DLT </w:t>
      </w:r>
      <w:r w:rsidR="00B23D44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platform or other means, will </w:t>
      </w:r>
      <w:r w:rsidR="00462B8E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see no difference in their treatment</w:t>
      </w:r>
      <w:r w:rsidR="00B23D44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under</w:t>
      </w:r>
      <w:r w:rsidR="00B23D44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our regulatory framework.</w:t>
      </w:r>
      <w:r w:rsidR="00E22CF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Those </w:t>
      </w:r>
      <w:r w:rsid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issuers/</w:t>
      </w:r>
      <w:r w:rsidR="00E22CF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market actors who seek </w:t>
      </w:r>
      <w:r w:rsidR="00B7459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to raise funds in </w:t>
      </w:r>
      <w:r w:rsidR="00E22CF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a </w:t>
      </w:r>
      <w:r w:rsidR="00B7459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regulated, </w:t>
      </w:r>
      <w:r w:rsidR="00E22CF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robust and transparent </w:t>
      </w:r>
      <w:r w:rsidR="00B7459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manner</w:t>
      </w:r>
      <w:r w:rsidR="00E22CF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using new business models or technologies such as DLT are encourage</w:t>
      </w:r>
      <w:r w:rsidR="00B7459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d</w:t>
      </w:r>
      <w:r w:rsidR="00E22CF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to engage with us as early as possible in the fund</w:t>
      </w:r>
      <w:r w:rsidR="00462B8E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-</w:t>
      </w:r>
      <w:r w:rsidR="00E22CF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raising process. </w:t>
      </w:r>
    </w:p>
    <w:p w14:paraId="159E299B" w14:textId="6A2969DA" w:rsidR="00D36518" w:rsidRDefault="0094233B" w:rsidP="00462B8E">
      <w:pPr>
        <w:pStyle w:val="Heading2"/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</w:pP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The requirements for </w:t>
      </w:r>
      <w:r w:rsid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O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ffers</w:t>
      </w:r>
      <w:r w:rsidR="00B7459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of </w:t>
      </w:r>
      <w:r w:rsid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S</w:t>
      </w:r>
      <w:r w:rsidR="00B7459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ecurities 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fall under </w:t>
      </w:r>
      <w:r w:rsidR="00462B8E" w:rsidRP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Sections 58</w:t>
      </w:r>
      <w:r w:rsidR="00462B8E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to </w:t>
      </w:r>
      <w:r w:rsidR="00462B8E" w:rsidRP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71 of FSMR</w:t>
      </w:r>
      <w:r w:rsidR="00462B8E" w:rsidRPr="00B40AE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462B8E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and </w:t>
      </w:r>
      <w:r w:rsidR="00163C40" w:rsidRPr="00B40AE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Chapter 4 of the </w:t>
      </w:r>
      <w:r w:rsidR="00163C40" w:rsidRP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Markets Rules (“MKT”)</w:t>
      </w:r>
      <w:r w:rsidRP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.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When a</w:t>
      </w:r>
      <w:r w:rsid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n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Issuer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wishes to make an Offer of Securities to the Public in or from 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lastRenderedPageBreak/>
        <w:t xml:space="preserve">ADGM, these requirements include, </w:t>
      </w:r>
      <w:r w:rsidRP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for example, the obligation to publish a </w:t>
      </w:r>
      <w:r w:rsidR="00580B95" w:rsidRP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P</w:t>
      </w:r>
      <w:r w:rsidRP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rospectus under </w:t>
      </w:r>
      <w:r w:rsidR="00163C40" w:rsidRP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S</w:t>
      </w:r>
      <w:r w:rsidRP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ection</w:t>
      </w:r>
      <w:r w:rsidR="00580B95" w:rsidRP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580B95" w:rsidRPr="00AE4097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61 </w:t>
      </w:r>
      <w:r w:rsidR="00163C40" w:rsidRPr="00AE4097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of </w:t>
      </w:r>
      <w:r w:rsidR="00580B95" w:rsidRPr="00AE4097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FSMR</w:t>
      </w:r>
      <w:r w:rsidRP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.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</w:p>
    <w:p w14:paraId="6FAED2B5" w14:textId="3BDBC9FF" w:rsidR="00580B95" w:rsidRDefault="00580B95" w:rsidP="00462B8E">
      <w:pPr>
        <w:pStyle w:val="Heading2"/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</w:pP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Offers of </w:t>
      </w:r>
      <w:r w:rsid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S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ecurities may benefit from an exemption under the Exempt Offers regime set out in Rule 4.3</w:t>
      </w:r>
      <w:r w:rsidR="00462B8E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of MKT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. In the circumstances specified in that Rule, </w:t>
      </w:r>
      <w:r w:rsidR="00462B8E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it should be noted that 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a Person may make an Offer of Securities to the Public without a Prospectus</w:t>
      </w:r>
      <w:r w:rsidR="00462B8E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where any one of the following conditions</w:t>
      </w:r>
      <w:r w:rsidR="002564C5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, amongst other conditions in that Rule,</w:t>
      </w:r>
      <w:r w:rsidR="00462B8E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is met:</w:t>
      </w:r>
    </w:p>
    <w:p w14:paraId="20D65AD3" w14:textId="4818F93D" w:rsidR="002564C5" w:rsidRDefault="00580B95" w:rsidP="00255D63">
      <w:pPr>
        <w:pStyle w:val="Heading2"/>
        <w:numPr>
          <w:ilvl w:val="1"/>
          <w:numId w:val="5"/>
        </w:numPr>
        <w:tabs>
          <w:tab w:val="clear" w:pos="1855"/>
          <w:tab w:val="left" w:pos="1418"/>
        </w:tabs>
        <w:ind w:left="1418" w:hanging="709"/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</w:pP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an Offer is directed at Professional Clients</w:t>
      </w:r>
      <w:r w:rsidR="000A3734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other than natural Persons</w:t>
      </w:r>
      <w:r w:rsidR="00462B8E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;</w:t>
      </w:r>
    </w:p>
    <w:p w14:paraId="5A6707E0" w14:textId="42C144C8" w:rsidR="002564C5" w:rsidRDefault="00580B95" w:rsidP="00255D63">
      <w:pPr>
        <w:pStyle w:val="Heading2"/>
        <w:numPr>
          <w:ilvl w:val="1"/>
          <w:numId w:val="5"/>
        </w:numPr>
        <w:tabs>
          <w:tab w:val="clear" w:pos="1855"/>
          <w:tab w:val="left" w:pos="1418"/>
        </w:tabs>
        <w:ind w:left="1418" w:hanging="709"/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</w:pP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fewer than 50 Persons in any 12 month period</w:t>
      </w:r>
      <w:r w:rsidR="000A3734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, excluding Professional Clients who are not natural persons</w:t>
      </w:r>
      <w:r w:rsidR="002564C5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;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or </w:t>
      </w:r>
    </w:p>
    <w:p w14:paraId="3DA5F132" w14:textId="3B72C734" w:rsidR="00580B95" w:rsidRDefault="00580B95" w:rsidP="00255D63">
      <w:pPr>
        <w:pStyle w:val="Heading2"/>
        <w:numPr>
          <w:ilvl w:val="1"/>
          <w:numId w:val="5"/>
        </w:numPr>
        <w:tabs>
          <w:tab w:val="clear" w:pos="1855"/>
          <w:tab w:val="left" w:pos="1418"/>
        </w:tabs>
        <w:ind w:left="1418" w:hanging="709"/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</w:pP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where the consideration to be paid by a Person to acquire Securities is at least USD100,000. </w:t>
      </w:r>
    </w:p>
    <w:p w14:paraId="2222D652" w14:textId="444B5133" w:rsidR="002564C5" w:rsidRDefault="002564C5">
      <w:pPr>
        <w:pStyle w:val="Heading2"/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</w:pP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Additionally, any market intermediaries</w:t>
      </w:r>
      <w:r w:rsidR="002D79F5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(e.g.</w:t>
      </w:r>
      <w:r w:rsidR="00D0367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,</w:t>
      </w:r>
      <w:r w:rsidR="002D79F5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broker-dealers, investment managers, custodian</w:t>
      </w:r>
      <w:r w:rsidR="00D0367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s</w:t>
      </w:r>
      <w:r w:rsidR="002D79F5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)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and </w:t>
      </w:r>
      <w:r w:rsidR="006806D5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primary / secondary 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market operators dealing in </w:t>
      </w:r>
      <w:r w:rsidR="001565E7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Digital 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Securit</w:t>
      </w:r>
      <w:r w:rsidR="001565E7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ies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and/or their Derivatives</w:t>
      </w:r>
      <w:r w:rsidR="002D79F5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9F027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with or </w:t>
      </w:r>
      <w:r w:rsidR="002D79F5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on behalf of Clients,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will need to be approved by FSRA as Financial Services Permission (“</w:t>
      </w:r>
      <w:r w:rsidRPr="00BF13D3">
        <w:rPr>
          <w:rFonts w:asciiTheme="minorHAnsi" w:eastAsiaTheme="minorHAnsi" w:hAnsiTheme="minorHAnsi" w:cstheme="minorBidi"/>
          <w:sz w:val="28"/>
          <w:szCs w:val="28"/>
        </w:rPr>
        <w:t>FSP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”) </w:t>
      </w:r>
      <w:r w:rsidRPr="00BF13D3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holders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, Recognised 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lastRenderedPageBreak/>
        <w:t>Investment Exchanges or Recognised Clearing Houses (collectively referred to as “</w:t>
      </w:r>
      <w:r>
        <w:rPr>
          <w:rFonts w:asciiTheme="minorHAnsi" w:eastAsiaTheme="minorHAnsi" w:hAnsiTheme="minorHAnsi" w:cstheme="minorBidi"/>
          <w:sz w:val="28"/>
          <w:szCs w:val="28"/>
        </w:rPr>
        <w:t>Regulated Firms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”).  </w:t>
      </w:r>
    </w:p>
    <w:p w14:paraId="2D84C262" w14:textId="77777777" w:rsidR="00462B8E" w:rsidRPr="005713A6" w:rsidRDefault="00462B8E" w:rsidP="00462B8E">
      <w:pPr>
        <w:pStyle w:val="Heading2"/>
        <w:numPr>
          <w:ilvl w:val="0"/>
          <w:numId w:val="0"/>
        </w:numPr>
        <w:ind w:left="709"/>
        <w:rPr>
          <w:rFonts w:asciiTheme="minorHAnsi" w:eastAsiaTheme="minorHAnsi" w:hAnsiTheme="minorHAnsi" w:cstheme="minorBidi"/>
          <w:b w:val="0"/>
          <w:bCs w:val="0"/>
          <w:i/>
          <w:iCs/>
          <w:sz w:val="28"/>
          <w:szCs w:val="28"/>
        </w:rPr>
      </w:pPr>
      <w:r>
        <w:rPr>
          <w:rFonts w:asciiTheme="minorHAnsi" w:eastAsiaTheme="minorHAnsi" w:hAnsiTheme="minorHAnsi" w:cstheme="minorBidi"/>
          <w:b w:val="0"/>
          <w:bCs w:val="0"/>
          <w:i/>
          <w:iCs/>
          <w:sz w:val="28"/>
          <w:szCs w:val="28"/>
        </w:rPr>
        <w:t>Innovation</w:t>
      </w:r>
    </w:p>
    <w:p w14:paraId="59220516" w14:textId="77777777" w:rsidR="005E60F9" w:rsidRDefault="00580B95" w:rsidP="00163C40">
      <w:pPr>
        <w:pStyle w:val="Heading2"/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</w:pP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In our engagement with innovative firms</w:t>
      </w:r>
      <w:r w:rsidR="005E60F9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in the </w:t>
      </w:r>
      <w:r w:rsidR="000A226E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financial services</w:t>
      </w:r>
      <w:r w:rsidR="005E60F9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sector, we have been made aware of business models using a DLT platform to facilitate the issuance of </w:t>
      </w:r>
      <w:r w:rsid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S</w:t>
      </w:r>
      <w:r w:rsidR="005E60F9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ecurities on a private placement basis.  </w:t>
      </w:r>
      <w:r w:rsidR="0023094F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T</w:t>
      </w:r>
      <w:r w:rsidR="005E60F9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hese business models </w:t>
      </w:r>
      <w:r w:rsidR="0023094F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may </w:t>
      </w:r>
      <w:r w:rsidR="005E60F9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include a high level of disclosure and transparency with investors, and a robust reconciliation and reporting mechanism. These types of business models may benefit from the Exempt Offers regime set out above.</w:t>
      </w:r>
    </w:p>
    <w:p w14:paraId="092A14E2" w14:textId="1876DD6F" w:rsidR="005E60F9" w:rsidRDefault="005E60F9" w:rsidP="00A55707">
      <w:pPr>
        <w:pStyle w:val="Heading2"/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</w:pP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We are also aware of firms seeking to build investment funds using DLT platforms for the purposes of investor reporting and funds management. In such cases, the </w:t>
      </w:r>
      <w:r w:rsidR="001565E7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Digital Securities 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issued </w:t>
      </w:r>
      <w:r w:rsidR="002564C5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as a result of 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the ICO may be </w:t>
      </w:r>
      <w:r w:rsid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U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nits in a Collective Investment Fund as defined in Section 106 of FSMR. This may fall within our FUNDS Rules, and again we encourage firms considering such DLT-enabled business models to engage with us as early as possible.  </w:t>
      </w:r>
      <w:r w:rsidR="00580B95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</w:p>
    <w:p w14:paraId="2E6FC731" w14:textId="61E096A4" w:rsidR="002564C5" w:rsidRPr="005713A6" w:rsidRDefault="002564C5" w:rsidP="002564C5">
      <w:pPr>
        <w:pStyle w:val="Heading2"/>
        <w:numPr>
          <w:ilvl w:val="0"/>
          <w:numId w:val="0"/>
        </w:numPr>
        <w:ind w:left="709"/>
        <w:rPr>
          <w:rFonts w:asciiTheme="minorHAnsi" w:eastAsiaTheme="minorHAnsi" w:hAnsiTheme="minorHAnsi" w:cstheme="minorBidi"/>
          <w:b w:val="0"/>
          <w:bCs w:val="0"/>
          <w:i/>
          <w:iCs/>
          <w:sz w:val="28"/>
          <w:szCs w:val="28"/>
        </w:rPr>
      </w:pPr>
      <w:r>
        <w:rPr>
          <w:rFonts w:asciiTheme="minorHAnsi" w:eastAsiaTheme="minorHAnsi" w:hAnsiTheme="minorHAnsi" w:cstheme="minorBidi"/>
          <w:b w:val="0"/>
          <w:bCs w:val="0"/>
          <w:i/>
          <w:iCs/>
          <w:sz w:val="28"/>
          <w:szCs w:val="28"/>
        </w:rPr>
        <w:t xml:space="preserve">Tokens not deemed to be </w:t>
      </w:r>
      <w:r w:rsidR="001565E7">
        <w:rPr>
          <w:rFonts w:asciiTheme="minorHAnsi" w:eastAsiaTheme="minorHAnsi" w:hAnsiTheme="minorHAnsi" w:cstheme="minorBidi"/>
          <w:b w:val="0"/>
          <w:bCs w:val="0"/>
          <w:i/>
          <w:iCs/>
          <w:sz w:val="28"/>
          <w:szCs w:val="28"/>
        </w:rPr>
        <w:t xml:space="preserve">Digital </w:t>
      </w:r>
      <w:r>
        <w:rPr>
          <w:rFonts w:asciiTheme="minorHAnsi" w:eastAsiaTheme="minorHAnsi" w:hAnsiTheme="minorHAnsi" w:cstheme="minorBidi"/>
          <w:b w:val="0"/>
          <w:bCs w:val="0"/>
          <w:i/>
          <w:iCs/>
          <w:sz w:val="28"/>
          <w:szCs w:val="28"/>
        </w:rPr>
        <w:t>Securities</w:t>
      </w:r>
    </w:p>
    <w:p w14:paraId="11397945" w14:textId="60830E66" w:rsidR="008E311D" w:rsidRDefault="00807C92" w:rsidP="00807C92">
      <w:pPr>
        <w:pStyle w:val="Heading2"/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</w:pP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It should also be noted that </w:t>
      </w:r>
      <w:r w:rsidR="005E60F9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not all ICOs constitute </w:t>
      </w:r>
      <w:r w:rsidR="003E0C78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a</w:t>
      </w:r>
      <w:r w:rsid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n Offer of Securities under the FSMR or MKT</w:t>
      </w:r>
      <w:r w:rsidR="005E60F9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. Where tokens do not </w:t>
      </w:r>
      <w:r w:rsidR="008B3159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have the </w:t>
      </w:r>
      <w:r w:rsidR="008B3159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lastRenderedPageBreak/>
        <w:t>features and characteristics of</w:t>
      </w:r>
      <w:r w:rsidR="005E60F9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3E0C78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S</w:t>
      </w:r>
      <w:r w:rsidR="00FB5502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ecurities</w:t>
      </w:r>
      <w:r w:rsidR="005E60F9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224972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such as </w:t>
      </w:r>
      <w:r w:rsid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S</w:t>
      </w:r>
      <w:r w:rsidR="00224972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hares, </w:t>
      </w:r>
      <w:r w:rsid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Debentures</w:t>
      </w:r>
      <w:r w:rsidR="00224972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o</w:t>
      </w:r>
      <w:r w:rsidR="002316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r</w:t>
      </w:r>
      <w:r w:rsidR="00224972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U</w:t>
      </w:r>
      <w:r w:rsidR="00224972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nits in a Fund, the</w:t>
      </w:r>
      <w:r w:rsidR="00C877C6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offer</w:t>
      </w:r>
      <w:r w:rsidR="00094499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163C4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of such tokens is unlikely to be an Offer of Securities, nor is the</w:t>
      </w:r>
      <w:r w:rsidR="00094499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trading of such tokens</w:t>
      </w:r>
      <w:r w:rsidR="00224972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likely to constitute a </w:t>
      </w:r>
      <w:r w:rsidR="003E0C78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R</w:t>
      </w:r>
      <w:r w:rsidR="00224972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egulated </w:t>
      </w:r>
      <w:r w:rsidR="003E0C78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A</w:t>
      </w:r>
      <w:r w:rsidR="00224972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ctivity under FSMR. </w:t>
      </w:r>
    </w:p>
    <w:p w14:paraId="6C6EB1AD" w14:textId="63BE02BE" w:rsidR="00A14849" w:rsidRDefault="00A14849" w:rsidP="002564C5">
      <w:pPr>
        <w:pStyle w:val="Heading2"/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</w:pP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In unregulated ICOs, investors do not benefit from any of the safeguards that accompany a regulated </w:t>
      </w:r>
      <w:r w:rsidR="00B26FAD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Offer of S</w:t>
      </w:r>
      <w:r w:rsidR="000934E6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e</w:t>
      </w:r>
      <w:r w:rsidR="00B26FAD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curities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.</w:t>
      </w:r>
      <w:r w:rsidR="002029FD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 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Reliable information regarding the issuer, and what it plans to do with the funds raised may be lacking.  The risk of fraud and loss of capital </w:t>
      </w:r>
      <w:r w:rsidR="002564C5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is 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therefore significantly higher.  This is particularly likely to be the </w:t>
      </w:r>
      <w:r w:rsidR="002029FD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case where a token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issuer promises extremely high investment returns</w:t>
      </w:r>
      <w:r w:rsidR="002564C5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that are disproportionately high relative to those generally available in the market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. We advise potential investors in unregulated ICOs to exercise extreme caution before committing any funds.</w:t>
      </w:r>
    </w:p>
    <w:p w14:paraId="6DA330FB" w14:textId="73215F51" w:rsidR="00A14849" w:rsidRDefault="00A14849" w:rsidP="00807C92">
      <w:pPr>
        <w:pStyle w:val="Heading2"/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</w:pP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However, there are instances of </w:t>
      </w:r>
      <w:r w:rsidR="002564C5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such 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unregulated ICOs being used to raise money for legitimate companies and development efforts.  In such cases, while these do not fulfil the same requirements as a regulated </w:t>
      </w:r>
      <w:r w:rsidR="00B26FAD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Offer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of </w:t>
      </w:r>
      <w:r w:rsidR="00B26FAD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S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ecurities, </w:t>
      </w:r>
      <w:r w:rsidR="00807C92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issuers of the ICO </w:t>
      </w:r>
      <w:r w:rsidR="00B26FAD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may disclose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detailed information on the</w:t>
      </w:r>
      <w:r w:rsidR="00EA528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ir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product</w:t>
      </w:r>
      <w:r w:rsidR="00EA528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s / tokens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and business plan.  We welcome engagement from the industry, in particular</w:t>
      </w:r>
      <w:r w:rsidR="00807C92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from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trade bodies, in developing voluntary best-practice standards </w:t>
      </w:r>
      <w:r w:rsidR="00807C92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in </w:t>
      </w:r>
      <w:r w:rsidR="00807C92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lastRenderedPageBreak/>
        <w:t>relation to the use of such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unregulated ICOs as </w:t>
      </w:r>
      <w:r w:rsidR="00807C92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a 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legitimate method </w:t>
      </w:r>
      <w:r w:rsidR="00B26FAD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for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raising </w:t>
      </w:r>
      <w:r w:rsidR="00B26FAD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funds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.</w:t>
      </w:r>
    </w:p>
    <w:p w14:paraId="289B0632" w14:textId="7598F92A" w:rsidR="00561A64" w:rsidRPr="00D0440C" w:rsidRDefault="0035613F" w:rsidP="00617779">
      <w:pPr>
        <w:pStyle w:val="Heading1"/>
        <w:spacing w:before="240"/>
        <w:rPr>
          <w:rFonts w:asciiTheme="minorHAnsi" w:hAnsiTheme="minorHAnsi" w:cstheme="minorHAnsi"/>
          <w:bCs w:val="0"/>
          <w:sz w:val="28"/>
        </w:rPr>
      </w:pPr>
      <w:bookmarkStart w:id="7" w:name="_Toc33431585"/>
      <w:r>
        <w:rPr>
          <w:rFonts w:asciiTheme="minorHAnsi" w:hAnsiTheme="minorHAnsi"/>
          <w:bCs w:val="0"/>
          <w:sz w:val="28"/>
        </w:rPr>
        <w:t>VIRTUAL ASSETS</w:t>
      </w:r>
      <w:bookmarkEnd w:id="7"/>
    </w:p>
    <w:p w14:paraId="5E496D20" w14:textId="0431F88D" w:rsidR="00714F52" w:rsidRPr="00D0440C" w:rsidRDefault="00D90479">
      <w:pPr>
        <w:pStyle w:val="Heading2"/>
        <w:rPr>
          <w:rFonts w:asciiTheme="minorHAnsi" w:hAnsiTheme="minorHAnsi" w:cstheme="minorHAnsi"/>
          <w:sz w:val="28"/>
          <w:szCs w:val="28"/>
          <w:lang w:val="en"/>
        </w:rPr>
      </w:pPr>
      <w:r w:rsidRPr="00D0440C">
        <w:rPr>
          <w:rFonts w:asciiTheme="minorHAnsi" w:eastAsiaTheme="minorHAnsi" w:hAnsiTheme="minorHAnsi" w:cstheme="minorHAnsi"/>
          <w:b w:val="0"/>
          <w:bCs w:val="0"/>
          <w:sz w:val="28"/>
          <w:szCs w:val="28"/>
        </w:rPr>
        <w:t>As set out in the FSMR</w:t>
      </w:r>
      <w:r w:rsidR="00714F52" w:rsidRPr="00D0440C">
        <w:rPr>
          <w:rFonts w:asciiTheme="minorHAnsi" w:eastAsiaTheme="minorHAnsi" w:hAnsiTheme="minorHAnsi" w:cstheme="minorHAnsi"/>
          <w:b w:val="0"/>
          <w:bCs w:val="0"/>
          <w:sz w:val="28"/>
          <w:szCs w:val="28"/>
        </w:rPr>
        <w:t xml:space="preserve">, </w:t>
      </w:r>
      <w:r w:rsidR="00A400DB">
        <w:rPr>
          <w:rFonts w:asciiTheme="minorHAnsi" w:eastAsiaTheme="minorHAnsi" w:hAnsiTheme="minorHAnsi" w:cstheme="minorHAnsi"/>
          <w:b w:val="0"/>
          <w:bCs w:val="0"/>
          <w:sz w:val="28"/>
          <w:szCs w:val="28"/>
        </w:rPr>
        <w:t>a</w:t>
      </w:r>
      <w:r w:rsidR="00714F52" w:rsidRPr="00D0440C">
        <w:rPr>
          <w:rFonts w:asciiTheme="minorHAnsi" w:eastAsiaTheme="minorHAnsi" w:hAnsiTheme="minorHAnsi" w:cstheme="minorHAnsi"/>
          <w:b w:val="0"/>
          <w:bCs w:val="0"/>
          <w:sz w:val="28"/>
          <w:szCs w:val="28"/>
        </w:rPr>
        <w:t xml:space="preserve"> </w:t>
      </w:r>
      <w:r w:rsidR="00A82810">
        <w:rPr>
          <w:rFonts w:asciiTheme="minorHAnsi" w:eastAsiaTheme="minorHAnsi" w:hAnsiTheme="minorHAnsi" w:cstheme="minorHAnsi"/>
          <w:b w:val="0"/>
          <w:bCs w:val="0"/>
          <w:sz w:val="28"/>
          <w:szCs w:val="28"/>
        </w:rPr>
        <w:t>Virtual</w:t>
      </w:r>
      <w:r w:rsidR="00A400DB">
        <w:rPr>
          <w:rFonts w:asciiTheme="minorHAnsi" w:eastAsiaTheme="minorHAnsi" w:hAnsiTheme="minorHAnsi" w:cstheme="minorHAnsi"/>
          <w:b w:val="0"/>
          <w:bCs w:val="0"/>
          <w:sz w:val="28"/>
          <w:szCs w:val="28"/>
        </w:rPr>
        <w:t xml:space="preserve"> Asset is defined as</w:t>
      </w:r>
      <w:r w:rsidR="00A400DB" w:rsidRPr="00D0440C">
        <w:rPr>
          <w:rFonts w:asciiTheme="minorHAnsi" w:hAnsiTheme="minorHAnsi" w:cstheme="minorHAnsi"/>
          <w:sz w:val="28"/>
          <w:szCs w:val="28"/>
        </w:rPr>
        <w:t>:</w:t>
      </w:r>
    </w:p>
    <w:p w14:paraId="4D9C299C" w14:textId="0C18F47F" w:rsidR="00D90479" w:rsidRPr="002A290D" w:rsidRDefault="00D90479" w:rsidP="00D90479">
      <w:pPr>
        <w:pStyle w:val="ListParagraph"/>
        <w:ind w:left="709"/>
        <w:contextualSpacing w:val="0"/>
        <w:jc w:val="both"/>
        <w:rPr>
          <w:rFonts w:cstheme="minorHAnsi"/>
          <w:i/>
          <w:iCs/>
          <w:sz w:val="24"/>
          <w:szCs w:val="24"/>
          <w:lang w:eastAsia="ar-SA"/>
        </w:rPr>
      </w:pPr>
      <w:r w:rsidRPr="002A290D">
        <w:rPr>
          <w:rFonts w:cstheme="minorHAnsi"/>
          <w:i/>
          <w:iCs/>
          <w:sz w:val="24"/>
          <w:szCs w:val="24"/>
          <w:lang w:eastAsia="ar-SA"/>
        </w:rPr>
        <w:t>“</w:t>
      </w:r>
      <w:r w:rsidR="00A400DB" w:rsidRPr="00D0440C">
        <w:rPr>
          <w:rFonts w:cstheme="minorHAnsi"/>
          <w:i/>
          <w:iCs/>
          <w:sz w:val="24"/>
          <w:szCs w:val="24"/>
          <w:lang w:eastAsia="ar-SA"/>
        </w:rPr>
        <w:t>A</w:t>
      </w:r>
      <w:r w:rsidRPr="002A290D">
        <w:rPr>
          <w:rFonts w:cstheme="minorHAnsi"/>
          <w:i/>
          <w:iCs/>
          <w:sz w:val="24"/>
          <w:szCs w:val="24"/>
          <w:lang w:eastAsia="ar-SA"/>
        </w:rPr>
        <w:t xml:space="preserve"> digital representation of value that can be digitally traded and functions as (1) a medium of exchange; and/or (2) a unit of account; and/or (3) a store of value, but does not have legal tender status in any jurisdiction.  A </w:t>
      </w:r>
      <w:r w:rsidR="00A82810">
        <w:rPr>
          <w:rFonts w:cstheme="minorHAnsi"/>
          <w:i/>
          <w:iCs/>
          <w:sz w:val="24"/>
          <w:szCs w:val="24"/>
          <w:lang w:eastAsia="ar-SA"/>
        </w:rPr>
        <w:t>Virtual</w:t>
      </w:r>
      <w:r w:rsidRPr="002A290D">
        <w:rPr>
          <w:rFonts w:cstheme="minorHAnsi"/>
          <w:i/>
          <w:iCs/>
          <w:sz w:val="24"/>
          <w:szCs w:val="24"/>
          <w:lang w:eastAsia="ar-SA"/>
        </w:rPr>
        <w:t xml:space="preserve"> Asset is -  </w:t>
      </w:r>
    </w:p>
    <w:p w14:paraId="7AF52CD9" w14:textId="77777777" w:rsidR="00D90479" w:rsidRPr="002A290D" w:rsidRDefault="00D90479" w:rsidP="00D90479">
      <w:pPr>
        <w:pStyle w:val="ListParagraph"/>
        <w:ind w:left="709"/>
        <w:contextualSpacing w:val="0"/>
        <w:jc w:val="both"/>
        <w:rPr>
          <w:rFonts w:cstheme="minorHAnsi"/>
          <w:i/>
          <w:iCs/>
          <w:sz w:val="24"/>
          <w:szCs w:val="24"/>
          <w:lang w:eastAsia="ar-SA"/>
        </w:rPr>
      </w:pPr>
    </w:p>
    <w:p w14:paraId="2AC6763F" w14:textId="34685340" w:rsidR="00D90479" w:rsidRPr="002A290D" w:rsidRDefault="00D90479" w:rsidP="00255D63">
      <w:pPr>
        <w:pStyle w:val="ListParagraph"/>
        <w:numPr>
          <w:ilvl w:val="0"/>
          <w:numId w:val="6"/>
        </w:numPr>
        <w:ind w:left="1134" w:hanging="425"/>
        <w:jc w:val="both"/>
        <w:rPr>
          <w:rFonts w:cstheme="minorHAnsi"/>
          <w:i/>
          <w:iCs/>
          <w:sz w:val="24"/>
          <w:szCs w:val="24"/>
          <w:lang w:eastAsia="ar-SA"/>
        </w:rPr>
      </w:pPr>
      <w:r w:rsidRPr="002A290D">
        <w:rPr>
          <w:rFonts w:cstheme="minorHAnsi"/>
          <w:i/>
          <w:iCs/>
          <w:sz w:val="24"/>
          <w:szCs w:val="24"/>
          <w:lang w:eastAsia="ar-SA"/>
        </w:rPr>
        <w:t xml:space="preserve">neither issued nor guaranteed by any jurisdiction, and fulfils the above functions only by agreement within the community of users of the </w:t>
      </w:r>
      <w:r w:rsidR="00A82810">
        <w:rPr>
          <w:rFonts w:cstheme="minorHAnsi"/>
          <w:i/>
          <w:iCs/>
          <w:sz w:val="24"/>
          <w:szCs w:val="24"/>
          <w:lang w:eastAsia="ar-SA"/>
        </w:rPr>
        <w:t>Virtual</w:t>
      </w:r>
      <w:r w:rsidRPr="002A290D">
        <w:rPr>
          <w:rFonts w:cstheme="minorHAnsi"/>
          <w:i/>
          <w:iCs/>
          <w:sz w:val="24"/>
          <w:szCs w:val="24"/>
          <w:lang w:eastAsia="ar-SA"/>
        </w:rPr>
        <w:t xml:space="preserve"> Asset; and</w:t>
      </w:r>
    </w:p>
    <w:p w14:paraId="1AB31AA4" w14:textId="77777777" w:rsidR="00D90479" w:rsidRPr="002A290D" w:rsidRDefault="00D90479" w:rsidP="00D90479">
      <w:pPr>
        <w:pStyle w:val="ListParagraph"/>
        <w:ind w:left="709"/>
        <w:jc w:val="both"/>
        <w:rPr>
          <w:rFonts w:cstheme="minorHAnsi"/>
          <w:i/>
          <w:iCs/>
          <w:sz w:val="24"/>
          <w:szCs w:val="24"/>
          <w:lang w:eastAsia="ar-SA"/>
        </w:rPr>
      </w:pPr>
    </w:p>
    <w:p w14:paraId="6411D18E" w14:textId="311AD044" w:rsidR="00D90479" w:rsidRPr="00A67389" w:rsidRDefault="00D90479" w:rsidP="00255D63">
      <w:pPr>
        <w:pStyle w:val="ListParagraph"/>
        <w:numPr>
          <w:ilvl w:val="0"/>
          <w:numId w:val="6"/>
        </w:numPr>
        <w:ind w:left="1134" w:hanging="425"/>
        <w:jc w:val="both"/>
        <w:rPr>
          <w:rFonts w:cstheme="minorHAnsi"/>
          <w:i/>
          <w:iCs/>
          <w:sz w:val="24"/>
          <w:szCs w:val="24"/>
          <w:lang w:eastAsia="ar-SA"/>
        </w:rPr>
      </w:pPr>
      <w:r w:rsidRPr="00A67389">
        <w:rPr>
          <w:rFonts w:cstheme="minorHAnsi"/>
          <w:i/>
          <w:iCs/>
          <w:sz w:val="24"/>
          <w:szCs w:val="24"/>
          <w:lang w:eastAsia="ar-SA"/>
        </w:rPr>
        <w:t>distinguished from Fiat Currency</w:t>
      </w:r>
      <w:r w:rsidRPr="00A67389">
        <w:rPr>
          <w:rStyle w:val="FootnoteReference"/>
          <w:rFonts w:cstheme="minorHAnsi"/>
          <w:i/>
          <w:iCs/>
          <w:sz w:val="24"/>
          <w:szCs w:val="24"/>
          <w:lang w:eastAsia="ar-SA"/>
        </w:rPr>
        <w:footnoteReference w:id="6"/>
      </w:r>
      <w:r w:rsidRPr="00A67389">
        <w:rPr>
          <w:rFonts w:cstheme="minorHAnsi"/>
          <w:i/>
          <w:iCs/>
          <w:sz w:val="24"/>
          <w:szCs w:val="24"/>
          <w:lang w:eastAsia="ar-SA"/>
        </w:rPr>
        <w:t xml:space="preserve"> and E-money</w:t>
      </w:r>
      <w:r w:rsidRPr="00A67389">
        <w:rPr>
          <w:rStyle w:val="FootnoteReference"/>
          <w:rFonts w:cstheme="minorHAnsi"/>
          <w:i/>
          <w:iCs/>
          <w:sz w:val="24"/>
          <w:szCs w:val="24"/>
          <w:lang w:eastAsia="ar-SA"/>
        </w:rPr>
        <w:footnoteReference w:id="7"/>
      </w:r>
      <w:r w:rsidRPr="00A67389">
        <w:rPr>
          <w:rFonts w:cstheme="minorHAnsi"/>
          <w:i/>
          <w:iCs/>
          <w:sz w:val="24"/>
          <w:szCs w:val="24"/>
          <w:lang w:eastAsia="ar-SA"/>
        </w:rPr>
        <w:t>.</w:t>
      </w:r>
      <w:r w:rsidR="00A400DB" w:rsidRPr="00A67389">
        <w:rPr>
          <w:rFonts w:cstheme="minorHAnsi"/>
          <w:i/>
          <w:iCs/>
          <w:sz w:val="24"/>
          <w:szCs w:val="24"/>
          <w:lang w:eastAsia="ar-SA"/>
        </w:rPr>
        <w:t>”</w:t>
      </w:r>
    </w:p>
    <w:p w14:paraId="21EB2CF6" w14:textId="3471326E" w:rsidR="00714F52" w:rsidRPr="00FB0436" w:rsidRDefault="00D90479" w:rsidP="00714F52">
      <w:pPr>
        <w:ind w:left="709" w:right="650"/>
        <w:jc w:val="both"/>
        <w:rPr>
          <w:rFonts w:cstheme="minorHAnsi"/>
          <w:sz w:val="24"/>
          <w:szCs w:val="24"/>
          <w:lang w:val="en"/>
        </w:rPr>
      </w:pPr>
      <w:r w:rsidRPr="00FB0436" w:rsidDel="00D90479">
        <w:rPr>
          <w:rFonts w:cstheme="minorHAnsi"/>
          <w:sz w:val="24"/>
          <w:szCs w:val="24"/>
          <w:lang w:val="en"/>
        </w:rPr>
        <w:t xml:space="preserve"> </w:t>
      </w:r>
    </w:p>
    <w:p w14:paraId="56289E4D" w14:textId="71211035" w:rsidR="00636D18" w:rsidRDefault="007C29B7">
      <w:pPr>
        <w:pStyle w:val="Heading2"/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</w:pP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  <w:lang w:val="en"/>
        </w:rPr>
        <w:t>Although</w:t>
      </w:r>
      <w:r w:rsidR="003B1723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not legal tender, </w:t>
      </w:r>
      <w:r w:rsidR="00A8281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Virtual</w:t>
      </w:r>
      <w:r w:rsidR="00A400DB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Assets</w:t>
      </w:r>
      <w:r w:rsidR="00560435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(such as bitcoin)</w:t>
      </w:r>
      <w:r w:rsidR="00636D18" w:rsidRPr="00FD7B2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have “value” in that they can be exchanged for other things of value, with that value being dependent on considerations of supply and demand</w:t>
      </w:r>
      <w:r w:rsidR="00DE0EFD" w:rsidRPr="00FD7B2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.</w:t>
      </w:r>
      <w:r w:rsidR="00636D18" w:rsidRPr="00FD7B2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C222D3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In this respect</w:t>
      </w:r>
      <w:r w:rsidR="005A7BCA" w:rsidRPr="00FD7B2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, </w:t>
      </w:r>
      <w:r w:rsidR="00A8281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Virtual</w:t>
      </w:r>
      <w:r w:rsidR="00A9039E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Assets</w:t>
      </w:r>
      <w:r w:rsidR="00636D18" w:rsidRPr="00FD7B2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have much in common with </w:t>
      </w:r>
      <w:r w:rsidR="00636D18" w:rsidRPr="00FD7B2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lastRenderedPageBreak/>
        <w:t xml:space="preserve">physical commodities such as precious metals, </w:t>
      </w:r>
      <w:r w:rsidR="000B3D86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fuels and agricultural produce.</w:t>
      </w:r>
      <w:r w:rsidR="00636D18" w:rsidRPr="00FD7B2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FD7B2C" w:rsidRPr="000B3D86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Therefore</w:t>
      </w:r>
      <w:r w:rsidR="001B4AF4" w:rsidRPr="000B3D86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from a regulatory 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policy </w:t>
      </w:r>
      <w:r w:rsidR="001B4AF4" w:rsidRPr="000B3D86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perspective</w:t>
      </w:r>
      <w:r w:rsidR="000B3D86" w:rsidRPr="000B3D86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,</w:t>
      </w:r>
      <w:r w:rsidR="00636D18" w:rsidRPr="000B3D86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A8281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Virtual</w:t>
      </w:r>
      <w:r w:rsidR="00A9039E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Assets</w:t>
      </w:r>
      <w:r w:rsidR="00636D18" w:rsidRPr="000B3D86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are treated as commodities</w:t>
      </w:r>
      <w:r w:rsidR="0011299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, </w:t>
      </w:r>
      <w:r w:rsidR="006C453B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instead of</w:t>
      </w:r>
      <w:r w:rsidR="00A14849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Specified Investments</w:t>
      </w:r>
      <w:r w:rsidR="000B3D86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D66515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as defined </w:t>
      </w:r>
      <w:r w:rsidR="000B3D86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under the FSMR</w:t>
      </w:r>
      <w:r w:rsidR="00636D18" w:rsidRPr="000B3D86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. </w:t>
      </w:r>
      <w:r w:rsidR="00AE684F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</w:p>
    <w:p w14:paraId="09E708CB" w14:textId="28D83D79" w:rsidR="00B1498A" w:rsidRPr="00C21B5A" w:rsidRDefault="00560435" w:rsidP="001E1F7A">
      <w:pPr>
        <w:pStyle w:val="Heading2"/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</w:pP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Under FSRA’s regulatory framework for </w:t>
      </w:r>
      <w:r w:rsidR="00A8281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Virtual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Assets</w:t>
      </w:r>
      <w:r w:rsidR="00714D4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, any</w:t>
      </w:r>
      <w:r w:rsidR="00E74CF3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market operator, custodian</w:t>
      </w:r>
      <w:r w:rsidR="00714D4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E74CF3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or intermediary</w:t>
      </w:r>
      <w:r w:rsidR="00714D4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92560B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dealing</w:t>
      </w:r>
      <w:r w:rsidR="00714D4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in </w:t>
      </w:r>
      <w:r w:rsidR="00A8281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Virtual</w:t>
      </w:r>
      <w:r w:rsidR="00714D4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Assets </w:t>
      </w:r>
      <w:r w:rsidR="00E74CF3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is</w:t>
      </w:r>
      <w:r w:rsidR="0092560B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required</w:t>
      </w:r>
      <w:r w:rsidR="00447B69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to be</w:t>
      </w:r>
      <w:r w:rsidR="0092560B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approved by FSRA as </w:t>
      </w:r>
      <w:r w:rsidR="00E74CF3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a</w:t>
      </w:r>
      <w:r w:rsidR="0069309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n</w:t>
      </w:r>
      <w:r w:rsidR="00E74CF3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92560B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FSP </w:t>
      </w:r>
      <w:r w:rsidR="00E74CF3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holder</w:t>
      </w:r>
      <w:r w:rsidR="0092560B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in </w:t>
      </w:r>
      <w:r w:rsidR="001E1F7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relation to the applicable </w:t>
      </w:r>
      <w:r w:rsidR="0092560B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Regulated Activity.</w:t>
      </w:r>
      <w:r w:rsidR="00714D4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92560B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B1498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D</w:t>
      </w:r>
      <w:r w:rsidR="0092560B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etails of FSRA’s approach to the regulation of spot </w:t>
      </w:r>
      <w:r w:rsidR="00A82810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Virtual</w:t>
      </w:r>
      <w:r w:rsidR="0092560B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</w:t>
      </w:r>
      <w:r w:rsidR="00B1498A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sset activities are set out in FSRA’s </w:t>
      </w:r>
      <w:r w:rsidR="00B1498A" w:rsidRPr="00C21B5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‘Guidance – Regulation of </w:t>
      </w:r>
      <w:r w:rsidR="00A82810" w:rsidRPr="00C21B5A">
        <w:rPr>
          <w:rFonts w:asciiTheme="minorHAnsi" w:hAnsiTheme="minorHAnsi" w:cstheme="minorHAnsi"/>
          <w:b w:val="0"/>
          <w:bCs w:val="0"/>
          <w:sz w:val="28"/>
          <w:szCs w:val="28"/>
        </w:rPr>
        <w:t>Virtual</w:t>
      </w:r>
      <w:r w:rsidR="00B1498A" w:rsidRPr="00C21B5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Asset Activities in ADGM’.</w:t>
      </w:r>
    </w:p>
    <w:p w14:paraId="697DBB36" w14:textId="737BDB40" w:rsidR="002029FD" w:rsidRPr="00C21B5A" w:rsidRDefault="0058074E">
      <w:pPr>
        <w:pStyle w:val="Heading2"/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</w:pPr>
      <w:r w:rsidRPr="00C21B5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</w:t>
      </w:r>
      <w:r w:rsidR="001F2C3A" w:rsidRPr="00C21B5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he</w:t>
      </w:r>
      <w:r w:rsidR="00807C92" w:rsidRPr="00C21B5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re</w:t>
      </w:r>
      <w:r w:rsidR="00153E81" w:rsidRPr="00C21B5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</w:t>
      </w:r>
      <w:r w:rsidR="00A810D8" w:rsidRPr="00C21B5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 Regulated Firm</w:t>
      </w:r>
      <w:r w:rsidR="00153E81" w:rsidRPr="00C21B5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use</w:t>
      </w:r>
      <w:r w:rsidR="00A810D8" w:rsidRPr="00C21B5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s</w:t>
      </w:r>
      <w:r w:rsidR="001F2C3A" w:rsidRPr="00C21B5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</w:t>
      </w:r>
      <w:r w:rsidR="00A82810" w:rsidRPr="00C21B5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Virtual</w:t>
      </w:r>
      <w:r w:rsidR="00C56924" w:rsidRPr="00C21B5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Assets</w:t>
      </w:r>
      <w:r w:rsidR="00F07D01" w:rsidRPr="00C21B5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</w:t>
      </w:r>
      <w:r w:rsidR="0069309C" w:rsidRPr="00C21B5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in an ancillary manner (e.g. </w:t>
      </w:r>
      <w:r w:rsidR="001F2C3A" w:rsidRPr="00C21B5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as a means to enable or facilitate the</w:t>
      </w:r>
      <w:r w:rsidR="00153E81" w:rsidRPr="00C21B5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</w:t>
      </w:r>
      <w:r w:rsidR="00A810D8" w:rsidRPr="00C21B5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carrying on of </w:t>
      </w:r>
      <w:r w:rsidR="00F963D5" w:rsidRPr="00C21B5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any financial services businesses</w:t>
      </w:r>
      <w:r w:rsidR="0069309C" w:rsidRPr="00C21B5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)</w:t>
      </w:r>
      <w:r w:rsidR="00A810D8" w:rsidRPr="00C21B5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, </w:t>
      </w:r>
      <w:r w:rsidR="00C56924" w:rsidRPr="00C21B5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it does not necessary mean that the Regulated Firm needs to </w:t>
      </w:r>
      <w:r w:rsidR="00C5582F" w:rsidRPr="00C21B5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seek approvals from the FSRA in order to </w:t>
      </w:r>
      <w:r w:rsidR="001E1F7A" w:rsidRPr="00C21B5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use Virtual Assets </w:t>
      </w:r>
      <w:r w:rsidR="00C5582F" w:rsidRPr="00C21B5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as part of its</w:t>
      </w:r>
      <w:r w:rsidR="001E1F7A" w:rsidRPr="00C21B5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Regulated </w:t>
      </w:r>
      <w:r w:rsidR="00C5582F" w:rsidRPr="00C21B5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Activities</w:t>
      </w:r>
      <w:r w:rsidR="001E1F7A" w:rsidRPr="00C21B5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. </w:t>
      </w:r>
      <w:r w:rsidR="00FE3A71" w:rsidRPr="00C21B5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As illustrated</w:t>
      </w:r>
      <w:r w:rsidR="00142D04" w:rsidRPr="00C21B5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in paragraph 2.2</w:t>
      </w:r>
      <w:r w:rsidR="006D5C96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, an authorised money remittance hous</w:t>
      </w:r>
      <w:r w:rsidR="00912A98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e </w:t>
      </w:r>
      <w:r w:rsidR="004666D6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does not </w:t>
      </w:r>
      <w:r w:rsidR="00912A98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need </w:t>
      </w:r>
      <w:r w:rsidR="00AD28CF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to</w:t>
      </w:r>
      <w:r w:rsidR="00912A98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apply for </w:t>
      </w:r>
      <w:r w:rsidR="00C5582F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specific approvals from the FSRA </w:t>
      </w:r>
      <w:r w:rsidR="001E1F7A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to use Virtual Assets </w:t>
      </w:r>
      <w:r w:rsidR="00912A98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if it merely</w:t>
      </w:r>
      <w:r w:rsidR="006D5C96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142D04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use</w:t>
      </w:r>
      <w:r w:rsidR="00912A98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s</w:t>
      </w:r>
      <w:r w:rsidR="00142D04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A82810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Virtual</w:t>
      </w:r>
      <w:r w:rsidR="00142D04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Assets</w:t>
      </w:r>
      <w:r w:rsidR="006D5C96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4666D6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as a medium of exchange </w:t>
      </w:r>
      <w:r w:rsidR="006D5C96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to </w:t>
      </w:r>
      <w:r w:rsidR="00A038CC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facilitate the remittance of fiat currencies on behalf of Clients across jurisdictions</w:t>
      </w:r>
      <w:r w:rsidR="006D5C96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.  </w:t>
      </w:r>
      <w:r w:rsidR="00C56924" w:rsidRPr="00C21B5A">
        <w:rPr>
          <w:rFonts w:asciiTheme="minorHAnsi" w:hAnsiTheme="minorHAnsi" w:cs="VALOL V+ Helvetica Neue LT"/>
          <w:b w:val="0"/>
          <w:bCs w:val="0"/>
          <w:color w:val="000000"/>
          <w:sz w:val="28"/>
          <w:szCs w:val="28"/>
        </w:rPr>
        <w:t>T</w:t>
      </w:r>
      <w:r w:rsidR="00A810D8" w:rsidRPr="00C21B5A">
        <w:rPr>
          <w:rFonts w:asciiTheme="minorHAnsi" w:hAnsiTheme="minorHAnsi" w:cs="VALOL V+ Helvetica Neue LT"/>
          <w:b w:val="0"/>
          <w:bCs w:val="0"/>
          <w:color w:val="000000"/>
          <w:sz w:val="28"/>
          <w:szCs w:val="28"/>
        </w:rPr>
        <w:t>he Regulated F</w:t>
      </w:r>
      <w:r w:rsidR="002029FD" w:rsidRPr="00C21B5A">
        <w:rPr>
          <w:rFonts w:asciiTheme="minorHAnsi" w:hAnsiTheme="minorHAnsi" w:cs="VALOL V+ Helvetica Neue LT"/>
          <w:b w:val="0"/>
          <w:bCs w:val="0"/>
          <w:color w:val="000000"/>
          <w:sz w:val="28"/>
          <w:szCs w:val="28"/>
        </w:rPr>
        <w:t>irm will</w:t>
      </w:r>
      <w:r w:rsidR="004666D6" w:rsidRPr="00C21B5A">
        <w:rPr>
          <w:rFonts w:asciiTheme="minorHAnsi" w:hAnsiTheme="minorHAnsi" w:cs="VALOL V+ Helvetica Neue LT"/>
          <w:b w:val="0"/>
          <w:bCs w:val="0"/>
          <w:color w:val="000000"/>
          <w:sz w:val="28"/>
          <w:szCs w:val="28"/>
        </w:rPr>
        <w:t>,</w:t>
      </w:r>
      <w:r w:rsidR="002029FD" w:rsidRPr="00C21B5A">
        <w:rPr>
          <w:rFonts w:asciiTheme="minorHAnsi" w:hAnsiTheme="minorHAnsi" w:cs="VALOL V+ Helvetica Neue LT"/>
          <w:b w:val="0"/>
          <w:bCs w:val="0"/>
          <w:color w:val="000000"/>
          <w:sz w:val="28"/>
          <w:szCs w:val="28"/>
        </w:rPr>
        <w:t xml:space="preserve"> </w:t>
      </w:r>
      <w:r w:rsidR="004666D6" w:rsidRPr="00C21B5A">
        <w:rPr>
          <w:rFonts w:asciiTheme="minorHAnsi" w:hAnsiTheme="minorHAnsi" w:cs="VALOL V+ Helvetica Neue LT"/>
          <w:b w:val="0"/>
          <w:bCs w:val="0"/>
          <w:color w:val="000000"/>
          <w:sz w:val="28"/>
          <w:szCs w:val="28"/>
        </w:rPr>
        <w:t xml:space="preserve">however, </w:t>
      </w:r>
      <w:r w:rsidR="002029FD" w:rsidRPr="00C21B5A">
        <w:rPr>
          <w:rFonts w:asciiTheme="minorHAnsi" w:hAnsiTheme="minorHAnsi" w:cs="VALOL V+ Helvetica Neue LT"/>
          <w:b w:val="0"/>
          <w:bCs w:val="0"/>
          <w:color w:val="000000"/>
          <w:sz w:val="28"/>
          <w:szCs w:val="28"/>
        </w:rPr>
        <w:t>have to demonstrate t</w:t>
      </w:r>
      <w:r w:rsidR="00F963D5" w:rsidRPr="00C21B5A">
        <w:rPr>
          <w:rFonts w:asciiTheme="minorHAnsi" w:hAnsiTheme="minorHAnsi" w:cs="VALOL V+ Helvetica Neue LT"/>
          <w:b w:val="0"/>
          <w:bCs w:val="0"/>
          <w:color w:val="000000"/>
          <w:sz w:val="28"/>
          <w:szCs w:val="28"/>
        </w:rPr>
        <w:t>hat the</w:t>
      </w:r>
      <w:r w:rsidR="002029FD" w:rsidRPr="00C21B5A">
        <w:rPr>
          <w:rFonts w:asciiTheme="minorHAnsi" w:hAnsiTheme="minorHAnsi" w:cs="VALOL V+ Helvetica Neue LT"/>
          <w:b w:val="0"/>
          <w:bCs w:val="0"/>
          <w:color w:val="000000"/>
          <w:sz w:val="28"/>
          <w:szCs w:val="28"/>
        </w:rPr>
        <w:t xml:space="preserve"> </w:t>
      </w:r>
      <w:r w:rsidR="004666D6" w:rsidRPr="00C21B5A">
        <w:rPr>
          <w:rFonts w:asciiTheme="minorHAnsi" w:hAnsiTheme="minorHAnsi" w:cs="VALOL V+ Helvetica Neue LT"/>
          <w:b w:val="0"/>
          <w:bCs w:val="0"/>
          <w:color w:val="000000"/>
          <w:sz w:val="28"/>
          <w:szCs w:val="28"/>
        </w:rPr>
        <w:t>use of</w:t>
      </w:r>
      <w:r w:rsidR="008959F2" w:rsidRPr="00C21B5A">
        <w:rPr>
          <w:rFonts w:asciiTheme="minorHAnsi" w:hAnsiTheme="minorHAnsi" w:cs="VALOL V+ Helvetica Neue LT"/>
          <w:b w:val="0"/>
          <w:bCs w:val="0"/>
          <w:color w:val="000000"/>
          <w:sz w:val="28"/>
          <w:szCs w:val="28"/>
        </w:rPr>
        <w:t xml:space="preserve"> the </w:t>
      </w:r>
      <w:r w:rsidR="00A82810" w:rsidRPr="00C21B5A">
        <w:rPr>
          <w:rFonts w:asciiTheme="minorHAnsi" w:hAnsiTheme="minorHAnsi" w:cs="VALOL V+ Helvetica Neue LT"/>
          <w:b w:val="0"/>
          <w:bCs w:val="0"/>
          <w:color w:val="000000"/>
          <w:sz w:val="28"/>
          <w:szCs w:val="28"/>
        </w:rPr>
        <w:t>Virtual</w:t>
      </w:r>
      <w:r w:rsidR="00D8738A" w:rsidRPr="00C21B5A">
        <w:rPr>
          <w:rFonts w:asciiTheme="minorHAnsi" w:hAnsiTheme="minorHAnsi" w:cs="VALOL V+ Helvetica Neue LT"/>
          <w:b w:val="0"/>
          <w:bCs w:val="0"/>
          <w:color w:val="000000"/>
          <w:sz w:val="28"/>
          <w:szCs w:val="28"/>
        </w:rPr>
        <w:t xml:space="preserve"> Asset</w:t>
      </w:r>
      <w:r w:rsidR="00C5582F" w:rsidRPr="00C21B5A">
        <w:rPr>
          <w:rFonts w:asciiTheme="minorHAnsi" w:hAnsiTheme="minorHAnsi" w:cs="VALOL V+ Helvetica Neue LT"/>
          <w:b w:val="0"/>
          <w:bCs w:val="0"/>
          <w:color w:val="000000"/>
          <w:sz w:val="28"/>
          <w:szCs w:val="28"/>
        </w:rPr>
        <w:t>, used in such ancillary manner,</w:t>
      </w:r>
      <w:r w:rsidR="008959F2" w:rsidRPr="00C21B5A">
        <w:rPr>
          <w:rFonts w:asciiTheme="minorHAnsi" w:hAnsiTheme="minorHAnsi" w:cs="VALOL V+ Helvetica Neue LT"/>
          <w:b w:val="0"/>
          <w:bCs w:val="0"/>
          <w:color w:val="000000"/>
          <w:sz w:val="28"/>
          <w:szCs w:val="28"/>
        </w:rPr>
        <w:t xml:space="preserve"> </w:t>
      </w:r>
      <w:r w:rsidR="004666D6" w:rsidRPr="00C21B5A">
        <w:rPr>
          <w:rFonts w:asciiTheme="minorHAnsi" w:hAnsiTheme="minorHAnsi" w:cs="VALOL V+ Helvetica Neue LT"/>
          <w:b w:val="0"/>
          <w:bCs w:val="0"/>
          <w:color w:val="000000"/>
          <w:sz w:val="28"/>
          <w:szCs w:val="28"/>
        </w:rPr>
        <w:t>is</w:t>
      </w:r>
      <w:r w:rsidR="00CD5EEB" w:rsidRPr="00C21B5A">
        <w:rPr>
          <w:rFonts w:asciiTheme="minorHAnsi" w:hAnsiTheme="minorHAnsi" w:cs="VALOL V+ Helvetica Neue LT"/>
          <w:b w:val="0"/>
          <w:bCs w:val="0"/>
          <w:color w:val="000000"/>
          <w:sz w:val="28"/>
          <w:szCs w:val="28"/>
        </w:rPr>
        <w:t xml:space="preserve"> fit for purpose</w:t>
      </w:r>
      <w:r w:rsidR="004666D6" w:rsidRPr="00C21B5A">
        <w:rPr>
          <w:rFonts w:asciiTheme="minorHAnsi" w:hAnsiTheme="minorHAnsi" w:cs="VALOL V+ Helvetica Neue LT"/>
          <w:b w:val="0"/>
          <w:bCs w:val="0"/>
          <w:color w:val="000000"/>
          <w:sz w:val="28"/>
          <w:szCs w:val="28"/>
        </w:rPr>
        <w:t>, e.g.</w:t>
      </w:r>
      <w:r w:rsidR="00D03670" w:rsidRPr="00C21B5A">
        <w:rPr>
          <w:rFonts w:asciiTheme="minorHAnsi" w:hAnsiTheme="minorHAnsi" w:cs="VALOL V+ Helvetica Neue LT"/>
          <w:b w:val="0"/>
          <w:bCs w:val="0"/>
          <w:color w:val="000000"/>
          <w:sz w:val="28"/>
          <w:szCs w:val="28"/>
        </w:rPr>
        <w:t>,</w:t>
      </w:r>
      <w:r w:rsidR="00CD5EEB" w:rsidRPr="00C21B5A">
        <w:rPr>
          <w:rFonts w:asciiTheme="minorHAnsi" w:hAnsiTheme="minorHAnsi" w:cs="VALOL V+ Helvetica Neue LT"/>
          <w:b w:val="0"/>
          <w:bCs w:val="0"/>
          <w:color w:val="000000"/>
          <w:sz w:val="28"/>
          <w:szCs w:val="28"/>
        </w:rPr>
        <w:t xml:space="preserve"> putting in place control </w:t>
      </w:r>
      <w:r w:rsidR="00CD5EEB" w:rsidRPr="00C21B5A">
        <w:rPr>
          <w:rFonts w:asciiTheme="minorHAnsi" w:hAnsiTheme="minorHAnsi" w:cs="VALOL V+ Helvetica Neue LT"/>
          <w:b w:val="0"/>
          <w:bCs w:val="0"/>
          <w:color w:val="000000"/>
          <w:sz w:val="28"/>
          <w:szCs w:val="28"/>
        </w:rPr>
        <w:lastRenderedPageBreak/>
        <w:t xml:space="preserve">requirements to </w:t>
      </w:r>
      <w:r w:rsidR="002029FD" w:rsidRPr="00C21B5A">
        <w:rPr>
          <w:rFonts w:asciiTheme="minorHAnsi" w:hAnsiTheme="minorHAnsi" w:cs="VALOL V+ Helvetica Neue LT"/>
          <w:b w:val="0"/>
          <w:bCs w:val="0"/>
          <w:color w:val="000000"/>
          <w:sz w:val="28"/>
          <w:szCs w:val="28"/>
        </w:rPr>
        <w:t>address technology</w:t>
      </w:r>
      <w:r w:rsidR="004666D6" w:rsidRPr="00C21B5A">
        <w:rPr>
          <w:rFonts w:asciiTheme="minorHAnsi" w:hAnsiTheme="minorHAnsi" w:cs="VALOL V+ Helvetica Neue LT"/>
          <w:b w:val="0"/>
          <w:bCs w:val="0"/>
          <w:color w:val="000000"/>
          <w:sz w:val="28"/>
          <w:szCs w:val="28"/>
        </w:rPr>
        <w:t xml:space="preserve"> and security</w:t>
      </w:r>
      <w:r w:rsidR="002029FD" w:rsidRPr="00C21B5A">
        <w:rPr>
          <w:rFonts w:asciiTheme="minorHAnsi" w:hAnsiTheme="minorHAnsi" w:cs="VALOL V+ Helvetica Neue LT"/>
          <w:b w:val="0"/>
          <w:bCs w:val="0"/>
          <w:color w:val="000000"/>
          <w:sz w:val="28"/>
          <w:szCs w:val="28"/>
        </w:rPr>
        <w:t xml:space="preserve"> risks associated with the </w:t>
      </w:r>
      <w:r w:rsidR="00CD5EEB" w:rsidRPr="00C21B5A">
        <w:rPr>
          <w:rFonts w:asciiTheme="minorHAnsi" w:hAnsiTheme="minorHAnsi" w:cs="VALOL V+ Helvetica Neue LT"/>
          <w:b w:val="0"/>
          <w:bCs w:val="0"/>
          <w:color w:val="000000"/>
          <w:sz w:val="28"/>
          <w:szCs w:val="28"/>
        </w:rPr>
        <w:t xml:space="preserve">use of </w:t>
      </w:r>
      <w:r w:rsidR="00D8738A" w:rsidRPr="00C21B5A">
        <w:rPr>
          <w:rFonts w:asciiTheme="minorHAnsi" w:hAnsiTheme="minorHAnsi" w:cs="VALOL V+ Helvetica Neue LT"/>
          <w:b w:val="0"/>
          <w:bCs w:val="0"/>
          <w:color w:val="000000"/>
          <w:sz w:val="28"/>
          <w:szCs w:val="28"/>
        </w:rPr>
        <w:t xml:space="preserve">the </w:t>
      </w:r>
      <w:r w:rsidR="00A82810" w:rsidRPr="00C21B5A">
        <w:rPr>
          <w:rFonts w:asciiTheme="minorHAnsi" w:hAnsiTheme="minorHAnsi" w:cs="VALOL V+ Helvetica Neue LT"/>
          <w:b w:val="0"/>
          <w:bCs w:val="0"/>
          <w:color w:val="000000"/>
          <w:sz w:val="28"/>
          <w:szCs w:val="28"/>
        </w:rPr>
        <w:t>Virtual</w:t>
      </w:r>
      <w:r w:rsidR="00D8738A" w:rsidRPr="00C21B5A">
        <w:rPr>
          <w:rFonts w:asciiTheme="minorHAnsi" w:hAnsiTheme="minorHAnsi" w:cs="VALOL V+ Helvetica Neue LT"/>
          <w:b w:val="0"/>
          <w:bCs w:val="0"/>
          <w:color w:val="000000"/>
          <w:sz w:val="28"/>
          <w:szCs w:val="28"/>
        </w:rPr>
        <w:t xml:space="preserve"> Asset</w:t>
      </w:r>
      <w:r w:rsidR="00A038CC" w:rsidRPr="00C21B5A">
        <w:rPr>
          <w:rFonts w:asciiTheme="minorHAnsi" w:hAnsiTheme="minorHAnsi" w:cs="VALOL V+ Helvetica Neue LT"/>
          <w:b w:val="0"/>
          <w:bCs w:val="0"/>
          <w:color w:val="000000"/>
          <w:sz w:val="28"/>
          <w:szCs w:val="28"/>
        </w:rPr>
        <w:t>.</w:t>
      </w:r>
      <w:r w:rsidR="00334E9B" w:rsidRPr="00C21B5A">
        <w:rPr>
          <w:rFonts w:asciiTheme="minorHAnsi" w:hAnsiTheme="minorHAnsi" w:cs="VALOL V+ Helvetica Neue LT"/>
          <w:b w:val="0"/>
          <w:bCs w:val="0"/>
          <w:color w:val="000000"/>
          <w:sz w:val="28"/>
          <w:szCs w:val="28"/>
        </w:rPr>
        <w:t xml:space="preserve">  </w:t>
      </w:r>
      <w:r w:rsidR="00334E9B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On the other hand, </w:t>
      </w:r>
      <w:r w:rsidR="00AD28CF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for example, </w:t>
      </w:r>
      <w:r w:rsidR="00334E9B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if </w:t>
      </w:r>
      <w:r w:rsidR="005C6537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the Regulated Firm offers its Clients services to</w:t>
      </w:r>
      <w:r w:rsidR="00334E9B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exchang</w:t>
      </w:r>
      <w:r w:rsidR="005C6537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e</w:t>
      </w:r>
      <w:r w:rsidR="00334E9B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A82810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Virtual</w:t>
      </w:r>
      <w:r w:rsidR="00334E9B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Assets for fiat currencies, the Regulated Firm</w:t>
      </w:r>
      <w:r w:rsidR="003F7388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will need to apply </w:t>
      </w:r>
      <w:r w:rsidR="00494415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to, and be authorised by, the FSRA to </w:t>
      </w:r>
      <w:r w:rsidR="00C5582F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use</w:t>
      </w:r>
      <w:r w:rsidR="00991F62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494415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Virtual Assets</w:t>
      </w:r>
      <w:r w:rsidR="00C5582F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as part of its</w:t>
      </w:r>
      <w:r w:rsidR="00991F62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="00334E9B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Regulated Activit</w:t>
      </w:r>
      <w:r w:rsidR="00C5582F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ies</w:t>
      </w:r>
      <w:r w:rsidR="00334E9B" w:rsidRPr="00C21B5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.</w:t>
      </w:r>
    </w:p>
    <w:p w14:paraId="1783F7C3" w14:textId="17086628" w:rsidR="00807C92" w:rsidRPr="005713A6" w:rsidRDefault="00807C92" w:rsidP="00807C92">
      <w:pPr>
        <w:pStyle w:val="Heading2"/>
        <w:numPr>
          <w:ilvl w:val="0"/>
          <w:numId w:val="0"/>
        </w:numPr>
        <w:ind w:left="709"/>
        <w:rPr>
          <w:rFonts w:asciiTheme="minorHAnsi" w:eastAsiaTheme="minorHAnsi" w:hAnsiTheme="minorHAnsi" w:cstheme="minorBidi"/>
          <w:b w:val="0"/>
          <w:bCs w:val="0"/>
          <w:i/>
          <w:iCs/>
          <w:sz w:val="28"/>
          <w:szCs w:val="28"/>
        </w:rPr>
      </w:pPr>
      <w:r>
        <w:rPr>
          <w:rFonts w:asciiTheme="minorHAnsi" w:eastAsiaTheme="minorHAnsi" w:hAnsiTheme="minorHAnsi" w:cstheme="minorBidi"/>
          <w:b w:val="0"/>
          <w:bCs w:val="0"/>
          <w:i/>
          <w:iCs/>
          <w:sz w:val="28"/>
          <w:szCs w:val="28"/>
        </w:rPr>
        <w:t xml:space="preserve">Derivatives of </w:t>
      </w:r>
      <w:r w:rsidR="00A82810">
        <w:rPr>
          <w:rFonts w:asciiTheme="minorHAnsi" w:eastAsiaTheme="minorHAnsi" w:hAnsiTheme="minorHAnsi" w:cstheme="minorBidi"/>
          <w:b w:val="0"/>
          <w:bCs w:val="0"/>
          <w:i/>
          <w:iCs/>
          <w:sz w:val="28"/>
          <w:szCs w:val="28"/>
        </w:rPr>
        <w:t>Virtual</w:t>
      </w:r>
      <w:r w:rsidR="00F12D29">
        <w:rPr>
          <w:rFonts w:asciiTheme="minorHAnsi" w:eastAsiaTheme="minorHAnsi" w:hAnsiTheme="minorHAnsi" w:cstheme="minorBidi"/>
          <w:b w:val="0"/>
          <w:bCs w:val="0"/>
          <w:i/>
          <w:iCs/>
          <w:sz w:val="28"/>
          <w:szCs w:val="28"/>
        </w:rPr>
        <w:t xml:space="preserve"> Assets</w:t>
      </w:r>
    </w:p>
    <w:p w14:paraId="3CC4B1F5" w14:textId="3B1CD781" w:rsidR="00636D18" w:rsidRPr="00D0440C" w:rsidRDefault="00636D18" w:rsidP="00807C92">
      <w:pPr>
        <w:pStyle w:val="Heading2"/>
        <w:rPr>
          <w:rFonts w:asciiTheme="minorHAnsi" w:eastAsiaTheme="minorHAnsi" w:hAnsiTheme="minorHAnsi" w:cstheme="minorBidi"/>
          <w:sz w:val="28"/>
          <w:szCs w:val="28"/>
        </w:rPr>
      </w:pPr>
      <w:r w:rsidRPr="00636D18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In line with the policy treatment of </w:t>
      </w:r>
      <w:r w:rsidR="00A8281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Virtual</w:t>
      </w:r>
      <w:r w:rsidR="00D4764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Assets</w:t>
      </w:r>
      <w:r w:rsidRPr="00636D18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as commodities, Derivatives of </w:t>
      </w:r>
      <w:r w:rsidR="00A8281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Virtual</w:t>
      </w:r>
      <w:r w:rsidR="00D4764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Assets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are </w:t>
      </w:r>
      <w:r w:rsidR="00B26FAD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regulated</w:t>
      </w:r>
      <w:r w:rsidRPr="00636D18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as </w:t>
      </w:r>
      <w:r w:rsidR="0065071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Commodity Derivatives and hence, a type of </w:t>
      </w:r>
      <w:r w:rsidRPr="00636D18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Specified Investment </w:t>
      </w:r>
      <w:r w:rsidR="007B6AD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under the</w:t>
      </w:r>
      <w:r w:rsidRPr="00636D18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FSMR.</w:t>
      </w:r>
      <w:r w:rsidR="0007334E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 Consequently, any market </w:t>
      </w:r>
      <w:r w:rsidR="00CF640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operators</w:t>
      </w:r>
      <w:r w:rsidR="0007334E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or</w:t>
      </w:r>
      <w:r w:rsidR="00793919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market </w:t>
      </w:r>
      <w:r w:rsidR="00CF640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intermediaries</w:t>
      </w:r>
      <w:r w:rsidR="00F66088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dealing</w:t>
      </w:r>
      <w:r w:rsidR="003A5644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or managing investments</w:t>
      </w:r>
      <w:r w:rsidR="00F66088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in Derivatives of </w:t>
      </w:r>
      <w:r w:rsidR="00A8281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Virtual</w:t>
      </w:r>
      <w:r w:rsidR="00D4764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Assets</w:t>
      </w:r>
      <w:r w:rsidR="00F66088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will be subject to the </w:t>
      </w:r>
      <w:r w:rsidR="00807C92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appropriate </w:t>
      </w:r>
      <w:r w:rsidR="00F66088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regulations and rules </w:t>
      </w:r>
      <w:r w:rsidR="00807C92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applicable </w:t>
      </w:r>
      <w:r w:rsidR="00F66088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under </w:t>
      </w:r>
      <w:r w:rsidR="0007334E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FSMR</w:t>
      </w:r>
      <w:r w:rsidR="00F66088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.</w:t>
      </w:r>
    </w:p>
    <w:p w14:paraId="280B9950" w14:textId="7FECC195" w:rsidR="0058074E" w:rsidRPr="00D0440C" w:rsidRDefault="0058074E" w:rsidP="00156B61">
      <w:pPr>
        <w:pStyle w:val="Heading2"/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</w:pP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Notwithstanding that </w:t>
      </w:r>
      <w:r w:rsidR="00FA1C05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certain </w:t>
      </w:r>
      <w:r w:rsidR="00A8281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Virtual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Asset activities are subj</w:t>
      </w:r>
      <w:r w:rsidR="003A5644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ect to regulations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under the FSMR, </w:t>
      </w:r>
      <w:r w:rsidR="00DF22C6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the FSRA does not take a view on the merits of transacting or investing in </w:t>
      </w:r>
      <w:r w:rsidR="00A8281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Virtual</w:t>
      </w:r>
      <w:r w:rsidR="00DF22C6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Assets.  G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iven the volatility of </w:t>
      </w:r>
      <w:r w:rsidR="00A8281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Virtual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Assets, they constitute high-risk investments.  FSRA therefore advises consumers and companies to consider the 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lastRenderedPageBreak/>
        <w:t xml:space="preserve">risks of investing in </w:t>
      </w:r>
      <w:r w:rsidR="00A8281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Virtual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Assets</w:t>
      </w:r>
      <w:r w:rsidR="00DF22C6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or </w:t>
      </w:r>
      <w:r w:rsidR="00156B61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any related </w:t>
      </w:r>
      <w:r w:rsidR="00DF22C6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Derivatives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carefully before committing any funds.</w:t>
      </w:r>
    </w:p>
    <w:p w14:paraId="1097AD88" w14:textId="6AAD22F8" w:rsidR="00893DA0" w:rsidRPr="00C622A8" w:rsidRDefault="004365C5" w:rsidP="00C622A8">
      <w:pPr>
        <w:pStyle w:val="Heading2"/>
        <w:keepNext w:val="0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For avoidance of doubt, </w:t>
      </w:r>
      <w:r w:rsidR="00447869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where a </w:t>
      </w:r>
      <w:r w:rsidR="00A82810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Virtual</w:t>
      </w:r>
      <w:r w:rsidR="00D4764C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Asset</w:t>
      </w:r>
      <w:r w:rsidR="00447869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has the features and characteristics of a </w:t>
      </w:r>
      <w:r w:rsidR="00AB62CD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Digital </w:t>
      </w:r>
      <w:r w:rsidR="00447869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Security, it will </w:t>
      </w:r>
      <w:r w:rsidR="00CE3444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additionally </w:t>
      </w:r>
      <w:r w:rsidR="00447869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be subject to the </w:t>
      </w:r>
      <w:r w:rsidR="004F7D9A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>applicable regulatory requirements as explained in section 3 above.</w:t>
      </w:r>
    </w:p>
    <w:p w14:paraId="468AF41E" w14:textId="7769FB7D" w:rsidR="00D27C91" w:rsidRPr="00D27C91" w:rsidRDefault="0035613F" w:rsidP="00C622A8">
      <w:pPr>
        <w:pStyle w:val="Heading1"/>
        <w:keepNext w:val="0"/>
        <w:spacing w:before="240"/>
        <w:rPr>
          <w:rFonts w:asciiTheme="minorHAnsi" w:hAnsiTheme="minorHAnsi"/>
          <w:bCs w:val="0"/>
          <w:sz w:val="28"/>
        </w:rPr>
      </w:pPr>
      <w:bookmarkStart w:id="8" w:name="_Toc33431586"/>
      <w:r w:rsidRPr="00D27C91">
        <w:rPr>
          <w:rFonts w:asciiTheme="minorHAnsi" w:hAnsiTheme="minorHAnsi"/>
          <w:bCs w:val="0"/>
          <w:caps w:val="0"/>
          <w:sz w:val="28"/>
        </w:rPr>
        <w:t>SUMMARY</w:t>
      </w:r>
      <w:bookmarkEnd w:id="8"/>
    </w:p>
    <w:p w14:paraId="74FD7D22" w14:textId="669B1117" w:rsidR="0073456A" w:rsidRDefault="009935D9" w:rsidP="00C622A8">
      <w:pPr>
        <w:pStyle w:val="Default"/>
        <w:ind w:left="709" w:hanging="709"/>
        <w:jc w:val="both"/>
        <w:rPr>
          <w:rFonts w:ascii="Calibri" w:hAnsi="Calibri" w:cs="Calibr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5</w:t>
      </w:r>
      <w:r w:rsidR="0073456A" w:rsidRPr="0073456A">
        <w:rPr>
          <w:rFonts w:asciiTheme="minorHAnsi" w:hAnsiTheme="minorHAnsi" w:cstheme="minorBidi"/>
          <w:sz w:val="28"/>
          <w:szCs w:val="28"/>
        </w:rPr>
        <w:t>.1</w:t>
      </w:r>
      <w:r w:rsidR="0073456A" w:rsidRPr="0073456A">
        <w:rPr>
          <w:rFonts w:asciiTheme="minorHAnsi" w:hAnsiTheme="minorHAnsi" w:cstheme="minorBidi"/>
          <w:sz w:val="28"/>
          <w:szCs w:val="28"/>
        </w:rPr>
        <w:tab/>
      </w:r>
      <w:r w:rsidR="0073456A">
        <w:rPr>
          <w:rFonts w:ascii="Calibri" w:hAnsi="Calibri" w:cs="Calibri"/>
          <w:sz w:val="28"/>
          <w:szCs w:val="28"/>
        </w:rPr>
        <w:t>A summary of the</w:t>
      </w:r>
      <w:r w:rsidR="00156322">
        <w:rPr>
          <w:rFonts w:ascii="Calibri" w:hAnsi="Calibri" w:cs="Calibri"/>
          <w:sz w:val="28"/>
          <w:szCs w:val="28"/>
        </w:rPr>
        <w:t xml:space="preserve"> regulatory treatment</w:t>
      </w:r>
      <w:r w:rsidR="0073456A" w:rsidRPr="0073456A">
        <w:rPr>
          <w:rFonts w:ascii="Calibri" w:hAnsi="Calibri" w:cs="Calibri"/>
          <w:sz w:val="28"/>
          <w:szCs w:val="28"/>
        </w:rPr>
        <w:t xml:space="preserve"> of </w:t>
      </w:r>
      <w:r w:rsidR="00D73A2C">
        <w:rPr>
          <w:rFonts w:ascii="Calibri" w:hAnsi="Calibri" w:cs="Calibri"/>
          <w:sz w:val="28"/>
          <w:szCs w:val="28"/>
        </w:rPr>
        <w:t xml:space="preserve">Digital Assets </w:t>
      </w:r>
      <w:r w:rsidR="00323AB9">
        <w:rPr>
          <w:rFonts w:ascii="Calibri" w:hAnsi="Calibri" w:cs="Calibri"/>
          <w:sz w:val="28"/>
          <w:szCs w:val="28"/>
        </w:rPr>
        <w:t>is shown</w:t>
      </w:r>
      <w:r w:rsidR="00EF67BD">
        <w:rPr>
          <w:rFonts w:ascii="Calibri" w:hAnsi="Calibri" w:cs="Calibri"/>
          <w:sz w:val="28"/>
          <w:szCs w:val="28"/>
        </w:rPr>
        <w:t xml:space="preserve"> in the </w:t>
      </w:r>
      <w:r>
        <w:rPr>
          <w:rFonts w:ascii="Calibri" w:hAnsi="Calibri" w:cs="Calibri"/>
          <w:sz w:val="28"/>
          <w:szCs w:val="28"/>
        </w:rPr>
        <w:t>table below</w:t>
      </w:r>
      <w:r w:rsidR="0073456A" w:rsidRPr="0073456A">
        <w:rPr>
          <w:rFonts w:ascii="Calibri" w:hAnsi="Calibri" w:cs="Calibri"/>
          <w:sz w:val="28"/>
          <w:szCs w:val="28"/>
        </w:rPr>
        <w:t xml:space="preserve">. </w:t>
      </w:r>
    </w:p>
    <w:p w14:paraId="65EB9AC3" w14:textId="77777777" w:rsidR="00A82810" w:rsidRDefault="00A82810">
      <w:pPr>
        <w:pStyle w:val="Default"/>
        <w:ind w:left="709" w:hanging="709"/>
        <w:jc w:val="both"/>
        <w:rPr>
          <w:rFonts w:ascii="Calibri" w:hAnsi="Calibri" w:cs="Calibr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A82810" w:rsidRPr="0059301F" w14:paraId="749EB4E1" w14:textId="77777777" w:rsidTr="007B6D6E">
        <w:tc>
          <w:tcPr>
            <w:tcW w:w="2689" w:type="dxa"/>
            <w:shd w:val="clear" w:color="auto" w:fill="FFFFFF" w:themeFill="background1"/>
          </w:tcPr>
          <w:p w14:paraId="5DBF4803" w14:textId="77777777" w:rsidR="00A82810" w:rsidRPr="00624829" w:rsidRDefault="00A82810" w:rsidP="007B6D6E">
            <w:pPr>
              <w:jc w:val="center"/>
              <w:rPr>
                <w:rFonts w:eastAsia="Times New Roman" w:cs="Times New Roman"/>
                <w:b/>
                <w:bCs/>
                <w:lang w:eastAsia="ar-SA"/>
              </w:rPr>
            </w:pPr>
            <w:r w:rsidRPr="00624829">
              <w:rPr>
                <w:rFonts w:eastAsia="Times New Roman" w:cs="Times New Roman"/>
                <w:b/>
                <w:bCs/>
                <w:lang w:eastAsia="ar-SA"/>
              </w:rPr>
              <w:t>Category of Digital Assets / Instruments</w:t>
            </w:r>
          </w:p>
        </w:tc>
        <w:tc>
          <w:tcPr>
            <w:tcW w:w="6327" w:type="dxa"/>
            <w:shd w:val="clear" w:color="auto" w:fill="FFFFFF" w:themeFill="background1"/>
          </w:tcPr>
          <w:p w14:paraId="0E3A7B73" w14:textId="77777777" w:rsidR="00A82810" w:rsidRPr="00624829" w:rsidRDefault="00A82810" w:rsidP="007B6D6E">
            <w:pPr>
              <w:jc w:val="center"/>
              <w:rPr>
                <w:rFonts w:eastAsia="Times New Roman" w:cs="Times New Roman"/>
                <w:b/>
                <w:bCs/>
                <w:lang w:eastAsia="ar-SA"/>
              </w:rPr>
            </w:pPr>
            <w:r w:rsidRPr="00624829">
              <w:rPr>
                <w:rFonts w:eastAsia="Times New Roman" w:cs="Times New Roman"/>
                <w:b/>
                <w:bCs/>
                <w:lang w:eastAsia="ar-SA"/>
              </w:rPr>
              <w:t>Regulatory Approach</w:t>
            </w:r>
          </w:p>
        </w:tc>
      </w:tr>
      <w:tr w:rsidR="00A82810" w:rsidRPr="0059301F" w14:paraId="1832BFA8" w14:textId="77777777" w:rsidTr="007B6D6E">
        <w:tc>
          <w:tcPr>
            <w:tcW w:w="2689" w:type="dxa"/>
            <w:shd w:val="clear" w:color="auto" w:fill="FFFFFF" w:themeFill="background1"/>
          </w:tcPr>
          <w:p w14:paraId="078E0E3C" w14:textId="77777777" w:rsidR="00A82810" w:rsidRPr="00624829" w:rsidRDefault="00A82810" w:rsidP="007B6D6E">
            <w:pPr>
              <w:jc w:val="both"/>
              <w:rPr>
                <w:lang w:eastAsia="ar-SA"/>
              </w:rPr>
            </w:pPr>
            <w:r w:rsidRPr="00624829">
              <w:rPr>
                <w:lang w:eastAsia="ar-SA"/>
              </w:rPr>
              <w:t>“</w:t>
            </w:r>
            <w:r>
              <w:rPr>
                <w:lang w:eastAsia="ar-SA"/>
              </w:rPr>
              <w:t xml:space="preserve">Digital </w:t>
            </w:r>
            <w:r w:rsidRPr="00624829">
              <w:rPr>
                <w:lang w:eastAsia="ar-SA"/>
              </w:rPr>
              <w:t>Securit</w:t>
            </w:r>
            <w:r>
              <w:rPr>
                <w:lang w:eastAsia="ar-SA"/>
              </w:rPr>
              <w:t>ies</w:t>
            </w:r>
            <w:r w:rsidRPr="00624829">
              <w:rPr>
                <w:lang w:eastAsia="ar-SA"/>
              </w:rPr>
              <w:t>”</w:t>
            </w:r>
          </w:p>
          <w:p w14:paraId="6FC4B5E3" w14:textId="77777777" w:rsidR="00A82810" w:rsidRPr="00624829" w:rsidRDefault="00A82810" w:rsidP="007B6D6E">
            <w:pPr>
              <w:jc w:val="both"/>
              <w:rPr>
                <w:lang w:eastAsia="ar-SA"/>
              </w:rPr>
            </w:pPr>
          </w:p>
          <w:p w14:paraId="6882B81A" w14:textId="77777777" w:rsidR="00A82810" w:rsidRPr="00624829" w:rsidRDefault="00A82810" w:rsidP="007B6D6E">
            <w:pPr>
              <w:jc w:val="both"/>
              <w:rPr>
                <w:rFonts w:eastAsia="Times New Roman"/>
                <w:lang w:eastAsia="ar-SA"/>
              </w:rPr>
            </w:pPr>
            <w:r>
              <w:rPr>
                <w:lang w:eastAsia="ar-SA"/>
              </w:rPr>
              <w:t>(e</w:t>
            </w:r>
            <w:r w:rsidRPr="00624829">
              <w:rPr>
                <w:lang w:eastAsia="ar-SA"/>
              </w:rPr>
              <w:t>.g.</w:t>
            </w:r>
            <w:r>
              <w:rPr>
                <w:lang w:eastAsia="ar-SA"/>
              </w:rPr>
              <w:t>,</w:t>
            </w:r>
            <w:r w:rsidRPr="00624829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digital/</w:t>
            </w:r>
            <w:r w:rsidRPr="00624829">
              <w:rPr>
                <w:lang w:eastAsia="ar-SA"/>
              </w:rPr>
              <w:t>virtual tokens that have the features and characteristics of a Security under the FSMR (</w:t>
            </w:r>
            <w:r>
              <w:rPr>
                <w:lang w:eastAsia="ar-SA"/>
              </w:rPr>
              <w:t>such as</w:t>
            </w:r>
            <w:r w:rsidRPr="00624829">
              <w:rPr>
                <w:lang w:eastAsia="ar-SA"/>
              </w:rPr>
              <w:t xml:space="preserve"> Shares, Debentures </w:t>
            </w:r>
            <w:r>
              <w:rPr>
                <w:lang w:eastAsia="ar-SA"/>
              </w:rPr>
              <w:t xml:space="preserve">and </w:t>
            </w:r>
            <w:r w:rsidRPr="00624829">
              <w:rPr>
                <w:rFonts w:eastAsia="Times New Roman"/>
                <w:lang w:eastAsia="ar-SA"/>
              </w:rPr>
              <w:t>Units in a Collective Investment Fund)</w:t>
            </w:r>
            <w:r>
              <w:rPr>
                <w:rFonts w:eastAsia="Times New Roman"/>
                <w:lang w:eastAsia="ar-SA"/>
              </w:rPr>
              <w:t>)</w:t>
            </w:r>
            <w:r w:rsidRPr="00624829">
              <w:rPr>
                <w:rFonts w:eastAsia="Times New Roman"/>
                <w:lang w:eastAsia="ar-SA"/>
              </w:rPr>
              <w:t>.</w:t>
            </w:r>
          </w:p>
          <w:p w14:paraId="79DDBA59" w14:textId="77777777" w:rsidR="00A82810" w:rsidRPr="00624829" w:rsidRDefault="00A82810" w:rsidP="007B6D6E">
            <w:pPr>
              <w:jc w:val="both"/>
              <w:rPr>
                <w:rFonts w:eastAsia="Times New Roman" w:cs="Times New Roman"/>
                <w:lang w:eastAsia="ar-SA"/>
              </w:rPr>
            </w:pPr>
          </w:p>
        </w:tc>
        <w:tc>
          <w:tcPr>
            <w:tcW w:w="6327" w:type="dxa"/>
            <w:shd w:val="clear" w:color="auto" w:fill="FFFFFF" w:themeFill="background1"/>
          </w:tcPr>
          <w:p w14:paraId="4A42E0AB" w14:textId="77777777" w:rsidR="00A82810" w:rsidRPr="00624829" w:rsidRDefault="00A82810" w:rsidP="007B6D6E">
            <w:pPr>
              <w:jc w:val="both"/>
              <w:rPr>
                <w:lang w:eastAsia="ar-SA"/>
              </w:rPr>
            </w:pPr>
            <w:r w:rsidRPr="00624829">
              <w:rPr>
                <w:lang w:eastAsia="ar-SA"/>
              </w:rPr>
              <w:t>Deemed to be Securities pursuant to Paragraph 58(2)(b) of FSMR.</w:t>
            </w:r>
          </w:p>
          <w:p w14:paraId="02B1CF2D" w14:textId="77777777" w:rsidR="00A82810" w:rsidRPr="00624829" w:rsidRDefault="00A82810" w:rsidP="007B6D6E">
            <w:pPr>
              <w:jc w:val="both"/>
              <w:rPr>
                <w:lang w:eastAsia="ar-SA"/>
              </w:rPr>
            </w:pPr>
          </w:p>
          <w:p w14:paraId="7A6596A9" w14:textId="77777777" w:rsidR="00A82810" w:rsidRPr="00624829" w:rsidRDefault="00A82810" w:rsidP="007B6D6E">
            <w:pPr>
              <w:jc w:val="both"/>
              <w:rPr>
                <w:lang w:eastAsia="ar-SA"/>
              </w:rPr>
            </w:pPr>
            <w:r w:rsidRPr="00624829">
              <w:rPr>
                <w:lang w:eastAsia="ar-SA"/>
              </w:rPr>
              <w:t xml:space="preserve">All financial services activities in relation to </w:t>
            </w:r>
            <w:r>
              <w:rPr>
                <w:lang w:eastAsia="ar-SA"/>
              </w:rPr>
              <w:t xml:space="preserve">Digital </w:t>
            </w:r>
            <w:r w:rsidRPr="00624829">
              <w:rPr>
                <w:lang w:eastAsia="ar-SA"/>
              </w:rPr>
              <w:t>Securit</w:t>
            </w:r>
            <w:r>
              <w:rPr>
                <w:lang w:eastAsia="ar-SA"/>
              </w:rPr>
              <w:t>ies</w:t>
            </w:r>
            <w:r w:rsidRPr="00624829">
              <w:rPr>
                <w:lang w:eastAsia="ar-SA"/>
              </w:rPr>
              <w:t>, such as operating primary / secondary markets, dealing / trading / managing investments in</w:t>
            </w:r>
            <w:r>
              <w:rPr>
                <w:lang w:eastAsia="ar-SA"/>
              </w:rPr>
              <w:t xml:space="preserve"> or</w:t>
            </w:r>
            <w:r w:rsidRPr="00624829">
              <w:rPr>
                <w:lang w:eastAsia="ar-SA"/>
              </w:rPr>
              <w:t xml:space="preserve"> advising on </w:t>
            </w:r>
            <w:r>
              <w:rPr>
                <w:lang w:eastAsia="ar-SA"/>
              </w:rPr>
              <w:t>Digital Securities</w:t>
            </w:r>
            <w:r w:rsidRPr="00624829">
              <w:rPr>
                <w:lang w:eastAsia="ar-SA"/>
              </w:rPr>
              <w:t xml:space="preserve">, </w:t>
            </w:r>
            <w:r>
              <w:rPr>
                <w:lang w:eastAsia="ar-SA"/>
              </w:rPr>
              <w:t>are</w:t>
            </w:r>
            <w:r w:rsidRPr="00624829">
              <w:rPr>
                <w:lang w:eastAsia="ar-SA"/>
              </w:rPr>
              <w:t xml:space="preserve"> subject to the relevant regulatory requirements under the FSMR.</w:t>
            </w:r>
          </w:p>
          <w:p w14:paraId="2651BCC5" w14:textId="77777777" w:rsidR="00A82810" w:rsidRPr="00624829" w:rsidRDefault="00A82810" w:rsidP="007B6D6E">
            <w:pPr>
              <w:jc w:val="both"/>
              <w:rPr>
                <w:rFonts w:eastAsia="Times New Roman" w:cs="Times New Roman"/>
                <w:lang w:eastAsia="ar-SA"/>
              </w:rPr>
            </w:pPr>
          </w:p>
          <w:p w14:paraId="28C3A736" w14:textId="77777777" w:rsidR="00A82810" w:rsidRPr="00624829" w:rsidRDefault="00A82810" w:rsidP="007B6D6E">
            <w:pPr>
              <w:jc w:val="both"/>
              <w:rPr>
                <w:rFonts w:eastAsia="Times New Roman" w:cs="Times New Roman"/>
                <w:lang w:eastAsia="ar-SA"/>
              </w:rPr>
            </w:pPr>
            <w:r w:rsidRPr="00624829">
              <w:rPr>
                <w:rFonts w:eastAsia="Times New Roman" w:cs="Times New Roman"/>
                <w:lang w:eastAsia="ar-SA"/>
              </w:rPr>
              <w:t xml:space="preserve">Market intermediaries and market operators dealing </w:t>
            </w:r>
            <w:r>
              <w:rPr>
                <w:rFonts w:eastAsia="Times New Roman" w:cs="Times New Roman"/>
                <w:lang w:eastAsia="ar-SA"/>
              </w:rPr>
              <w:t xml:space="preserve">or managing investments </w:t>
            </w:r>
            <w:r w:rsidRPr="00624829">
              <w:rPr>
                <w:rFonts w:eastAsia="Times New Roman" w:cs="Times New Roman"/>
                <w:lang w:eastAsia="ar-SA"/>
              </w:rPr>
              <w:t xml:space="preserve">in </w:t>
            </w:r>
            <w:r>
              <w:rPr>
                <w:rFonts w:eastAsia="Times New Roman" w:cs="Times New Roman"/>
                <w:lang w:eastAsia="ar-SA"/>
              </w:rPr>
              <w:t>Digital Securities</w:t>
            </w:r>
            <w:r w:rsidRPr="00624829">
              <w:rPr>
                <w:rFonts w:eastAsia="Times New Roman" w:cs="Times New Roman"/>
                <w:lang w:eastAsia="ar-SA"/>
              </w:rPr>
              <w:t xml:space="preserve"> need to be licensed / approved by FSRA as FSP holders</w:t>
            </w:r>
            <w:r>
              <w:rPr>
                <w:rFonts w:eastAsia="Times New Roman" w:cs="Times New Roman"/>
                <w:lang w:eastAsia="ar-SA"/>
              </w:rPr>
              <w:t xml:space="preserve"> (including as Multilateral Trading Facilities)</w:t>
            </w:r>
            <w:r w:rsidRPr="00624829">
              <w:rPr>
                <w:rFonts w:eastAsia="Times New Roman" w:cs="Times New Roman"/>
                <w:lang w:eastAsia="ar-SA"/>
              </w:rPr>
              <w:t>, Recognised Investment Exchanges or Recognised Clearing Houses</w:t>
            </w:r>
            <w:r>
              <w:rPr>
                <w:rFonts w:eastAsia="Times New Roman" w:cs="Times New Roman"/>
                <w:lang w:eastAsia="ar-SA"/>
              </w:rPr>
              <w:t>, as applicable</w:t>
            </w:r>
            <w:r w:rsidRPr="00624829">
              <w:rPr>
                <w:rFonts w:eastAsia="Times New Roman" w:cs="Times New Roman"/>
                <w:lang w:eastAsia="ar-SA"/>
              </w:rPr>
              <w:t>.</w:t>
            </w:r>
          </w:p>
          <w:p w14:paraId="74F28DB1" w14:textId="77777777" w:rsidR="00A82810" w:rsidRPr="00624829" w:rsidRDefault="00A82810" w:rsidP="007B6D6E">
            <w:pPr>
              <w:jc w:val="both"/>
              <w:rPr>
                <w:rFonts w:eastAsia="Times New Roman" w:cs="Times New Roman"/>
                <w:lang w:eastAsia="ar-SA"/>
              </w:rPr>
            </w:pPr>
          </w:p>
        </w:tc>
      </w:tr>
      <w:tr w:rsidR="00A82810" w:rsidRPr="008C1C53" w14:paraId="54B9C997" w14:textId="77777777" w:rsidTr="007B6D6E">
        <w:tc>
          <w:tcPr>
            <w:tcW w:w="2689" w:type="dxa"/>
            <w:shd w:val="clear" w:color="auto" w:fill="FFFFFF" w:themeFill="background1"/>
          </w:tcPr>
          <w:p w14:paraId="6DEF4959" w14:textId="77777777" w:rsidR="00A82810" w:rsidRPr="00624829" w:rsidRDefault="00A82810" w:rsidP="007B6D6E">
            <w:pPr>
              <w:jc w:val="both"/>
              <w:rPr>
                <w:rFonts w:eastAsia="Times New Roman" w:cs="Times New Roman"/>
                <w:lang w:eastAsia="ar-SA"/>
              </w:rPr>
            </w:pPr>
            <w:r w:rsidRPr="00624829">
              <w:rPr>
                <w:rFonts w:eastAsia="Times New Roman" w:cs="Times New Roman"/>
                <w:lang w:eastAsia="ar-SA"/>
              </w:rPr>
              <w:t>“</w:t>
            </w:r>
            <w:r>
              <w:rPr>
                <w:rFonts w:eastAsia="Times New Roman" w:cs="Times New Roman"/>
                <w:lang w:eastAsia="ar-SA"/>
              </w:rPr>
              <w:t>Virtual Assets</w:t>
            </w:r>
            <w:r w:rsidRPr="00624829">
              <w:rPr>
                <w:rFonts w:eastAsia="Times New Roman" w:cs="Times New Roman"/>
                <w:lang w:eastAsia="ar-SA"/>
              </w:rPr>
              <w:t>”</w:t>
            </w:r>
          </w:p>
          <w:p w14:paraId="0FDDD9D0" w14:textId="77777777" w:rsidR="00A82810" w:rsidRPr="00624829" w:rsidRDefault="00A82810" w:rsidP="007B6D6E">
            <w:pPr>
              <w:jc w:val="both"/>
              <w:rPr>
                <w:rFonts w:eastAsia="Times New Roman" w:cs="Times New Roman"/>
                <w:lang w:eastAsia="ar-SA"/>
              </w:rPr>
            </w:pPr>
          </w:p>
          <w:p w14:paraId="4CF9CB6A" w14:textId="77777777" w:rsidR="00A82810" w:rsidRPr="00C21B5A" w:rsidRDefault="00A82810" w:rsidP="007B6D6E">
            <w:pPr>
              <w:jc w:val="both"/>
              <w:rPr>
                <w:rFonts w:eastAsia="Times New Roman" w:cs="Times New Roman"/>
                <w:lang w:eastAsia="ar-SA"/>
              </w:rPr>
            </w:pPr>
            <w:r>
              <w:rPr>
                <w:rFonts w:eastAsia="Times New Roman" w:cs="Times New Roman"/>
                <w:lang w:eastAsia="ar-SA"/>
              </w:rPr>
              <w:t>(e</w:t>
            </w:r>
            <w:r w:rsidRPr="00624829">
              <w:rPr>
                <w:rFonts w:eastAsia="Times New Roman" w:cs="Times New Roman"/>
                <w:lang w:eastAsia="ar-SA"/>
              </w:rPr>
              <w:t>.g.</w:t>
            </w:r>
            <w:r>
              <w:rPr>
                <w:rFonts w:eastAsia="Times New Roman" w:cs="Times New Roman"/>
                <w:lang w:eastAsia="ar-SA"/>
              </w:rPr>
              <w:t>,</w:t>
            </w:r>
            <w:r w:rsidRPr="00624829">
              <w:rPr>
                <w:rFonts w:eastAsia="Times New Roman" w:cs="Times New Roman"/>
                <w:lang w:eastAsia="ar-SA"/>
              </w:rPr>
              <w:t xml:space="preserve"> non-fiat virtual </w:t>
            </w:r>
            <w:r w:rsidRPr="00C21B5A">
              <w:rPr>
                <w:rFonts w:eastAsia="Times New Roman" w:cs="Times New Roman"/>
                <w:lang w:eastAsia="ar-SA"/>
              </w:rPr>
              <w:t xml:space="preserve">currencies, </w:t>
            </w:r>
          </w:p>
          <w:p w14:paraId="25FD8CF5" w14:textId="2B615E1C" w:rsidR="00A82810" w:rsidRDefault="00C21B5A" w:rsidP="007B6D6E">
            <w:pPr>
              <w:jc w:val="both"/>
              <w:rPr>
                <w:rFonts w:eastAsia="Times New Roman" w:cs="Times New Roman"/>
                <w:lang w:eastAsia="ar-SA"/>
              </w:rPr>
            </w:pPr>
            <w:r w:rsidRPr="00C21B5A">
              <w:lastRenderedPageBreak/>
              <w:t xml:space="preserve">virtual asset </w:t>
            </w:r>
            <w:r w:rsidR="00A82810" w:rsidRPr="00C21B5A">
              <w:t>‘exchange tokens’</w:t>
            </w:r>
            <w:r w:rsidR="00A82810" w:rsidRPr="00C21B5A">
              <w:rPr>
                <w:rFonts w:eastAsia="Times New Roman" w:cs="Times New Roman"/>
                <w:lang w:eastAsia="ar-SA"/>
              </w:rPr>
              <w:t>).</w:t>
            </w:r>
            <w:r w:rsidR="00A82810">
              <w:rPr>
                <w:rFonts w:eastAsia="Times New Roman" w:cs="Times New Roman"/>
                <w:lang w:eastAsia="ar-SA"/>
              </w:rPr>
              <w:t xml:space="preserve">  </w:t>
            </w:r>
          </w:p>
          <w:p w14:paraId="4CF54F0F" w14:textId="7A396C59" w:rsidR="00A82810" w:rsidRPr="00ED2206" w:rsidRDefault="00A82810" w:rsidP="007B6D6E">
            <w:pPr>
              <w:jc w:val="both"/>
              <w:rPr>
                <w:i/>
                <w:iCs/>
                <w:lang w:eastAsia="ar-SA"/>
              </w:rPr>
            </w:pPr>
          </w:p>
        </w:tc>
        <w:tc>
          <w:tcPr>
            <w:tcW w:w="6327" w:type="dxa"/>
            <w:shd w:val="clear" w:color="auto" w:fill="FFFFFF" w:themeFill="background1"/>
          </w:tcPr>
          <w:p w14:paraId="79E6CBFC" w14:textId="77777777" w:rsidR="00A82810" w:rsidRPr="000B1C01" w:rsidRDefault="00A82810" w:rsidP="007B6D6E">
            <w:pPr>
              <w:jc w:val="both"/>
              <w:rPr>
                <w:lang w:eastAsia="ar-SA"/>
              </w:rPr>
            </w:pPr>
            <w:r w:rsidRPr="000B1C01">
              <w:rPr>
                <w:lang w:eastAsia="ar-SA"/>
              </w:rPr>
              <w:lastRenderedPageBreak/>
              <w:t>Treated as commodities and, therefore, not deemed Specified Investments under the FSMR.</w:t>
            </w:r>
          </w:p>
          <w:p w14:paraId="262C8513" w14:textId="77777777" w:rsidR="00A82810" w:rsidRPr="000B1C01" w:rsidRDefault="00A82810" w:rsidP="007B6D6E">
            <w:pPr>
              <w:jc w:val="both"/>
              <w:rPr>
                <w:lang w:eastAsia="ar-SA"/>
              </w:rPr>
            </w:pPr>
          </w:p>
          <w:p w14:paraId="14F9ED91" w14:textId="77777777" w:rsidR="00A82810" w:rsidRDefault="00A82810" w:rsidP="007B6D6E">
            <w:pPr>
              <w:jc w:val="both"/>
              <w:rPr>
                <w:rFonts w:eastAsia="Times New Roman" w:cs="Times New Roman"/>
                <w:lang w:eastAsia="ar-SA"/>
              </w:rPr>
            </w:pPr>
            <w:r>
              <w:rPr>
                <w:lang w:eastAsia="ar-SA"/>
              </w:rPr>
              <w:t>M</w:t>
            </w:r>
            <w:r w:rsidRPr="000B1C01">
              <w:rPr>
                <w:lang w:eastAsia="ar-SA"/>
              </w:rPr>
              <w:t xml:space="preserve">arket intermediaries </w:t>
            </w:r>
            <w:r>
              <w:rPr>
                <w:lang w:eastAsia="ar-SA"/>
              </w:rPr>
              <w:t xml:space="preserve">(e.g., broker dealers, custodians, asset managers) </w:t>
            </w:r>
            <w:r w:rsidRPr="000B1C01">
              <w:rPr>
                <w:lang w:eastAsia="ar-SA"/>
              </w:rPr>
              <w:t xml:space="preserve">dealing in </w:t>
            </w:r>
            <w:r>
              <w:rPr>
                <w:lang w:eastAsia="ar-SA"/>
              </w:rPr>
              <w:t>or managing Virtual Assets,</w:t>
            </w:r>
            <w:r w:rsidRPr="000B1C01">
              <w:rPr>
                <w:lang w:eastAsia="ar-SA"/>
              </w:rPr>
              <w:t xml:space="preserve"> and </w:t>
            </w:r>
            <w:r>
              <w:rPr>
                <w:lang w:eastAsia="ar-SA"/>
              </w:rPr>
              <w:t xml:space="preserve">Multilateral </w:t>
            </w:r>
            <w:r>
              <w:rPr>
                <w:lang w:eastAsia="ar-SA"/>
              </w:rPr>
              <w:lastRenderedPageBreak/>
              <w:t>Trading Facilities using Virtual Assets,</w:t>
            </w:r>
            <w:r w:rsidRPr="000B1C01">
              <w:rPr>
                <w:lang w:eastAsia="ar-SA"/>
              </w:rPr>
              <w:t xml:space="preserve"> need to be licensed / approved by FSRA</w:t>
            </w:r>
            <w:r w:rsidRPr="000B1C01">
              <w:rPr>
                <w:rFonts w:eastAsia="Times New Roman" w:cs="Times New Roman"/>
                <w:lang w:eastAsia="ar-SA"/>
              </w:rPr>
              <w:t xml:space="preserve">.  Only activities in Accepted </w:t>
            </w:r>
            <w:r>
              <w:rPr>
                <w:rFonts w:eastAsia="Times New Roman" w:cs="Times New Roman"/>
                <w:lang w:eastAsia="ar-SA"/>
              </w:rPr>
              <w:t>Virtual Assets</w:t>
            </w:r>
            <w:r w:rsidRPr="000B1C01">
              <w:rPr>
                <w:rFonts w:eastAsia="Times New Roman" w:cs="Times New Roman"/>
                <w:lang w:eastAsia="ar-SA"/>
              </w:rPr>
              <w:t xml:space="preserve"> will be permitted.</w:t>
            </w:r>
          </w:p>
          <w:p w14:paraId="531B87FA" w14:textId="77777777" w:rsidR="00A82810" w:rsidRDefault="00A82810" w:rsidP="007B6D6E">
            <w:pPr>
              <w:jc w:val="both"/>
              <w:rPr>
                <w:lang w:eastAsia="ar-SA"/>
              </w:rPr>
            </w:pPr>
          </w:p>
          <w:p w14:paraId="623C536A" w14:textId="77777777" w:rsidR="00A82810" w:rsidRPr="000B1C01" w:rsidRDefault="00A82810" w:rsidP="007B6D6E">
            <w:pPr>
              <w:jc w:val="both"/>
              <w:rPr>
                <w:rFonts w:eastAsia="Times New Roman" w:cs="Times New Roman"/>
                <w:lang w:eastAsia="ar-SA"/>
              </w:rPr>
            </w:pPr>
            <w:r>
              <w:rPr>
                <w:lang w:eastAsia="ar-SA"/>
              </w:rPr>
              <w:t>Capital formation activities are not provided for under the Virtual Asset Framework, and such activities are not envisaged under the Market Rules (MKT).</w:t>
            </w:r>
          </w:p>
          <w:p w14:paraId="3F59024B" w14:textId="77777777" w:rsidR="00A82810" w:rsidRPr="000B1C01" w:rsidRDefault="00A82810" w:rsidP="007B6D6E">
            <w:pPr>
              <w:jc w:val="both"/>
              <w:rPr>
                <w:lang w:eastAsia="ar-SA"/>
              </w:rPr>
            </w:pPr>
          </w:p>
        </w:tc>
      </w:tr>
      <w:tr w:rsidR="00A82810" w:rsidRPr="008C1C53" w14:paraId="03799428" w14:textId="77777777" w:rsidTr="007B6D6E">
        <w:tc>
          <w:tcPr>
            <w:tcW w:w="2689" w:type="dxa"/>
            <w:shd w:val="clear" w:color="auto" w:fill="FFFFFF" w:themeFill="background1"/>
          </w:tcPr>
          <w:p w14:paraId="76779798" w14:textId="77777777" w:rsidR="00A82810" w:rsidRPr="00624829" w:rsidRDefault="00A82810" w:rsidP="007B6D6E">
            <w:pPr>
              <w:jc w:val="both"/>
              <w:rPr>
                <w:lang w:eastAsia="ar-SA"/>
              </w:rPr>
            </w:pPr>
            <w:r w:rsidRPr="00624829">
              <w:rPr>
                <w:rFonts w:eastAsia="Times New Roman" w:cs="Times New Roman"/>
                <w:lang w:eastAsia="ar-SA"/>
              </w:rPr>
              <w:lastRenderedPageBreak/>
              <w:t xml:space="preserve">Derivatives </w:t>
            </w:r>
            <w:r>
              <w:rPr>
                <w:rFonts w:eastAsia="Times New Roman" w:cs="Times New Roman"/>
                <w:lang w:eastAsia="ar-SA"/>
              </w:rPr>
              <w:t xml:space="preserve">and Collective Investment Funds </w:t>
            </w:r>
            <w:r w:rsidRPr="00624829">
              <w:rPr>
                <w:rFonts w:eastAsia="Times New Roman" w:cs="Times New Roman"/>
                <w:lang w:eastAsia="ar-SA"/>
              </w:rPr>
              <w:t xml:space="preserve">of </w:t>
            </w:r>
            <w:r>
              <w:rPr>
                <w:rFonts w:eastAsia="Times New Roman" w:cs="Times New Roman"/>
                <w:lang w:eastAsia="ar-SA"/>
              </w:rPr>
              <w:t>Virtual Assets</w:t>
            </w:r>
            <w:r w:rsidRPr="00624829">
              <w:rPr>
                <w:rFonts w:eastAsia="Times New Roman" w:cs="Times New Roman"/>
                <w:lang w:eastAsia="ar-SA"/>
              </w:rPr>
              <w:t xml:space="preserve">, </w:t>
            </w:r>
            <w:r>
              <w:rPr>
                <w:rFonts w:eastAsia="Times New Roman" w:cs="Times New Roman"/>
                <w:lang w:eastAsia="ar-SA"/>
              </w:rPr>
              <w:t xml:space="preserve">Digital Securities </w:t>
            </w:r>
            <w:r w:rsidRPr="00624829">
              <w:rPr>
                <w:rFonts w:eastAsia="Times New Roman" w:cs="Times New Roman"/>
                <w:lang w:eastAsia="ar-SA"/>
              </w:rPr>
              <w:t>and Utility Tokens</w:t>
            </w:r>
          </w:p>
        </w:tc>
        <w:tc>
          <w:tcPr>
            <w:tcW w:w="6327" w:type="dxa"/>
            <w:shd w:val="clear" w:color="auto" w:fill="FFFFFF" w:themeFill="background1"/>
          </w:tcPr>
          <w:p w14:paraId="64FF9814" w14:textId="77777777" w:rsidR="00A82810" w:rsidRPr="00624829" w:rsidRDefault="00A82810" w:rsidP="007B6D6E">
            <w:pPr>
              <w:jc w:val="both"/>
              <w:rPr>
                <w:lang w:eastAsia="ar-SA"/>
              </w:rPr>
            </w:pPr>
            <w:r w:rsidRPr="00624829">
              <w:rPr>
                <w:lang w:eastAsia="ar-SA"/>
              </w:rPr>
              <w:t xml:space="preserve">Regulated as Specified Investments under the FSMR.  </w:t>
            </w:r>
          </w:p>
          <w:p w14:paraId="3C7A2CD4" w14:textId="77777777" w:rsidR="00A82810" w:rsidRPr="00624829" w:rsidRDefault="00A82810" w:rsidP="007B6D6E">
            <w:pPr>
              <w:jc w:val="both"/>
              <w:rPr>
                <w:lang w:eastAsia="ar-SA"/>
              </w:rPr>
            </w:pPr>
          </w:p>
          <w:p w14:paraId="36169AA1" w14:textId="77777777" w:rsidR="00A82810" w:rsidRPr="00624829" w:rsidRDefault="00A82810" w:rsidP="007B6D6E">
            <w:pPr>
              <w:jc w:val="both"/>
              <w:rPr>
                <w:lang w:eastAsia="ar-SA"/>
              </w:rPr>
            </w:pPr>
            <w:r w:rsidRPr="00624829">
              <w:rPr>
                <w:lang w:eastAsia="ar-SA"/>
              </w:rPr>
              <w:t xml:space="preserve">Market intermediaries and market operators dealing in such Derivatives </w:t>
            </w:r>
            <w:r>
              <w:rPr>
                <w:lang w:eastAsia="ar-SA"/>
              </w:rPr>
              <w:t xml:space="preserve">and Collective Investment Funds </w:t>
            </w:r>
            <w:r w:rsidRPr="00624829">
              <w:rPr>
                <w:lang w:eastAsia="ar-SA"/>
              </w:rPr>
              <w:t>will need to be licensed / approved by FSRA as FSP holders, Recognised Investment Exchanges or Recognised Clearing Houses</w:t>
            </w:r>
            <w:r>
              <w:rPr>
                <w:lang w:eastAsia="ar-SA"/>
              </w:rPr>
              <w:t>, as applicable</w:t>
            </w:r>
            <w:r w:rsidRPr="00624829">
              <w:rPr>
                <w:lang w:eastAsia="ar-SA"/>
              </w:rPr>
              <w:t>.</w:t>
            </w:r>
          </w:p>
          <w:p w14:paraId="1C36F59F" w14:textId="77777777" w:rsidR="00A82810" w:rsidRPr="00624829" w:rsidRDefault="00A82810" w:rsidP="007B6D6E">
            <w:pPr>
              <w:jc w:val="both"/>
              <w:rPr>
                <w:lang w:eastAsia="ar-SA"/>
              </w:rPr>
            </w:pPr>
          </w:p>
        </w:tc>
      </w:tr>
      <w:tr w:rsidR="00A82810" w:rsidRPr="008C1C53" w14:paraId="7DEA5AD4" w14:textId="77777777" w:rsidTr="007B6D6E">
        <w:tc>
          <w:tcPr>
            <w:tcW w:w="2689" w:type="dxa"/>
            <w:shd w:val="clear" w:color="auto" w:fill="FFFFFF" w:themeFill="background1"/>
          </w:tcPr>
          <w:p w14:paraId="6A356944" w14:textId="77777777" w:rsidR="00A82810" w:rsidRPr="00624829" w:rsidRDefault="00A82810" w:rsidP="007B6D6E">
            <w:pPr>
              <w:jc w:val="both"/>
              <w:rPr>
                <w:lang w:eastAsia="ar-SA"/>
              </w:rPr>
            </w:pPr>
            <w:r w:rsidRPr="00624829">
              <w:rPr>
                <w:lang w:eastAsia="ar-SA"/>
              </w:rPr>
              <w:t xml:space="preserve">“Utility Tokens” </w:t>
            </w:r>
          </w:p>
          <w:p w14:paraId="1E145263" w14:textId="77777777" w:rsidR="00A82810" w:rsidRPr="00624829" w:rsidRDefault="00A82810" w:rsidP="007B6D6E">
            <w:pPr>
              <w:jc w:val="both"/>
              <w:rPr>
                <w:lang w:eastAsia="ar-SA"/>
              </w:rPr>
            </w:pPr>
          </w:p>
          <w:p w14:paraId="0CA95D09" w14:textId="77777777" w:rsidR="00A82810" w:rsidRPr="00624829" w:rsidRDefault="00A82810" w:rsidP="007B6D6E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(e</w:t>
            </w:r>
            <w:r w:rsidRPr="00624829">
              <w:rPr>
                <w:lang w:eastAsia="ar-SA"/>
              </w:rPr>
              <w:t>.g.</w:t>
            </w:r>
            <w:r>
              <w:rPr>
                <w:lang w:eastAsia="ar-SA"/>
              </w:rPr>
              <w:t>,</w:t>
            </w:r>
            <w:r w:rsidRPr="00624829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 xml:space="preserve">tokens which can be redeemed for access to a specific product or service, typically provided using a DLT platform, </w:t>
            </w:r>
            <w:r w:rsidRPr="00624829">
              <w:rPr>
                <w:lang w:eastAsia="ar-SA"/>
              </w:rPr>
              <w:t>do not exhibit the features and characteristics of a regulated investment / instrument under the FSMR</w:t>
            </w:r>
            <w:r>
              <w:rPr>
                <w:lang w:eastAsia="ar-SA"/>
              </w:rPr>
              <w:t>)</w:t>
            </w:r>
            <w:r w:rsidRPr="00624829">
              <w:rPr>
                <w:lang w:eastAsia="ar-SA"/>
              </w:rPr>
              <w:t>.</w:t>
            </w:r>
          </w:p>
          <w:p w14:paraId="5862D72B" w14:textId="77777777" w:rsidR="00A82810" w:rsidRPr="00624829" w:rsidRDefault="00A82810" w:rsidP="007B6D6E">
            <w:pPr>
              <w:jc w:val="both"/>
              <w:rPr>
                <w:rFonts w:eastAsia="Times New Roman" w:cs="Times New Roman"/>
                <w:lang w:eastAsia="ar-SA"/>
              </w:rPr>
            </w:pPr>
          </w:p>
        </w:tc>
        <w:tc>
          <w:tcPr>
            <w:tcW w:w="6327" w:type="dxa"/>
            <w:shd w:val="clear" w:color="auto" w:fill="FFFFFF" w:themeFill="background1"/>
          </w:tcPr>
          <w:p w14:paraId="62E56F99" w14:textId="77777777" w:rsidR="00A82810" w:rsidRPr="000B1C01" w:rsidRDefault="00A82810" w:rsidP="007B6D6E">
            <w:pPr>
              <w:jc w:val="both"/>
              <w:rPr>
                <w:lang w:eastAsia="ar-SA"/>
              </w:rPr>
            </w:pPr>
            <w:r w:rsidRPr="000B1C01">
              <w:rPr>
                <w:lang w:eastAsia="ar-SA"/>
              </w:rPr>
              <w:t xml:space="preserve">Treated as commodities and, therefore, not deemed Specified Investments under the FSMR.  </w:t>
            </w:r>
          </w:p>
          <w:p w14:paraId="16F73EC4" w14:textId="77777777" w:rsidR="00A82810" w:rsidRPr="000B1C01" w:rsidRDefault="00A82810" w:rsidP="007B6D6E">
            <w:pPr>
              <w:jc w:val="both"/>
              <w:rPr>
                <w:lang w:eastAsia="ar-SA"/>
              </w:rPr>
            </w:pPr>
          </w:p>
          <w:p w14:paraId="262F942F" w14:textId="77777777" w:rsidR="00A82810" w:rsidRPr="000B1C01" w:rsidRDefault="00A82810" w:rsidP="007B6D6E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Unless such Utility Tokens are caught as Accepted Virtual Assets,</w:t>
            </w:r>
            <w:r w:rsidRPr="00C22D78">
              <w:rPr>
                <w:lang w:eastAsia="ar-SA"/>
              </w:rPr>
              <w:t xml:space="preserve"> spot trading and transactions in Utility Tokens do not constitute Regulated Activities, activities envisaged under a Recognition Order (e.g., those of a Recognised Investment Exchange or Recognised Clearing House), or activities envisaged under MKT.</w:t>
            </w:r>
            <w:r w:rsidRPr="000B1C01">
              <w:rPr>
                <w:lang w:eastAsia="ar-SA"/>
              </w:rPr>
              <w:t xml:space="preserve">  </w:t>
            </w:r>
          </w:p>
          <w:p w14:paraId="0A54A4A5" w14:textId="77777777" w:rsidR="00A82810" w:rsidRPr="000B1C01" w:rsidRDefault="00A82810" w:rsidP="007B6D6E">
            <w:pPr>
              <w:jc w:val="both"/>
              <w:rPr>
                <w:lang w:eastAsia="ar-SA"/>
              </w:rPr>
            </w:pPr>
          </w:p>
          <w:p w14:paraId="6C3D120D" w14:textId="77777777" w:rsidR="00A82810" w:rsidRPr="00624829" w:rsidRDefault="00A82810" w:rsidP="007B6D6E">
            <w:pPr>
              <w:jc w:val="both"/>
              <w:rPr>
                <w:lang w:eastAsia="ar-SA"/>
              </w:rPr>
            </w:pPr>
          </w:p>
        </w:tc>
      </w:tr>
      <w:tr w:rsidR="00A82810" w:rsidRPr="008C1C53" w14:paraId="47489F9E" w14:textId="77777777" w:rsidTr="007B6D6E">
        <w:tc>
          <w:tcPr>
            <w:tcW w:w="2689" w:type="dxa"/>
            <w:shd w:val="clear" w:color="auto" w:fill="FFFFFF" w:themeFill="background1"/>
          </w:tcPr>
          <w:p w14:paraId="22AB7C9D" w14:textId="77777777" w:rsidR="00A82810" w:rsidRDefault="00A82810" w:rsidP="007B6D6E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“Fiat Tokens”</w:t>
            </w:r>
          </w:p>
          <w:p w14:paraId="27D867C8" w14:textId="77777777" w:rsidR="00A82810" w:rsidRDefault="00A82810" w:rsidP="007B6D6E">
            <w:pPr>
              <w:jc w:val="both"/>
              <w:rPr>
                <w:lang w:eastAsia="ar-SA"/>
              </w:rPr>
            </w:pPr>
          </w:p>
          <w:p w14:paraId="341227D8" w14:textId="77777777" w:rsidR="00A82810" w:rsidRPr="00624829" w:rsidRDefault="00A82810" w:rsidP="007B6D6E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(e.g. stablecoins whose value are fully backed by underlying fiat currencies)</w:t>
            </w:r>
          </w:p>
        </w:tc>
        <w:tc>
          <w:tcPr>
            <w:tcW w:w="6327" w:type="dxa"/>
            <w:shd w:val="clear" w:color="auto" w:fill="FFFFFF" w:themeFill="background1"/>
          </w:tcPr>
          <w:p w14:paraId="378F482F" w14:textId="77777777" w:rsidR="00A82810" w:rsidRDefault="00A82810" w:rsidP="007B6D6E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Treated as a form of digital representation of Fiat Currency.</w:t>
            </w:r>
          </w:p>
          <w:p w14:paraId="0ED10E31" w14:textId="77777777" w:rsidR="00A82810" w:rsidRDefault="00A82810" w:rsidP="007B6D6E">
            <w:pPr>
              <w:jc w:val="both"/>
              <w:rPr>
                <w:lang w:eastAsia="ar-SA"/>
              </w:rPr>
            </w:pPr>
          </w:p>
          <w:p w14:paraId="051A1C7C" w14:textId="77777777" w:rsidR="00A82810" w:rsidRDefault="00A82810" w:rsidP="007B6D6E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Where used as a payment instrument for the purposes of Money Transmission as defined under the FSMR, the activity will be licensed and regulated as Providing Money Services.</w:t>
            </w:r>
          </w:p>
          <w:p w14:paraId="55C37ABE" w14:textId="77777777" w:rsidR="00A82810" w:rsidRPr="000B1C01" w:rsidRDefault="00A82810" w:rsidP="007B6D6E">
            <w:pPr>
              <w:jc w:val="both"/>
              <w:rPr>
                <w:lang w:eastAsia="ar-SA"/>
              </w:rPr>
            </w:pPr>
          </w:p>
        </w:tc>
      </w:tr>
    </w:tbl>
    <w:p w14:paraId="2F3447DD" w14:textId="77777777" w:rsidR="006D3A52" w:rsidRDefault="006D3A52" w:rsidP="00EF67BD">
      <w:pPr>
        <w:pStyle w:val="Default"/>
        <w:ind w:left="709" w:hanging="709"/>
        <w:rPr>
          <w:rFonts w:ascii="Calibri" w:hAnsi="Calibri" w:cs="Calibri"/>
          <w:sz w:val="28"/>
          <w:szCs w:val="28"/>
        </w:rPr>
      </w:pPr>
    </w:p>
    <w:p w14:paraId="2A88D94F" w14:textId="0E551728" w:rsidR="00EF67BD" w:rsidRDefault="00EF67BD" w:rsidP="00EF67BD">
      <w:pPr>
        <w:pStyle w:val="Default"/>
        <w:ind w:left="709" w:hanging="709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5.2</w:t>
      </w:r>
      <w:r>
        <w:rPr>
          <w:rFonts w:ascii="Calibri" w:hAnsi="Calibri" w:cs="Calibri"/>
          <w:sz w:val="28"/>
          <w:szCs w:val="28"/>
        </w:rPr>
        <w:tab/>
        <w:t xml:space="preserve">A schematic representation of the FSRA’s regulatory ambit under the FSMR is shown within the </w:t>
      </w:r>
      <w:r w:rsidR="000643A1">
        <w:rPr>
          <w:rFonts w:ascii="Calibri" w:hAnsi="Calibri" w:cs="Calibri"/>
          <w:sz w:val="28"/>
          <w:szCs w:val="28"/>
        </w:rPr>
        <w:t xml:space="preserve">blue </w:t>
      </w:r>
      <w:r>
        <w:rPr>
          <w:rFonts w:ascii="Calibri" w:hAnsi="Calibri" w:cs="Calibri"/>
          <w:sz w:val="28"/>
          <w:szCs w:val="28"/>
        </w:rPr>
        <w:t>dotted box.</w:t>
      </w:r>
    </w:p>
    <w:p w14:paraId="11F336FC" w14:textId="77777777" w:rsidR="00E82CD4" w:rsidRDefault="00E82CD4" w:rsidP="00EF67BD">
      <w:pPr>
        <w:pStyle w:val="Default"/>
        <w:ind w:left="709" w:hanging="709"/>
        <w:rPr>
          <w:rFonts w:ascii="Calibri" w:hAnsi="Calibri" w:cs="Calibri"/>
          <w:sz w:val="28"/>
          <w:szCs w:val="28"/>
        </w:rPr>
      </w:pPr>
    </w:p>
    <w:p w14:paraId="09C9336B" w14:textId="04113103" w:rsidR="00ED538D" w:rsidRDefault="00ED538D" w:rsidP="000643A1">
      <w:pPr>
        <w:pStyle w:val="Default"/>
        <w:rPr>
          <w:rFonts w:ascii="Calibri" w:hAnsi="Calibri" w:cs="Calibri"/>
        </w:rPr>
      </w:pPr>
    </w:p>
    <w:p w14:paraId="67B9E6BF" w14:textId="77777777" w:rsidR="00ED538D" w:rsidRPr="00ED538D" w:rsidRDefault="00ED538D" w:rsidP="00ED538D"/>
    <w:p w14:paraId="1ECC2630" w14:textId="49C2F8D5" w:rsidR="00ED538D" w:rsidRPr="00ED538D" w:rsidRDefault="00D80479" w:rsidP="00ED538D">
      <w:r>
        <w:rPr>
          <w:noProof/>
          <w:lang w:eastAsia="en-GB"/>
        </w:rPr>
        <w:drawing>
          <wp:inline distT="0" distB="0" distL="0" distR="0" wp14:anchorId="57D0DEDE" wp14:editId="643138C9">
            <wp:extent cx="5732145" cy="32588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93E3" w14:textId="0003EC80" w:rsidR="00ED538D" w:rsidRPr="00ED538D" w:rsidRDefault="00ED538D" w:rsidP="00A130CC">
      <w:pPr>
        <w:ind w:right="-329"/>
      </w:pPr>
    </w:p>
    <w:p w14:paraId="712CD47C" w14:textId="581EBF2B" w:rsidR="00ED538D" w:rsidRPr="00ED538D" w:rsidRDefault="00ED538D" w:rsidP="00ED538D"/>
    <w:p w14:paraId="4769924E" w14:textId="77777777" w:rsidR="00ED538D" w:rsidRPr="00ED538D" w:rsidRDefault="00ED538D" w:rsidP="00ED538D"/>
    <w:p w14:paraId="37D71BBE" w14:textId="70449929" w:rsidR="00ED538D" w:rsidRDefault="00ED538D" w:rsidP="00ED538D"/>
    <w:p w14:paraId="12B4B3BB" w14:textId="3FA63E4D" w:rsidR="00EF67BD" w:rsidRPr="00ED538D" w:rsidRDefault="00ED538D" w:rsidP="00A034A8">
      <w:pPr>
        <w:tabs>
          <w:tab w:val="left" w:pos="6528"/>
        </w:tabs>
      </w:pPr>
      <w:r>
        <w:tab/>
      </w:r>
    </w:p>
    <w:sectPr w:rsidR="00EF67BD" w:rsidRPr="00ED538D" w:rsidSect="00A02F37">
      <w:footerReference w:type="default" r:id="rId10"/>
      <w:footerReference w:type="first" r:id="rId11"/>
      <w:footnotePr>
        <w:pos w:val="beneathText"/>
      </w:footnotePr>
      <w:endnotePr>
        <w:numFmt w:val="decimal"/>
      </w:endnotePr>
      <w:type w:val="continuous"/>
      <w:pgSz w:w="11907" w:h="16840" w:code="9"/>
      <w:pgMar w:top="1440" w:right="1440" w:bottom="1440" w:left="1440" w:header="720" w:footer="51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2DFA90" w14:textId="77777777" w:rsidR="00451934" w:rsidRDefault="00451934" w:rsidP="005631D1">
      <w:r>
        <w:separator/>
      </w:r>
    </w:p>
  </w:endnote>
  <w:endnote w:type="continuationSeparator" w:id="0">
    <w:p w14:paraId="49A7DD6D" w14:textId="77777777" w:rsidR="00451934" w:rsidRDefault="00451934" w:rsidP="005631D1">
      <w:r>
        <w:continuationSeparator/>
      </w:r>
    </w:p>
  </w:endnote>
  <w:endnote w:type="continuationNotice" w:id="1">
    <w:p w14:paraId="6DCA07D3" w14:textId="77777777" w:rsidR="00451934" w:rsidRDefault="004519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LOL V+ Helvetica Neue LT">
    <w:altName w:val="Helvetica Neue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3273128"/>
      <w:docPartObj>
        <w:docPartGallery w:val="Page Numbers (Bottom of Page)"/>
        <w:docPartUnique/>
      </w:docPartObj>
    </w:sdtPr>
    <w:sdtEndPr/>
    <w:sdtContent>
      <w:sdt>
        <w:sdtPr>
          <w:id w:val="-497262172"/>
          <w:docPartObj>
            <w:docPartGallery w:val="Page Numbers (Top of Page)"/>
            <w:docPartUnique/>
          </w:docPartObj>
        </w:sdtPr>
        <w:sdtEndPr/>
        <w:sdtContent>
          <w:p w14:paraId="5E33E3CB" w14:textId="2C95E841" w:rsidR="00475B5A" w:rsidRPr="005E3AD1" w:rsidRDefault="00475B5A" w:rsidP="00D27C91">
            <w:pPr>
              <w:pStyle w:val="Footer"/>
              <w:rPr>
                <w:b/>
                <w:bCs/>
              </w:rPr>
            </w:pPr>
            <w:r>
              <w:rPr>
                <w:b/>
                <w:bCs/>
              </w:rPr>
              <w:t>VER0</w:t>
            </w:r>
            <w:r w:rsidR="00267B6D">
              <w:rPr>
                <w:b/>
                <w:bCs/>
              </w:rPr>
              <w:t>4</w:t>
            </w:r>
            <w:r w:rsidR="00627024">
              <w:rPr>
                <w:b/>
                <w:bCs/>
              </w:rPr>
              <w:t>.240220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0B20CC">
              <w:rPr>
                <w:sz w:val="20"/>
                <w:szCs w:val="20"/>
              </w:rPr>
              <w:fldChar w:fldCharType="begin"/>
            </w:r>
            <w:r w:rsidRPr="000B20CC">
              <w:rPr>
                <w:sz w:val="20"/>
                <w:szCs w:val="20"/>
              </w:rPr>
              <w:instrText xml:space="preserve"> PAGE </w:instrText>
            </w:r>
            <w:r w:rsidRPr="000B20CC">
              <w:rPr>
                <w:sz w:val="20"/>
                <w:szCs w:val="20"/>
              </w:rPr>
              <w:fldChar w:fldCharType="separate"/>
            </w:r>
            <w:r w:rsidR="00826E63">
              <w:rPr>
                <w:noProof/>
                <w:sz w:val="20"/>
                <w:szCs w:val="20"/>
              </w:rPr>
              <w:t>4</w:t>
            </w:r>
            <w:r w:rsidRPr="000B20CC">
              <w:rPr>
                <w:sz w:val="20"/>
                <w:szCs w:val="20"/>
              </w:rPr>
              <w:fldChar w:fldCharType="end"/>
            </w:r>
            <w:r w:rsidRPr="000A56F7">
              <w:rPr>
                <w:rFonts w:ascii="Calibri" w:hAnsi="Calibri"/>
                <w:i/>
                <w:iCs/>
                <w:sz w:val="18"/>
              </w:rPr>
              <w:tab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D1B13" w14:textId="2CB6EB00" w:rsidR="00627024" w:rsidRPr="007B3BAB" w:rsidRDefault="007B3BAB">
    <w:pPr>
      <w:pStyle w:val="Footer"/>
      <w:rPr>
        <w:lang w:val="en-US"/>
      </w:rPr>
    </w:pPr>
    <w:r>
      <w:rPr>
        <w:lang w:val="en-US"/>
      </w:rPr>
      <w:t>VER04.240220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5E508" w14:textId="77777777" w:rsidR="00451934" w:rsidRDefault="00451934" w:rsidP="005631D1">
      <w:r>
        <w:separator/>
      </w:r>
    </w:p>
  </w:footnote>
  <w:footnote w:type="continuationSeparator" w:id="0">
    <w:p w14:paraId="434C96E6" w14:textId="77777777" w:rsidR="00451934" w:rsidRDefault="00451934" w:rsidP="005631D1">
      <w:r>
        <w:continuationSeparator/>
      </w:r>
    </w:p>
  </w:footnote>
  <w:footnote w:type="continuationNotice" w:id="1">
    <w:p w14:paraId="4CDECB1D" w14:textId="77777777" w:rsidR="00451934" w:rsidRDefault="00451934"/>
  </w:footnote>
  <w:footnote w:id="2">
    <w:p w14:paraId="5594705B" w14:textId="11A2AF0E" w:rsidR="006067C4" w:rsidRDefault="006067C4" w:rsidP="000876F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0876F5">
          <w:rPr>
            <w:rStyle w:val="Hyperlink"/>
          </w:rPr>
          <w:t>https://en.adgm.thomsonreuters.com/rulebook/guidance-regulation-vi</w:t>
        </w:r>
        <w:bookmarkStart w:id="2" w:name="_GoBack"/>
        <w:bookmarkEnd w:id="2"/>
        <w:r w:rsidR="000876F5">
          <w:rPr>
            <w:rStyle w:val="Hyperlink"/>
          </w:rPr>
          <w:t>rtual-asset-activities-adgm</w:t>
        </w:r>
      </w:hyperlink>
    </w:p>
  </w:footnote>
  <w:footnote w:id="3">
    <w:p w14:paraId="713DDF19" w14:textId="16830104" w:rsidR="006067C4" w:rsidRDefault="006067C4" w:rsidP="000876F5">
      <w:pPr>
        <w:pStyle w:val="FootnoteText"/>
      </w:pPr>
      <w:r>
        <w:rPr>
          <w:rStyle w:val="FootnoteReference"/>
        </w:rPr>
        <w:footnoteRef/>
      </w:r>
      <w:r w:rsidR="00A51149">
        <w:t xml:space="preserve"> </w:t>
      </w:r>
      <w:hyperlink r:id="rId2" w:history="1">
        <w:r w:rsidR="000876F5">
          <w:rPr>
            <w:rStyle w:val="Hyperlink"/>
          </w:rPr>
          <w:t>https://en.adgm.thomsonreuters.com/rulebook/guidance-regulation-digital-securities-activities-adgm</w:t>
        </w:r>
      </w:hyperlink>
    </w:p>
  </w:footnote>
  <w:footnote w:id="4">
    <w:p w14:paraId="2423AA8D" w14:textId="77777777" w:rsidR="002B0795" w:rsidRDefault="002B0795" w:rsidP="002B0795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Pursuant to Section 124 of the FSMR, </w:t>
      </w:r>
      <w:r>
        <w:rPr>
          <w:rFonts w:cs="Times New Roman"/>
        </w:rPr>
        <w:t>these include</w:t>
      </w:r>
      <w:r w:rsidRPr="0073456A">
        <w:rPr>
          <w:rFonts w:cs="Times New Roman"/>
        </w:rPr>
        <w:t xml:space="preserve"> </w:t>
      </w:r>
      <w:r>
        <w:rPr>
          <w:rFonts w:cs="Times New Roman"/>
        </w:rPr>
        <w:t xml:space="preserve">activities of </w:t>
      </w:r>
      <w:r w:rsidRPr="0073456A">
        <w:rPr>
          <w:rFonts w:cs="Times New Roman"/>
        </w:rPr>
        <w:t>Recognised Investment Exchanges and Recognised Clearing Houses</w:t>
      </w:r>
      <w:r>
        <w:rPr>
          <w:rFonts w:cs="Times New Roman"/>
        </w:rPr>
        <w:t>.</w:t>
      </w:r>
    </w:p>
  </w:footnote>
  <w:footnote w:id="5">
    <w:p w14:paraId="07529EA5" w14:textId="77777777" w:rsidR="00462B8E" w:rsidRDefault="00462B8E" w:rsidP="00462B8E">
      <w:pPr>
        <w:pStyle w:val="FootnoteText"/>
      </w:pPr>
      <w:r>
        <w:rPr>
          <w:rStyle w:val="FootnoteReference"/>
        </w:rPr>
        <w:footnoteRef/>
      </w:r>
      <w:r>
        <w:t xml:space="preserve"> Section 58(2) of FSMR sets out that FSRA may, by written notice ‘deem any investment which is not a Security to be a Security for the purposes of these Regulations and the Rules made under these Regulations’.</w:t>
      </w:r>
    </w:p>
  </w:footnote>
  <w:footnote w:id="6">
    <w:p w14:paraId="1AA11579" w14:textId="77777777" w:rsidR="00D90479" w:rsidRPr="00667CA8" w:rsidRDefault="00D90479" w:rsidP="00D90479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667CA8">
        <w:rPr>
          <w:rFonts w:cstheme="minorHAnsi"/>
          <w:lang w:eastAsia="ar-SA"/>
        </w:rPr>
        <w:t>“Fiat Currency”</w:t>
      </w:r>
      <w:r>
        <w:rPr>
          <w:rFonts w:cstheme="minorHAnsi"/>
          <w:lang w:eastAsia="ar-SA"/>
        </w:rPr>
        <w:t xml:space="preserve"> means</w:t>
      </w:r>
      <w:r w:rsidRPr="00D60E44">
        <w:rPr>
          <w:rFonts w:cstheme="minorHAnsi"/>
          <w:lang w:eastAsia="ar-SA"/>
        </w:rPr>
        <w:t xml:space="preserve"> government issued currency that is designated as legal tender in its country of issuance through government decree, regulation or law.</w:t>
      </w:r>
    </w:p>
  </w:footnote>
  <w:footnote w:id="7">
    <w:p w14:paraId="30C1711D" w14:textId="77777777" w:rsidR="00D90479" w:rsidRPr="00667CA8" w:rsidRDefault="00D90479" w:rsidP="00D90479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D60E44">
        <w:rPr>
          <w:rFonts w:cstheme="minorHAnsi"/>
          <w:lang w:eastAsia="ar-SA"/>
        </w:rPr>
        <w:t>“</w:t>
      </w:r>
      <w:r w:rsidRPr="00667CA8">
        <w:rPr>
          <w:rFonts w:cstheme="minorHAnsi"/>
          <w:lang w:eastAsia="ar-SA"/>
        </w:rPr>
        <w:t>E-money</w:t>
      </w:r>
      <w:r w:rsidRPr="00D60E44">
        <w:rPr>
          <w:rFonts w:cstheme="minorHAnsi"/>
          <w:lang w:eastAsia="ar-SA"/>
        </w:rPr>
        <w:t>” means a digital representation of Fiat Currency used to electronically transfer value denominated in Fiat Currency.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6402"/>
    <w:multiLevelType w:val="multilevel"/>
    <w:tmpl w:val="BE28B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 w:val="0"/>
        <w:i w:val="0"/>
        <w:caps w:val="0"/>
        <w:color w:val="010000"/>
        <w:u w:val="none"/>
      </w:rPr>
    </w:lvl>
    <w:lvl w:ilvl="1">
      <w:start w:val="1"/>
      <w:numFmt w:val="lowerRoman"/>
      <w:lvlText w:val="(%2)"/>
      <w:lvlJc w:val="left"/>
      <w:pPr>
        <w:tabs>
          <w:tab w:val="num" w:pos="1855"/>
        </w:tabs>
        <w:ind w:left="1855" w:hanging="720"/>
      </w:pPr>
      <w:rPr>
        <w:rFonts w:hint="default"/>
        <w:b w:val="0"/>
        <w:i w:val="0"/>
        <w:color w:val="010000"/>
        <w:sz w:val="28"/>
        <w:szCs w:val="28"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10000"/>
        <w:u w:val="none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ascii="Calibri" w:eastAsiaTheme="majorEastAsia" w:hAnsi="Calibri" w:cs="Calibri"/>
        <w:color w:val="010000"/>
        <w:u w:val="none"/>
      </w:rPr>
    </w:lvl>
    <w:lvl w:ilvl="4">
      <w:start w:val="1"/>
      <w:numFmt w:val="lowerRoman"/>
      <w:lvlText w:val="(%5)"/>
      <w:lvlJc w:val="left"/>
      <w:pPr>
        <w:tabs>
          <w:tab w:val="num" w:pos="2160"/>
        </w:tabs>
        <w:ind w:left="2160" w:hanging="720"/>
      </w:pPr>
      <w:rPr>
        <w:rFonts w:hint="default"/>
        <w:color w:val="010000"/>
        <w:u w:val="none"/>
      </w:rPr>
    </w:lvl>
    <w:lvl w:ilvl="5">
      <w:start w:val="1"/>
      <w:numFmt w:val="upperLetter"/>
      <w:lvlText w:val="(%6)"/>
      <w:lvlJc w:val="left"/>
      <w:pPr>
        <w:tabs>
          <w:tab w:val="num" w:pos="2880"/>
        </w:tabs>
        <w:ind w:left="2880" w:hanging="720"/>
      </w:pPr>
      <w:rPr>
        <w:rFonts w:hint="default"/>
        <w:color w:val="010000"/>
        <w:u w:val="none"/>
      </w:rPr>
    </w:lvl>
    <w:lvl w:ilvl="6">
      <w:start w:val="27"/>
      <w:numFmt w:val="lowerLetter"/>
      <w:lvlText w:val="(%7)"/>
      <w:lvlJc w:val="left"/>
      <w:pPr>
        <w:tabs>
          <w:tab w:val="num" w:pos="4320"/>
        </w:tabs>
        <w:ind w:left="4320" w:hanging="720"/>
      </w:pPr>
      <w:rPr>
        <w:rFonts w:hint="default"/>
        <w:color w:val="010000"/>
        <w:u w:val="none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010000"/>
        <w:u w:val="none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010000"/>
        <w:u w:val="none"/>
      </w:rPr>
    </w:lvl>
  </w:abstractNum>
  <w:abstractNum w:abstractNumId="1" w15:restartNumberingAfterBreak="0">
    <w:nsid w:val="3AE92C2D"/>
    <w:multiLevelType w:val="hybridMultilevel"/>
    <w:tmpl w:val="F0A0C4C8"/>
    <w:lvl w:ilvl="0" w:tplc="C730213A">
      <w:start w:val="1"/>
      <w:numFmt w:val="bullet"/>
      <w:pStyle w:val="BulletedLis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102D2"/>
    <w:multiLevelType w:val="hybridMultilevel"/>
    <w:tmpl w:val="097C378E"/>
    <w:lvl w:ilvl="0" w:tplc="F0DCA85E">
      <w:start w:val="1"/>
      <w:numFmt w:val="decimal"/>
      <w:pStyle w:val="BodyTextNumbered"/>
      <w:lvlText w:val="%1."/>
      <w:lvlJc w:val="left"/>
      <w:pPr>
        <w:ind w:left="360" w:hanging="360"/>
      </w:pPr>
      <w:rPr>
        <w:b w:val="0"/>
        <w:color w:val="003B5A"/>
        <w:lang w:val="en-GB"/>
      </w:rPr>
    </w:lvl>
    <w:lvl w:ilvl="1" w:tplc="3608173A">
      <w:start w:val="1"/>
      <w:numFmt w:val="lowerLetter"/>
      <w:lvlText w:val="%2."/>
      <w:lvlJc w:val="left"/>
      <w:pPr>
        <w:ind w:left="1778" w:hanging="360"/>
      </w:pPr>
      <w:rPr>
        <w:rFonts w:asciiTheme="minorHAnsi" w:eastAsiaTheme="minorEastAsia" w:hAnsiTheme="minorHAnsi" w:cs="Arial"/>
      </w:rPr>
    </w:lvl>
    <w:lvl w:ilvl="2" w:tplc="B02ADF4C">
      <w:start w:val="1"/>
      <w:numFmt w:val="lowerRoman"/>
      <w:lvlText w:val="%3."/>
      <w:lvlJc w:val="right"/>
      <w:pPr>
        <w:ind w:left="2160" w:hanging="180"/>
      </w:pPr>
    </w:lvl>
    <w:lvl w:ilvl="3" w:tplc="8EEC854C">
      <w:start w:val="1"/>
      <w:numFmt w:val="lowerRoman"/>
      <w:lvlText w:val="(%4)"/>
      <w:lvlJc w:val="left"/>
      <w:pPr>
        <w:ind w:left="3240" w:hanging="720"/>
      </w:pPr>
      <w:rPr>
        <w:rFonts w:ascii="Calibri" w:hAnsi="Calibri" w:hint="default"/>
      </w:rPr>
    </w:lvl>
    <w:lvl w:ilvl="4" w:tplc="1E1A3AE6" w:tentative="1">
      <w:start w:val="1"/>
      <w:numFmt w:val="lowerLetter"/>
      <w:lvlText w:val="%5."/>
      <w:lvlJc w:val="left"/>
      <w:pPr>
        <w:ind w:left="3600" w:hanging="360"/>
      </w:pPr>
    </w:lvl>
    <w:lvl w:ilvl="5" w:tplc="0B3083DA" w:tentative="1">
      <w:start w:val="1"/>
      <w:numFmt w:val="lowerRoman"/>
      <w:lvlText w:val="%6."/>
      <w:lvlJc w:val="right"/>
      <w:pPr>
        <w:ind w:left="4320" w:hanging="180"/>
      </w:pPr>
    </w:lvl>
    <w:lvl w:ilvl="6" w:tplc="AA9822D0" w:tentative="1">
      <w:start w:val="1"/>
      <w:numFmt w:val="decimal"/>
      <w:lvlText w:val="%7."/>
      <w:lvlJc w:val="left"/>
      <w:pPr>
        <w:ind w:left="5040" w:hanging="360"/>
      </w:pPr>
    </w:lvl>
    <w:lvl w:ilvl="7" w:tplc="F8683FA2" w:tentative="1">
      <w:start w:val="1"/>
      <w:numFmt w:val="lowerLetter"/>
      <w:lvlText w:val="%8."/>
      <w:lvlJc w:val="left"/>
      <w:pPr>
        <w:ind w:left="5760" w:hanging="360"/>
      </w:pPr>
    </w:lvl>
    <w:lvl w:ilvl="8" w:tplc="B14AE26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C37D9"/>
    <w:multiLevelType w:val="multilevel"/>
    <w:tmpl w:val="35B49A44"/>
    <w:name w:val="(Unnamed Numbering Scheme)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 w:val="0"/>
        <w:i w:val="0"/>
        <w:caps w:val="0"/>
        <w:color w:val="010000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855"/>
        </w:tabs>
        <w:ind w:left="1855" w:hanging="720"/>
      </w:pPr>
      <w:rPr>
        <w:rFonts w:asciiTheme="minorHAnsi" w:hAnsiTheme="minorHAnsi" w:hint="default"/>
        <w:b w:val="0"/>
        <w:i w:val="0"/>
        <w:color w:val="010000"/>
        <w:sz w:val="28"/>
        <w:szCs w:val="28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10000"/>
        <w:u w:val="none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440"/>
        </w:tabs>
        <w:ind w:left="1440" w:hanging="720"/>
      </w:pPr>
      <w:rPr>
        <w:rFonts w:ascii="Calibri" w:eastAsiaTheme="majorEastAsia" w:hAnsi="Calibri" w:cs="Calibri"/>
        <w:color w:val="010000"/>
        <w:u w:val="none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160"/>
        </w:tabs>
        <w:ind w:left="2160" w:hanging="720"/>
      </w:pPr>
      <w:rPr>
        <w:rFonts w:hint="default"/>
        <w:color w:val="010000"/>
        <w:u w:val="none"/>
      </w:rPr>
    </w:lvl>
    <w:lvl w:ilvl="5">
      <w:start w:val="1"/>
      <w:numFmt w:val="upperLetter"/>
      <w:pStyle w:val="Heading6"/>
      <w:lvlText w:val="(%6)"/>
      <w:lvlJc w:val="left"/>
      <w:pPr>
        <w:tabs>
          <w:tab w:val="num" w:pos="2880"/>
        </w:tabs>
        <w:ind w:left="2880" w:hanging="720"/>
      </w:pPr>
      <w:rPr>
        <w:rFonts w:hint="default"/>
        <w:color w:val="010000"/>
        <w:u w:val="none"/>
      </w:rPr>
    </w:lvl>
    <w:lvl w:ilvl="6">
      <w:start w:val="27"/>
      <w:numFmt w:val="lowerLetter"/>
      <w:pStyle w:val="Heading7"/>
      <w:lvlText w:val="(%7)"/>
      <w:lvlJc w:val="left"/>
      <w:pPr>
        <w:tabs>
          <w:tab w:val="num" w:pos="4320"/>
        </w:tabs>
        <w:ind w:left="4320" w:hanging="720"/>
      </w:pPr>
      <w:rPr>
        <w:rFonts w:hint="default"/>
        <w:color w:val="010000"/>
        <w:u w:val="none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  <w:color w:val="010000"/>
        <w:u w:val="none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  <w:color w:val="010000"/>
        <w:u w:val="none"/>
      </w:rPr>
    </w:lvl>
  </w:abstractNum>
  <w:abstractNum w:abstractNumId="4" w15:restartNumberingAfterBreak="0">
    <w:nsid w:val="73FC5227"/>
    <w:multiLevelType w:val="hybridMultilevel"/>
    <w:tmpl w:val="BF70A6DC"/>
    <w:lvl w:ilvl="0" w:tplc="ABE4C436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E386B60"/>
    <w:multiLevelType w:val="multilevel"/>
    <w:tmpl w:val="3F00463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30721"/>
  </w:hdrShapeDefaults>
  <w:footnotePr>
    <w:pos w:val="beneathText"/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FA"/>
    <w:rsid w:val="00000091"/>
    <w:rsid w:val="00000F05"/>
    <w:rsid w:val="0000299B"/>
    <w:rsid w:val="000034F1"/>
    <w:rsid w:val="00006A83"/>
    <w:rsid w:val="00011967"/>
    <w:rsid w:val="0001209E"/>
    <w:rsid w:val="000133FB"/>
    <w:rsid w:val="00013E22"/>
    <w:rsid w:val="000141B0"/>
    <w:rsid w:val="000163FE"/>
    <w:rsid w:val="0002224E"/>
    <w:rsid w:val="00022413"/>
    <w:rsid w:val="00022859"/>
    <w:rsid w:val="00022FCB"/>
    <w:rsid w:val="00023FBF"/>
    <w:rsid w:val="000249F7"/>
    <w:rsid w:val="000251D7"/>
    <w:rsid w:val="00026D73"/>
    <w:rsid w:val="00032C7D"/>
    <w:rsid w:val="0003487A"/>
    <w:rsid w:val="00034FFA"/>
    <w:rsid w:val="00035BD9"/>
    <w:rsid w:val="00035CF6"/>
    <w:rsid w:val="000373CF"/>
    <w:rsid w:val="00037A72"/>
    <w:rsid w:val="00041916"/>
    <w:rsid w:val="00042C57"/>
    <w:rsid w:val="00042D95"/>
    <w:rsid w:val="000443B2"/>
    <w:rsid w:val="00044AE3"/>
    <w:rsid w:val="00045200"/>
    <w:rsid w:val="00045DC0"/>
    <w:rsid w:val="000461A0"/>
    <w:rsid w:val="000461DE"/>
    <w:rsid w:val="000462AC"/>
    <w:rsid w:val="00050A68"/>
    <w:rsid w:val="00051E6F"/>
    <w:rsid w:val="00052431"/>
    <w:rsid w:val="00054DD7"/>
    <w:rsid w:val="00054EC2"/>
    <w:rsid w:val="00055243"/>
    <w:rsid w:val="0005549E"/>
    <w:rsid w:val="00056F0F"/>
    <w:rsid w:val="00057F00"/>
    <w:rsid w:val="00061354"/>
    <w:rsid w:val="00061423"/>
    <w:rsid w:val="00062597"/>
    <w:rsid w:val="00062B99"/>
    <w:rsid w:val="00062D36"/>
    <w:rsid w:val="000643A1"/>
    <w:rsid w:val="00064E76"/>
    <w:rsid w:val="000651AA"/>
    <w:rsid w:val="00066783"/>
    <w:rsid w:val="00067987"/>
    <w:rsid w:val="00067A6C"/>
    <w:rsid w:val="00067D46"/>
    <w:rsid w:val="00067E4A"/>
    <w:rsid w:val="00070B75"/>
    <w:rsid w:val="0007231D"/>
    <w:rsid w:val="000723B5"/>
    <w:rsid w:val="0007334E"/>
    <w:rsid w:val="00073EB4"/>
    <w:rsid w:val="00076294"/>
    <w:rsid w:val="00076310"/>
    <w:rsid w:val="000764D6"/>
    <w:rsid w:val="00076549"/>
    <w:rsid w:val="00076597"/>
    <w:rsid w:val="000768B5"/>
    <w:rsid w:val="0007734E"/>
    <w:rsid w:val="0007757B"/>
    <w:rsid w:val="000775C0"/>
    <w:rsid w:val="00077B3E"/>
    <w:rsid w:val="00080EAE"/>
    <w:rsid w:val="000810CD"/>
    <w:rsid w:val="0008205F"/>
    <w:rsid w:val="00082534"/>
    <w:rsid w:val="0008267A"/>
    <w:rsid w:val="000827DE"/>
    <w:rsid w:val="00082C33"/>
    <w:rsid w:val="00082C56"/>
    <w:rsid w:val="0008358E"/>
    <w:rsid w:val="00084128"/>
    <w:rsid w:val="00084BC6"/>
    <w:rsid w:val="0008521E"/>
    <w:rsid w:val="00086EF0"/>
    <w:rsid w:val="00087492"/>
    <w:rsid w:val="000876F5"/>
    <w:rsid w:val="00087C5E"/>
    <w:rsid w:val="00090848"/>
    <w:rsid w:val="0009304F"/>
    <w:rsid w:val="000934E6"/>
    <w:rsid w:val="000940CD"/>
    <w:rsid w:val="00094499"/>
    <w:rsid w:val="00094D02"/>
    <w:rsid w:val="00094F5B"/>
    <w:rsid w:val="00095E4B"/>
    <w:rsid w:val="00096A55"/>
    <w:rsid w:val="00096C9C"/>
    <w:rsid w:val="000A073A"/>
    <w:rsid w:val="000A226E"/>
    <w:rsid w:val="000A228D"/>
    <w:rsid w:val="000A2B13"/>
    <w:rsid w:val="000A3734"/>
    <w:rsid w:val="000A3E1A"/>
    <w:rsid w:val="000A4A06"/>
    <w:rsid w:val="000A56F7"/>
    <w:rsid w:val="000A7FB4"/>
    <w:rsid w:val="000B102A"/>
    <w:rsid w:val="000B1E3C"/>
    <w:rsid w:val="000B20CC"/>
    <w:rsid w:val="000B3956"/>
    <w:rsid w:val="000B3D86"/>
    <w:rsid w:val="000B5019"/>
    <w:rsid w:val="000B5B5D"/>
    <w:rsid w:val="000B6821"/>
    <w:rsid w:val="000C0903"/>
    <w:rsid w:val="000C0B74"/>
    <w:rsid w:val="000C0B9A"/>
    <w:rsid w:val="000C2AF2"/>
    <w:rsid w:val="000C3CE2"/>
    <w:rsid w:val="000C440D"/>
    <w:rsid w:val="000C7A74"/>
    <w:rsid w:val="000C7FAE"/>
    <w:rsid w:val="000D030D"/>
    <w:rsid w:val="000D0856"/>
    <w:rsid w:val="000D18C7"/>
    <w:rsid w:val="000D2584"/>
    <w:rsid w:val="000D270A"/>
    <w:rsid w:val="000D2D67"/>
    <w:rsid w:val="000D4A59"/>
    <w:rsid w:val="000D6054"/>
    <w:rsid w:val="000D613F"/>
    <w:rsid w:val="000D6550"/>
    <w:rsid w:val="000D65C6"/>
    <w:rsid w:val="000D6A77"/>
    <w:rsid w:val="000D6ADB"/>
    <w:rsid w:val="000E038B"/>
    <w:rsid w:val="000E184A"/>
    <w:rsid w:val="000E1F22"/>
    <w:rsid w:val="000E4CBD"/>
    <w:rsid w:val="000E73DA"/>
    <w:rsid w:val="000F0E74"/>
    <w:rsid w:val="000F21A6"/>
    <w:rsid w:val="000F2DCC"/>
    <w:rsid w:val="000F2E8B"/>
    <w:rsid w:val="000F4BD9"/>
    <w:rsid w:val="000F4D01"/>
    <w:rsid w:val="000F52CC"/>
    <w:rsid w:val="000F55BB"/>
    <w:rsid w:val="000F668F"/>
    <w:rsid w:val="000F780F"/>
    <w:rsid w:val="0010391E"/>
    <w:rsid w:val="0010479C"/>
    <w:rsid w:val="001047E0"/>
    <w:rsid w:val="00105CEC"/>
    <w:rsid w:val="0010607E"/>
    <w:rsid w:val="00107136"/>
    <w:rsid w:val="001109A6"/>
    <w:rsid w:val="0011299A"/>
    <w:rsid w:val="0011662C"/>
    <w:rsid w:val="00116771"/>
    <w:rsid w:val="00116CF8"/>
    <w:rsid w:val="0012075E"/>
    <w:rsid w:val="00121087"/>
    <w:rsid w:val="0012516E"/>
    <w:rsid w:val="00125321"/>
    <w:rsid w:val="001265D1"/>
    <w:rsid w:val="00126C3F"/>
    <w:rsid w:val="0013151B"/>
    <w:rsid w:val="00133634"/>
    <w:rsid w:val="00134BFC"/>
    <w:rsid w:val="00135203"/>
    <w:rsid w:val="00137F2C"/>
    <w:rsid w:val="001403A3"/>
    <w:rsid w:val="001409FB"/>
    <w:rsid w:val="00140D5C"/>
    <w:rsid w:val="00142791"/>
    <w:rsid w:val="00142D04"/>
    <w:rsid w:val="0014364A"/>
    <w:rsid w:val="001456B8"/>
    <w:rsid w:val="00146060"/>
    <w:rsid w:val="0014647E"/>
    <w:rsid w:val="00146756"/>
    <w:rsid w:val="00147DEE"/>
    <w:rsid w:val="00150358"/>
    <w:rsid w:val="001505BC"/>
    <w:rsid w:val="00152EBD"/>
    <w:rsid w:val="001534A0"/>
    <w:rsid w:val="00153E81"/>
    <w:rsid w:val="00154D1E"/>
    <w:rsid w:val="00156322"/>
    <w:rsid w:val="001565E7"/>
    <w:rsid w:val="00156740"/>
    <w:rsid w:val="00156B61"/>
    <w:rsid w:val="00157125"/>
    <w:rsid w:val="001571BC"/>
    <w:rsid w:val="00160F96"/>
    <w:rsid w:val="0016136C"/>
    <w:rsid w:val="00161542"/>
    <w:rsid w:val="00162D1E"/>
    <w:rsid w:val="00163C40"/>
    <w:rsid w:val="0016440C"/>
    <w:rsid w:val="00165AF3"/>
    <w:rsid w:val="00165FF7"/>
    <w:rsid w:val="00167711"/>
    <w:rsid w:val="00167CD1"/>
    <w:rsid w:val="001707DC"/>
    <w:rsid w:val="00171760"/>
    <w:rsid w:val="00171817"/>
    <w:rsid w:val="00171D6E"/>
    <w:rsid w:val="00173036"/>
    <w:rsid w:val="0017399E"/>
    <w:rsid w:val="00174C3E"/>
    <w:rsid w:val="001760F1"/>
    <w:rsid w:val="00176163"/>
    <w:rsid w:val="001776DC"/>
    <w:rsid w:val="00180753"/>
    <w:rsid w:val="00181CDC"/>
    <w:rsid w:val="00182441"/>
    <w:rsid w:val="00183C6B"/>
    <w:rsid w:val="00184CCA"/>
    <w:rsid w:val="001854A9"/>
    <w:rsid w:val="001878C3"/>
    <w:rsid w:val="00187D37"/>
    <w:rsid w:val="0019395C"/>
    <w:rsid w:val="00193CEB"/>
    <w:rsid w:val="00194163"/>
    <w:rsid w:val="001949ED"/>
    <w:rsid w:val="00194ECA"/>
    <w:rsid w:val="00195BFC"/>
    <w:rsid w:val="001A04E5"/>
    <w:rsid w:val="001A098E"/>
    <w:rsid w:val="001A3008"/>
    <w:rsid w:val="001A5097"/>
    <w:rsid w:val="001A59D7"/>
    <w:rsid w:val="001A6B1F"/>
    <w:rsid w:val="001A7667"/>
    <w:rsid w:val="001A7680"/>
    <w:rsid w:val="001B154D"/>
    <w:rsid w:val="001B1CDA"/>
    <w:rsid w:val="001B2CB4"/>
    <w:rsid w:val="001B3B79"/>
    <w:rsid w:val="001B3F4F"/>
    <w:rsid w:val="001B48D7"/>
    <w:rsid w:val="001B4AF4"/>
    <w:rsid w:val="001B523D"/>
    <w:rsid w:val="001B67E6"/>
    <w:rsid w:val="001B6B39"/>
    <w:rsid w:val="001B6D1D"/>
    <w:rsid w:val="001B75F5"/>
    <w:rsid w:val="001C1F81"/>
    <w:rsid w:val="001C42FB"/>
    <w:rsid w:val="001C457A"/>
    <w:rsid w:val="001C4AB8"/>
    <w:rsid w:val="001C4B47"/>
    <w:rsid w:val="001C6CAB"/>
    <w:rsid w:val="001C78D8"/>
    <w:rsid w:val="001D0DD9"/>
    <w:rsid w:val="001D132E"/>
    <w:rsid w:val="001D1E2B"/>
    <w:rsid w:val="001D3208"/>
    <w:rsid w:val="001D4A14"/>
    <w:rsid w:val="001D4E75"/>
    <w:rsid w:val="001D76F2"/>
    <w:rsid w:val="001E0C35"/>
    <w:rsid w:val="001E1D31"/>
    <w:rsid w:val="001E1F7A"/>
    <w:rsid w:val="001E280B"/>
    <w:rsid w:val="001E2B42"/>
    <w:rsid w:val="001E462F"/>
    <w:rsid w:val="001E4791"/>
    <w:rsid w:val="001E4A67"/>
    <w:rsid w:val="001E5E7C"/>
    <w:rsid w:val="001E788D"/>
    <w:rsid w:val="001F17F3"/>
    <w:rsid w:val="001F1A1B"/>
    <w:rsid w:val="001F233C"/>
    <w:rsid w:val="001F2392"/>
    <w:rsid w:val="001F2C3A"/>
    <w:rsid w:val="001F2F70"/>
    <w:rsid w:val="001F30EF"/>
    <w:rsid w:val="001F4678"/>
    <w:rsid w:val="001F48F7"/>
    <w:rsid w:val="001F4953"/>
    <w:rsid w:val="001F4B3C"/>
    <w:rsid w:val="001F5476"/>
    <w:rsid w:val="001F579E"/>
    <w:rsid w:val="001F6E2B"/>
    <w:rsid w:val="001F6E40"/>
    <w:rsid w:val="002011DC"/>
    <w:rsid w:val="002029FD"/>
    <w:rsid w:val="00204946"/>
    <w:rsid w:val="00204E78"/>
    <w:rsid w:val="00206A40"/>
    <w:rsid w:val="002078F4"/>
    <w:rsid w:val="00207910"/>
    <w:rsid w:val="00211357"/>
    <w:rsid w:val="0021180E"/>
    <w:rsid w:val="00212776"/>
    <w:rsid w:val="00213193"/>
    <w:rsid w:val="00213338"/>
    <w:rsid w:val="002144D1"/>
    <w:rsid w:val="002148C0"/>
    <w:rsid w:val="00214909"/>
    <w:rsid w:val="002151F4"/>
    <w:rsid w:val="00216D0E"/>
    <w:rsid w:val="00216FE9"/>
    <w:rsid w:val="0021724B"/>
    <w:rsid w:val="00220815"/>
    <w:rsid w:val="0022220B"/>
    <w:rsid w:val="00222E46"/>
    <w:rsid w:val="00223882"/>
    <w:rsid w:val="00223D10"/>
    <w:rsid w:val="00224972"/>
    <w:rsid w:val="00225753"/>
    <w:rsid w:val="00225B6C"/>
    <w:rsid w:val="0022651A"/>
    <w:rsid w:val="00227864"/>
    <w:rsid w:val="00227930"/>
    <w:rsid w:val="00230045"/>
    <w:rsid w:val="0023094F"/>
    <w:rsid w:val="00230C1C"/>
    <w:rsid w:val="002310CE"/>
    <w:rsid w:val="00231640"/>
    <w:rsid w:val="00231B86"/>
    <w:rsid w:val="00232915"/>
    <w:rsid w:val="002331EC"/>
    <w:rsid w:val="002341D2"/>
    <w:rsid w:val="00235073"/>
    <w:rsid w:val="00235822"/>
    <w:rsid w:val="00241649"/>
    <w:rsid w:val="00241B1C"/>
    <w:rsid w:val="0024298F"/>
    <w:rsid w:val="0024445C"/>
    <w:rsid w:val="00244704"/>
    <w:rsid w:val="00250CBB"/>
    <w:rsid w:val="002524AF"/>
    <w:rsid w:val="0025404A"/>
    <w:rsid w:val="00254611"/>
    <w:rsid w:val="00255078"/>
    <w:rsid w:val="00255D63"/>
    <w:rsid w:val="00255E7A"/>
    <w:rsid w:val="002564C5"/>
    <w:rsid w:val="002564F6"/>
    <w:rsid w:val="00256618"/>
    <w:rsid w:val="002566BE"/>
    <w:rsid w:val="00257050"/>
    <w:rsid w:val="0025793A"/>
    <w:rsid w:val="002605A6"/>
    <w:rsid w:val="00261420"/>
    <w:rsid w:val="00261C09"/>
    <w:rsid w:val="00261EF7"/>
    <w:rsid w:val="00262820"/>
    <w:rsid w:val="00263468"/>
    <w:rsid w:val="0026471B"/>
    <w:rsid w:val="002662C3"/>
    <w:rsid w:val="00267B6D"/>
    <w:rsid w:val="00267E58"/>
    <w:rsid w:val="00270CE5"/>
    <w:rsid w:val="00270F3E"/>
    <w:rsid w:val="0027238D"/>
    <w:rsid w:val="00272BD6"/>
    <w:rsid w:val="00272C84"/>
    <w:rsid w:val="0027376E"/>
    <w:rsid w:val="00273E8A"/>
    <w:rsid w:val="00274201"/>
    <w:rsid w:val="002754B1"/>
    <w:rsid w:val="0027572E"/>
    <w:rsid w:val="00276BEA"/>
    <w:rsid w:val="00277958"/>
    <w:rsid w:val="00277DF8"/>
    <w:rsid w:val="00281B81"/>
    <w:rsid w:val="0028242A"/>
    <w:rsid w:val="002828C9"/>
    <w:rsid w:val="00282B65"/>
    <w:rsid w:val="00282BCF"/>
    <w:rsid w:val="002836BA"/>
    <w:rsid w:val="00283B91"/>
    <w:rsid w:val="00284341"/>
    <w:rsid w:val="00287546"/>
    <w:rsid w:val="00291238"/>
    <w:rsid w:val="00291763"/>
    <w:rsid w:val="002924D9"/>
    <w:rsid w:val="002929CB"/>
    <w:rsid w:val="00292BB3"/>
    <w:rsid w:val="00293654"/>
    <w:rsid w:val="00294531"/>
    <w:rsid w:val="00295728"/>
    <w:rsid w:val="00295A44"/>
    <w:rsid w:val="002974B2"/>
    <w:rsid w:val="0029787C"/>
    <w:rsid w:val="002A0369"/>
    <w:rsid w:val="002A050B"/>
    <w:rsid w:val="002A18BE"/>
    <w:rsid w:val="002A214F"/>
    <w:rsid w:val="002A2CF0"/>
    <w:rsid w:val="002A2DFD"/>
    <w:rsid w:val="002A38F3"/>
    <w:rsid w:val="002A435D"/>
    <w:rsid w:val="002A51F0"/>
    <w:rsid w:val="002A5480"/>
    <w:rsid w:val="002A7A29"/>
    <w:rsid w:val="002B01C0"/>
    <w:rsid w:val="002B0795"/>
    <w:rsid w:val="002B0A81"/>
    <w:rsid w:val="002B2BD5"/>
    <w:rsid w:val="002B476D"/>
    <w:rsid w:val="002B643C"/>
    <w:rsid w:val="002B75BC"/>
    <w:rsid w:val="002C0398"/>
    <w:rsid w:val="002C09E9"/>
    <w:rsid w:val="002C2280"/>
    <w:rsid w:val="002C256E"/>
    <w:rsid w:val="002C38C5"/>
    <w:rsid w:val="002C3B05"/>
    <w:rsid w:val="002C6B25"/>
    <w:rsid w:val="002D01C3"/>
    <w:rsid w:val="002D1A29"/>
    <w:rsid w:val="002D1C8A"/>
    <w:rsid w:val="002D3AE0"/>
    <w:rsid w:val="002D4454"/>
    <w:rsid w:val="002D4F69"/>
    <w:rsid w:val="002D5CB7"/>
    <w:rsid w:val="002D79F5"/>
    <w:rsid w:val="002D7A9F"/>
    <w:rsid w:val="002E019E"/>
    <w:rsid w:val="002E125D"/>
    <w:rsid w:val="002E1514"/>
    <w:rsid w:val="002E1A90"/>
    <w:rsid w:val="002E20BA"/>
    <w:rsid w:val="002E290A"/>
    <w:rsid w:val="002E3C9F"/>
    <w:rsid w:val="002E46F8"/>
    <w:rsid w:val="002E48F1"/>
    <w:rsid w:val="002E496D"/>
    <w:rsid w:val="002E625F"/>
    <w:rsid w:val="002E696E"/>
    <w:rsid w:val="002F00FC"/>
    <w:rsid w:val="002F196A"/>
    <w:rsid w:val="002F2E3F"/>
    <w:rsid w:val="002F42A0"/>
    <w:rsid w:val="002F5BA6"/>
    <w:rsid w:val="002F5CF3"/>
    <w:rsid w:val="002F73FA"/>
    <w:rsid w:val="003004D2"/>
    <w:rsid w:val="00302E15"/>
    <w:rsid w:val="0030391E"/>
    <w:rsid w:val="00304668"/>
    <w:rsid w:val="00304D8A"/>
    <w:rsid w:val="003059EB"/>
    <w:rsid w:val="00305E0E"/>
    <w:rsid w:val="00306501"/>
    <w:rsid w:val="00311066"/>
    <w:rsid w:val="00311FFF"/>
    <w:rsid w:val="00312209"/>
    <w:rsid w:val="0031378C"/>
    <w:rsid w:val="003137CD"/>
    <w:rsid w:val="00313842"/>
    <w:rsid w:val="003145EA"/>
    <w:rsid w:val="0031493E"/>
    <w:rsid w:val="00314A3C"/>
    <w:rsid w:val="003152C4"/>
    <w:rsid w:val="0031567A"/>
    <w:rsid w:val="0031569F"/>
    <w:rsid w:val="003170D4"/>
    <w:rsid w:val="00317A4E"/>
    <w:rsid w:val="00320838"/>
    <w:rsid w:val="00323AB9"/>
    <w:rsid w:val="00324351"/>
    <w:rsid w:val="00324BAC"/>
    <w:rsid w:val="00324BFB"/>
    <w:rsid w:val="0032535B"/>
    <w:rsid w:val="0032557F"/>
    <w:rsid w:val="00325E95"/>
    <w:rsid w:val="00327FE2"/>
    <w:rsid w:val="003300BC"/>
    <w:rsid w:val="003321A4"/>
    <w:rsid w:val="00332A4B"/>
    <w:rsid w:val="00332BE8"/>
    <w:rsid w:val="003337B4"/>
    <w:rsid w:val="00333977"/>
    <w:rsid w:val="00334DF5"/>
    <w:rsid w:val="00334E9B"/>
    <w:rsid w:val="003355AD"/>
    <w:rsid w:val="0033696C"/>
    <w:rsid w:val="00336BCE"/>
    <w:rsid w:val="00337B94"/>
    <w:rsid w:val="003414F0"/>
    <w:rsid w:val="003415BA"/>
    <w:rsid w:val="003415DC"/>
    <w:rsid w:val="00341790"/>
    <w:rsid w:val="00341A40"/>
    <w:rsid w:val="00341F3C"/>
    <w:rsid w:val="003448D1"/>
    <w:rsid w:val="003453A0"/>
    <w:rsid w:val="003454FC"/>
    <w:rsid w:val="00346F92"/>
    <w:rsid w:val="003472A6"/>
    <w:rsid w:val="00347567"/>
    <w:rsid w:val="0035056D"/>
    <w:rsid w:val="00352BBF"/>
    <w:rsid w:val="00353C8D"/>
    <w:rsid w:val="0035613F"/>
    <w:rsid w:val="003577B1"/>
    <w:rsid w:val="003614C8"/>
    <w:rsid w:val="00363581"/>
    <w:rsid w:val="00364C00"/>
    <w:rsid w:val="003655BC"/>
    <w:rsid w:val="00365742"/>
    <w:rsid w:val="00365E89"/>
    <w:rsid w:val="0036744D"/>
    <w:rsid w:val="003719CB"/>
    <w:rsid w:val="00372F01"/>
    <w:rsid w:val="00374252"/>
    <w:rsid w:val="00374D5F"/>
    <w:rsid w:val="00375014"/>
    <w:rsid w:val="003755E6"/>
    <w:rsid w:val="00375B8B"/>
    <w:rsid w:val="00376043"/>
    <w:rsid w:val="0037622F"/>
    <w:rsid w:val="00376486"/>
    <w:rsid w:val="00377437"/>
    <w:rsid w:val="00380DE2"/>
    <w:rsid w:val="00381309"/>
    <w:rsid w:val="0038190A"/>
    <w:rsid w:val="00381A42"/>
    <w:rsid w:val="0038255C"/>
    <w:rsid w:val="00386435"/>
    <w:rsid w:val="0038725F"/>
    <w:rsid w:val="00387F21"/>
    <w:rsid w:val="003902EB"/>
    <w:rsid w:val="0039146F"/>
    <w:rsid w:val="00392033"/>
    <w:rsid w:val="0039373A"/>
    <w:rsid w:val="00393B9C"/>
    <w:rsid w:val="0039690F"/>
    <w:rsid w:val="003A33FC"/>
    <w:rsid w:val="003A49AD"/>
    <w:rsid w:val="003A50B7"/>
    <w:rsid w:val="003A5331"/>
    <w:rsid w:val="003A5644"/>
    <w:rsid w:val="003A5870"/>
    <w:rsid w:val="003A592C"/>
    <w:rsid w:val="003B04D4"/>
    <w:rsid w:val="003B149D"/>
    <w:rsid w:val="003B1723"/>
    <w:rsid w:val="003B1D21"/>
    <w:rsid w:val="003B1D67"/>
    <w:rsid w:val="003B34FF"/>
    <w:rsid w:val="003B4723"/>
    <w:rsid w:val="003B4CD1"/>
    <w:rsid w:val="003B59B5"/>
    <w:rsid w:val="003B640F"/>
    <w:rsid w:val="003B6488"/>
    <w:rsid w:val="003B79BA"/>
    <w:rsid w:val="003C0B16"/>
    <w:rsid w:val="003C0C7C"/>
    <w:rsid w:val="003C191B"/>
    <w:rsid w:val="003C34A3"/>
    <w:rsid w:val="003C3816"/>
    <w:rsid w:val="003C3FB1"/>
    <w:rsid w:val="003C7EE7"/>
    <w:rsid w:val="003D0640"/>
    <w:rsid w:val="003D0808"/>
    <w:rsid w:val="003D2047"/>
    <w:rsid w:val="003D2279"/>
    <w:rsid w:val="003D44BD"/>
    <w:rsid w:val="003D50B9"/>
    <w:rsid w:val="003D5AD2"/>
    <w:rsid w:val="003D5BE4"/>
    <w:rsid w:val="003D780F"/>
    <w:rsid w:val="003E0C78"/>
    <w:rsid w:val="003E1606"/>
    <w:rsid w:val="003E1674"/>
    <w:rsid w:val="003E2938"/>
    <w:rsid w:val="003E2B10"/>
    <w:rsid w:val="003E398D"/>
    <w:rsid w:val="003E3ED2"/>
    <w:rsid w:val="003E425B"/>
    <w:rsid w:val="003E4386"/>
    <w:rsid w:val="003E6B20"/>
    <w:rsid w:val="003F04B9"/>
    <w:rsid w:val="003F06D5"/>
    <w:rsid w:val="003F0AD7"/>
    <w:rsid w:val="003F1467"/>
    <w:rsid w:val="003F1FC4"/>
    <w:rsid w:val="003F3221"/>
    <w:rsid w:val="003F492F"/>
    <w:rsid w:val="003F4C48"/>
    <w:rsid w:val="003F55E9"/>
    <w:rsid w:val="003F60E5"/>
    <w:rsid w:val="003F67EB"/>
    <w:rsid w:val="003F6BA7"/>
    <w:rsid w:val="003F6C1D"/>
    <w:rsid w:val="003F70B9"/>
    <w:rsid w:val="003F7388"/>
    <w:rsid w:val="0040371B"/>
    <w:rsid w:val="00404FA4"/>
    <w:rsid w:val="004054EC"/>
    <w:rsid w:val="00405AB7"/>
    <w:rsid w:val="00410A44"/>
    <w:rsid w:val="00410A66"/>
    <w:rsid w:val="00410DD5"/>
    <w:rsid w:val="00413920"/>
    <w:rsid w:val="00414831"/>
    <w:rsid w:val="00414A14"/>
    <w:rsid w:val="00415481"/>
    <w:rsid w:val="0041754D"/>
    <w:rsid w:val="00417C47"/>
    <w:rsid w:val="00417F9C"/>
    <w:rsid w:val="00420D5F"/>
    <w:rsid w:val="00420DE0"/>
    <w:rsid w:val="00421B95"/>
    <w:rsid w:val="004220BB"/>
    <w:rsid w:val="00422F4B"/>
    <w:rsid w:val="004230E7"/>
    <w:rsid w:val="00424DA4"/>
    <w:rsid w:val="00424E72"/>
    <w:rsid w:val="00424ED4"/>
    <w:rsid w:val="00427C39"/>
    <w:rsid w:val="004311EF"/>
    <w:rsid w:val="00431E62"/>
    <w:rsid w:val="0043283E"/>
    <w:rsid w:val="00434056"/>
    <w:rsid w:val="004344D6"/>
    <w:rsid w:val="00434CD9"/>
    <w:rsid w:val="004365C5"/>
    <w:rsid w:val="00441A8A"/>
    <w:rsid w:val="004431D4"/>
    <w:rsid w:val="00443591"/>
    <w:rsid w:val="00443BF0"/>
    <w:rsid w:val="00444F7E"/>
    <w:rsid w:val="00445035"/>
    <w:rsid w:val="00446617"/>
    <w:rsid w:val="00447520"/>
    <w:rsid w:val="00447803"/>
    <w:rsid w:val="00447869"/>
    <w:rsid w:val="00447B2C"/>
    <w:rsid w:val="00447B69"/>
    <w:rsid w:val="00450003"/>
    <w:rsid w:val="00450F0C"/>
    <w:rsid w:val="00451934"/>
    <w:rsid w:val="0045203C"/>
    <w:rsid w:val="00452288"/>
    <w:rsid w:val="004557AD"/>
    <w:rsid w:val="00455E3A"/>
    <w:rsid w:val="00455E73"/>
    <w:rsid w:val="00456497"/>
    <w:rsid w:val="00457408"/>
    <w:rsid w:val="00457DB4"/>
    <w:rsid w:val="00460561"/>
    <w:rsid w:val="00461975"/>
    <w:rsid w:val="004622BB"/>
    <w:rsid w:val="0046270C"/>
    <w:rsid w:val="00462802"/>
    <w:rsid w:val="004629E0"/>
    <w:rsid w:val="00462B44"/>
    <w:rsid w:val="00462B8E"/>
    <w:rsid w:val="00462C11"/>
    <w:rsid w:val="00462F29"/>
    <w:rsid w:val="00464068"/>
    <w:rsid w:val="00464C8B"/>
    <w:rsid w:val="00464F6D"/>
    <w:rsid w:val="00465E81"/>
    <w:rsid w:val="004666D6"/>
    <w:rsid w:val="00467773"/>
    <w:rsid w:val="004712D5"/>
    <w:rsid w:val="00472BD5"/>
    <w:rsid w:val="0047344C"/>
    <w:rsid w:val="0047428A"/>
    <w:rsid w:val="00475AEE"/>
    <w:rsid w:val="00475B5A"/>
    <w:rsid w:val="00476543"/>
    <w:rsid w:val="004818EE"/>
    <w:rsid w:val="00481EC5"/>
    <w:rsid w:val="0048223D"/>
    <w:rsid w:val="004828E3"/>
    <w:rsid w:val="00483B86"/>
    <w:rsid w:val="004844B8"/>
    <w:rsid w:val="00484702"/>
    <w:rsid w:val="00484E66"/>
    <w:rsid w:val="00485E46"/>
    <w:rsid w:val="004866F8"/>
    <w:rsid w:val="0048722A"/>
    <w:rsid w:val="0048727C"/>
    <w:rsid w:val="004907F3"/>
    <w:rsid w:val="00490E5D"/>
    <w:rsid w:val="00491283"/>
    <w:rsid w:val="00493F0B"/>
    <w:rsid w:val="00494415"/>
    <w:rsid w:val="00494EB6"/>
    <w:rsid w:val="00495433"/>
    <w:rsid w:val="00496366"/>
    <w:rsid w:val="00496921"/>
    <w:rsid w:val="00496CE7"/>
    <w:rsid w:val="00496D17"/>
    <w:rsid w:val="0049747D"/>
    <w:rsid w:val="004978EA"/>
    <w:rsid w:val="0049794E"/>
    <w:rsid w:val="004A0447"/>
    <w:rsid w:val="004A0681"/>
    <w:rsid w:val="004A093E"/>
    <w:rsid w:val="004A2475"/>
    <w:rsid w:val="004A2773"/>
    <w:rsid w:val="004A2ECA"/>
    <w:rsid w:val="004A39DF"/>
    <w:rsid w:val="004A4120"/>
    <w:rsid w:val="004A563F"/>
    <w:rsid w:val="004A57DF"/>
    <w:rsid w:val="004A5A0B"/>
    <w:rsid w:val="004A624A"/>
    <w:rsid w:val="004A6EA5"/>
    <w:rsid w:val="004B115A"/>
    <w:rsid w:val="004B130B"/>
    <w:rsid w:val="004B2D45"/>
    <w:rsid w:val="004B4040"/>
    <w:rsid w:val="004B4095"/>
    <w:rsid w:val="004B5580"/>
    <w:rsid w:val="004B675B"/>
    <w:rsid w:val="004B6EFD"/>
    <w:rsid w:val="004B7C8F"/>
    <w:rsid w:val="004C07BF"/>
    <w:rsid w:val="004C0EFC"/>
    <w:rsid w:val="004C2B01"/>
    <w:rsid w:val="004C3572"/>
    <w:rsid w:val="004C3E5C"/>
    <w:rsid w:val="004C5048"/>
    <w:rsid w:val="004C6219"/>
    <w:rsid w:val="004C6F72"/>
    <w:rsid w:val="004C73A7"/>
    <w:rsid w:val="004D0432"/>
    <w:rsid w:val="004D072C"/>
    <w:rsid w:val="004D2023"/>
    <w:rsid w:val="004D2199"/>
    <w:rsid w:val="004D28F0"/>
    <w:rsid w:val="004D2C71"/>
    <w:rsid w:val="004D57AB"/>
    <w:rsid w:val="004D6DBE"/>
    <w:rsid w:val="004D7A82"/>
    <w:rsid w:val="004E040C"/>
    <w:rsid w:val="004E0E0D"/>
    <w:rsid w:val="004E2097"/>
    <w:rsid w:val="004E3693"/>
    <w:rsid w:val="004E3F86"/>
    <w:rsid w:val="004E5930"/>
    <w:rsid w:val="004E5DE0"/>
    <w:rsid w:val="004E7A42"/>
    <w:rsid w:val="004F080F"/>
    <w:rsid w:val="004F19BD"/>
    <w:rsid w:val="004F2478"/>
    <w:rsid w:val="004F3E38"/>
    <w:rsid w:val="004F5C31"/>
    <w:rsid w:val="004F6999"/>
    <w:rsid w:val="004F6CF7"/>
    <w:rsid w:val="004F7D9A"/>
    <w:rsid w:val="00501053"/>
    <w:rsid w:val="00501255"/>
    <w:rsid w:val="00501C15"/>
    <w:rsid w:val="00501C95"/>
    <w:rsid w:val="00501FCA"/>
    <w:rsid w:val="00502FA6"/>
    <w:rsid w:val="00505105"/>
    <w:rsid w:val="00505F69"/>
    <w:rsid w:val="005066C1"/>
    <w:rsid w:val="00506E93"/>
    <w:rsid w:val="005071CE"/>
    <w:rsid w:val="0051340C"/>
    <w:rsid w:val="0051370E"/>
    <w:rsid w:val="00514E37"/>
    <w:rsid w:val="00517CAB"/>
    <w:rsid w:val="0052024B"/>
    <w:rsid w:val="00520632"/>
    <w:rsid w:val="00521226"/>
    <w:rsid w:val="0052168C"/>
    <w:rsid w:val="00521CD3"/>
    <w:rsid w:val="005224F7"/>
    <w:rsid w:val="00522D1D"/>
    <w:rsid w:val="00523B18"/>
    <w:rsid w:val="00523F68"/>
    <w:rsid w:val="00526045"/>
    <w:rsid w:val="00526D04"/>
    <w:rsid w:val="00527056"/>
    <w:rsid w:val="0053044E"/>
    <w:rsid w:val="00530F28"/>
    <w:rsid w:val="0053148B"/>
    <w:rsid w:val="00532538"/>
    <w:rsid w:val="00532A70"/>
    <w:rsid w:val="005331D7"/>
    <w:rsid w:val="00535C8B"/>
    <w:rsid w:val="00535DA6"/>
    <w:rsid w:val="0053671A"/>
    <w:rsid w:val="0053693F"/>
    <w:rsid w:val="00536A64"/>
    <w:rsid w:val="00541918"/>
    <w:rsid w:val="00543364"/>
    <w:rsid w:val="005433B7"/>
    <w:rsid w:val="00544BF9"/>
    <w:rsid w:val="00545BB9"/>
    <w:rsid w:val="00545C6A"/>
    <w:rsid w:val="00546D77"/>
    <w:rsid w:val="0054725E"/>
    <w:rsid w:val="00550593"/>
    <w:rsid w:val="005505F5"/>
    <w:rsid w:val="005522F2"/>
    <w:rsid w:val="0055648A"/>
    <w:rsid w:val="005566A4"/>
    <w:rsid w:val="00556935"/>
    <w:rsid w:val="00556E0C"/>
    <w:rsid w:val="0055702E"/>
    <w:rsid w:val="00557063"/>
    <w:rsid w:val="00560435"/>
    <w:rsid w:val="00561A64"/>
    <w:rsid w:val="0056230C"/>
    <w:rsid w:val="00562684"/>
    <w:rsid w:val="005629DD"/>
    <w:rsid w:val="005631D1"/>
    <w:rsid w:val="00563DAF"/>
    <w:rsid w:val="00566792"/>
    <w:rsid w:val="005671BF"/>
    <w:rsid w:val="00567214"/>
    <w:rsid w:val="00567E7A"/>
    <w:rsid w:val="00567EF5"/>
    <w:rsid w:val="005712ED"/>
    <w:rsid w:val="0057339C"/>
    <w:rsid w:val="005754A4"/>
    <w:rsid w:val="0057561B"/>
    <w:rsid w:val="00575620"/>
    <w:rsid w:val="0057590F"/>
    <w:rsid w:val="005764F5"/>
    <w:rsid w:val="005806EE"/>
    <w:rsid w:val="0058074E"/>
    <w:rsid w:val="00580B95"/>
    <w:rsid w:val="005849CF"/>
    <w:rsid w:val="00584D75"/>
    <w:rsid w:val="00584EC4"/>
    <w:rsid w:val="005856AF"/>
    <w:rsid w:val="00586AE7"/>
    <w:rsid w:val="00590D90"/>
    <w:rsid w:val="0059147A"/>
    <w:rsid w:val="005916B3"/>
    <w:rsid w:val="00592417"/>
    <w:rsid w:val="005924AA"/>
    <w:rsid w:val="0059301F"/>
    <w:rsid w:val="00593676"/>
    <w:rsid w:val="0059570C"/>
    <w:rsid w:val="00596624"/>
    <w:rsid w:val="00596859"/>
    <w:rsid w:val="00597015"/>
    <w:rsid w:val="005975FE"/>
    <w:rsid w:val="005A1E27"/>
    <w:rsid w:val="005A1E85"/>
    <w:rsid w:val="005A30F8"/>
    <w:rsid w:val="005A397F"/>
    <w:rsid w:val="005A4533"/>
    <w:rsid w:val="005A4570"/>
    <w:rsid w:val="005A5139"/>
    <w:rsid w:val="005A674E"/>
    <w:rsid w:val="005A68D8"/>
    <w:rsid w:val="005A6AC6"/>
    <w:rsid w:val="005A6CF1"/>
    <w:rsid w:val="005A7BCA"/>
    <w:rsid w:val="005B053C"/>
    <w:rsid w:val="005B1478"/>
    <w:rsid w:val="005B2C20"/>
    <w:rsid w:val="005B47C3"/>
    <w:rsid w:val="005B4AFA"/>
    <w:rsid w:val="005B4B76"/>
    <w:rsid w:val="005B7A29"/>
    <w:rsid w:val="005C0E3F"/>
    <w:rsid w:val="005C0ED4"/>
    <w:rsid w:val="005C22A2"/>
    <w:rsid w:val="005C2702"/>
    <w:rsid w:val="005C4B88"/>
    <w:rsid w:val="005C4C71"/>
    <w:rsid w:val="005C605F"/>
    <w:rsid w:val="005C6537"/>
    <w:rsid w:val="005C76F9"/>
    <w:rsid w:val="005D068A"/>
    <w:rsid w:val="005D0928"/>
    <w:rsid w:val="005D0EAD"/>
    <w:rsid w:val="005D3515"/>
    <w:rsid w:val="005D58B5"/>
    <w:rsid w:val="005D59FD"/>
    <w:rsid w:val="005D71C3"/>
    <w:rsid w:val="005D767F"/>
    <w:rsid w:val="005D793C"/>
    <w:rsid w:val="005E0F75"/>
    <w:rsid w:val="005E3AD1"/>
    <w:rsid w:val="005E421D"/>
    <w:rsid w:val="005E60F9"/>
    <w:rsid w:val="005F057D"/>
    <w:rsid w:val="005F2301"/>
    <w:rsid w:val="005F3A64"/>
    <w:rsid w:val="005F3E37"/>
    <w:rsid w:val="005F41C4"/>
    <w:rsid w:val="005F4CDD"/>
    <w:rsid w:val="005F5E0E"/>
    <w:rsid w:val="005F5E6D"/>
    <w:rsid w:val="005F6FF2"/>
    <w:rsid w:val="00600435"/>
    <w:rsid w:val="00600D3B"/>
    <w:rsid w:val="006030CF"/>
    <w:rsid w:val="0060438C"/>
    <w:rsid w:val="006046E4"/>
    <w:rsid w:val="00604828"/>
    <w:rsid w:val="006060BE"/>
    <w:rsid w:val="006067C4"/>
    <w:rsid w:val="00607500"/>
    <w:rsid w:val="00610D01"/>
    <w:rsid w:val="00611E81"/>
    <w:rsid w:val="00611ED3"/>
    <w:rsid w:val="0061208D"/>
    <w:rsid w:val="006123AC"/>
    <w:rsid w:val="00612D30"/>
    <w:rsid w:val="006148DF"/>
    <w:rsid w:val="00614E0A"/>
    <w:rsid w:val="0061536E"/>
    <w:rsid w:val="0061661D"/>
    <w:rsid w:val="0061722D"/>
    <w:rsid w:val="006172E0"/>
    <w:rsid w:val="00617439"/>
    <w:rsid w:val="00617779"/>
    <w:rsid w:val="006202DF"/>
    <w:rsid w:val="0062199F"/>
    <w:rsid w:val="0062207E"/>
    <w:rsid w:val="00622449"/>
    <w:rsid w:val="00623232"/>
    <w:rsid w:val="00623305"/>
    <w:rsid w:val="00623D04"/>
    <w:rsid w:val="00624BFA"/>
    <w:rsid w:val="0062600B"/>
    <w:rsid w:val="00626731"/>
    <w:rsid w:val="006267A8"/>
    <w:rsid w:val="00627024"/>
    <w:rsid w:val="0062744D"/>
    <w:rsid w:val="00630BE9"/>
    <w:rsid w:val="006319A9"/>
    <w:rsid w:val="00632165"/>
    <w:rsid w:val="006321C9"/>
    <w:rsid w:val="00633012"/>
    <w:rsid w:val="00636269"/>
    <w:rsid w:val="00636AE5"/>
    <w:rsid w:val="00636D18"/>
    <w:rsid w:val="00640240"/>
    <w:rsid w:val="00640843"/>
    <w:rsid w:val="00641594"/>
    <w:rsid w:val="006416A7"/>
    <w:rsid w:val="00642022"/>
    <w:rsid w:val="006423B4"/>
    <w:rsid w:val="0064289A"/>
    <w:rsid w:val="00642B45"/>
    <w:rsid w:val="00642B85"/>
    <w:rsid w:val="00642DE6"/>
    <w:rsid w:val="006450CD"/>
    <w:rsid w:val="00645919"/>
    <w:rsid w:val="0064644A"/>
    <w:rsid w:val="00646763"/>
    <w:rsid w:val="00650711"/>
    <w:rsid w:val="0065083F"/>
    <w:rsid w:val="00650DE3"/>
    <w:rsid w:val="00652585"/>
    <w:rsid w:val="006525C4"/>
    <w:rsid w:val="00652A5F"/>
    <w:rsid w:val="00652BDA"/>
    <w:rsid w:val="00652D36"/>
    <w:rsid w:val="00653F0E"/>
    <w:rsid w:val="00654B4D"/>
    <w:rsid w:val="00654DEE"/>
    <w:rsid w:val="006555CE"/>
    <w:rsid w:val="0065681E"/>
    <w:rsid w:val="00656DA1"/>
    <w:rsid w:val="00657ED3"/>
    <w:rsid w:val="00660ACF"/>
    <w:rsid w:val="00660B53"/>
    <w:rsid w:val="00661C40"/>
    <w:rsid w:val="00661D06"/>
    <w:rsid w:val="00661FA8"/>
    <w:rsid w:val="00662125"/>
    <w:rsid w:val="0066392E"/>
    <w:rsid w:val="00663FB8"/>
    <w:rsid w:val="00666772"/>
    <w:rsid w:val="00667731"/>
    <w:rsid w:val="006700E4"/>
    <w:rsid w:val="006705B3"/>
    <w:rsid w:val="00672F8C"/>
    <w:rsid w:val="0067310D"/>
    <w:rsid w:val="0067362D"/>
    <w:rsid w:val="006739DA"/>
    <w:rsid w:val="00673A4D"/>
    <w:rsid w:val="00673F43"/>
    <w:rsid w:val="00675EBC"/>
    <w:rsid w:val="00675F77"/>
    <w:rsid w:val="00676827"/>
    <w:rsid w:val="00676901"/>
    <w:rsid w:val="006801BE"/>
    <w:rsid w:val="006806D5"/>
    <w:rsid w:val="00682620"/>
    <w:rsid w:val="00682861"/>
    <w:rsid w:val="00682B25"/>
    <w:rsid w:val="00684E04"/>
    <w:rsid w:val="00685362"/>
    <w:rsid w:val="006854A3"/>
    <w:rsid w:val="006877B1"/>
    <w:rsid w:val="00687800"/>
    <w:rsid w:val="0068787A"/>
    <w:rsid w:val="006900E3"/>
    <w:rsid w:val="00690766"/>
    <w:rsid w:val="00691CC6"/>
    <w:rsid w:val="00692808"/>
    <w:rsid w:val="0069309C"/>
    <w:rsid w:val="00693644"/>
    <w:rsid w:val="00694870"/>
    <w:rsid w:val="00695121"/>
    <w:rsid w:val="00695D87"/>
    <w:rsid w:val="0069619A"/>
    <w:rsid w:val="00697B4F"/>
    <w:rsid w:val="006A14DE"/>
    <w:rsid w:val="006A171D"/>
    <w:rsid w:val="006A2CB3"/>
    <w:rsid w:val="006A52C6"/>
    <w:rsid w:val="006A65D6"/>
    <w:rsid w:val="006A6627"/>
    <w:rsid w:val="006A6DD3"/>
    <w:rsid w:val="006B0899"/>
    <w:rsid w:val="006B2416"/>
    <w:rsid w:val="006B256A"/>
    <w:rsid w:val="006B2C6B"/>
    <w:rsid w:val="006B32D2"/>
    <w:rsid w:val="006B3670"/>
    <w:rsid w:val="006B3A56"/>
    <w:rsid w:val="006B3B77"/>
    <w:rsid w:val="006B3C0D"/>
    <w:rsid w:val="006B3E17"/>
    <w:rsid w:val="006B5791"/>
    <w:rsid w:val="006B71CC"/>
    <w:rsid w:val="006C06C1"/>
    <w:rsid w:val="006C23D1"/>
    <w:rsid w:val="006C2D1E"/>
    <w:rsid w:val="006C4345"/>
    <w:rsid w:val="006C453B"/>
    <w:rsid w:val="006C5744"/>
    <w:rsid w:val="006C5A14"/>
    <w:rsid w:val="006C5F4D"/>
    <w:rsid w:val="006C60D4"/>
    <w:rsid w:val="006C6E1B"/>
    <w:rsid w:val="006C73AD"/>
    <w:rsid w:val="006D076D"/>
    <w:rsid w:val="006D09B8"/>
    <w:rsid w:val="006D27B6"/>
    <w:rsid w:val="006D27E0"/>
    <w:rsid w:val="006D32B5"/>
    <w:rsid w:val="006D3A52"/>
    <w:rsid w:val="006D3AB1"/>
    <w:rsid w:val="006D3F9E"/>
    <w:rsid w:val="006D41C5"/>
    <w:rsid w:val="006D5C96"/>
    <w:rsid w:val="006D76CE"/>
    <w:rsid w:val="006D7F82"/>
    <w:rsid w:val="006E0197"/>
    <w:rsid w:val="006E06F5"/>
    <w:rsid w:val="006E190C"/>
    <w:rsid w:val="006E2DE4"/>
    <w:rsid w:val="006E306A"/>
    <w:rsid w:val="006E486F"/>
    <w:rsid w:val="006E527A"/>
    <w:rsid w:val="006E63AF"/>
    <w:rsid w:val="006E7510"/>
    <w:rsid w:val="006E7BFB"/>
    <w:rsid w:val="006E7D1B"/>
    <w:rsid w:val="006F02E0"/>
    <w:rsid w:val="006F0482"/>
    <w:rsid w:val="006F04EF"/>
    <w:rsid w:val="006F1091"/>
    <w:rsid w:val="006F1923"/>
    <w:rsid w:val="006F2708"/>
    <w:rsid w:val="006F3D63"/>
    <w:rsid w:val="006F3E3F"/>
    <w:rsid w:val="006F3F11"/>
    <w:rsid w:val="006F4080"/>
    <w:rsid w:val="006F52D1"/>
    <w:rsid w:val="006F77A5"/>
    <w:rsid w:val="00701889"/>
    <w:rsid w:val="00702140"/>
    <w:rsid w:val="00703DC4"/>
    <w:rsid w:val="00704BA9"/>
    <w:rsid w:val="00705A87"/>
    <w:rsid w:val="007062C7"/>
    <w:rsid w:val="0070719B"/>
    <w:rsid w:val="00707322"/>
    <w:rsid w:val="00710810"/>
    <w:rsid w:val="00710850"/>
    <w:rsid w:val="007114C8"/>
    <w:rsid w:val="00711623"/>
    <w:rsid w:val="00711E90"/>
    <w:rsid w:val="00713666"/>
    <w:rsid w:val="00713AE6"/>
    <w:rsid w:val="00714BBA"/>
    <w:rsid w:val="00714D4A"/>
    <w:rsid w:val="00714F52"/>
    <w:rsid w:val="007156B5"/>
    <w:rsid w:val="00717C52"/>
    <w:rsid w:val="00720B00"/>
    <w:rsid w:val="00721FB1"/>
    <w:rsid w:val="00722505"/>
    <w:rsid w:val="0072440E"/>
    <w:rsid w:val="0072483D"/>
    <w:rsid w:val="007250F8"/>
    <w:rsid w:val="007251F2"/>
    <w:rsid w:val="0072572D"/>
    <w:rsid w:val="00726092"/>
    <w:rsid w:val="0072643A"/>
    <w:rsid w:val="00726CB3"/>
    <w:rsid w:val="00730DED"/>
    <w:rsid w:val="00731D5D"/>
    <w:rsid w:val="007331D3"/>
    <w:rsid w:val="0073456A"/>
    <w:rsid w:val="00734BF4"/>
    <w:rsid w:val="007366EF"/>
    <w:rsid w:val="00740DDF"/>
    <w:rsid w:val="00741558"/>
    <w:rsid w:val="00741C91"/>
    <w:rsid w:val="00741D1F"/>
    <w:rsid w:val="00742FF3"/>
    <w:rsid w:val="007437CE"/>
    <w:rsid w:val="007438EF"/>
    <w:rsid w:val="0074466C"/>
    <w:rsid w:val="007447B7"/>
    <w:rsid w:val="0074493A"/>
    <w:rsid w:val="00744B37"/>
    <w:rsid w:val="00746A1E"/>
    <w:rsid w:val="00746AA1"/>
    <w:rsid w:val="007472C1"/>
    <w:rsid w:val="00747A6B"/>
    <w:rsid w:val="00750AB0"/>
    <w:rsid w:val="00751A5C"/>
    <w:rsid w:val="00752B39"/>
    <w:rsid w:val="00752DD9"/>
    <w:rsid w:val="00753D2A"/>
    <w:rsid w:val="00754140"/>
    <w:rsid w:val="00755C2F"/>
    <w:rsid w:val="00755F64"/>
    <w:rsid w:val="0076172F"/>
    <w:rsid w:val="00761D2A"/>
    <w:rsid w:val="00763212"/>
    <w:rsid w:val="0076403E"/>
    <w:rsid w:val="00764EC5"/>
    <w:rsid w:val="00765F77"/>
    <w:rsid w:val="00770EF3"/>
    <w:rsid w:val="0077198D"/>
    <w:rsid w:val="007733D8"/>
    <w:rsid w:val="00775042"/>
    <w:rsid w:val="00775256"/>
    <w:rsid w:val="0078257B"/>
    <w:rsid w:val="00782FAD"/>
    <w:rsid w:val="007836E5"/>
    <w:rsid w:val="007855B8"/>
    <w:rsid w:val="00785D50"/>
    <w:rsid w:val="0078666C"/>
    <w:rsid w:val="00786A54"/>
    <w:rsid w:val="007921C2"/>
    <w:rsid w:val="007928BF"/>
    <w:rsid w:val="00793919"/>
    <w:rsid w:val="007944CC"/>
    <w:rsid w:val="00795529"/>
    <w:rsid w:val="00795D7C"/>
    <w:rsid w:val="00796DC9"/>
    <w:rsid w:val="007A28B8"/>
    <w:rsid w:val="007A43E2"/>
    <w:rsid w:val="007A4C5B"/>
    <w:rsid w:val="007A548E"/>
    <w:rsid w:val="007A59D1"/>
    <w:rsid w:val="007A62EF"/>
    <w:rsid w:val="007A6302"/>
    <w:rsid w:val="007A6F61"/>
    <w:rsid w:val="007A76C9"/>
    <w:rsid w:val="007A7B66"/>
    <w:rsid w:val="007B2715"/>
    <w:rsid w:val="007B3A8C"/>
    <w:rsid w:val="007B3BAB"/>
    <w:rsid w:val="007B3CC8"/>
    <w:rsid w:val="007B4130"/>
    <w:rsid w:val="007B4500"/>
    <w:rsid w:val="007B55F1"/>
    <w:rsid w:val="007B5853"/>
    <w:rsid w:val="007B5C6E"/>
    <w:rsid w:val="007B5EB7"/>
    <w:rsid w:val="007B6AD1"/>
    <w:rsid w:val="007C189E"/>
    <w:rsid w:val="007C1BA4"/>
    <w:rsid w:val="007C2657"/>
    <w:rsid w:val="007C28F1"/>
    <w:rsid w:val="007C29B7"/>
    <w:rsid w:val="007C3599"/>
    <w:rsid w:val="007C3CEB"/>
    <w:rsid w:val="007C45E8"/>
    <w:rsid w:val="007C49F4"/>
    <w:rsid w:val="007C5323"/>
    <w:rsid w:val="007C5582"/>
    <w:rsid w:val="007C5912"/>
    <w:rsid w:val="007C5FE1"/>
    <w:rsid w:val="007C64CC"/>
    <w:rsid w:val="007D2C0B"/>
    <w:rsid w:val="007D32AF"/>
    <w:rsid w:val="007D3512"/>
    <w:rsid w:val="007D388F"/>
    <w:rsid w:val="007D48D4"/>
    <w:rsid w:val="007D71CF"/>
    <w:rsid w:val="007E098B"/>
    <w:rsid w:val="007E1279"/>
    <w:rsid w:val="007E14E7"/>
    <w:rsid w:val="007E2368"/>
    <w:rsid w:val="007E25E6"/>
    <w:rsid w:val="007E3E06"/>
    <w:rsid w:val="007E4706"/>
    <w:rsid w:val="007E54B2"/>
    <w:rsid w:val="007E6537"/>
    <w:rsid w:val="007E6836"/>
    <w:rsid w:val="007E71EA"/>
    <w:rsid w:val="007E7241"/>
    <w:rsid w:val="007E75F5"/>
    <w:rsid w:val="007E7B66"/>
    <w:rsid w:val="007F0111"/>
    <w:rsid w:val="007F2953"/>
    <w:rsid w:val="007F3657"/>
    <w:rsid w:val="007F382B"/>
    <w:rsid w:val="007F49F3"/>
    <w:rsid w:val="007F5464"/>
    <w:rsid w:val="007F646C"/>
    <w:rsid w:val="007F6E68"/>
    <w:rsid w:val="007F7A54"/>
    <w:rsid w:val="007F7F82"/>
    <w:rsid w:val="00802B2B"/>
    <w:rsid w:val="00803582"/>
    <w:rsid w:val="0080378A"/>
    <w:rsid w:val="00804029"/>
    <w:rsid w:val="0080488A"/>
    <w:rsid w:val="00805513"/>
    <w:rsid w:val="00805F5A"/>
    <w:rsid w:val="00806732"/>
    <w:rsid w:val="00807C92"/>
    <w:rsid w:val="00807D60"/>
    <w:rsid w:val="008106ED"/>
    <w:rsid w:val="00811CEE"/>
    <w:rsid w:val="0081263E"/>
    <w:rsid w:val="008132D0"/>
    <w:rsid w:val="00813B95"/>
    <w:rsid w:val="00814403"/>
    <w:rsid w:val="00814CE7"/>
    <w:rsid w:val="00814DB0"/>
    <w:rsid w:val="00816391"/>
    <w:rsid w:val="0082049E"/>
    <w:rsid w:val="00820E3C"/>
    <w:rsid w:val="00822149"/>
    <w:rsid w:val="008222F5"/>
    <w:rsid w:val="00822A67"/>
    <w:rsid w:val="00822E2D"/>
    <w:rsid w:val="0082363B"/>
    <w:rsid w:val="00823656"/>
    <w:rsid w:val="00823DE9"/>
    <w:rsid w:val="00824E51"/>
    <w:rsid w:val="00825296"/>
    <w:rsid w:val="00826929"/>
    <w:rsid w:val="00826E63"/>
    <w:rsid w:val="0082709D"/>
    <w:rsid w:val="0083078C"/>
    <w:rsid w:val="00833185"/>
    <w:rsid w:val="0083349A"/>
    <w:rsid w:val="00833ADC"/>
    <w:rsid w:val="0083471F"/>
    <w:rsid w:val="00835A69"/>
    <w:rsid w:val="008360F5"/>
    <w:rsid w:val="00836C9C"/>
    <w:rsid w:val="00836F82"/>
    <w:rsid w:val="00837F31"/>
    <w:rsid w:val="008407E7"/>
    <w:rsid w:val="00841A07"/>
    <w:rsid w:val="00841D9D"/>
    <w:rsid w:val="00842A01"/>
    <w:rsid w:val="00844557"/>
    <w:rsid w:val="0084483F"/>
    <w:rsid w:val="008471F8"/>
    <w:rsid w:val="00847A7D"/>
    <w:rsid w:val="00850AF7"/>
    <w:rsid w:val="00850CE2"/>
    <w:rsid w:val="00851686"/>
    <w:rsid w:val="0085257B"/>
    <w:rsid w:val="00852BDF"/>
    <w:rsid w:val="00854F2E"/>
    <w:rsid w:val="00855619"/>
    <w:rsid w:val="00855CB7"/>
    <w:rsid w:val="00857B79"/>
    <w:rsid w:val="008603E6"/>
    <w:rsid w:val="0086197D"/>
    <w:rsid w:val="00861A1E"/>
    <w:rsid w:val="00863055"/>
    <w:rsid w:val="008659A1"/>
    <w:rsid w:val="00865E58"/>
    <w:rsid w:val="008679E4"/>
    <w:rsid w:val="00872FB3"/>
    <w:rsid w:val="00873E31"/>
    <w:rsid w:val="0087408E"/>
    <w:rsid w:val="00874351"/>
    <w:rsid w:val="0087630C"/>
    <w:rsid w:val="0087681D"/>
    <w:rsid w:val="00876C5A"/>
    <w:rsid w:val="008810AE"/>
    <w:rsid w:val="008830F2"/>
    <w:rsid w:val="00883101"/>
    <w:rsid w:val="00884691"/>
    <w:rsid w:val="008852FF"/>
    <w:rsid w:val="008853B6"/>
    <w:rsid w:val="0088696E"/>
    <w:rsid w:val="00887C4B"/>
    <w:rsid w:val="00890054"/>
    <w:rsid w:val="00893188"/>
    <w:rsid w:val="00893DA0"/>
    <w:rsid w:val="0089414C"/>
    <w:rsid w:val="008959F2"/>
    <w:rsid w:val="008966C7"/>
    <w:rsid w:val="00896E1A"/>
    <w:rsid w:val="00897251"/>
    <w:rsid w:val="00897570"/>
    <w:rsid w:val="008A0020"/>
    <w:rsid w:val="008A00A4"/>
    <w:rsid w:val="008A04A4"/>
    <w:rsid w:val="008A10BD"/>
    <w:rsid w:val="008A1CD5"/>
    <w:rsid w:val="008A2959"/>
    <w:rsid w:val="008A2EAA"/>
    <w:rsid w:val="008A2FB8"/>
    <w:rsid w:val="008A599A"/>
    <w:rsid w:val="008A6B36"/>
    <w:rsid w:val="008A6B8A"/>
    <w:rsid w:val="008A7250"/>
    <w:rsid w:val="008A75AB"/>
    <w:rsid w:val="008A76A0"/>
    <w:rsid w:val="008A76BD"/>
    <w:rsid w:val="008A7EED"/>
    <w:rsid w:val="008B1C23"/>
    <w:rsid w:val="008B3159"/>
    <w:rsid w:val="008B4CB3"/>
    <w:rsid w:val="008B5682"/>
    <w:rsid w:val="008B6926"/>
    <w:rsid w:val="008C139E"/>
    <w:rsid w:val="008C1655"/>
    <w:rsid w:val="008C1C53"/>
    <w:rsid w:val="008C2621"/>
    <w:rsid w:val="008C29CF"/>
    <w:rsid w:val="008C2AF3"/>
    <w:rsid w:val="008C2CA6"/>
    <w:rsid w:val="008C39B7"/>
    <w:rsid w:val="008C5659"/>
    <w:rsid w:val="008C640C"/>
    <w:rsid w:val="008D0877"/>
    <w:rsid w:val="008D09D6"/>
    <w:rsid w:val="008D0E4A"/>
    <w:rsid w:val="008D1A3A"/>
    <w:rsid w:val="008D1EA1"/>
    <w:rsid w:val="008D20BB"/>
    <w:rsid w:val="008D2622"/>
    <w:rsid w:val="008D3960"/>
    <w:rsid w:val="008D44BA"/>
    <w:rsid w:val="008D4968"/>
    <w:rsid w:val="008D4D0F"/>
    <w:rsid w:val="008D4F26"/>
    <w:rsid w:val="008D4F53"/>
    <w:rsid w:val="008D5EFF"/>
    <w:rsid w:val="008D77B5"/>
    <w:rsid w:val="008E04CC"/>
    <w:rsid w:val="008E0F45"/>
    <w:rsid w:val="008E158E"/>
    <w:rsid w:val="008E1744"/>
    <w:rsid w:val="008E311D"/>
    <w:rsid w:val="008E5AD3"/>
    <w:rsid w:val="008E64D6"/>
    <w:rsid w:val="008E6530"/>
    <w:rsid w:val="008E6F19"/>
    <w:rsid w:val="008F0074"/>
    <w:rsid w:val="008F02A2"/>
    <w:rsid w:val="008F060E"/>
    <w:rsid w:val="008F0B8C"/>
    <w:rsid w:val="008F15D3"/>
    <w:rsid w:val="008F309A"/>
    <w:rsid w:val="008F35B7"/>
    <w:rsid w:val="008F5289"/>
    <w:rsid w:val="008F659E"/>
    <w:rsid w:val="008F7298"/>
    <w:rsid w:val="008F7A8F"/>
    <w:rsid w:val="009026E8"/>
    <w:rsid w:val="00903FF4"/>
    <w:rsid w:val="0090442E"/>
    <w:rsid w:val="009070F8"/>
    <w:rsid w:val="009073EA"/>
    <w:rsid w:val="009106B9"/>
    <w:rsid w:val="009112A7"/>
    <w:rsid w:val="0091233B"/>
    <w:rsid w:val="00912A98"/>
    <w:rsid w:val="00912ECA"/>
    <w:rsid w:val="009130B0"/>
    <w:rsid w:val="009145F6"/>
    <w:rsid w:val="009151B6"/>
    <w:rsid w:val="00915C46"/>
    <w:rsid w:val="00916507"/>
    <w:rsid w:val="0091651D"/>
    <w:rsid w:val="009179A1"/>
    <w:rsid w:val="00917CC9"/>
    <w:rsid w:val="00917CDA"/>
    <w:rsid w:val="00921A13"/>
    <w:rsid w:val="009228EE"/>
    <w:rsid w:val="0092371F"/>
    <w:rsid w:val="00924116"/>
    <w:rsid w:val="0092560B"/>
    <w:rsid w:val="00925A21"/>
    <w:rsid w:val="00925BD9"/>
    <w:rsid w:val="0092602C"/>
    <w:rsid w:val="009267CD"/>
    <w:rsid w:val="0092705E"/>
    <w:rsid w:val="00927669"/>
    <w:rsid w:val="00931A45"/>
    <w:rsid w:val="00933E54"/>
    <w:rsid w:val="009359A1"/>
    <w:rsid w:val="00935EAD"/>
    <w:rsid w:val="009366E7"/>
    <w:rsid w:val="00936B13"/>
    <w:rsid w:val="009376EC"/>
    <w:rsid w:val="00940575"/>
    <w:rsid w:val="0094233B"/>
    <w:rsid w:val="0094391E"/>
    <w:rsid w:val="00945286"/>
    <w:rsid w:val="00945548"/>
    <w:rsid w:val="00947673"/>
    <w:rsid w:val="009479A6"/>
    <w:rsid w:val="00950816"/>
    <w:rsid w:val="00950BF1"/>
    <w:rsid w:val="0095144C"/>
    <w:rsid w:val="009516D6"/>
    <w:rsid w:val="00952BAE"/>
    <w:rsid w:val="00952C4B"/>
    <w:rsid w:val="009551B6"/>
    <w:rsid w:val="00955E60"/>
    <w:rsid w:val="00955E75"/>
    <w:rsid w:val="009564B0"/>
    <w:rsid w:val="009567F7"/>
    <w:rsid w:val="00957AA9"/>
    <w:rsid w:val="0096154C"/>
    <w:rsid w:val="009628BB"/>
    <w:rsid w:val="00963417"/>
    <w:rsid w:val="009642BE"/>
    <w:rsid w:val="0096665C"/>
    <w:rsid w:val="00966BAC"/>
    <w:rsid w:val="00966DE5"/>
    <w:rsid w:val="009714CA"/>
    <w:rsid w:val="00972C58"/>
    <w:rsid w:val="00973F89"/>
    <w:rsid w:val="00975012"/>
    <w:rsid w:val="00976055"/>
    <w:rsid w:val="00976211"/>
    <w:rsid w:val="009762A4"/>
    <w:rsid w:val="00977D1C"/>
    <w:rsid w:val="0098058A"/>
    <w:rsid w:val="00980B51"/>
    <w:rsid w:val="00981AB3"/>
    <w:rsid w:val="00981D57"/>
    <w:rsid w:val="00983204"/>
    <w:rsid w:val="009832B9"/>
    <w:rsid w:val="00983A40"/>
    <w:rsid w:val="00985072"/>
    <w:rsid w:val="00985319"/>
    <w:rsid w:val="00985660"/>
    <w:rsid w:val="0098605A"/>
    <w:rsid w:val="00986448"/>
    <w:rsid w:val="00986E2F"/>
    <w:rsid w:val="00987756"/>
    <w:rsid w:val="009877D7"/>
    <w:rsid w:val="00987AAB"/>
    <w:rsid w:val="00991CF5"/>
    <w:rsid w:val="00991EFB"/>
    <w:rsid w:val="00991F62"/>
    <w:rsid w:val="0099200F"/>
    <w:rsid w:val="0099250B"/>
    <w:rsid w:val="009935D9"/>
    <w:rsid w:val="00993782"/>
    <w:rsid w:val="0099446A"/>
    <w:rsid w:val="009944BC"/>
    <w:rsid w:val="0099463F"/>
    <w:rsid w:val="009947AD"/>
    <w:rsid w:val="00995309"/>
    <w:rsid w:val="009954E3"/>
    <w:rsid w:val="0099573F"/>
    <w:rsid w:val="00996691"/>
    <w:rsid w:val="009A22EC"/>
    <w:rsid w:val="009A4DBB"/>
    <w:rsid w:val="009A60D2"/>
    <w:rsid w:val="009A7373"/>
    <w:rsid w:val="009A7474"/>
    <w:rsid w:val="009B0076"/>
    <w:rsid w:val="009B054E"/>
    <w:rsid w:val="009B1E9F"/>
    <w:rsid w:val="009B2697"/>
    <w:rsid w:val="009B2EF0"/>
    <w:rsid w:val="009B56D1"/>
    <w:rsid w:val="009B68A9"/>
    <w:rsid w:val="009B7459"/>
    <w:rsid w:val="009B74FB"/>
    <w:rsid w:val="009B7FA3"/>
    <w:rsid w:val="009C1306"/>
    <w:rsid w:val="009C3476"/>
    <w:rsid w:val="009C3909"/>
    <w:rsid w:val="009C3D9E"/>
    <w:rsid w:val="009C494A"/>
    <w:rsid w:val="009C57CA"/>
    <w:rsid w:val="009D0060"/>
    <w:rsid w:val="009D0523"/>
    <w:rsid w:val="009D1CBE"/>
    <w:rsid w:val="009D2113"/>
    <w:rsid w:val="009D333F"/>
    <w:rsid w:val="009D34FB"/>
    <w:rsid w:val="009D6106"/>
    <w:rsid w:val="009D6D34"/>
    <w:rsid w:val="009D7ADD"/>
    <w:rsid w:val="009E1BA0"/>
    <w:rsid w:val="009E216B"/>
    <w:rsid w:val="009E2904"/>
    <w:rsid w:val="009E36FE"/>
    <w:rsid w:val="009E69D0"/>
    <w:rsid w:val="009E6DEC"/>
    <w:rsid w:val="009E7C77"/>
    <w:rsid w:val="009F0271"/>
    <w:rsid w:val="009F111C"/>
    <w:rsid w:val="009F19E8"/>
    <w:rsid w:val="009F2A49"/>
    <w:rsid w:val="009F2B9B"/>
    <w:rsid w:val="009F3611"/>
    <w:rsid w:val="009F4452"/>
    <w:rsid w:val="009F6812"/>
    <w:rsid w:val="00A001BE"/>
    <w:rsid w:val="00A00310"/>
    <w:rsid w:val="00A018A7"/>
    <w:rsid w:val="00A022B4"/>
    <w:rsid w:val="00A02E7D"/>
    <w:rsid w:val="00A02EFB"/>
    <w:rsid w:val="00A02F37"/>
    <w:rsid w:val="00A031E8"/>
    <w:rsid w:val="00A034A8"/>
    <w:rsid w:val="00A038CC"/>
    <w:rsid w:val="00A03BEA"/>
    <w:rsid w:val="00A03CA6"/>
    <w:rsid w:val="00A05B1A"/>
    <w:rsid w:val="00A06205"/>
    <w:rsid w:val="00A06946"/>
    <w:rsid w:val="00A06DB8"/>
    <w:rsid w:val="00A079EF"/>
    <w:rsid w:val="00A07DCC"/>
    <w:rsid w:val="00A11190"/>
    <w:rsid w:val="00A11735"/>
    <w:rsid w:val="00A1212F"/>
    <w:rsid w:val="00A12ABC"/>
    <w:rsid w:val="00A130CC"/>
    <w:rsid w:val="00A14849"/>
    <w:rsid w:val="00A14BE5"/>
    <w:rsid w:val="00A15C93"/>
    <w:rsid w:val="00A175F6"/>
    <w:rsid w:val="00A17B84"/>
    <w:rsid w:val="00A22022"/>
    <w:rsid w:val="00A22AB1"/>
    <w:rsid w:val="00A22AFA"/>
    <w:rsid w:val="00A2385A"/>
    <w:rsid w:val="00A23C50"/>
    <w:rsid w:val="00A2417B"/>
    <w:rsid w:val="00A2424B"/>
    <w:rsid w:val="00A24C9E"/>
    <w:rsid w:val="00A25AB9"/>
    <w:rsid w:val="00A27E9E"/>
    <w:rsid w:val="00A30942"/>
    <w:rsid w:val="00A30A4B"/>
    <w:rsid w:val="00A32695"/>
    <w:rsid w:val="00A32C65"/>
    <w:rsid w:val="00A331B1"/>
    <w:rsid w:val="00A344A9"/>
    <w:rsid w:val="00A35B2E"/>
    <w:rsid w:val="00A36506"/>
    <w:rsid w:val="00A37B06"/>
    <w:rsid w:val="00A37E3A"/>
    <w:rsid w:val="00A400DB"/>
    <w:rsid w:val="00A40CED"/>
    <w:rsid w:val="00A42586"/>
    <w:rsid w:val="00A43142"/>
    <w:rsid w:val="00A4362B"/>
    <w:rsid w:val="00A44582"/>
    <w:rsid w:val="00A462E7"/>
    <w:rsid w:val="00A47B6C"/>
    <w:rsid w:val="00A47B81"/>
    <w:rsid w:val="00A50447"/>
    <w:rsid w:val="00A509F3"/>
    <w:rsid w:val="00A51149"/>
    <w:rsid w:val="00A51ED2"/>
    <w:rsid w:val="00A52035"/>
    <w:rsid w:val="00A5309F"/>
    <w:rsid w:val="00A5380A"/>
    <w:rsid w:val="00A53CAB"/>
    <w:rsid w:val="00A55707"/>
    <w:rsid w:val="00A5587D"/>
    <w:rsid w:val="00A558FC"/>
    <w:rsid w:val="00A55B5D"/>
    <w:rsid w:val="00A55C03"/>
    <w:rsid w:val="00A56F2C"/>
    <w:rsid w:val="00A5719F"/>
    <w:rsid w:val="00A57CB1"/>
    <w:rsid w:val="00A6133F"/>
    <w:rsid w:val="00A62B13"/>
    <w:rsid w:val="00A639A4"/>
    <w:rsid w:val="00A64168"/>
    <w:rsid w:val="00A64403"/>
    <w:rsid w:val="00A644BF"/>
    <w:rsid w:val="00A6489B"/>
    <w:rsid w:val="00A66D7A"/>
    <w:rsid w:val="00A67389"/>
    <w:rsid w:val="00A67AC4"/>
    <w:rsid w:val="00A67B3C"/>
    <w:rsid w:val="00A70430"/>
    <w:rsid w:val="00A70479"/>
    <w:rsid w:val="00A704CA"/>
    <w:rsid w:val="00A71871"/>
    <w:rsid w:val="00A7292A"/>
    <w:rsid w:val="00A7301F"/>
    <w:rsid w:val="00A7319C"/>
    <w:rsid w:val="00A73791"/>
    <w:rsid w:val="00A7579B"/>
    <w:rsid w:val="00A76343"/>
    <w:rsid w:val="00A76614"/>
    <w:rsid w:val="00A76C48"/>
    <w:rsid w:val="00A77866"/>
    <w:rsid w:val="00A800DD"/>
    <w:rsid w:val="00A810D8"/>
    <w:rsid w:val="00A814C0"/>
    <w:rsid w:val="00A815DC"/>
    <w:rsid w:val="00A81D80"/>
    <w:rsid w:val="00A81DC3"/>
    <w:rsid w:val="00A81F81"/>
    <w:rsid w:val="00A82810"/>
    <w:rsid w:val="00A86DF5"/>
    <w:rsid w:val="00A86F40"/>
    <w:rsid w:val="00A9039E"/>
    <w:rsid w:val="00A904BE"/>
    <w:rsid w:val="00A905AB"/>
    <w:rsid w:val="00A90769"/>
    <w:rsid w:val="00A921C5"/>
    <w:rsid w:val="00A92328"/>
    <w:rsid w:val="00A93B62"/>
    <w:rsid w:val="00A93CA5"/>
    <w:rsid w:val="00A945A1"/>
    <w:rsid w:val="00A95214"/>
    <w:rsid w:val="00A95B57"/>
    <w:rsid w:val="00A95BCD"/>
    <w:rsid w:val="00A96727"/>
    <w:rsid w:val="00A96AEB"/>
    <w:rsid w:val="00A97299"/>
    <w:rsid w:val="00A97ACB"/>
    <w:rsid w:val="00A97CBB"/>
    <w:rsid w:val="00AA2963"/>
    <w:rsid w:val="00AA2DAB"/>
    <w:rsid w:val="00AA3510"/>
    <w:rsid w:val="00AA3A69"/>
    <w:rsid w:val="00AA6024"/>
    <w:rsid w:val="00AA6854"/>
    <w:rsid w:val="00AA73CB"/>
    <w:rsid w:val="00AA7D83"/>
    <w:rsid w:val="00AB084B"/>
    <w:rsid w:val="00AB0D28"/>
    <w:rsid w:val="00AB1380"/>
    <w:rsid w:val="00AB13CA"/>
    <w:rsid w:val="00AB1AF6"/>
    <w:rsid w:val="00AB212A"/>
    <w:rsid w:val="00AB23A4"/>
    <w:rsid w:val="00AB3051"/>
    <w:rsid w:val="00AB5B2C"/>
    <w:rsid w:val="00AB62CD"/>
    <w:rsid w:val="00AB7575"/>
    <w:rsid w:val="00AC02ED"/>
    <w:rsid w:val="00AC4429"/>
    <w:rsid w:val="00AC4604"/>
    <w:rsid w:val="00AC4A06"/>
    <w:rsid w:val="00AC4FA3"/>
    <w:rsid w:val="00AC6AA9"/>
    <w:rsid w:val="00AC6BD7"/>
    <w:rsid w:val="00AD1A53"/>
    <w:rsid w:val="00AD1D3D"/>
    <w:rsid w:val="00AD28CF"/>
    <w:rsid w:val="00AD2A78"/>
    <w:rsid w:val="00AD559E"/>
    <w:rsid w:val="00AD5CFF"/>
    <w:rsid w:val="00AD7D32"/>
    <w:rsid w:val="00AE007A"/>
    <w:rsid w:val="00AE0F55"/>
    <w:rsid w:val="00AE1EF1"/>
    <w:rsid w:val="00AE1F56"/>
    <w:rsid w:val="00AE4097"/>
    <w:rsid w:val="00AE4287"/>
    <w:rsid w:val="00AE6313"/>
    <w:rsid w:val="00AE684F"/>
    <w:rsid w:val="00AE6F9F"/>
    <w:rsid w:val="00AE702C"/>
    <w:rsid w:val="00AE7DC6"/>
    <w:rsid w:val="00AF05AF"/>
    <w:rsid w:val="00AF1301"/>
    <w:rsid w:val="00AF4DC1"/>
    <w:rsid w:val="00AF6DD5"/>
    <w:rsid w:val="00AF77BD"/>
    <w:rsid w:val="00B035AB"/>
    <w:rsid w:val="00B03E30"/>
    <w:rsid w:val="00B05B84"/>
    <w:rsid w:val="00B06B9D"/>
    <w:rsid w:val="00B11E16"/>
    <w:rsid w:val="00B141B4"/>
    <w:rsid w:val="00B142C6"/>
    <w:rsid w:val="00B1498A"/>
    <w:rsid w:val="00B14FDE"/>
    <w:rsid w:val="00B15CEB"/>
    <w:rsid w:val="00B170AD"/>
    <w:rsid w:val="00B17DD0"/>
    <w:rsid w:val="00B22047"/>
    <w:rsid w:val="00B23178"/>
    <w:rsid w:val="00B23CEC"/>
    <w:rsid w:val="00B23D44"/>
    <w:rsid w:val="00B24A3D"/>
    <w:rsid w:val="00B25477"/>
    <w:rsid w:val="00B2550B"/>
    <w:rsid w:val="00B25A4C"/>
    <w:rsid w:val="00B26FAD"/>
    <w:rsid w:val="00B2726C"/>
    <w:rsid w:val="00B27389"/>
    <w:rsid w:val="00B27A8D"/>
    <w:rsid w:val="00B30AB7"/>
    <w:rsid w:val="00B30E34"/>
    <w:rsid w:val="00B32270"/>
    <w:rsid w:val="00B332D2"/>
    <w:rsid w:val="00B33828"/>
    <w:rsid w:val="00B33D51"/>
    <w:rsid w:val="00B3400B"/>
    <w:rsid w:val="00B35109"/>
    <w:rsid w:val="00B3525A"/>
    <w:rsid w:val="00B361ED"/>
    <w:rsid w:val="00B37B80"/>
    <w:rsid w:val="00B37BEA"/>
    <w:rsid w:val="00B37D1F"/>
    <w:rsid w:val="00B400AA"/>
    <w:rsid w:val="00B41B68"/>
    <w:rsid w:val="00B423B1"/>
    <w:rsid w:val="00B42770"/>
    <w:rsid w:val="00B43B91"/>
    <w:rsid w:val="00B50C94"/>
    <w:rsid w:val="00B513B8"/>
    <w:rsid w:val="00B51578"/>
    <w:rsid w:val="00B51CD8"/>
    <w:rsid w:val="00B51F97"/>
    <w:rsid w:val="00B53717"/>
    <w:rsid w:val="00B53EE4"/>
    <w:rsid w:val="00B54421"/>
    <w:rsid w:val="00B5478D"/>
    <w:rsid w:val="00B55893"/>
    <w:rsid w:val="00B56B6D"/>
    <w:rsid w:val="00B56CE2"/>
    <w:rsid w:val="00B56D09"/>
    <w:rsid w:val="00B5739B"/>
    <w:rsid w:val="00B574F1"/>
    <w:rsid w:val="00B600A1"/>
    <w:rsid w:val="00B61917"/>
    <w:rsid w:val="00B62DBC"/>
    <w:rsid w:val="00B637B6"/>
    <w:rsid w:val="00B6544F"/>
    <w:rsid w:val="00B6554A"/>
    <w:rsid w:val="00B6668D"/>
    <w:rsid w:val="00B66FF3"/>
    <w:rsid w:val="00B6703D"/>
    <w:rsid w:val="00B67E9D"/>
    <w:rsid w:val="00B701F0"/>
    <w:rsid w:val="00B71200"/>
    <w:rsid w:val="00B71485"/>
    <w:rsid w:val="00B71B66"/>
    <w:rsid w:val="00B71D47"/>
    <w:rsid w:val="00B72048"/>
    <w:rsid w:val="00B72EA4"/>
    <w:rsid w:val="00B73E87"/>
    <w:rsid w:val="00B7459C"/>
    <w:rsid w:val="00B76022"/>
    <w:rsid w:val="00B762DD"/>
    <w:rsid w:val="00B76604"/>
    <w:rsid w:val="00B80FBB"/>
    <w:rsid w:val="00B812D8"/>
    <w:rsid w:val="00B81625"/>
    <w:rsid w:val="00B81892"/>
    <w:rsid w:val="00B81D0D"/>
    <w:rsid w:val="00B82841"/>
    <w:rsid w:val="00B83CA7"/>
    <w:rsid w:val="00B842DB"/>
    <w:rsid w:val="00B863B8"/>
    <w:rsid w:val="00B8749E"/>
    <w:rsid w:val="00B876C1"/>
    <w:rsid w:val="00B87BF9"/>
    <w:rsid w:val="00B902C6"/>
    <w:rsid w:val="00B90C49"/>
    <w:rsid w:val="00B91CE1"/>
    <w:rsid w:val="00B929F9"/>
    <w:rsid w:val="00B92D70"/>
    <w:rsid w:val="00B935B8"/>
    <w:rsid w:val="00B93E86"/>
    <w:rsid w:val="00B93F18"/>
    <w:rsid w:val="00B94555"/>
    <w:rsid w:val="00B94E40"/>
    <w:rsid w:val="00B955B2"/>
    <w:rsid w:val="00B96306"/>
    <w:rsid w:val="00B975E2"/>
    <w:rsid w:val="00BA318E"/>
    <w:rsid w:val="00BA3304"/>
    <w:rsid w:val="00BA39AB"/>
    <w:rsid w:val="00BA51B7"/>
    <w:rsid w:val="00BA6B9A"/>
    <w:rsid w:val="00BB0CE8"/>
    <w:rsid w:val="00BB14F3"/>
    <w:rsid w:val="00BB251E"/>
    <w:rsid w:val="00BB25AE"/>
    <w:rsid w:val="00BB320C"/>
    <w:rsid w:val="00BB36C8"/>
    <w:rsid w:val="00BB4D27"/>
    <w:rsid w:val="00BB4FFB"/>
    <w:rsid w:val="00BB51D4"/>
    <w:rsid w:val="00BB7036"/>
    <w:rsid w:val="00BC06EC"/>
    <w:rsid w:val="00BC0D8F"/>
    <w:rsid w:val="00BC0EF3"/>
    <w:rsid w:val="00BC0F59"/>
    <w:rsid w:val="00BC1FC2"/>
    <w:rsid w:val="00BC2073"/>
    <w:rsid w:val="00BD1005"/>
    <w:rsid w:val="00BD143D"/>
    <w:rsid w:val="00BD1EDD"/>
    <w:rsid w:val="00BD225C"/>
    <w:rsid w:val="00BD4F99"/>
    <w:rsid w:val="00BD557F"/>
    <w:rsid w:val="00BD5864"/>
    <w:rsid w:val="00BD5AD4"/>
    <w:rsid w:val="00BD6A78"/>
    <w:rsid w:val="00BD7867"/>
    <w:rsid w:val="00BE0599"/>
    <w:rsid w:val="00BE0CBE"/>
    <w:rsid w:val="00BE0D4E"/>
    <w:rsid w:val="00BE3488"/>
    <w:rsid w:val="00BE5A4C"/>
    <w:rsid w:val="00BE5F4D"/>
    <w:rsid w:val="00BE60F8"/>
    <w:rsid w:val="00BE66AE"/>
    <w:rsid w:val="00BE684D"/>
    <w:rsid w:val="00BE74F1"/>
    <w:rsid w:val="00BF001C"/>
    <w:rsid w:val="00BF00F8"/>
    <w:rsid w:val="00BF0E38"/>
    <w:rsid w:val="00BF13D3"/>
    <w:rsid w:val="00BF13FA"/>
    <w:rsid w:val="00BF2BA3"/>
    <w:rsid w:val="00BF2EFD"/>
    <w:rsid w:val="00BF43D6"/>
    <w:rsid w:val="00BF462E"/>
    <w:rsid w:val="00BF7128"/>
    <w:rsid w:val="00BF7C26"/>
    <w:rsid w:val="00C02B1A"/>
    <w:rsid w:val="00C02B70"/>
    <w:rsid w:val="00C03EB0"/>
    <w:rsid w:val="00C04002"/>
    <w:rsid w:val="00C05A6F"/>
    <w:rsid w:val="00C05F3F"/>
    <w:rsid w:val="00C1036C"/>
    <w:rsid w:val="00C1061A"/>
    <w:rsid w:val="00C10EB9"/>
    <w:rsid w:val="00C11390"/>
    <w:rsid w:val="00C11DDD"/>
    <w:rsid w:val="00C11F33"/>
    <w:rsid w:val="00C12E4C"/>
    <w:rsid w:val="00C130D4"/>
    <w:rsid w:val="00C14703"/>
    <w:rsid w:val="00C14BBA"/>
    <w:rsid w:val="00C15322"/>
    <w:rsid w:val="00C21198"/>
    <w:rsid w:val="00C21B5A"/>
    <w:rsid w:val="00C222CE"/>
    <w:rsid w:val="00C222D3"/>
    <w:rsid w:val="00C226D9"/>
    <w:rsid w:val="00C227EC"/>
    <w:rsid w:val="00C23D80"/>
    <w:rsid w:val="00C24D12"/>
    <w:rsid w:val="00C25A38"/>
    <w:rsid w:val="00C25BE2"/>
    <w:rsid w:val="00C26403"/>
    <w:rsid w:val="00C26425"/>
    <w:rsid w:val="00C26828"/>
    <w:rsid w:val="00C26B8E"/>
    <w:rsid w:val="00C26D6F"/>
    <w:rsid w:val="00C26E2E"/>
    <w:rsid w:val="00C272E7"/>
    <w:rsid w:val="00C27D3D"/>
    <w:rsid w:val="00C27DFD"/>
    <w:rsid w:val="00C30DA0"/>
    <w:rsid w:val="00C35D4F"/>
    <w:rsid w:val="00C367F0"/>
    <w:rsid w:val="00C36E28"/>
    <w:rsid w:val="00C370F7"/>
    <w:rsid w:val="00C4161C"/>
    <w:rsid w:val="00C4212C"/>
    <w:rsid w:val="00C4315F"/>
    <w:rsid w:val="00C460B0"/>
    <w:rsid w:val="00C46E06"/>
    <w:rsid w:val="00C51725"/>
    <w:rsid w:val="00C5186E"/>
    <w:rsid w:val="00C51FFC"/>
    <w:rsid w:val="00C526CC"/>
    <w:rsid w:val="00C53927"/>
    <w:rsid w:val="00C53F43"/>
    <w:rsid w:val="00C5582F"/>
    <w:rsid w:val="00C566B8"/>
    <w:rsid w:val="00C568C3"/>
    <w:rsid w:val="00C56924"/>
    <w:rsid w:val="00C56D07"/>
    <w:rsid w:val="00C60B0E"/>
    <w:rsid w:val="00C622A8"/>
    <w:rsid w:val="00C626E0"/>
    <w:rsid w:val="00C63CDC"/>
    <w:rsid w:val="00C641AA"/>
    <w:rsid w:val="00C6469A"/>
    <w:rsid w:val="00C6520C"/>
    <w:rsid w:val="00C660EE"/>
    <w:rsid w:val="00C7074A"/>
    <w:rsid w:val="00C70785"/>
    <w:rsid w:val="00C70FE2"/>
    <w:rsid w:val="00C7267F"/>
    <w:rsid w:val="00C72FF2"/>
    <w:rsid w:val="00C7312D"/>
    <w:rsid w:val="00C754D9"/>
    <w:rsid w:val="00C7662F"/>
    <w:rsid w:val="00C77B87"/>
    <w:rsid w:val="00C805AF"/>
    <w:rsid w:val="00C80E3F"/>
    <w:rsid w:val="00C81C3C"/>
    <w:rsid w:val="00C81D75"/>
    <w:rsid w:val="00C823AD"/>
    <w:rsid w:val="00C8266C"/>
    <w:rsid w:val="00C829DB"/>
    <w:rsid w:val="00C836BD"/>
    <w:rsid w:val="00C850B5"/>
    <w:rsid w:val="00C85865"/>
    <w:rsid w:val="00C85B14"/>
    <w:rsid w:val="00C8653B"/>
    <w:rsid w:val="00C871D6"/>
    <w:rsid w:val="00C877C6"/>
    <w:rsid w:val="00C90402"/>
    <w:rsid w:val="00C908B1"/>
    <w:rsid w:val="00C91EB6"/>
    <w:rsid w:val="00C92794"/>
    <w:rsid w:val="00C96014"/>
    <w:rsid w:val="00C96E00"/>
    <w:rsid w:val="00C97E7A"/>
    <w:rsid w:val="00CA092C"/>
    <w:rsid w:val="00CA231D"/>
    <w:rsid w:val="00CA278B"/>
    <w:rsid w:val="00CA2C45"/>
    <w:rsid w:val="00CA32F2"/>
    <w:rsid w:val="00CA3DC3"/>
    <w:rsid w:val="00CA3F5A"/>
    <w:rsid w:val="00CA5654"/>
    <w:rsid w:val="00CA5BC6"/>
    <w:rsid w:val="00CA7125"/>
    <w:rsid w:val="00CA7A17"/>
    <w:rsid w:val="00CB0806"/>
    <w:rsid w:val="00CB1571"/>
    <w:rsid w:val="00CB2B71"/>
    <w:rsid w:val="00CB607A"/>
    <w:rsid w:val="00CC00AB"/>
    <w:rsid w:val="00CC1819"/>
    <w:rsid w:val="00CC192B"/>
    <w:rsid w:val="00CC2A35"/>
    <w:rsid w:val="00CC2EA7"/>
    <w:rsid w:val="00CC3D02"/>
    <w:rsid w:val="00CC413B"/>
    <w:rsid w:val="00CC4521"/>
    <w:rsid w:val="00CC48DC"/>
    <w:rsid w:val="00CC54D8"/>
    <w:rsid w:val="00CC5755"/>
    <w:rsid w:val="00CC576F"/>
    <w:rsid w:val="00CC5E57"/>
    <w:rsid w:val="00CC675F"/>
    <w:rsid w:val="00CC73A1"/>
    <w:rsid w:val="00CD0D50"/>
    <w:rsid w:val="00CD2052"/>
    <w:rsid w:val="00CD2D6F"/>
    <w:rsid w:val="00CD3816"/>
    <w:rsid w:val="00CD4906"/>
    <w:rsid w:val="00CD5C5B"/>
    <w:rsid w:val="00CD5C95"/>
    <w:rsid w:val="00CD5EEB"/>
    <w:rsid w:val="00CD6295"/>
    <w:rsid w:val="00CD6614"/>
    <w:rsid w:val="00CD695D"/>
    <w:rsid w:val="00CD6FC8"/>
    <w:rsid w:val="00CE059B"/>
    <w:rsid w:val="00CE0622"/>
    <w:rsid w:val="00CE0C32"/>
    <w:rsid w:val="00CE3444"/>
    <w:rsid w:val="00CE4CFE"/>
    <w:rsid w:val="00CE62F5"/>
    <w:rsid w:val="00CE66F8"/>
    <w:rsid w:val="00CE6D65"/>
    <w:rsid w:val="00CF0156"/>
    <w:rsid w:val="00CF1A83"/>
    <w:rsid w:val="00CF2684"/>
    <w:rsid w:val="00CF2758"/>
    <w:rsid w:val="00CF2B5A"/>
    <w:rsid w:val="00CF2DA4"/>
    <w:rsid w:val="00CF46FF"/>
    <w:rsid w:val="00CF4C5E"/>
    <w:rsid w:val="00CF6074"/>
    <w:rsid w:val="00CF62CB"/>
    <w:rsid w:val="00CF6400"/>
    <w:rsid w:val="00CF6481"/>
    <w:rsid w:val="00CF6A4A"/>
    <w:rsid w:val="00CF6C1F"/>
    <w:rsid w:val="00CF6EC4"/>
    <w:rsid w:val="00CF7182"/>
    <w:rsid w:val="00D00E8B"/>
    <w:rsid w:val="00D00F11"/>
    <w:rsid w:val="00D017E3"/>
    <w:rsid w:val="00D01B24"/>
    <w:rsid w:val="00D01BB3"/>
    <w:rsid w:val="00D01DA2"/>
    <w:rsid w:val="00D03457"/>
    <w:rsid w:val="00D03513"/>
    <w:rsid w:val="00D03657"/>
    <w:rsid w:val="00D03670"/>
    <w:rsid w:val="00D0440C"/>
    <w:rsid w:val="00D0542C"/>
    <w:rsid w:val="00D06065"/>
    <w:rsid w:val="00D06B85"/>
    <w:rsid w:val="00D07114"/>
    <w:rsid w:val="00D11017"/>
    <w:rsid w:val="00D114A1"/>
    <w:rsid w:val="00D117BB"/>
    <w:rsid w:val="00D13CA5"/>
    <w:rsid w:val="00D146C4"/>
    <w:rsid w:val="00D15971"/>
    <w:rsid w:val="00D16D4F"/>
    <w:rsid w:val="00D176B7"/>
    <w:rsid w:val="00D20B29"/>
    <w:rsid w:val="00D20F91"/>
    <w:rsid w:val="00D2171B"/>
    <w:rsid w:val="00D2285A"/>
    <w:rsid w:val="00D2639D"/>
    <w:rsid w:val="00D26CB2"/>
    <w:rsid w:val="00D2761F"/>
    <w:rsid w:val="00D27C91"/>
    <w:rsid w:val="00D30F69"/>
    <w:rsid w:val="00D319DE"/>
    <w:rsid w:val="00D32060"/>
    <w:rsid w:val="00D329CB"/>
    <w:rsid w:val="00D33B92"/>
    <w:rsid w:val="00D33C51"/>
    <w:rsid w:val="00D34093"/>
    <w:rsid w:val="00D344E4"/>
    <w:rsid w:val="00D35A4A"/>
    <w:rsid w:val="00D36422"/>
    <w:rsid w:val="00D36518"/>
    <w:rsid w:val="00D36B0C"/>
    <w:rsid w:val="00D36B9C"/>
    <w:rsid w:val="00D37439"/>
    <w:rsid w:val="00D3784A"/>
    <w:rsid w:val="00D37AC0"/>
    <w:rsid w:val="00D37DDE"/>
    <w:rsid w:val="00D37EB8"/>
    <w:rsid w:val="00D40403"/>
    <w:rsid w:val="00D438D4"/>
    <w:rsid w:val="00D43BAF"/>
    <w:rsid w:val="00D4764C"/>
    <w:rsid w:val="00D50BA5"/>
    <w:rsid w:val="00D5295F"/>
    <w:rsid w:val="00D54404"/>
    <w:rsid w:val="00D54544"/>
    <w:rsid w:val="00D547FA"/>
    <w:rsid w:val="00D54ACF"/>
    <w:rsid w:val="00D55BC2"/>
    <w:rsid w:val="00D56150"/>
    <w:rsid w:val="00D5720F"/>
    <w:rsid w:val="00D60932"/>
    <w:rsid w:val="00D61430"/>
    <w:rsid w:val="00D6159A"/>
    <w:rsid w:val="00D61BBA"/>
    <w:rsid w:val="00D63551"/>
    <w:rsid w:val="00D637E3"/>
    <w:rsid w:val="00D6539C"/>
    <w:rsid w:val="00D65FA4"/>
    <w:rsid w:val="00D662D7"/>
    <w:rsid w:val="00D66515"/>
    <w:rsid w:val="00D72B9F"/>
    <w:rsid w:val="00D73A2C"/>
    <w:rsid w:val="00D75231"/>
    <w:rsid w:val="00D763A2"/>
    <w:rsid w:val="00D7665F"/>
    <w:rsid w:val="00D77C50"/>
    <w:rsid w:val="00D77DFA"/>
    <w:rsid w:val="00D80479"/>
    <w:rsid w:val="00D80F3C"/>
    <w:rsid w:val="00D840EF"/>
    <w:rsid w:val="00D84C47"/>
    <w:rsid w:val="00D85C0E"/>
    <w:rsid w:val="00D864DE"/>
    <w:rsid w:val="00D86DB8"/>
    <w:rsid w:val="00D8705D"/>
    <w:rsid w:val="00D8738A"/>
    <w:rsid w:val="00D879AE"/>
    <w:rsid w:val="00D902A3"/>
    <w:rsid w:val="00D90479"/>
    <w:rsid w:val="00D9154B"/>
    <w:rsid w:val="00D92626"/>
    <w:rsid w:val="00D93C0A"/>
    <w:rsid w:val="00D9504C"/>
    <w:rsid w:val="00D9651E"/>
    <w:rsid w:val="00D96DFE"/>
    <w:rsid w:val="00DA0EFE"/>
    <w:rsid w:val="00DA148B"/>
    <w:rsid w:val="00DA1D9E"/>
    <w:rsid w:val="00DA24B8"/>
    <w:rsid w:val="00DA32B9"/>
    <w:rsid w:val="00DA3F8A"/>
    <w:rsid w:val="00DA5919"/>
    <w:rsid w:val="00DA6C26"/>
    <w:rsid w:val="00DA71FE"/>
    <w:rsid w:val="00DA7793"/>
    <w:rsid w:val="00DA77A9"/>
    <w:rsid w:val="00DA77AA"/>
    <w:rsid w:val="00DB10EC"/>
    <w:rsid w:val="00DB2010"/>
    <w:rsid w:val="00DB2A9B"/>
    <w:rsid w:val="00DB2FB0"/>
    <w:rsid w:val="00DB3487"/>
    <w:rsid w:val="00DB34E6"/>
    <w:rsid w:val="00DB3A9B"/>
    <w:rsid w:val="00DB5073"/>
    <w:rsid w:val="00DB5C02"/>
    <w:rsid w:val="00DB70C5"/>
    <w:rsid w:val="00DB7E82"/>
    <w:rsid w:val="00DC0822"/>
    <w:rsid w:val="00DC0F64"/>
    <w:rsid w:val="00DC1E30"/>
    <w:rsid w:val="00DC25DF"/>
    <w:rsid w:val="00DC28F1"/>
    <w:rsid w:val="00DC39AB"/>
    <w:rsid w:val="00DC3AA9"/>
    <w:rsid w:val="00DC3EDE"/>
    <w:rsid w:val="00DC449F"/>
    <w:rsid w:val="00DC5256"/>
    <w:rsid w:val="00DC69F0"/>
    <w:rsid w:val="00DC6A97"/>
    <w:rsid w:val="00DC733C"/>
    <w:rsid w:val="00DD0909"/>
    <w:rsid w:val="00DD1F23"/>
    <w:rsid w:val="00DD2F15"/>
    <w:rsid w:val="00DD3389"/>
    <w:rsid w:val="00DD4FB7"/>
    <w:rsid w:val="00DD67BD"/>
    <w:rsid w:val="00DD7373"/>
    <w:rsid w:val="00DD75AC"/>
    <w:rsid w:val="00DE05FA"/>
    <w:rsid w:val="00DE06FC"/>
    <w:rsid w:val="00DE0EFD"/>
    <w:rsid w:val="00DE1B89"/>
    <w:rsid w:val="00DE4AD0"/>
    <w:rsid w:val="00DE5667"/>
    <w:rsid w:val="00DE79C8"/>
    <w:rsid w:val="00DF0B57"/>
    <w:rsid w:val="00DF1263"/>
    <w:rsid w:val="00DF1EAE"/>
    <w:rsid w:val="00DF22C6"/>
    <w:rsid w:val="00DF3288"/>
    <w:rsid w:val="00DF4923"/>
    <w:rsid w:val="00DF4F9A"/>
    <w:rsid w:val="00DF5328"/>
    <w:rsid w:val="00DF6F7C"/>
    <w:rsid w:val="00E000D2"/>
    <w:rsid w:val="00E006B9"/>
    <w:rsid w:val="00E022A7"/>
    <w:rsid w:val="00E03140"/>
    <w:rsid w:val="00E03A15"/>
    <w:rsid w:val="00E04693"/>
    <w:rsid w:val="00E04D87"/>
    <w:rsid w:val="00E05EDD"/>
    <w:rsid w:val="00E06D5C"/>
    <w:rsid w:val="00E070A1"/>
    <w:rsid w:val="00E112C4"/>
    <w:rsid w:val="00E11400"/>
    <w:rsid w:val="00E12816"/>
    <w:rsid w:val="00E13A8D"/>
    <w:rsid w:val="00E13C99"/>
    <w:rsid w:val="00E14307"/>
    <w:rsid w:val="00E145B8"/>
    <w:rsid w:val="00E14A86"/>
    <w:rsid w:val="00E14E31"/>
    <w:rsid w:val="00E15FFE"/>
    <w:rsid w:val="00E160D7"/>
    <w:rsid w:val="00E20648"/>
    <w:rsid w:val="00E20D7A"/>
    <w:rsid w:val="00E21C45"/>
    <w:rsid w:val="00E22CFC"/>
    <w:rsid w:val="00E2331D"/>
    <w:rsid w:val="00E233D4"/>
    <w:rsid w:val="00E23C61"/>
    <w:rsid w:val="00E24686"/>
    <w:rsid w:val="00E24DA4"/>
    <w:rsid w:val="00E258FD"/>
    <w:rsid w:val="00E26E97"/>
    <w:rsid w:val="00E27418"/>
    <w:rsid w:val="00E278E2"/>
    <w:rsid w:val="00E27E41"/>
    <w:rsid w:val="00E30BD7"/>
    <w:rsid w:val="00E311D1"/>
    <w:rsid w:val="00E32948"/>
    <w:rsid w:val="00E340E4"/>
    <w:rsid w:val="00E35B60"/>
    <w:rsid w:val="00E35E06"/>
    <w:rsid w:val="00E3706A"/>
    <w:rsid w:val="00E3762B"/>
    <w:rsid w:val="00E37AED"/>
    <w:rsid w:val="00E40648"/>
    <w:rsid w:val="00E40786"/>
    <w:rsid w:val="00E40EAD"/>
    <w:rsid w:val="00E41542"/>
    <w:rsid w:val="00E416D1"/>
    <w:rsid w:val="00E42BB9"/>
    <w:rsid w:val="00E42F80"/>
    <w:rsid w:val="00E443EE"/>
    <w:rsid w:val="00E44C23"/>
    <w:rsid w:val="00E45674"/>
    <w:rsid w:val="00E46699"/>
    <w:rsid w:val="00E5094F"/>
    <w:rsid w:val="00E50A40"/>
    <w:rsid w:val="00E5453A"/>
    <w:rsid w:val="00E604BA"/>
    <w:rsid w:val="00E60CA0"/>
    <w:rsid w:val="00E612F0"/>
    <w:rsid w:val="00E62521"/>
    <w:rsid w:val="00E62CE2"/>
    <w:rsid w:val="00E63347"/>
    <w:rsid w:val="00E65876"/>
    <w:rsid w:val="00E66069"/>
    <w:rsid w:val="00E6698A"/>
    <w:rsid w:val="00E7068E"/>
    <w:rsid w:val="00E726BC"/>
    <w:rsid w:val="00E72BC0"/>
    <w:rsid w:val="00E747CE"/>
    <w:rsid w:val="00E74CF3"/>
    <w:rsid w:val="00E74F51"/>
    <w:rsid w:val="00E753C0"/>
    <w:rsid w:val="00E813F6"/>
    <w:rsid w:val="00E82CD4"/>
    <w:rsid w:val="00E845C0"/>
    <w:rsid w:val="00E84D4E"/>
    <w:rsid w:val="00E84E15"/>
    <w:rsid w:val="00E851CC"/>
    <w:rsid w:val="00E86D33"/>
    <w:rsid w:val="00E87CCC"/>
    <w:rsid w:val="00E9074E"/>
    <w:rsid w:val="00E90F1E"/>
    <w:rsid w:val="00E918B3"/>
    <w:rsid w:val="00E9507E"/>
    <w:rsid w:val="00E95148"/>
    <w:rsid w:val="00E952FF"/>
    <w:rsid w:val="00E973B9"/>
    <w:rsid w:val="00E974AD"/>
    <w:rsid w:val="00EA01A7"/>
    <w:rsid w:val="00EA0C71"/>
    <w:rsid w:val="00EA2B65"/>
    <w:rsid w:val="00EA36B2"/>
    <w:rsid w:val="00EA4200"/>
    <w:rsid w:val="00EA44E1"/>
    <w:rsid w:val="00EA5281"/>
    <w:rsid w:val="00EA6895"/>
    <w:rsid w:val="00EA6D82"/>
    <w:rsid w:val="00EA75CE"/>
    <w:rsid w:val="00EB1044"/>
    <w:rsid w:val="00EB195C"/>
    <w:rsid w:val="00EB2404"/>
    <w:rsid w:val="00EB2447"/>
    <w:rsid w:val="00EB3B61"/>
    <w:rsid w:val="00EB3D97"/>
    <w:rsid w:val="00EB3EC9"/>
    <w:rsid w:val="00EB4335"/>
    <w:rsid w:val="00EB5379"/>
    <w:rsid w:val="00EB7310"/>
    <w:rsid w:val="00EB74FA"/>
    <w:rsid w:val="00EB7E5A"/>
    <w:rsid w:val="00EC0063"/>
    <w:rsid w:val="00EC03BF"/>
    <w:rsid w:val="00EC1487"/>
    <w:rsid w:val="00EC16DF"/>
    <w:rsid w:val="00EC4035"/>
    <w:rsid w:val="00EC4336"/>
    <w:rsid w:val="00EC4D14"/>
    <w:rsid w:val="00EC727F"/>
    <w:rsid w:val="00EC7C54"/>
    <w:rsid w:val="00ED032B"/>
    <w:rsid w:val="00ED0FE9"/>
    <w:rsid w:val="00ED194D"/>
    <w:rsid w:val="00ED1C19"/>
    <w:rsid w:val="00ED1FFF"/>
    <w:rsid w:val="00ED295F"/>
    <w:rsid w:val="00ED2D19"/>
    <w:rsid w:val="00ED2EDA"/>
    <w:rsid w:val="00ED538D"/>
    <w:rsid w:val="00ED6294"/>
    <w:rsid w:val="00ED6E41"/>
    <w:rsid w:val="00ED722C"/>
    <w:rsid w:val="00ED736E"/>
    <w:rsid w:val="00EE076E"/>
    <w:rsid w:val="00EE231D"/>
    <w:rsid w:val="00EE2861"/>
    <w:rsid w:val="00EE2AB0"/>
    <w:rsid w:val="00EE38BD"/>
    <w:rsid w:val="00EE3BFD"/>
    <w:rsid w:val="00EE6B5A"/>
    <w:rsid w:val="00EF0197"/>
    <w:rsid w:val="00EF09AB"/>
    <w:rsid w:val="00EF0FD4"/>
    <w:rsid w:val="00EF14EB"/>
    <w:rsid w:val="00EF2341"/>
    <w:rsid w:val="00EF32F5"/>
    <w:rsid w:val="00EF3FC8"/>
    <w:rsid w:val="00EF4295"/>
    <w:rsid w:val="00EF5573"/>
    <w:rsid w:val="00EF5EF5"/>
    <w:rsid w:val="00EF64F2"/>
    <w:rsid w:val="00EF67BD"/>
    <w:rsid w:val="00EF72F8"/>
    <w:rsid w:val="00EF7D9D"/>
    <w:rsid w:val="00EF7FE0"/>
    <w:rsid w:val="00F0031A"/>
    <w:rsid w:val="00F022FA"/>
    <w:rsid w:val="00F0278D"/>
    <w:rsid w:val="00F033BE"/>
    <w:rsid w:val="00F035BC"/>
    <w:rsid w:val="00F04E31"/>
    <w:rsid w:val="00F05E58"/>
    <w:rsid w:val="00F07D01"/>
    <w:rsid w:val="00F10611"/>
    <w:rsid w:val="00F10920"/>
    <w:rsid w:val="00F10EB3"/>
    <w:rsid w:val="00F11E1B"/>
    <w:rsid w:val="00F12D29"/>
    <w:rsid w:val="00F1318B"/>
    <w:rsid w:val="00F133F8"/>
    <w:rsid w:val="00F13A76"/>
    <w:rsid w:val="00F14EAD"/>
    <w:rsid w:val="00F15B4A"/>
    <w:rsid w:val="00F17BD9"/>
    <w:rsid w:val="00F17E42"/>
    <w:rsid w:val="00F2038C"/>
    <w:rsid w:val="00F205E9"/>
    <w:rsid w:val="00F2097B"/>
    <w:rsid w:val="00F21102"/>
    <w:rsid w:val="00F2214C"/>
    <w:rsid w:val="00F232BD"/>
    <w:rsid w:val="00F2621A"/>
    <w:rsid w:val="00F270E7"/>
    <w:rsid w:val="00F279B2"/>
    <w:rsid w:val="00F27DEC"/>
    <w:rsid w:val="00F27ECA"/>
    <w:rsid w:val="00F3369C"/>
    <w:rsid w:val="00F356E5"/>
    <w:rsid w:val="00F36B72"/>
    <w:rsid w:val="00F37916"/>
    <w:rsid w:val="00F425E7"/>
    <w:rsid w:val="00F43BAC"/>
    <w:rsid w:val="00F44483"/>
    <w:rsid w:val="00F4733C"/>
    <w:rsid w:val="00F514B3"/>
    <w:rsid w:val="00F51974"/>
    <w:rsid w:val="00F51C2F"/>
    <w:rsid w:val="00F51F60"/>
    <w:rsid w:val="00F52163"/>
    <w:rsid w:val="00F52647"/>
    <w:rsid w:val="00F528B6"/>
    <w:rsid w:val="00F529F8"/>
    <w:rsid w:val="00F52D07"/>
    <w:rsid w:val="00F540E6"/>
    <w:rsid w:val="00F54726"/>
    <w:rsid w:val="00F602DA"/>
    <w:rsid w:val="00F60D41"/>
    <w:rsid w:val="00F623C0"/>
    <w:rsid w:val="00F62662"/>
    <w:rsid w:val="00F63DFF"/>
    <w:rsid w:val="00F642DE"/>
    <w:rsid w:val="00F655C4"/>
    <w:rsid w:val="00F66088"/>
    <w:rsid w:val="00F66407"/>
    <w:rsid w:val="00F66A08"/>
    <w:rsid w:val="00F67117"/>
    <w:rsid w:val="00F673FF"/>
    <w:rsid w:val="00F67750"/>
    <w:rsid w:val="00F70ADB"/>
    <w:rsid w:val="00F7190B"/>
    <w:rsid w:val="00F71C4E"/>
    <w:rsid w:val="00F72000"/>
    <w:rsid w:val="00F72061"/>
    <w:rsid w:val="00F73072"/>
    <w:rsid w:val="00F75BDE"/>
    <w:rsid w:val="00F80489"/>
    <w:rsid w:val="00F813E9"/>
    <w:rsid w:val="00F81644"/>
    <w:rsid w:val="00F81CAA"/>
    <w:rsid w:val="00F83094"/>
    <w:rsid w:val="00F83163"/>
    <w:rsid w:val="00F84BB7"/>
    <w:rsid w:val="00F854F1"/>
    <w:rsid w:val="00F86A54"/>
    <w:rsid w:val="00F87999"/>
    <w:rsid w:val="00F922D1"/>
    <w:rsid w:val="00F92DFF"/>
    <w:rsid w:val="00F92F17"/>
    <w:rsid w:val="00F93056"/>
    <w:rsid w:val="00F93366"/>
    <w:rsid w:val="00F963D5"/>
    <w:rsid w:val="00F964AC"/>
    <w:rsid w:val="00F96CBB"/>
    <w:rsid w:val="00F96D18"/>
    <w:rsid w:val="00F96F0E"/>
    <w:rsid w:val="00F9752F"/>
    <w:rsid w:val="00F97F1B"/>
    <w:rsid w:val="00FA0246"/>
    <w:rsid w:val="00FA08B3"/>
    <w:rsid w:val="00FA1C05"/>
    <w:rsid w:val="00FA3BF7"/>
    <w:rsid w:val="00FA43EE"/>
    <w:rsid w:val="00FA4465"/>
    <w:rsid w:val="00FA4537"/>
    <w:rsid w:val="00FA5403"/>
    <w:rsid w:val="00FA5CCB"/>
    <w:rsid w:val="00FA6666"/>
    <w:rsid w:val="00FA75E8"/>
    <w:rsid w:val="00FA78D2"/>
    <w:rsid w:val="00FB0578"/>
    <w:rsid w:val="00FB05D6"/>
    <w:rsid w:val="00FB1D2E"/>
    <w:rsid w:val="00FB219C"/>
    <w:rsid w:val="00FB26AF"/>
    <w:rsid w:val="00FB423A"/>
    <w:rsid w:val="00FB5502"/>
    <w:rsid w:val="00FB678E"/>
    <w:rsid w:val="00FB747D"/>
    <w:rsid w:val="00FC00F7"/>
    <w:rsid w:val="00FC16EC"/>
    <w:rsid w:val="00FC1E9C"/>
    <w:rsid w:val="00FC2578"/>
    <w:rsid w:val="00FC2B10"/>
    <w:rsid w:val="00FC2E71"/>
    <w:rsid w:val="00FC470E"/>
    <w:rsid w:val="00FC50DF"/>
    <w:rsid w:val="00FC5703"/>
    <w:rsid w:val="00FC5954"/>
    <w:rsid w:val="00FC7A9D"/>
    <w:rsid w:val="00FD09C7"/>
    <w:rsid w:val="00FD32B1"/>
    <w:rsid w:val="00FD410D"/>
    <w:rsid w:val="00FD4992"/>
    <w:rsid w:val="00FD4D36"/>
    <w:rsid w:val="00FD58B3"/>
    <w:rsid w:val="00FD6144"/>
    <w:rsid w:val="00FD719D"/>
    <w:rsid w:val="00FD7B2C"/>
    <w:rsid w:val="00FD7B63"/>
    <w:rsid w:val="00FE0964"/>
    <w:rsid w:val="00FE1E3D"/>
    <w:rsid w:val="00FE251B"/>
    <w:rsid w:val="00FE3962"/>
    <w:rsid w:val="00FE3A71"/>
    <w:rsid w:val="00FE447A"/>
    <w:rsid w:val="00FE4554"/>
    <w:rsid w:val="00FE4F75"/>
    <w:rsid w:val="00FE6037"/>
    <w:rsid w:val="00FE709E"/>
    <w:rsid w:val="00FE713A"/>
    <w:rsid w:val="00FF1834"/>
    <w:rsid w:val="00FF2D6C"/>
    <w:rsid w:val="00FF31F8"/>
    <w:rsid w:val="00FF3B3C"/>
    <w:rsid w:val="00FF3E46"/>
    <w:rsid w:val="00FF6151"/>
    <w:rsid w:val="00FF6B89"/>
    <w:rsid w:val="00FF713F"/>
    <w:rsid w:val="00FF7641"/>
    <w:rsid w:val="00F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."/>
  <w:listSeparator w:val=","/>
  <w14:docId w14:val="412C03C8"/>
  <w15:docId w15:val="{75385C3E-60E3-45A7-ACF8-FDDDB289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C8B"/>
  </w:style>
  <w:style w:type="paragraph" w:styleId="Heading1">
    <w:name w:val="heading 1"/>
    <w:basedOn w:val="Normal"/>
    <w:next w:val="Heading2"/>
    <w:link w:val="Heading1Char"/>
    <w:qFormat/>
    <w:rsid w:val="00E7068E"/>
    <w:pPr>
      <w:keepNext/>
      <w:numPr>
        <w:numId w:val="4"/>
      </w:numPr>
      <w:spacing w:after="240" w:line="246" w:lineRule="atLeast"/>
      <w:jc w:val="both"/>
      <w:outlineLvl w:val="0"/>
    </w:pPr>
    <w:rPr>
      <w:rFonts w:ascii="Times New Roman" w:eastAsiaTheme="majorEastAsia" w:hAnsi="Times New Roman" w:cs="Times New Roman"/>
      <w:b/>
      <w:bCs/>
      <w:caps/>
      <w:szCs w:val="28"/>
    </w:rPr>
  </w:style>
  <w:style w:type="paragraph" w:styleId="Heading2">
    <w:name w:val="heading 2"/>
    <w:basedOn w:val="Normal"/>
    <w:link w:val="Heading2Char"/>
    <w:unhideWhenUsed/>
    <w:qFormat/>
    <w:rsid w:val="00E7068E"/>
    <w:pPr>
      <w:keepNext/>
      <w:numPr>
        <w:ilvl w:val="1"/>
        <w:numId w:val="4"/>
      </w:numPr>
      <w:tabs>
        <w:tab w:val="clear" w:pos="1855"/>
        <w:tab w:val="num" w:pos="720"/>
      </w:tabs>
      <w:spacing w:after="240" w:line="246" w:lineRule="atLeast"/>
      <w:ind w:left="720"/>
      <w:jc w:val="both"/>
      <w:outlineLvl w:val="1"/>
    </w:pPr>
    <w:rPr>
      <w:rFonts w:ascii="Times New Roman" w:eastAsiaTheme="majorEastAsia" w:hAnsi="Times New Roman" w:cs="Times New Roman"/>
      <w:b/>
      <w:bCs/>
      <w:szCs w:val="26"/>
    </w:rPr>
  </w:style>
  <w:style w:type="paragraph" w:styleId="Heading3">
    <w:name w:val="heading 3"/>
    <w:basedOn w:val="Normal"/>
    <w:link w:val="Heading3Char"/>
    <w:unhideWhenUsed/>
    <w:qFormat/>
    <w:rsid w:val="00E7068E"/>
    <w:pPr>
      <w:numPr>
        <w:ilvl w:val="2"/>
        <w:numId w:val="4"/>
      </w:numPr>
      <w:spacing w:after="240" w:line="246" w:lineRule="atLeast"/>
      <w:jc w:val="both"/>
      <w:outlineLvl w:val="2"/>
    </w:pPr>
    <w:rPr>
      <w:rFonts w:ascii="Times New Roman" w:eastAsiaTheme="majorEastAsia" w:hAnsi="Times New Roman" w:cs="Times New Roman"/>
      <w:bCs/>
      <w:szCs w:val="24"/>
    </w:rPr>
  </w:style>
  <w:style w:type="paragraph" w:styleId="Heading4">
    <w:name w:val="heading 4"/>
    <w:basedOn w:val="Normal"/>
    <w:link w:val="Heading4Char"/>
    <w:unhideWhenUsed/>
    <w:qFormat/>
    <w:rsid w:val="00E7068E"/>
    <w:pPr>
      <w:numPr>
        <w:ilvl w:val="3"/>
        <w:numId w:val="4"/>
      </w:numPr>
      <w:spacing w:after="240" w:line="246" w:lineRule="atLeast"/>
      <w:jc w:val="both"/>
      <w:outlineLvl w:val="3"/>
    </w:pPr>
    <w:rPr>
      <w:rFonts w:ascii="Times New Roman" w:eastAsiaTheme="majorEastAsia" w:hAnsi="Times New Roman" w:cs="Times New Roman"/>
      <w:bCs/>
      <w:iCs/>
      <w:szCs w:val="24"/>
    </w:rPr>
  </w:style>
  <w:style w:type="paragraph" w:styleId="Heading5">
    <w:name w:val="heading 5"/>
    <w:basedOn w:val="Normal"/>
    <w:link w:val="Heading5Char"/>
    <w:unhideWhenUsed/>
    <w:qFormat/>
    <w:rsid w:val="00E7068E"/>
    <w:pPr>
      <w:numPr>
        <w:ilvl w:val="4"/>
        <w:numId w:val="4"/>
      </w:numPr>
      <w:spacing w:after="240" w:line="246" w:lineRule="atLeast"/>
      <w:jc w:val="both"/>
      <w:outlineLvl w:val="4"/>
    </w:pPr>
    <w:rPr>
      <w:rFonts w:ascii="Times New Roman" w:eastAsiaTheme="majorEastAsia" w:hAnsi="Times New Roman" w:cs="Times New Roman"/>
      <w:szCs w:val="24"/>
    </w:rPr>
  </w:style>
  <w:style w:type="paragraph" w:styleId="Heading6">
    <w:name w:val="heading 6"/>
    <w:basedOn w:val="Normal"/>
    <w:link w:val="Heading6Char"/>
    <w:unhideWhenUsed/>
    <w:qFormat/>
    <w:rsid w:val="00E7068E"/>
    <w:pPr>
      <w:numPr>
        <w:ilvl w:val="5"/>
        <w:numId w:val="4"/>
      </w:numPr>
      <w:spacing w:after="240" w:line="246" w:lineRule="atLeast"/>
      <w:jc w:val="both"/>
      <w:outlineLvl w:val="5"/>
    </w:pPr>
    <w:rPr>
      <w:rFonts w:ascii="Times New Roman" w:eastAsiaTheme="majorEastAsia" w:hAnsi="Times New Roman" w:cs="Times New Roman"/>
      <w:iCs/>
      <w:szCs w:val="24"/>
    </w:rPr>
  </w:style>
  <w:style w:type="paragraph" w:styleId="Heading7">
    <w:name w:val="heading 7"/>
    <w:basedOn w:val="Normal"/>
    <w:link w:val="Heading7Char"/>
    <w:semiHidden/>
    <w:unhideWhenUsed/>
    <w:qFormat/>
    <w:rsid w:val="00E7068E"/>
    <w:pPr>
      <w:numPr>
        <w:ilvl w:val="6"/>
        <w:numId w:val="4"/>
      </w:numPr>
      <w:spacing w:after="240" w:line="246" w:lineRule="atLeast"/>
      <w:jc w:val="both"/>
      <w:outlineLvl w:val="6"/>
    </w:pPr>
    <w:rPr>
      <w:rFonts w:ascii="Times New Roman" w:eastAsiaTheme="majorEastAsia" w:hAnsi="Times New Roman" w:cs="Times New Roman"/>
      <w:iCs/>
      <w:szCs w:val="24"/>
    </w:rPr>
  </w:style>
  <w:style w:type="paragraph" w:styleId="Heading8">
    <w:name w:val="heading 8"/>
    <w:basedOn w:val="Normal"/>
    <w:link w:val="Heading8Char"/>
    <w:semiHidden/>
    <w:unhideWhenUsed/>
    <w:qFormat/>
    <w:rsid w:val="00E7068E"/>
    <w:pPr>
      <w:numPr>
        <w:ilvl w:val="7"/>
        <w:numId w:val="4"/>
      </w:numPr>
      <w:spacing w:after="240" w:line="246" w:lineRule="atLeast"/>
      <w:jc w:val="both"/>
      <w:outlineLvl w:val="7"/>
    </w:pPr>
    <w:rPr>
      <w:rFonts w:ascii="Times New Roman" w:eastAsiaTheme="majorEastAsia" w:hAnsi="Times New Roman" w:cs="Times New Roman"/>
      <w:szCs w:val="20"/>
    </w:rPr>
  </w:style>
  <w:style w:type="paragraph" w:styleId="Heading9">
    <w:name w:val="heading 9"/>
    <w:basedOn w:val="Normal"/>
    <w:link w:val="Heading9Char"/>
    <w:semiHidden/>
    <w:unhideWhenUsed/>
    <w:qFormat/>
    <w:rsid w:val="00E7068E"/>
    <w:pPr>
      <w:numPr>
        <w:ilvl w:val="8"/>
        <w:numId w:val="4"/>
      </w:numPr>
      <w:spacing w:after="240" w:line="246" w:lineRule="atLeast"/>
      <w:jc w:val="both"/>
      <w:outlineLvl w:val="8"/>
    </w:pPr>
    <w:rPr>
      <w:rFonts w:ascii="Times New Roman" w:eastAsiaTheme="majorEastAsia" w:hAnsi="Times New Roman" w:cs="Times New Roman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1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1D1"/>
  </w:style>
  <w:style w:type="paragraph" w:styleId="Footer">
    <w:name w:val="footer"/>
    <w:basedOn w:val="Normal"/>
    <w:link w:val="FooterChar"/>
    <w:uiPriority w:val="99"/>
    <w:unhideWhenUsed/>
    <w:rsid w:val="005631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1D1"/>
  </w:style>
  <w:style w:type="paragraph" w:styleId="ListParagraph">
    <w:name w:val="List Paragraph"/>
    <w:basedOn w:val="Normal"/>
    <w:uiPriority w:val="34"/>
    <w:qFormat/>
    <w:rsid w:val="00481E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513"/>
    <w:rPr>
      <w:color w:val="0563C1" w:themeColor="hyperlink"/>
      <w:u w:val="single"/>
    </w:rPr>
  </w:style>
  <w:style w:type="paragraph" w:customStyle="1" w:styleId="Default">
    <w:name w:val="Default"/>
    <w:rsid w:val="00536A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D30F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0F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D30F6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E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EB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5270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unhideWhenUsed/>
    <w:rsid w:val="0005524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5524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55243"/>
    <w:rPr>
      <w:vertAlign w:val="superscript"/>
    </w:rPr>
  </w:style>
  <w:style w:type="table" w:customStyle="1" w:styleId="GridTable1Light-Accent21">
    <w:name w:val="Grid Table 1 Light - Accent 21"/>
    <w:basedOn w:val="TableNormal"/>
    <w:uiPriority w:val="46"/>
    <w:rsid w:val="005F5E0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7D3512"/>
    <w:rPr>
      <w:b/>
      <w:bCs/>
    </w:rPr>
  </w:style>
  <w:style w:type="table" w:customStyle="1" w:styleId="LightShading-Accent11">
    <w:name w:val="Light Shading - Accent 11"/>
    <w:basedOn w:val="TableNormal"/>
    <w:uiPriority w:val="60"/>
    <w:rsid w:val="00DD1F23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Body">
    <w:name w:val="Body"/>
    <w:rsid w:val="004557AD"/>
    <w:pPr>
      <w:pBdr>
        <w:top w:val="nil"/>
        <w:left w:val="nil"/>
        <w:bottom w:val="nil"/>
        <w:right w:val="nil"/>
        <w:between w:val="nil"/>
        <w:bar w:val="nil"/>
      </w:pBdr>
      <w:spacing w:after="280" w:line="280" w:lineRule="exact"/>
    </w:pPr>
    <w:rPr>
      <w:rFonts w:ascii="Calibri" w:eastAsia="Arial Unicode MS" w:hAnsi="Arial Unicode MS" w:cs="Arial Unicode MS"/>
      <w:color w:val="000000"/>
      <w:u w:color="000000"/>
      <w:bdr w:val="nil"/>
      <w:lang w:val="en-US"/>
    </w:rPr>
  </w:style>
  <w:style w:type="paragraph" w:customStyle="1" w:styleId="BodyTextNumbered">
    <w:name w:val="Body Text Numbered"/>
    <w:basedOn w:val="Normal"/>
    <w:link w:val="BodyTextNumberedChar"/>
    <w:qFormat/>
    <w:rsid w:val="008F0B8C"/>
    <w:pPr>
      <w:numPr>
        <w:numId w:val="2"/>
      </w:numPr>
      <w:spacing w:before="100" w:after="240" w:line="276" w:lineRule="auto"/>
      <w:jc w:val="both"/>
    </w:pPr>
    <w:rPr>
      <w:rFonts w:eastAsiaTheme="minorEastAsia" w:cstheme="minorHAnsi"/>
      <w:color w:val="003B5A"/>
      <w:sz w:val="20"/>
      <w:szCs w:val="20"/>
      <w:lang w:val="en-US"/>
    </w:rPr>
  </w:style>
  <w:style w:type="character" w:customStyle="1" w:styleId="BodyTextNumberedChar">
    <w:name w:val="Body Text Numbered Char"/>
    <w:basedOn w:val="DefaultParagraphFont"/>
    <w:link w:val="BodyTextNumbered"/>
    <w:rsid w:val="008F0B8C"/>
    <w:rPr>
      <w:rFonts w:eastAsiaTheme="minorEastAsia" w:cstheme="minorHAnsi"/>
      <w:color w:val="003B5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232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32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2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2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2BD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7068E"/>
    <w:rPr>
      <w:rFonts w:ascii="Times New Roman" w:eastAsiaTheme="majorEastAsia" w:hAnsi="Times New Roman" w:cs="Times New Roman"/>
      <w:b/>
      <w:bCs/>
      <w:caps/>
      <w:szCs w:val="28"/>
    </w:rPr>
  </w:style>
  <w:style w:type="character" w:customStyle="1" w:styleId="Heading2Char">
    <w:name w:val="Heading 2 Char"/>
    <w:basedOn w:val="DefaultParagraphFont"/>
    <w:link w:val="Heading2"/>
    <w:rsid w:val="00E7068E"/>
    <w:rPr>
      <w:rFonts w:ascii="Times New Roman" w:eastAsiaTheme="majorEastAsia" w:hAnsi="Times New Roman" w:cs="Times New Roman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rsid w:val="00E7068E"/>
    <w:rPr>
      <w:rFonts w:ascii="Times New Roman" w:eastAsiaTheme="majorEastAsia" w:hAnsi="Times New Roman" w:cs="Times New Roman"/>
      <w:bCs/>
      <w:szCs w:val="24"/>
    </w:rPr>
  </w:style>
  <w:style w:type="character" w:customStyle="1" w:styleId="Heading4Char">
    <w:name w:val="Heading 4 Char"/>
    <w:basedOn w:val="DefaultParagraphFont"/>
    <w:link w:val="Heading4"/>
    <w:rsid w:val="00E7068E"/>
    <w:rPr>
      <w:rFonts w:ascii="Times New Roman" w:eastAsiaTheme="majorEastAsia" w:hAnsi="Times New Roman" w:cs="Times New Roman"/>
      <w:bCs/>
      <w:iCs/>
      <w:szCs w:val="24"/>
    </w:rPr>
  </w:style>
  <w:style w:type="character" w:customStyle="1" w:styleId="Heading5Char">
    <w:name w:val="Heading 5 Char"/>
    <w:basedOn w:val="DefaultParagraphFont"/>
    <w:link w:val="Heading5"/>
    <w:rsid w:val="00E7068E"/>
    <w:rPr>
      <w:rFonts w:ascii="Times New Roman" w:eastAsiaTheme="majorEastAsia" w:hAnsi="Times New Roman" w:cs="Times New Roman"/>
      <w:szCs w:val="24"/>
    </w:rPr>
  </w:style>
  <w:style w:type="character" w:customStyle="1" w:styleId="Heading6Char">
    <w:name w:val="Heading 6 Char"/>
    <w:basedOn w:val="DefaultParagraphFont"/>
    <w:link w:val="Heading6"/>
    <w:rsid w:val="00E7068E"/>
    <w:rPr>
      <w:rFonts w:ascii="Times New Roman" w:eastAsiaTheme="majorEastAsia" w:hAnsi="Times New Roman" w:cs="Times New Roman"/>
      <w:iCs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E7068E"/>
    <w:rPr>
      <w:rFonts w:ascii="Times New Roman" w:eastAsiaTheme="majorEastAsia" w:hAnsi="Times New Roman" w:cs="Times New Roman"/>
      <w:iCs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7068E"/>
    <w:rPr>
      <w:rFonts w:ascii="Times New Roman" w:eastAsiaTheme="majorEastAsia" w:hAnsi="Times New Roman" w:cs="Times New Roman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7068E"/>
    <w:rPr>
      <w:rFonts w:ascii="Times New Roman" w:eastAsiaTheme="majorEastAsia" w:hAnsi="Times New Roman" w:cs="Times New Roman"/>
      <w:iCs/>
      <w:szCs w:val="20"/>
    </w:rPr>
  </w:style>
  <w:style w:type="paragraph" w:customStyle="1" w:styleId="BulletedList">
    <w:name w:val="Bulleted List"/>
    <w:basedOn w:val="Normal"/>
    <w:qFormat/>
    <w:rsid w:val="00E7068E"/>
    <w:pPr>
      <w:numPr>
        <w:numId w:val="3"/>
      </w:numPr>
      <w:spacing w:after="240"/>
    </w:pPr>
    <w:rPr>
      <w:rFonts w:ascii="Times New Roman" w:hAnsi="Times New Roman"/>
      <w:szCs w:val="24"/>
    </w:rPr>
  </w:style>
  <w:style w:type="paragraph" w:styleId="Revision">
    <w:name w:val="Revision"/>
    <w:hidden/>
    <w:uiPriority w:val="99"/>
    <w:semiHidden/>
    <w:rsid w:val="00076597"/>
  </w:style>
  <w:style w:type="paragraph" w:styleId="TOCHeading">
    <w:name w:val="TOC Heading"/>
    <w:basedOn w:val="Heading1"/>
    <w:next w:val="Normal"/>
    <w:uiPriority w:val="39"/>
    <w:unhideWhenUsed/>
    <w:qFormat/>
    <w:rsid w:val="008966C7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ap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66C7"/>
    <w:pPr>
      <w:tabs>
        <w:tab w:val="left" w:pos="426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66C7"/>
    <w:pPr>
      <w:spacing w:after="100"/>
      <w:ind w:left="220"/>
    </w:pPr>
  </w:style>
  <w:style w:type="character" w:customStyle="1" w:styleId="A1">
    <w:name w:val="A1"/>
    <w:uiPriority w:val="99"/>
    <w:rsid w:val="00714F52"/>
    <w:rPr>
      <w:b/>
      <w:bCs/>
      <w:color w:val="000000"/>
      <w:sz w:val="76"/>
      <w:szCs w:val="76"/>
    </w:rPr>
  </w:style>
  <w:style w:type="character" w:customStyle="1" w:styleId="A2">
    <w:name w:val="A2"/>
    <w:uiPriority w:val="99"/>
    <w:rsid w:val="00714F52"/>
    <w:rPr>
      <w:b/>
      <w:bCs/>
      <w:color w:val="000000"/>
      <w:sz w:val="60"/>
      <w:szCs w:val="60"/>
    </w:rPr>
  </w:style>
  <w:style w:type="character" w:styleId="FollowedHyperlink">
    <w:name w:val="FollowedHyperlink"/>
    <w:basedOn w:val="DefaultParagraphFont"/>
    <w:uiPriority w:val="99"/>
    <w:semiHidden/>
    <w:unhideWhenUsed/>
    <w:rsid w:val="00826E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0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adgm.thomsonreuters.com/rulebook/guidance-regulation-digital-securities-activities-adgm" TargetMode="External"/><Relationship Id="rId1" Type="http://schemas.openxmlformats.org/officeDocument/2006/relationships/hyperlink" Target="https://en.adgm.thomsonreuters.com/rulebook/guidance-regulation-virtual-asset-activities-ad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CD0F2-0E00-4BBB-AA19-4E09D4D44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2435</Words>
  <Characters>13880</Characters>
  <Application>Microsoft Office Word</Application>
  <DocSecurity>4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Rodney Olson</dc:creator>
  <cp:keywords/>
  <dc:description/>
  <cp:lastModifiedBy>Nadra Al Marjeby</cp:lastModifiedBy>
  <cp:revision>2</cp:revision>
  <cp:lastPrinted>2020-02-24T10:36:00Z</cp:lastPrinted>
  <dcterms:created xsi:type="dcterms:W3CDTF">2020-02-26T08:39:00Z</dcterms:created>
  <dcterms:modified xsi:type="dcterms:W3CDTF">2020-02-26T08:39:00Z</dcterms:modified>
</cp:coreProperties>
</file>