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8D6F" w14:textId="77777777" w:rsidR="006261AA" w:rsidRPr="006B0843" w:rsidRDefault="006261AA" w:rsidP="006261AA">
      <w:pPr>
        <w:rPr>
          <w:rFonts w:asciiTheme="minorBidi" w:hAnsiTheme="minorBidi"/>
        </w:rPr>
      </w:pPr>
    </w:p>
    <w:p w14:paraId="3F1CC892" w14:textId="77777777" w:rsidR="006261AA" w:rsidRPr="006B0843" w:rsidRDefault="006261AA" w:rsidP="006261AA">
      <w:pPr>
        <w:rPr>
          <w:rFonts w:asciiTheme="minorBidi" w:hAnsiTheme="minorBidi"/>
        </w:rPr>
      </w:pPr>
    </w:p>
    <w:p w14:paraId="4E475C6F" w14:textId="77777777" w:rsidR="006261AA" w:rsidRPr="006B0843" w:rsidRDefault="006261AA" w:rsidP="006261AA">
      <w:pPr>
        <w:rPr>
          <w:rFonts w:asciiTheme="minorBidi" w:hAnsiTheme="minorBidi"/>
        </w:rPr>
      </w:pPr>
    </w:p>
    <w:p w14:paraId="22B1EE89" w14:textId="77777777" w:rsidR="006261AA" w:rsidRPr="006B0843" w:rsidRDefault="006261AA" w:rsidP="006261AA">
      <w:pPr>
        <w:rPr>
          <w:rFonts w:asciiTheme="minorBidi" w:hAnsiTheme="minorBidi"/>
        </w:rPr>
      </w:pPr>
    </w:p>
    <w:p w14:paraId="1F18B9F0" w14:textId="77777777" w:rsidR="006261AA" w:rsidRPr="006B0843" w:rsidRDefault="006261AA" w:rsidP="006261AA">
      <w:pPr>
        <w:rPr>
          <w:rFonts w:asciiTheme="minorBidi" w:hAnsiTheme="minorBidi"/>
        </w:rPr>
      </w:pPr>
    </w:p>
    <w:p w14:paraId="12A2008F" w14:textId="77777777" w:rsidR="006261AA" w:rsidRPr="006B0843" w:rsidRDefault="006261AA" w:rsidP="006261AA">
      <w:pPr>
        <w:rPr>
          <w:rFonts w:asciiTheme="minorBidi" w:hAnsiTheme="minorBidi"/>
        </w:rPr>
      </w:pPr>
    </w:p>
    <w:p w14:paraId="6BFC35A7" w14:textId="77777777" w:rsidR="006261AA" w:rsidRPr="006B0843" w:rsidRDefault="006261AA" w:rsidP="006261AA">
      <w:pPr>
        <w:rPr>
          <w:rFonts w:asciiTheme="minorBidi" w:hAnsiTheme="minorBidi"/>
        </w:rPr>
      </w:pPr>
    </w:p>
    <w:p w14:paraId="45A3415A" w14:textId="3338B651" w:rsidR="006261AA" w:rsidRPr="006B0843" w:rsidRDefault="006261AA" w:rsidP="006261AA">
      <w:pPr>
        <w:rPr>
          <w:rFonts w:asciiTheme="minorBidi" w:hAnsiTheme="minorBidi"/>
        </w:rPr>
      </w:pPr>
    </w:p>
    <w:p w14:paraId="230EF2F0" w14:textId="77777777" w:rsidR="006261AA" w:rsidRPr="006B0843" w:rsidRDefault="006261AA" w:rsidP="006261AA">
      <w:pPr>
        <w:tabs>
          <w:tab w:val="left" w:pos="1230"/>
        </w:tabs>
        <w:rPr>
          <w:rFonts w:asciiTheme="minorBidi" w:hAnsiTheme="minorBidi"/>
          <w:b/>
          <w:bCs/>
        </w:rPr>
      </w:pPr>
      <w:r w:rsidRPr="006B0843">
        <w:rPr>
          <w:rFonts w:asciiTheme="minorBidi" w:hAnsiTheme="minorBidi"/>
          <w:b/>
          <w:bCs/>
        </w:rPr>
        <w:tab/>
      </w:r>
    </w:p>
    <w:p w14:paraId="0F8AA17B" w14:textId="77777777" w:rsidR="006261AA" w:rsidRPr="006B0843" w:rsidRDefault="006261AA" w:rsidP="006261AA">
      <w:pPr>
        <w:jc w:val="center"/>
        <w:rPr>
          <w:rFonts w:asciiTheme="minorBidi" w:hAnsiTheme="minorBidi"/>
          <w:b/>
          <w:bCs/>
        </w:rPr>
      </w:pPr>
    </w:p>
    <w:p w14:paraId="54619950" w14:textId="7FF5758D" w:rsidR="006261AA" w:rsidRDefault="006261AA" w:rsidP="006261AA">
      <w:pPr>
        <w:jc w:val="center"/>
        <w:rPr>
          <w:rFonts w:asciiTheme="minorBidi" w:hAnsiTheme="minorBidi"/>
          <w:b/>
          <w:bCs/>
        </w:rPr>
      </w:pPr>
    </w:p>
    <w:p w14:paraId="06ABA760" w14:textId="0240B8D0" w:rsidR="00AA5EA9" w:rsidRDefault="00AA5EA9" w:rsidP="006261AA">
      <w:pPr>
        <w:jc w:val="center"/>
        <w:rPr>
          <w:rFonts w:asciiTheme="minorBidi" w:hAnsiTheme="minorBidi"/>
          <w:b/>
          <w:bCs/>
        </w:rPr>
      </w:pPr>
    </w:p>
    <w:p w14:paraId="07FEBA1D" w14:textId="7F529AEE" w:rsidR="00AA5EA9" w:rsidRDefault="00AA5EA9" w:rsidP="006261AA">
      <w:pPr>
        <w:jc w:val="center"/>
        <w:rPr>
          <w:rFonts w:asciiTheme="minorBidi" w:hAnsiTheme="minorBidi"/>
          <w:b/>
          <w:bCs/>
        </w:rPr>
      </w:pPr>
    </w:p>
    <w:p w14:paraId="1F0E89C9" w14:textId="0BC89819" w:rsidR="00AA5EA9" w:rsidRDefault="00AA5EA9" w:rsidP="006261AA">
      <w:pPr>
        <w:jc w:val="center"/>
        <w:rPr>
          <w:rFonts w:asciiTheme="minorBidi" w:hAnsiTheme="minorBidi"/>
          <w:b/>
          <w:bCs/>
        </w:rPr>
      </w:pPr>
    </w:p>
    <w:p w14:paraId="297FB3C7" w14:textId="232091B7" w:rsidR="00AA5EA9" w:rsidRDefault="00AA5EA9" w:rsidP="006261AA">
      <w:pPr>
        <w:jc w:val="center"/>
        <w:rPr>
          <w:rFonts w:asciiTheme="minorBidi" w:hAnsiTheme="minorBidi"/>
          <w:b/>
          <w:bCs/>
        </w:rPr>
      </w:pPr>
    </w:p>
    <w:p w14:paraId="3382EAB4" w14:textId="4072D155" w:rsidR="00AA5EA9" w:rsidRDefault="00AA5EA9" w:rsidP="006261AA">
      <w:pPr>
        <w:jc w:val="center"/>
        <w:rPr>
          <w:rFonts w:asciiTheme="minorBidi" w:hAnsiTheme="minorBidi"/>
          <w:b/>
          <w:bCs/>
        </w:rPr>
      </w:pPr>
    </w:p>
    <w:p w14:paraId="0FD590D5" w14:textId="0F2204E3" w:rsidR="00AA5EA9" w:rsidRDefault="00AA5EA9" w:rsidP="006261AA">
      <w:pPr>
        <w:jc w:val="center"/>
        <w:rPr>
          <w:rFonts w:asciiTheme="minorBidi" w:hAnsiTheme="minorBidi"/>
          <w:b/>
          <w:bCs/>
        </w:rPr>
      </w:pPr>
    </w:p>
    <w:p w14:paraId="27223336" w14:textId="661361AD" w:rsidR="00AA5EA9" w:rsidRDefault="00AA5EA9" w:rsidP="006261AA">
      <w:pPr>
        <w:jc w:val="center"/>
        <w:rPr>
          <w:rFonts w:asciiTheme="minorBidi" w:hAnsiTheme="minorBidi"/>
          <w:b/>
          <w:bCs/>
        </w:rPr>
      </w:pPr>
    </w:p>
    <w:p w14:paraId="1097197E" w14:textId="0FB9C2FB" w:rsidR="00AA5EA9" w:rsidRDefault="00AA5EA9" w:rsidP="006261AA">
      <w:pPr>
        <w:jc w:val="center"/>
        <w:rPr>
          <w:rFonts w:asciiTheme="minorBidi" w:hAnsiTheme="minorBidi"/>
          <w:b/>
          <w:bCs/>
        </w:rPr>
      </w:pPr>
    </w:p>
    <w:p w14:paraId="6479C03E" w14:textId="77777777" w:rsidR="00AA5EA9" w:rsidRDefault="00AA5EA9" w:rsidP="006261AA">
      <w:pPr>
        <w:jc w:val="center"/>
        <w:rPr>
          <w:rFonts w:asciiTheme="minorBidi" w:hAnsiTheme="minorBidi"/>
          <w:b/>
          <w:bCs/>
        </w:rPr>
      </w:pPr>
    </w:p>
    <w:p w14:paraId="15B1B23D" w14:textId="5D0F9364" w:rsidR="00AA5EA9" w:rsidRDefault="00AA5EA9" w:rsidP="006261AA">
      <w:pPr>
        <w:jc w:val="center"/>
        <w:rPr>
          <w:rFonts w:asciiTheme="minorBidi" w:hAnsiTheme="minorBidi"/>
          <w:b/>
          <w:bCs/>
        </w:rPr>
      </w:pPr>
    </w:p>
    <w:p w14:paraId="39965D3D" w14:textId="5883B4F1" w:rsidR="00AA5EA9" w:rsidRDefault="00AA5EA9" w:rsidP="006261AA">
      <w:pPr>
        <w:jc w:val="center"/>
        <w:rPr>
          <w:rFonts w:asciiTheme="minorBidi" w:hAnsiTheme="minorBidi"/>
          <w:b/>
          <w:bCs/>
        </w:rPr>
      </w:pPr>
    </w:p>
    <w:p w14:paraId="4FC15BD7" w14:textId="77777777" w:rsidR="00AA5EA9" w:rsidRPr="006B0843" w:rsidRDefault="00AA5EA9" w:rsidP="006261AA">
      <w:pPr>
        <w:jc w:val="center"/>
        <w:rPr>
          <w:rFonts w:asciiTheme="minorBidi" w:hAnsiTheme="minorBidi"/>
          <w:b/>
          <w:bCs/>
        </w:rPr>
      </w:pPr>
    </w:p>
    <w:p w14:paraId="3F4383A7" w14:textId="77777777" w:rsidR="006261AA" w:rsidRPr="006B0843" w:rsidRDefault="006261AA" w:rsidP="006261AA">
      <w:pPr>
        <w:jc w:val="center"/>
        <w:rPr>
          <w:rFonts w:asciiTheme="minorBidi" w:hAnsiTheme="minorBidi"/>
          <w:b/>
          <w:bCs/>
        </w:rPr>
      </w:pPr>
    </w:p>
    <w:p w14:paraId="1C1E8599" w14:textId="086BAB95" w:rsidR="006261AA" w:rsidRDefault="00206FFA" w:rsidP="00AA5EA9">
      <w:pPr>
        <w:jc w:val="center"/>
        <w:rPr>
          <w:rFonts w:asciiTheme="minorBidi" w:eastAsiaTheme="minorEastAsia" w:hAnsiTheme="minorBidi"/>
          <w:b/>
          <w:sz w:val="28"/>
          <w:szCs w:val="28"/>
          <w:u w:color="000000"/>
          <w:lang w:eastAsia="zh-CN"/>
        </w:rPr>
      </w:pPr>
      <w:r w:rsidRPr="00F32DD2">
        <w:rPr>
          <w:rFonts w:asciiTheme="minorBidi" w:eastAsiaTheme="minorEastAsia" w:hAnsiTheme="minorBidi"/>
          <w:b/>
          <w:sz w:val="28"/>
          <w:szCs w:val="28"/>
          <w:u w:color="000000"/>
          <w:lang w:eastAsia="zh-CN"/>
        </w:rPr>
        <w:t xml:space="preserve">Guidance </w:t>
      </w:r>
      <w:r w:rsidR="004C2B7F" w:rsidRPr="00F32DD2">
        <w:rPr>
          <w:rFonts w:asciiTheme="minorBidi" w:eastAsiaTheme="minorEastAsia" w:hAnsiTheme="minorBidi"/>
          <w:b/>
          <w:sz w:val="28"/>
          <w:szCs w:val="28"/>
          <w:u w:color="000000"/>
          <w:lang w:eastAsia="zh-CN"/>
        </w:rPr>
        <w:t>–</w:t>
      </w:r>
      <w:r w:rsidRPr="00F32DD2">
        <w:rPr>
          <w:rFonts w:asciiTheme="minorBidi" w:eastAsiaTheme="minorEastAsia" w:hAnsiTheme="minorBidi"/>
          <w:b/>
          <w:sz w:val="28"/>
          <w:szCs w:val="28"/>
          <w:u w:color="000000"/>
          <w:lang w:eastAsia="zh-CN"/>
        </w:rPr>
        <w:t xml:space="preserve"> </w:t>
      </w:r>
      <w:r w:rsidR="00841AFF" w:rsidRPr="00F32DD2">
        <w:rPr>
          <w:rFonts w:asciiTheme="minorBidi" w:eastAsiaTheme="minorEastAsia" w:hAnsiTheme="minorBidi"/>
          <w:b/>
          <w:sz w:val="28"/>
          <w:szCs w:val="28"/>
          <w:u w:color="000000"/>
          <w:lang w:eastAsia="zh-CN"/>
        </w:rPr>
        <w:t xml:space="preserve">Disclosure Requirements for </w:t>
      </w:r>
      <w:r w:rsidR="00661C9F" w:rsidRPr="00F32DD2">
        <w:rPr>
          <w:rFonts w:asciiTheme="minorBidi" w:eastAsiaTheme="minorEastAsia" w:hAnsiTheme="minorBidi"/>
          <w:b/>
          <w:sz w:val="28"/>
          <w:szCs w:val="28"/>
          <w:u w:color="000000"/>
          <w:lang w:eastAsia="zh-CN"/>
        </w:rPr>
        <w:t>Mining</w:t>
      </w:r>
      <w:r w:rsidR="00841AFF" w:rsidRPr="00F32DD2">
        <w:rPr>
          <w:rFonts w:asciiTheme="minorBidi" w:eastAsiaTheme="minorEastAsia" w:hAnsiTheme="minorBidi"/>
          <w:b/>
          <w:sz w:val="28"/>
          <w:szCs w:val="28"/>
          <w:u w:color="000000"/>
          <w:lang w:eastAsia="zh-CN"/>
        </w:rPr>
        <w:t xml:space="preserve"> Reporting Entities</w:t>
      </w:r>
      <w:r w:rsidR="006261AA" w:rsidRPr="00F32DD2">
        <w:rPr>
          <w:rFonts w:asciiTheme="minorBidi" w:eastAsiaTheme="minorEastAsia" w:hAnsiTheme="minorBidi"/>
          <w:b/>
          <w:sz w:val="28"/>
          <w:szCs w:val="28"/>
          <w:u w:color="000000"/>
          <w:lang w:eastAsia="zh-CN"/>
        </w:rPr>
        <w:t xml:space="preserve"> </w:t>
      </w:r>
    </w:p>
    <w:p w14:paraId="25A226AE" w14:textId="4B12165D" w:rsidR="00F32DD2" w:rsidRPr="00F32DD2" w:rsidRDefault="00F32DD2" w:rsidP="00AA5EA9">
      <w:pPr>
        <w:jc w:val="center"/>
        <w:rPr>
          <w:rFonts w:asciiTheme="minorBidi" w:hAnsiTheme="minorBidi"/>
          <w:b/>
          <w:bCs/>
          <w:color w:val="AD9961"/>
          <w:sz w:val="28"/>
          <w:szCs w:val="28"/>
        </w:rPr>
      </w:pPr>
      <w:r>
        <w:rPr>
          <w:rFonts w:asciiTheme="minorBidi" w:eastAsiaTheme="minorEastAsia" w:hAnsiTheme="minorBidi"/>
          <w:b/>
          <w:sz w:val="28"/>
          <w:szCs w:val="28"/>
          <w:u w:color="000000"/>
          <w:lang w:eastAsia="zh-CN"/>
        </w:rPr>
        <w:t>(VER01.280922)</w:t>
      </w:r>
    </w:p>
    <w:p w14:paraId="59F7EF95" w14:textId="77777777" w:rsidR="006261AA" w:rsidRPr="006B0843" w:rsidRDefault="006261AA" w:rsidP="006261AA">
      <w:pPr>
        <w:rPr>
          <w:rFonts w:asciiTheme="minorBidi" w:hAnsiTheme="minorBidi"/>
          <w:b/>
          <w:bCs/>
          <w:color w:val="AD9961"/>
        </w:rPr>
      </w:pPr>
    </w:p>
    <w:p w14:paraId="17AF1F64" w14:textId="77777777" w:rsidR="006261AA" w:rsidRPr="006B0843" w:rsidRDefault="006261AA" w:rsidP="006261AA">
      <w:pPr>
        <w:pStyle w:val="ListParagraph"/>
        <w:rPr>
          <w:rFonts w:asciiTheme="minorBidi" w:hAnsiTheme="minorBidi"/>
          <w:b/>
          <w:bCs/>
          <w:color w:val="AD9961"/>
        </w:rPr>
      </w:pPr>
    </w:p>
    <w:p w14:paraId="0B740888" w14:textId="77777777" w:rsidR="003F43D8" w:rsidRPr="006B0843" w:rsidRDefault="003F43D8" w:rsidP="006261AA">
      <w:pPr>
        <w:pStyle w:val="ListParagraph"/>
        <w:rPr>
          <w:rFonts w:asciiTheme="minorBidi" w:hAnsiTheme="minorBidi"/>
          <w:b/>
          <w:bCs/>
          <w:color w:val="AD9961"/>
        </w:rPr>
      </w:pPr>
    </w:p>
    <w:p w14:paraId="7D78124F" w14:textId="77777777" w:rsidR="003F43D8" w:rsidRPr="006B0843" w:rsidRDefault="003F43D8" w:rsidP="006261AA">
      <w:pPr>
        <w:pStyle w:val="ListParagraph"/>
        <w:rPr>
          <w:rFonts w:asciiTheme="minorBidi" w:hAnsiTheme="minorBidi"/>
          <w:b/>
          <w:bCs/>
          <w:color w:val="AD9961"/>
        </w:rPr>
      </w:pPr>
    </w:p>
    <w:p w14:paraId="0263624B" w14:textId="77777777" w:rsidR="003F43D8" w:rsidRPr="006B0843" w:rsidRDefault="003F43D8" w:rsidP="006261AA">
      <w:pPr>
        <w:pStyle w:val="ListParagraph"/>
        <w:rPr>
          <w:rFonts w:asciiTheme="minorBidi" w:hAnsiTheme="minorBidi"/>
          <w:b/>
          <w:bCs/>
          <w:color w:val="AD9961"/>
        </w:rPr>
      </w:pPr>
    </w:p>
    <w:p w14:paraId="39BE7D3C" w14:textId="77777777" w:rsidR="003F43D8" w:rsidRPr="006B0843" w:rsidRDefault="003F43D8" w:rsidP="006261AA">
      <w:pPr>
        <w:pStyle w:val="ListParagraph"/>
        <w:rPr>
          <w:rFonts w:asciiTheme="minorBidi" w:hAnsiTheme="minorBidi"/>
          <w:b/>
          <w:bCs/>
          <w:color w:val="AD9961"/>
        </w:rPr>
      </w:pPr>
    </w:p>
    <w:p w14:paraId="5BD74429" w14:textId="77777777" w:rsidR="003F43D8" w:rsidRPr="006B0843" w:rsidRDefault="003F43D8" w:rsidP="006261AA">
      <w:pPr>
        <w:pStyle w:val="ListParagraph"/>
        <w:rPr>
          <w:rFonts w:asciiTheme="minorBidi" w:hAnsiTheme="minorBidi"/>
          <w:b/>
          <w:bCs/>
          <w:color w:val="AD9961"/>
        </w:rPr>
      </w:pPr>
    </w:p>
    <w:p w14:paraId="6C5EAFCF" w14:textId="77777777" w:rsidR="003F43D8" w:rsidRPr="006B0843" w:rsidRDefault="003F43D8" w:rsidP="006261AA">
      <w:pPr>
        <w:pStyle w:val="ListParagraph"/>
        <w:rPr>
          <w:rFonts w:asciiTheme="minorBidi" w:hAnsiTheme="minorBidi"/>
          <w:b/>
          <w:bCs/>
          <w:color w:val="AD9961"/>
        </w:rPr>
      </w:pPr>
    </w:p>
    <w:p w14:paraId="078B8D04" w14:textId="77777777" w:rsidR="003F43D8" w:rsidRPr="006B0843" w:rsidRDefault="003F43D8" w:rsidP="006261AA">
      <w:pPr>
        <w:pStyle w:val="ListParagraph"/>
        <w:rPr>
          <w:rFonts w:asciiTheme="minorBidi" w:hAnsiTheme="minorBidi"/>
          <w:b/>
          <w:bCs/>
          <w:color w:val="AD9961"/>
        </w:rPr>
      </w:pPr>
    </w:p>
    <w:p w14:paraId="0FAD8CD3" w14:textId="77777777" w:rsidR="003F43D8" w:rsidRPr="006B0843" w:rsidRDefault="003F43D8" w:rsidP="006261AA">
      <w:pPr>
        <w:pStyle w:val="ListParagraph"/>
        <w:rPr>
          <w:rFonts w:asciiTheme="minorBidi" w:hAnsiTheme="minorBidi"/>
          <w:b/>
          <w:bCs/>
          <w:color w:val="AD9961"/>
        </w:rPr>
      </w:pPr>
    </w:p>
    <w:p w14:paraId="1000413D" w14:textId="77777777" w:rsidR="003F43D8" w:rsidRPr="006B0843" w:rsidRDefault="003F43D8" w:rsidP="006261AA">
      <w:pPr>
        <w:pStyle w:val="ListParagraph"/>
        <w:rPr>
          <w:rFonts w:asciiTheme="minorBidi" w:hAnsiTheme="minorBidi"/>
          <w:b/>
          <w:bCs/>
          <w:color w:val="AD9961"/>
        </w:rPr>
      </w:pPr>
    </w:p>
    <w:p w14:paraId="6FC99BE7" w14:textId="77777777" w:rsidR="006261AA" w:rsidRPr="006B0843" w:rsidRDefault="006261AA" w:rsidP="006261AA">
      <w:pPr>
        <w:pStyle w:val="ListParagraph"/>
        <w:rPr>
          <w:rFonts w:asciiTheme="minorBidi" w:hAnsiTheme="minorBidi"/>
          <w:b/>
          <w:bCs/>
          <w:color w:val="AD9961"/>
        </w:rPr>
      </w:pPr>
    </w:p>
    <w:p w14:paraId="246ECDF4" w14:textId="77777777" w:rsidR="006261AA" w:rsidRPr="006B0843" w:rsidRDefault="006261AA" w:rsidP="00206FFA">
      <w:pPr>
        <w:ind w:left="360"/>
        <w:rPr>
          <w:rFonts w:asciiTheme="minorBidi" w:hAnsiTheme="minorBidi"/>
          <w:b/>
          <w:bCs/>
          <w:color w:val="AD9961"/>
        </w:rPr>
      </w:pPr>
    </w:p>
    <w:p w14:paraId="49DFC5CF" w14:textId="77777777" w:rsidR="003D42CD" w:rsidRPr="006B0843" w:rsidRDefault="003D42CD" w:rsidP="00206FFA">
      <w:pPr>
        <w:ind w:left="360"/>
        <w:rPr>
          <w:rFonts w:asciiTheme="minorBidi" w:hAnsiTheme="minorBidi"/>
          <w:b/>
          <w:bCs/>
          <w:color w:val="AD9961"/>
        </w:rPr>
      </w:pPr>
    </w:p>
    <w:p w14:paraId="28B46A92" w14:textId="77777777" w:rsidR="006261AA" w:rsidRPr="006B0843" w:rsidRDefault="006261AA" w:rsidP="006261AA">
      <w:pPr>
        <w:jc w:val="center"/>
        <w:rPr>
          <w:rFonts w:asciiTheme="minorBidi" w:hAnsiTheme="minorBidi"/>
        </w:rPr>
      </w:pPr>
    </w:p>
    <w:p w14:paraId="4DC8136E" w14:textId="77777777" w:rsidR="001C4A2D" w:rsidRDefault="001C4A2D" w:rsidP="006261AA">
      <w:pPr>
        <w:spacing w:before="120" w:after="120"/>
        <w:rPr>
          <w:rFonts w:asciiTheme="minorBidi" w:hAnsiTheme="minorBidi"/>
          <w:b/>
          <w:bCs/>
        </w:rPr>
        <w:sectPr w:rsidR="001C4A2D">
          <w:headerReference w:type="default" r:id="rId8"/>
          <w:footerReference w:type="default" r:id="rId9"/>
          <w:pgSz w:w="11906" w:h="16838"/>
          <w:pgMar w:top="1440" w:right="1440" w:bottom="1440" w:left="1440" w:header="708" w:footer="708" w:gutter="0"/>
          <w:cols w:space="708"/>
          <w:docGrid w:linePitch="360"/>
        </w:sectPr>
      </w:pPr>
    </w:p>
    <w:sdt>
      <w:sdtPr>
        <w:rPr>
          <w:rFonts w:asciiTheme="minorBidi" w:eastAsiaTheme="minorHAnsi" w:hAnsiTheme="minorBidi" w:cstheme="minorBidi"/>
          <w:b w:val="0"/>
          <w:sz w:val="22"/>
          <w:szCs w:val="22"/>
          <w:lang w:val="en-GB"/>
        </w:rPr>
        <w:id w:val="-1187207621"/>
        <w:docPartObj>
          <w:docPartGallery w:val="Table of Contents"/>
          <w:docPartUnique/>
        </w:docPartObj>
      </w:sdtPr>
      <w:sdtEndPr>
        <w:rPr>
          <w:bCs/>
          <w:noProof/>
        </w:rPr>
      </w:sdtEndPr>
      <w:sdtContent>
        <w:p w14:paraId="5999B4B5" w14:textId="0FD59235" w:rsidR="006261AA" w:rsidRPr="006B0843" w:rsidRDefault="001C4A2D" w:rsidP="001C4A2D">
          <w:pPr>
            <w:pStyle w:val="TOCHeading"/>
            <w:jc w:val="center"/>
            <w:rPr>
              <w:rFonts w:asciiTheme="minorBidi" w:hAnsiTheme="minorBidi" w:cstheme="minorBidi"/>
              <w:sz w:val="22"/>
              <w:szCs w:val="22"/>
            </w:rPr>
          </w:pPr>
          <w:r w:rsidRPr="006B0843">
            <w:rPr>
              <w:rFonts w:asciiTheme="minorBidi" w:hAnsiTheme="minorBidi" w:cstheme="minorBidi"/>
              <w:sz w:val="22"/>
              <w:szCs w:val="22"/>
            </w:rPr>
            <w:t>TABLE OF CONTENTS</w:t>
          </w:r>
        </w:p>
        <w:p w14:paraId="19F31A3B" w14:textId="1D329B54" w:rsidR="004E4FDB" w:rsidRPr="006B0843" w:rsidRDefault="006261AA">
          <w:pPr>
            <w:pStyle w:val="TOC1"/>
            <w:rPr>
              <w:rFonts w:asciiTheme="minorBidi" w:eastAsiaTheme="minorEastAsia" w:hAnsiTheme="minorBidi"/>
              <w:noProof/>
              <w:lang w:eastAsia="en-GB"/>
            </w:rPr>
          </w:pPr>
          <w:r w:rsidRPr="006B0843">
            <w:rPr>
              <w:rFonts w:asciiTheme="minorBidi" w:hAnsiTheme="minorBidi"/>
            </w:rPr>
            <w:fldChar w:fldCharType="begin"/>
          </w:r>
          <w:r w:rsidRPr="006B0843">
            <w:rPr>
              <w:rFonts w:asciiTheme="minorBidi" w:hAnsiTheme="minorBidi"/>
            </w:rPr>
            <w:instrText xml:space="preserve"> TOC \o "1-3" \h \z \u </w:instrText>
          </w:r>
          <w:r w:rsidRPr="006B0843">
            <w:rPr>
              <w:rFonts w:asciiTheme="minorBidi" w:hAnsiTheme="minorBidi"/>
            </w:rPr>
            <w:fldChar w:fldCharType="separate"/>
          </w:r>
          <w:hyperlink w:anchor="_Toc43963843" w:history="1">
            <w:r w:rsidR="004E4FDB" w:rsidRPr="006B0843">
              <w:rPr>
                <w:rStyle w:val="Hyperlink"/>
                <w:rFonts w:asciiTheme="minorBidi" w:hAnsiTheme="minorBidi"/>
                <w:noProof/>
              </w:rPr>
              <w:t>INTRODUCTION</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_Toc43963843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w:t>
            </w:r>
            <w:r w:rsidR="004E4FDB" w:rsidRPr="006B0843">
              <w:rPr>
                <w:rFonts w:asciiTheme="minorBidi" w:hAnsiTheme="minorBidi"/>
                <w:noProof/>
                <w:webHidden/>
              </w:rPr>
              <w:fldChar w:fldCharType="end"/>
            </w:r>
          </w:hyperlink>
        </w:p>
        <w:p w14:paraId="1E4211D1" w14:textId="61FDAE83" w:rsidR="004E4FDB" w:rsidRPr="006B0843" w:rsidRDefault="00061497">
          <w:pPr>
            <w:pStyle w:val="TOC1"/>
            <w:rPr>
              <w:rFonts w:asciiTheme="minorBidi" w:eastAsiaTheme="minorEastAsia" w:hAnsiTheme="minorBidi"/>
              <w:noProof/>
              <w:lang w:eastAsia="en-GB"/>
            </w:rPr>
          </w:pPr>
          <w:hyperlink w:anchor="_Toc43963844" w:history="1">
            <w:r w:rsidR="004E4FDB" w:rsidRPr="006B0843">
              <w:rPr>
                <w:rStyle w:val="Hyperlink"/>
                <w:rFonts w:asciiTheme="minorBidi" w:hAnsiTheme="minorBidi"/>
                <w:noProof/>
              </w:rPr>
              <w:t>DISCLOSURES TO BE PREPARED IN ACCORDANCE WITH THE MINING REPORTING STANDARDS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_Toc43963844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w:t>
            </w:r>
            <w:r w:rsidR="004E4FDB" w:rsidRPr="006B0843">
              <w:rPr>
                <w:rFonts w:asciiTheme="minorBidi" w:hAnsiTheme="minorBidi"/>
                <w:noProof/>
                <w:webHidden/>
              </w:rPr>
              <w:fldChar w:fldCharType="end"/>
            </w:r>
          </w:hyperlink>
        </w:p>
        <w:p w14:paraId="67B2443B" w14:textId="5384DDFF" w:rsidR="004E4FDB" w:rsidRPr="006B0843" w:rsidRDefault="00061497">
          <w:pPr>
            <w:pStyle w:val="TOC1"/>
            <w:rPr>
              <w:rFonts w:asciiTheme="minorBidi" w:eastAsiaTheme="minorEastAsia" w:hAnsiTheme="minorBidi"/>
              <w:noProof/>
              <w:lang w:eastAsia="en-GB"/>
            </w:rPr>
          </w:pPr>
          <w:hyperlink w:anchor="_Toc43963845" w:history="1">
            <w:r w:rsidR="004E4FDB" w:rsidRPr="006B0843">
              <w:rPr>
                <w:rStyle w:val="Hyperlink"/>
                <w:rFonts w:asciiTheme="minorBidi" w:hAnsiTheme="minorBidi"/>
                <w:noProof/>
              </w:rPr>
              <w:t>CONCEPTS RELATING TO THE DISCLOSURE OF MINING ACTIVITIES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_Toc43963845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3</w:t>
            </w:r>
            <w:r w:rsidR="004E4FDB" w:rsidRPr="006B0843">
              <w:rPr>
                <w:rFonts w:asciiTheme="minorBidi" w:hAnsiTheme="minorBidi"/>
                <w:noProof/>
                <w:webHidden/>
              </w:rPr>
              <w:fldChar w:fldCharType="end"/>
            </w:r>
          </w:hyperlink>
        </w:p>
        <w:p w14:paraId="3CF08C50" w14:textId="1D447D7B" w:rsidR="004E4FDB" w:rsidRPr="006B0843" w:rsidRDefault="00061497">
          <w:pPr>
            <w:pStyle w:val="TOC2"/>
            <w:tabs>
              <w:tab w:val="right" w:leader="dot" w:pos="9016"/>
            </w:tabs>
            <w:rPr>
              <w:rFonts w:asciiTheme="minorBidi" w:eastAsiaTheme="minorEastAsia" w:hAnsiTheme="minorBidi"/>
              <w:noProof/>
              <w:lang w:eastAsia="en-GB"/>
            </w:rPr>
          </w:pPr>
          <w:hyperlink w:anchor="_Toc43963846" w:history="1">
            <w:r w:rsidR="004E4FDB" w:rsidRPr="006B0843">
              <w:rPr>
                <w:rStyle w:val="Hyperlink"/>
                <w:rFonts w:asciiTheme="minorBidi" w:hAnsiTheme="minorBidi"/>
                <w:noProof/>
              </w:rPr>
              <w:t>What is a ‘Mining Reporting Entity’?</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_Toc43963846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3</w:t>
            </w:r>
            <w:r w:rsidR="004E4FDB" w:rsidRPr="006B0843">
              <w:rPr>
                <w:rFonts w:asciiTheme="minorBidi" w:hAnsiTheme="minorBidi"/>
                <w:noProof/>
                <w:webHidden/>
              </w:rPr>
              <w:fldChar w:fldCharType="end"/>
            </w:r>
          </w:hyperlink>
        </w:p>
        <w:p w14:paraId="73439CB8" w14:textId="629A3445" w:rsidR="004E4FDB" w:rsidRPr="006B0843" w:rsidRDefault="00061497">
          <w:pPr>
            <w:pStyle w:val="TOC2"/>
            <w:tabs>
              <w:tab w:val="right" w:leader="dot" w:pos="9016"/>
            </w:tabs>
            <w:rPr>
              <w:rFonts w:asciiTheme="minorBidi" w:eastAsiaTheme="minorEastAsia" w:hAnsiTheme="minorBidi"/>
              <w:noProof/>
              <w:lang w:eastAsia="en-GB"/>
            </w:rPr>
          </w:pPr>
          <w:hyperlink w:anchor="_Toc43963847" w:history="1">
            <w:r w:rsidR="004E4FDB" w:rsidRPr="006B0843">
              <w:rPr>
                <w:rStyle w:val="Hyperlink"/>
                <w:rFonts w:asciiTheme="minorBidi" w:hAnsiTheme="minorBidi"/>
                <w:noProof/>
              </w:rPr>
              <w:t>Mining Projects and materiality</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_Toc43963847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3</w:t>
            </w:r>
            <w:r w:rsidR="004E4FDB" w:rsidRPr="006B0843">
              <w:rPr>
                <w:rFonts w:asciiTheme="minorBidi" w:hAnsiTheme="minorBidi"/>
                <w:noProof/>
                <w:webHidden/>
              </w:rPr>
              <w:fldChar w:fldCharType="end"/>
            </w:r>
          </w:hyperlink>
        </w:p>
        <w:p w14:paraId="03E03FE0" w14:textId="78741D6D" w:rsidR="004E4FDB" w:rsidRPr="006B0843" w:rsidRDefault="00061497">
          <w:pPr>
            <w:pStyle w:val="TOC2"/>
            <w:tabs>
              <w:tab w:val="right" w:leader="dot" w:pos="9016"/>
            </w:tabs>
            <w:rPr>
              <w:rFonts w:asciiTheme="minorBidi" w:eastAsiaTheme="minorEastAsia" w:hAnsiTheme="minorBidi"/>
              <w:noProof/>
              <w:lang w:eastAsia="en-GB"/>
            </w:rPr>
          </w:pPr>
          <w:hyperlink w:anchor="_Toc43963848" w:history="1">
            <w:r w:rsidR="004E4FDB" w:rsidRPr="006B0843">
              <w:rPr>
                <w:rStyle w:val="Hyperlink"/>
                <w:rFonts w:asciiTheme="minorBidi" w:hAnsiTheme="minorBidi"/>
                <w:noProof/>
              </w:rPr>
              <w:t>What is a material change in estimates?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_Toc43963848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4</w:t>
            </w:r>
            <w:r w:rsidR="004E4FDB" w:rsidRPr="006B0843">
              <w:rPr>
                <w:rFonts w:asciiTheme="minorBidi" w:hAnsiTheme="minorBidi"/>
                <w:noProof/>
                <w:webHidden/>
              </w:rPr>
              <w:fldChar w:fldCharType="end"/>
            </w:r>
          </w:hyperlink>
        </w:p>
        <w:p w14:paraId="4CFF1FC2" w14:textId="3D61831A" w:rsidR="004E4FDB" w:rsidRPr="006B0843" w:rsidRDefault="00061497">
          <w:pPr>
            <w:pStyle w:val="TOC1"/>
            <w:rPr>
              <w:rFonts w:asciiTheme="minorBidi" w:eastAsiaTheme="minorEastAsia" w:hAnsiTheme="minorBidi"/>
              <w:noProof/>
              <w:lang w:eastAsia="en-GB"/>
            </w:rPr>
          </w:pPr>
          <w:hyperlink w:anchor="_Toc43963849" w:history="1">
            <w:r w:rsidR="004E4FDB" w:rsidRPr="006B0843">
              <w:rPr>
                <w:rStyle w:val="Hyperlink"/>
                <w:rFonts w:asciiTheme="minorBidi" w:hAnsiTheme="minorBidi"/>
                <w:noProof/>
              </w:rPr>
              <w:t>PROSPECTUS DISCLOSURE</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_Toc43963849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5</w:t>
            </w:r>
            <w:r w:rsidR="004E4FDB" w:rsidRPr="006B0843">
              <w:rPr>
                <w:rFonts w:asciiTheme="minorBidi" w:hAnsiTheme="minorBidi"/>
                <w:noProof/>
                <w:webHidden/>
              </w:rPr>
              <w:fldChar w:fldCharType="end"/>
            </w:r>
          </w:hyperlink>
        </w:p>
        <w:p w14:paraId="727235D5" w14:textId="57F669E4" w:rsidR="004E4FDB" w:rsidRPr="006B0843" w:rsidRDefault="00061497">
          <w:pPr>
            <w:pStyle w:val="TOC2"/>
            <w:tabs>
              <w:tab w:val="right" w:leader="dot" w:pos="9016"/>
            </w:tabs>
            <w:rPr>
              <w:rFonts w:asciiTheme="minorBidi" w:eastAsiaTheme="minorEastAsia" w:hAnsiTheme="minorBidi"/>
              <w:noProof/>
              <w:lang w:eastAsia="en-GB"/>
            </w:rPr>
          </w:pPr>
          <w:hyperlink w:anchor="_Toc43963850" w:history="1">
            <w:r w:rsidR="004E4FDB" w:rsidRPr="006B0843">
              <w:rPr>
                <w:rStyle w:val="Hyperlink"/>
                <w:rFonts w:asciiTheme="minorBidi" w:hAnsiTheme="minorBidi"/>
                <w:noProof/>
              </w:rPr>
              <w:t>Valuation Reports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_Toc43963850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5</w:t>
            </w:r>
            <w:r w:rsidR="004E4FDB" w:rsidRPr="006B0843">
              <w:rPr>
                <w:rFonts w:asciiTheme="minorBidi" w:hAnsiTheme="minorBidi"/>
                <w:noProof/>
                <w:webHidden/>
              </w:rPr>
              <w:fldChar w:fldCharType="end"/>
            </w:r>
          </w:hyperlink>
        </w:p>
        <w:p w14:paraId="22881CD9" w14:textId="491273D1" w:rsidR="004E4FDB" w:rsidRPr="006B0843" w:rsidRDefault="00061497">
          <w:pPr>
            <w:pStyle w:val="TOC2"/>
            <w:tabs>
              <w:tab w:val="right" w:leader="dot" w:pos="9016"/>
            </w:tabs>
            <w:rPr>
              <w:rFonts w:asciiTheme="minorBidi" w:eastAsiaTheme="minorEastAsia" w:hAnsiTheme="minorBidi"/>
              <w:noProof/>
              <w:lang w:eastAsia="en-GB"/>
            </w:rPr>
          </w:pPr>
          <w:hyperlink w:anchor="_Toc43963851" w:history="1">
            <w:r w:rsidR="004E4FDB" w:rsidRPr="006B0843">
              <w:rPr>
                <w:rStyle w:val="Hyperlink"/>
                <w:rFonts w:asciiTheme="minorBidi" w:hAnsiTheme="minorBidi"/>
                <w:noProof/>
              </w:rPr>
              <w:t>Operating in a sustainable manner</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_Toc43963851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5</w:t>
            </w:r>
            <w:r w:rsidR="004E4FDB" w:rsidRPr="006B0843">
              <w:rPr>
                <w:rFonts w:asciiTheme="minorBidi" w:hAnsiTheme="minorBidi"/>
                <w:noProof/>
                <w:webHidden/>
              </w:rPr>
              <w:fldChar w:fldCharType="end"/>
            </w:r>
          </w:hyperlink>
        </w:p>
        <w:p w14:paraId="5AC77D08" w14:textId="56F4D89A" w:rsidR="004E4FDB" w:rsidRPr="006B0843" w:rsidRDefault="00061497">
          <w:pPr>
            <w:pStyle w:val="TOC1"/>
            <w:rPr>
              <w:rFonts w:asciiTheme="minorBidi" w:eastAsiaTheme="minorEastAsia" w:hAnsiTheme="minorBidi"/>
              <w:noProof/>
              <w:lang w:eastAsia="en-GB"/>
            </w:rPr>
          </w:pPr>
          <w:hyperlink w:anchor="_Toc43963852" w:history="1">
            <w:r w:rsidR="004E4FDB" w:rsidRPr="006B0843">
              <w:rPr>
                <w:rStyle w:val="Hyperlink"/>
                <w:rFonts w:asciiTheme="minorBidi" w:hAnsiTheme="minorBidi"/>
                <w:noProof/>
              </w:rPr>
              <w:t>EXPLORATION TARGETS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_Toc43963852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6</w:t>
            </w:r>
            <w:r w:rsidR="004E4FDB" w:rsidRPr="006B0843">
              <w:rPr>
                <w:rFonts w:asciiTheme="minorBidi" w:hAnsiTheme="minorBidi"/>
                <w:noProof/>
                <w:webHidden/>
              </w:rPr>
              <w:fldChar w:fldCharType="end"/>
            </w:r>
          </w:hyperlink>
        </w:p>
        <w:p w14:paraId="321491B2" w14:textId="011B1F2A" w:rsidR="004E4FDB" w:rsidRPr="006B0843" w:rsidRDefault="00061497">
          <w:pPr>
            <w:pStyle w:val="TOC1"/>
            <w:rPr>
              <w:rFonts w:asciiTheme="minorBidi" w:eastAsiaTheme="minorEastAsia" w:hAnsiTheme="minorBidi"/>
              <w:noProof/>
              <w:lang w:eastAsia="en-GB"/>
            </w:rPr>
          </w:pPr>
          <w:hyperlink w:anchor="_Toc43963853" w:history="1">
            <w:r w:rsidR="004E4FDB" w:rsidRPr="006B0843">
              <w:rPr>
                <w:rStyle w:val="Hyperlink"/>
                <w:rFonts w:asciiTheme="minorBidi" w:hAnsiTheme="minorBidi"/>
                <w:noProof/>
              </w:rPr>
              <w:t>EXPLORATION RESULTS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_Toc43963853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6</w:t>
            </w:r>
            <w:r w:rsidR="004E4FDB" w:rsidRPr="006B0843">
              <w:rPr>
                <w:rFonts w:asciiTheme="minorBidi" w:hAnsiTheme="minorBidi"/>
                <w:noProof/>
                <w:webHidden/>
              </w:rPr>
              <w:fldChar w:fldCharType="end"/>
            </w:r>
          </w:hyperlink>
        </w:p>
        <w:p w14:paraId="5A2621D2" w14:textId="49B4E6AA" w:rsidR="004E4FDB" w:rsidRPr="006B0843" w:rsidRDefault="00061497">
          <w:pPr>
            <w:pStyle w:val="TOC1"/>
            <w:rPr>
              <w:rFonts w:asciiTheme="minorBidi" w:eastAsiaTheme="minorEastAsia" w:hAnsiTheme="minorBidi"/>
              <w:noProof/>
              <w:lang w:eastAsia="en-GB"/>
            </w:rPr>
          </w:pPr>
          <w:hyperlink w:anchor="_Toc43963854" w:history="1">
            <w:r w:rsidR="004E4FDB" w:rsidRPr="006B0843">
              <w:rPr>
                <w:rStyle w:val="Hyperlink"/>
                <w:rFonts w:asciiTheme="minorBidi" w:hAnsiTheme="minorBidi"/>
                <w:noProof/>
              </w:rPr>
              <w:t>MINERAL RESOURCES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_Toc43963854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7</w:t>
            </w:r>
            <w:r w:rsidR="004E4FDB" w:rsidRPr="006B0843">
              <w:rPr>
                <w:rFonts w:asciiTheme="minorBidi" w:hAnsiTheme="minorBidi"/>
                <w:noProof/>
                <w:webHidden/>
              </w:rPr>
              <w:fldChar w:fldCharType="end"/>
            </w:r>
          </w:hyperlink>
        </w:p>
        <w:p w14:paraId="03EC4C0F" w14:textId="31A6D038" w:rsidR="004E4FDB" w:rsidRPr="006B0843" w:rsidRDefault="00061497">
          <w:pPr>
            <w:pStyle w:val="TOC1"/>
            <w:rPr>
              <w:rFonts w:asciiTheme="minorBidi" w:eastAsiaTheme="minorEastAsia" w:hAnsiTheme="minorBidi"/>
              <w:noProof/>
              <w:lang w:eastAsia="en-GB"/>
            </w:rPr>
          </w:pPr>
          <w:hyperlink w:anchor="_Toc43963855" w:history="1">
            <w:r w:rsidR="004E4FDB" w:rsidRPr="006B0843">
              <w:rPr>
                <w:rStyle w:val="Hyperlink"/>
                <w:rFonts w:asciiTheme="minorBidi" w:hAnsiTheme="minorBidi"/>
                <w:noProof/>
              </w:rPr>
              <w:t>ORE RESERVES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_Toc43963855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8</w:t>
            </w:r>
            <w:r w:rsidR="004E4FDB" w:rsidRPr="006B0843">
              <w:rPr>
                <w:rFonts w:asciiTheme="minorBidi" w:hAnsiTheme="minorBidi"/>
                <w:noProof/>
                <w:webHidden/>
              </w:rPr>
              <w:fldChar w:fldCharType="end"/>
            </w:r>
          </w:hyperlink>
        </w:p>
        <w:p w14:paraId="1B2E9BF7" w14:textId="6A77CA8A" w:rsidR="004E4FDB" w:rsidRPr="006B0843" w:rsidRDefault="00061497">
          <w:pPr>
            <w:pStyle w:val="TOC1"/>
            <w:rPr>
              <w:rFonts w:asciiTheme="minorBidi" w:eastAsiaTheme="minorEastAsia" w:hAnsiTheme="minorBidi"/>
              <w:noProof/>
              <w:lang w:eastAsia="en-GB"/>
            </w:rPr>
          </w:pPr>
          <w:hyperlink w:anchor="_Toc43963856" w:history="1">
            <w:r w:rsidR="004E4FDB" w:rsidRPr="006B0843">
              <w:rPr>
                <w:rStyle w:val="Hyperlink"/>
                <w:rFonts w:asciiTheme="minorBidi" w:hAnsiTheme="minorBidi"/>
                <w:noProof/>
              </w:rPr>
              <w:t>NON-EQUIVALENT ESTIMATES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_Toc43963856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9</w:t>
            </w:r>
            <w:r w:rsidR="004E4FDB" w:rsidRPr="006B0843">
              <w:rPr>
                <w:rFonts w:asciiTheme="minorBidi" w:hAnsiTheme="minorBidi"/>
                <w:noProof/>
                <w:webHidden/>
              </w:rPr>
              <w:fldChar w:fldCharType="end"/>
            </w:r>
          </w:hyperlink>
        </w:p>
        <w:p w14:paraId="66221544" w14:textId="32EF5536" w:rsidR="004E4FDB" w:rsidRPr="006B0843" w:rsidRDefault="00061497">
          <w:pPr>
            <w:pStyle w:val="TOC2"/>
            <w:tabs>
              <w:tab w:val="right" w:leader="dot" w:pos="9016"/>
            </w:tabs>
            <w:rPr>
              <w:rFonts w:asciiTheme="minorBidi" w:eastAsiaTheme="minorEastAsia" w:hAnsiTheme="minorBidi"/>
              <w:noProof/>
              <w:lang w:eastAsia="en-GB"/>
            </w:rPr>
          </w:pPr>
          <w:hyperlink w:anchor="_Toc43963857" w:history="1">
            <w:r w:rsidR="004E4FDB" w:rsidRPr="006B0843">
              <w:rPr>
                <w:rStyle w:val="Hyperlink"/>
                <w:rFonts w:asciiTheme="minorBidi" w:hAnsiTheme="minorBidi"/>
                <w:noProof/>
              </w:rPr>
              <w:t>When can Non-Equivalent Estimates be disclosed?</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_Toc43963857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9</w:t>
            </w:r>
            <w:r w:rsidR="004E4FDB" w:rsidRPr="006B0843">
              <w:rPr>
                <w:rFonts w:asciiTheme="minorBidi" w:hAnsiTheme="minorBidi"/>
                <w:noProof/>
                <w:webHidden/>
              </w:rPr>
              <w:fldChar w:fldCharType="end"/>
            </w:r>
          </w:hyperlink>
        </w:p>
        <w:p w14:paraId="4496B6EE" w14:textId="256D43BC" w:rsidR="004E4FDB" w:rsidRPr="006B0843" w:rsidRDefault="00061497">
          <w:pPr>
            <w:pStyle w:val="TOC2"/>
            <w:tabs>
              <w:tab w:val="right" w:leader="dot" w:pos="9016"/>
            </w:tabs>
            <w:rPr>
              <w:rFonts w:asciiTheme="minorBidi" w:eastAsiaTheme="minorEastAsia" w:hAnsiTheme="minorBidi"/>
              <w:noProof/>
              <w:lang w:eastAsia="en-GB"/>
            </w:rPr>
          </w:pPr>
          <w:hyperlink w:anchor="_Toc43963858" w:history="1">
            <w:r w:rsidR="004E4FDB" w:rsidRPr="006B0843">
              <w:rPr>
                <w:rStyle w:val="Hyperlink"/>
                <w:rFonts w:asciiTheme="minorBidi" w:hAnsiTheme="minorBidi"/>
                <w:noProof/>
              </w:rPr>
              <w:t>Non-Equivalent Estimates disclosure requirements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_Toc43963858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10</w:t>
            </w:r>
            <w:r w:rsidR="004E4FDB" w:rsidRPr="006B0843">
              <w:rPr>
                <w:rFonts w:asciiTheme="minorBidi" w:hAnsiTheme="minorBidi"/>
                <w:noProof/>
                <w:webHidden/>
              </w:rPr>
              <w:fldChar w:fldCharType="end"/>
            </w:r>
          </w:hyperlink>
        </w:p>
        <w:p w14:paraId="64F4B182" w14:textId="15834E6A" w:rsidR="004E4FDB" w:rsidRPr="006B0843" w:rsidRDefault="00061497">
          <w:pPr>
            <w:pStyle w:val="TOC2"/>
            <w:tabs>
              <w:tab w:val="right" w:leader="dot" w:pos="9016"/>
            </w:tabs>
            <w:rPr>
              <w:rFonts w:asciiTheme="minorBidi" w:eastAsiaTheme="minorEastAsia" w:hAnsiTheme="minorBidi"/>
              <w:noProof/>
              <w:lang w:eastAsia="en-GB"/>
            </w:rPr>
          </w:pPr>
          <w:hyperlink w:anchor="_Toc43963859" w:history="1">
            <w:r w:rsidR="004E4FDB" w:rsidRPr="006B0843">
              <w:rPr>
                <w:rStyle w:val="Hyperlink"/>
                <w:rFonts w:asciiTheme="minorBidi" w:hAnsiTheme="minorBidi"/>
                <w:noProof/>
              </w:rPr>
              <w:t>Summary of Reserves and Resources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_Toc43963859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10</w:t>
            </w:r>
            <w:r w:rsidR="004E4FDB" w:rsidRPr="006B0843">
              <w:rPr>
                <w:rFonts w:asciiTheme="minorBidi" w:hAnsiTheme="minorBidi"/>
                <w:noProof/>
                <w:webHidden/>
              </w:rPr>
              <w:fldChar w:fldCharType="end"/>
            </w:r>
          </w:hyperlink>
        </w:p>
        <w:p w14:paraId="1A4ABB65" w14:textId="398EF226" w:rsidR="004E4FDB" w:rsidRPr="006B0843" w:rsidRDefault="00061497">
          <w:pPr>
            <w:pStyle w:val="TOC1"/>
            <w:rPr>
              <w:rFonts w:asciiTheme="minorBidi" w:eastAsiaTheme="minorEastAsia" w:hAnsiTheme="minorBidi"/>
              <w:noProof/>
              <w:lang w:eastAsia="en-GB"/>
            </w:rPr>
          </w:pPr>
          <w:hyperlink w:anchor="_Toc43963860" w:history="1">
            <w:r w:rsidR="004E4FDB" w:rsidRPr="006B0843">
              <w:rPr>
                <w:rStyle w:val="Hyperlink"/>
                <w:rFonts w:asciiTheme="minorBidi" w:hAnsiTheme="minorBidi"/>
                <w:noProof/>
              </w:rPr>
              <w:t>PRODUCTION TARGETS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_Toc43963860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11</w:t>
            </w:r>
            <w:r w:rsidR="004E4FDB" w:rsidRPr="006B0843">
              <w:rPr>
                <w:rFonts w:asciiTheme="minorBidi" w:hAnsiTheme="minorBidi"/>
                <w:noProof/>
                <w:webHidden/>
              </w:rPr>
              <w:fldChar w:fldCharType="end"/>
            </w:r>
          </w:hyperlink>
        </w:p>
        <w:p w14:paraId="4003CC23" w14:textId="7AF6BAC3" w:rsidR="004E4FDB" w:rsidRPr="006B0843" w:rsidRDefault="00061497">
          <w:pPr>
            <w:pStyle w:val="TOC2"/>
            <w:tabs>
              <w:tab w:val="right" w:leader="dot" w:pos="9016"/>
            </w:tabs>
            <w:rPr>
              <w:rFonts w:asciiTheme="minorBidi" w:eastAsiaTheme="minorEastAsia" w:hAnsiTheme="minorBidi"/>
              <w:noProof/>
              <w:lang w:eastAsia="en-GB"/>
            </w:rPr>
          </w:pPr>
          <w:hyperlink w:anchor="_Toc43963861" w:history="1">
            <w:r w:rsidR="004E4FDB" w:rsidRPr="006B0843">
              <w:rPr>
                <w:rStyle w:val="Hyperlink"/>
                <w:rFonts w:asciiTheme="minorBidi" w:hAnsiTheme="minorBidi"/>
                <w:noProof/>
              </w:rPr>
              <w:t>What constitutes reasonable grounds?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_Toc43963861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11</w:t>
            </w:r>
            <w:r w:rsidR="004E4FDB" w:rsidRPr="006B0843">
              <w:rPr>
                <w:rFonts w:asciiTheme="minorBidi" w:hAnsiTheme="minorBidi"/>
                <w:noProof/>
                <w:webHidden/>
              </w:rPr>
              <w:fldChar w:fldCharType="end"/>
            </w:r>
          </w:hyperlink>
        </w:p>
        <w:p w14:paraId="6CBB2843" w14:textId="37D6ABE1" w:rsidR="004E4FDB" w:rsidRPr="006B0843" w:rsidRDefault="00061497">
          <w:pPr>
            <w:pStyle w:val="TOC2"/>
            <w:tabs>
              <w:tab w:val="right" w:leader="dot" w:pos="9016"/>
            </w:tabs>
            <w:rPr>
              <w:rFonts w:asciiTheme="minorBidi" w:eastAsiaTheme="minorEastAsia" w:hAnsiTheme="minorBidi"/>
              <w:noProof/>
              <w:lang w:eastAsia="en-GB"/>
            </w:rPr>
          </w:pPr>
          <w:hyperlink w:anchor="_Toc43963862" w:history="1">
            <w:r w:rsidR="004E4FDB" w:rsidRPr="006B0843">
              <w:rPr>
                <w:rStyle w:val="Hyperlink"/>
                <w:rFonts w:asciiTheme="minorBidi" w:hAnsiTheme="minorBidi"/>
                <w:noProof/>
              </w:rPr>
              <w:t>Production Targets – what can they be disclosed in relation to?</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_Toc43963862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12</w:t>
            </w:r>
            <w:r w:rsidR="004E4FDB" w:rsidRPr="006B0843">
              <w:rPr>
                <w:rFonts w:asciiTheme="minorBidi" w:hAnsiTheme="minorBidi"/>
                <w:noProof/>
                <w:webHidden/>
              </w:rPr>
              <w:fldChar w:fldCharType="end"/>
            </w:r>
          </w:hyperlink>
        </w:p>
        <w:p w14:paraId="63049277" w14:textId="4E3685BD" w:rsidR="004E4FDB" w:rsidRPr="006B0843" w:rsidRDefault="00061497">
          <w:pPr>
            <w:pStyle w:val="TOC2"/>
            <w:tabs>
              <w:tab w:val="right" w:leader="dot" w:pos="9016"/>
            </w:tabs>
            <w:rPr>
              <w:rFonts w:asciiTheme="minorBidi" w:eastAsiaTheme="minorEastAsia" w:hAnsiTheme="minorBidi"/>
              <w:noProof/>
              <w:lang w:eastAsia="en-GB"/>
            </w:rPr>
          </w:pPr>
          <w:hyperlink w:anchor="_Toc43963863" w:history="1">
            <w:r w:rsidR="004E4FDB" w:rsidRPr="006B0843">
              <w:rPr>
                <w:rStyle w:val="Hyperlink"/>
                <w:rFonts w:asciiTheme="minorBidi" w:hAnsiTheme="minorBidi"/>
                <w:noProof/>
              </w:rPr>
              <w:t>Production Targets – what is not acceptable?</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_Toc43963863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13</w:t>
            </w:r>
            <w:r w:rsidR="004E4FDB" w:rsidRPr="006B0843">
              <w:rPr>
                <w:rFonts w:asciiTheme="minorBidi" w:hAnsiTheme="minorBidi"/>
                <w:noProof/>
                <w:webHidden/>
              </w:rPr>
              <w:fldChar w:fldCharType="end"/>
            </w:r>
          </w:hyperlink>
        </w:p>
        <w:p w14:paraId="4173D073" w14:textId="7937CDB2" w:rsidR="004E4FDB" w:rsidRPr="006B0843" w:rsidRDefault="00061497">
          <w:pPr>
            <w:pStyle w:val="TOC2"/>
            <w:tabs>
              <w:tab w:val="right" w:leader="dot" w:pos="9016"/>
            </w:tabs>
            <w:rPr>
              <w:rFonts w:asciiTheme="minorBidi" w:eastAsiaTheme="minorEastAsia" w:hAnsiTheme="minorBidi"/>
              <w:noProof/>
              <w:lang w:eastAsia="en-GB"/>
            </w:rPr>
          </w:pPr>
          <w:hyperlink w:anchor="_Toc43963864" w:history="1">
            <w:r w:rsidR="004E4FDB" w:rsidRPr="006B0843">
              <w:rPr>
                <w:rStyle w:val="Hyperlink"/>
                <w:rFonts w:asciiTheme="minorBidi" w:hAnsiTheme="minorBidi"/>
                <w:noProof/>
              </w:rPr>
              <w:t>Disclosure requirements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_Toc43963864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13</w:t>
            </w:r>
            <w:r w:rsidR="004E4FDB" w:rsidRPr="006B0843">
              <w:rPr>
                <w:rFonts w:asciiTheme="minorBidi" w:hAnsiTheme="minorBidi"/>
                <w:noProof/>
                <w:webHidden/>
              </w:rPr>
              <w:fldChar w:fldCharType="end"/>
            </w:r>
          </w:hyperlink>
        </w:p>
        <w:p w14:paraId="131090DD" w14:textId="2CD5B828" w:rsidR="004E4FDB" w:rsidRPr="006B0843" w:rsidRDefault="00061497">
          <w:pPr>
            <w:pStyle w:val="TOC2"/>
            <w:tabs>
              <w:tab w:val="right" w:leader="dot" w:pos="9016"/>
            </w:tabs>
            <w:rPr>
              <w:rFonts w:asciiTheme="minorBidi" w:eastAsiaTheme="minorEastAsia" w:hAnsiTheme="minorBidi"/>
              <w:noProof/>
              <w:lang w:eastAsia="en-GB"/>
            </w:rPr>
          </w:pPr>
          <w:hyperlink w:anchor="_Toc43963865" w:history="1">
            <w:r w:rsidR="004E4FDB" w:rsidRPr="006B0843">
              <w:rPr>
                <w:rStyle w:val="Hyperlink"/>
                <w:rFonts w:asciiTheme="minorBidi" w:hAnsiTheme="minorBidi"/>
                <w:noProof/>
              </w:rPr>
              <w:t>Production Targets wholly based on Inferred Mineral Resources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_Toc43963865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15</w:t>
            </w:r>
            <w:r w:rsidR="004E4FDB" w:rsidRPr="006B0843">
              <w:rPr>
                <w:rFonts w:asciiTheme="minorBidi" w:hAnsiTheme="minorBidi"/>
                <w:noProof/>
                <w:webHidden/>
              </w:rPr>
              <w:fldChar w:fldCharType="end"/>
            </w:r>
          </w:hyperlink>
        </w:p>
        <w:p w14:paraId="7D9233E4" w14:textId="7D1FB26E" w:rsidR="004E4FDB" w:rsidRPr="006B0843" w:rsidRDefault="00061497">
          <w:pPr>
            <w:pStyle w:val="TOC2"/>
            <w:tabs>
              <w:tab w:val="right" w:leader="dot" w:pos="9016"/>
            </w:tabs>
            <w:rPr>
              <w:rFonts w:asciiTheme="minorBidi" w:eastAsiaTheme="minorEastAsia" w:hAnsiTheme="minorBidi"/>
              <w:noProof/>
              <w:lang w:eastAsia="en-GB"/>
            </w:rPr>
          </w:pPr>
          <w:hyperlink w:anchor="_Toc43963866" w:history="1">
            <w:r w:rsidR="004E4FDB" w:rsidRPr="006B0843">
              <w:rPr>
                <w:rStyle w:val="Hyperlink"/>
                <w:rFonts w:asciiTheme="minorBidi" w:hAnsiTheme="minorBidi"/>
                <w:noProof/>
              </w:rPr>
              <w:t>Exemptions from disclosure - Subsequent disclosures &amp; operating mines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_Toc43963866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16</w:t>
            </w:r>
            <w:r w:rsidR="004E4FDB" w:rsidRPr="006B0843">
              <w:rPr>
                <w:rFonts w:asciiTheme="minorBidi" w:hAnsiTheme="minorBidi"/>
                <w:noProof/>
                <w:webHidden/>
              </w:rPr>
              <w:fldChar w:fldCharType="end"/>
            </w:r>
          </w:hyperlink>
        </w:p>
        <w:p w14:paraId="6CDDA836" w14:textId="43F7539D" w:rsidR="004E4FDB" w:rsidRPr="006B0843" w:rsidRDefault="00061497">
          <w:pPr>
            <w:pStyle w:val="TOC2"/>
            <w:tabs>
              <w:tab w:val="right" w:leader="dot" w:pos="9016"/>
            </w:tabs>
            <w:rPr>
              <w:rFonts w:asciiTheme="minorBidi" w:eastAsiaTheme="minorEastAsia" w:hAnsiTheme="minorBidi"/>
              <w:noProof/>
              <w:lang w:eastAsia="en-GB"/>
            </w:rPr>
          </w:pPr>
          <w:hyperlink w:anchor="_Toc43963867" w:history="1">
            <w:r w:rsidR="004E4FDB" w:rsidRPr="006B0843">
              <w:rPr>
                <w:rStyle w:val="Hyperlink"/>
                <w:rFonts w:asciiTheme="minorBidi" w:hAnsiTheme="minorBidi"/>
                <w:noProof/>
              </w:rPr>
              <w:t>Are near-term production forecasts a Production Target?</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_Toc43963867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16</w:t>
            </w:r>
            <w:r w:rsidR="004E4FDB" w:rsidRPr="006B0843">
              <w:rPr>
                <w:rFonts w:asciiTheme="minorBidi" w:hAnsiTheme="minorBidi"/>
                <w:noProof/>
                <w:webHidden/>
              </w:rPr>
              <w:fldChar w:fldCharType="end"/>
            </w:r>
          </w:hyperlink>
        </w:p>
        <w:p w14:paraId="0E8B1F86" w14:textId="3F89D4A5" w:rsidR="004E4FDB" w:rsidRPr="006B0843" w:rsidRDefault="00061497">
          <w:pPr>
            <w:pStyle w:val="TOC1"/>
            <w:rPr>
              <w:rFonts w:asciiTheme="minorBidi" w:eastAsiaTheme="minorEastAsia" w:hAnsiTheme="minorBidi"/>
              <w:noProof/>
              <w:lang w:eastAsia="en-GB"/>
            </w:rPr>
          </w:pPr>
          <w:hyperlink w:anchor="_Toc43963868" w:history="1">
            <w:r w:rsidR="004E4FDB" w:rsidRPr="006B0843">
              <w:rPr>
                <w:rStyle w:val="Hyperlink"/>
                <w:rFonts w:asciiTheme="minorBidi" w:hAnsiTheme="minorBidi"/>
                <w:noProof/>
              </w:rPr>
              <w:t>FORECAST FINANCIAL INFORMATION</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_Toc43963868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16</w:t>
            </w:r>
            <w:r w:rsidR="004E4FDB" w:rsidRPr="006B0843">
              <w:rPr>
                <w:rFonts w:asciiTheme="minorBidi" w:hAnsiTheme="minorBidi"/>
                <w:noProof/>
                <w:webHidden/>
              </w:rPr>
              <w:fldChar w:fldCharType="end"/>
            </w:r>
          </w:hyperlink>
        </w:p>
        <w:p w14:paraId="0A450D8F" w14:textId="594DFFA3" w:rsidR="004E4FDB" w:rsidRPr="006B0843" w:rsidRDefault="00061497">
          <w:pPr>
            <w:pStyle w:val="TOC2"/>
            <w:tabs>
              <w:tab w:val="right" w:leader="dot" w:pos="9016"/>
            </w:tabs>
            <w:rPr>
              <w:rFonts w:asciiTheme="minorBidi" w:eastAsiaTheme="minorEastAsia" w:hAnsiTheme="minorBidi"/>
              <w:noProof/>
              <w:lang w:eastAsia="en-GB"/>
            </w:rPr>
          </w:pPr>
          <w:hyperlink w:anchor="_Toc43963869" w:history="1">
            <w:r w:rsidR="004E4FDB" w:rsidRPr="006B0843">
              <w:rPr>
                <w:rStyle w:val="Hyperlink"/>
                <w:rFonts w:asciiTheme="minorBidi" w:hAnsiTheme="minorBidi"/>
                <w:noProof/>
              </w:rPr>
              <w:t>Disclosure requirements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_Toc43963869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17</w:t>
            </w:r>
            <w:r w:rsidR="004E4FDB" w:rsidRPr="006B0843">
              <w:rPr>
                <w:rFonts w:asciiTheme="minorBidi" w:hAnsiTheme="minorBidi"/>
                <w:noProof/>
                <w:webHidden/>
              </w:rPr>
              <w:fldChar w:fldCharType="end"/>
            </w:r>
          </w:hyperlink>
        </w:p>
        <w:p w14:paraId="1625CB11" w14:textId="7516E795" w:rsidR="004E4FDB" w:rsidRPr="006B0843" w:rsidRDefault="00061497">
          <w:pPr>
            <w:pStyle w:val="TOC1"/>
            <w:rPr>
              <w:rFonts w:asciiTheme="minorBidi" w:eastAsiaTheme="minorEastAsia" w:hAnsiTheme="minorBidi"/>
              <w:noProof/>
              <w:lang w:eastAsia="en-GB"/>
            </w:rPr>
          </w:pPr>
          <w:hyperlink w:anchor="_Toc43963870" w:history="1">
            <w:r w:rsidR="004E4FDB" w:rsidRPr="006B0843">
              <w:rPr>
                <w:rStyle w:val="Hyperlink"/>
                <w:rFonts w:asciiTheme="minorBidi" w:hAnsiTheme="minorBidi"/>
                <w:noProof/>
              </w:rPr>
              <w:t>SPECIFIC DISCLOSURE REQUIREMENTS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_Toc43963870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18</w:t>
            </w:r>
            <w:r w:rsidR="004E4FDB" w:rsidRPr="006B0843">
              <w:rPr>
                <w:rFonts w:asciiTheme="minorBidi" w:hAnsiTheme="minorBidi"/>
                <w:noProof/>
                <w:webHidden/>
              </w:rPr>
              <w:fldChar w:fldCharType="end"/>
            </w:r>
          </w:hyperlink>
        </w:p>
        <w:p w14:paraId="42EC13C8" w14:textId="6427460F" w:rsidR="004E4FDB" w:rsidRPr="006B0843" w:rsidRDefault="00061497">
          <w:pPr>
            <w:pStyle w:val="TOC2"/>
            <w:tabs>
              <w:tab w:val="right" w:leader="dot" w:pos="9016"/>
            </w:tabs>
            <w:rPr>
              <w:rFonts w:asciiTheme="minorBidi" w:eastAsiaTheme="minorEastAsia" w:hAnsiTheme="minorBidi"/>
              <w:noProof/>
              <w:lang w:eastAsia="en-GB"/>
            </w:rPr>
          </w:pPr>
          <w:hyperlink w:anchor="_Toc43963871" w:history="1">
            <w:r w:rsidR="004E4FDB" w:rsidRPr="006B0843">
              <w:rPr>
                <w:rStyle w:val="Hyperlink"/>
                <w:rFonts w:asciiTheme="minorBidi" w:hAnsiTheme="minorBidi"/>
                <w:noProof/>
              </w:rPr>
              <w:t>Competent Persons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_Toc43963871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18</w:t>
            </w:r>
            <w:r w:rsidR="004E4FDB" w:rsidRPr="006B0843">
              <w:rPr>
                <w:rFonts w:asciiTheme="minorBidi" w:hAnsiTheme="minorBidi"/>
                <w:noProof/>
                <w:webHidden/>
              </w:rPr>
              <w:fldChar w:fldCharType="end"/>
            </w:r>
          </w:hyperlink>
        </w:p>
        <w:p w14:paraId="75BFB9DE" w14:textId="099FCA1E" w:rsidR="004E4FDB" w:rsidRPr="006B0843" w:rsidRDefault="00061497">
          <w:pPr>
            <w:pStyle w:val="TOC2"/>
            <w:tabs>
              <w:tab w:val="right" w:leader="dot" w:pos="9016"/>
            </w:tabs>
            <w:rPr>
              <w:rFonts w:asciiTheme="minorBidi" w:eastAsiaTheme="minorEastAsia" w:hAnsiTheme="minorBidi"/>
              <w:noProof/>
              <w:lang w:eastAsia="en-GB"/>
            </w:rPr>
          </w:pPr>
          <w:hyperlink w:anchor="_Toc43963872" w:history="1">
            <w:r w:rsidR="004E4FDB" w:rsidRPr="006B0843">
              <w:rPr>
                <w:rStyle w:val="Hyperlink"/>
                <w:rFonts w:asciiTheme="minorBidi" w:hAnsiTheme="minorBidi"/>
                <w:noProof/>
              </w:rPr>
              <w:t>Prominent, and proximate, cautionary statements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_Toc43963872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19</w:t>
            </w:r>
            <w:r w:rsidR="004E4FDB" w:rsidRPr="006B0843">
              <w:rPr>
                <w:rFonts w:asciiTheme="minorBidi" w:hAnsiTheme="minorBidi"/>
                <w:noProof/>
                <w:webHidden/>
              </w:rPr>
              <w:fldChar w:fldCharType="end"/>
            </w:r>
          </w:hyperlink>
        </w:p>
        <w:p w14:paraId="574A6E29" w14:textId="3B358ED9" w:rsidR="004E4FDB" w:rsidRPr="006B0843" w:rsidRDefault="00061497">
          <w:pPr>
            <w:pStyle w:val="TOC2"/>
            <w:tabs>
              <w:tab w:val="right" w:leader="dot" w:pos="9016"/>
            </w:tabs>
            <w:rPr>
              <w:rFonts w:asciiTheme="minorBidi" w:eastAsiaTheme="minorEastAsia" w:hAnsiTheme="minorBidi"/>
              <w:noProof/>
              <w:lang w:eastAsia="en-GB"/>
            </w:rPr>
          </w:pPr>
          <w:hyperlink w:anchor="_Toc43963873" w:history="1">
            <w:r w:rsidR="004E4FDB" w:rsidRPr="006B0843">
              <w:rPr>
                <w:rStyle w:val="Hyperlink"/>
                <w:rFonts w:asciiTheme="minorBidi" w:hAnsiTheme="minorBidi"/>
                <w:noProof/>
              </w:rPr>
              <w:t>Non acceptance of historical estimates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_Toc43963873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20</w:t>
            </w:r>
            <w:r w:rsidR="004E4FDB" w:rsidRPr="006B0843">
              <w:rPr>
                <w:rFonts w:asciiTheme="minorBidi" w:hAnsiTheme="minorBidi"/>
                <w:noProof/>
                <w:webHidden/>
              </w:rPr>
              <w:fldChar w:fldCharType="end"/>
            </w:r>
          </w:hyperlink>
        </w:p>
        <w:p w14:paraId="5D71061E" w14:textId="2F13A0AF" w:rsidR="004E4FDB" w:rsidRPr="006B0843" w:rsidRDefault="00061497">
          <w:pPr>
            <w:pStyle w:val="TOC2"/>
            <w:tabs>
              <w:tab w:val="right" w:leader="dot" w:pos="9016"/>
            </w:tabs>
            <w:rPr>
              <w:rFonts w:asciiTheme="minorBidi" w:eastAsiaTheme="minorEastAsia" w:hAnsiTheme="minorBidi"/>
              <w:noProof/>
              <w:lang w:eastAsia="en-GB"/>
            </w:rPr>
          </w:pPr>
          <w:hyperlink w:anchor="_Toc43963874" w:history="1">
            <w:r w:rsidR="004E4FDB" w:rsidRPr="006B0843">
              <w:rPr>
                <w:rStyle w:val="Hyperlink"/>
                <w:rFonts w:asciiTheme="minorBidi" w:hAnsiTheme="minorBidi"/>
                <w:noProof/>
              </w:rPr>
              <w:t>Disclosure against Table 1 of JORC Code / SAMREC Code</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_Toc43963874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20</w:t>
            </w:r>
            <w:r w:rsidR="004E4FDB" w:rsidRPr="006B0843">
              <w:rPr>
                <w:rFonts w:asciiTheme="minorBidi" w:hAnsiTheme="minorBidi"/>
                <w:noProof/>
                <w:webHidden/>
              </w:rPr>
              <w:fldChar w:fldCharType="end"/>
            </w:r>
          </w:hyperlink>
        </w:p>
        <w:p w14:paraId="540483F7" w14:textId="17366BDE" w:rsidR="004E4FDB" w:rsidRPr="006B0843" w:rsidRDefault="00061497">
          <w:pPr>
            <w:pStyle w:val="TOC1"/>
            <w:rPr>
              <w:rFonts w:asciiTheme="minorBidi" w:eastAsiaTheme="minorEastAsia" w:hAnsiTheme="minorBidi"/>
              <w:noProof/>
              <w:lang w:eastAsia="en-GB"/>
            </w:rPr>
          </w:pPr>
          <w:hyperlink w:anchor="_Toc43963875" w:history="1">
            <w:r w:rsidR="004E4FDB" w:rsidRPr="006B0843">
              <w:rPr>
                <w:rStyle w:val="Hyperlink"/>
                <w:rFonts w:asciiTheme="minorBidi" w:hAnsiTheme="minorBidi"/>
                <w:noProof/>
              </w:rPr>
              <w:t>QUARTERLY DISCLOSURE OBLIGATIONS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_Toc43963875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21</w:t>
            </w:r>
            <w:r w:rsidR="004E4FDB" w:rsidRPr="006B0843">
              <w:rPr>
                <w:rFonts w:asciiTheme="minorBidi" w:hAnsiTheme="minorBidi"/>
                <w:noProof/>
                <w:webHidden/>
              </w:rPr>
              <w:fldChar w:fldCharType="end"/>
            </w:r>
          </w:hyperlink>
        </w:p>
        <w:p w14:paraId="4C47771E" w14:textId="086AA284" w:rsidR="004E4FDB" w:rsidRPr="006B0843" w:rsidRDefault="00061497">
          <w:pPr>
            <w:pStyle w:val="TOC2"/>
            <w:tabs>
              <w:tab w:val="right" w:leader="dot" w:pos="9016"/>
            </w:tabs>
            <w:rPr>
              <w:rFonts w:asciiTheme="minorBidi" w:eastAsiaTheme="minorEastAsia" w:hAnsiTheme="minorBidi"/>
              <w:noProof/>
              <w:lang w:eastAsia="en-GB"/>
            </w:rPr>
          </w:pPr>
          <w:hyperlink w:anchor="_Toc43963876" w:history="1">
            <w:r w:rsidR="004E4FDB" w:rsidRPr="006B0843">
              <w:rPr>
                <w:rStyle w:val="Hyperlink"/>
                <w:rFonts w:asciiTheme="minorBidi" w:hAnsiTheme="minorBidi"/>
                <w:noProof/>
              </w:rPr>
              <w:t>Quarterly Activity Reports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_Toc43963876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21</w:t>
            </w:r>
            <w:r w:rsidR="004E4FDB" w:rsidRPr="006B0843">
              <w:rPr>
                <w:rFonts w:asciiTheme="minorBidi" w:hAnsiTheme="minorBidi"/>
                <w:noProof/>
                <w:webHidden/>
              </w:rPr>
              <w:fldChar w:fldCharType="end"/>
            </w:r>
          </w:hyperlink>
        </w:p>
        <w:p w14:paraId="6CB19250" w14:textId="7E39AF34" w:rsidR="004E4FDB" w:rsidRPr="006B0843" w:rsidRDefault="00061497">
          <w:pPr>
            <w:pStyle w:val="TOC2"/>
            <w:tabs>
              <w:tab w:val="right" w:leader="dot" w:pos="9016"/>
            </w:tabs>
            <w:rPr>
              <w:rFonts w:asciiTheme="minorBidi" w:eastAsiaTheme="minorEastAsia" w:hAnsiTheme="minorBidi"/>
              <w:noProof/>
              <w:lang w:eastAsia="en-GB"/>
            </w:rPr>
          </w:pPr>
          <w:hyperlink w:anchor="_Toc43963877" w:history="1">
            <w:r w:rsidR="004E4FDB" w:rsidRPr="006B0843">
              <w:rPr>
                <w:rStyle w:val="Hyperlink"/>
                <w:rFonts w:asciiTheme="minorBidi" w:hAnsiTheme="minorBidi"/>
                <w:noProof/>
              </w:rPr>
              <w:t>Quarterly Cash Reports - Mining Exploration Reporting Entities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_Toc43963877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21</w:t>
            </w:r>
            <w:r w:rsidR="004E4FDB" w:rsidRPr="006B0843">
              <w:rPr>
                <w:rFonts w:asciiTheme="minorBidi" w:hAnsiTheme="minorBidi"/>
                <w:noProof/>
                <w:webHidden/>
              </w:rPr>
              <w:fldChar w:fldCharType="end"/>
            </w:r>
          </w:hyperlink>
        </w:p>
        <w:p w14:paraId="7346EDC9" w14:textId="4996D7F7" w:rsidR="004E4FDB" w:rsidRPr="006B0843" w:rsidRDefault="00061497">
          <w:pPr>
            <w:pStyle w:val="TOC1"/>
            <w:rPr>
              <w:rFonts w:asciiTheme="minorBidi" w:eastAsiaTheme="minorEastAsia" w:hAnsiTheme="minorBidi"/>
              <w:noProof/>
              <w:lang w:eastAsia="en-GB"/>
            </w:rPr>
          </w:pPr>
          <w:hyperlink w:anchor="_Toc43963878" w:history="1">
            <w:r w:rsidR="004E4FDB" w:rsidRPr="006B0843">
              <w:rPr>
                <w:rStyle w:val="Hyperlink"/>
                <w:rFonts w:asciiTheme="minorBidi" w:hAnsiTheme="minorBidi"/>
                <w:noProof/>
              </w:rPr>
              <w:t>ANNUAL DISCLOSURES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_Toc43963878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22</w:t>
            </w:r>
            <w:r w:rsidR="004E4FDB" w:rsidRPr="006B0843">
              <w:rPr>
                <w:rFonts w:asciiTheme="minorBidi" w:hAnsiTheme="minorBidi"/>
                <w:noProof/>
                <w:webHidden/>
              </w:rPr>
              <w:fldChar w:fldCharType="end"/>
            </w:r>
          </w:hyperlink>
        </w:p>
        <w:p w14:paraId="031D396D" w14:textId="72851032" w:rsidR="004E4FDB" w:rsidRPr="006B0843" w:rsidRDefault="00061497">
          <w:pPr>
            <w:pStyle w:val="TOC2"/>
            <w:tabs>
              <w:tab w:val="right" w:leader="dot" w:pos="9016"/>
            </w:tabs>
            <w:rPr>
              <w:rFonts w:asciiTheme="minorBidi" w:eastAsiaTheme="minorEastAsia" w:hAnsiTheme="minorBidi"/>
              <w:noProof/>
              <w:lang w:eastAsia="en-GB"/>
            </w:rPr>
          </w:pPr>
          <w:hyperlink w:anchor="_Toc43963879" w:history="1">
            <w:r w:rsidR="004E4FDB" w:rsidRPr="006B0843">
              <w:rPr>
                <w:rStyle w:val="Hyperlink"/>
                <w:rFonts w:asciiTheme="minorBidi" w:hAnsiTheme="minorBidi"/>
                <w:noProof/>
              </w:rPr>
              <w:t>Summary of Reserves and Resources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_Toc43963879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22</w:t>
            </w:r>
            <w:r w:rsidR="004E4FDB" w:rsidRPr="006B0843">
              <w:rPr>
                <w:rFonts w:asciiTheme="minorBidi" w:hAnsiTheme="minorBidi"/>
                <w:noProof/>
                <w:webHidden/>
              </w:rPr>
              <w:fldChar w:fldCharType="end"/>
            </w:r>
          </w:hyperlink>
        </w:p>
        <w:p w14:paraId="1330B263" w14:textId="1359602C" w:rsidR="004E4FDB" w:rsidRPr="006B0843" w:rsidRDefault="00061497">
          <w:pPr>
            <w:pStyle w:val="TOC1"/>
            <w:rPr>
              <w:rFonts w:asciiTheme="minorBidi" w:eastAsiaTheme="minorEastAsia" w:hAnsiTheme="minorBidi"/>
              <w:noProof/>
              <w:lang w:eastAsia="en-GB"/>
            </w:rPr>
          </w:pPr>
          <w:hyperlink w:anchor="_Toc43963880" w:history="1">
            <w:r w:rsidR="004E4FDB" w:rsidRPr="006B0843">
              <w:rPr>
                <w:rStyle w:val="Hyperlink"/>
                <w:rFonts w:asciiTheme="minorBidi" w:hAnsiTheme="minorBidi"/>
                <w:noProof/>
              </w:rPr>
              <w:t>INTERACTION OF CHAPTER 12 WITH OTHER RULE DISCLOSURE OBLIGATIONS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_Toc43963880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22</w:t>
            </w:r>
            <w:r w:rsidR="004E4FDB" w:rsidRPr="006B0843">
              <w:rPr>
                <w:rFonts w:asciiTheme="minorBidi" w:hAnsiTheme="minorBidi"/>
                <w:noProof/>
                <w:webHidden/>
              </w:rPr>
              <w:fldChar w:fldCharType="end"/>
            </w:r>
          </w:hyperlink>
        </w:p>
        <w:p w14:paraId="4E3844C0" w14:textId="1C5793A5" w:rsidR="004E4FDB" w:rsidRPr="006B0843" w:rsidRDefault="00061497">
          <w:pPr>
            <w:pStyle w:val="TOC2"/>
            <w:tabs>
              <w:tab w:val="right" w:leader="dot" w:pos="9016"/>
            </w:tabs>
            <w:rPr>
              <w:rFonts w:asciiTheme="minorBidi" w:eastAsiaTheme="minorEastAsia" w:hAnsiTheme="minorBidi"/>
              <w:noProof/>
              <w:lang w:eastAsia="en-GB"/>
            </w:rPr>
          </w:pPr>
          <w:hyperlink w:anchor="_Toc43963881" w:history="1">
            <w:r w:rsidR="004E4FDB" w:rsidRPr="006B0843">
              <w:rPr>
                <w:rStyle w:val="Hyperlink"/>
                <w:rFonts w:asciiTheme="minorBidi" w:hAnsiTheme="minorBidi"/>
                <w:noProof/>
              </w:rPr>
              <w:t>Offers, and Admission to FSRA Official List of Securities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_Toc43963881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23</w:t>
            </w:r>
            <w:r w:rsidR="004E4FDB" w:rsidRPr="006B0843">
              <w:rPr>
                <w:rFonts w:asciiTheme="minorBidi" w:hAnsiTheme="minorBidi"/>
                <w:noProof/>
                <w:webHidden/>
              </w:rPr>
              <w:fldChar w:fldCharType="end"/>
            </w:r>
          </w:hyperlink>
        </w:p>
        <w:p w14:paraId="5FB260DA" w14:textId="1BC81790" w:rsidR="004E4FDB" w:rsidRPr="006B0843" w:rsidRDefault="00061497">
          <w:pPr>
            <w:pStyle w:val="TOC1"/>
            <w:rPr>
              <w:rFonts w:asciiTheme="minorBidi" w:eastAsiaTheme="minorEastAsia" w:hAnsiTheme="minorBidi"/>
              <w:noProof/>
              <w:lang w:eastAsia="en-GB"/>
            </w:rPr>
          </w:pPr>
          <w:hyperlink w:anchor="_Toc43963882" w:history="1">
            <w:r w:rsidR="004E4FDB" w:rsidRPr="006B0843">
              <w:rPr>
                <w:rStyle w:val="Hyperlink"/>
                <w:rFonts w:asciiTheme="minorBidi" w:hAnsiTheme="minorBidi"/>
                <w:noProof/>
              </w:rPr>
              <w:t>MKT FORM 11-1 – Summary of Reserves and Resources</w:t>
            </w:r>
            <w:r w:rsidR="004E4FDB" w:rsidRPr="006B0843">
              <w:rPr>
                <w:rFonts w:asciiTheme="minorBidi" w:hAnsiTheme="minorBidi"/>
                <w:noProof/>
                <w:webHidden/>
              </w:rPr>
              <w:tab/>
            </w:r>
            <w:r w:rsidR="004E4FDB" w:rsidRPr="006B0843">
              <w:rPr>
                <w:rFonts w:asciiTheme="minorBidi" w:hAnsiTheme="minorBidi"/>
                <w:noProof/>
                <w:webHidden/>
              </w:rPr>
              <w:fldChar w:fldCharType="begin"/>
            </w:r>
            <w:r w:rsidR="004E4FDB" w:rsidRPr="006B0843">
              <w:rPr>
                <w:rFonts w:asciiTheme="minorBidi" w:hAnsiTheme="minorBidi"/>
                <w:noProof/>
                <w:webHidden/>
              </w:rPr>
              <w:instrText xml:space="preserve"> PAGEREF _Toc43963882 \h </w:instrText>
            </w:r>
            <w:r w:rsidR="004E4FDB" w:rsidRPr="006B0843">
              <w:rPr>
                <w:rFonts w:asciiTheme="minorBidi" w:hAnsiTheme="minorBidi"/>
                <w:noProof/>
                <w:webHidden/>
              </w:rPr>
            </w:r>
            <w:r w:rsidR="004E4FDB" w:rsidRPr="006B0843">
              <w:rPr>
                <w:rFonts w:asciiTheme="minorBidi" w:hAnsiTheme="minorBidi"/>
                <w:noProof/>
                <w:webHidden/>
              </w:rPr>
              <w:fldChar w:fldCharType="separate"/>
            </w:r>
            <w:r w:rsidR="007B5557">
              <w:rPr>
                <w:rFonts w:asciiTheme="minorBidi" w:hAnsiTheme="minorBidi"/>
                <w:noProof/>
                <w:webHidden/>
              </w:rPr>
              <w:t>24</w:t>
            </w:r>
            <w:r w:rsidR="004E4FDB" w:rsidRPr="006B0843">
              <w:rPr>
                <w:rFonts w:asciiTheme="minorBidi" w:hAnsiTheme="minorBidi"/>
                <w:noProof/>
                <w:webHidden/>
              </w:rPr>
              <w:fldChar w:fldCharType="end"/>
            </w:r>
          </w:hyperlink>
        </w:p>
        <w:p w14:paraId="2EBB9D48" w14:textId="33853FF3" w:rsidR="006261AA" w:rsidRPr="006B0843" w:rsidRDefault="006261AA">
          <w:pPr>
            <w:rPr>
              <w:rFonts w:asciiTheme="minorBidi" w:hAnsiTheme="minorBidi"/>
            </w:rPr>
          </w:pPr>
          <w:r w:rsidRPr="006B0843">
            <w:rPr>
              <w:rFonts w:asciiTheme="minorBidi" w:hAnsiTheme="minorBidi"/>
              <w:b/>
              <w:bCs/>
              <w:noProof/>
            </w:rPr>
            <w:fldChar w:fldCharType="end"/>
          </w:r>
        </w:p>
      </w:sdtContent>
    </w:sdt>
    <w:p w14:paraId="373D7A31" w14:textId="77777777" w:rsidR="001C4A2D" w:rsidRDefault="001C4A2D">
      <w:pPr>
        <w:spacing w:after="160" w:line="259" w:lineRule="auto"/>
        <w:rPr>
          <w:rFonts w:asciiTheme="minorBidi" w:hAnsiTheme="minorBidi"/>
        </w:rPr>
        <w:sectPr w:rsidR="001C4A2D">
          <w:headerReference w:type="default" r:id="rId10"/>
          <w:pgSz w:w="11906" w:h="16838"/>
          <w:pgMar w:top="1440" w:right="1440" w:bottom="1440" w:left="1440" w:header="708" w:footer="708" w:gutter="0"/>
          <w:cols w:space="708"/>
          <w:docGrid w:linePitch="360"/>
        </w:sectPr>
      </w:pPr>
      <w:bookmarkStart w:id="0" w:name="_Toc511714334"/>
      <w:bookmarkStart w:id="1" w:name="_Toc512695598"/>
      <w:bookmarkStart w:id="2" w:name="_Toc514588767"/>
      <w:bookmarkStart w:id="3" w:name="_Toc517602837"/>
    </w:p>
    <w:p w14:paraId="474A5CD3" w14:textId="05B3A1C6" w:rsidR="006261AA" w:rsidRPr="006B0843" w:rsidRDefault="006261AA" w:rsidP="006261AA">
      <w:pPr>
        <w:pStyle w:val="Heading1"/>
        <w:keepLines w:val="0"/>
        <w:spacing w:before="0" w:after="240" w:line="246" w:lineRule="atLeast"/>
        <w:jc w:val="both"/>
        <w:rPr>
          <w:rFonts w:asciiTheme="minorBidi" w:hAnsiTheme="minorBidi" w:cstheme="minorBidi"/>
          <w:sz w:val="22"/>
          <w:szCs w:val="22"/>
        </w:rPr>
      </w:pPr>
      <w:bookmarkStart w:id="4" w:name="_Toc43963843"/>
      <w:r w:rsidRPr="006B0843">
        <w:rPr>
          <w:rFonts w:asciiTheme="minorBidi" w:hAnsiTheme="minorBidi" w:cstheme="minorBidi"/>
          <w:sz w:val="22"/>
          <w:szCs w:val="22"/>
        </w:rPr>
        <w:lastRenderedPageBreak/>
        <w:t>INTRODUCTION</w:t>
      </w:r>
      <w:bookmarkEnd w:id="0"/>
      <w:bookmarkEnd w:id="1"/>
      <w:bookmarkEnd w:id="2"/>
      <w:bookmarkEnd w:id="3"/>
      <w:bookmarkEnd w:id="4"/>
    </w:p>
    <w:p w14:paraId="0AD7E1F3" w14:textId="46C478E8" w:rsidR="006261AA" w:rsidRPr="006B0843" w:rsidRDefault="006261AA" w:rsidP="006B0843">
      <w:pPr>
        <w:pStyle w:val="ListParagraph"/>
        <w:numPr>
          <w:ilvl w:val="0"/>
          <w:numId w:val="1"/>
        </w:numPr>
        <w:ind w:left="567" w:hanging="594"/>
        <w:jc w:val="both"/>
        <w:rPr>
          <w:rFonts w:asciiTheme="minorBidi" w:hAnsiTheme="minorBidi"/>
        </w:rPr>
      </w:pPr>
      <w:r w:rsidRPr="006B0843">
        <w:rPr>
          <w:rFonts w:asciiTheme="minorBidi" w:hAnsiTheme="minorBidi"/>
        </w:rPr>
        <w:t xml:space="preserve">This Guidance is issued under section 15(2) of the Financial Services and Markets Regulations 2015 (“FSMR”).  It should be read in conjunction with FSMR, </w:t>
      </w:r>
      <w:r w:rsidR="009861A1" w:rsidRPr="006B0843">
        <w:rPr>
          <w:rFonts w:asciiTheme="minorBidi" w:hAnsiTheme="minorBidi"/>
        </w:rPr>
        <w:t xml:space="preserve">the </w:t>
      </w:r>
      <w:r w:rsidR="00841AFF" w:rsidRPr="006B0843">
        <w:rPr>
          <w:rFonts w:asciiTheme="minorBidi" w:hAnsiTheme="minorBidi"/>
        </w:rPr>
        <w:t xml:space="preserve">Market </w:t>
      </w:r>
      <w:r w:rsidR="009861A1" w:rsidRPr="006B0843">
        <w:rPr>
          <w:rFonts w:asciiTheme="minorBidi" w:hAnsiTheme="minorBidi"/>
        </w:rPr>
        <w:t>Rule</w:t>
      </w:r>
      <w:r w:rsidR="00841AFF" w:rsidRPr="006B0843">
        <w:rPr>
          <w:rFonts w:asciiTheme="minorBidi" w:hAnsiTheme="minorBidi"/>
        </w:rPr>
        <w:t xml:space="preserve">s (“MKT) </w:t>
      </w:r>
      <w:r w:rsidR="009861A1" w:rsidRPr="006B0843">
        <w:rPr>
          <w:rFonts w:asciiTheme="minorBidi" w:hAnsiTheme="minorBidi"/>
        </w:rPr>
        <w:t>of the Financial Services Regulatory Authority (“FSRA”)</w:t>
      </w:r>
      <w:r w:rsidR="00841AFF" w:rsidRPr="006B0843">
        <w:rPr>
          <w:rFonts w:asciiTheme="minorBidi" w:hAnsiTheme="minorBidi"/>
        </w:rPr>
        <w:t xml:space="preserve"> and</w:t>
      </w:r>
      <w:r w:rsidR="009861A1" w:rsidRPr="006B0843">
        <w:rPr>
          <w:rFonts w:asciiTheme="minorBidi" w:hAnsiTheme="minorBidi"/>
        </w:rPr>
        <w:t xml:space="preserve"> the </w:t>
      </w:r>
      <w:r w:rsidR="00B77F03" w:rsidRPr="006B0843">
        <w:rPr>
          <w:rFonts w:asciiTheme="minorBidi" w:hAnsiTheme="minorBidi"/>
        </w:rPr>
        <w:t xml:space="preserve">FSRA’s </w:t>
      </w:r>
      <w:r w:rsidR="009861A1" w:rsidRPr="006B0843">
        <w:rPr>
          <w:rFonts w:asciiTheme="minorBidi" w:hAnsiTheme="minorBidi"/>
        </w:rPr>
        <w:t>Guidance &amp; Policies Manual</w:t>
      </w:r>
      <w:r w:rsidR="00841AFF" w:rsidRPr="006B0843">
        <w:rPr>
          <w:rFonts w:asciiTheme="minorBidi" w:hAnsiTheme="minorBidi"/>
        </w:rPr>
        <w:t xml:space="preserve">.  </w:t>
      </w:r>
    </w:p>
    <w:p w14:paraId="1703CBD8" w14:textId="77777777" w:rsidR="006261AA" w:rsidRPr="006B0843" w:rsidRDefault="006261AA" w:rsidP="006B0843">
      <w:pPr>
        <w:pStyle w:val="ListParagraph"/>
        <w:ind w:left="567" w:hanging="594"/>
        <w:jc w:val="both"/>
        <w:rPr>
          <w:rFonts w:asciiTheme="minorBidi" w:hAnsiTheme="minorBidi"/>
        </w:rPr>
      </w:pPr>
    </w:p>
    <w:p w14:paraId="6E630678" w14:textId="016568C3" w:rsidR="00841AFF" w:rsidRPr="006B0843" w:rsidRDefault="006261AA" w:rsidP="006B0843">
      <w:pPr>
        <w:pStyle w:val="ListParagraph"/>
        <w:numPr>
          <w:ilvl w:val="0"/>
          <w:numId w:val="1"/>
        </w:numPr>
        <w:ind w:left="567" w:hanging="594"/>
        <w:jc w:val="both"/>
        <w:rPr>
          <w:rFonts w:asciiTheme="minorBidi" w:hAnsiTheme="minorBidi"/>
        </w:rPr>
      </w:pPr>
      <w:r w:rsidRPr="006B0843">
        <w:rPr>
          <w:rFonts w:asciiTheme="minorBidi" w:hAnsiTheme="minorBidi"/>
        </w:rPr>
        <w:t>Th</w:t>
      </w:r>
      <w:r w:rsidR="009861A1" w:rsidRPr="006B0843">
        <w:rPr>
          <w:rFonts w:asciiTheme="minorBidi" w:hAnsiTheme="minorBidi"/>
        </w:rPr>
        <w:t>is</w:t>
      </w:r>
      <w:r w:rsidRPr="006B0843">
        <w:rPr>
          <w:rFonts w:asciiTheme="minorBidi" w:hAnsiTheme="minorBidi"/>
        </w:rPr>
        <w:t xml:space="preserve"> Guidance is </w:t>
      </w:r>
      <w:r w:rsidR="00841AFF" w:rsidRPr="006B0843">
        <w:rPr>
          <w:rFonts w:asciiTheme="minorBidi" w:hAnsiTheme="minorBidi"/>
        </w:rPr>
        <w:t xml:space="preserve">published to assist Issuers, Listed Companies, Reporting Entities (and their advisors) to comply with the disclosure requirements contained in </w:t>
      </w:r>
      <w:r w:rsidR="00931DDD" w:rsidRPr="006B0843">
        <w:rPr>
          <w:rFonts w:asciiTheme="minorBidi" w:hAnsiTheme="minorBidi"/>
        </w:rPr>
        <w:t xml:space="preserve">Chapter </w:t>
      </w:r>
      <w:r w:rsidR="00841AFF" w:rsidRPr="006B0843">
        <w:rPr>
          <w:rFonts w:asciiTheme="minorBidi" w:hAnsiTheme="minorBidi"/>
        </w:rPr>
        <w:t>1</w:t>
      </w:r>
      <w:r w:rsidR="006814D8" w:rsidRPr="006B0843">
        <w:rPr>
          <w:rFonts w:asciiTheme="minorBidi" w:hAnsiTheme="minorBidi"/>
        </w:rPr>
        <w:t>1</w:t>
      </w:r>
      <w:r w:rsidR="00841AFF" w:rsidRPr="006B0843">
        <w:rPr>
          <w:rFonts w:asciiTheme="minorBidi" w:hAnsiTheme="minorBidi"/>
        </w:rPr>
        <w:t xml:space="preserve"> of MKT, which relate to </w:t>
      </w:r>
      <w:r w:rsidR="006814D8" w:rsidRPr="006B0843">
        <w:rPr>
          <w:rFonts w:asciiTheme="minorBidi" w:hAnsiTheme="minorBidi"/>
        </w:rPr>
        <w:t>Minerals activit</w:t>
      </w:r>
      <w:r w:rsidR="00762565" w:rsidRPr="006B0843">
        <w:rPr>
          <w:rFonts w:asciiTheme="minorBidi" w:hAnsiTheme="minorBidi"/>
        </w:rPr>
        <w:t>ies.</w:t>
      </w:r>
      <w:r w:rsidR="00841AFF" w:rsidRPr="006B0843">
        <w:rPr>
          <w:rFonts w:asciiTheme="minorBidi" w:hAnsiTheme="minorBidi"/>
        </w:rPr>
        <w:t xml:space="preserve">  </w:t>
      </w:r>
      <w:r w:rsidR="00931DDD" w:rsidRPr="006B0843">
        <w:rPr>
          <w:rFonts w:asciiTheme="minorBidi" w:hAnsiTheme="minorBidi"/>
        </w:rPr>
        <w:t>Chapter</w:t>
      </w:r>
      <w:r w:rsidR="00841AFF" w:rsidRPr="006B0843">
        <w:rPr>
          <w:rFonts w:asciiTheme="minorBidi" w:hAnsiTheme="minorBidi"/>
        </w:rPr>
        <w:t xml:space="preserve"> 1</w:t>
      </w:r>
      <w:r w:rsidR="006814D8" w:rsidRPr="006B0843">
        <w:rPr>
          <w:rFonts w:asciiTheme="minorBidi" w:hAnsiTheme="minorBidi"/>
        </w:rPr>
        <w:t>1</w:t>
      </w:r>
      <w:r w:rsidR="00841AFF" w:rsidRPr="006B0843">
        <w:rPr>
          <w:rFonts w:asciiTheme="minorBidi" w:hAnsiTheme="minorBidi"/>
        </w:rPr>
        <w:t xml:space="preserve"> of MKT is intended to align ADGM’s listing framework </w:t>
      </w:r>
      <w:r w:rsidR="00BE0FF2" w:rsidRPr="006B0843">
        <w:rPr>
          <w:rFonts w:asciiTheme="minorBidi" w:hAnsiTheme="minorBidi"/>
        </w:rPr>
        <w:t xml:space="preserve">for the disclosure of </w:t>
      </w:r>
      <w:r w:rsidR="006814D8" w:rsidRPr="006B0843">
        <w:rPr>
          <w:rFonts w:asciiTheme="minorBidi" w:hAnsiTheme="minorBidi"/>
        </w:rPr>
        <w:t>Minerals activit</w:t>
      </w:r>
      <w:r w:rsidR="00762565" w:rsidRPr="006B0843">
        <w:rPr>
          <w:rFonts w:asciiTheme="minorBidi" w:hAnsiTheme="minorBidi"/>
        </w:rPr>
        <w:t xml:space="preserve">ies </w:t>
      </w:r>
      <w:r w:rsidR="00BE0FF2" w:rsidRPr="006B0843">
        <w:rPr>
          <w:rFonts w:asciiTheme="minorBidi" w:hAnsiTheme="minorBidi"/>
        </w:rPr>
        <w:t xml:space="preserve">with recognised global industry standards, as well as promote consistency in, and the quality of, disclosures made in relation to </w:t>
      </w:r>
      <w:r w:rsidR="006814D8" w:rsidRPr="006B0843">
        <w:rPr>
          <w:rFonts w:asciiTheme="minorBidi" w:hAnsiTheme="minorBidi"/>
        </w:rPr>
        <w:t>Mining</w:t>
      </w:r>
      <w:r w:rsidR="00BE0FF2" w:rsidRPr="006B0843">
        <w:rPr>
          <w:rFonts w:asciiTheme="minorBidi" w:hAnsiTheme="minorBidi"/>
        </w:rPr>
        <w:t xml:space="preserve"> activities. </w:t>
      </w:r>
      <w:r w:rsidR="00841AFF" w:rsidRPr="006B0843">
        <w:rPr>
          <w:rFonts w:asciiTheme="minorBidi" w:hAnsiTheme="minorBidi"/>
        </w:rPr>
        <w:t xml:space="preserve">  </w:t>
      </w:r>
    </w:p>
    <w:p w14:paraId="57DAF4FF" w14:textId="77777777" w:rsidR="00841AFF" w:rsidRPr="006B0843" w:rsidRDefault="00841AFF" w:rsidP="006B0843">
      <w:pPr>
        <w:pStyle w:val="ListParagraph"/>
        <w:ind w:left="567" w:hanging="594"/>
        <w:rPr>
          <w:rFonts w:asciiTheme="minorBidi" w:hAnsiTheme="minorBidi"/>
        </w:rPr>
      </w:pPr>
    </w:p>
    <w:p w14:paraId="44B42442" w14:textId="2A79CA6F" w:rsidR="00BE0FF2" w:rsidRPr="006B0843" w:rsidRDefault="00BE0FF2" w:rsidP="006B0843">
      <w:pPr>
        <w:pStyle w:val="ListParagraph"/>
        <w:numPr>
          <w:ilvl w:val="0"/>
          <w:numId w:val="1"/>
        </w:numPr>
        <w:ind w:left="567" w:hanging="594"/>
        <w:jc w:val="both"/>
        <w:rPr>
          <w:rFonts w:asciiTheme="minorBidi" w:hAnsiTheme="minorBidi"/>
        </w:rPr>
      </w:pPr>
      <w:r w:rsidRPr="006B0843">
        <w:rPr>
          <w:rFonts w:asciiTheme="minorBidi" w:hAnsiTheme="minorBidi"/>
        </w:rPr>
        <w:t xml:space="preserve">The disclosure framework for </w:t>
      </w:r>
      <w:r w:rsidR="006814D8" w:rsidRPr="006B0843">
        <w:rPr>
          <w:rFonts w:asciiTheme="minorBidi" w:hAnsiTheme="minorBidi"/>
        </w:rPr>
        <w:t>Mining</w:t>
      </w:r>
      <w:r w:rsidRPr="006B0843">
        <w:rPr>
          <w:rFonts w:asciiTheme="minorBidi" w:hAnsiTheme="minorBidi"/>
        </w:rPr>
        <w:t xml:space="preserve"> Reporting Entities in </w:t>
      </w:r>
      <w:r w:rsidR="00931DDD" w:rsidRPr="006B0843">
        <w:rPr>
          <w:rFonts w:asciiTheme="minorBidi" w:hAnsiTheme="minorBidi"/>
        </w:rPr>
        <w:t>Chapter</w:t>
      </w:r>
      <w:r w:rsidRPr="006B0843">
        <w:rPr>
          <w:rFonts w:asciiTheme="minorBidi" w:hAnsiTheme="minorBidi"/>
        </w:rPr>
        <w:t xml:space="preserve"> 1</w:t>
      </w:r>
      <w:r w:rsidR="006814D8" w:rsidRPr="006B0843">
        <w:rPr>
          <w:rFonts w:asciiTheme="minorBidi" w:hAnsiTheme="minorBidi"/>
        </w:rPr>
        <w:t>1</w:t>
      </w:r>
      <w:r w:rsidRPr="006B0843">
        <w:rPr>
          <w:rFonts w:asciiTheme="minorBidi" w:hAnsiTheme="minorBidi"/>
        </w:rPr>
        <w:t xml:space="preserve"> of MKT is substantially driven by </w:t>
      </w:r>
      <w:r w:rsidR="006814D8" w:rsidRPr="006B0843">
        <w:rPr>
          <w:rFonts w:asciiTheme="minorBidi" w:hAnsiTheme="minorBidi"/>
        </w:rPr>
        <w:t xml:space="preserve">three Mining Reporting </w:t>
      </w:r>
      <w:proofErr w:type="gramStart"/>
      <w:r w:rsidR="006814D8" w:rsidRPr="006B0843">
        <w:rPr>
          <w:rFonts w:asciiTheme="minorBidi" w:hAnsiTheme="minorBidi"/>
        </w:rPr>
        <w:t>Standards</w:t>
      </w:r>
      <w:r w:rsidR="003F6BB4" w:rsidRPr="006B0843">
        <w:rPr>
          <w:rFonts w:asciiTheme="minorBidi" w:hAnsiTheme="minorBidi"/>
        </w:rPr>
        <w:t>;</w:t>
      </w:r>
      <w:proofErr w:type="gramEnd"/>
      <w:r w:rsidR="003F6BB4" w:rsidRPr="006B0843">
        <w:rPr>
          <w:rFonts w:asciiTheme="minorBidi" w:hAnsiTheme="minorBidi"/>
        </w:rPr>
        <w:t xml:space="preserve"> </w:t>
      </w:r>
      <w:r w:rsidR="006814D8" w:rsidRPr="006B0843">
        <w:rPr>
          <w:rFonts w:asciiTheme="minorBidi" w:hAnsiTheme="minorBidi"/>
        </w:rPr>
        <w:t>the JORC Code, the SAMREC Code and NI 43-101 and the CIM Standards.</w:t>
      </w:r>
      <w:r w:rsidRPr="006B0843">
        <w:rPr>
          <w:rFonts w:asciiTheme="minorBidi" w:hAnsiTheme="minorBidi"/>
        </w:rPr>
        <w:t xml:space="preserve">  </w:t>
      </w:r>
      <w:r w:rsidR="00506261" w:rsidRPr="006B0843">
        <w:rPr>
          <w:rFonts w:asciiTheme="minorBidi" w:hAnsiTheme="minorBidi"/>
        </w:rPr>
        <w:t>The</w:t>
      </w:r>
      <w:r w:rsidR="006814D8" w:rsidRPr="006B0843">
        <w:rPr>
          <w:rFonts w:asciiTheme="minorBidi" w:hAnsiTheme="minorBidi"/>
        </w:rPr>
        <w:t xml:space="preserve">se Mining Reporting Standards </w:t>
      </w:r>
      <w:r w:rsidRPr="006B0843">
        <w:rPr>
          <w:rFonts w:asciiTheme="minorBidi" w:hAnsiTheme="minorBidi"/>
        </w:rPr>
        <w:t>set guidelines that provide</w:t>
      </w:r>
      <w:r w:rsidR="006814D8" w:rsidRPr="006B0843">
        <w:rPr>
          <w:rFonts w:asciiTheme="minorBidi" w:hAnsiTheme="minorBidi"/>
        </w:rPr>
        <w:t xml:space="preserve"> for </w:t>
      </w:r>
      <w:r w:rsidRPr="006B0843">
        <w:rPr>
          <w:rFonts w:asciiTheme="minorBidi" w:hAnsiTheme="minorBidi"/>
        </w:rPr>
        <w:t xml:space="preserve">standardised definitions and a comprehensive classification system for </w:t>
      </w:r>
      <w:r w:rsidR="006814D8" w:rsidRPr="006B0843">
        <w:rPr>
          <w:rFonts w:asciiTheme="minorBidi" w:hAnsiTheme="minorBidi"/>
        </w:rPr>
        <w:t>Mineral Resources and Ore Reserves</w:t>
      </w:r>
      <w:r w:rsidRPr="006B0843">
        <w:rPr>
          <w:rFonts w:asciiTheme="minorBidi" w:hAnsiTheme="minorBidi"/>
        </w:rPr>
        <w:t xml:space="preserve">.  The FSRA intends for </w:t>
      </w:r>
      <w:r w:rsidR="00931DDD" w:rsidRPr="006B0843">
        <w:rPr>
          <w:rFonts w:asciiTheme="minorBidi" w:hAnsiTheme="minorBidi"/>
        </w:rPr>
        <w:t>Chapter</w:t>
      </w:r>
      <w:r w:rsidRPr="006B0843">
        <w:rPr>
          <w:rFonts w:asciiTheme="minorBidi" w:hAnsiTheme="minorBidi"/>
        </w:rPr>
        <w:t xml:space="preserve"> 1</w:t>
      </w:r>
      <w:r w:rsidR="006814D8" w:rsidRPr="006B0843">
        <w:rPr>
          <w:rFonts w:asciiTheme="minorBidi" w:hAnsiTheme="minorBidi"/>
        </w:rPr>
        <w:t>1</w:t>
      </w:r>
      <w:r w:rsidRPr="006B0843">
        <w:rPr>
          <w:rFonts w:asciiTheme="minorBidi" w:hAnsiTheme="minorBidi"/>
        </w:rPr>
        <w:t xml:space="preserve"> of MKT to work closely, and be consistent, with </w:t>
      </w:r>
      <w:r w:rsidR="00506261" w:rsidRPr="006B0843">
        <w:rPr>
          <w:rFonts w:asciiTheme="minorBidi" w:hAnsiTheme="minorBidi"/>
        </w:rPr>
        <w:t xml:space="preserve">the </w:t>
      </w:r>
      <w:r w:rsidR="006814D8" w:rsidRPr="006B0843">
        <w:rPr>
          <w:rFonts w:asciiTheme="minorBidi" w:hAnsiTheme="minorBidi"/>
        </w:rPr>
        <w:t>Mining Reporting Standards</w:t>
      </w:r>
      <w:r w:rsidRPr="006B0843">
        <w:rPr>
          <w:rFonts w:asciiTheme="minorBidi" w:hAnsiTheme="minorBidi"/>
        </w:rPr>
        <w:t>.  If there are any inconsistencies, however, between FSMR</w:t>
      </w:r>
      <w:r w:rsidR="00742DE0" w:rsidRPr="006B0843">
        <w:rPr>
          <w:rFonts w:asciiTheme="minorBidi" w:hAnsiTheme="minorBidi"/>
        </w:rPr>
        <w:t xml:space="preserve"> or </w:t>
      </w:r>
      <w:r w:rsidRPr="006B0843">
        <w:rPr>
          <w:rFonts w:asciiTheme="minorBidi" w:hAnsiTheme="minorBidi"/>
        </w:rPr>
        <w:t>MKT and the</w:t>
      </w:r>
      <w:r w:rsidR="006814D8" w:rsidRPr="006B0843">
        <w:rPr>
          <w:rFonts w:asciiTheme="minorBidi" w:hAnsiTheme="minorBidi"/>
        </w:rPr>
        <w:t xml:space="preserve"> Mining Reporting Standards</w:t>
      </w:r>
      <w:r w:rsidRPr="006B0843">
        <w:rPr>
          <w:rFonts w:asciiTheme="minorBidi" w:hAnsiTheme="minorBidi"/>
        </w:rPr>
        <w:t>, FSMR</w:t>
      </w:r>
      <w:r w:rsidR="00742DE0" w:rsidRPr="006B0843">
        <w:rPr>
          <w:rFonts w:asciiTheme="minorBidi" w:hAnsiTheme="minorBidi"/>
        </w:rPr>
        <w:t xml:space="preserve"> or </w:t>
      </w:r>
      <w:r w:rsidRPr="006B0843">
        <w:rPr>
          <w:rFonts w:asciiTheme="minorBidi" w:hAnsiTheme="minorBidi"/>
        </w:rPr>
        <w:t>M</w:t>
      </w:r>
      <w:r w:rsidR="00506261" w:rsidRPr="006B0843">
        <w:rPr>
          <w:rFonts w:asciiTheme="minorBidi" w:hAnsiTheme="minorBidi"/>
        </w:rPr>
        <w:t>K</w:t>
      </w:r>
      <w:r w:rsidRPr="006B0843">
        <w:rPr>
          <w:rFonts w:asciiTheme="minorBidi" w:hAnsiTheme="minorBidi"/>
        </w:rPr>
        <w:t>T will prevail.</w:t>
      </w:r>
      <w:r w:rsidR="00812232">
        <w:rPr>
          <w:rFonts w:asciiTheme="minorBidi" w:hAnsiTheme="minorBidi"/>
        </w:rPr>
        <w:t xml:space="preserve">  However, this does not mean that where a Mining Reporting Standards requirement is not required under FSMR or MKT that it is acceptable for the Mining Reporting Standard requirement to be ignored.</w:t>
      </w:r>
    </w:p>
    <w:p w14:paraId="481630FF" w14:textId="77777777" w:rsidR="00BE0FF2" w:rsidRPr="006B0843" w:rsidRDefault="00BE0FF2" w:rsidP="006B0843">
      <w:pPr>
        <w:pStyle w:val="ListParagraph"/>
        <w:ind w:left="567" w:hanging="594"/>
        <w:rPr>
          <w:rFonts w:asciiTheme="minorBidi" w:hAnsiTheme="minorBidi"/>
        </w:rPr>
      </w:pPr>
    </w:p>
    <w:p w14:paraId="6E649454" w14:textId="762D7E1F" w:rsidR="00BE0FF2" w:rsidRPr="006B0843" w:rsidRDefault="00BE0FF2" w:rsidP="006B0843">
      <w:pPr>
        <w:pStyle w:val="ListParagraph"/>
        <w:numPr>
          <w:ilvl w:val="0"/>
          <w:numId w:val="1"/>
        </w:numPr>
        <w:ind w:left="567" w:hanging="594"/>
        <w:jc w:val="both"/>
        <w:rPr>
          <w:rFonts w:asciiTheme="minorBidi" w:hAnsiTheme="minorBidi"/>
        </w:rPr>
      </w:pPr>
      <w:r w:rsidRPr="006B0843">
        <w:rPr>
          <w:rFonts w:asciiTheme="minorBidi" w:hAnsiTheme="minorBidi"/>
        </w:rPr>
        <w:t xml:space="preserve">In the context of the obligations and disclosures by </w:t>
      </w:r>
      <w:r w:rsidR="006814D8" w:rsidRPr="006B0843">
        <w:rPr>
          <w:rFonts w:asciiTheme="minorBidi" w:hAnsiTheme="minorBidi"/>
        </w:rPr>
        <w:t xml:space="preserve">Mining </w:t>
      </w:r>
      <w:r w:rsidRPr="006B0843">
        <w:rPr>
          <w:rFonts w:asciiTheme="minorBidi" w:hAnsiTheme="minorBidi"/>
        </w:rPr>
        <w:t xml:space="preserve">Reporting Entities, the FSRA operates as the Listing Authority within ADGM and is therefore the authority charged with supervising </w:t>
      </w:r>
      <w:r w:rsidR="006814D8" w:rsidRPr="006B0843">
        <w:rPr>
          <w:rFonts w:asciiTheme="minorBidi" w:hAnsiTheme="minorBidi"/>
        </w:rPr>
        <w:t>Mining R</w:t>
      </w:r>
      <w:r w:rsidR="00E63F64" w:rsidRPr="006B0843">
        <w:rPr>
          <w:rFonts w:asciiTheme="minorBidi" w:hAnsiTheme="minorBidi"/>
        </w:rPr>
        <w:t>eporting Entity disclosures under FSMR, MKT</w:t>
      </w:r>
      <w:r w:rsidR="003F6BB4" w:rsidRPr="006B0843">
        <w:rPr>
          <w:rFonts w:asciiTheme="minorBidi" w:hAnsiTheme="minorBidi"/>
        </w:rPr>
        <w:t>,</w:t>
      </w:r>
      <w:r w:rsidR="00E63F64" w:rsidRPr="006B0843">
        <w:rPr>
          <w:rFonts w:asciiTheme="minorBidi" w:hAnsiTheme="minorBidi"/>
        </w:rPr>
        <w:t xml:space="preserve"> and by extension of </w:t>
      </w:r>
      <w:r w:rsidR="00931DDD" w:rsidRPr="006B0843">
        <w:rPr>
          <w:rFonts w:asciiTheme="minorBidi" w:hAnsiTheme="minorBidi"/>
        </w:rPr>
        <w:t xml:space="preserve">Chapter </w:t>
      </w:r>
      <w:r w:rsidR="00E63F64" w:rsidRPr="006B0843">
        <w:rPr>
          <w:rFonts w:asciiTheme="minorBidi" w:hAnsiTheme="minorBidi"/>
        </w:rPr>
        <w:t>1</w:t>
      </w:r>
      <w:r w:rsidR="006814D8" w:rsidRPr="006B0843">
        <w:rPr>
          <w:rFonts w:asciiTheme="minorBidi" w:hAnsiTheme="minorBidi"/>
        </w:rPr>
        <w:t>1</w:t>
      </w:r>
      <w:r w:rsidR="00E63F64" w:rsidRPr="006B0843">
        <w:rPr>
          <w:rFonts w:asciiTheme="minorBidi" w:hAnsiTheme="minorBidi"/>
        </w:rPr>
        <w:t xml:space="preserve"> of MKT, </w:t>
      </w:r>
      <w:r w:rsidR="006814D8" w:rsidRPr="006B0843">
        <w:rPr>
          <w:rFonts w:asciiTheme="minorBidi" w:hAnsiTheme="minorBidi"/>
        </w:rPr>
        <w:t>the Mining Reporting Standards</w:t>
      </w:r>
      <w:r w:rsidR="00E63F64" w:rsidRPr="006B0843">
        <w:rPr>
          <w:rFonts w:asciiTheme="minorBidi" w:hAnsiTheme="minorBidi"/>
        </w:rPr>
        <w:t>.</w:t>
      </w:r>
      <w:r w:rsidRPr="006B0843">
        <w:rPr>
          <w:rFonts w:asciiTheme="minorBidi" w:hAnsiTheme="minorBidi"/>
        </w:rPr>
        <w:t xml:space="preserve"> </w:t>
      </w:r>
    </w:p>
    <w:p w14:paraId="609149EB" w14:textId="77777777" w:rsidR="00E63F64" w:rsidRPr="006B0843" w:rsidRDefault="00E63F64" w:rsidP="006B0843">
      <w:pPr>
        <w:pStyle w:val="ListParagraph"/>
        <w:ind w:left="567" w:hanging="594"/>
        <w:rPr>
          <w:rFonts w:asciiTheme="minorBidi" w:hAnsiTheme="minorBidi"/>
        </w:rPr>
      </w:pPr>
    </w:p>
    <w:p w14:paraId="60235B78" w14:textId="77DCE249" w:rsidR="00E63F64" w:rsidRPr="006B0843" w:rsidRDefault="00E63F64" w:rsidP="006B0843">
      <w:pPr>
        <w:pStyle w:val="ListParagraph"/>
        <w:numPr>
          <w:ilvl w:val="0"/>
          <w:numId w:val="1"/>
        </w:numPr>
        <w:ind w:left="567" w:hanging="594"/>
        <w:jc w:val="both"/>
        <w:rPr>
          <w:rFonts w:asciiTheme="minorBidi" w:hAnsiTheme="minorBidi"/>
        </w:rPr>
      </w:pPr>
      <w:r w:rsidRPr="006B0843">
        <w:rPr>
          <w:rFonts w:asciiTheme="minorBidi" w:hAnsiTheme="minorBidi"/>
        </w:rPr>
        <w:t xml:space="preserve">Nothing in this Guidance binds the FSRA in relation to the application of MKT to a particular Issuer, Listed </w:t>
      </w:r>
      <w:proofErr w:type="gramStart"/>
      <w:r w:rsidRPr="006B0843">
        <w:rPr>
          <w:rFonts w:asciiTheme="minorBidi" w:hAnsiTheme="minorBidi"/>
        </w:rPr>
        <w:t>Company</w:t>
      </w:r>
      <w:proofErr w:type="gramEnd"/>
      <w:r w:rsidRPr="006B0843">
        <w:rPr>
          <w:rFonts w:asciiTheme="minorBidi" w:hAnsiTheme="minorBidi"/>
        </w:rPr>
        <w:t xml:space="preserve"> or </w:t>
      </w:r>
      <w:r w:rsidR="006814D8" w:rsidRPr="006B0843">
        <w:rPr>
          <w:rFonts w:asciiTheme="minorBidi" w:hAnsiTheme="minorBidi"/>
        </w:rPr>
        <w:t xml:space="preserve">Mining </w:t>
      </w:r>
      <w:r w:rsidRPr="006B0843">
        <w:rPr>
          <w:rFonts w:asciiTheme="minorBidi" w:hAnsiTheme="minorBidi"/>
        </w:rPr>
        <w:t xml:space="preserve">Reporting Entity, or to a particular situation. </w:t>
      </w:r>
      <w:r w:rsidR="00002FCA">
        <w:rPr>
          <w:rFonts w:asciiTheme="minorBidi" w:hAnsiTheme="minorBidi"/>
        </w:rPr>
        <w:t xml:space="preserve"> </w:t>
      </w:r>
      <w:r w:rsidRPr="006B0843">
        <w:rPr>
          <w:rFonts w:asciiTheme="minorBidi" w:hAnsiTheme="minorBidi"/>
        </w:rPr>
        <w:t xml:space="preserve">This Guidance is not an exhaustive source of the FSRA’s policy on the exercise of its regulatory functions and powers.  The FSRA is not bound by the requirements set out in this Guidance and may – </w:t>
      </w:r>
    </w:p>
    <w:p w14:paraId="477901A8" w14:textId="77777777" w:rsidR="00E63F64" w:rsidRPr="006B0843" w:rsidRDefault="00E63F64" w:rsidP="00E63F64">
      <w:pPr>
        <w:pStyle w:val="ListParagraph"/>
        <w:rPr>
          <w:rFonts w:asciiTheme="minorBidi" w:hAnsiTheme="minorBidi"/>
        </w:rPr>
      </w:pPr>
    </w:p>
    <w:p w14:paraId="08415590" w14:textId="1D4B89C9" w:rsidR="00E63F64" w:rsidRPr="006B0843" w:rsidRDefault="00E63F64" w:rsidP="006B0843">
      <w:pPr>
        <w:pStyle w:val="Heading4"/>
        <w:numPr>
          <w:ilvl w:val="0"/>
          <w:numId w:val="4"/>
        </w:numPr>
        <w:spacing w:after="0" w:line="240" w:lineRule="auto"/>
        <w:ind w:left="1134" w:hanging="567"/>
        <w:rPr>
          <w:rFonts w:asciiTheme="minorBidi" w:hAnsiTheme="minorBidi" w:cstheme="minorBidi"/>
          <w:szCs w:val="22"/>
        </w:rPr>
      </w:pPr>
      <w:r w:rsidRPr="006B0843">
        <w:rPr>
          <w:rFonts w:asciiTheme="minorBidi" w:eastAsiaTheme="minorHAnsi" w:hAnsiTheme="minorBidi" w:cstheme="minorBidi"/>
          <w:bCs w:val="0"/>
          <w:iCs w:val="0"/>
          <w:szCs w:val="22"/>
        </w:rPr>
        <w:t xml:space="preserve">impose additional requirements to address any specific risks posed by </w:t>
      </w:r>
      <w:r w:rsidR="003F6BB4" w:rsidRPr="006B0843">
        <w:rPr>
          <w:rFonts w:asciiTheme="minorBidi" w:eastAsiaTheme="minorHAnsi" w:hAnsiTheme="minorBidi" w:cstheme="minorBidi"/>
          <w:bCs w:val="0"/>
          <w:iCs w:val="0"/>
          <w:szCs w:val="22"/>
        </w:rPr>
        <w:t>Mining</w:t>
      </w:r>
      <w:r w:rsidRPr="006B0843">
        <w:rPr>
          <w:rFonts w:asciiTheme="minorBidi" w:eastAsiaTheme="minorHAnsi" w:hAnsiTheme="minorBidi" w:cstheme="minorBidi"/>
          <w:bCs w:val="0"/>
          <w:iCs w:val="0"/>
          <w:szCs w:val="22"/>
        </w:rPr>
        <w:t xml:space="preserve"> Reporting </w:t>
      </w:r>
      <w:proofErr w:type="gramStart"/>
      <w:r w:rsidRPr="006B0843">
        <w:rPr>
          <w:rFonts w:asciiTheme="minorBidi" w:eastAsiaTheme="minorHAnsi" w:hAnsiTheme="minorBidi" w:cstheme="minorBidi"/>
          <w:bCs w:val="0"/>
          <w:iCs w:val="0"/>
          <w:szCs w:val="22"/>
        </w:rPr>
        <w:t>Entities;</w:t>
      </w:r>
      <w:proofErr w:type="gramEnd"/>
      <w:r w:rsidRPr="006B0843">
        <w:rPr>
          <w:rFonts w:asciiTheme="minorBidi" w:eastAsiaTheme="minorHAnsi" w:hAnsiTheme="minorBidi" w:cstheme="minorBidi"/>
          <w:bCs w:val="0"/>
          <w:iCs w:val="0"/>
          <w:szCs w:val="22"/>
        </w:rPr>
        <w:t xml:space="preserve"> </w:t>
      </w:r>
    </w:p>
    <w:p w14:paraId="4D7C2C62" w14:textId="77777777" w:rsidR="00E63F64" w:rsidRPr="006B0843" w:rsidRDefault="00E63F64" w:rsidP="006B084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2FBF98D9" w14:textId="74E1BDC8" w:rsidR="00E63F64" w:rsidRPr="006B0843" w:rsidRDefault="00E63F64" w:rsidP="006B0843">
      <w:pPr>
        <w:pStyle w:val="Heading4"/>
        <w:numPr>
          <w:ilvl w:val="0"/>
          <w:numId w:val="4"/>
        </w:numPr>
        <w:spacing w:after="0" w:line="240" w:lineRule="auto"/>
        <w:ind w:left="1134" w:hanging="567"/>
        <w:rPr>
          <w:rFonts w:asciiTheme="minorBidi" w:hAnsiTheme="minorBidi" w:cstheme="minorBidi"/>
          <w:szCs w:val="22"/>
        </w:rPr>
      </w:pPr>
      <w:r w:rsidRPr="006B0843">
        <w:rPr>
          <w:rFonts w:asciiTheme="minorBidi" w:eastAsiaTheme="minorHAnsi" w:hAnsiTheme="minorBidi" w:cstheme="minorBidi"/>
          <w:bCs w:val="0"/>
          <w:iCs w:val="0"/>
          <w:szCs w:val="22"/>
        </w:rPr>
        <w:t xml:space="preserve">waive or modify any of the Rules relevant to </w:t>
      </w:r>
      <w:r w:rsidR="003F6BB4" w:rsidRPr="006B0843">
        <w:rPr>
          <w:rFonts w:asciiTheme="minorBidi" w:eastAsiaTheme="minorHAnsi" w:hAnsiTheme="minorBidi" w:cstheme="minorBidi"/>
          <w:bCs w:val="0"/>
          <w:iCs w:val="0"/>
          <w:szCs w:val="22"/>
        </w:rPr>
        <w:t>Mining</w:t>
      </w:r>
      <w:r w:rsidRPr="006B0843">
        <w:rPr>
          <w:rFonts w:asciiTheme="minorBidi" w:eastAsiaTheme="minorHAnsi" w:hAnsiTheme="minorBidi" w:cstheme="minorBidi"/>
          <w:bCs w:val="0"/>
          <w:iCs w:val="0"/>
          <w:szCs w:val="22"/>
        </w:rPr>
        <w:t xml:space="preserve"> Reporting Entities, at its discretion, where appropriate.</w:t>
      </w:r>
    </w:p>
    <w:p w14:paraId="5A31BE30" w14:textId="77777777" w:rsidR="00E63F64" w:rsidRPr="006B0843" w:rsidRDefault="00E63F64" w:rsidP="00E63F64">
      <w:pPr>
        <w:pStyle w:val="ListParagraph"/>
        <w:ind w:left="426"/>
        <w:jc w:val="both"/>
        <w:rPr>
          <w:rFonts w:asciiTheme="minorBidi" w:hAnsiTheme="minorBidi"/>
        </w:rPr>
      </w:pPr>
    </w:p>
    <w:p w14:paraId="64A05978" w14:textId="6673E69C" w:rsidR="00E63F64" w:rsidRPr="006B0843" w:rsidRDefault="00E63F64" w:rsidP="006B0843">
      <w:pPr>
        <w:pStyle w:val="ListParagraph"/>
        <w:numPr>
          <w:ilvl w:val="0"/>
          <w:numId w:val="1"/>
        </w:numPr>
        <w:ind w:left="567" w:hanging="567"/>
        <w:jc w:val="both"/>
        <w:rPr>
          <w:rFonts w:asciiTheme="minorBidi" w:hAnsiTheme="minorBidi"/>
        </w:rPr>
      </w:pPr>
      <w:r w:rsidRPr="006B0843">
        <w:rPr>
          <w:rFonts w:asciiTheme="minorBidi" w:hAnsiTheme="minorBidi"/>
        </w:rPr>
        <w:t>Unless otherwise defined or the context otherwise requires, the terms contained in this Guidance have the same meaning as defined in the FSMR and the FSRA Glossary Rulebook (“GLO”).</w:t>
      </w:r>
      <w:r w:rsidR="00720C60" w:rsidRPr="006B0843">
        <w:rPr>
          <w:rFonts w:asciiTheme="minorBidi" w:hAnsiTheme="minorBidi"/>
        </w:rPr>
        <w:t xml:space="preserve">  </w:t>
      </w:r>
    </w:p>
    <w:p w14:paraId="12934F6C" w14:textId="40AC8B7E" w:rsidR="00E63F64" w:rsidRPr="006B0843" w:rsidRDefault="00E63F64" w:rsidP="006B0843">
      <w:pPr>
        <w:pStyle w:val="ListParagraph"/>
        <w:ind w:left="567" w:hanging="567"/>
        <w:jc w:val="both"/>
        <w:rPr>
          <w:rFonts w:asciiTheme="minorBidi" w:hAnsiTheme="minorBidi"/>
        </w:rPr>
      </w:pPr>
    </w:p>
    <w:p w14:paraId="7A05DD11" w14:textId="77777777" w:rsidR="00931DDD" w:rsidRPr="006B0843" w:rsidRDefault="00E717C9" w:rsidP="006B0843">
      <w:pPr>
        <w:pStyle w:val="ListParagraph"/>
        <w:numPr>
          <w:ilvl w:val="0"/>
          <w:numId w:val="1"/>
        </w:numPr>
        <w:ind w:left="567" w:hanging="567"/>
        <w:jc w:val="both"/>
        <w:rPr>
          <w:rFonts w:asciiTheme="minorBidi" w:hAnsiTheme="minorBidi"/>
        </w:rPr>
      </w:pPr>
      <w:r w:rsidRPr="006B0843">
        <w:rPr>
          <w:rFonts w:asciiTheme="minorBidi" w:hAnsiTheme="minorBidi"/>
        </w:rPr>
        <w:t>For the purposes of this Guidance</w:t>
      </w:r>
      <w:r w:rsidR="00931DDD" w:rsidRPr="006B0843">
        <w:rPr>
          <w:rFonts w:asciiTheme="minorBidi" w:hAnsiTheme="minorBidi"/>
        </w:rPr>
        <w:t>:</w:t>
      </w:r>
    </w:p>
    <w:p w14:paraId="079465F7" w14:textId="77777777" w:rsidR="00931DDD" w:rsidRPr="006B0843" w:rsidRDefault="00931DDD" w:rsidP="00931DDD">
      <w:pPr>
        <w:pStyle w:val="ListParagraph"/>
        <w:ind w:left="1440"/>
        <w:jc w:val="both"/>
        <w:rPr>
          <w:rFonts w:asciiTheme="minorBidi" w:hAnsiTheme="minorBidi"/>
        </w:rPr>
      </w:pPr>
    </w:p>
    <w:p w14:paraId="5AD13E57" w14:textId="15CAADE8" w:rsidR="00931DDD" w:rsidRPr="006B0843" w:rsidRDefault="008D429C" w:rsidP="006B0843">
      <w:pPr>
        <w:pStyle w:val="Heading4"/>
        <w:numPr>
          <w:ilvl w:val="0"/>
          <w:numId w:val="3"/>
        </w:numPr>
        <w:spacing w:after="0" w:line="240" w:lineRule="auto"/>
        <w:ind w:left="1134" w:hanging="567"/>
        <w:rPr>
          <w:rFonts w:asciiTheme="minorBidi" w:eastAsiaTheme="minorHAnsi" w:hAnsiTheme="minorBidi" w:cstheme="minorBidi"/>
          <w:bCs w:val="0"/>
          <w:iCs w:val="0"/>
          <w:szCs w:val="22"/>
        </w:rPr>
      </w:pPr>
      <w:r w:rsidRPr="006B0843">
        <w:rPr>
          <w:rFonts w:asciiTheme="minorBidi" w:eastAsiaTheme="minorHAnsi" w:hAnsiTheme="minorBidi" w:cstheme="minorBidi"/>
          <w:bCs w:val="0"/>
          <w:iCs w:val="0"/>
          <w:szCs w:val="22"/>
        </w:rPr>
        <w:t xml:space="preserve">and </w:t>
      </w:r>
      <w:r w:rsidR="00931DDD" w:rsidRPr="006B0843">
        <w:rPr>
          <w:rFonts w:asciiTheme="minorBidi" w:eastAsiaTheme="minorHAnsi" w:hAnsiTheme="minorBidi" w:cstheme="minorBidi"/>
          <w:bCs w:val="0"/>
          <w:iCs w:val="0"/>
          <w:szCs w:val="22"/>
        </w:rPr>
        <w:t>chapter</w:t>
      </w:r>
      <w:r w:rsidR="00E63F64" w:rsidRPr="006B0843">
        <w:rPr>
          <w:rFonts w:asciiTheme="minorBidi" w:eastAsiaTheme="minorHAnsi" w:hAnsiTheme="minorBidi" w:cstheme="minorBidi"/>
          <w:bCs w:val="0"/>
          <w:iCs w:val="0"/>
          <w:szCs w:val="22"/>
        </w:rPr>
        <w:t xml:space="preserve"> 1</w:t>
      </w:r>
      <w:r w:rsidR="006814D8" w:rsidRPr="006B0843">
        <w:rPr>
          <w:rFonts w:asciiTheme="minorBidi" w:eastAsiaTheme="minorHAnsi" w:hAnsiTheme="minorBidi" w:cstheme="minorBidi"/>
          <w:bCs w:val="0"/>
          <w:iCs w:val="0"/>
          <w:szCs w:val="22"/>
        </w:rPr>
        <w:t>1</w:t>
      </w:r>
      <w:r w:rsidR="00E63F64" w:rsidRPr="006B0843">
        <w:rPr>
          <w:rFonts w:asciiTheme="minorBidi" w:eastAsiaTheme="minorHAnsi" w:hAnsiTheme="minorBidi" w:cstheme="minorBidi"/>
          <w:bCs w:val="0"/>
          <w:iCs w:val="0"/>
          <w:szCs w:val="22"/>
        </w:rPr>
        <w:t xml:space="preserve"> of MKT</w:t>
      </w:r>
      <w:r w:rsidRPr="006B0843">
        <w:rPr>
          <w:rFonts w:asciiTheme="minorBidi" w:eastAsiaTheme="minorHAnsi" w:hAnsiTheme="minorBidi" w:cstheme="minorBidi"/>
          <w:bCs w:val="0"/>
          <w:iCs w:val="0"/>
          <w:szCs w:val="22"/>
        </w:rPr>
        <w:t>,</w:t>
      </w:r>
      <w:r w:rsidR="00720C60" w:rsidRPr="006B0843">
        <w:rPr>
          <w:rFonts w:asciiTheme="minorBidi" w:eastAsiaTheme="minorHAnsi" w:hAnsiTheme="minorBidi" w:cstheme="minorBidi"/>
          <w:bCs w:val="0"/>
          <w:iCs w:val="0"/>
          <w:szCs w:val="22"/>
        </w:rPr>
        <w:t xml:space="preserve"> and as set out in Rule 1</w:t>
      </w:r>
      <w:r w:rsidR="00762565" w:rsidRPr="006B0843">
        <w:rPr>
          <w:rFonts w:asciiTheme="minorBidi" w:eastAsiaTheme="minorHAnsi" w:hAnsiTheme="minorBidi" w:cstheme="minorBidi"/>
          <w:bCs w:val="0"/>
          <w:iCs w:val="0"/>
          <w:szCs w:val="22"/>
        </w:rPr>
        <w:t>1</w:t>
      </w:r>
      <w:r w:rsidR="00720C60" w:rsidRPr="006B0843">
        <w:rPr>
          <w:rFonts w:asciiTheme="minorBidi" w:eastAsiaTheme="minorHAnsi" w:hAnsiTheme="minorBidi" w:cstheme="minorBidi"/>
          <w:bCs w:val="0"/>
          <w:iCs w:val="0"/>
          <w:szCs w:val="22"/>
        </w:rPr>
        <w:t>.1.2</w:t>
      </w:r>
      <w:r w:rsidR="00E63F64" w:rsidRPr="006B0843">
        <w:rPr>
          <w:rFonts w:asciiTheme="minorBidi" w:eastAsiaTheme="minorHAnsi" w:hAnsiTheme="minorBidi" w:cstheme="minorBidi"/>
          <w:bCs w:val="0"/>
          <w:iCs w:val="0"/>
          <w:szCs w:val="22"/>
        </w:rPr>
        <w:t xml:space="preserve">, Issuers, Listed Companies or </w:t>
      </w:r>
      <w:r w:rsidR="006814D8" w:rsidRPr="006B0843">
        <w:rPr>
          <w:rFonts w:asciiTheme="minorBidi" w:eastAsiaTheme="minorHAnsi" w:hAnsiTheme="minorBidi" w:cstheme="minorBidi"/>
          <w:bCs w:val="0"/>
          <w:iCs w:val="0"/>
          <w:szCs w:val="22"/>
        </w:rPr>
        <w:t>Mining R</w:t>
      </w:r>
      <w:r w:rsidR="00E63F64" w:rsidRPr="006B0843">
        <w:rPr>
          <w:rFonts w:asciiTheme="minorBidi" w:eastAsiaTheme="minorHAnsi" w:hAnsiTheme="minorBidi" w:cstheme="minorBidi"/>
          <w:bCs w:val="0"/>
          <w:iCs w:val="0"/>
          <w:szCs w:val="22"/>
        </w:rPr>
        <w:t>eporting Entities</w:t>
      </w:r>
      <w:r w:rsidR="00155EEB" w:rsidRPr="006B0843">
        <w:rPr>
          <w:rFonts w:asciiTheme="minorBidi" w:eastAsiaTheme="minorHAnsi" w:hAnsiTheme="minorBidi" w:cstheme="minorBidi"/>
          <w:bCs w:val="0"/>
          <w:iCs w:val="0"/>
          <w:szCs w:val="22"/>
        </w:rPr>
        <w:t>, or any</w:t>
      </w:r>
      <w:r w:rsidR="003F6BB4" w:rsidRPr="006B0843">
        <w:rPr>
          <w:rFonts w:asciiTheme="minorBidi" w:eastAsiaTheme="minorHAnsi" w:hAnsiTheme="minorBidi" w:cstheme="minorBidi"/>
          <w:bCs w:val="0"/>
          <w:iCs w:val="0"/>
          <w:szCs w:val="22"/>
        </w:rPr>
        <w:t xml:space="preserve"> other</w:t>
      </w:r>
      <w:r w:rsidR="00155EEB" w:rsidRPr="006B0843">
        <w:rPr>
          <w:rFonts w:asciiTheme="minorBidi" w:eastAsiaTheme="minorHAnsi" w:hAnsiTheme="minorBidi" w:cstheme="minorBidi"/>
          <w:bCs w:val="0"/>
          <w:iCs w:val="0"/>
          <w:szCs w:val="22"/>
        </w:rPr>
        <w:t xml:space="preserve"> entity required to make a disclosure in relation to </w:t>
      </w:r>
      <w:r w:rsidR="006814D8" w:rsidRPr="006B0843">
        <w:rPr>
          <w:rFonts w:asciiTheme="minorBidi" w:eastAsiaTheme="minorHAnsi" w:hAnsiTheme="minorBidi" w:cstheme="minorBidi"/>
          <w:bCs w:val="0"/>
          <w:iCs w:val="0"/>
          <w:szCs w:val="22"/>
        </w:rPr>
        <w:t>Minerals activit</w:t>
      </w:r>
      <w:r w:rsidR="00762565" w:rsidRPr="006B0843">
        <w:rPr>
          <w:rFonts w:asciiTheme="minorBidi" w:eastAsiaTheme="minorHAnsi" w:hAnsiTheme="minorBidi" w:cstheme="minorBidi"/>
          <w:bCs w:val="0"/>
          <w:iCs w:val="0"/>
          <w:szCs w:val="22"/>
        </w:rPr>
        <w:t>ies</w:t>
      </w:r>
      <w:r w:rsidR="00155EEB" w:rsidRPr="006B0843">
        <w:rPr>
          <w:rFonts w:asciiTheme="minorBidi" w:eastAsiaTheme="minorHAnsi" w:hAnsiTheme="minorBidi" w:cstheme="minorBidi"/>
          <w:bCs w:val="0"/>
          <w:iCs w:val="0"/>
          <w:szCs w:val="22"/>
        </w:rPr>
        <w:t xml:space="preserve">, </w:t>
      </w:r>
      <w:r w:rsidR="00E63F64" w:rsidRPr="006B0843">
        <w:rPr>
          <w:rFonts w:asciiTheme="minorBidi" w:eastAsiaTheme="minorHAnsi" w:hAnsiTheme="minorBidi" w:cstheme="minorBidi"/>
          <w:bCs w:val="0"/>
          <w:iCs w:val="0"/>
          <w:szCs w:val="22"/>
        </w:rPr>
        <w:t xml:space="preserve">are </w:t>
      </w:r>
      <w:r w:rsidR="00720C60" w:rsidRPr="006B0843">
        <w:rPr>
          <w:rFonts w:asciiTheme="minorBidi" w:eastAsiaTheme="minorHAnsi" w:hAnsiTheme="minorBidi" w:cstheme="minorBidi"/>
          <w:bCs w:val="0"/>
          <w:iCs w:val="0"/>
          <w:szCs w:val="22"/>
        </w:rPr>
        <w:t xml:space="preserve">collectively </w:t>
      </w:r>
      <w:r w:rsidR="00E63F64" w:rsidRPr="006B0843">
        <w:rPr>
          <w:rFonts w:asciiTheme="minorBidi" w:eastAsiaTheme="minorHAnsi" w:hAnsiTheme="minorBidi" w:cstheme="minorBidi"/>
          <w:bCs w:val="0"/>
          <w:iCs w:val="0"/>
          <w:szCs w:val="22"/>
        </w:rPr>
        <w:t xml:space="preserve">referred to as </w:t>
      </w:r>
      <w:r w:rsidR="00720C60" w:rsidRPr="006B0843">
        <w:rPr>
          <w:rFonts w:asciiTheme="minorBidi" w:eastAsiaTheme="minorHAnsi" w:hAnsiTheme="minorBidi" w:cstheme="minorBidi"/>
          <w:bCs w:val="0"/>
          <w:iCs w:val="0"/>
          <w:szCs w:val="22"/>
        </w:rPr>
        <w:t>“</w:t>
      </w:r>
      <w:r w:rsidR="006814D8" w:rsidRPr="006B0843">
        <w:rPr>
          <w:rFonts w:asciiTheme="minorBidi" w:eastAsiaTheme="minorHAnsi" w:hAnsiTheme="minorBidi" w:cstheme="minorBidi"/>
          <w:bCs w:val="0"/>
          <w:iCs w:val="0"/>
          <w:szCs w:val="22"/>
        </w:rPr>
        <w:t xml:space="preserve">Mining </w:t>
      </w:r>
      <w:r w:rsidR="00E63F64" w:rsidRPr="006B0843">
        <w:rPr>
          <w:rFonts w:asciiTheme="minorBidi" w:eastAsiaTheme="minorHAnsi" w:hAnsiTheme="minorBidi" w:cstheme="minorBidi"/>
          <w:bCs w:val="0"/>
          <w:iCs w:val="0"/>
          <w:szCs w:val="22"/>
        </w:rPr>
        <w:t>Reporting Entities</w:t>
      </w:r>
      <w:proofErr w:type="gramStart"/>
      <w:r w:rsidR="00720C60" w:rsidRPr="006B0843">
        <w:rPr>
          <w:rFonts w:asciiTheme="minorBidi" w:eastAsiaTheme="minorHAnsi" w:hAnsiTheme="minorBidi" w:cstheme="minorBidi"/>
          <w:bCs w:val="0"/>
          <w:iCs w:val="0"/>
          <w:szCs w:val="22"/>
        </w:rPr>
        <w:t>”</w:t>
      </w:r>
      <w:r w:rsidR="00931DDD" w:rsidRPr="006B0843">
        <w:rPr>
          <w:rFonts w:asciiTheme="minorBidi" w:eastAsiaTheme="minorHAnsi" w:hAnsiTheme="minorBidi" w:cstheme="minorBidi"/>
          <w:bCs w:val="0"/>
          <w:iCs w:val="0"/>
          <w:szCs w:val="22"/>
        </w:rPr>
        <w:t>;</w:t>
      </w:r>
      <w:proofErr w:type="gramEnd"/>
    </w:p>
    <w:p w14:paraId="39AF79BD" w14:textId="77777777" w:rsidR="00845FA3" w:rsidRPr="006B0843" w:rsidRDefault="00845FA3" w:rsidP="00845FA3">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7E517765" w14:textId="72097EB9" w:rsidR="00931DDD" w:rsidRPr="006B0843" w:rsidRDefault="00720C60" w:rsidP="006B0843">
      <w:pPr>
        <w:pStyle w:val="Heading4"/>
        <w:numPr>
          <w:ilvl w:val="0"/>
          <w:numId w:val="3"/>
        </w:numPr>
        <w:spacing w:after="0" w:line="240" w:lineRule="auto"/>
        <w:ind w:left="1134" w:hanging="567"/>
        <w:rPr>
          <w:rFonts w:asciiTheme="minorBidi" w:eastAsiaTheme="minorHAnsi" w:hAnsiTheme="minorBidi" w:cstheme="minorBidi"/>
          <w:bCs w:val="0"/>
          <w:iCs w:val="0"/>
          <w:szCs w:val="22"/>
        </w:rPr>
      </w:pPr>
      <w:r w:rsidRPr="006B0843">
        <w:rPr>
          <w:rFonts w:asciiTheme="minorBidi" w:eastAsiaTheme="minorHAnsi" w:hAnsiTheme="minorBidi" w:cstheme="minorBidi"/>
          <w:bCs w:val="0"/>
          <w:iCs w:val="0"/>
          <w:szCs w:val="22"/>
        </w:rPr>
        <w:lastRenderedPageBreak/>
        <w:t>the terms “</w:t>
      </w:r>
      <w:r w:rsidR="00762565" w:rsidRPr="006B0843">
        <w:rPr>
          <w:rFonts w:asciiTheme="minorBidi" w:eastAsiaTheme="minorHAnsi" w:hAnsiTheme="minorBidi" w:cstheme="minorBidi"/>
          <w:bCs w:val="0"/>
          <w:iCs w:val="0"/>
          <w:szCs w:val="22"/>
        </w:rPr>
        <w:t>Mining Reporting Standard</w:t>
      </w:r>
      <w:r w:rsidRPr="006B0843">
        <w:rPr>
          <w:rFonts w:asciiTheme="minorBidi" w:eastAsiaTheme="minorHAnsi" w:hAnsiTheme="minorBidi" w:cstheme="minorBidi"/>
          <w:bCs w:val="0"/>
          <w:iCs w:val="0"/>
          <w:szCs w:val="22"/>
        </w:rPr>
        <w:t>”</w:t>
      </w:r>
      <w:r w:rsidR="00762565" w:rsidRPr="006B0843">
        <w:rPr>
          <w:rFonts w:asciiTheme="minorBidi" w:eastAsiaTheme="minorHAnsi" w:hAnsiTheme="minorBidi" w:cstheme="minorBidi"/>
          <w:bCs w:val="0"/>
          <w:iCs w:val="0"/>
          <w:szCs w:val="22"/>
        </w:rPr>
        <w:t>,</w:t>
      </w:r>
      <w:r w:rsidRPr="006B0843">
        <w:rPr>
          <w:rFonts w:asciiTheme="minorBidi" w:eastAsiaTheme="minorHAnsi" w:hAnsiTheme="minorBidi" w:cstheme="minorBidi"/>
          <w:bCs w:val="0"/>
          <w:iCs w:val="0"/>
          <w:szCs w:val="22"/>
        </w:rPr>
        <w:t xml:space="preserve"> and </w:t>
      </w:r>
      <w:r w:rsidR="00762565" w:rsidRPr="006B0843">
        <w:rPr>
          <w:rFonts w:asciiTheme="minorBidi" w:eastAsiaTheme="minorHAnsi" w:hAnsiTheme="minorBidi" w:cstheme="minorBidi"/>
          <w:bCs w:val="0"/>
          <w:iCs w:val="0"/>
          <w:szCs w:val="22"/>
        </w:rPr>
        <w:t xml:space="preserve">the </w:t>
      </w:r>
      <w:r w:rsidRPr="006B0843">
        <w:rPr>
          <w:rFonts w:asciiTheme="minorBidi" w:eastAsiaTheme="minorHAnsi" w:hAnsiTheme="minorBidi" w:cstheme="minorBidi"/>
          <w:bCs w:val="0"/>
          <w:iCs w:val="0"/>
          <w:szCs w:val="22"/>
        </w:rPr>
        <w:t>“</w:t>
      </w:r>
      <w:r w:rsidR="00762565" w:rsidRPr="006B0843">
        <w:rPr>
          <w:rFonts w:asciiTheme="minorBidi" w:eastAsiaTheme="minorHAnsi" w:hAnsiTheme="minorBidi" w:cstheme="minorBidi"/>
          <w:bCs w:val="0"/>
          <w:iCs w:val="0"/>
          <w:szCs w:val="22"/>
        </w:rPr>
        <w:t>JORC Code</w:t>
      </w:r>
      <w:r w:rsidRPr="006B0843">
        <w:rPr>
          <w:rFonts w:asciiTheme="minorBidi" w:eastAsiaTheme="minorHAnsi" w:hAnsiTheme="minorBidi" w:cstheme="minorBidi"/>
          <w:bCs w:val="0"/>
          <w:iCs w:val="0"/>
          <w:szCs w:val="22"/>
        </w:rPr>
        <w:t>”</w:t>
      </w:r>
      <w:r w:rsidR="00762565" w:rsidRPr="006B0843">
        <w:rPr>
          <w:rFonts w:asciiTheme="minorBidi" w:eastAsiaTheme="minorHAnsi" w:hAnsiTheme="minorBidi" w:cstheme="minorBidi"/>
          <w:bCs w:val="0"/>
          <w:iCs w:val="0"/>
          <w:szCs w:val="22"/>
        </w:rPr>
        <w:t>, the “SAMREC Code” and “NI 43-101”</w:t>
      </w:r>
      <w:r w:rsidR="003F6BB4" w:rsidRPr="006B0843">
        <w:rPr>
          <w:rFonts w:asciiTheme="minorBidi" w:eastAsiaTheme="minorHAnsi" w:hAnsiTheme="minorBidi" w:cstheme="minorBidi"/>
          <w:bCs w:val="0"/>
          <w:iCs w:val="0"/>
          <w:szCs w:val="22"/>
        </w:rPr>
        <w:t>, as applicable,</w:t>
      </w:r>
      <w:r w:rsidRPr="006B0843">
        <w:rPr>
          <w:rFonts w:asciiTheme="minorBidi" w:eastAsiaTheme="minorHAnsi" w:hAnsiTheme="minorBidi" w:cstheme="minorBidi"/>
          <w:bCs w:val="0"/>
          <w:iCs w:val="0"/>
          <w:szCs w:val="22"/>
        </w:rPr>
        <w:t xml:space="preserve"> </w:t>
      </w:r>
      <w:r w:rsidR="00931DDD" w:rsidRPr="006B0843">
        <w:rPr>
          <w:rFonts w:asciiTheme="minorBidi" w:eastAsiaTheme="minorHAnsi" w:hAnsiTheme="minorBidi" w:cstheme="minorBidi"/>
          <w:bCs w:val="0"/>
          <w:iCs w:val="0"/>
          <w:szCs w:val="22"/>
        </w:rPr>
        <w:t xml:space="preserve">can </w:t>
      </w:r>
      <w:r w:rsidRPr="006B0843">
        <w:rPr>
          <w:rFonts w:asciiTheme="minorBidi" w:eastAsiaTheme="minorHAnsi" w:hAnsiTheme="minorBidi" w:cstheme="minorBidi"/>
          <w:bCs w:val="0"/>
          <w:iCs w:val="0"/>
          <w:szCs w:val="22"/>
        </w:rPr>
        <w:t>be used interchangeably</w:t>
      </w:r>
      <w:r w:rsidR="00931DDD" w:rsidRPr="006B0843">
        <w:rPr>
          <w:rFonts w:asciiTheme="minorBidi" w:eastAsiaTheme="minorHAnsi" w:hAnsiTheme="minorBidi" w:cstheme="minorBidi"/>
          <w:bCs w:val="0"/>
          <w:iCs w:val="0"/>
          <w:szCs w:val="22"/>
        </w:rPr>
        <w:t>; and</w:t>
      </w:r>
    </w:p>
    <w:p w14:paraId="512FA9CF" w14:textId="77777777" w:rsidR="00845FA3" w:rsidRPr="006B0843" w:rsidRDefault="00845FA3" w:rsidP="00845FA3">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5662CEB7" w14:textId="34A81B13" w:rsidR="00560279" w:rsidRPr="006B0843" w:rsidRDefault="00931DDD" w:rsidP="006B0843">
      <w:pPr>
        <w:pStyle w:val="Heading4"/>
        <w:numPr>
          <w:ilvl w:val="0"/>
          <w:numId w:val="3"/>
        </w:numPr>
        <w:spacing w:after="0" w:line="240" w:lineRule="auto"/>
        <w:ind w:left="1134" w:hanging="567"/>
        <w:rPr>
          <w:rFonts w:asciiTheme="minorBidi" w:eastAsiaTheme="minorHAnsi" w:hAnsiTheme="minorBidi" w:cstheme="minorBidi"/>
          <w:bCs w:val="0"/>
          <w:iCs w:val="0"/>
          <w:szCs w:val="22"/>
        </w:rPr>
      </w:pPr>
      <w:r w:rsidRPr="006B0843">
        <w:rPr>
          <w:rFonts w:asciiTheme="minorBidi" w:eastAsiaTheme="minorHAnsi" w:hAnsiTheme="minorBidi" w:cstheme="minorBidi"/>
          <w:bCs w:val="0"/>
          <w:iCs w:val="0"/>
          <w:szCs w:val="22"/>
        </w:rPr>
        <w:t>any reference to a Rule is a reference to a Rule in MKT, unless otherwise set out</w:t>
      </w:r>
      <w:r w:rsidR="00720C60" w:rsidRPr="006B0843">
        <w:rPr>
          <w:rFonts w:asciiTheme="minorBidi" w:eastAsiaTheme="minorHAnsi" w:hAnsiTheme="minorBidi" w:cstheme="minorBidi"/>
          <w:bCs w:val="0"/>
          <w:iCs w:val="0"/>
          <w:szCs w:val="22"/>
        </w:rPr>
        <w:t>.</w:t>
      </w:r>
    </w:p>
    <w:p w14:paraId="27A1265D" w14:textId="77777777" w:rsidR="00AD2985" w:rsidRPr="006B0843" w:rsidRDefault="00AD2985" w:rsidP="00AD2985">
      <w:pPr>
        <w:pStyle w:val="ListParagraph"/>
        <w:rPr>
          <w:rFonts w:asciiTheme="minorBidi" w:hAnsiTheme="minorBidi"/>
        </w:rPr>
      </w:pPr>
    </w:p>
    <w:p w14:paraId="6C497621" w14:textId="2DEBB193" w:rsidR="00AD2985" w:rsidRPr="006B0843" w:rsidRDefault="00AD2985" w:rsidP="006B0843">
      <w:pPr>
        <w:pStyle w:val="ListParagraph"/>
        <w:numPr>
          <w:ilvl w:val="0"/>
          <w:numId w:val="1"/>
        </w:numPr>
        <w:ind w:left="567" w:hanging="594"/>
        <w:jc w:val="both"/>
        <w:rPr>
          <w:rFonts w:asciiTheme="minorBidi" w:hAnsiTheme="minorBidi"/>
        </w:rPr>
      </w:pPr>
      <w:r w:rsidRPr="006B0843">
        <w:rPr>
          <w:rFonts w:asciiTheme="minorBidi" w:hAnsiTheme="minorBidi"/>
        </w:rPr>
        <w:t xml:space="preserve">For more details on the process </w:t>
      </w:r>
      <w:r w:rsidR="001271B0" w:rsidRPr="006B0843">
        <w:rPr>
          <w:rFonts w:asciiTheme="minorBidi" w:hAnsiTheme="minorBidi"/>
        </w:rPr>
        <w:t xml:space="preserve">for </w:t>
      </w:r>
      <w:r w:rsidR="00E63F64" w:rsidRPr="006B0843">
        <w:rPr>
          <w:rFonts w:asciiTheme="minorBidi" w:hAnsiTheme="minorBidi"/>
        </w:rPr>
        <w:t xml:space="preserve">the offering, listing and ongoing disclosures relating to </w:t>
      </w:r>
      <w:r w:rsidR="00762565" w:rsidRPr="006B0843">
        <w:rPr>
          <w:rFonts w:asciiTheme="minorBidi" w:hAnsiTheme="minorBidi"/>
        </w:rPr>
        <w:t xml:space="preserve">Minerals </w:t>
      </w:r>
      <w:r w:rsidR="00E63F64" w:rsidRPr="006B0843">
        <w:rPr>
          <w:rFonts w:asciiTheme="minorBidi" w:hAnsiTheme="minorBidi"/>
        </w:rPr>
        <w:t>activit</w:t>
      </w:r>
      <w:r w:rsidR="00762565" w:rsidRPr="006B0843">
        <w:rPr>
          <w:rFonts w:asciiTheme="minorBidi" w:hAnsiTheme="minorBidi"/>
        </w:rPr>
        <w:t>ies,</w:t>
      </w:r>
      <w:r w:rsidR="00E63F64" w:rsidRPr="006B0843">
        <w:rPr>
          <w:rFonts w:asciiTheme="minorBidi" w:hAnsiTheme="minorBidi"/>
        </w:rPr>
        <w:t xml:space="preserve"> please </w:t>
      </w:r>
      <w:r w:rsidRPr="006B0843">
        <w:rPr>
          <w:rFonts w:asciiTheme="minorBidi" w:hAnsiTheme="minorBidi"/>
        </w:rPr>
        <w:t xml:space="preserve">contact the FSRA </w:t>
      </w:r>
      <w:r w:rsidR="00762565" w:rsidRPr="006B0843">
        <w:rPr>
          <w:rFonts w:asciiTheme="minorBidi" w:hAnsiTheme="minorBidi"/>
        </w:rPr>
        <w:t xml:space="preserve">via email </w:t>
      </w:r>
      <w:r w:rsidRPr="006B0843">
        <w:rPr>
          <w:rFonts w:asciiTheme="minorBidi" w:hAnsiTheme="minorBidi"/>
        </w:rPr>
        <w:t>at</w:t>
      </w:r>
      <w:r w:rsidR="00762565" w:rsidRPr="006B0843">
        <w:rPr>
          <w:rFonts w:asciiTheme="minorBidi" w:hAnsiTheme="minorBidi"/>
        </w:rPr>
        <w:t>:</w:t>
      </w:r>
      <w:r w:rsidRPr="006B0843">
        <w:rPr>
          <w:rFonts w:asciiTheme="minorBidi" w:hAnsiTheme="minorBidi"/>
        </w:rPr>
        <w:t xml:space="preserve"> </w:t>
      </w:r>
      <w:r w:rsidR="00E63F64" w:rsidRPr="006B0843">
        <w:rPr>
          <w:rFonts w:asciiTheme="minorBidi" w:hAnsiTheme="minorBidi"/>
        </w:rPr>
        <w:t>LA@adgm.com</w:t>
      </w:r>
      <w:r w:rsidR="002A290D" w:rsidRPr="006B0843">
        <w:rPr>
          <w:rFonts w:asciiTheme="minorBidi" w:hAnsiTheme="minorBidi"/>
        </w:rPr>
        <w:t>.</w:t>
      </w:r>
      <w:r w:rsidR="00223A77" w:rsidRPr="006B0843">
        <w:rPr>
          <w:rFonts w:asciiTheme="minorBidi" w:hAnsiTheme="minorBidi"/>
        </w:rPr>
        <w:t xml:space="preserve">  </w:t>
      </w:r>
    </w:p>
    <w:p w14:paraId="5945C09B" w14:textId="77777777" w:rsidR="002A290D" w:rsidRPr="006B0843" w:rsidRDefault="002A290D" w:rsidP="002A290D">
      <w:pPr>
        <w:pStyle w:val="ListParagraph"/>
        <w:rPr>
          <w:rFonts w:asciiTheme="minorBidi" w:hAnsiTheme="minorBidi"/>
        </w:rPr>
      </w:pPr>
    </w:p>
    <w:p w14:paraId="63FAD472" w14:textId="4278A280" w:rsidR="004925EF" w:rsidRPr="006B0843" w:rsidRDefault="00931DDD" w:rsidP="00762565">
      <w:pPr>
        <w:pStyle w:val="Heading1"/>
        <w:keepLines w:val="0"/>
        <w:spacing w:before="0" w:after="240" w:line="246" w:lineRule="atLeast"/>
        <w:jc w:val="both"/>
        <w:rPr>
          <w:rFonts w:asciiTheme="minorBidi" w:hAnsiTheme="minorBidi" w:cstheme="minorBidi"/>
          <w:sz w:val="22"/>
          <w:szCs w:val="22"/>
        </w:rPr>
      </w:pPr>
      <w:bookmarkStart w:id="5" w:name="_Toc511714335"/>
      <w:bookmarkStart w:id="6" w:name="_Toc512695599"/>
      <w:bookmarkStart w:id="7" w:name="_Toc514588768"/>
      <w:bookmarkStart w:id="8" w:name="_Toc517602838"/>
      <w:bookmarkStart w:id="9" w:name="_Toc43963844"/>
      <w:r w:rsidRPr="006B0843">
        <w:rPr>
          <w:rFonts w:asciiTheme="minorBidi" w:hAnsiTheme="minorBidi" w:cstheme="minorBidi"/>
          <w:sz w:val="22"/>
          <w:szCs w:val="22"/>
        </w:rPr>
        <w:t xml:space="preserve">DISCLOSURES TO BE PREPARED IN ACCORDANCE WITH </w:t>
      </w:r>
      <w:r w:rsidR="00506261" w:rsidRPr="006B0843">
        <w:rPr>
          <w:rFonts w:asciiTheme="minorBidi" w:hAnsiTheme="minorBidi" w:cstheme="minorBidi"/>
          <w:sz w:val="22"/>
          <w:szCs w:val="22"/>
        </w:rPr>
        <w:t xml:space="preserve">THE </w:t>
      </w:r>
      <w:r w:rsidR="00762565" w:rsidRPr="006B0843">
        <w:rPr>
          <w:rFonts w:asciiTheme="minorBidi" w:hAnsiTheme="minorBidi" w:cstheme="minorBidi"/>
          <w:sz w:val="22"/>
          <w:szCs w:val="22"/>
        </w:rPr>
        <w:t>MINING REPORTING STANDARDS</w:t>
      </w:r>
      <w:bookmarkEnd w:id="5"/>
      <w:bookmarkEnd w:id="6"/>
      <w:bookmarkEnd w:id="7"/>
      <w:bookmarkEnd w:id="8"/>
      <w:bookmarkEnd w:id="9"/>
      <w:r w:rsidR="004925EF" w:rsidRPr="006B0843">
        <w:rPr>
          <w:rFonts w:asciiTheme="minorBidi" w:hAnsiTheme="minorBidi" w:cstheme="minorBidi"/>
          <w:sz w:val="22"/>
          <w:szCs w:val="22"/>
        </w:rPr>
        <w:t xml:space="preserve"> </w:t>
      </w:r>
    </w:p>
    <w:p w14:paraId="48CF7770" w14:textId="7A5F4387" w:rsidR="00720C60" w:rsidRPr="006B0843" w:rsidRDefault="00720C60" w:rsidP="006B0843">
      <w:pPr>
        <w:pStyle w:val="ListParagraph"/>
        <w:numPr>
          <w:ilvl w:val="0"/>
          <w:numId w:val="1"/>
        </w:numPr>
        <w:ind w:left="567" w:hanging="567"/>
        <w:jc w:val="both"/>
        <w:rPr>
          <w:rFonts w:asciiTheme="minorBidi" w:hAnsiTheme="minorBidi"/>
        </w:rPr>
      </w:pPr>
      <w:r w:rsidRPr="006B0843">
        <w:rPr>
          <w:rFonts w:asciiTheme="minorBidi" w:hAnsiTheme="minorBidi"/>
        </w:rPr>
        <w:t>The FSRA considers that Rule</w:t>
      </w:r>
      <w:r w:rsidR="00931DDD" w:rsidRPr="006B0843">
        <w:rPr>
          <w:rFonts w:asciiTheme="minorBidi" w:hAnsiTheme="minorBidi"/>
        </w:rPr>
        <w:t>s</w:t>
      </w:r>
      <w:r w:rsidRPr="006B0843">
        <w:rPr>
          <w:rFonts w:asciiTheme="minorBidi" w:hAnsiTheme="minorBidi"/>
        </w:rPr>
        <w:t xml:space="preserve"> 1</w:t>
      </w:r>
      <w:r w:rsidR="00762565" w:rsidRPr="006B0843">
        <w:rPr>
          <w:rFonts w:asciiTheme="minorBidi" w:hAnsiTheme="minorBidi"/>
        </w:rPr>
        <w:t>1</w:t>
      </w:r>
      <w:r w:rsidRPr="006B0843">
        <w:rPr>
          <w:rFonts w:asciiTheme="minorBidi" w:hAnsiTheme="minorBidi"/>
        </w:rPr>
        <w:t xml:space="preserve">.2.1 </w:t>
      </w:r>
      <w:r w:rsidR="00931DDD" w:rsidRPr="006B0843">
        <w:rPr>
          <w:rFonts w:asciiTheme="minorBidi" w:hAnsiTheme="minorBidi"/>
        </w:rPr>
        <w:t>and 1</w:t>
      </w:r>
      <w:r w:rsidR="00762565" w:rsidRPr="006B0843">
        <w:rPr>
          <w:rFonts w:asciiTheme="minorBidi" w:hAnsiTheme="minorBidi"/>
        </w:rPr>
        <w:t>1</w:t>
      </w:r>
      <w:r w:rsidR="00931DDD" w:rsidRPr="006B0843">
        <w:rPr>
          <w:rFonts w:asciiTheme="minorBidi" w:hAnsiTheme="minorBidi"/>
        </w:rPr>
        <w:t>.2.2 are</w:t>
      </w:r>
      <w:r w:rsidRPr="006B0843">
        <w:rPr>
          <w:rFonts w:asciiTheme="minorBidi" w:hAnsiTheme="minorBidi"/>
        </w:rPr>
        <w:t xml:space="preserve"> the most important Rule</w:t>
      </w:r>
      <w:r w:rsidR="00762565" w:rsidRPr="006B0843">
        <w:rPr>
          <w:rFonts w:asciiTheme="minorBidi" w:hAnsiTheme="minorBidi"/>
        </w:rPr>
        <w:t>s</w:t>
      </w:r>
      <w:r w:rsidRPr="006B0843">
        <w:rPr>
          <w:rFonts w:asciiTheme="minorBidi" w:hAnsiTheme="minorBidi"/>
        </w:rPr>
        <w:t xml:space="preserve"> in relation to the requirement for </w:t>
      </w:r>
      <w:r w:rsidR="00762565" w:rsidRPr="006B0843">
        <w:rPr>
          <w:rFonts w:asciiTheme="minorBidi" w:hAnsiTheme="minorBidi"/>
        </w:rPr>
        <w:t>Minerals</w:t>
      </w:r>
      <w:r w:rsidRPr="006B0843">
        <w:rPr>
          <w:rFonts w:asciiTheme="minorBidi" w:hAnsiTheme="minorBidi"/>
        </w:rPr>
        <w:t xml:space="preserve"> activity disclosures within ADGM. </w:t>
      </w:r>
      <w:r w:rsidR="004A0598">
        <w:rPr>
          <w:rFonts w:asciiTheme="minorBidi" w:hAnsiTheme="minorBidi"/>
        </w:rPr>
        <w:t xml:space="preserve"> </w:t>
      </w:r>
      <w:r w:rsidRPr="006B0843">
        <w:rPr>
          <w:rFonts w:asciiTheme="minorBidi" w:hAnsiTheme="minorBidi"/>
        </w:rPr>
        <w:t>Rule 1</w:t>
      </w:r>
      <w:r w:rsidR="00762565" w:rsidRPr="006B0843">
        <w:rPr>
          <w:rFonts w:asciiTheme="minorBidi" w:hAnsiTheme="minorBidi"/>
        </w:rPr>
        <w:t>1</w:t>
      </w:r>
      <w:r w:rsidRPr="006B0843">
        <w:rPr>
          <w:rFonts w:asciiTheme="minorBidi" w:hAnsiTheme="minorBidi"/>
        </w:rPr>
        <w:t xml:space="preserve">.2.1 requires that any disclosure by a </w:t>
      </w:r>
      <w:r w:rsidR="00762565" w:rsidRPr="006B0843">
        <w:rPr>
          <w:rFonts w:asciiTheme="minorBidi" w:hAnsiTheme="minorBidi"/>
        </w:rPr>
        <w:t>Mining</w:t>
      </w:r>
      <w:r w:rsidRPr="006B0843">
        <w:rPr>
          <w:rFonts w:asciiTheme="minorBidi" w:hAnsiTheme="minorBidi"/>
        </w:rPr>
        <w:t xml:space="preserve"> Reporting Entity that includes a statement about </w:t>
      </w:r>
      <w:r w:rsidR="00762565" w:rsidRPr="006B0843">
        <w:rPr>
          <w:rFonts w:asciiTheme="minorBidi" w:hAnsiTheme="minorBidi"/>
        </w:rPr>
        <w:t>Exploration Targets, Exploration Results, Mineral Resources, Ore Reserves or Production Targets</w:t>
      </w:r>
      <w:r w:rsidRPr="006B0843">
        <w:rPr>
          <w:rFonts w:asciiTheme="minorBidi" w:hAnsiTheme="minorBidi"/>
        </w:rPr>
        <w:t xml:space="preserve">, must be prepared </w:t>
      </w:r>
      <w:r w:rsidR="00931DDD" w:rsidRPr="006B0843">
        <w:rPr>
          <w:rFonts w:asciiTheme="minorBidi" w:hAnsiTheme="minorBidi"/>
        </w:rPr>
        <w:t xml:space="preserve">in accordance with </w:t>
      </w:r>
      <w:r w:rsidR="00762565" w:rsidRPr="006B0843">
        <w:rPr>
          <w:rFonts w:asciiTheme="minorBidi" w:hAnsiTheme="minorBidi"/>
        </w:rPr>
        <w:t>a Mining Reporting Standard</w:t>
      </w:r>
      <w:r w:rsidR="003F6BB4" w:rsidRPr="006B0843">
        <w:rPr>
          <w:rFonts w:asciiTheme="minorBidi" w:hAnsiTheme="minorBidi"/>
        </w:rPr>
        <w:t xml:space="preserve"> and in accordance with the requirements of MKT Chapter 11</w:t>
      </w:r>
      <w:r w:rsidR="00931DDD" w:rsidRPr="006B0843">
        <w:rPr>
          <w:rFonts w:asciiTheme="minorBidi" w:hAnsiTheme="minorBidi"/>
        </w:rPr>
        <w:t>.</w:t>
      </w:r>
    </w:p>
    <w:p w14:paraId="7ABBF180" w14:textId="4D5AD9FB" w:rsidR="00931DDD" w:rsidRPr="006B0843" w:rsidRDefault="00931DDD" w:rsidP="006B0843">
      <w:pPr>
        <w:pStyle w:val="ListParagraph"/>
        <w:ind w:left="567" w:hanging="567"/>
        <w:jc w:val="both"/>
        <w:rPr>
          <w:rFonts w:asciiTheme="minorBidi" w:hAnsiTheme="minorBidi"/>
        </w:rPr>
      </w:pPr>
    </w:p>
    <w:p w14:paraId="3061281C" w14:textId="0E820EA7" w:rsidR="00931DDD" w:rsidRPr="006B0843" w:rsidRDefault="00762565" w:rsidP="006B0843">
      <w:pPr>
        <w:pStyle w:val="ListParagraph"/>
        <w:numPr>
          <w:ilvl w:val="0"/>
          <w:numId w:val="1"/>
        </w:numPr>
        <w:ind w:left="567" w:hanging="567"/>
        <w:jc w:val="both"/>
        <w:rPr>
          <w:rFonts w:asciiTheme="minorBidi" w:hAnsiTheme="minorBidi"/>
        </w:rPr>
      </w:pPr>
      <w:r w:rsidRPr="006B0843">
        <w:rPr>
          <w:rFonts w:asciiTheme="minorBidi" w:hAnsiTheme="minorBidi"/>
        </w:rPr>
        <w:t>In addition, Rule 1</w:t>
      </w:r>
      <w:r w:rsidR="003F6BB4" w:rsidRPr="006B0843">
        <w:rPr>
          <w:rFonts w:asciiTheme="minorBidi" w:hAnsiTheme="minorBidi"/>
        </w:rPr>
        <w:t>1</w:t>
      </w:r>
      <w:r w:rsidRPr="006B0843">
        <w:rPr>
          <w:rFonts w:asciiTheme="minorBidi" w:hAnsiTheme="minorBidi"/>
        </w:rPr>
        <w:t xml:space="preserve">.2.2 states that where a disclosure does not meet a non-mandatory requirement contained in a Mining Reporting Standard, then the Mining Reporting Entity must provide </w:t>
      </w:r>
      <w:r w:rsidR="00931DDD" w:rsidRPr="006B0843">
        <w:rPr>
          <w:rFonts w:asciiTheme="minorBidi" w:hAnsiTheme="minorBidi"/>
        </w:rPr>
        <w:t xml:space="preserve">in its disclosure a statement as to how and why its disclosure differs from the non-mandatory requirement contained in </w:t>
      </w:r>
      <w:r w:rsidR="00506261" w:rsidRPr="006B0843">
        <w:rPr>
          <w:rFonts w:asciiTheme="minorBidi" w:hAnsiTheme="minorBidi"/>
        </w:rPr>
        <w:t xml:space="preserve">the </w:t>
      </w:r>
      <w:r w:rsidRPr="006B0843">
        <w:rPr>
          <w:rFonts w:asciiTheme="minorBidi" w:hAnsiTheme="minorBidi"/>
        </w:rPr>
        <w:t>Mining Reporting Standard.</w:t>
      </w:r>
      <w:r w:rsidR="003F6BB4" w:rsidRPr="006B0843">
        <w:rPr>
          <w:rFonts w:asciiTheme="minorBidi" w:hAnsiTheme="minorBidi"/>
        </w:rPr>
        <w:t xml:space="preserve">  </w:t>
      </w:r>
    </w:p>
    <w:p w14:paraId="67436706" w14:textId="77777777" w:rsidR="00931DDD" w:rsidRPr="006B0843" w:rsidRDefault="00931DDD" w:rsidP="006B0843">
      <w:pPr>
        <w:pStyle w:val="ListParagraph"/>
        <w:ind w:left="567" w:hanging="567"/>
        <w:rPr>
          <w:rFonts w:asciiTheme="minorBidi" w:hAnsiTheme="minorBidi"/>
        </w:rPr>
      </w:pPr>
    </w:p>
    <w:p w14:paraId="21410C35" w14:textId="12712EFF" w:rsidR="00931DDD" w:rsidRPr="006B0843" w:rsidRDefault="00931DDD" w:rsidP="006B0843">
      <w:pPr>
        <w:pStyle w:val="ListParagraph"/>
        <w:numPr>
          <w:ilvl w:val="0"/>
          <w:numId w:val="1"/>
        </w:numPr>
        <w:ind w:left="567" w:hanging="567"/>
        <w:jc w:val="both"/>
        <w:rPr>
          <w:rFonts w:asciiTheme="minorBidi" w:hAnsiTheme="minorBidi"/>
        </w:rPr>
      </w:pPr>
      <w:r w:rsidRPr="006B0843">
        <w:rPr>
          <w:rFonts w:asciiTheme="minorBidi" w:hAnsiTheme="minorBidi"/>
        </w:rPr>
        <w:t xml:space="preserve">As a result of these two Rules, the FSRA has established a clear obligation for </w:t>
      </w:r>
      <w:r w:rsidR="00762565" w:rsidRPr="006B0843">
        <w:rPr>
          <w:rFonts w:asciiTheme="minorBidi" w:hAnsiTheme="minorBidi"/>
        </w:rPr>
        <w:t xml:space="preserve">Mining </w:t>
      </w:r>
      <w:r w:rsidRPr="006B0843">
        <w:rPr>
          <w:rFonts w:asciiTheme="minorBidi" w:hAnsiTheme="minorBidi"/>
        </w:rPr>
        <w:t>Reporting Entit</w:t>
      </w:r>
      <w:r w:rsidR="003F6BB4" w:rsidRPr="006B0843">
        <w:rPr>
          <w:rFonts w:asciiTheme="minorBidi" w:hAnsiTheme="minorBidi"/>
        </w:rPr>
        <w:t>ies</w:t>
      </w:r>
      <w:r w:rsidRPr="006B0843">
        <w:rPr>
          <w:rFonts w:asciiTheme="minorBidi" w:hAnsiTheme="minorBidi"/>
        </w:rPr>
        <w:t xml:space="preserve"> to comply in full </w:t>
      </w:r>
      <w:proofErr w:type="gramStart"/>
      <w:r w:rsidRPr="006B0843">
        <w:rPr>
          <w:rFonts w:asciiTheme="minorBidi" w:hAnsiTheme="minorBidi"/>
        </w:rPr>
        <w:t>with</w:t>
      </w:r>
      <w:proofErr w:type="gramEnd"/>
      <w:r w:rsidRPr="006B0843">
        <w:rPr>
          <w:rFonts w:asciiTheme="minorBidi" w:hAnsiTheme="minorBidi"/>
        </w:rPr>
        <w:t xml:space="preserve"> all mandatory</w:t>
      </w:r>
      <w:r w:rsidR="003F6BB4" w:rsidRPr="006B0843">
        <w:rPr>
          <w:rFonts w:asciiTheme="minorBidi" w:hAnsiTheme="minorBidi"/>
        </w:rPr>
        <w:t>, as well as non-mandatory,</w:t>
      </w:r>
      <w:r w:rsidRPr="006B0843">
        <w:rPr>
          <w:rFonts w:asciiTheme="minorBidi" w:hAnsiTheme="minorBidi"/>
        </w:rPr>
        <w:t xml:space="preserve"> requirements set out in </w:t>
      </w:r>
      <w:r w:rsidR="00762565" w:rsidRPr="006B0843">
        <w:rPr>
          <w:rFonts w:asciiTheme="minorBidi" w:hAnsiTheme="minorBidi"/>
        </w:rPr>
        <w:t>a Mining Reporting Standard</w:t>
      </w:r>
      <w:r w:rsidRPr="006B0843">
        <w:rPr>
          <w:rFonts w:asciiTheme="minorBidi" w:hAnsiTheme="minorBidi"/>
        </w:rPr>
        <w:t>.</w:t>
      </w:r>
    </w:p>
    <w:p w14:paraId="3B34B18F" w14:textId="77777777" w:rsidR="00762565" w:rsidRPr="006B0843" w:rsidRDefault="00762565" w:rsidP="006B0843">
      <w:pPr>
        <w:pStyle w:val="ListParagraph"/>
        <w:ind w:left="567" w:hanging="567"/>
        <w:rPr>
          <w:rFonts w:asciiTheme="minorBidi" w:hAnsiTheme="minorBidi"/>
        </w:rPr>
      </w:pPr>
    </w:p>
    <w:p w14:paraId="711AE2CC" w14:textId="77777777" w:rsidR="009A6A1E" w:rsidRPr="006B0843" w:rsidRDefault="009A6A1E" w:rsidP="006B0843">
      <w:pPr>
        <w:pStyle w:val="ListParagraph"/>
        <w:numPr>
          <w:ilvl w:val="0"/>
          <w:numId w:val="1"/>
        </w:numPr>
        <w:ind w:left="567" w:hanging="567"/>
        <w:jc w:val="both"/>
        <w:rPr>
          <w:rFonts w:asciiTheme="minorBidi" w:hAnsiTheme="minorBidi"/>
        </w:rPr>
      </w:pPr>
      <w:r w:rsidRPr="006B0843">
        <w:rPr>
          <w:rFonts w:asciiTheme="minorBidi" w:hAnsiTheme="minorBidi"/>
        </w:rPr>
        <w:t>In the context of the obligations of, and disclosures made by Mining Reporting Entities, the FSRA (as Listing Authority within the ADGM) operates as the ‘front-line’ regulator of the Rules and, to the extent practicable, the JORC Code, the SAMREC Code and NI 43-101 (to the extent that Mining Reporting Entities make disclosures in relation to their mining activities).</w:t>
      </w:r>
    </w:p>
    <w:p w14:paraId="781CCCDF" w14:textId="77777777" w:rsidR="009A6A1E" w:rsidRPr="006B0843" w:rsidRDefault="009A6A1E" w:rsidP="006B0843">
      <w:pPr>
        <w:pStyle w:val="ListParagraph"/>
        <w:ind w:left="567" w:hanging="567"/>
        <w:rPr>
          <w:rFonts w:asciiTheme="minorBidi" w:hAnsiTheme="minorBidi"/>
        </w:rPr>
      </w:pPr>
    </w:p>
    <w:p w14:paraId="11058CB2" w14:textId="0530BEE7" w:rsidR="00762565" w:rsidRPr="006B0843" w:rsidRDefault="00762565" w:rsidP="006B0843">
      <w:pPr>
        <w:pStyle w:val="ListParagraph"/>
        <w:numPr>
          <w:ilvl w:val="0"/>
          <w:numId w:val="1"/>
        </w:numPr>
        <w:ind w:left="567" w:hanging="567"/>
        <w:jc w:val="both"/>
        <w:rPr>
          <w:rFonts w:asciiTheme="minorBidi" w:hAnsiTheme="minorBidi"/>
        </w:rPr>
      </w:pPr>
      <w:r w:rsidRPr="006B0843">
        <w:rPr>
          <w:rFonts w:asciiTheme="minorBidi" w:hAnsiTheme="minorBidi"/>
        </w:rPr>
        <w:t xml:space="preserve">The FSRA does </w:t>
      </w:r>
      <w:r w:rsidR="00795E97" w:rsidRPr="006B0843">
        <w:rPr>
          <w:rFonts w:asciiTheme="minorBidi" w:hAnsiTheme="minorBidi"/>
        </w:rPr>
        <w:t>not view as acceptable the description of a resource or reserve estimate as a “non</w:t>
      </w:r>
      <w:proofErr w:type="gramStart"/>
      <w:r w:rsidR="00795E97" w:rsidRPr="006B0843">
        <w:rPr>
          <w:rFonts w:asciiTheme="minorBidi" w:hAnsiTheme="minorBidi"/>
        </w:rPr>
        <w:t>-</w:t>
      </w:r>
      <w:r w:rsidR="00795E97" w:rsidRPr="006B0843">
        <w:rPr>
          <w:rFonts w:asciiTheme="minorBidi" w:hAnsiTheme="minorBidi"/>
          <w:i/>
          <w:iCs/>
        </w:rPr>
        <w:t>‘</w:t>
      </w:r>
      <w:proofErr w:type="gramEnd"/>
      <w:r w:rsidR="00795E97" w:rsidRPr="006B0843">
        <w:rPr>
          <w:rFonts w:asciiTheme="minorBidi" w:hAnsiTheme="minorBidi"/>
          <w:i/>
          <w:iCs/>
        </w:rPr>
        <w:t>insert relevant Mining Reporting Standard’</w:t>
      </w:r>
      <w:r w:rsidR="00795E97" w:rsidRPr="006B0843">
        <w:rPr>
          <w:rFonts w:asciiTheme="minorBidi" w:hAnsiTheme="minorBidi"/>
        </w:rPr>
        <w:t xml:space="preserve"> compliant” resource or reserve estimate </w:t>
      </w:r>
      <w:r w:rsidR="00911578" w:rsidRPr="006B0843">
        <w:rPr>
          <w:rFonts w:asciiTheme="minorBidi" w:hAnsiTheme="minorBidi"/>
        </w:rPr>
        <w:t>with</w:t>
      </w:r>
      <w:r w:rsidR="00795E97" w:rsidRPr="006B0843">
        <w:rPr>
          <w:rFonts w:asciiTheme="minorBidi" w:hAnsiTheme="minorBidi"/>
        </w:rPr>
        <w:t xml:space="preserve">in a disclosure.  Where a Mining Reporting Entity discloses, for example, a ‘non-JORC compliant’ estimate of resources or reserves without prior consultation with the FSRA, the FSRA will consider </w:t>
      </w:r>
      <w:r w:rsidR="00911578" w:rsidRPr="006B0843">
        <w:rPr>
          <w:rFonts w:asciiTheme="minorBidi" w:hAnsiTheme="minorBidi"/>
        </w:rPr>
        <w:t>requiring</w:t>
      </w:r>
      <w:r w:rsidR="00795E97" w:rsidRPr="006B0843">
        <w:rPr>
          <w:rFonts w:asciiTheme="minorBidi" w:hAnsiTheme="minorBidi"/>
        </w:rPr>
        <w:t xml:space="preserve"> the relevant Mining Reporting Entity to implement a suspension in the trading of its Securities until the Mining Reporting Entity can disclose an appropriate clarification.  </w:t>
      </w:r>
    </w:p>
    <w:p w14:paraId="2F3E4283" w14:textId="77777777" w:rsidR="00762565" w:rsidRPr="006B0843" w:rsidRDefault="00762565" w:rsidP="006B0843">
      <w:pPr>
        <w:pStyle w:val="ListParagraph"/>
        <w:ind w:left="567" w:hanging="567"/>
        <w:rPr>
          <w:rFonts w:asciiTheme="minorBidi" w:hAnsiTheme="minorBidi"/>
        </w:rPr>
      </w:pPr>
    </w:p>
    <w:p w14:paraId="046E2F8E" w14:textId="3DA702B6" w:rsidR="00116195" w:rsidRPr="006B0843" w:rsidRDefault="000D43D4" w:rsidP="006B0843">
      <w:pPr>
        <w:pStyle w:val="ListParagraph"/>
        <w:numPr>
          <w:ilvl w:val="0"/>
          <w:numId w:val="1"/>
        </w:numPr>
        <w:ind w:left="567" w:hanging="567"/>
        <w:jc w:val="both"/>
        <w:rPr>
          <w:rFonts w:asciiTheme="minorBidi" w:hAnsiTheme="minorBidi"/>
        </w:rPr>
      </w:pPr>
      <w:r w:rsidRPr="006B0843">
        <w:rPr>
          <w:rFonts w:asciiTheme="minorBidi" w:hAnsiTheme="minorBidi"/>
        </w:rPr>
        <w:t>Rules 1</w:t>
      </w:r>
      <w:r w:rsidR="00EF1A7D" w:rsidRPr="006B0843">
        <w:rPr>
          <w:rFonts w:asciiTheme="minorBidi" w:hAnsiTheme="minorBidi"/>
        </w:rPr>
        <w:t>1</w:t>
      </w:r>
      <w:r w:rsidRPr="006B0843">
        <w:rPr>
          <w:rFonts w:asciiTheme="minorBidi" w:hAnsiTheme="minorBidi"/>
        </w:rPr>
        <w:t>.1 to 1</w:t>
      </w:r>
      <w:r w:rsidR="00EF1A7D" w:rsidRPr="006B0843">
        <w:rPr>
          <w:rFonts w:asciiTheme="minorBidi" w:hAnsiTheme="minorBidi"/>
        </w:rPr>
        <w:t>1</w:t>
      </w:r>
      <w:r w:rsidRPr="006B0843">
        <w:rPr>
          <w:rFonts w:asciiTheme="minorBidi" w:hAnsiTheme="minorBidi"/>
        </w:rPr>
        <w:t>.</w:t>
      </w:r>
      <w:r w:rsidR="00EF1A7D" w:rsidRPr="006B0843">
        <w:rPr>
          <w:rFonts w:asciiTheme="minorBidi" w:hAnsiTheme="minorBidi"/>
        </w:rPr>
        <w:t>10</w:t>
      </w:r>
      <w:r w:rsidRPr="006B0843">
        <w:rPr>
          <w:rFonts w:asciiTheme="minorBidi" w:hAnsiTheme="minorBidi"/>
        </w:rPr>
        <w:t xml:space="preserve"> set out the general requirements appl</w:t>
      </w:r>
      <w:r w:rsidR="00911578" w:rsidRPr="006B0843">
        <w:rPr>
          <w:rFonts w:asciiTheme="minorBidi" w:hAnsiTheme="minorBidi"/>
        </w:rPr>
        <w:t>icable</w:t>
      </w:r>
      <w:r w:rsidRPr="006B0843">
        <w:rPr>
          <w:rFonts w:asciiTheme="minorBidi" w:hAnsiTheme="minorBidi"/>
        </w:rPr>
        <w:t xml:space="preserve"> </w:t>
      </w:r>
      <w:r w:rsidR="00EF1A7D" w:rsidRPr="006B0843">
        <w:rPr>
          <w:rFonts w:asciiTheme="minorBidi" w:hAnsiTheme="minorBidi"/>
        </w:rPr>
        <w:t>to Mining Reporting Entities making a disclosure in relation to Minerals</w:t>
      </w:r>
      <w:r w:rsidRPr="006B0843">
        <w:rPr>
          <w:rFonts w:asciiTheme="minorBidi" w:hAnsiTheme="minorBidi"/>
        </w:rPr>
        <w:t xml:space="preserve">.  These Rules </w:t>
      </w:r>
      <w:r w:rsidR="00911578" w:rsidRPr="006B0843">
        <w:rPr>
          <w:rFonts w:asciiTheme="minorBidi" w:hAnsiTheme="minorBidi"/>
        </w:rPr>
        <w:t xml:space="preserve">also </w:t>
      </w:r>
      <w:r w:rsidRPr="006B0843">
        <w:rPr>
          <w:rFonts w:asciiTheme="minorBidi" w:hAnsiTheme="minorBidi"/>
        </w:rPr>
        <w:t xml:space="preserve">apply to all Listed Companies/Reporting Entities </w:t>
      </w:r>
      <w:r w:rsidR="00EF1A7D" w:rsidRPr="006B0843">
        <w:rPr>
          <w:rFonts w:asciiTheme="minorBidi" w:hAnsiTheme="minorBidi"/>
        </w:rPr>
        <w:t>making a disclosure in relation to Minerals</w:t>
      </w:r>
      <w:r w:rsidRPr="006B0843">
        <w:rPr>
          <w:rFonts w:asciiTheme="minorBidi" w:hAnsiTheme="minorBidi"/>
        </w:rPr>
        <w:t xml:space="preserve">, not just </w:t>
      </w:r>
      <w:r w:rsidR="00EF1A7D" w:rsidRPr="006B0843">
        <w:rPr>
          <w:rFonts w:asciiTheme="minorBidi" w:hAnsiTheme="minorBidi"/>
        </w:rPr>
        <w:t xml:space="preserve">Mining </w:t>
      </w:r>
      <w:r w:rsidRPr="006B0843">
        <w:rPr>
          <w:rFonts w:asciiTheme="minorBidi" w:hAnsiTheme="minorBidi"/>
        </w:rPr>
        <w:t>Reporting Entities</w:t>
      </w:r>
      <w:r w:rsidR="00AA33EC" w:rsidRPr="006B0843">
        <w:rPr>
          <w:rFonts w:asciiTheme="minorBidi" w:hAnsiTheme="minorBidi"/>
        </w:rPr>
        <w:t xml:space="preserve">.  While </w:t>
      </w:r>
      <w:r w:rsidR="00EF1A7D" w:rsidRPr="006B0843">
        <w:rPr>
          <w:rFonts w:asciiTheme="minorBidi" w:hAnsiTheme="minorBidi"/>
        </w:rPr>
        <w:t>Mining</w:t>
      </w:r>
      <w:r w:rsidR="00AA33EC" w:rsidRPr="006B0843">
        <w:rPr>
          <w:rFonts w:asciiTheme="minorBidi" w:hAnsiTheme="minorBidi"/>
        </w:rPr>
        <w:t xml:space="preserve"> Reporting Entities are specifically captured by the disclosure obligations within </w:t>
      </w:r>
      <w:r w:rsidR="00EF1A7D" w:rsidRPr="006B0843">
        <w:rPr>
          <w:rFonts w:asciiTheme="minorBidi" w:hAnsiTheme="minorBidi"/>
        </w:rPr>
        <w:t>C</w:t>
      </w:r>
      <w:r w:rsidR="00AA33EC" w:rsidRPr="006B0843">
        <w:rPr>
          <w:rFonts w:asciiTheme="minorBidi" w:hAnsiTheme="minorBidi"/>
        </w:rPr>
        <w:t>hapter 1</w:t>
      </w:r>
      <w:r w:rsidR="00EF1A7D" w:rsidRPr="006B0843">
        <w:rPr>
          <w:rFonts w:asciiTheme="minorBidi" w:hAnsiTheme="minorBidi"/>
        </w:rPr>
        <w:t>1</w:t>
      </w:r>
      <w:r w:rsidR="00AA33EC" w:rsidRPr="006B0843">
        <w:rPr>
          <w:rFonts w:asciiTheme="minorBidi" w:hAnsiTheme="minorBidi"/>
        </w:rPr>
        <w:t xml:space="preserve"> of MKT, </w:t>
      </w:r>
      <w:r w:rsidR="00911578" w:rsidRPr="006B0843">
        <w:rPr>
          <w:rFonts w:asciiTheme="minorBidi" w:hAnsiTheme="minorBidi"/>
        </w:rPr>
        <w:t>all</w:t>
      </w:r>
      <w:r w:rsidR="00AA33EC" w:rsidRPr="006B0843">
        <w:rPr>
          <w:rFonts w:asciiTheme="minorBidi" w:hAnsiTheme="minorBidi"/>
        </w:rPr>
        <w:t xml:space="preserve"> Reporting Entities are r</w:t>
      </w:r>
      <w:r w:rsidR="009A6A1E" w:rsidRPr="006B0843">
        <w:rPr>
          <w:rFonts w:asciiTheme="minorBidi" w:hAnsiTheme="minorBidi"/>
        </w:rPr>
        <w:t xml:space="preserve">equired to consider whether Mineralisation </w:t>
      </w:r>
      <w:r w:rsidR="00AA33EC" w:rsidRPr="006B0843">
        <w:rPr>
          <w:rFonts w:asciiTheme="minorBidi" w:hAnsiTheme="minorBidi"/>
        </w:rPr>
        <w:t xml:space="preserve">(or related activities) are material in the context of </w:t>
      </w:r>
      <w:r w:rsidR="009A6A1E" w:rsidRPr="006B0843">
        <w:rPr>
          <w:rFonts w:asciiTheme="minorBidi" w:hAnsiTheme="minorBidi"/>
        </w:rPr>
        <w:t xml:space="preserve">their own set of </w:t>
      </w:r>
      <w:r w:rsidR="00AA33EC" w:rsidRPr="006B0843">
        <w:rPr>
          <w:rFonts w:asciiTheme="minorBidi" w:hAnsiTheme="minorBidi"/>
        </w:rPr>
        <w:t>activities</w:t>
      </w:r>
      <w:r w:rsidR="00911578" w:rsidRPr="006B0843">
        <w:rPr>
          <w:rFonts w:asciiTheme="minorBidi" w:hAnsiTheme="minorBidi"/>
        </w:rPr>
        <w:t>, resulting in a requirement to comply with Rules 7.2.1 and Chapter 11 in this context</w:t>
      </w:r>
      <w:r w:rsidR="00AA33EC" w:rsidRPr="006B0843">
        <w:rPr>
          <w:rFonts w:asciiTheme="minorBidi" w:hAnsiTheme="minorBidi"/>
        </w:rPr>
        <w:t>.</w:t>
      </w:r>
    </w:p>
    <w:p w14:paraId="07781F7B" w14:textId="77777777" w:rsidR="00116195" w:rsidRPr="006B0843" w:rsidRDefault="00116195" w:rsidP="00116195">
      <w:pPr>
        <w:pStyle w:val="ListParagraph"/>
        <w:ind w:left="426"/>
        <w:jc w:val="both"/>
        <w:rPr>
          <w:rFonts w:asciiTheme="minorBidi" w:hAnsiTheme="minorBidi"/>
        </w:rPr>
      </w:pPr>
    </w:p>
    <w:p w14:paraId="15B7C20D" w14:textId="12F3498F" w:rsidR="00BE0381" w:rsidRPr="006B0843" w:rsidRDefault="00360FAB" w:rsidP="009A6A1E">
      <w:pPr>
        <w:pStyle w:val="Heading1"/>
        <w:keepLines w:val="0"/>
        <w:spacing w:before="0" w:after="240" w:line="246" w:lineRule="atLeast"/>
        <w:jc w:val="both"/>
        <w:rPr>
          <w:rFonts w:asciiTheme="minorBidi" w:hAnsiTheme="minorBidi" w:cstheme="minorBidi"/>
          <w:sz w:val="22"/>
          <w:szCs w:val="22"/>
        </w:rPr>
      </w:pPr>
      <w:bookmarkStart w:id="10" w:name="_Toc512695600"/>
      <w:bookmarkStart w:id="11" w:name="_Toc514588769"/>
      <w:bookmarkStart w:id="12" w:name="_Toc517602839"/>
      <w:bookmarkStart w:id="13" w:name="_Toc43963845"/>
      <w:bookmarkStart w:id="14" w:name="_Toc511714336"/>
      <w:r w:rsidRPr="006B0843">
        <w:rPr>
          <w:rFonts w:asciiTheme="minorBidi" w:hAnsiTheme="minorBidi" w:cstheme="minorBidi"/>
          <w:sz w:val="22"/>
          <w:szCs w:val="22"/>
        </w:rPr>
        <w:lastRenderedPageBreak/>
        <w:t xml:space="preserve">CONCEPTS RELATING TO THE DISCLOSURE OF </w:t>
      </w:r>
      <w:r w:rsidR="009A6A1E" w:rsidRPr="006B0843">
        <w:rPr>
          <w:rFonts w:asciiTheme="minorBidi" w:hAnsiTheme="minorBidi" w:cstheme="minorBidi"/>
          <w:sz w:val="22"/>
          <w:szCs w:val="22"/>
        </w:rPr>
        <w:t xml:space="preserve">MINING </w:t>
      </w:r>
      <w:r w:rsidRPr="006B0843">
        <w:rPr>
          <w:rFonts w:asciiTheme="minorBidi" w:hAnsiTheme="minorBidi" w:cstheme="minorBidi"/>
          <w:sz w:val="22"/>
          <w:szCs w:val="22"/>
        </w:rPr>
        <w:t>ACTIVITIES</w:t>
      </w:r>
      <w:bookmarkEnd w:id="10"/>
      <w:bookmarkEnd w:id="11"/>
      <w:bookmarkEnd w:id="12"/>
      <w:bookmarkEnd w:id="13"/>
      <w:r w:rsidR="00BE0381" w:rsidRPr="006B0843">
        <w:rPr>
          <w:rFonts w:asciiTheme="minorBidi" w:hAnsiTheme="minorBidi" w:cstheme="minorBidi"/>
          <w:sz w:val="22"/>
          <w:szCs w:val="22"/>
        </w:rPr>
        <w:t xml:space="preserve"> </w:t>
      </w:r>
      <w:bookmarkEnd w:id="14"/>
    </w:p>
    <w:p w14:paraId="1CB5BF17" w14:textId="7A34506C" w:rsidR="00360FAB" w:rsidRPr="006B0843" w:rsidRDefault="00360FAB" w:rsidP="009A6A1E">
      <w:pPr>
        <w:pStyle w:val="Heading2"/>
        <w:tabs>
          <w:tab w:val="clear" w:pos="720"/>
          <w:tab w:val="num" w:pos="0"/>
        </w:tabs>
        <w:ind w:left="0" w:firstLine="0"/>
        <w:rPr>
          <w:rFonts w:asciiTheme="minorBidi" w:hAnsiTheme="minorBidi" w:cstheme="minorBidi"/>
          <w:sz w:val="22"/>
          <w:szCs w:val="22"/>
        </w:rPr>
      </w:pPr>
      <w:bookmarkStart w:id="15" w:name="_Toc43963846"/>
      <w:r w:rsidRPr="006B0843">
        <w:rPr>
          <w:rFonts w:asciiTheme="minorBidi" w:hAnsiTheme="minorBidi" w:cstheme="minorBidi"/>
          <w:sz w:val="22"/>
          <w:szCs w:val="22"/>
        </w:rPr>
        <w:t>What is a ‘</w:t>
      </w:r>
      <w:r w:rsidR="009A6A1E" w:rsidRPr="006B0843">
        <w:rPr>
          <w:rFonts w:asciiTheme="minorBidi" w:hAnsiTheme="minorBidi" w:cstheme="minorBidi"/>
          <w:sz w:val="22"/>
          <w:szCs w:val="22"/>
        </w:rPr>
        <w:t>Mining</w:t>
      </w:r>
      <w:r w:rsidRPr="006B0843">
        <w:rPr>
          <w:rFonts w:asciiTheme="minorBidi" w:hAnsiTheme="minorBidi" w:cstheme="minorBidi"/>
          <w:sz w:val="22"/>
          <w:szCs w:val="22"/>
        </w:rPr>
        <w:t xml:space="preserve"> Reporting Entity’?</w:t>
      </w:r>
      <w:bookmarkEnd w:id="15"/>
    </w:p>
    <w:p w14:paraId="14F74D02" w14:textId="1DD73640" w:rsidR="00E76B17" w:rsidRPr="006B0843" w:rsidRDefault="00360FAB" w:rsidP="006B0843">
      <w:pPr>
        <w:pStyle w:val="ListParagraph"/>
        <w:numPr>
          <w:ilvl w:val="0"/>
          <w:numId w:val="1"/>
        </w:numPr>
        <w:ind w:left="567" w:hanging="594"/>
        <w:jc w:val="both"/>
        <w:rPr>
          <w:rFonts w:asciiTheme="minorBidi" w:hAnsiTheme="minorBidi"/>
        </w:rPr>
      </w:pPr>
      <w:r w:rsidRPr="006B0843">
        <w:rPr>
          <w:rFonts w:asciiTheme="minorBidi" w:hAnsiTheme="minorBidi"/>
        </w:rPr>
        <w:t xml:space="preserve">There are two </w:t>
      </w:r>
      <w:r w:rsidR="00A121A4" w:rsidRPr="006B0843">
        <w:rPr>
          <w:rFonts w:asciiTheme="minorBidi" w:hAnsiTheme="minorBidi"/>
        </w:rPr>
        <w:t xml:space="preserve">types of </w:t>
      </w:r>
      <w:r w:rsidR="003F6BB4" w:rsidRPr="006B0843">
        <w:rPr>
          <w:rFonts w:asciiTheme="minorBidi" w:hAnsiTheme="minorBidi"/>
        </w:rPr>
        <w:t>Mining</w:t>
      </w:r>
      <w:r w:rsidR="00A121A4" w:rsidRPr="006B0843">
        <w:rPr>
          <w:rFonts w:asciiTheme="minorBidi" w:hAnsiTheme="minorBidi"/>
        </w:rPr>
        <w:t xml:space="preserve"> Reporting Entities under </w:t>
      </w:r>
      <w:r w:rsidR="00E76B17" w:rsidRPr="006B0843">
        <w:rPr>
          <w:rFonts w:asciiTheme="minorBidi" w:hAnsiTheme="minorBidi"/>
        </w:rPr>
        <w:t>the Rules,</w:t>
      </w:r>
      <w:r w:rsidR="00A121A4" w:rsidRPr="006B0843">
        <w:rPr>
          <w:rFonts w:asciiTheme="minorBidi" w:hAnsiTheme="minorBidi"/>
        </w:rPr>
        <w:t xml:space="preserve"> being either</w:t>
      </w:r>
      <w:r w:rsidR="00E76B17" w:rsidRPr="006B0843">
        <w:rPr>
          <w:rFonts w:asciiTheme="minorBidi" w:hAnsiTheme="minorBidi"/>
        </w:rPr>
        <w:t>:</w:t>
      </w:r>
    </w:p>
    <w:p w14:paraId="263937D4" w14:textId="77777777" w:rsidR="00E76B17" w:rsidRPr="006B0843" w:rsidRDefault="00E76B17" w:rsidP="00E76B17">
      <w:pPr>
        <w:pStyle w:val="Heading4"/>
        <w:tabs>
          <w:tab w:val="clear" w:pos="1440"/>
        </w:tabs>
        <w:spacing w:after="0" w:line="240" w:lineRule="auto"/>
        <w:ind w:left="851" w:firstLine="0"/>
        <w:rPr>
          <w:rFonts w:asciiTheme="minorBidi" w:eastAsiaTheme="minorHAnsi" w:hAnsiTheme="minorBidi" w:cstheme="minorBidi"/>
          <w:bCs w:val="0"/>
          <w:iCs w:val="0"/>
          <w:szCs w:val="22"/>
        </w:rPr>
      </w:pPr>
    </w:p>
    <w:p w14:paraId="7F6C274C" w14:textId="19261C74" w:rsidR="00E76B17" w:rsidRPr="006B0843" w:rsidRDefault="003F6BB4" w:rsidP="006B0843">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6B0843">
        <w:rPr>
          <w:rFonts w:asciiTheme="minorBidi" w:eastAsiaTheme="minorHAnsi" w:hAnsiTheme="minorBidi" w:cstheme="minorBidi"/>
          <w:bCs w:val="0"/>
          <w:iCs w:val="0"/>
          <w:szCs w:val="22"/>
        </w:rPr>
        <w:t xml:space="preserve">a </w:t>
      </w:r>
      <w:r w:rsidR="009A6A1E" w:rsidRPr="006B0843">
        <w:rPr>
          <w:rFonts w:asciiTheme="minorBidi" w:eastAsiaTheme="minorHAnsi" w:hAnsiTheme="minorBidi" w:cstheme="minorBidi"/>
          <w:bCs w:val="0"/>
          <w:iCs w:val="0"/>
          <w:szCs w:val="22"/>
        </w:rPr>
        <w:t>Mining E</w:t>
      </w:r>
      <w:r w:rsidR="00A121A4" w:rsidRPr="006B0843">
        <w:rPr>
          <w:rFonts w:asciiTheme="minorBidi" w:eastAsiaTheme="minorHAnsi" w:hAnsiTheme="minorBidi" w:cstheme="minorBidi"/>
          <w:bCs w:val="0"/>
          <w:iCs w:val="0"/>
          <w:szCs w:val="22"/>
        </w:rPr>
        <w:t>xploration Reporting Entity</w:t>
      </w:r>
      <w:r w:rsidR="00E76B17" w:rsidRPr="006B0843">
        <w:rPr>
          <w:rFonts w:asciiTheme="minorBidi" w:eastAsiaTheme="minorHAnsi" w:hAnsiTheme="minorBidi" w:cstheme="minorBidi"/>
          <w:bCs w:val="0"/>
          <w:iCs w:val="0"/>
          <w:szCs w:val="22"/>
        </w:rPr>
        <w:t>;</w:t>
      </w:r>
      <w:r w:rsidR="00A121A4" w:rsidRPr="006B0843">
        <w:rPr>
          <w:rFonts w:asciiTheme="minorBidi" w:eastAsiaTheme="minorHAnsi" w:hAnsiTheme="minorBidi" w:cstheme="minorBidi"/>
          <w:bCs w:val="0"/>
          <w:iCs w:val="0"/>
          <w:szCs w:val="22"/>
        </w:rPr>
        <w:t xml:space="preserve"> or </w:t>
      </w:r>
    </w:p>
    <w:p w14:paraId="53B2744C" w14:textId="77777777" w:rsidR="00E76B17" w:rsidRPr="006B0843" w:rsidRDefault="00E76B17" w:rsidP="006B0843">
      <w:pPr>
        <w:pStyle w:val="Heading4"/>
        <w:tabs>
          <w:tab w:val="clear" w:pos="1440"/>
        </w:tabs>
        <w:spacing w:after="0" w:line="240" w:lineRule="auto"/>
        <w:ind w:left="1134" w:hanging="567"/>
        <w:rPr>
          <w:rFonts w:asciiTheme="minorBidi" w:eastAsiaTheme="minorHAnsi" w:hAnsiTheme="minorBidi" w:cstheme="minorBidi"/>
          <w:bCs w:val="0"/>
          <w:iCs w:val="0"/>
          <w:szCs w:val="22"/>
        </w:rPr>
      </w:pPr>
    </w:p>
    <w:p w14:paraId="04B308AA" w14:textId="6362F9F5" w:rsidR="00E76B17" w:rsidRPr="006B0843" w:rsidRDefault="003F6BB4" w:rsidP="006B0843">
      <w:pPr>
        <w:pStyle w:val="Heading4"/>
        <w:numPr>
          <w:ilvl w:val="0"/>
          <w:numId w:val="6"/>
        </w:numPr>
        <w:spacing w:after="0" w:line="240" w:lineRule="auto"/>
        <w:ind w:left="1134" w:hanging="567"/>
        <w:rPr>
          <w:rFonts w:asciiTheme="minorBidi" w:eastAsiaTheme="minorHAnsi" w:hAnsiTheme="minorBidi" w:cstheme="minorBidi"/>
          <w:bCs w:val="0"/>
          <w:iCs w:val="0"/>
          <w:szCs w:val="22"/>
        </w:rPr>
      </w:pPr>
      <w:r w:rsidRPr="006B0843">
        <w:rPr>
          <w:rFonts w:asciiTheme="minorBidi" w:eastAsiaTheme="minorHAnsi" w:hAnsiTheme="minorBidi" w:cstheme="minorBidi"/>
          <w:bCs w:val="0"/>
          <w:iCs w:val="0"/>
          <w:szCs w:val="22"/>
        </w:rPr>
        <w:t xml:space="preserve">a </w:t>
      </w:r>
      <w:r w:rsidR="009A6A1E" w:rsidRPr="006B0843">
        <w:rPr>
          <w:rFonts w:asciiTheme="minorBidi" w:eastAsiaTheme="minorHAnsi" w:hAnsiTheme="minorBidi" w:cstheme="minorBidi"/>
          <w:bCs w:val="0"/>
          <w:iCs w:val="0"/>
          <w:szCs w:val="22"/>
        </w:rPr>
        <w:t xml:space="preserve">Mining </w:t>
      </w:r>
      <w:r w:rsidR="00A121A4" w:rsidRPr="006B0843">
        <w:rPr>
          <w:rFonts w:asciiTheme="minorBidi" w:eastAsiaTheme="minorHAnsi" w:hAnsiTheme="minorBidi" w:cstheme="minorBidi"/>
          <w:bCs w:val="0"/>
          <w:iCs w:val="0"/>
          <w:szCs w:val="22"/>
        </w:rPr>
        <w:t>Production Reporting Entity</w:t>
      </w:r>
      <w:r w:rsidR="00E76B17" w:rsidRPr="006B0843">
        <w:rPr>
          <w:rFonts w:asciiTheme="minorBidi" w:eastAsiaTheme="minorHAnsi" w:hAnsiTheme="minorBidi" w:cstheme="minorBidi"/>
          <w:bCs w:val="0"/>
          <w:iCs w:val="0"/>
          <w:szCs w:val="22"/>
        </w:rPr>
        <w:t>.</w:t>
      </w:r>
      <w:r w:rsidR="00A121A4" w:rsidRPr="006B0843">
        <w:rPr>
          <w:rFonts w:asciiTheme="minorBidi" w:eastAsiaTheme="minorHAnsi" w:hAnsiTheme="minorBidi" w:cstheme="minorBidi"/>
          <w:bCs w:val="0"/>
          <w:iCs w:val="0"/>
          <w:szCs w:val="22"/>
        </w:rPr>
        <w:t xml:space="preserve"> </w:t>
      </w:r>
    </w:p>
    <w:p w14:paraId="5DBDCB37" w14:textId="77777777" w:rsidR="00E76B17" w:rsidRPr="006B0843" w:rsidRDefault="00E76B17" w:rsidP="00E76B17">
      <w:pPr>
        <w:jc w:val="both"/>
        <w:rPr>
          <w:rFonts w:asciiTheme="minorBidi" w:hAnsiTheme="minorBidi"/>
        </w:rPr>
      </w:pPr>
    </w:p>
    <w:p w14:paraId="196D8179" w14:textId="00C4D46B" w:rsidR="00E76B17" w:rsidRPr="006B0843" w:rsidRDefault="00A121A4" w:rsidP="006B0843">
      <w:pPr>
        <w:pStyle w:val="ListParagraph"/>
        <w:numPr>
          <w:ilvl w:val="0"/>
          <w:numId w:val="1"/>
        </w:numPr>
        <w:ind w:left="567" w:hanging="567"/>
        <w:jc w:val="both"/>
        <w:rPr>
          <w:rFonts w:asciiTheme="minorBidi" w:hAnsiTheme="minorBidi"/>
        </w:rPr>
      </w:pPr>
      <w:r w:rsidRPr="006B0843">
        <w:rPr>
          <w:rFonts w:asciiTheme="minorBidi" w:hAnsiTheme="minorBidi"/>
        </w:rPr>
        <w:t xml:space="preserve">A </w:t>
      </w:r>
      <w:r w:rsidR="009A6A1E" w:rsidRPr="006B0843">
        <w:rPr>
          <w:rFonts w:asciiTheme="minorBidi" w:hAnsiTheme="minorBidi"/>
        </w:rPr>
        <w:t>Mining</w:t>
      </w:r>
      <w:r w:rsidRPr="006B0843">
        <w:rPr>
          <w:rFonts w:asciiTheme="minorBidi" w:hAnsiTheme="minorBidi"/>
        </w:rPr>
        <w:t xml:space="preserve"> Exploration Reporting Entity is a Reporting Entity whose main undertaking consists of Exploration for </w:t>
      </w:r>
      <w:r w:rsidR="009A6A1E" w:rsidRPr="006B0843">
        <w:rPr>
          <w:rFonts w:asciiTheme="minorBidi" w:hAnsiTheme="minorBidi"/>
        </w:rPr>
        <w:t>Minerals</w:t>
      </w:r>
      <w:r w:rsidRPr="006B0843">
        <w:rPr>
          <w:rFonts w:asciiTheme="minorBidi" w:hAnsiTheme="minorBidi"/>
        </w:rPr>
        <w:t xml:space="preserve">, or a Reporting Entity that has been advised by the FSRA that it is a </w:t>
      </w:r>
      <w:r w:rsidR="009A6A1E" w:rsidRPr="006B0843">
        <w:rPr>
          <w:rFonts w:asciiTheme="minorBidi" w:hAnsiTheme="minorBidi"/>
        </w:rPr>
        <w:t>Mining</w:t>
      </w:r>
      <w:r w:rsidR="00E76B17" w:rsidRPr="006B0843">
        <w:rPr>
          <w:rFonts w:asciiTheme="minorBidi" w:hAnsiTheme="minorBidi"/>
        </w:rPr>
        <w:t xml:space="preserve"> </w:t>
      </w:r>
      <w:r w:rsidR="00827EB7">
        <w:rPr>
          <w:rFonts w:asciiTheme="minorBidi" w:hAnsiTheme="minorBidi"/>
        </w:rPr>
        <w:t xml:space="preserve">Exploration </w:t>
      </w:r>
      <w:r w:rsidR="00E76B17" w:rsidRPr="006B0843">
        <w:rPr>
          <w:rFonts w:asciiTheme="minorBidi" w:hAnsiTheme="minorBidi"/>
        </w:rPr>
        <w:t xml:space="preserve">Reporting Entity for the purposes of the Rules.  </w:t>
      </w:r>
    </w:p>
    <w:p w14:paraId="1630891C" w14:textId="77777777" w:rsidR="00E76B17" w:rsidRPr="006B0843" w:rsidRDefault="00E76B17" w:rsidP="006B0843">
      <w:pPr>
        <w:ind w:left="567" w:hanging="567"/>
        <w:jc w:val="both"/>
        <w:rPr>
          <w:rFonts w:asciiTheme="minorBidi" w:hAnsiTheme="minorBidi"/>
        </w:rPr>
      </w:pPr>
    </w:p>
    <w:p w14:paraId="71BED608" w14:textId="7A2B9240" w:rsidR="00E76B17" w:rsidRPr="006B0843" w:rsidRDefault="00E76B17" w:rsidP="006B0843">
      <w:pPr>
        <w:pStyle w:val="ListParagraph"/>
        <w:numPr>
          <w:ilvl w:val="0"/>
          <w:numId w:val="1"/>
        </w:numPr>
        <w:ind w:left="567" w:hanging="567"/>
        <w:jc w:val="both"/>
        <w:rPr>
          <w:rFonts w:asciiTheme="minorBidi" w:hAnsiTheme="minorBidi"/>
        </w:rPr>
      </w:pPr>
      <w:r w:rsidRPr="006B0843">
        <w:rPr>
          <w:rFonts w:asciiTheme="minorBidi" w:hAnsiTheme="minorBidi"/>
        </w:rPr>
        <w:t xml:space="preserve">A </w:t>
      </w:r>
      <w:r w:rsidR="009A6A1E" w:rsidRPr="006B0843">
        <w:rPr>
          <w:rFonts w:asciiTheme="minorBidi" w:hAnsiTheme="minorBidi"/>
        </w:rPr>
        <w:t>Mining</w:t>
      </w:r>
      <w:r w:rsidRPr="006B0843">
        <w:rPr>
          <w:rFonts w:asciiTheme="minorBidi" w:hAnsiTheme="minorBidi"/>
        </w:rPr>
        <w:t xml:space="preserve"> Production Reporting Entity is a Reporting Entity whose main undertaking consists of the Extraction of </w:t>
      </w:r>
      <w:r w:rsidR="009A6A1E" w:rsidRPr="006B0843">
        <w:rPr>
          <w:rFonts w:asciiTheme="minorBidi" w:hAnsiTheme="minorBidi"/>
        </w:rPr>
        <w:t>Minerals,</w:t>
      </w:r>
      <w:r w:rsidRPr="006B0843">
        <w:rPr>
          <w:rFonts w:asciiTheme="minorBidi" w:hAnsiTheme="minorBidi"/>
        </w:rPr>
        <w:t xml:space="preserve"> or a Reporting Entity that has been advised by the FSRA that it is a </w:t>
      </w:r>
      <w:r w:rsidR="009A6A1E" w:rsidRPr="006B0843">
        <w:rPr>
          <w:rFonts w:asciiTheme="minorBidi" w:hAnsiTheme="minorBidi"/>
        </w:rPr>
        <w:t>Mining</w:t>
      </w:r>
      <w:r w:rsidRPr="006B0843">
        <w:rPr>
          <w:rFonts w:asciiTheme="minorBidi" w:hAnsiTheme="minorBidi"/>
        </w:rPr>
        <w:t xml:space="preserve"> Production Entity for the purposes of the Rules.</w:t>
      </w:r>
    </w:p>
    <w:p w14:paraId="59770BD7" w14:textId="77777777" w:rsidR="00E76B17" w:rsidRPr="006B0843" w:rsidRDefault="00E76B17" w:rsidP="006B0843">
      <w:pPr>
        <w:pStyle w:val="ListParagraph"/>
        <w:ind w:left="567" w:hanging="567"/>
        <w:rPr>
          <w:rFonts w:asciiTheme="minorBidi" w:hAnsiTheme="minorBidi"/>
        </w:rPr>
      </w:pPr>
    </w:p>
    <w:p w14:paraId="567A0D70" w14:textId="3AD0DC55" w:rsidR="00360FAB" w:rsidRPr="006B0843" w:rsidRDefault="00E76B17" w:rsidP="006B0843">
      <w:pPr>
        <w:pStyle w:val="ListParagraph"/>
        <w:numPr>
          <w:ilvl w:val="0"/>
          <w:numId w:val="1"/>
        </w:numPr>
        <w:ind w:left="567" w:hanging="567"/>
        <w:jc w:val="both"/>
        <w:rPr>
          <w:rFonts w:asciiTheme="minorBidi" w:hAnsiTheme="minorBidi"/>
        </w:rPr>
      </w:pPr>
      <w:r w:rsidRPr="006B0843">
        <w:rPr>
          <w:rFonts w:asciiTheme="minorBidi" w:hAnsiTheme="minorBidi"/>
        </w:rPr>
        <w:t xml:space="preserve">The FSRA may exercise its power to advise a Reporting Entity that it is a </w:t>
      </w:r>
      <w:r w:rsidR="009A6A1E" w:rsidRPr="006B0843">
        <w:rPr>
          <w:rFonts w:asciiTheme="minorBidi" w:hAnsiTheme="minorBidi"/>
        </w:rPr>
        <w:t>Mining</w:t>
      </w:r>
      <w:r w:rsidRPr="006B0843">
        <w:rPr>
          <w:rFonts w:asciiTheme="minorBidi" w:hAnsiTheme="minorBidi"/>
        </w:rPr>
        <w:t xml:space="preserve"> Exploration Reporting Entity or a </w:t>
      </w:r>
      <w:r w:rsidR="009A6A1E" w:rsidRPr="006B0843">
        <w:rPr>
          <w:rFonts w:asciiTheme="minorBidi" w:hAnsiTheme="minorBidi"/>
        </w:rPr>
        <w:t xml:space="preserve">Mining </w:t>
      </w:r>
      <w:r w:rsidRPr="006B0843">
        <w:rPr>
          <w:rFonts w:asciiTheme="minorBidi" w:hAnsiTheme="minorBidi"/>
        </w:rPr>
        <w:t xml:space="preserve">Production Reporting Entity for the purposes of the Rules if, in </w:t>
      </w:r>
      <w:r w:rsidR="00911578" w:rsidRPr="006B0843">
        <w:rPr>
          <w:rFonts w:asciiTheme="minorBidi" w:hAnsiTheme="minorBidi"/>
        </w:rPr>
        <w:t>the FSRA’s</w:t>
      </w:r>
      <w:r w:rsidRPr="006B0843">
        <w:rPr>
          <w:rFonts w:asciiTheme="minorBidi" w:hAnsiTheme="minorBidi"/>
        </w:rPr>
        <w:t xml:space="preserve"> opinion, the Reporting Entity undertakes </w:t>
      </w:r>
      <w:r w:rsidR="009A6A1E" w:rsidRPr="006B0843">
        <w:rPr>
          <w:rFonts w:asciiTheme="minorBidi" w:hAnsiTheme="minorBidi"/>
        </w:rPr>
        <w:t>mining</w:t>
      </w:r>
      <w:r w:rsidRPr="006B0843">
        <w:rPr>
          <w:rFonts w:asciiTheme="minorBidi" w:hAnsiTheme="minorBidi"/>
        </w:rPr>
        <w:t xml:space="preserve"> activity that comprises, or is over time likely to comprise, such a material part of the overall activity of the Reporting Entity that it is appropriate for the Reporting Entity to be subject to the quarterly activity, and other periodic, disclosure obligations set out in Chapter 1</w:t>
      </w:r>
      <w:r w:rsidR="009A0B84" w:rsidRPr="006B0843">
        <w:rPr>
          <w:rFonts w:asciiTheme="minorBidi" w:hAnsiTheme="minorBidi"/>
        </w:rPr>
        <w:t>1</w:t>
      </w:r>
      <w:r w:rsidRPr="006B0843">
        <w:rPr>
          <w:rFonts w:asciiTheme="minorBidi" w:hAnsiTheme="minorBidi"/>
        </w:rPr>
        <w:t xml:space="preserve"> of the Rules. </w:t>
      </w:r>
    </w:p>
    <w:p w14:paraId="23C8967B" w14:textId="4A04A1F9" w:rsidR="00360FAB" w:rsidRPr="006B0843" w:rsidRDefault="00360FAB" w:rsidP="00360FAB">
      <w:pPr>
        <w:pStyle w:val="ListParagraph"/>
        <w:ind w:left="426"/>
        <w:jc w:val="both"/>
        <w:rPr>
          <w:rFonts w:asciiTheme="minorBidi" w:hAnsiTheme="minorBidi"/>
        </w:rPr>
      </w:pPr>
    </w:p>
    <w:p w14:paraId="62883FD2" w14:textId="2D8AACD6" w:rsidR="005929A3" w:rsidRPr="006B0843" w:rsidRDefault="009A0B84" w:rsidP="009A0B84">
      <w:pPr>
        <w:pStyle w:val="Heading2"/>
        <w:tabs>
          <w:tab w:val="clear" w:pos="720"/>
          <w:tab w:val="num" w:pos="0"/>
        </w:tabs>
        <w:ind w:left="0" w:firstLine="0"/>
        <w:rPr>
          <w:rFonts w:asciiTheme="minorBidi" w:hAnsiTheme="minorBidi" w:cstheme="minorBidi"/>
          <w:sz w:val="22"/>
          <w:szCs w:val="22"/>
        </w:rPr>
      </w:pPr>
      <w:bookmarkStart w:id="16" w:name="_Toc43963847"/>
      <w:r w:rsidRPr="006B0843">
        <w:rPr>
          <w:rFonts w:asciiTheme="minorBidi" w:hAnsiTheme="minorBidi" w:cstheme="minorBidi"/>
          <w:sz w:val="22"/>
          <w:szCs w:val="22"/>
        </w:rPr>
        <w:t>Mining</w:t>
      </w:r>
      <w:r w:rsidR="005929A3" w:rsidRPr="006B0843">
        <w:rPr>
          <w:rFonts w:asciiTheme="minorBidi" w:hAnsiTheme="minorBidi" w:cstheme="minorBidi"/>
          <w:sz w:val="22"/>
          <w:szCs w:val="22"/>
        </w:rPr>
        <w:t xml:space="preserve"> Project</w:t>
      </w:r>
      <w:r w:rsidR="0065118C" w:rsidRPr="006B0843">
        <w:rPr>
          <w:rFonts w:asciiTheme="minorBidi" w:hAnsiTheme="minorBidi" w:cstheme="minorBidi"/>
          <w:sz w:val="22"/>
          <w:szCs w:val="22"/>
        </w:rPr>
        <w:t>s and materiality</w:t>
      </w:r>
      <w:bookmarkEnd w:id="16"/>
      <w:r w:rsidR="005929A3" w:rsidRPr="006B0843">
        <w:rPr>
          <w:rFonts w:asciiTheme="minorBidi" w:hAnsiTheme="minorBidi" w:cstheme="minorBidi"/>
          <w:sz w:val="22"/>
          <w:szCs w:val="22"/>
        </w:rPr>
        <w:t xml:space="preserve"> </w:t>
      </w:r>
    </w:p>
    <w:p w14:paraId="082EBC23" w14:textId="4452A199" w:rsidR="005929A3" w:rsidRPr="006B0843" w:rsidRDefault="005929A3" w:rsidP="006B0843">
      <w:pPr>
        <w:pStyle w:val="ListParagraph"/>
        <w:numPr>
          <w:ilvl w:val="0"/>
          <w:numId w:val="1"/>
        </w:numPr>
        <w:ind w:left="567" w:hanging="567"/>
        <w:jc w:val="both"/>
        <w:rPr>
          <w:rFonts w:asciiTheme="minorBidi" w:hAnsiTheme="minorBidi"/>
        </w:rPr>
      </w:pPr>
      <w:r w:rsidRPr="006B0843">
        <w:rPr>
          <w:rFonts w:asciiTheme="minorBidi" w:hAnsiTheme="minorBidi"/>
        </w:rPr>
        <w:t xml:space="preserve">A </w:t>
      </w:r>
      <w:r w:rsidR="009A0B84" w:rsidRPr="006B0843">
        <w:rPr>
          <w:rFonts w:asciiTheme="minorBidi" w:hAnsiTheme="minorBidi"/>
        </w:rPr>
        <w:t>Mining</w:t>
      </w:r>
      <w:r w:rsidRPr="006B0843">
        <w:rPr>
          <w:rFonts w:asciiTheme="minorBidi" w:hAnsiTheme="minorBidi"/>
        </w:rPr>
        <w:t xml:space="preserve"> Project is defined in </w:t>
      </w:r>
      <w:r w:rsidR="00506261" w:rsidRPr="006B0843">
        <w:rPr>
          <w:rFonts w:asciiTheme="minorBidi" w:hAnsiTheme="minorBidi"/>
        </w:rPr>
        <w:t xml:space="preserve">the </w:t>
      </w:r>
      <w:r w:rsidR="009A0B84" w:rsidRPr="006B0843">
        <w:rPr>
          <w:rFonts w:asciiTheme="minorBidi" w:hAnsiTheme="minorBidi"/>
        </w:rPr>
        <w:t>Rules as a project to Explore for or Extract Minerals from a Mining Tenement(s).</w:t>
      </w:r>
      <w:r w:rsidRPr="006B0843">
        <w:rPr>
          <w:rFonts w:asciiTheme="minorBidi" w:hAnsiTheme="minorBidi"/>
        </w:rPr>
        <w:t xml:space="preserve"> </w:t>
      </w:r>
    </w:p>
    <w:p w14:paraId="1405ACC5" w14:textId="22ED530B" w:rsidR="005929A3" w:rsidRPr="006B0843" w:rsidRDefault="005929A3" w:rsidP="006B0843">
      <w:pPr>
        <w:pStyle w:val="ListParagraph"/>
        <w:ind w:left="567" w:hanging="567"/>
        <w:jc w:val="both"/>
        <w:rPr>
          <w:rFonts w:asciiTheme="minorBidi" w:hAnsiTheme="minorBidi"/>
        </w:rPr>
      </w:pPr>
    </w:p>
    <w:p w14:paraId="242F2170" w14:textId="1C526C59" w:rsidR="005929A3" w:rsidRPr="006B0843" w:rsidRDefault="005929A3" w:rsidP="006B0843">
      <w:pPr>
        <w:pStyle w:val="ListParagraph"/>
        <w:numPr>
          <w:ilvl w:val="0"/>
          <w:numId w:val="1"/>
        </w:numPr>
        <w:ind w:left="567" w:hanging="567"/>
        <w:jc w:val="both"/>
        <w:rPr>
          <w:rFonts w:asciiTheme="minorBidi" w:hAnsiTheme="minorBidi"/>
        </w:rPr>
      </w:pPr>
      <w:r w:rsidRPr="006B0843">
        <w:rPr>
          <w:rFonts w:asciiTheme="minorBidi" w:hAnsiTheme="minorBidi"/>
        </w:rPr>
        <w:t>The consideration</w:t>
      </w:r>
      <w:r w:rsidR="00911578" w:rsidRPr="006B0843">
        <w:rPr>
          <w:rFonts w:asciiTheme="minorBidi" w:hAnsiTheme="minorBidi"/>
        </w:rPr>
        <w:t xml:space="preserve">s </w:t>
      </w:r>
      <w:proofErr w:type="gramStart"/>
      <w:r w:rsidR="00911578" w:rsidRPr="006B0843">
        <w:rPr>
          <w:rFonts w:asciiTheme="minorBidi" w:hAnsiTheme="minorBidi"/>
        </w:rPr>
        <w:t>taken into account</w:t>
      </w:r>
      <w:proofErr w:type="gramEnd"/>
      <w:r w:rsidR="00911578" w:rsidRPr="006B0843">
        <w:rPr>
          <w:rFonts w:asciiTheme="minorBidi" w:hAnsiTheme="minorBidi"/>
        </w:rPr>
        <w:t xml:space="preserve"> to accurately </w:t>
      </w:r>
      <w:r w:rsidRPr="006B0843">
        <w:rPr>
          <w:rFonts w:asciiTheme="minorBidi" w:hAnsiTheme="minorBidi"/>
        </w:rPr>
        <w:t xml:space="preserve">define a </w:t>
      </w:r>
      <w:r w:rsidR="009A0B84" w:rsidRPr="006B0843">
        <w:rPr>
          <w:rFonts w:asciiTheme="minorBidi" w:hAnsiTheme="minorBidi"/>
        </w:rPr>
        <w:t>Mining</w:t>
      </w:r>
      <w:r w:rsidRPr="006B0843">
        <w:rPr>
          <w:rFonts w:asciiTheme="minorBidi" w:hAnsiTheme="minorBidi"/>
        </w:rPr>
        <w:t xml:space="preserve"> Project will often be commercial, including development decisions, budget allocations and how particular </w:t>
      </w:r>
      <w:r w:rsidR="009A0B84" w:rsidRPr="006B0843">
        <w:rPr>
          <w:rFonts w:asciiTheme="minorBidi" w:hAnsiTheme="minorBidi"/>
        </w:rPr>
        <w:t>mining</w:t>
      </w:r>
      <w:r w:rsidRPr="006B0843">
        <w:rPr>
          <w:rFonts w:asciiTheme="minorBidi" w:hAnsiTheme="minorBidi"/>
        </w:rPr>
        <w:t xml:space="preserve"> activities are presented in the disclosure made by a </w:t>
      </w:r>
      <w:r w:rsidR="009A0B84" w:rsidRPr="006B0843">
        <w:rPr>
          <w:rFonts w:asciiTheme="minorBidi" w:hAnsiTheme="minorBidi"/>
        </w:rPr>
        <w:t>Mining</w:t>
      </w:r>
      <w:r w:rsidRPr="006B0843">
        <w:rPr>
          <w:rFonts w:asciiTheme="minorBidi" w:hAnsiTheme="minorBidi"/>
        </w:rPr>
        <w:t xml:space="preserve"> Reporting Entity, including in its </w:t>
      </w:r>
      <w:r w:rsidR="00911578" w:rsidRPr="006B0843">
        <w:rPr>
          <w:rFonts w:asciiTheme="minorBidi" w:hAnsiTheme="minorBidi"/>
        </w:rPr>
        <w:t>a</w:t>
      </w:r>
      <w:r w:rsidRPr="006B0843">
        <w:rPr>
          <w:rFonts w:asciiTheme="minorBidi" w:hAnsiTheme="minorBidi"/>
        </w:rPr>
        <w:t xml:space="preserve">nnual </w:t>
      </w:r>
      <w:r w:rsidR="00911578" w:rsidRPr="006B0843">
        <w:rPr>
          <w:rFonts w:asciiTheme="minorBidi" w:hAnsiTheme="minorBidi"/>
        </w:rPr>
        <w:t>f</w:t>
      </w:r>
      <w:r w:rsidRPr="006B0843">
        <w:rPr>
          <w:rFonts w:asciiTheme="minorBidi" w:hAnsiTheme="minorBidi"/>
        </w:rPr>
        <w:t xml:space="preserve">inancial </w:t>
      </w:r>
      <w:r w:rsidR="00911578" w:rsidRPr="006B0843">
        <w:rPr>
          <w:rFonts w:asciiTheme="minorBidi" w:hAnsiTheme="minorBidi"/>
        </w:rPr>
        <w:t>s</w:t>
      </w:r>
      <w:r w:rsidRPr="006B0843">
        <w:rPr>
          <w:rFonts w:asciiTheme="minorBidi" w:hAnsiTheme="minorBidi"/>
        </w:rPr>
        <w:t xml:space="preserve">tatements and on its website.  A </w:t>
      </w:r>
      <w:r w:rsidR="009A0B84" w:rsidRPr="006B0843">
        <w:rPr>
          <w:rFonts w:asciiTheme="minorBidi" w:hAnsiTheme="minorBidi"/>
        </w:rPr>
        <w:t>Mining</w:t>
      </w:r>
      <w:r w:rsidRPr="006B0843">
        <w:rPr>
          <w:rFonts w:asciiTheme="minorBidi" w:hAnsiTheme="minorBidi"/>
        </w:rPr>
        <w:t xml:space="preserve"> Project may include the development of a single </w:t>
      </w:r>
      <w:r w:rsidR="009A0B84" w:rsidRPr="006B0843">
        <w:rPr>
          <w:rFonts w:asciiTheme="minorBidi" w:hAnsiTheme="minorBidi"/>
        </w:rPr>
        <w:t>mine</w:t>
      </w:r>
      <w:r w:rsidRPr="006B0843">
        <w:rPr>
          <w:rFonts w:asciiTheme="minorBidi" w:hAnsiTheme="minorBidi"/>
        </w:rPr>
        <w:t xml:space="preserve">, an incremental development in a producing </w:t>
      </w:r>
      <w:r w:rsidR="009A0B84" w:rsidRPr="006B0843">
        <w:rPr>
          <w:rFonts w:asciiTheme="minorBidi" w:hAnsiTheme="minorBidi"/>
        </w:rPr>
        <w:t>mine</w:t>
      </w:r>
      <w:r w:rsidRPr="006B0843">
        <w:rPr>
          <w:rFonts w:asciiTheme="minorBidi" w:hAnsiTheme="minorBidi"/>
        </w:rPr>
        <w:t xml:space="preserve">, or an integrated development of a group of several </w:t>
      </w:r>
      <w:r w:rsidR="009A0B84" w:rsidRPr="006B0843">
        <w:rPr>
          <w:rFonts w:asciiTheme="minorBidi" w:hAnsiTheme="minorBidi"/>
        </w:rPr>
        <w:t>mines</w:t>
      </w:r>
      <w:r w:rsidRPr="006B0843">
        <w:rPr>
          <w:rFonts w:asciiTheme="minorBidi" w:hAnsiTheme="minorBidi"/>
        </w:rPr>
        <w:t xml:space="preserve"> and associated facilities with comm</w:t>
      </w:r>
      <w:r w:rsidR="009A0B84" w:rsidRPr="006B0843">
        <w:rPr>
          <w:rFonts w:asciiTheme="minorBidi" w:hAnsiTheme="minorBidi"/>
        </w:rPr>
        <w:t>on ownership</w:t>
      </w:r>
      <w:r w:rsidRPr="006B0843">
        <w:rPr>
          <w:rFonts w:asciiTheme="minorBidi" w:hAnsiTheme="minorBidi"/>
        </w:rPr>
        <w:t>.</w:t>
      </w:r>
      <w:r w:rsidR="009A0B84" w:rsidRPr="006B0843">
        <w:rPr>
          <w:rStyle w:val="FootnoteReference"/>
          <w:rFonts w:asciiTheme="minorBidi" w:hAnsiTheme="minorBidi"/>
        </w:rPr>
        <w:footnoteReference w:id="2"/>
      </w:r>
      <w:r w:rsidRPr="006B0843">
        <w:rPr>
          <w:rFonts w:asciiTheme="minorBidi" w:hAnsiTheme="minorBidi"/>
        </w:rPr>
        <w:t xml:space="preserve"> </w:t>
      </w:r>
    </w:p>
    <w:p w14:paraId="0936B372" w14:textId="77777777" w:rsidR="009A0B84" w:rsidRPr="006B0843" w:rsidRDefault="009A0B84" w:rsidP="006B0843">
      <w:pPr>
        <w:pStyle w:val="ListParagraph"/>
        <w:ind w:left="567" w:hanging="567"/>
        <w:rPr>
          <w:rFonts w:asciiTheme="minorBidi" w:hAnsiTheme="minorBidi"/>
        </w:rPr>
      </w:pPr>
    </w:p>
    <w:p w14:paraId="7D4BC107" w14:textId="2970D767" w:rsidR="009A0B84" w:rsidRPr="006B0843" w:rsidRDefault="009A0B84" w:rsidP="006B0843">
      <w:pPr>
        <w:pStyle w:val="ListParagraph"/>
        <w:numPr>
          <w:ilvl w:val="0"/>
          <w:numId w:val="1"/>
        </w:numPr>
        <w:ind w:left="567" w:hanging="567"/>
        <w:jc w:val="both"/>
        <w:rPr>
          <w:rFonts w:asciiTheme="minorBidi" w:hAnsiTheme="minorBidi"/>
        </w:rPr>
      </w:pPr>
      <w:r w:rsidRPr="006B0843">
        <w:rPr>
          <w:rFonts w:asciiTheme="minorBidi" w:hAnsiTheme="minorBidi"/>
        </w:rPr>
        <w:t xml:space="preserve">The FSRA considers that the </w:t>
      </w:r>
      <w:proofErr w:type="gramStart"/>
      <w:r w:rsidRPr="006B0843">
        <w:rPr>
          <w:rFonts w:asciiTheme="minorBidi" w:hAnsiTheme="minorBidi"/>
        </w:rPr>
        <w:t>requirements</w:t>
      </w:r>
      <w:proofErr w:type="gramEnd"/>
      <w:r w:rsidRPr="006B0843">
        <w:rPr>
          <w:rFonts w:asciiTheme="minorBidi" w:hAnsiTheme="minorBidi"/>
        </w:rPr>
        <w:t xml:space="preserve"> for disclosing Exploration Results, estimates of Mineral Resources</w:t>
      </w:r>
      <w:r w:rsidR="009E427B" w:rsidRPr="006B0843">
        <w:rPr>
          <w:rFonts w:asciiTheme="minorBidi" w:hAnsiTheme="minorBidi"/>
        </w:rPr>
        <w:t xml:space="preserve">, </w:t>
      </w:r>
      <w:r w:rsidRPr="006B0843">
        <w:rPr>
          <w:rFonts w:asciiTheme="minorBidi" w:hAnsiTheme="minorBidi"/>
        </w:rPr>
        <w:t>estimates of Ore Reserves</w:t>
      </w:r>
      <w:r w:rsidR="009E427B" w:rsidRPr="006B0843">
        <w:rPr>
          <w:rFonts w:asciiTheme="minorBidi" w:hAnsiTheme="minorBidi"/>
        </w:rPr>
        <w:t>, Non-Equivalent Estimates</w:t>
      </w:r>
      <w:r w:rsidRPr="006B0843">
        <w:rPr>
          <w:rFonts w:asciiTheme="minorBidi" w:hAnsiTheme="minorBidi"/>
        </w:rPr>
        <w:t xml:space="preserve"> </w:t>
      </w:r>
      <w:r w:rsidR="009E427B" w:rsidRPr="006B0843">
        <w:rPr>
          <w:rFonts w:asciiTheme="minorBidi" w:hAnsiTheme="minorBidi"/>
        </w:rPr>
        <w:t>and Production Targets</w:t>
      </w:r>
      <w:r w:rsidR="009E427B" w:rsidRPr="006B0843">
        <w:rPr>
          <w:rStyle w:val="FootnoteReference"/>
          <w:rFonts w:asciiTheme="minorBidi" w:hAnsiTheme="minorBidi"/>
        </w:rPr>
        <w:footnoteReference w:id="3"/>
      </w:r>
      <w:r w:rsidR="009E427B" w:rsidRPr="006B0843">
        <w:rPr>
          <w:rFonts w:asciiTheme="minorBidi" w:hAnsiTheme="minorBidi"/>
        </w:rPr>
        <w:t xml:space="preserve"> </w:t>
      </w:r>
      <w:r w:rsidRPr="006B0843">
        <w:rPr>
          <w:rFonts w:asciiTheme="minorBidi" w:hAnsiTheme="minorBidi"/>
        </w:rPr>
        <w:t xml:space="preserve">only apply to </w:t>
      </w:r>
      <w:r w:rsidR="00911578" w:rsidRPr="006B0843">
        <w:rPr>
          <w:rFonts w:asciiTheme="minorBidi" w:hAnsiTheme="minorBidi"/>
        </w:rPr>
        <w:t xml:space="preserve">information that is </w:t>
      </w:r>
      <w:r w:rsidRPr="006B0843">
        <w:rPr>
          <w:rFonts w:asciiTheme="minorBidi" w:hAnsiTheme="minorBidi"/>
        </w:rPr>
        <w:t>material.</w:t>
      </w:r>
      <w:r w:rsidR="009E427B" w:rsidRPr="006B0843">
        <w:rPr>
          <w:rFonts w:asciiTheme="minorBidi" w:hAnsiTheme="minorBidi"/>
        </w:rPr>
        <w:t xml:space="preserve"> </w:t>
      </w:r>
    </w:p>
    <w:p w14:paraId="64187D9B" w14:textId="77777777" w:rsidR="005929A3" w:rsidRPr="006B0843" w:rsidRDefault="005929A3" w:rsidP="006B0843">
      <w:pPr>
        <w:pStyle w:val="ListParagraph"/>
        <w:ind w:left="567" w:hanging="567"/>
        <w:rPr>
          <w:rFonts w:asciiTheme="minorBidi" w:hAnsiTheme="minorBidi"/>
        </w:rPr>
      </w:pPr>
    </w:p>
    <w:p w14:paraId="79B436A6" w14:textId="4C828962" w:rsidR="00DA0B36" w:rsidRPr="006B0843" w:rsidRDefault="00DA0B36" w:rsidP="006B0843">
      <w:pPr>
        <w:pStyle w:val="ListParagraph"/>
        <w:numPr>
          <w:ilvl w:val="0"/>
          <w:numId w:val="1"/>
        </w:numPr>
        <w:ind w:left="567" w:hanging="567"/>
        <w:jc w:val="both"/>
        <w:rPr>
          <w:rFonts w:asciiTheme="minorBidi" w:hAnsiTheme="minorBidi"/>
        </w:rPr>
      </w:pPr>
      <w:r w:rsidRPr="006B0843">
        <w:rPr>
          <w:rFonts w:asciiTheme="minorBidi" w:hAnsiTheme="minorBidi"/>
        </w:rPr>
        <w:t xml:space="preserve">The definition of </w:t>
      </w:r>
      <w:r w:rsidR="009E427B" w:rsidRPr="006B0843">
        <w:rPr>
          <w:rFonts w:asciiTheme="minorBidi" w:hAnsiTheme="minorBidi"/>
        </w:rPr>
        <w:t>Mining</w:t>
      </w:r>
      <w:r w:rsidRPr="006B0843">
        <w:rPr>
          <w:rFonts w:asciiTheme="minorBidi" w:hAnsiTheme="minorBidi"/>
        </w:rPr>
        <w:t xml:space="preserve"> Project and the related concept of ‘material</w:t>
      </w:r>
      <w:r w:rsidR="009E427B" w:rsidRPr="006B0843">
        <w:rPr>
          <w:rFonts w:asciiTheme="minorBidi" w:hAnsiTheme="minorBidi"/>
        </w:rPr>
        <w:t>ity</w:t>
      </w:r>
      <w:r w:rsidRPr="006B0843">
        <w:rPr>
          <w:rFonts w:asciiTheme="minorBidi" w:hAnsiTheme="minorBidi"/>
        </w:rPr>
        <w:t xml:space="preserve">’ </w:t>
      </w:r>
      <w:r w:rsidR="009E427B" w:rsidRPr="006B0843">
        <w:rPr>
          <w:rFonts w:asciiTheme="minorBidi" w:hAnsiTheme="minorBidi"/>
        </w:rPr>
        <w:t xml:space="preserve">is </w:t>
      </w:r>
      <w:r w:rsidRPr="006B0843">
        <w:rPr>
          <w:rFonts w:asciiTheme="minorBidi" w:hAnsiTheme="minorBidi"/>
        </w:rPr>
        <w:t xml:space="preserve">intended by the FSRA to be interpreted and applied in </w:t>
      </w:r>
      <w:r w:rsidR="009E427B" w:rsidRPr="006B0843">
        <w:rPr>
          <w:rFonts w:asciiTheme="minorBidi" w:hAnsiTheme="minorBidi"/>
        </w:rPr>
        <w:t>a</w:t>
      </w:r>
      <w:r w:rsidRPr="006B0843">
        <w:rPr>
          <w:rFonts w:asciiTheme="minorBidi" w:hAnsiTheme="minorBidi"/>
        </w:rPr>
        <w:t xml:space="preserve"> sensible and commercial manner.  In </w:t>
      </w:r>
      <w:proofErr w:type="gramStart"/>
      <w:r w:rsidR="00911578" w:rsidRPr="006B0843">
        <w:rPr>
          <w:rFonts w:asciiTheme="minorBidi" w:hAnsiTheme="minorBidi"/>
        </w:rPr>
        <w:t>the majority of</w:t>
      </w:r>
      <w:proofErr w:type="gramEnd"/>
      <w:r w:rsidRPr="006B0843">
        <w:rPr>
          <w:rFonts w:asciiTheme="minorBidi" w:hAnsiTheme="minorBidi"/>
        </w:rPr>
        <w:t xml:space="preserve"> circumstances, </w:t>
      </w:r>
      <w:r w:rsidR="00911578" w:rsidRPr="006B0843">
        <w:rPr>
          <w:rFonts w:asciiTheme="minorBidi" w:hAnsiTheme="minorBidi"/>
        </w:rPr>
        <w:t xml:space="preserve">the FSRA considers it likely that </w:t>
      </w:r>
      <w:r w:rsidRPr="006B0843">
        <w:rPr>
          <w:rFonts w:asciiTheme="minorBidi" w:hAnsiTheme="minorBidi"/>
        </w:rPr>
        <w:t xml:space="preserve">it will be readily apparent that </w:t>
      </w:r>
      <w:r w:rsidR="009E427B" w:rsidRPr="006B0843">
        <w:rPr>
          <w:rFonts w:asciiTheme="minorBidi" w:hAnsiTheme="minorBidi"/>
        </w:rPr>
        <w:t xml:space="preserve">a </w:t>
      </w:r>
      <w:r w:rsidRPr="006B0843">
        <w:rPr>
          <w:rFonts w:asciiTheme="minorBidi" w:hAnsiTheme="minorBidi"/>
        </w:rPr>
        <w:t xml:space="preserve">particular </w:t>
      </w:r>
      <w:r w:rsidR="009E427B" w:rsidRPr="006B0843">
        <w:rPr>
          <w:rFonts w:asciiTheme="minorBidi" w:hAnsiTheme="minorBidi"/>
        </w:rPr>
        <w:t>mining</w:t>
      </w:r>
      <w:r w:rsidRPr="006B0843">
        <w:rPr>
          <w:rFonts w:asciiTheme="minorBidi" w:hAnsiTheme="minorBidi"/>
        </w:rPr>
        <w:t xml:space="preserve"> activity is material for the purposes of these Rules, and therefore the disclosure requirements of </w:t>
      </w:r>
      <w:r w:rsidR="009E427B" w:rsidRPr="006B0843">
        <w:rPr>
          <w:rFonts w:asciiTheme="minorBidi" w:hAnsiTheme="minorBidi"/>
        </w:rPr>
        <w:t xml:space="preserve">Chapter 11 </w:t>
      </w:r>
      <w:r w:rsidRPr="006B0843">
        <w:rPr>
          <w:rFonts w:asciiTheme="minorBidi" w:hAnsiTheme="minorBidi"/>
        </w:rPr>
        <w:t xml:space="preserve">will apply to any related disclosure of </w:t>
      </w:r>
      <w:r w:rsidR="009E427B" w:rsidRPr="006B0843">
        <w:rPr>
          <w:rFonts w:asciiTheme="minorBidi" w:hAnsiTheme="minorBidi"/>
        </w:rPr>
        <w:lastRenderedPageBreak/>
        <w:t>Exploration Results, estimates of Mineral Resources, estimates of Ore Reserves and Production Targets.</w:t>
      </w:r>
    </w:p>
    <w:p w14:paraId="7E4CF8EF" w14:textId="77777777" w:rsidR="009A0B84" w:rsidRPr="006B0843" w:rsidRDefault="009A0B84" w:rsidP="009A0B84">
      <w:pPr>
        <w:pStyle w:val="ListParagraph"/>
        <w:ind w:left="426"/>
        <w:jc w:val="both"/>
        <w:rPr>
          <w:rFonts w:asciiTheme="minorBidi" w:hAnsiTheme="minorBidi"/>
        </w:rPr>
      </w:pPr>
    </w:p>
    <w:p w14:paraId="35D02A5A" w14:textId="5D482FCA" w:rsidR="00DA0B36" w:rsidRPr="006B0843" w:rsidRDefault="009E29AC" w:rsidP="00985BD3">
      <w:pPr>
        <w:pStyle w:val="ListParagraph"/>
        <w:numPr>
          <w:ilvl w:val="0"/>
          <w:numId w:val="1"/>
        </w:numPr>
        <w:ind w:left="567" w:hanging="594"/>
        <w:jc w:val="both"/>
        <w:rPr>
          <w:rFonts w:asciiTheme="minorBidi" w:hAnsiTheme="minorBidi"/>
        </w:rPr>
      </w:pPr>
      <w:r w:rsidRPr="006B0843">
        <w:rPr>
          <w:rFonts w:asciiTheme="minorBidi" w:hAnsiTheme="minorBidi"/>
        </w:rPr>
        <w:t xml:space="preserve">The factors </w:t>
      </w:r>
      <w:r w:rsidR="00911578" w:rsidRPr="006B0843">
        <w:rPr>
          <w:rFonts w:asciiTheme="minorBidi" w:hAnsiTheme="minorBidi"/>
        </w:rPr>
        <w:t xml:space="preserve">that </w:t>
      </w:r>
      <w:r w:rsidRPr="006B0843">
        <w:rPr>
          <w:rFonts w:asciiTheme="minorBidi" w:hAnsiTheme="minorBidi"/>
        </w:rPr>
        <w:t xml:space="preserve">a </w:t>
      </w:r>
      <w:r w:rsidR="009E427B" w:rsidRPr="006B0843">
        <w:rPr>
          <w:rFonts w:asciiTheme="minorBidi" w:hAnsiTheme="minorBidi"/>
        </w:rPr>
        <w:t>Mining</w:t>
      </w:r>
      <w:r w:rsidRPr="006B0843">
        <w:rPr>
          <w:rFonts w:asciiTheme="minorBidi" w:hAnsiTheme="minorBidi"/>
        </w:rPr>
        <w:t xml:space="preserve"> Reporting Entity (and for that matter, any Reporting Entity) should consider when determining whether the disclosure of particular estimates </w:t>
      </w:r>
      <w:proofErr w:type="gramStart"/>
      <w:r w:rsidRPr="006B0843">
        <w:rPr>
          <w:rFonts w:asciiTheme="minorBidi" w:hAnsiTheme="minorBidi"/>
        </w:rPr>
        <w:t>are</w:t>
      </w:r>
      <w:proofErr w:type="gramEnd"/>
      <w:r w:rsidRPr="006B0843">
        <w:rPr>
          <w:rFonts w:asciiTheme="minorBidi" w:hAnsiTheme="minorBidi"/>
        </w:rPr>
        <w:t xml:space="preserve"> material include:</w:t>
      </w:r>
    </w:p>
    <w:p w14:paraId="4F8DFB37" w14:textId="6540CB4D" w:rsidR="009E29AC" w:rsidRPr="006B0843" w:rsidRDefault="009E29AC" w:rsidP="009E29AC">
      <w:pPr>
        <w:jc w:val="both"/>
        <w:rPr>
          <w:rFonts w:asciiTheme="minorBidi" w:hAnsiTheme="minorBidi"/>
        </w:rPr>
      </w:pPr>
    </w:p>
    <w:p w14:paraId="41C5D637" w14:textId="180AD7C1" w:rsidR="009E29AC" w:rsidRPr="006B0843" w:rsidRDefault="00F43CE1" w:rsidP="00985BD3">
      <w:pPr>
        <w:pStyle w:val="ListParagraph"/>
        <w:numPr>
          <w:ilvl w:val="0"/>
          <w:numId w:val="8"/>
        </w:numPr>
        <w:ind w:left="1134" w:hanging="567"/>
        <w:jc w:val="both"/>
        <w:rPr>
          <w:rFonts w:asciiTheme="minorBidi" w:hAnsiTheme="minorBidi"/>
        </w:rPr>
      </w:pPr>
      <w:r w:rsidRPr="006B0843">
        <w:rPr>
          <w:rFonts w:asciiTheme="minorBidi" w:hAnsiTheme="minorBidi"/>
        </w:rPr>
        <w:t>its</w:t>
      </w:r>
      <w:r w:rsidR="009E29AC" w:rsidRPr="006B0843">
        <w:rPr>
          <w:rFonts w:asciiTheme="minorBidi" w:hAnsiTheme="minorBidi"/>
        </w:rPr>
        <w:t xml:space="preserve"> market </w:t>
      </w:r>
      <w:proofErr w:type="gramStart"/>
      <w:r w:rsidR="009E29AC" w:rsidRPr="006B0843">
        <w:rPr>
          <w:rFonts w:asciiTheme="minorBidi" w:hAnsiTheme="minorBidi"/>
        </w:rPr>
        <w:t>capitalisation;</w:t>
      </w:r>
      <w:proofErr w:type="gramEnd"/>
    </w:p>
    <w:p w14:paraId="3E921848" w14:textId="77777777" w:rsidR="009E29AC" w:rsidRPr="006B0843" w:rsidRDefault="009E29AC" w:rsidP="00985BD3">
      <w:pPr>
        <w:ind w:left="1134" w:hanging="567"/>
        <w:jc w:val="both"/>
        <w:rPr>
          <w:rFonts w:asciiTheme="minorBidi" w:hAnsiTheme="minorBidi"/>
        </w:rPr>
      </w:pPr>
    </w:p>
    <w:p w14:paraId="01C434B9" w14:textId="6796D45D" w:rsidR="009E29AC" w:rsidRPr="006B0843" w:rsidRDefault="009E29AC" w:rsidP="00985BD3">
      <w:pPr>
        <w:pStyle w:val="ListParagraph"/>
        <w:numPr>
          <w:ilvl w:val="0"/>
          <w:numId w:val="8"/>
        </w:numPr>
        <w:ind w:left="1134" w:hanging="567"/>
        <w:jc w:val="both"/>
        <w:rPr>
          <w:rFonts w:asciiTheme="minorBidi" w:hAnsiTheme="minorBidi"/>
        </w:rPr>
      </w:pPr>
      <w:r w:rsidRPr="006B0843">
        <w:rPr>
          <w:rFonts w:asciiTheme="minorBidi" w:hAnsiTheme="minorBidi"/>
        </w:rPr>
        <w:t xml:space="preserve">whether </w:t>
      </w:r>
      <w:r w:rsidR="00F43CE1" w:rsidRPr="006B0843">
        <w:rPr>
          <w:rFonts w:asciiTheme="minorBidi" w:hAnsiTheme="minorBidi"/>
        </w:rPr>
        <w:t xml:space="preserve">it </w:t>
      </w:r>
      <w:r w:rsidRPr="006B0843">
        <w:rPr>
          <w:rFonts w:asciiTheme="minorBidi" w:hAnsiTheme="minorBidi"/>
        </w:rPr>
        <w:t xml:space="preserve">would expect the disclosure of information relating to the </w:t>
      </w:r>
      <w:r w:rsidR="009E427B" w:rsidRPr="006B0843">
        <w:rPr>
          <w:rFonts w:asciiTheme="minorBidi" w:hAnsiTheme="minorBidi"/>
        </w:rPr>
        <w:t xml:space="preserve">Mining </w:t>
      </w:r>
      <w:r w:rsidRPr="006B0843">
        <w:rPr>
          <w:rFonts w:asciiTheme="minorBidi" w:hAnsiTheme="minorBidi"/>
        </w:rPr>
        <w:t xml:space="preserve">Project to have a material effect on the price of its </w:t>
      </w:r>
      <w:r w:rsidR="007F481F" w:rsidRPr="006B0843">
        <w:rPr>
          <w:rFonts w:asciiTheme="minorBidi" w:hAnsiTheme="minorBidi"/>
        </w:rPr>
        <w:t xml:space="preserve">Financial </w:t>
      </w:r>
      <w:proofErr w:type="gramStart"/>
      <w:r w:rsidR="007F481F" w:rsidRPr="006B0843">
        <w:rPr>
          <w:rFonts w:asciiTheme="minorBidi" w:hAnsiTheme="minorBidi"/>
        </w:rPr>
        <w:t>Instruments</w:t>
      </w:r>
      <w:r w:rsidRPr="006B0843">
        <w:rPr>
          <w:rFonts w:asciiTheme="minorBidi" w:hAnsiTheme="minorBidi"/>
        </w:rPr>
        <w:t>;</w:t>
      </w:r>
      <w:proofErr w:type="gramEnd"/>
    </w:p>
    <w:p w14:paraId="11BAB8C9" w14:textId="77777777" w:rsidR="009E29AC" w:rsidRPr="006B0843" w:rsidRDefault="009E29AC" w:rsidP="00985BD3">
      <w:pPr>
        <w:pStyle w:val="ListParagraph"/>
        <w:ind w:left="1134" w:hanging="567"/>
        <w:rPr>
          <w:rFonts w:asciiTheme="minorBidi" w:hAnsiTheme="minorBidi"/>
        </w:rPr>
      </w:pPr>
    </w:p>
    <w:p w14:paraId="09E7B0D0" w14:textId="4B4EABBE" w:rsidR="009E29AC" w:rsidRPr="006B0843" w:rsidRDefault="009E29AC" w:rsidP="00985BD3">
      <w:pPr>
        <w:pStyle w:val="ListParagraph"/>
        <w:numPr>
          <w:ilvl w:val="0"/>
          <w:numId w:val="8"/>
        </w:numPr>
        <w:ind w:left="1134" w:hanging="567"/>
        <w:jc w:val="both"/>
        <w:rPr>
          <w:rFonts w:asciiTheme="minorBidi" w:hAnsiTheme="minorBidi"/>
        </w:rPr>
      </w:pPr>
      <w:r w:rsidRPr="006B0843">
        <w:rPr>
          <w:rFonts w:asciiTheme="minorBidi" w:hAnsiTheme="minorBidi"/>
        </w:rPr>
        <w:t xml:space="preserve">whether </w:t>
      </w:r>
      <w:r w:rsidR="00F43CE1" w:rsidRPr="006B0843">
        <w:rPr>
          <w:rFonts w:asciiTheme="minorBidi" w:hAnsiTheme="minorBidi"/>
        </w:rPr>
        <w:t>its</w:t>
      </w:r>
      <w:r w:rsidRPr="006B0843">
        <w:rPr>
          <w:rFonts w:asciiTheme="minorBidi" w:hAnsiTheme="minorBidi"/>
        </w:rPr>
        <w:t xml:space="preserve"> actual and projected expenditure on the </w:t>
      </w:r>
      <w:r w:rsidR="009E427B" w:rsidRPr="006B0843">
        <w:rPr>
          <w:rFonts w:asciiTheme="minorBidi" w:hAnsiTheme="minorBidi"/>
        </w:rPr>
        <w:t>Mining</w:t>
      </w:r>
      <w:r w:rsidRPr="006B0843">
        <w:rPr>
          <w:rFonts w:asciiTheme="minorBidi" w:hAnsiTheme="minorBidi"/>
        </w:rPr>
        <w:t xml:space="preserve"> Project is, or is likely to be, material in the context of its expenditure on other </w:t>
      </w:r>
      <w:r w:rsidR="009E427B" w:rsidRPr="006B0843">
        <w:rPr>
          <w:rFonts w:asciiTheme="minorBidi" w:hAnsiTheme="minorBidi"/>
        </w:rPr>
        <w:t>Mining</w:t>
      </w:r>
      <w:r w:rsidRPr="006B0843">
        <w:rPr>
          <w:rFonts w:asciiTheme="minorBidi" w:hAnsiTheme="minorBidi"/>
        </w:rPr>
        <w:t xml:space="preserve"> Projects and other (non-</w:t>
      </w:r>
      <w:r w:rsidR="009E427B" w:rsidRPr="006B0843">
        <w:rPr>
          <w:rFonts w:asciiTheme="minorBidi" w:hAnsiTheme="minorBidi"/>
        </w:rPr>
        <w:t>Mining</w:t>
      </w:r>
      <w:r w:rsidRPr="006B0843">
        <w:rPr>
          <w:rFonts w:asciiTheme="minorBidi" w:hAnsiTheme="minorBidi"/>
        </w:rPr>
        <w:t xml:space="preserve">) business </w:t>
      </w:r>
      <w:proofErr w:type="gramStart"/>
      <w:r w:rsidRPr="006B0843">
        <w:rPr>
          <w:rFonts w:asciiTheme="minorBidi" w:hAnsiTheme="minorBidi"/>
        </w:rPr>
        <w:t>activities;</w:t>
      </w:r>
      <w:proofErr w:type="gramEnd"/>
    </w:p>
    <w:p w14:paraId="0A39C357" w14:textId="77777777" w:rsidR="009E29AC" w:rsidRPr="006B0843" w:rsidRDefault="009E29AC" w:rsidP="00985BD3">
      <w:pPr>
        <w:pStyle w:val="ListParagraph"/>
        <w:ind w:left="1134" w:hanging="567"/>
        <w:rPr>
          <w:rFonts w:asciiTheme="minorBidi" w:hAnsiTheme="minorBidi"/>
        </w:rPr>
      </w:pPr>
    </w:p>
    <w:p w14:paraId="7E9E29BC" w14:textId="1693DB69" w:rsidR="009E29AC" w:rsidRPr="006B0843" w:rsidRDefault="009E29AC" w:rsidP="00985BD3">
      <w:pPr>
        <w:pStyle w:val="ListParagraph"/>
        <w:numPr>
          <w:ilvl w:val="0"/>
          <w:numId w:val="8"/>
        </w:numPr>
        <w:ind w:left="1134" w:hanging="567"/>
        <w:jc w:val="both"/>
        <w:rPr>
          <w:rFonts w:asciiTheme="minorBidi" w:hAnsiTheme="minorBidi"/>
        </w:rPr>
      </w:pPr>
      <w:r w:rsidRPr="006B0843">
        <w:rPr>
          <w:rFonts w:asciiTheme="minorBidi" w:hAnsiTheme="minorBidi"/>
        </w:rPr>
        <w:t xml:space="preserve">whether </w:t>
      </w:r>
      <w:r w:rsidR="00F43CE1" w:rsidRPr="006B0843">
        <w:rPr>
          <w:rFonts w:asciiTheme="minorBidi" w:hAnsiTheme="minorBidi"/>
        </w:rPr>
        <w:t>its</w:t>
      </w:r>
      <w:r w:rsidRPr="006B0843">
        <w:rPr>
          <w:rFonts w:asciiTheme="minorBidi" w:hAnsiTheme="minorBidi"/>
        </w:rPr>
        <w:t xml:space="preserve"> actual and projected revenue from the </w:t>
      </w:r>
      <w:r w:rsidR="009E427B" w:rsidRPr="006B0843">
        <w:rPr>
          <w:rFonts w:asciiTheme="minorBidi" w:hAnsiTheme="minorBidi"/>
        </w:rPr>
        <w:t>Mining</w:t>
      </w:r>
      <w:r w:rsidRPr="006B0843">
        <w:rPr>
          <w:rFonts w:asciiTheme="minorBidi" w:hAnsiTheme="minorBidi"/>
        </w:rPr>
        <w:t xml:space="preserve"> Project is, or is likely to be, material in the context of its revenue from other </w:t>
      </w:r>
      <w:r w:rsidR="009E427B" w:rsidRPr="006B0843">
        <w:rPr>
          <w:rFonts w:asciiTheme="minorBidi" w:hAnsiTheme="minorBidi"/>
        </w:rPr>
        <w:t>Mining</w:t>
      </w:r>
      <w:r w:rsidRPr="006B0843">
        <w:rPr>
          <w:rFonts w:asciiTheme="minorBidi" w:hAnsiTheme="minorBidi"/>
        </w:rPr>
        <w:t xml:space="preserve"> Projects and other (non-</w:t>
      </w:r>
      <w:r w:rsidR="009E427B" w:rsidRPr="006B0843">
        <w:rPr>
          <w:rFonts w:asciiTheme="minorBidi" w:hAnsiTheme="minorBidi"/>
        </w:rPr>
        <w:t>Mining</w:t>
      </w:r>
      <w:r w:rsidRPr="006B0843">
        <w:rPr>
          <w:rFonts w:asciiTheme="minorBidi" w:hAnsiTheme="minorBidi"/>
        </w:rPr>
        <w:t xml:space="preserve">) business </w:t>
      </w:r>
      <w:proofErr w:type="gramStart"/>
      <w:r w:rsidRPr="006B0843">
        <w:rPr>
          <w:rFonts w:asciiTheme="minorBidi" w:hAnsiTheme="minorBidi"/>
        </w:rPr>
        <w:t>activities;</w:t>
      </w:r>
      <w:proofErr w:type="gramEnd"/>
    </w:p>
    <w:p w14:paraId="531FDAB6" w14:textId="77777777" w:rsidR="009E29AC" w:rsidRPr="006B0843" w:rsidRDefault="009E29AC" w:rsidP="00985BD3">
      <w:pPr>
        <w:pStyle w:val="ListParagraph"/>
        <w:ind w:left="1134" w:hanging="567"/>
        <w:rPr>
          <w:rFonts w:asciiTheme="minorBidi" w:hAnsiTheme="minorBidi"/>
        </w:rPr>
      </w:pPr>
    </w:p>
    <w:p w14:paraId="7FECDB92" w14:textId="3C413021" w:rsidR="00F43CE1" w:rsidRPr="006B0843" w:rsidRDefault="00F43CE1" w:rsidP="00985BD3">
      <w:pPr>
        <w:pStyle w:val="ListParagraph"/>
        <w:numPr>
          <w:ilvl w:val="0"/>
          <w:numId w:val="8"/>
        </w:numPr>
        <w:ind w:left="1134" w:hanging="567"/>
        <w:jc w:val="both"/>
        <w:rPr>
          <w:rFonts w:asciiTheme="minorBidi" w:hAnsiTheme="minorBidi"/>
        </w:rPr>
      </w:pPr>
      <w:r w:rsidRPr="006B0843">
        <w:rPr>
          <w:rFonts w:asciiTheme="minorBidi" w:hAnsiTheme="minorBidi"/>
        </w:rPr>
        <w:t xml:space="preserve">whether it considers the </w:t>
      </w:r>
      <w:r w:rsidR="009E427B" w:rsidRPr="006B0843">
        <w:rPr>
          <w:rFonts w:asciiTheme="minorBidi" w:hAnsiTheme="minorBidi"/>
        </w:rPr>
        <w:t>Mining</w:t>
      </w:r>
      <w:r w:rsidRPr="006B0843">
        <w:rPr>
          <w:rFonts w:asciiTheme="minorBidi" w:hAnsiTheme="minorBidi"/>
        </w:rPr>
        <w:t xml:space="preserve"> Project will be a material asset in the medium to long </w:t>
      </w:r>
      <w:proofErr w:type="gramStart"/>
      <w:r w:rsidRPr="006B0843">
        <w:rPr>
          <w:rFonts w:asciiTheme="minorBidi" w:hAnsiTheme="minorBidi"/>
        </w:rPr>
        <w:t>term;</w:t>
      </w:r>
      <w:proofErr w:type="gramEnd"/>
    </w:p>
    <w:p w14:paraId="460E52C3" w14:textId="77777777" w:rsidR="00F43CE1" w:rsidRPr="006B0843" w:rsidRDefault="00F43CE1" w:rsidP="00985BD3">
      <w:pPr>
        <w:pStyle w:val="ListParagraph"/>
        <w:ind w:left="1134" w:hanging="567"/>
        <w:rPr>
          <w:rFonts w:asciiTheme="minorBidi" w:hAnsiTheme="minorBidi"/>
        </w:rPr>
      </w:pPr>
    </w:p>
    <w:p w14:paraId="6C366F0A" w14:textId="05A6EA52" w:rsidR="009E29AC" w:rsidRPr="006B0843" w:rsidRDefault="00F43CE1" w:rsidP="00985BD3">
      <w:pPr>
        <w:pStyle w:val="ListParagraph"/>
        <w:numPr>
          <w:ilvl w:val="0"/>
          <w:numId w:val="8"/>
        </w:numPr>
        <w:ind w:left="1134" w:hanging="567"/>
        <w:jc w:val="both"/>
        <w:rPr>
          <w:rFonts w:asciiTheme="minorBidi" w:hAnsiTheme="minorBidi"/>
        </w:rPr>
      </w:pPr>
      <w:r w:rsidRPr="006B0843">
        <w:rPr>
          <w:rFonts w:asciiTheme="minorBidi" w:hAnsiTheme="minorBidi"/>
        </w:rPr>
        <w:t xml:space="preserve">whether it has previously made a disclosure in relation to the </w:t>
      </w:r>
      <w:r w:rsidR="00501D21" w:rsidRPr="006B0843">
        <w:rPr>
          <w:rFonts w:asciiTheme="minorBidi" w:hAnsiTheme="minorBidi"/>
        </w:rPr>
        <w:t xml:space="preserve">Mining </w:t>
      </w:r>
      <w:r w:rsidRPr="006B0843">
        <w:rPr>
          <w:rFonts w:asciiTheme="minorBidi" w:hAnsiTheme="minorBidi"/>
        </w:rPr>
        <w:t xml:space="preserve">Project which suggests that the </w:t>
      </w:r>
      <w:r w:rsidR="00501D21" w:rsidRPr="006B0843">
        <w:rPr>
          <w:rFonts w:asciiTheme="minorBidi" w:hAnsiTheme="minorBidi"/>
        </w:rPr>
        <w:t>Mining</w:t>
      </w:r>
      <w:r w:rsidRPr="006B0843">
        <w:rPr>
          <w:rFonts w:asciiTheme="minorBidi" w:hAnsiTheme="minorBidi"/>
        </w:rPr>
        <w:t xml:space="preserve"> Project is </w:t>
      </w:r>
      <w:proofErr w:type="gramStart"/>
      <w:r w:rsidRPr="006B0843">
        <w:rPr>
          <w:rFonts w:asciiTheme="minorBidi" w:hAnsiTheme="minorBidi"/>
        </w:rPr>
        <w:t>material;</w:t>
      </w:r>
      <w:proofErr w:type="gramEnd"/>
    </w:p>
    <w:p w14:paraId="487C4638" w14:textId="77777777" w:rsidR="00F43CE1" w:rsidRPr="006B0843" w:rsidRDefault="00F43CE1" w:rsidP="00985BD3">
      <w:pPr>
        <w:pStyle w:val="ListParagraph"/>
        <w:ind w:left="1134" w:hanging="567"/>
        <w:rPr>
          <w:rFonts w:asciiTheme="minorBidi" w:hAnsiTheme="minorBidi"/>
        </w:rPr>
      </w:pPr>
    </w:p>
    <w:p w14:paraId="0DF832C0" w14:textId="340F0732" w:rsidR="00F43CE1" w:rsidRPr="006B0843" w:rsidRDefault="00F43CE1" w:rsidP="00985BD3">
      <w:pPr>
        <w:pStyle w:val="ListParagraph"/>
        <w:numPr>
          <w:ilvl w:val="0"/>
          <w:numId w:val="8"/>
        </w:numPr>
        <w:ind w:left="1134" w:hanging="567"/>
        <w:jc w:val="both"/>
        <w:rPr>
          <w:rFonts w:asciiTheme="minorBidi" w:hAnsiTheme="minorBidi"/>
        </w:rPr>
      </w:pPr>
      <w:r w:rsidRPr="006B0843">
        <w:rPr>
          <w:rFonts w:asciiTheme="minorBidi" w:hAnsiTheme="minorBidi"/>
        </w:rPr>
        <w:t xml:space="preserve">the prominence given to the </w:t>
      </w:r>
      <w:r w:rsidR="00501D21" w:rsidRPr="006B0843">
        <w:rPr>
          <w:rFonts w:asciiTheme="minorBidi" w:hAnsiTheme="minorBidi"/>
        </w:rPr>
        <w:t>Mining</w:t>
      </w:r>
      <w:r w:rsidRPr="006B0843">
        <w:rPr>
          <w:rFonts w:asciiTheme="minorBidi" w:hAnsiTheme="minorBidi"/>
        </w:rPr>
        <w:t xml:space="preserve"> Project on its website, its Annual Financial Statement or in other promotional material it has distributed; and</w:t>
      </w:r>
    </w:p>
    <w:p w14:paraId="613CDAA2" w14:textId="77777777" w:rsidR="00F43CE1" w:rsidRPr="006B0843" w:rsidRDefault="00F43CE1" w:rsidP="00985BD3">
      <w:pPr>
        <w:pStyle w:val="ListParagraph"/>
        <w:ind w:left="1134" w:hanging="567"/>
        <w:rPr>
          <w:rFonts w:asciiTheme="minorBidi" w:hAnsiTheme="minorBidi"/>
        </w:rPr>
      </w:pPr>
    </w:p>
    <w:p w14:paraId="0E64889F" w14:textId="7570D648" w:rsidR="00F43CE1" w:rsidRPr="006B0843" w:rsidRDefault="00F43CE1" w:rsidP="00985BD3">
      <w:pPr>
        <w:pStyle w:val="ListParagraph"/>
        <w:numPr>
          <w:ilvl w:val="0"/>
          <w:numId w:val="8"/>
        </w:numPr>
        <w:ind w:left="1134" w:hanging="567"/>
        <w:jc w:val="both"/>
        <w:rPr>
          <w:rFonts w:asciiTheme="minorBidi" w:hAnsiTheme="minorBidi"/>
        </w:rPr>
      </w:pPr>
      <w:r w:rsidRPr="006B0843">
        <w:rPr>
          <w:rFonts w:asciiTheme="minorBidi" w:hAnsiTheme="minorBidi"/>
        </w:rPr>
        <w:t>the materiality guidelines in the International Financial Reporting Standards.</w:t>
      </w:r>
    </w:p>
    <w:p w14:paraId="5C120F0F" w14:textId="344B8F23" w:rsidR="00DA0B36" w:rsidRPr="006B0843" w:rsidRDefault="00DA0B36" w:rsidP="00DA0B36">
      <w:pPr>
        <w:ind w:left="-27"/>
        <w:jc w:val="both"/>
        <w:rPr>
          <w:rFonts w:asciiTheme="minorBidi" w:hAnsiTheme="minorBidi"/>
        </w:rPr>
      </w:pPr>
    </w:p>
    <w:p w14:paraId="3015FB5D" w14:textId="0B0558E1" w:rsidR="00F43CE1" w:rsidRPr="006B0843" w:rsidRDefault="00F43CE1" w:rsidP="00985BD3">
      <w:pPr>
        <w:pStyle w:val="ListParagraph"/>
        <w:numPr>
          <w:ilvl w:val="0"/>
          <w:numId w:val="1"/>
        </w:numPr>
        <w:ind w:left="567" w:hanging="594"/>
        <w:jc w:val="both"/>
        <w:rPr>
          <w:rFonts w:asciiTheme="minorBidi" w:hAnsiTheme="minorBidi"/>
        </w:rPr>
      </w:pPr>
      <w:r w:rsidRPr="006B0843">
        <w:rPr>
          <w:rFonts w:asciiTheme="minorBidi" w:hAnsiTheme="minorBidi"/>
        </w:rPr>
        <w:t xml:space="preserve">An assessment of the materiality of a </w:t>
      </w:r>
      <w:r w:rsidR="00501D21" w:rsidRPr="006B0843">
        <w:rPr>
          <w:rFonts w:asciiTheme="minorBidi" w:hAnsiTheme="minorBidi"/>
        </w:rPr>
        <w:t>Mining</w:t>
      </w:r>
      <w:r w:rsidRPr="006B0843">
        <w:rPr>
          <w:rFonts w:asciiTheme="minorBidi" w:hAnsiTheme="minorBidi"/>
        </w:rPr>
        <w:t xml:space="preserve"> Project, or the estimates</w:t>
      </w:r>
      <w:r w:rsidR="00501D21" w:rsidRPr="006B0843">
        <w:rPr>
          <w:rFonts w:asciiTheme="minorBidi" w:hAnsiTheme="minorBidi"/>
        </w:rPr>
        <w:t xml:space="preserve">/results </w:t>
      </w:r>
      <w:r w:rsidRPr="006B0843">
        <w:rPr>
          <w:rFonts w:asciiTheme="minorBidi" w:hAnsiTheme="minorBidi"/>
        </w:rPr>
        <w:t xml:space="preserve">relating to it, </w:t>
      </w:r>
      <w:r w:rsidR="00911578" w:rsidRPr="006B0843">
        <w:rPr>
          <w:rFonts w:asciiTheme="minorBidi" w:hAnsiTheme="minorBidi"/>
        </w:rPr>
        <w:t xml:space="preserve">must </w:t>
      </w:r>
      <w:r w:rsidRPr="006B0843">
        <w:rPr>
          <w:rFonts w:asciiTheme="minorBidi" w:hAnsiTheme="minorBidi"/>
        </w:rPr>
        <w:t xml:space="preserve">be made at a point in time, having </w:t>
      </w:r>
      <w:r w:rsidR="00911578" w:rsidRPr="006B0843">
        <w:rPr>
          <w:rFonts w:asciiTheme="minorBidi" w:hAnsiTheme="minorBidi"/>
        </w:rPr>
        <w:t xml:space="preserve">due </w:t>
      </w:r>
      <w:r w:rsidRPr="006B0843">
        <w:rPr>
          <w:rFonts w:asciiTheme="minorBidi" w:hAnsiTheme="minorBidi"/>
        </w:rPr>
        <w:t xml:space="preserve">regard to a </w:t>
      </w:r>
      <w:r w:rsidR="00501D21" w:rsidRPr="006B0843">
        <w:rPr>
          <w:rFonts w:asciiTheme="minorBidi" w:hAnsiTheme="minorBidi"/>
        </w:rPr>
        <w:t>Mining</w:t>
      </w:r>
      <w:r w:rsidRPr="006B0843">
        <w:rPr>
          <w:rFonts w:asciiTheme="minorBidi" w:hAnsiTheme="minorBidi"/>
        </w:rPr>
        <w:t xml:space="preserve"> Reporting Entity’s business activities and financial position at that time.  Such assessment may change over time.  </w:t>
      </w:r>
      <w:r w:rsidR="00501D21" w:rsidRPr="006B0843">
        <w:rPr>
          <w:rFonts w:asciiTheme="minorBidi" w:hAnsiTheme="minorBidi"/>
        </w:rPr>
        <w:t>For example, c</w:t>
      </w:r>
      <w:r w:rsidRPr="006B0843">
        <w:rPr>
          <w:rFonts w:asciiTheme="minorBidi" w:hAnsiTheme="minorBidi"/>
        </w:rPr>
        <w:t xml:space="preserve">ertain estimates that are not considered material today may become material in the future, due to the discovery of new </w:t>
      </w:r>
      <w:r w:rsidR="00501D21" w:rsidRPr="006B0843">
        <w:rPr>
          <w:rFonts w:asciiTheme="minorBidi" w:hAnsiTheme="minorBidi"/>
        </w:rPr>
        <w:t>Mineral</w:t>
      </w:r>
      <w:r w:rsidRPr="006B0843">
        <w:rPr>
          <w:rFonts w:asciiTheme="minorBidi" w:hAnsiTheme="minorBidi"/>
        </w:rPr>
        <w:t xml:space="preserve"> Resources or other information.  Similarly, estimates that are considered material today may not be material in the future, due to a </w:t>
      </w:r>
      <w:r w:rsidR="00501D21" w:rsidRPr="006B0843">
        <w:rPr>
          <w:rFonts w:asciiTheme="minorBidi" w:hAnsiTheme="minorBidi"/>
        </w:rPr>
        <w:t>Mining</w:t>
      </w:r>
      <w:r w:rsidRPr="006B0843">
        <w:rPr>
          <w:rFonts w:asciiTheme="minorBidi" w:hAnsiTheme="minorBidi"/>
        </w:rPr>
        <w:t xml:space="preserve"> Project </w:t>
      </w:r>
      <w:r w:rsidR="0065118C" w:rsidRPr="006B0843">
        <w:rPr>
          <w:rFonts w:asciiTheme="minorBidi" w:hAnsiTheme="minorBidi"/>
        </w:rPr>
        <w:t xml:space="preserve">becoming exhausted or abandoned, or because a </w:t>
      </w:r>
      <w:r w:rsidR="00501D21" w:rsidRPr="006B0843">
        <w:rPr>
          <w:rFonts w:asciiTheme="minorBidi" w:hAnsiTheme="minorBidi"/>
        </w:rPr>
        <w:t xml:space="preserve">Mining </w:t>
      </w:r>
      <w:r w:rsidR="0065118C" w:rsidRPr="006B0843">
        <w:rPr>
          <w:rFonts w:asciiTheme="minorBidi" w:hAnsiTheme="minorBidi"/>
        </w:rPr>
        <w:t>Reporting Entity embark</w:t>
      </w:r>
      <w:r w:rsidR="00911578" w:rsidRPr="006B0843">
        <w:rPr>
          <w:rFonts w:asciiTheme="minorBidi" w:hAnsiTheme="minorBidi"/>
        </w:rPr>
        <w:t>s</w:t>
      </w:r>
      <w:r w:rsidR="0065118C" w:rsidRPr="006B0843">
        <w:rPr>
          <w:rFonts w:asciiTheme="minorBidi" w:hAnsiTheme="minorBidi"/>
        </w:rPr>
        <w:t xml:space="preserve"> on other more important </w:t>
      </w:r>
      <w:r w:rsidR="00501D21" w:rsidRPr="006B0843">
        <w:rPr>
          <w:rFonts w:asciiTheme="minorBidi" w:hAnsiTheme="minorBidi"/>
        </w:rPr>
        <w:t>Mining</w:t>
      </w:r>
      <w:r w:rsidR="0065118C" w:rsidRPr="006B0843">
        <w:rPr>
          <w:rFonts w:asciiTheme="minorBidi" w:hAnsiTheme="minorBidi"/>
        </w:rPr>
        <w:t xml:space="preserve"> Projects.</w:t>
      </w:r>
    </w:p>
    <w:p w14:paraId="4B917DC9" w14:textId="77777777" w:rsidR="00F43CE1" w:rsidRPr="006B0843" w:rsidRDefault="00F43CE1" w:rsidP="00985BD3">
      <w:pPr>
        <w:pStyle w:val="ListParagraph"/>
        <w:ind w:left="567" w:hanging="594"/>
        <w:jc w:val="both"/>
        <w:rPr>
          <w:rFonts w:asciiTheme="minorBidi" w:hAnsiTheme="minorBidi"/>
        </w:rPr>
      </w:pPr>
    </w:p>
    <w:p w14:paraId="4FFD2A73" w14:textId="4DEDCF39" w:rsidR="00D23EB6" w:rsidRPr="006B0843" w:rsidRDefault="0065118C" w:rsidP="00985BD3">
      <w:pPr>
        <w:pStyle w:val="ListParagraph"/>
        <w:numPr>
          <w:ilvl w:val="0"/>
          <w:numId w:val="1"/>
        </w:numPr>
        <w:ind w:left="567" w:hanging="594"/>
        <w:jc w:val="both"/>
        <w:rPr>
          <w:rFonts w:asciiTheme="minorBidi" w:hAnsiTheme="minorBidi"/>
        </w:rPr>
      </w:pPr>
      <w:r w:rsidRPr="006B0843">
        <w:rPr>
          <w:rFonts w:asciiTheme="minorBidi" w:hAnsiTheme="minorBidi"/>
        </w:rPr>
        <w:t xml:space="preserve">If a </w:t>
      </w:r>
      <w:r w:rsidR="00501D21" w:rsidRPr="006B0843">
        <w:rPr>
          <w:rFonts w:asciiTheme="minorBidi" w:hAnsiTheme="minorBidi"/>
        </w:rPr>
        <w:t>Mining</w:t>
      </w:r>
      <w:r w:rsidRPr="006B0843">
        <w:rPr>
          <w:rFonts w:asciiTheme="minorBidi" w:hAnsiTheme="minorBidi"/>
        </w:rPr>
        <w:t xml:space="preserve"> Reporting Entity discloses estimates</w:t>
      </w:r>
      <w:r w:rsidR="00501D21" w:rsidRPr="006B0843">
        <w:rPr>
          <w:rFonts w:asciiTheme="minorBidi" w:hAnsiTheme="minorBidi"/>
        </w:rPr>
        <w:t>/results</w:t>
      </w:r>
      <w:r w:rsidRPr="006B0843">
        <w:rPr>
          <w:rFonts w:asciiTheme="minorBidi" w:hAnsiTheme="minorBidi"/>
        </w:rPr>
        <w:t xml:space="preserve"> that it viewed as material at the time of disclosure, but subsequently forms a view that they are no longer material, the FSRA expects the </w:t>
      </w:r>
      <w:r w:rsidR="00501D21" w:rsidRPr="006B0843">
        <w:rPr>
          <w:rFonts w:asciiTheme="minorBidi" w:hAnsiTheme="minorBidi"/>
        </w:rPr>
        <w:t xml:space="preserve">Mining </w:t>
      </w:r>
      <w:r w:rsidRPr="006B0843">
        <w:rPr>
          <w:rFonts w:asciiTheme="minorBidi" w:hAnsiTheme="minorBidi"/>
        </w:rPr>
        <w:t xml:space="preserve">Reporting Entity to make a further disclosure providing the clear rationale for the change view on materiality.  Such reasoning </w:t>
      </w:r>
      <w:r w:rsidR="00911578" w:rsidRPr="006B0843">
        <w:rPr>
          <w:rFonts w:asciiTheme="minorBidi" w:hAnsiTheme="minorBidi"/>
        </w:rPr>
        <w:t>should</w:t>
      </w:r>
      <w:r w:rsidRPr="006B0843">
        <w:rPr>
          <w:rFonts w:asciiTheme="minorBidi" w:hAnsiTheme="minorBidi"/>
        </w:rPr>
        <w:t xml:space="preserve"> generally follow the considerations outlined in paragraph 2</w:t>
      </w:r>
      <w:r w:rsidR="00501D21" w:rsidRPr="006B0843">
        <w:rPr>
          <w:rFonts w:asciiTheme="minorBidi" w:hAnsiTheme="minorBidi"/>
        </w:rPr>
        <w:t>4</w:t>
      </w:r>
      <w:r w:rsidRPr="006B0843">
        <w:rPr>
          <w:rFonts w:asciiTheme="minorBidi" w:hAnsiTheme="minorBidi"/>
        </w:rPr>
        <w:t xml:space="preserve"> above. </w:t>
      </w:r>
    </w:p>
    <w:p w14:paraId="3E525EBC" w14:textId="77777777" w:rsidR="00D23EB6" w:rsidRPr="006B0843" w:rsidRDefault="00D23EB6" w:rsidP="00D23EB6">
      <w:pPr>
        <w:pStyle w:val="ListParagraph"/>
        <w:rPr>
          <w:rFonts w:asciiTheme="minorBidi" w:hAnsiTheme="minorBidi"/>
        </w:rPr>
      </w:pPr>
    </w:p>
    <w:p w14:paraId="30DB4843" w14:textId="7E430337" w:rsidR="0065118C" w:rsidRPr="006B0843" w:rsidRDefault="0065118C" w:rsidP="0065118C">
      <w:pPr>
        <w:pStyle w:val="Heading2"/>
        <w:tabs>
          <w:tab w:val="clear" w:pos="720"/>
          <w:tab w:val="num" w:pos="0"/>
        </w:tabs>
        <w:ind w:left="0" w:firstLine="0"/>
        <w:rPr>
          <w:rFonts w:asciiTheme="minorBidi" w:hAnsiTheme="minorBidi" w:cstheme="minorBidi"/>
          <w:sz w:val="22"/>
          <w:szCs w:val="22"/>
        </w:rPr>
      </w:pPr>
      <w:bookmarkStart w:id="17" w:name="_Toc43963848"/>
      <w:r w:rsidRPr="006B0843">
        <w:rPr>
          <w:rFonts w:asciiTheme="minorBidi" w:hAnsiTheme="minorBidi" w:cstheme="minorBidi"/>
          <w:sz w:val="22"/>
          <w:szCs w:val="22"/>
        </w:rPr>
        <w:t xml:space="preserve">What </w:t>
      </w:r>
      <w:proofErr w:type="gramStart"/>
      <w:r w:rsidRPr="006B0843">
        <w:rPr>
          <w:rFonts w:asciiTheme="minorBidi" w:hAnsiTheme="minorBidi" w:cstheme="minorBidi"/>
          <w:sz w:val="22"/>
          <w:szCs w:val="22"/>
        </w:rPr>
        <w:t>is</w:t>
      </w:r>
      <w:proofErr w:type="gramEnd"/>
      <w:r w:rsidRPr="006B0843">
        <w:rPr>
          <w:rFonts w:asciiTheme="minorBidi" w:hAnsiTheme="minorBidi" w:cstheme="minorBidi"/>
          <w:sz w:val="22"/>
          <w:szCs w:val="22"/>
        </w:rPr>
        <w:t xml:space="preserve"> a material change in estimates?</w:t>
      </w:r>
      <w:bookmarkEnd w:id="17"/>
      <w:r w:rsidRPr="006B0843">
        <w:rPr>
          <w:rFonts w:asciiTheme="minorBidi" w:hAnsiTheme="minorBidi" w:cstheme="minorBidi"/>
          <w:sz w:val="22"/>
          <w:szCs w:val="22"/>
        </w:rPr>
        <w:t xml:space="preserve"> </w:t>
      </w:r>
    </w:p>
    <w:p w14:paraId="79092DC8" w14:textId="52B2B417" w:rsidR="0096579C" w:rsidRPr="006B0843" w:rsidRDefault="0065118C" w:rsidP="00985BD3">
      <w:pPr>
        <w:pStyle w:val="ListParagraph"/>
        <w:numPr>
          <w:ilvl w:val="0"/>
          <w:numId w:val="1"/>
        </w:numPr>
        <w:ind w:left="567" w:hanging="594"/>
        <w:jc w:val="both"/>
        <w:rPr>
          <w:rFonts w:asciiTheme="minorBidi" w:hAnsiTheme="minorBidi"/>
        </w:rPr>
      </w:pPr>
      <w:r w:rsidRPr="006B0843">
        <w:rPr>
          <w:rFonts w:asciiTheme="minorBidi" w:hAnsiTheme="minorBidi"/>
        </w:rPr>
        <w:t xml:space="preserve">As the focus of the Rules is on ‘materiality’, the FSRA does not expect to see a </w:t>
      </w:r>
      <w:r w:rsidR="00DD7196" w:rsidRPr="006B0843">
        <w:rPr>
          <w:rFonts w:asciiTheme="minorBidi" w:hAnsiTheme="minorBidi"/>
        </w:rPr>
        <w:t xml:space="preserve">Mining </w:t>
      </w:r>
      <w:r w:rsidRPr="006B0843">
        <w:rPr>
          <w:rFonts w:asciiTheme="minorBidi" w:hAnsiTheme="minorBidi"/>
        </w:rPr>
        <w:t xml:space="preserve">Reporting Entity disclose a change in estimates that are not material. </w:t>
      </w:r>
      <w:r w:rsidR="001E6358">
        <w:rPr>
          <w:rFonts w:asciiTheme="minorBidi" w:hAnsiTheme="minorBidi"/>
        </w:rPr>
        <w:t xml:space="preserve"> </w:t>
      </w:r>
      <w:r w:rsidRPr="006B0843">
        <w:rPr>
          <w:rFonts w:asciiTheme="minorBidi" w:hAnsiTheme="minorBidi"/>
        </w:rPr>
        <w:t xml:space="preserve">The exception to this is when a </w:t>
      </w:r>
      <w:r w:rsidR="00DD7196" w:rsidRPr="006B0843">
        <w:rPr>
          <w:rFonts w:asciiTheme="minorBidi" w:hAnsiTheme="minorBidi"/>
        </w:rPr>
        <w:t xml:space="preserve">Mining </w:t>
      </w:r>
      <w:r w:rsidRPr="006B0843">
        <w:rPr>
          <w:rFonts w:asciiTheme="minorBidi" w:hAnsiTheme="minorBidi"/>
        </w:rPr>
        <w:t xml:space="preserve">Reporting Entity discloses its Summary of Reserves and Resources. </w:t>
      </w:r>
      <w:r w:rsidR="001E6358">
        <w:rPr>
          <w:rFonts w:asciiTheme="minorBidi" w:hAnsiTheme="minorBidi"/>
        </w:rPr>
        <w:t xml:space="preserve"> </w:t>
      </w:r>
      <w:r w:rsidRPr="006B0843">
        <w:rPr>
          <w:rFonts w:asciiTheme="minorBidi" w:hAnsiTheme="minorBidi"/>
        </w:rPr>
        <w:t xml:space="preserve">The emphasis, therefore, is on the ‘materiality’ to a </w:t>
      </w:r>
      <w:r w:rsidR="00DD7196" w:rsidRPr="006B0843">
        <w:rPr>
          <w:rFonts w:asciiTheme="minorBidi" w:hAnsiTheme="minorBidi"/>
        </w:rPr>
        <w:t>Mining</w:t>
      </w:r>
      <w:r w:rsidRPr="006B0843">
        <w:rPr>
          <w:rFonts w:asciiTheme="minorBidi" w:hAnsiTheme="minorBidi"/>
        </w:rPr>
        <w:t xml:space="preserve"> Reporting Entity, rather than whether a </w:t>
      </w:r>
      <w:r w:rsidR="00DD7196" w:rsidRPr="006B0843">
        <w:rPr>
          <w:rFonts w:asciiTheme="minorBidi" w:hAnsiTheme="minorBidi"/>
        </w:rPr>
        <w:t>Mining</w:t>
      </w:r>
      <w:r w:rsidRPr="006B0843">
        <w:rPr>
          <w:rFonts w:asciiTheme="minorBidi" w:hAnsiTheme="minorBidi"/>
        </w:rPr>
        <w:t xml:space="preserve"> Project is significant or not.  </w:t>
      </w:r>
      <w:r w:rsidR="00A63745" w:rsidRPr="006B0843">
        <w:rPr>
          <w:rFonts w:asciiTheme="minorBidi" w:hAnsiTheme="minorBidi"/>
        </w:rPr>
        <w:t xml:space="preserve"> </w:t>
      </w:r>
    </w:p>
    <w:p w14:paraId="7E603EFD" w14:textId="0FA1466D" w:rsidR="00120E8C" w:rsidRPr="006B0843" w:rsidRDefault="00120E8C" w:rsidP="00120E8C">
      <w:pPr>
        <w:pStyle w:val="ListParagraph"/>
        <w:ind w:left="426"/>
        <w:jc w:val="both"/>
        <w:rPr>
          <w:rFonts w:asciiTheme="minorBidi" w:hAnsiTheme="minorBidi"/>
        </w:rPr>
      </w:pPr>
    </w:p>
    <w:p w14:paraId="02FD4A6E" w14:textId="79B19864" w:rsidR="00C21046" w:rsidRPr="006B0843" w:rsidRDefault="00C21046" w:rsidP="00985BD3">
      <w:pPr>
        <w:pStyle w:val="ListParagraph"/>
        <w:numPr>
          <w:ilvl w:val="0"/>
          <w:numId w:val="1"/>
        </w:numPr>
        <w:ind w:left="567" w:hanging="567"/>
        <w:jc w:val="both"/>
        <w:rPr>
          <w:rFonts w:asciiTheme="minorBidi" w:hAnsiTheme="minorBidi"/>
        </w:rPr>
      </w:pPr>
      <w:r w:rsidRPr="006B0843">
        <w:rPr>
          <w:rFonts w:asciiTheme="minorBidi" w:hAnsiTheme="minorBidi"/>
        </w:rPr>
        <w:lastRenderedPageBreak/>
        <w:t>For example, clauses 4 of the SAMREC Code and JORC Code</w:t>
      </w:r>
      <w:r w:rsidR="00300726">
        <w:rPr>
          <w:rStyle w:val="FootnoteReference"/>
          <w:rFonts w:asciiTheme="minorBidi" w:hAnsiTheme="minorBidi"/>
        </w:rPr>
        <w:footnoteReference w:id="4"/>
      </w:r>
      <w:r w:rsidRPr="006B0843">
        <w:rPr>
          <w:rFonts w:asciiTheme="minorBidi" w:hAnsiTheme="minorBidi"/>
        </w:rPr>
        <w:t xml:space="preserve"> set out their principle of ‘materiality’, requiring that a disclosure ‘</w:t>
      </w:r>
      <w:r w:rsidRPr="006B0843">
        <w:rPr>
          <w:rFonts w:asciiTheme="minorBidi" w:hAnsiTheme="minorBidi"/>
          <w:i/>
          <w:iCs/>
        </w:rPr>
        <w:t>contains all the relevant information that investors and their professional advisers would reasonably require, and expect to find, for the purpose of making a reasoned and balanced judgement regarding the Exploration Results, Mineral Resources and [Ore] Reserves being reported’.</w:t>
      </w:r>
    </w:p>
    <w:p w14:paraId="35C0945B" w14:textId="77777777" w:rsidR="00C21046" w:rsidRPr="006B0843" w:rsidRDefault="00C21046" w:rsidP="00985BD3">
      <w:pPr>
        <w:pStyle w:val="ListParagraph"/>
        <w:ind w:left="567" w:hanging="567"/>
        <w:rPr>
          <w:rFonts w:asciiTheme="minorBidi" w:hAnsiTheme="minorBidi"/>
        </w:rPr>
      </w:pPr>
    </w:p>
    <w:p w14:paraId="5A29C1FD" w14:textId="2CB3A734" w:rsidR="00120E8C" w:rsidRPr="006B0843" w:rsidRDefault="00120E8C" w:rsidP="00985BD3">
      <w:pPr>
        <w:pStyle w:val="ListParagraph"/>
        <w:numPr>
          <w:ilvl w:val="0"/>
          <w:numId w:val="1"/>
        </w:numPr>
        <w:ind w:left="567" w:hanging="567"/>
        <w:jc w:val="both"/>
        <w:rPr>
          <w:rFonts w:asciiTheme="minorBidi" w:hAnsiTheme="minorBidi"/>
        </w:rPr>
      </w:pPr>
      <w:r w:rsidRPr="006B0843">
        <w:rPr>
          <w:rFonts w:asciiTheme="minorBidi" w:hAnsiTheme="minorBidi"/>
        </w:rPr>
        <w:t>Rules 1</w:t>
      </w:r>
      <w:r w:rsidR="00E22D8A" w:rsidRPr="006B0843">
        <w:rPr>
          <w:rFonts w:asciiTheme="minorBidi" w:hAnsiTheme="minorBidi"/>
        </w:rPr>
        <w:t>1</w:t>
      </w:r>
      <w:r w:rsidRPr="006B0843">
        <w:rPr>
          <w:rFonts w:asciiTheme="minorBidi" w:hAnsiTheme="minorBidi"/>
        </w:rPr>
        <w:t>.</w:t>
      </w:r>
      <w:r w:rsidR="00E22D8A" w:rsidRPr="006B0843">
        <w:rPr>
          <w:rFonts w:asciiTheme="minorBidi" w:hAnsiTheme="minorBidi"/>
        </w:rPr>
        <w:t>4.1</w:t>
      </w:r>
      <w:r w:rsidRPr="006B0843">
        <w:rPr>
          <w:rFonts w:asciiTheme="minorBidi" w:hAnsiTheme="minorBidi"/>
        </w:rPr>
        <w:t>, 1</w:t>
      </w:r>
      <w:r w:rsidR="00E22D8A" w:rsidRPr="006B0843">
        <w:rPr>
          <w:rFonts w:asciiTheme="minorBidi" w:hAnsiTheme="minorBidi"/>
        </w:rPr>
        <w:t>1</w:t>
      </w:r>
      <w:r w:rsidRPr="006B0843">
        <w:rPr>
          <w:rFonts w:asciiTheme="minorBidi" w:hAnsiTheme="minorBidi"/>
        </w:rPr>
        <w:t>.</w:t>
      </w:r>
      <w:r w:rsidR="00E22D8A" w:rsidRPr="006B0843">
        <w:rPr>
          <w:rFonts w:asciiTheme="minorBidi" w:hAnsiTheme="minorBidi"/>
        </w:rPr>
        <w:t xml:space="preserve">5.1 </w:t>
      </w:r>
      <w:r w:rsidRPr="006B0843">
        <w:rPr>
          <w:rFonts w:asciiTheme="minorBidi" w:hAnsiTheme="minorBidi"/>
        </w:rPr>
        <w:t>and 1</w:t>
      </w:r>
      <w:r w:rsidR="00E22D8A" w:rsidRPr="006B0843">
        <w:rPr>
          <w:rFonts w:asciiTheme="minorBidi" w:hAnsiTheme="minorBidi"/>
        </w:rPr>
        <w:t>1.6.1</w:t>
      </w:r>
      <w:r w:rsidRPr="006B0843">
        <w:rPr>
          <w:rFonts w:asciiTheme="minorBidi" w:hAnsiTheme="minorBidi"/>
        </w:rPr>
        <w:t xml:space="preserve"> require certain information to be included in disclosure made by a </w:t>
      </w:r>
      <w:r w:rsidR="00E22D8A" w:rsidRPr="006B0843">
        <w:rPr>
          <w:rFonts w:asciiTheme="minorBidi" w:hAnsiTheme="minorBidi"/>
        </w:rPr>
        <w:t xml:space="preserve">Mining </w:t>
      </w:r>
      <w:r w:rsidRPr="006B0843">
        <w:rPr>
          <w:rFonts w:asciiTheme="minorBidi" w:hAnsiTheme="minorBidi"/>
        </w:rPr>
        <w:t xml:space="preserve">Reporting Entity, where there has been a material change (up or down) in </w:t>
      </w:r>
      <w:r w:rsidR="00E22D8A" w:rsidRPr="006B0843">
        <w:rPr>
          <w:rFonts w:asciiTheme="minorBidi" w:hAnsiTheme="minorBidi"/>
        </w:rPr>
        <w:t xml:space="preserve">Exploration Results, </w:t>
      </w:r>
      <w:r w:rsidRPr="006B0843">
        <w:rPr>
          <w:rFonts w:asciiTheme="minorBidi" w:hAnsiTheme="minorBidi"/>
        </w:rPr>
        <w:t xml:space="preserve">estimates of </w:t>
      </w:r>
      <w:r w:rsidR="00E22D8A" w:rsidRPr="006B0843">
        <w:rPr>
          <w:rFonts w:asciiTheme="minorBidi" w:hAnsiTheme="minorBidi"/>
        </w:rPr>
        <w:t xml:space="preserve">Mineral Resources or estimates of Ore Reserves </w:t>
      </w:r>
      <w:r w:rsidR="00911578" w:rsidRPr="006B0843">
        <w:rPr>
          <w:rFonts w:asciiTheme="minorBidi" w:hAnsiTheme="minorBidi"/>
        </w:rPr>
        <w:t xml:space="preserve">as </w:t>
      </w:r>
      <w:r w:rsidR="00E22D8A" w:rsidRPr="006B0843">
        <w:rPr>
          <w:rFonts w:asciiTheme="minorBidi" w:hAnsiTheme="minorBidi"/>
        </w:rPr>
        <w:t>c</w:t>
      </w:r>
      <w:r w:rsidRPr="006B0843">
        <w:rPr>
          <w:rFonts w:asciiTheme="minorBidi" w:hAnsiTheme="minorBidi"/>
        </w:rPr>
        <w:t>ompared to when they were previously disclosed.</w:t>
      </w:r>
      <w:r w:rsidR="00E22D8A" w:rsidRPr="006B0843">
        <w:rPr>
          <w:rFonts w:asciiTheme="minorBidi" w:hAnsiTheme="minorBidi"/>
        </w:rPr>
        <w:t xml:space="preserve"> </w:t>
      </w:r>
      <w:r w:rsidR="001E6358">
        <w:rPr>
          <w:rFonts w:asciiTheme="minorBidi" w:hAnsiTheme="minorBidi"/>
        </w:rPr>
        <w:t xml:space="preserve"> </w:t>
      </w:r>
      <w:r w:rsidR="00E22D8A" w:rsidRPr="006B0843">
        <w:rPr>
          <w:rFonts w:asciiTheme="minorBidi" w:hAnsiTheme="minorBidi"/>
        </w:rPr>
        <w:t xml:space="preserve">A material change could be in the form of material improvement or regression in terms of the grade, </w:t>
      </w:r>
      <w:proofErr w:type="gramStart"/>
      <w:r w:rsidR="00E22D8A" w:rsidRPr="006B0843">
        <w:rPr>
          <w:rFonts w:asciiTheme="minorBidi" w:hAnsiTheme="minorBidi"/>
        </w:rPr>
        <w:t>quality</w:t>
      </w:r>
      <w:proofErr w:type="gramEnd"/>
      <w:r w:rsidR="00E22D8A" w:rsidRPr="006B0843">
        <w:rPr>
          <w:rFonts w:asciiTheme="minorBidi" w:hAnsiTheme="minorBidi"/>
        </w:rPr>
        <w:t xml:space="preserve"> or estimated tonnage.</w:t>
      </w:r>
    </w:p>
    <w:p w14:paraId="6B73C81F" w14:textId="77777777" w:rsidR="00120E8C" w:rsidRPr="006B0843" w:rsidRDefault="00120E8C" w:rsidP="00985BD3">
      <w:pPr>
        <w:pStyle w:val="ListParagraph"/>
        <w:ind w:left="567" w:hanging="567"/>
        <w:rPr>
          <w:rFonts w:asciiTheme="minorBidi" w:hAnsiTheme="minorBidi"/>
        </w:rPr>
      </w:pPr>
    </w:p>
    <w:p w14:paraId="7B7F861A" w14:textId="5F2BEB6D" w:rsidR="0065118C" w:rsidRPr="006B0843" w:rsidRDefault="00CE5FA0" w:rsidP="00985BD3">
      <w:pPr>
        <w:pStyle w:val="ListParagraph"/>
        <w:numPr>
          <w:ilvl w:val="0"/>
          <w:numId w:val="1"/>
        </w:numPr>
        <w:ind w:left="567" w:hanging="567"/>
        <w:jc w:val="both"/>
        <w:rPr>
          <w:rFonts w:asciiTheme="minorBidi" w:hAnsiTheme="minorBidi"/>
        </w:rPr>
      </w:pPr>
      <w:r w:rsidRPr="006B0843">
        <w:rPr>
          <w:rFonts w:asciiTheme="minorBidi" w:hAnsiTheme="minorBidi"/>
        </w:rPr>
        <w:t xml:space="preserve">Whether there has been a material change in estimates of </w:t>
      </w:r>
      <w:r w:rsidR="00DD7196" w:rsidRPr="006B0843">
        <w:rPr>
          <w:rFonts w:asciiTheme="minorBidi" w:hAnsiTheme="minorBidi"/>
        </w:rPr>
        <w:t xml:space="preserve">Mineral </w:t>
      </w:r>
      <w:r w:rsidRPr="006B0843">
        <w:rPr>
          <w:rFonts w:asciiTheme="minorBidi" w:hAnsiTheme="minorBidi"/>
        </w:rPr>
        <w:t>Resources</w:t>
      </w:r>
      <w:r w:rsidR="00DD7196" w:rsidRPr="006B0843">
        <w:rPr>
          <w:rFonts w:asciiTheme="minorBidi" w:hAnsiTheme="minorBidi"/>
        </w:rPr>
        <w:t xml:space="preserve"> or Ore Reserves</w:t>
      </w:r>
      <w:r w:rsidRPr="006B0843">
        <w:rPr>
          <w:rFonts w:asciiTheme="minorBidi" w:hAnsiTheme="minorBidi"/>
        </w:rPr>
        <w:t xml:space="preserve"> must be tested by reference to the last disclos</w:t>
      </w:r>
      <w:r w:rsidR="00E22D8A" w:rsidRPr="006B0843">
        <w:rPr>
          <w:rFonts w:asciiTheme="minorBidi" w:hAnsiTheme="minorBidi"/>
        </w:rPr>
        <w:t>ure of those estimates</w:t>
      </w:r>
      <w:r w:rsidRPr="006B0843">
        <w:rPr>
          <w:rFonts w:asciiTheme="minorBidi" w:hAnsiTheme="minorBidi"/>
        </w:rPr>
        <w:t>.</w:t>
      </w:r>
      <w:r w:rsidR="007F481F" w:rsidRPr="006B0843">
        <w:rPr>
          <w:rFonts w:asciiTheme="minorBidi" w:hAnsiTheme="minorBidi"/>
        </w:rPr>
        <w:t xml:space="preserve">  The last disclosed estimates may have been either the initial estimates disclosed by a </w:t>
      </w:r>
      <w:r w:rsidR="00E22D8A" w:rsidRPr="006B0843">
        <w:rPr>
          <w:rFonts w:asciiTheme="minorBidi" w:hAnsiTheme="minorBidi"/>
        </w:rPr>
        <w:t xml:space="preserve">Mining </w:t>
      </w:r>
      <w:r w:rsidR="007F481F" w:rsidRPr="006B0843">
        <w:rPr>
          <w:rFonts w:asciiTheme="minorBidi" w:hAnsiTheme="minorBidi"/>
        </w:rPr>
        <w:t>Reporting Entity or a subsequent disclosure of materially changed estimates.</w:t>
      </w:r>
    </w:p>
    <w:p w14:paraId="2F1C87E7" w14:textId="56C7DCFB" w:rsidR="007F481F" w:rsidRPr="006B0843" w:rsidRDefault="007F481F" w:rsidP="00985BD3">
      <w:pPr>
        <w:pStyle w:val="ListParagraph"/>
        <w:ind w:left="567" w:hanging="567"/>
        <w:jc w:val="both"/>
        <w:rPr>
          <w:rFonts w:asciiTheme="minorBidi" w:hAnsiTheme="minorBidi"/>
        </w:rPr>
      </w:pPr>
    </w:p>
    <w:p w14:paraId="4138F6F9" w14:textId="2A44CF82" w:rsidR="007F481F" w:rsidRPr="006B0843" w:rsidRDefault="007F481F" w:rsidP="00985BD3">
      <w:pPr>
        <w:pStyle w:val="ListParagraph"/>
        <w:numPr>
          <w:ilvl w:val="0"/>
          <w:numId w:val="1"/>
        </w:numPr>
        <w:ind w:left="567" w:hanging="567"/>
        <w:jc w:val="both"/>
        <w:rPr>
          <w:rFonts w:asciiTheme="minorBidi" w:hAnsiTheme="minorBidi"/>
        </w:rPr>
      </w:pPr>
      <w:r w:rsidRPr="006B0843">
        <w:rPr>
          <w:rFonts w:asciiTheme="minorBidi" w:hAnsiTheme="minorBidi"/>
        </w:rPr>
        <w:t xml:space="preserve">A </w:t>
      </w:r>
      <w:r w:rsidR="00DD7196" w:rsidRPr="006B0843">
        <w:rPr>
          <w:rFonts w:asciiTheme="minorBidi" w:hAnsiTheme="minorBidi"/>
        </w:rPr>
        <w:t>Mining</w:t>
      </w:r>
      <w:r w:rsidRPr="006B0843">
        <w:rPr>
          <w:rFonts w:asciiTheme="minorBidi" w:hAnsiTheme="minorBidi"/>
        </w:rPr>
        <w:t xml:space="preserve"> Reporting Entity must determine whether a change in estimates of its </w:t>
      </w:r>
      <w:r w:rsidR="00DD7196" w:rsidRPr="006B0843">
        <w:rPr>
          <w:rFonts w:asciiTheme="minorBidi" w:hAnsiTheme="minorBidi"/>
        </w:rPr>
        <w:t>Mineral</w:t>
      </w:r>
      <w:r w:rsidRPr="006B0843">
        <w:rPr>
          <w:rFonts w:asciiTheme="minorBidi" w:hAnsiTheme="minorBidi"/>
        </w:rPr>
        <w:t xml:space="preserve"> Resources</w:t>
      </w:r>
      <w:r w:rsidR="00DD7196" w:rsidRPr="006B0843">
        <w:rPr>
          <w:rFonts w:asciiTheme="minorBidi" w:hAnsiTheme="minorBidi"/>
        </w:rPr>
        <w:t xml:space="preserve"> or Ore</w:t>
      </w:r>
      <w:r w:rsidRPr="006B0843">
        <w:rPr>
          <w:rFonts w:asciiTheme="minorBidi" w:hAnsiTheme="minorBidi"/>
        </w:rPr>
        <w:t xml:space="preserve"> </w:t>
      </w:r>
      <w:r w:rsidR="00DD7196" w:rsidRPr="006B0843">
        <w:rPr>
          <w:rFonts w:asciiTheme="minorBidi" w:hAnsiTheme="minorBidi"/>
        </w:rPr>
        <w:t>R</w:t>
      </w:r>
      <w:r w:rsidRPr="006B0843">
        <w:rPr>
          <w:rFonts w:asciiTheme="minorBidi" w:hAnsiTheme="minorBidi"/>
        </w:rPr>
        <w:t xml:space="preserve">eserves is material or not, </w:t>
      </w:r>
      <w:proofErr w:type="gramStart"/>
      <w:r w:rsidRPr="006B0843">
        <w:rPr>
          <w:rFonts w:asciiTheme="minorBidi" w:hAnsiTheme="minorBidi"/>
        </w:rPr>
        <w:t>taking into account</w:t>
      </w:r>
      <w:proofErr w:type="gramEnd"/>
      <w:r w:rsidRPr="006B0843">
        <w:rPr>
          <w:rFonts w:asciiTheme="minorBidi" w:hAnsiTheme="minorBidi"/>
        </w:rPr>
        <w:t xml:space="preserve"> all relevant factors, </w:t>
      </w:r>
      <w:r w:rsidR="00DD7196" w:rsidRPr="006B0843">
        <w:rPr>
          <w:rFonts w:asciiTheme="minorBidi" w:hAnsiTheme="minorBidi"/>
        </w:rPr>
        <w:t>including the style of Mineralisation and</w:t>
      </w:r>
      <w:r w:rsidRPr="006B0843">
        <w:rPr>
          <w:rFonts w:asciiTheme="minorBidi" w:hAnsiTheme="minorBidi"/>
        </w:rPr>
        <w:t xml:space="preserve"> whether the change in estimates is likely to have a significant effect on the price of its Financial Instruments</w:t>
      </w:r>
      <w:r w:rsidR="006C2467" w:rsidRPr="006B0843">
        <w:rPr>
          <w:rFonts w:asciiTheme="minorBidi" w:hAnsiTheme="minorBidi"/>
        </w:rPr>
        <w:t>.</w:t>
      </w:r>
      <w:r w:rsidRPr="006B0843">
        <w:rPr>
          <w:rStyle w:val="FootnoteReference"/>
          <w:rFonts w:asciiTheme="minorBidi" w:hAnsiTheme="minorBidi"/>
        </w:rPr>
        <w:footnoteReference w:id="5"/>
      </w:r>
      <w:r w:rsidRPr="006B0843">
        <w:rPr>
          <w:rFonts w:asciiTheme="minorBidi" w:hAnsiTheme="minorBidi"/>
        </w:rPr>
        <w:t xml:space="preserve"> </w:t>
      </w:r>
    </w:p>
    <w:p w14:paraId="0955D2FB" w14:textId="2AE569DE" w:rsidR="007F481F" w:rsidRPr="006B0843" w:rsidRDefault="007F481F" w:rsidP="007F481F">
      <w:pPr>
        <w:pStyle w:val="ListParagraph"/>
        <w:rPr>
          <w:rFonts w:asciiTheme="minorBidi" w:hAnsiTheme="minorBidi"/>
        </w:rPr>
      </w:pPr>
    </w:p>
    <w:p w14:paraId="3833543D" w14:textId="77777777" w:rsidR="00464A78" w:rsidRPr="006B0843" w:rsidRDefault="006C2782" w:rsidP="006C2782">
      <w:pPr>
        <w:pStyle w:val="Heading1"/>
        <w:keepLines w:val="0"/>
        <w:spacing w:before="0" w:after="240" w:line="246" w:lineRule="atLeast"/>
        <w:jc w:val="both"/>
        <w:rPr>
          <w:rFonts w:asciiTheme="minorBidi" w:hAnsiTheme="minorBidi" w:cstheme="minorBidi"/>
          <w:sz w:val="22"/>
          <w:szCs w:val="22"/>
        </w:rPr>
      </w:pPr>
      <w:bookmarkStart w:id="18" w:name="_Toc43963849"/>
      <w:bookmarkStart w:id="19" w:name="_Toc511714338"/>
      <w:bookmarkStart w:id="20" w:name="_Toc512695601"/>
      <w:bookmarkStart w:id="21" w:name="_Toc514588770"/>
      <w:bookmarkStart w:id="22" w:name="_Toc517602840"/>
      <w:r w:rsidRPr="006B0843">
        <w:rPr>
          <w:rFonts w:asciiTheme="minorBidi" w:hAnsiTheme="minorBidi" w:cstheme="minorBidi"/>
          <w:sz w:val="22"/>
          <w:szCs w:val="22"/>
        </w:rPr>
        <w:t>PROSPECTUS DISCLOSURE</w:t>
      </w:r>
      <w:bookmarkEnd w:id="18"/>
    </w:p>
    <w:bookmarkEnd w:id="19"/>
    <w:bookmarkEnd w:id="20"/>
    <w:bookmarkEnd w:id="21"/>
    <w:bookmarkEnd w:id="22"/>
    <w:p w14:paraId="7950A360" w14:textId="74088E7B" w:rsidR="006C2782" w:rsidRPr="006B0843" w:rsidRDefault="006C2782" w:rsidP="00985BD3">
      <w:pPr>
        <w:pStyle w:val="ListParagraph"/>
        <w:numPr>
          <w:ilvl w:val="0"/>
          <w:numId w:val="1"/>
        </w:numPr>
        <w:ind w:left="567" w:hanging="567"/>
        <w:jc w:val="both"/>
        <w:rPr>
          <w:rFonts w:asciiTheme="minorBidi" w:hAnsiTheme="minorBidi"/>
        </w:rPr>
      </w:pPr>
      <w:r w:rsidRPr="006B0843">
        <w:rPr>
          <w:rFonts w:asciiTheme="minorBidi" w:hAnsiTheme="minorBidi"/>
        </w:rPr>
        <w:t>Importantly, Rule 1</w:t>
      </w:r>
      <w:r w:rsidR="00BB370B" w:rsidRPr="006B0843">
        <w:rPr>
          <w:rFonts w:asciiTheme="minorBidi" w:hAnsiTheme="minorBidi"/>
        </w:rPr>
        <w:t>1</w:t>
      </w:r>
      <w:r w:rsidRPr="006B0843">
        <w:rPr>
          <w:rFonts w:asciiTheme="minorBidi" w:hAnsiTheme="minorBidi"/>
        </w:rPr>
        <w:t>.3.1</w:t>
      </w:r>
      <w:r w:rsidR="00464A78" w:rsidRPr="006B0843">
        <w:rPr>
          <w:rFonts w:asciiTheme="minorBidi" w:hAnsiTheme="minorBidi"/>
        </w:rPr>
        <w:t>(1)</w:t>
      </w:r>
      <w:r w:rsidRPr="006B0843">
        <w:rPr>
          <w:rFonts w:asciiTheme="minorBidi" w:hAnsiTheme="minorBidi"/>
        </w:rPr>
        <w:t xml:space="preserve"> requires that in addition to complying with Chapter 4 of the Rules, a Prospectus that includes a statement about </w:t>
      </w:r>
      <w:r w:rsidR="00BB370B" w:rsidRPr="006B0843">
        <w:rPr>
          <w:rFonts w:asciiTheme="minorBidi" w:hAnsiTheme="minorBidi"/>
        </w:rPr>
        <w:t xml:space="preserve">Exploration Targets, Exploration Results, Mineral Resources, Ore Reserves or Production Targets </w:t>
      </w:r>
      <w:r w:rsidRPr="006B0843">
        <w:rPr>
          <w:rFonts w:asciiTheme="minorBidi" w:hAnsiTheme="minorBidi"/>
        </w:rPr>
        <w:t>must comply with Rule 1</w:t>
      </w:r>
      <w:r w:rsidR="00BB370B" w:rsidRPr="006B0843">
        <w:rPr>
          <w:rFonts w:asciiTheme="minorBidi" w:hAnsiTheme="minorBidi"/>
        </w:rPr>
        <w:t>1.2.1</w:t>
      </w:r>
      <w:r w:rsidRPr="006B0843">
        <w:rPr>
          <w:rFonts w:asciiTheme="minorBidi" w:hAnsiTheme="minorBidi"/>
        </w:rPr>
        <w:t xml:space="preserve"> (in that such Prospectus must also (in terms of the disclosures made within such Prospectus) comply with </w:t>
      </w:r>
      <w:r w:rsidR="00BB370B" w:rsidRPr="006B0843">
        <w:rPr>
          <w:rFonts w:asciiTheme="minorBidi" w:hAnsiTheme="minorBidi"/>
        </w:rPr>
        <w:t xml:space="preserve">a Mining Reporting Standard </w:t>
      </w:r>
      <w:r w:rsidRPr="006B0843">
        <w:rPr>
          <w:rFonts w:asciiTheme="minorBidi" w:hAnsiTheme="minorBidi"/>
        </w:rPr>
        <w:t>and Chapter 1</w:t>
      </w:r>
      <w:r w:rsidR="00BB370B" w:rsidRPr="006B0843">
        <w:rPr>
          <w:rFonts w:asciiTheme="minorBidi" w:hAnsiTheme="minorBidi"/>
        </w:rPr>
        <w:t>1</w:t>
      </w:r>
      <w:r w:rsidRPr="006B0843">
        <w:rPr>
          <w:rFonts w:asciiTheme="minorBidi" w:hAnsiTheme="minorBidi"/>
        </w:rPr>
        <w:t xml:space="preserve"> of the Rules.</w:t>
      </w:r>
    </w:p>
    <w:p w14:paraId="67B2538C" w14:textId="1F3BAC9B" w:rsidR="00464A78" w:rsidRPr="006B0843" w:rsidRDefault="00464A78" w:rsidP="00464A78">
      <w:pPr>
        <w:ind w:left="-27"/>
        <w:jc w:val="both"/>
        <w:rPr>
          <w:rFonts w:asciiTheme="minorBidi" w:hAnsiTheme="minorBidi"/>
        </w:rPr>
      </w:pPr>
    </w:p>
    <w:p w14:paraId="4BA6599F" w14:textId="77777777" w:rsidR="00464A78" w:rsidRPr="006B0843" w:rsidRDefault="00464A78" w:rsidP="00464A78">
      <w:pPr>
        <w:pStyle w:val="Heading2"/>
        <w:tabs>
          <w:tab w:val="clear" w:pos="720"/>
          <w:tab w:val="num" w:pos="0"/>
        </w:tabs>
        <w:ind w:left="0" w:firstLine="0"/>
        <w:rPr>
          <w:rFonts w:asciiTheme="minorBidi" w:hAnsiTheme="minorBidi" w:cstheme="minorBidi"/>
          <w:sz w:val="22"/>
          <w:szCs w:val="22"/>
        </w:rPr>
      </w:pPr>
      <w:bookmarkStart w:id="23" w:name="_Toc43963850"/>
      <w:r w:rsidRPr="006B0843">
        <w:rPr>
          <w:rFonts w:asciiTheme="minorBidi" w:hAnsiTheme="minorBidi" w:cstheme="minorBidi"/>
          <w:sz w:val="22"/>
          <w:szCs w:val="22"/>
        </w:rPr>
        <w:t>Valuation Reports</w:t>
      </w:r>
      <w:bookmarkEnd w:id="23"/>
    </w:p>
    <w:p w14:paraId="6AEE5C7D" w14:textId="6C74CDD1" w:rsidR="006C2782" w:rsidRPr="006B0843" w:rsidRDefault="006C2782" w:rsidP="00985BD3">
      <w:pPr>
        <w:pStyle w:val="ListParagraph"/>
        <w:numPr>
          <w:ilvl w:val="0"/>
          <w:numId w:val="1"/>
        </w:numPr>
        <w:ind w:left="567" w:hanging="594"/>
        <w:jc w:val="both"/>
        <w:rPr>
          <w:rFonts w:asciiTheme="minorBidi" w:hAnsiTheme="minorBidi"/>
        </w:rPr>
      </w:pPr>
      <w:r w:rsidRPr="006B0843">
        <w:rPr>
          <w:rFonts w:asciiTheme="minorBidi" w:hAnsiTheme="minorBidi"/>
        </w:rPr>
        <w:t>Rule 1</w:t>
      </w:r>
      <w:r w:rsidR="00BB370B" w:rsidRPr="006B0843">
        <w:rPr>
          <w:rFonts w:asciiTheme="minorBidi" w:hAnsiTheme="minorBidi"/>
        </w:rPr>
        <w:t>1</w:t>
      </w:r>
      <w:r w:rsidRPr="006B0843">
        <w:rPr>
          <w:rFonts w:asciiTheme="minorBidi" w:hAnsiTheme="minorBidi"/>
        </w:rPr>
        <w:t xml:space="preserve">.3.2 additionally requires that a Prospectus relating to a </w:t>
      </w:r>
      <w:r w:rsidR="00BB370B" w:rsidRPr="006B0843">
        <w:rPr>
          <w:rFonts w:asciiTheme="minorBidi" w:hAnsiTheme="minorBidi"/>
        </w:rPr>
        <w:t>mining</w:t>
      </w:r>
      <w:r w:rsidRPr="006B0843">
        <w:rPr>
          <w:rFonts w:asciiTheme="minorBidi" w:hAnsiTheme="minorBidi"/>
        </w:rPr>
        <w:t xml:space="preserve"> company (and its related </w:t>
      </w:r>
      <w:r w:rsidR="00BB370B" w:rsidRPr="006B0843">
        <w:rPr>
          <w:rFonts w:asciiTheme="minorBidi" w:hAnsiTheme="minorBidi"/>
        </w:rPr>
        <w:t>reporting of Mineral Reserves and Ore Reserves</w:t>
      </w:r>
      <w:r w:rsidRPr="006B0843">
        <w:rPr>
          <w:rFonts w:asciiTheme="minorBidi" w:hAnsiTheme="minorBidi"/>
        </w:rPr>
        <w:t xml:space="preserve">) must also include a valuation report prepared by an independent expert in accordance with </w:t>
      </w:r>
      <w:r w:rsidR="00BB370B" w:rsidRPr="006B0843">
        <w:rPr>
          <w:rFonts w:asciiTheme="minorBidi" w:hAnsiTheme="minorBidi"/>
        </w:rPr>
        <w:t>a Valuation Standard</w:t>
      </w:r>
      <w:r w:rsidRPr="006B0843">
        <w:rPr>
          <w:rFonts w:asciiTheme="minorBidi" w:hAnsiTheme="minorBidi"/>
        </w:rPr>
        <w:t>.  Rule 11.3.3 set out further requirements to be disclosed within the valuation report.</w:t>
      </w:r>
    </w:p>
    <w:p w14:paraId="6D1B1C69" w14:textId="59B6756C" w:rsidR="00464A78" w:rsidRPr="006B0843" w:rsidRDefault="00464A78" w:rsidP="00464A78">
      <w:pPr>
        <w:pStyle w:val="ListParagraph"/>
        <w:rPr>
          <w:rFonts w:asciiTheme="minorBidi" w:hAnsiTheme="minorBidi"/>
        </w:rPr>
      </w:pPr>
    </w:p>
    <w:p w14:paraId="69002FE7" w14:textId="77777777" w:rsidR="00464A78" w:rsidRPr="006B0843" w:rsidRDefault="00464A78" w:rsidP="00464A78">
      <w:pPr>
        <w:pStyle w:val="Heading2"/>
        <w:tabs>
          <w:tab w:val="clear" w:pos="720"/>
          <w:tab w:val="num" w:pos="0"/>
        </w:tabs>
        <w:ind w:left="0" w:firstLine="0"/>
        <w:rPr>
          <w:rFonts w:asciiTheme="minorBidi" w:hAnsiTheme="minorBidi" w:cstheme="minorBidi"/>
          <w:sz w:val="22"/>
          <w:szCs w:val="22"/>
        </w:rPr>
      </w:pPr>
      <w:bookmarkStart w:id="24" w:name="_Toc43963851"/>
      <w:r w:rsidRPr="006B0843">
        <w:rPr>
          <w:rFonts w:asciiTheme="minorBidi" w:hAnsiTheme="minorBidi" w:cstheme="minorBidi"/>
          <w:sz w:val="22"/>
          <w:szCs w:val="22"/>
        </w:rPr>
        <w:t>Operating in a sustainable manner</w:t>
      </w:r>
      <w:bookmarkEnd w:id="24"/>
    </w:p>
    <w:p w14:paraId="5808B1A7" w14:textId="1BF96F28" w:rsidR="00464A78" w:rsidRPr="006B0843" w:rsidRDefault="00464A78" w:rsidP="00985BD3">
      <w:pPr>
        <w:pStyle w:val="ListParagraph"/>
        <w:numPr>
          <w:ilvl w:val="0"/>
          <w:numId w:val="1"/>
        </w:numPr>
        <w:ind w:left="567" w:hanging="594"/>
        <w:jc w:val="both"/>
        <w:rPr>
          <w:rFonts w:asciiTheme="minorBidi" w:hAnsiTheme="minorBidi"/>
        </w:rPr>
      </w:pPr>
      <w:r w:rsidRPr="006B0843">
        <w:rPr>
          <w:rFonts w:asciiTheme="minorBidi" w:hAnsiTheme="minorBidi"/>
        </w:rPr>
        <w:t>Rule 11.3.1(2) requires a mining company’s Prospectus to include details of its policies and practices in relation to operating in a sustainable manner.  Mining Reporting Entit</w:t>
      </w:r>
      <w:r w:rsidR="006C2467" w:rsidRPr="006B0843">
        <w:rPr>
          <w:rFonts w:asciiTheme="minorBidi" w:hAnsiTheme="minorBidi"/>
        </w:rPr>
        <w:t>ies</w:t>
      </w:r>
      <w:r w:rsidRPr="006B0843">
        <w:rPr>
          <w:rFonts w:asciiTheme="minorBidi" w:hAnsiTheme="minorBidi"/>
        </w:rPr>
        <w:t xml:space="preserve"> will be required to provide an annual update on these policies and practices, pursuant to Rule 11.11.2.</w:t>
      </w:r>
    </w:p>
    <w:p w14:paraId="33B7A24C" w14:textId="1C678C54" w:rsidR="00C360D8" w:rsidRPr="006B0843" w:rsidRDefault="00DD775A" w:rsidP="00DD775A">
      <w:pPr>
        <w:pStyle w:val="Heading1"/>
        <w:keepLines w:val="0"/>
        <w:spacing w:before="0" w:after="240" w:line="246" w:lineRule="atLeast"/>
        <w:jc w:val="both"/>
        <w:rPr>
          <w:rFonts w:asciiTheme="minorBidi" w:hAnsiTheme="minorBidi" w:cstheme="minorBidi"/>
          <w:sz w:val="22"/>
          <w:szCs w:val="22"/>
        </w:rPr>
      </w:pPr>
      <w:bookmarkStart w:id="25" w:name="_Toc43963852"/>
      <w:r w:rsidRPr="006B0843">
        <w:rPr>
          <w:rFonts w:asciiTheme="minorBidi" w:hAnsiTheme="minorBidi" w:cstheme="minorBidi"/>
          <w:sz w:val="22"/>
          <w:szCs w:val="22"/>
        </w:rPr>
        <w:lastRenderedPageBreak/>
        <w:t>EXPLORATION TARGETS</w:t>
      </w:r>
      <w:bookmarkEnd w:id="25"/>
      <w:r w:rsidR="00C360D8" w:rsidRPr="006B0843">
        <w:rPr>
          <w:rFonts w:asciiTheme="minorBidi" w:hAnsiTheme="minorBidi" w:cstheme="minorBidi"/>
          <w:sz w:val="22"/>
          <w:szCs w:val="22"/>
        </w:rPr>
        <w:t xml:space="preserve"> </w:t>
      </w:r>
    </w:p>
    <w:p w14:paraId="30FCB2FC" w14:textId="21C3BAD6" w:rsidR="00FE060F" w:rsidRPr="006B0843" w:rsidRDefault="00FE060F" w:rsidP="00985BD3">
      <w:pPr>
        <w:pStyle w:val="ListParagraph"/>
        <w:numPr>
          <w:ilvl w:val="0"/>
          <w:numId w:val="1"/>
        </w:numPr>
        <w:ind w:left="567" w:hanging="567"/>
        <w:jc w:val="both"/>
        <w:rPr>
          <w:rFonts w:asciiTheme="minorBidi" w:hAnsiTheme="minorBidi"/>
        </w:rPr>
      </w:pPr>
      <w:r w:rsidRPr="006B0843">
        <w:rPr>
          <w:rFonts w:asciiTheme="minorBidi" w:hAnsiTheme="minorBidi"/>
        </w:rPr>
        <w:t>The Mining Reporting Standards generally treat an Exploration Target</w:t>
      </w:r>
      <w:r w:rsidR="00045EC3" w:rsidRPr="006B0843">
        <w:rPr>
          <w:rStyle w:val="FootnoteReference"/>
          <w:rFonts w:asciiTheme="minorBidi" w:hAnsiTheme="minorBidi"/>
        </w:rPr>
        <w:footnoteReference w:id="6"/>
      </w:r>
      <w:r w:rsidRPr="006B0843">
        <w:rPr>
          <w:rFonts w:asciiTheme="minorBidi" w:hAnsiTheme="minorBidi"/>
        </w:rPr>
        <w:t xml:space="preserve"> as a </w:t>
      </w:r>
      <w:r w:rsidRPr="006B0843">
        <w:rPr>
          <w:rFonts w:asciiTheme="minorBidi" w:hAnsiTheme="minorBidi"/>
          <w:i/>
          <w:iCs/>
        </w:rPr>
        <w:t>‘statement or estimate of the Exploration potential of a mineral deposit in a defined geological setting where the statement or estimate quoted as a range of tonnes and a range of grade (or quality) relates to Mineralisation for which there has been insufficient Exploration to estimate a Mineral Resource”</w:t>
      </w:r>
      <w:r w:rsidR="00045EC3" w:rsidRPr="006B0843">
        <w:rPr>
          <w:rFonts w:asciiTheme="minorBidi" w:hAnsiTheme="minorBidi"/>
        </w:rPr>
        <w:t>.</w:t>
      </w:r>
      <w:r w:rsidR="00045EC3" w:rsidRPr="006B0843">
        <w:rPr>
          <w:rFonts w:asciiTheme="minorBidi" w:hAnsiTheme="minorBidi"/>
          <w:i/>
          <w:iCs/>
        </w:rPr>
        <w:t xml:space="preserve">  </w:t>
      </w:r>
      <w:r w:rsidRPr="006B0843">
        <w:rPr>
          <w:rFonts w:asciiTheme="minorBidi" w:hAnsiTheme="minorBidi"/>
        </w:rPr>
        <w:t xml:space="preserve">The Mining Reporting Standards also provide that any such information relating to an Exploration Target is to be expressed </w:t>
      </w:r>
      <w:r w:rsidR="00045EC3" w:rsidRPr="006B0843">
        <w:rPr>
          <w:rFonts w:asciiTheme="minorBidi" w:hAnsiTheme="minorBidi"/>
        </w:rPr>
        <w:t>in such a way that</w:t>
      </w:r>
      <w:r w:rsidRPr="006B0843">
        <w:rPr>
          <w:rFonts w:asciiTheme="minorBidi" w:hAnsiTheme="minorBidi"/>
        </w:rPr>
        <w:t xml:space="preserve"> it cannot be misrepresented or misconstrued as an estimate of a Mineral Resource or Ore Reserve.   </w:t>
      </w:r>
    </w:p>
    <w:p w14:paraId="6CE363BB" w14:textId="03C98BCD" w:rsidR="00045EC3" w:rsidRPr="006B0843" w:rsidRDefault="00045EC3" w:rsidP="00045EC3">
      <w:pPr>
        <w:pStyle w:val="ListParagraph"/>
        <w:ind w:left="426"/>
        <w:jc w:val="both"/>
        <w:rPr>
          <w:rFonts w:asciiTheme="minorBidi" w:hAnsiTheme="minorBidi"/>
        </w:rPr>
      </w:pPr>
    </w:p>
    <w:p w14:paraId="6311207B" w14:textId="03224F5C" w:rsidR="00045EC3" w:rsidRPr="006B0843" w:rsidRDefault="00045EC3" w:rsidP="00985BD3">
      <w:pPr>
        <w:pStyle w:val="ListParagraph"/>
        <w:numPr>
          <w:ilvl w:val="0"/>
          <w:numId w:val="1"/>
        </w:numPr>
        <w:ind w:left="567" w:hanging="567"/>
        <w:jc w:val="both"/>
        <w:rPr>
          <w:rFonts w:asciiTheme="minorBidi" w:hAnsiTheme="minorBidi"/>
        </w:rPr>
      </w:pPr>
      <w:r w:rsidRPr="006B0843">
        <w:rPr>
          <w:rFonts w:asciiTheme="minorBidi" w:hAnsiTheme="minorBidi"/>
        </w:rPr>
        <w:t>The FSRA considers that it</w:t>
      </w:r>
      <w:r w:rsidR="006C2467" w:rsidRPr="006B0843">
        <w:rPr>
          <w:rFonts w:asciiTheme="minorBidi" w:hAnsiTheme="minorBidi"/>
        </w:rPr>
        <w:t xml:space="preserve"> is</w:t>
      </w:r>
      <w:r w:rsidRPr="006B0843">
        <w:rPr>
          <w:rFonts w:asciiTheme="minorBidi" w:hAnsiTheme="minorBidi"/>
        </w:rPr>
        <w:t xml:space="preserve"> implicit within the Mining Reporting Standards, and the treatment of Exploration Targets</w:t>
      </w:r>
      <w:r w:rsidR="006C2467" w:rsidRPr="006B0843">
        <w:rPr>
          <w:rFonts w:asciiTheme="minorBidi" w:hAnsiTheme="minorBidi"/>
        </w:rPr>
        <w:t xml:space="preserve"> under the Mining Reporting Standards</w:t>
      </w:r>
      <w:r w:rsidRPr="006B0843">
        <w:rPr>
          <w:rFonts w:asciiTheme="minorBidi" w:hAnsiTheme="minorBidi"/>
        </w:rPr>
        <w:t xml:space="preserve">, that subsequent Exploration of an Exploration Target is to be directed towards the estimation of a Mineral Resource. </w:t>
      </w:r>
      <w:r w:rsidR="001E6358">
        <w:rPr>
          <w:rFonts w:asciiTheme="minorBidi" w:hAnsiTheme="minorBidi"/>
        </w:rPr>
        <w:t xml:space="preserve"> </w:t>
      </w:r>
      <w:r w:rsidRPr="006B0843">
        <w:rPr>
          <w:rFonts w:asciiTheme="minorBidi" w:hAnsiTheme="minorBidi"/>
        </w:rPr>
        <w:t xml:space="preserve">As the Mining Reporting Standards do not allow a Mining Reporting Entity to disclose a Mineral Resource </w:t>
      </w:r>
      <w:r w:rsidR="006C2467" w:rsidRPr="006B0843">
        <w:rPr>
          <w:rFonts w:asciiTheme="minorBidi" w:hAnsiTheme="minorBidi"/>
        </w:rPr>
        <w:t xml:space="preserve">that </w:t>
      </w:r>
      <w:r w:rsidRPr="006B0843">
        <w:rPr>
          <w:rFonts w:asciiTheme="minorBidi" w:hAnsiTheme="minorBidi"/>
        </w:rPr>
        <w:t xml:space="preserve">has no prospects of eventual economic Extraction, the FSRA also expects that a Mining Reporting Entity cannot disclose an Exploration Target where it is apparent that the tonnage and/or grade is so low (or so deep) or otherwise not extractable, that the Mineralisation has no prospects of being economically mined within a reasonable timeframe.  To do so would be misleading, and in breach of </w:t>
      </w:r>
      <w:r w:rsidR="00742DE0" w:rsidRPr="006B0843">
        <w:rPr>
          <w:rFonts w:asciiTheme="minorBidi" w:hAnsiTheme="minorBidi"/>
        </w:rPr>
        <w:t>MKT</w:t>
      </w:r>
      <w:r w:rsidRPr="006B0843">
        <w:rPr>
          <w:rFonts w:asciiTheme="minorBidi" w:hAnsiTheme="minorBidi"/>
        </w:rPr>
        <w:t xml:space="preserve"> and FSMR (for further information on misleading statement</w:t>
      </w:r>
      <w:r w:rsidR="006C2467" w:rsidRPr="006B0843">
        <w:rPr>
          <w:rFonts w:asciiTheme="minorBidi" w:hAnsiTheme="minorBidi"/>
        </w:rPr>
        <w:t>s</w:t>
      </w:r>
      <w:r w:rsidRPr="006B0843">
        <w:rPr>
          <w:rFonts w:asciiTheme="minorBidi" w:hAnsiTheme="minorBidi"/>
        </w:rPr>
        <w:t xml:space="preserve">, refer to paragraph </w:t>
      </w:r>
      <w:r w:rsidR="00742DE0" w:rsidRPr="006B0843">
        <w:rPr>
          <w:rFonts w:asciiTheme="minorBidi" w:hAnsiTheme="minorBidi"/>
        </w:rPr>
        <w:t>67</w:t>
      </w:r>
      <w:r w:rsidRPr="006B0843">
        <w:rPr>
          <w:rFonts w:asciiTheme="minorBidi" w:hAnsiTheme="minorBidi"/>
        </w:rPr>
        <w:t xml:space="preserve">). </w:t>
      </w:r>
    </w:p>
    <w:p w14:paraId="7C655B05" w14:textId="77777777" w:rsidR="00045EC3" w:rsidRPr="006B0843" w:rsidRDefault="00045EC3" w:rsidP="00985BD3">
      <w:pPr>
        <w:pStyle w:val="ListParagraph"/>
        <w:ind w:left="567" w:hanging="567"/>
        <w:rPr>
          <w:rFonts w:asciiTheme="minorBidi" w:hAnsiTheme="minorBidi"/>
        </w:rPr>
      </w:pPr>
    </w:p>
    <w:p w14:paraId="7C944604" w14:textId="46B58605" w:rsidR="00045EC3" w:rsidRPr="006B0843" w:rsidRDefault="00045EC3" w:rsidP="00985BD3">
      <w:pPr>
        <w:pStyle w:val="ListParagraph"/>
        <w:numPr>
          <w:ilvl w:val="0"/>
          <w:numId w:val="1"/>
        </w:numPr>
        <w:ind w:left="567" w:hanging="567"/>
        <w:jc w:val="both"/>
        <w:rPr>
          <w:rFonts w:asciiTheme="minorBidi" w:hAnsiTheme="minorBidi"/>
        </w:rPr>
      </w:pPr>
      <w:r w:rsidRPr="006B0843">
        <w:rPr>
          <w:rFonts w:asciiTheme="minorBidi" w:hAnsiTheme="minorBidi"/>
        </w:rPr>
        <w:t xml:space="preserve">There is no specific Rule, or relevant Mining Reporting Standard, requirement to include a report based on Table 1 of the JORC Code or SAMREC Code when disclosing an Exploration Target.  However, to the extent that an Exploration Target is based on </w:t>
      </w:r>
      <w:r w:rsidR="004F7410" w:rsidRPr="006B0843">
        <w:rPr>
          <w:rFonts w:asciiTheme="minorBidi" w:hAnsiTheme="minorBidi"/>
        </w:rPr>
        <w:t xml:space="preserve">material Exploration Results, Rule 11.4.1(1) </w:t>
      </w:r>
      <w:r w:rsidR="00FC48F2" w:rsidRPr="006B0843">
        <w:rPr>
          <w:rFonts w:asciiTheme="minorBidi" w:hAnsiTheme="minorBidi"/>
        </w:rPr>
        <w:t>requires a disclosure of the Exploration Results to include all information that is material to understanding the Exploration Results (including, as set out in and applicable to the Guidance to Rule 11.4.1.(1), in relation to each of the criteria in section 1 (sampling techniques and data) and section 2 (reporting of Exploration Results) of Table of 1 of the JORC Code or SAMREC Code).</w:t>
      </w:r>
    </w:p>
    <w:p w14:paraId="467F3968" w14:textId="725D3724" w:rsidR="00FE060F" w:rsidRPr="006B0843" w:rsidRDefault="00FE060F" w:rsidP="00FE060F">
      <w:pPr>
        <w:pStyle w:val="ListParagraph"/>
        <w:ind w:left="426"/>
        <w:jc w:val="both"/>
        <w:rPr>
          <w:rFonts w:asciiTheme="minorBidi" w:hAnsiTheme="minorBidi"/>
        </w:rPr>
      </w:pPr>
    </w:p>
    <w:p w14:paraId="5566B3B3" w14:textId="61BF4886" w:rsidR="00FC48F2" w:rsidRPr="006B0843" w:rsidRDefault="00FC48F2" w:rsidP="00DD775A">
      <w:pPr>
        <w:pStyle w:val="Heading1"/>
        <w:keepLines w:val="0"/>
        <w:spacing w:before="0" w:after="240" w:line="246" w:lineRule="atLeast"/>
        <w:jc w:val="both"/>
        <w:rPr>
          <w:rFonts w:asciiTheme="minorBidi" w:hAnsiTheme="minorBidi" w:cstheme="minorBidi"/>
          <w:sz w:val="22"/>
          <w:szCs w:val="22"/>
        </w:rPr>
      </w:pPr>
      <w:bookmarkStart w:id="26" w:name="_Toc43963853"/>
      <w:r w:rsidRPr="006B0843">
        <w:rPr>
          <w:rFonts w:asciiTheme="minorBidi" w:hAnsiTheme="minorBidi" w:cstheme="minorBidi"/>
          <w:sz w:val="22"/>
          <w:szCs w:val="22"/>
        </w:rPr>
        <w:t>E</w:t>
      </w:r>
      <w:r w:rsidR="00DD775A" w:rsidRPr="006B0843">
        <w:rPr>
          <w:rFonts w:asciiTheme="minorBidi" w:hAnsiTheme="minorBidi" w:cstheme="minorBidi"/>
          <w:sz w:val="22"/>
          <w:szCs w:val="22"/>
        </w:rPr>
        <w:t>XPLORATION RESULTS</w:t>
      </w:r>
      <w:bookmarkEnd w:id="26"/>
      <w:r w:rsidRPr="006B0843">
        <w:rPr>
          <w:rFonts w:asciiTheme="minorBidi" w:hAnsiTheme="minorBidi" w:cstheme="minorBidi"/>
          <w:sz w:val="22"/>
          <w:szCs w:val="22"/>
        </w:rPr>
        <w:t xml:space="preserve"> </w:t>
      </w:r>
    </w:p>
    <w:p w14:paraId="0DA48827" w14:textId="780855A5" w:rsidR="00FC48F2" w:rsidRPr="006B0843" w:rsidRDefault="00FC48F2" w:rsidP="00985BD3">
      <w:pPr>
        <w:pStyle w:val="ListParagraph"/>
        <w:numPr>
          <w:ilvl w:val="0"/>
          <w:numId w:val="1"/>
        </w:numPr>
        <w:ind w:left="567" w:hanging="567"/>
        <w:jc w:val="both"/>
        <w:rPr>
          <w:rFonts w:asciiTheme="minorBidi" w:hAnsiTheme="minorBidi"/>
        </w:rPr>
      </w:pPr>
      <w:r w:rsidRPr="006B0843">
        <w:rPr>
          <w:rFonts w:asciiTheme="minorBidi" w:hAnsiTheme="minorBidi"/>
        </w:rPr>
        <w:t xml:space="preserve">The disclosure of Exploration Results is common in the early stages of </w:t>
      </w:r>
      <w:proofErr w:type="gramStart"/>
      <w:r w:rsidRPr="006B0843">
        <w:rPr>
          <w:rFonts w:asciiTheme="minorBidi" w:hAnsiTheme="minorBidi"/>
        </w:rPr>
        <w:t>Exploration, when</w:t>
      </w:r>
      <w:proofErr w:type="gramEnd"/>
      <w:r w:rsidRPr="006B0843">
        <w:rPr>
          <w:rFonts w:asciiTheme="minorBidi" w:hAnsiTheme="minorBidi"/>
        </w:rPr>
        <w:t xml:space="preserve"> the quantity of data is generally not sufficient to allow any reasonable estimates of Mineral Resources.  Disclosures of Exploration Results are not to be presented </w:t>
      </w:r>
      <w:proofErr w:type="gramStart"/>
      <w:r w:rsidRPr="006B0843">
        <w:rPr>
          <w:rFonts w:asciiTheme="minorBidi" w:hAnsiTheme="minorBidi"/>
        </w:rPr>
        <w:t>so as to</w:t>
      </w:r>
      <w:proofErr w:type="gramEnd"/>
      <w:r w:rsidRPr="006B0843">
        <w:rPr>
          <w:rFonts w:asciiTheme="minorBidi" w:hAnsiTheme="minorBidi"/>
        </w:rPr>
        <w:t xml:space="preserve"> unreasonably imply that potentially economic Mineralisation has been discovered. </w:t>
      </w:r>
    </w:p>
    <w:p w14:paraId="5CE0238F" w14:textId="59E7A5B2" w:rsidR="00FC48F2" w:rsidRPr="006B0843" w:rsidRDefault="00FC48F2" w:rsidP="00985BD3">
      <w:pPr>
        <w:pStyle w:val="ListParagraph"/>
        <w:ind w:left="567" w:hanging="567"/>
        <w:jc w:val="both"/>
        <w:rPr>
          <w:rFonts w:asciiTheme="minorBidi" w:hAnsiTheme="minorBidi"/>
        </w:rPr>
      </w:pPr>
    </w:p>
    <w:p w14:paraId="5CF57CEA" w14:textId="77777777" w:rsidR="0074157D" w:rsidRPr="006B0843" w:rsidRDefault="00FC48F2" w:rsidP="00985BD3">
      <w:pPr>
        <w:pStyle w:val="ListParagraph"/>
        <w:numPr>
          <w:ilvl w:val="0"/>
          <w:numId w:val="1"/>
        </w:numPr>
        <w:ind w:left="567" w:hanging="567"/>
        <w:jc w:val="both"/>
        <w:rPr>
          <w:rFonts w:asciiTheme="minorBidi" w:hAnsiTheme="minorBidi"/>
        </w:rPr>
      </w:pPr>
      <w:r w:rsidRPr="006B0843">
        <w:rPr>
          <w:rFonts w:asciiTheme="minorBidi" w:hAnsiTheme="minorBidi"/>
        </w:rPr>
        <w:t xml:space="preserve">Rule 11.4 requires a Mining Reporting Entity disclosing material Exploration Results for the first time, and any relevant updated/new Exploration Results thereafter, </w:t>
      </w:r>
      <w:r w:rsidR="0074157D" w:rsidRPr="006B0843">
        <w:rPr>
          <w:rFonts w:asciiTheme="minorBidi" w:hAnsiTheme="minorBidi"/>
        </w:rPr>
        <w:t>to disclose certain information with the Exploration Results.  The disclosure of this information is intended to improve the ability of investors to assess the significance of the Exploration Results, and the likelihood of Mineral Resources being identified following further Exploration.</w:t>
      </w:r>
    </w:p>
    <w:p w14:paraId="3B6C2E71" w14:textId="77777777" w:rsidR="0074157D" w:rsidRPr="006B0843" w:rsidRDefault="0074157D" w:rsidP="00985BD3">
      <w:pPr>
        <w:pStyle w:val="ListParagraph"/>
        <w:ind w:left="567" w:hanging="567"/>
        <w:rPr>
          <w:rFonts w:asciiTheme="minorBidi" w:hAnsiTheme="minorBidi"/>
        </w:rPr>
      </w:pPr>
    </w:p>
    <w:p w14:paraId="6B4ED497" w14:textId="77777777" w:rsidR="0074157D" w:rsidRPr="006B0843" w:rsidRDefault="0074157D" w:rsidP="00985BD3">
      <w:pPr>
        <w:pStyle w:val="ListParagraph"/>
        <w:numPr>
          <w:ilvl w:val="0"/>
          <w:numId w:val="1"/>
        </w:numPr>
        <w:ind w:left="567" w:hanging="567"/>
        <w:jc w:val="both"/>
        <w:rPr>
          <w:rFonts w:asciiTheme="minorBidi" w:hAnsiTheme="minorBidi"/>
        </w:rPr>
      </w:pPr>
      <w:r w:rsidRPr="006B0843">
        <w:rPr>
          <w:rFonts w:asciiTheme="minorBidi" w:hAnsiTheme="minorBidi"/>
        </w:rPr>
        <w:t xml:space="preserve">The information required to be disclosed includes a drill hole table for all material drill </w:t>
      </w:r>
      <w:proofErr w:type="gramStart"/>
      <w:r w:rsidRPr="006B0843">
        <w:rPr>
          <w:rFonts w:asciiTheme="minorBidi" w:hAnsiTheme="minorBidi"/>
        </w:rPr>
        <w:t>holes, if</w:t>
      </w:r>
      <w:proofErr w:type="gramEnd"/>
      <w:r w:rsidRPr="006B0843">
        <w:rPr>
          <w:rFonts w:asciiTheme="minorBidi" w:hAnsiTheme="minorBidi"/>
        </w:rPr>
        <w:t xml:space="preserve"> the information is material to understanding the Exploration Results.  Rule 11.4.1(3) states that the drill hole table must include, in tabular form, the following:</w:t>
      </w:r>
    </w:p>
    <w:p w14:paraId="27AD92D3" w14:textId="77777777" w:rsidR="0074157D" w:rsidRPr="006B0843" w:rsidRDefault="0074157D" w:rsidP="0074157D">
      <w:pPr>
        <w:pStyle w:val="ListParagraph"/>
        <w:rPr>
          <w:rFonts w:asciiTheme="minorBidi" w:hAnsiTheme="minorBidi"/>
        </w:rPr>
      </w:pPr>
    </w:p>
    <w:p w14:paraId="5878FC49" w14:textId="500D3113" w:rsidR="0074157D" w:rsidRPr="006B0843" w:rsidRDefault="0074157D" w:rsidP="00985BD3">
      <w:pPr>
        <w:pStyle w:val="ListParagraph"/>
        <w:numPr>
          <w:ilvl w:val="0"/>
          <w:numId w:val="22"/>
        </w:numPr>
        <w:ind w:left="1134" w:hanging="567"/>
        <w:jc w:val="both"/>
        <w:rPr>
          <w:rFonts w:asciiTheme="minorBidi" w:hAnsiTheme="minorBidi"/>
        </w:rPr>
      </w:pPr>
      <w:r w:rsidRPr="006B0843">
        <w:rPr>
          <w:rFonts w:asciiTheme="minorBidi" w:hAnsiTheme="minorBidi"/>
        </w:rPr>
        <w:t xml:space="preserve">easting and northing of the drill hole </w:t>
      </w:r>
      <w:proofErr w:type="gramStart"/>
      <w:r w:rsidRPr="006B0843">
        <w:rPr>
          <w:rFonts w:asciiTheme="minorBidi" w:hAnsiTheme="minorBidi"/>
        </w:rPr>
        <w:t>collar;</w:t>
      </w:r>
      <w:proofErr w:type="gramEnd"/>
    </w:p>
    <w:p w14:paraId="7F8F57D3" w14:textId="77777777" w:rsidR="0074157D" w:rsidRPr="006B0843" w:rsidRDefault="0074157D" w:rsidP="00985BD3">
      <w:pPr>
        <w:pStyle w:val="ListParagraph"/>
        <w:ind w:left="1134" w:hanging="567"/>
        <w:jc w:val="both"/>
        <w:rPr>
          <w:rFonts w:asciiTheme="minorBidi" w:hAnsiTheme="minorBidi"/>
        </w:rPr>
      </w:pPr>
    </w:p>
    <w:p w14:paraId="34735EC0" w14:textId="0BE8DDBD" w:rsidR="0074157D" w:rsidRPr="006B0843" w:rsidRDefault="0074157D" w:rsidP="00985BD3">
      <w:pPr>
        <w:pStyle w:val="ListParagraph"/>
        <w:numPr>
          <w:ilvl w:val="0"/>
          <w:numId w:val="22"/>
        </w:numPr>
        <w:ind w:left="1134" w:hanging="567"/>
        <w:jc w:val="both"/>
        <w:rPr>
          <w:rFonts w:asciiTheme="minorBidi" w:hAnsiTheme="minorBidi"/>
        </w:rPr>
      </w:pPr>
      <w:r w:rsidRPr="006B0843">
        <w:rPr>
          <w:rFonts w:asciiTheme="minorBidi" w:hAnsiTheme="minorBidi"/>
        </w:rPr>
        <w:lastRenderedPageBreak/>
        <w:t xml:space="preserve">elevation or RL of the drill hold </w:t>
      </w:r>
      <w:proofErr w:type="gramStart"/>
      <w:r w:rsidRPr="006B0843">
        <w:rPr>
          <w:rFonts w:asciiTheme="minorBidi" w:hAnsiTheme="minorBidi"/>
        </w:rPr>
        <w:t>collar;</w:t>
      </w:r>
      <w:proofErr w:type="gramEnd"/>
    </w:p>
    <w:p w14:paraId="270A0D0E" w14:textId="77777777" w:rsidR="0074157D" w:rsidRPr="006B0843" w:rsidRDefault="0074157D" w:rsidP="00985BD3">
      <w:pPr>
        <w:pStyle w:val="ListParagraph"/>
        <w:ind w:left="1134" w:hanging="567"/>
        <w:jc w:val="both"/>
        <w:rPr>
          <w:rFonts w:asciiTheme="minorBidi" w:hAnsiTheme="minorBidi"/>
        </w:rPr>
      </w:pPr>
    </w:p>
    <w:p w14:paraId="4906CA9C" w14:textId="21E69C62" w:rsidR="0074157D" w:rsidRPr="006B0843" w:rsidRDefault="0074157D" w:rsidP="00985BD3">
      <w:pPr>
        <w:pStyle w:val="ListParagraph"/>
        <w:numPr>
          <w:ilvl w:val="0"/>
          <w:numId w:val="22"/>
        </w:numPr>
        <w:ind w:left="1134" w:hanging="567"/>
        <w:jc w:val="both"/>
        <w:rPr>
          <w:rFonts w:asciiTheme="minorBidi" w:hAnsiTheme="minorBidi"/>
        </w:rPr>
      </w:pPr>
      <w:r w:rsidRPr="006B0843">
        <w:rPr>
          <w:rFonts w:asciiTheme="minorBidi" w:hAnsiTheme="minorBidi"/>
        </w:rPr>
        <w:t xml:space="preserve">dip and azimuth of the </w:t>
      </w:r>
      <w:proofErr w:type="gramStart"/>
      <w:r w:rsidRPr="006B0843">
        <w:rPr>
          <w:rFonts w:asciiTheme="minorBidi" w:hAnsiTheme="minorBidi"/>
        </w:rPr>
        <w:t>hole;</w:t>
      </w:r>
      <w:proofErr w:type="gramEnd"/>
    </w:p>
    <w:p w14:paraId="66E61E78" w14:textId="77777777" w:rsidR="0074157D" w:rsidRPr="006B0843" w:rsidRDefault="0074157D" w:rsidP="00985BD3">
      <w:pPr>
        <w:pStyle w:val="ListParagraph"/>
        <w:ind w:left="1134" w:hanging="567"/>
        <w:jc w:val="both"/>
        <w:rPr>
          <w:rFonts w:asciiTheme="minorBidi" w:hAnsiTheme="minorBidi"/>
        </w:rPr>
      </w:pPr>
    </w:p>
    <w:p w14:paraId="24979ADD" w14:textId="559F9A0F" w:rsidR="0074157D" w:rsidRPr="006B0843" w:rsidRDefault="0074157D" w:rsidP="00985BD3">
      <w:pPr>
        <w:pStyle w:val="ListParagraph"/>
        <w:numPr>
          <w:ilvl w:val="0"/>
          <w:numId w:val="22"/>
        </w:numPr>
        <w:ind w:left="1134" w:hanging="567"/>
        <w:jc w:val="both"/>
        <w:rPr>
          <w:rFonts w:asciiTheme="minorBidi" w:hAnsiTheme="minorBidi"/>
        </w:rPr>
      </w:pPr>
      <w:r w:rsidRPr="006B0843">
        <w:rPr>
          <w:rFonts w:asciiTheme="minorBidi" w:hAnsiTheme="minorBidi"/>
        </w:rPr>
        <w:t>down hole width and depth; and</w:t>
      </w:r>
    </w:p>
    <w:p w14:paraId="225EAC8D" w14:textId="77777777" w:rsidR="0074157D" w:rsidRPr="006B0843" w:rsidRDefault="0074157D" w:rsidP="00985BD3">
      <w:pPr>
        <w:ind w:left="1134" w:hanging="567"/>
        <w:jc w:val="both"/>
        <w:rPr>
          <w:rFonts w:asciiTheme="minorBidi" w:hAnsiTheme="minorBidi"/>
        </w:rPr>
      </w:pPr>
    </w:p>
    <w:p w14:paraId="671CE21B" w14:textId="74775E04" w:rsidR="0074157D" w:rsidRPr="006B0843" w:rsidRDefault="0074157D" w:rsidP="00985BD3">
      <w:pPr>
        <w:pStyle w:val="ListParagraph"/>
        <w:numPr>
          <w:ilvl w:val="0"/>
          <w:numId w:val="22"/>
        </w:numPr>
        <w:ind w:left="1134" w:hanging="567"/>
        <w:jc w:val="both"/>
        <w:rPr>
          <w:rFonts w:asciiTheme="minorBidi" w:hAnsiTheme="minorBidi"/>
        </w:rPr>
      </w:pPr>
      <w:r w:rsidRPr="006B0843">
        <w:rPr>
          <w:rFonts w:asciiTheme="minorBidi" w:hAnsiTheme="minorBidi"/>
        </w:rPr>
        <w:t xml:space="preserve">end of </w:t>
      </w:r>
      <w:proofErr w:type="gramStart"/>
      <w:r w:rsidRPr="006B0843">
        <w:rPr>
          <w:rFonts w:asciiTheme="minorBidi" w:hAnsiTheme="minorBidi"/>
        </w:rPr>
        <w:t>hole;</w:t>
      </w:r>
      <w:proofErr w:type="gramEnd"/>
    </w:p>
    <w:p w14:paraId="7AE054B1" w14:textId="77777777" w:rsidR="00FC48F2" w:rsidRPr="006B0843" w:rsidRDefault="00FC48F2" w:rsidP="00FC48F2">
      <w:pPr>
        <w:pStyle w:val="ListParagraph"/>
        <w:ind w:left="426"/>
        <w:jc w:val="both"/>
        <w:rPr>
          <w:rFonts w:asciiTheme="minorBidi" w:hAnsiTheme="minorBidi"/>
        </w:rPr>
      </w:pPr>
    </w:p>
    <w:p w14:paraId="23B20150" w14:textId="45F13D35" w:rsidR="0074157D" w:rsidRPr="006B0843" w:rsidRDefault="0074157D" w:rsidP="00985BD3">
      <w:pPr>
        <w:pStyle w:val="ListParagraph"/>
        <w:numPr>
          <w:ilvl w:val="0"/>
          <w:numId w:val="1"/>
        </w:numPr>
        <w:ind w:left="567" w:hanging="567"/>
        <w:jc w:val="both"/>
        <w:rPr>
          <w:rFonts w:asciiTheme="minorBidi" w:hAnsiTheme="minorBidi"/>
        </w:rPr>
      </w:pPr>
      <w:r w:rsidRPr="006B0843">
        <w:rPr>
          <w:rFonts w:asciiTheme="minorBidi" w:hAnsiTheme="minorBidi"/>
        </w:rPr>
        <w:t>If a Mining Reporting Entity determines that the information in the drill hole table is not material to understanding its Exploration Results, it must include a clear and accurate explanation in its disclosure as to why this is the case (pursuant to Rule 11.4.1(4)).</w:t>
      </w:r>
    </w:p>
    <w:p w14:paraId="775BBA57" w14:textId="77777777" w:rsidR="0074157D" w:rsidRPr="006B0843" w:rsidRDefault="0074157D" w:rsidP="00985BD3">
      <w:pPr>
        <w:pStyle w:val="ListParagraph"/>
        <w:ind w:left="567" w:hanging="567"/>
        <w:jc w:val="both"/>
        <w:rPr>
          <w:rFonts w:asciiTheme="minorBidi" w:hAnsiTheme="minorBidi"/>
        </w:rPr>
      </w:pPr>
    </w:p>
    <w:p w14:paraId="2EB14217" w14:textId="626DBA69" w:rsidR="00310994" w:rsidRPr="006B0843" w:rsidRDefault="00310994" w:rsidP="00985BD3">
      <w:pPr>
        <w:pStyle w:val="ListParagraph"/>
        <w:numPr>
          <w:ilvl w:val="0"/>
          <w:numId w:val="1"/>
        </w:numPr>
        <w:ind w:left="567" w:hanging="567"/>
        <w:jc w:val="both"/>
        <w:rPr>
          <w:rFonts w:asciiTheme="minorBidi" w:hAnsiTheme="minorBidi"/>
        </w:rPr>
      </w:pPr>
      <w:r w:rsidRPr="006B0843">
        <w:rPr>
          <w:rFonts w:asciiTheme="minorBidi" w:hAnsiTheme="minorBidi"/>
        </w:rPr>
        <w:t xml:space="preserve">Mining Reporting Entities should also consider the requirements of Rules 11.4.1(1) and (2) in relation to the disclosure of information material to understanding Exploration Results </w:t>
      </w:r>
      <w:r w:rsidR="004D0CD8" w:rsidRPr="006B0843">
        <w:rPr>
          <w:rFonts w:asciiTheme="minorBidi" w:hAnsiTheme="minorBidi"/>
        </w:rPr>
        <w:t>(refer to paragraph 36 above).</w:t>
      </w:r>
    </w:p>
    <w:p w14:paraId="1CD9F486" w14:textId="77777777" w:rsidR="00310994" w:rsidRPr="006B0843" w:rsidRDefault="00310994" w:rsidP="00985BD3">
      <w:pPr>
        <w:pStyle w:val="ListParagraph"/>
        <w:ind w:left="567" w:hanging="567"/>
        <w:rPr>
          <w:rFonts w:asciiTheme="minorBidi" w:hAnsiTheme="minorBidi"/>
        </w:rPr>
      </w:pPr>
    </w:p>
    <w:p w14:paraId="0354BE07" w14:textId="1F8931C3" w:rsidR="0074157D" w:rsidRPr="006B0843" w:rsidRDefault="0074157D" w:rsidP="00985BD3">
      <w:pPr>
        <w:pStyle w:val="ListParagraph"/>
        <w:numPr>
          <w:ilvl w:val="0"/>
          <w:numId w:val="1"/>
        </w:numPr>
        <w:ind w:left="567" w:hanging="567"/>
        <w:jc w:val="both"/>
        <w:rPr>
          <w:rFonts w:asciiTheme="minorBidi" w:hAnsiTheme="minorBidi"/>
        </w:rPr>
      </w:pPr>
      <w:r w:rsidRPr="006B0843">
        <w:rPr>
          <w:rFonts w:asciiTheme="minorBidi" w:hAnsiTheme="minorBidi"/>
        </w:rPr>
        <w:t xml:space="preserve">For more details on Exploration Results, refer for example, </w:t>
      </w:r>
      <w:r w:rsidR="00310994" w:rsidRPr="006B0843">
        <w:rPr>
          <w:rFonts w:asciiTheme="minorBidi" w:hAnsiTheme="minorBidi"/>
        </w:rPr>
        <w:t xml:space="preserve">Clauses 20 and 22 of the SAMREC Code, and </w:t>
      </w:r>
      <w:r w:rsidRPr="006B0843">
        <w:rPr>
          <w:rFonts w:asciiTheme="minorBidi" w:hAnsiTheme="minorBidi"/>
        </w:rPr>
        <w:t xml:space="preserve">Clauses 18 and 19 of the JORC Code </w:t>
      </w:r>
      <w:r w:rsidR="00310994" w:rsidRPr="006B0843">
        <w:rPr>
          <w:rFonts w:asciiTheme="minorBidi" w:hAnsiTheme="minorBidi"/>
        </w:rPr>
        <w:t xml:space="preserve">(which talk of, among other things, the ‘perspective’/ ‘relevance’ of disclosed Exploration Results). </w:t>
      </w:r>
    </w:p>
    <w:p w14:paraId="63CA7846" w14:textId="5D5A9213" w:rsidR="0074157D" w:rsidRPr="006B0843" w:rsidRDefault="0074157D" w:rsidP="0074157D">
      <w:pPr>
        <w:pStyle w:val="ListParagraph"/>
        <w:ind w:left="426"/>
        <w:jc w:val="both"/>
        <w:rPr>
          <w:rFonts w:asciiTheme="minorBidi" w:hAnsiTheme="minorBidi"/>
        </w:rPr>
      </w:pPr>
    </w:p>
    <w:p w14:paraId="300A539A" w14:textId="43C34C7F" w:rsidR="004D0CD8" w:rsidRPr="006B0843" w:rsidRDefault="004D0CD8" w:rsidP="00DD775A">
      <w:pPr>
        <w:pStyle w:val="Heading1"/>
        <w:keepLines w:val="0"/>
        <w:spacing w:before="0" w:after="240" w:line="246" w:lineRule="atLeast"/>
        <w:jc w:val="both"/>
        <w:rPr>
          <w:rFonts w:asciiTheme="minorBidi" w:hAnsiTheme="minorBidi" w:cstheme="minorBidi"/>
          <w:sz w:val="22"/>
          <w:szCs w:val="22"/>
        </w:rPr>
      </w:pPr>
      <w:bookmarkStart w:id="27" w:name="_Toc43963854"/>
      <w:r w:rsidRPr="006B0843">
        <w:rPr>
          <w:rFonts w:asciiTheme="minorBidi" w:hAnsiTheme="minorBidi" w:cstheme="minorBidi"/>
          <w:sz w:val="22"/>
          <w:szCs w:val="22"/>
        </w:rPr>
        <w:t>M</w:t>
      </w:r>
      <w:r w:rsidR="00DD775A" w:rsidRPr="006B0843">
        <w:rPr>
          <w:rFonts w:asciiTheme="minorBidi" w:hAnsiTheme="minorBidi" w:cstheme="minorBidi"/>
          <w:sz w:val="22"/>
          <w:szCs w:val="22"/>
        </w:rPr>
        <w:t>INERAL RESOURCES</w:t>
      </w:r>
      <w:bookmarkEnd w:id="27"/>
      <w:r w:rsidRPr="006B0843">
        <w:rPr>
          <w:rFonts w:asciiTheme="minorBidi" w:hAnsiTheme="minorBidi" w:cstheme="minorBidi"/>
          <w:sz w:val="22"/>
          <w:szCs w:val="22"/>
        </w:rPr>
        <w:t xml:space="preserve"> </w:t>
      </w:r>
    </w:p>
    <w:p w14:paraId="20206039" w14:textId="39F626E1" w:rsidR="004D0CD8" w:rsidRPr="006B0843" w:rsidRDefault="004D0CD8" w:rsidP="00CF12F9">
      <w:pPr>
        <w:pStyle w:val="ListParagraph"/>
        <w:numPr>
          <w:ilvl w:val="0"/>
          <w:numId w:val="1"/>
        </w:numPr>
        <w:ind w:left="567" w:hanging="567"/>
        <w:jc w:val="both"/>
        <w:rPr>
          <w:rFonts w:asciiTheme="minorBidi" w:hAnsiTheme="minorBidi"/>
        </w:rPr>
      </w:pPr>
      <w:r w:rsidRPr="006B0843">
        <w:rPr>
          <w:rFonts w:asciiTheme="minorBidi" w:hAnsiTheme="minorBidi"/>
        </w:rPr>
        <w:t>Rule 11.5 requires a Mining Reporting Entity that is disclosing estimates of Mineral Resources (being Inferred Mineral Resources, Indicated Mineral Resources or Measured Mineral Resources</w:t>
      </w:r>
      <w:r w:rsidR="00382657" w:rsidRPr="006B0843">
        <w:rPr>
          <w:rFonts w:asciiTheme="minorBidi" w:hAnsiTheme="minorBidi"/>
        </w:rPr>
        <w:t>)</w:t>
      </w:r>
      <w:r w:rsidRPr="006B0843">
        <w:rPr>
          <w:rFonts w:asciiTheme="minorBidi" w:hAnsiTheme="minorBidi"/>
        </w:rPr>
        <w:t xml:space="preserve"> </w:t>
      </w:r>
      <w:r w:rsidR="00382657" w:rsidRPr="006B0843">
        <w:rPr>
          <w:rFonts w:asciiTheme="minorBidi" w:hAnsiTheme="minorBidi"/>
        </w:rPr>
        <w:t>for the first time, or that have materially changed from when they were last disclosed, to disclose certain information.</w:t>
      </w:r>
    </w:p>
    <w:p w14:paraId="333E4FEB" w14:textId="2D06848D" w:rsidR="00382657" w:rsidRPr="006B0843" w:rsidRDefault="00382657" w:rsidP="00CF12F9">
      <w:pPr>
        <w:pStyle w:val="ListParagraph"/>
        <w:ind w:left="567" w:hanging="567"/>
        <w:jc w:val="both"/>
        <w:rPr>
          <w:rFonts w:asciiTheme="minorBidi" w:hAnsiTheme="minorBidi"/>
        </w:rPr>
      </w:pPr>
    </w:p>
    <w:p w14:paraId="56F14CB3" w14:textId="626B0CED" w:rsidR="00382657" w:rsidRPr="006B0843" w:rsidRDefault="00382657" w:rsidP="00CF12F9">
      <w:pPr>
        <w:pStyle w:val="ListParagraph"/>
        <w:numPr>
          <w:ilvl w:val="0"/>
          <w:numId w:val="1"/>
        </w:numPr>
        <w:ind w:left="567" w:hanging="567"/>
        <w:jc w:val="both"/>
        <w:rPr>
          <w:rFonts w:asciiTheme="minorBidi" w:hAnsiTheme="minorBidi"/>
        </w:rPr>
      </w:pPr>
      <w:r w:rsidRPr="006B0843">
        <w:rPr>
          <w:rFonts w:asciiTheme="minorBidi" w:hAnsiTheme="minorBidi"/>
        </w:rPr>
        <w:t xml:space="preserve">Pursuant to Rule 11.5.1, the information included in the disclosure must be a fair and balanced representation of the information contained in the separate report prepared in accordance with Rule 11.5.2 (which must be included as an annexure to the disclosure).  In complying with this obligation, the FSRA does not expect a Mining Reporting Entity to prepare a summary of all the information contained in the separate report.  Instead, it is expected that only information which is material to understanding the estimates of Mineral Resources contained in the separate report, </w:t>
      </w:r>
      <w:r w:rsidR="006C2467" w:rsidRPr="006B0843">
        <w:rPr>
          <w:rFonts w:asciiTheme="minorBidi" w:hAnsiTheme="minorBidi"/>
        </w:rPr>
        <w:t xml:space="preserve">and </w:t>
      </w:r>
      <w:r w:rsidRPr="006B0843">
        <w:rPr>
          <w:rFonts w:asciiTheme="minorBidi" w:hAnsiTheme="minorBidi"/>
        </w:rPr>
        <w:t>that is not otherwise included in the body of the disclosure, be included.</w:t>
      </w:r>
    </w:p>
    <w:p w14:paraId="4B6B0C86" w14:textId="77777777" w:rsidR="005F78BF" w:rsidRPr="006B0843" w:rsidRDefault="005F78BF" w:rsidP="00CF12F9">
      <w:pPr>
        <w:pStyle w:val="ListParagraph"/>
        <w:ind w:left="567" w:hanging="567"/>
        <w:rPr>
          <w:rFonts w:asciiTheme="minorBidi" w:hAnsiTheme="minorBidi"/>
        </w:rPr>
      </w:pPr>
    </w:p>
    <w:p w14:paraId="25B431DD" w14:textId="564B2B40" w:rsidR="005F78BF" w:rsidRPr="006B0843" w:rsidRDefault="005F78BF" w:rsidP="00CF12F9">
      <w:pPr>
        <w:pStyle w:val="ListParagraph"/>
        <w:numPr>
          <w:ilvl w:val="0"/>
          <w:numId w:val="1"/>
        </w:numPr>
        <w:ind w:left="567" w:hanging="567"/>
        <w:jc w:val="both"/>
        <w:rPr>
          <w:rFonts w:asciiTheme="minorBidi" w:hAnsiTheme="minorBidi"/>
        </w:rPr>
      </w:pPr>
      <w:r w:rsidRPr="006B0843">
        <w:rPr>
          <w:rFonts w:asciiTheme="minorBidi" w:hAnsiTheme="minorBidi"/>
        </w:rPr>
        <w:t>Rule 11.5.1(1)(</w:t>
      </w:r>
      <w:r w:rsidR="009314B7">
        <w:rPr>
          <w:rFonts w:asciiTheme="minorBidi" w:hAnsiTheme="minorBidi"/>
        </w:rPr>
        <w:t>f</w:t>
      </w:r>
      <w:r w:rsidRPr="006B0843">
        <w:rPr>
          <w:rFonts w:asciiTheme="minorBidi" w:hAnsiTheme="minorBidi"/>
        </w:rPr>
        <w:t xml:space="preserve">) requires that a Mining Reporting Entity disclosing estimates of Mineral Resources include, amongst the other information required, a summary of all material information in relation to the mining and metallurgical methods and parameters, and other material modifying factors, considered by the Mining Reporting Entity to date.  In complying with this requirement, the FSRA does not require a Mining Reporting Entity to complete a comprehensive study of all mining and metallurgical methods and parameters. </w:t>
      </w:r>
      <w:r w:rsidR="001E6358">
        <w:rPr>
          <w:rFonts w:asciiTheme="minorBidi" w:hAnsiTheme="minorBidi"/>
        </w:rPr>
        <w:t xml:space="preserve"> </w:t>
      </w:r>
      <w:r w:rsidRPr="006B0843">
        <w:rPr>
          <w:rFonts w:asciiTheme="minorBidi" w:hAnsiTheme="minorBidi"/>
        </w:rPr>
        <w:t xml:space="preserve">Instead, the FSRA expects disclosure of the mining and metallurgical methods and parameters, and material modifying factors, considered in the estimation of the Mineral Resources.  </w:t>
      </w:r>
    </w:p>
    <w:p w14:paraId="2AD5FE1B" w14:textId="77777777" w:rsidR="006C4BAA" w:rsidRPr="006B0843" w:rsidRDefault="006C4BAA" w:rsidP="00CF12F9">
      <w:pPr>
        <w:pStyle w:val="ListParagraph"/>
        <w:ind w:left="567" w:hanging="567"/>
        <w:rPr>
          <w:rFonts w:asciiTheme="minorBidi" w:hAnsiTheme="minorBidi"/>
        </w:rPr>
      </w:pPr>
    </w:p>
    <w:p w14:paraId="31D371C3" w14:textId="1CC72440" w:rsidR="008F1B4D" w:rsidRPr="006B0843" w:rsidRDefault="006C4BAA" w:rsidP="00CF12F9">
      <w:pPr>
        <w:pStyle w:val="ListParagraph"/>
        <w:numPr>
          <w:ilvl w:val="0"/>
          <w:numId w:val="1"/>
        </w:numPr>
        <w:ind w:left="567" w:hanging="567"/>
        <w:jc w:val="both"/>
        <w:rPr>
          <w:rFonts w:asciiTheme="minorBidi" w:hAnsiTheme="minorBidi"/>
        </w:rPr>
      </w:pPr>
      <w:r w:rsidRPr="006B0843">
        <w:rPr>
          <w:rFonts w:asciiTheme="minorBidi" w:hAnsiTheme="minorBidi"/>
        </w:rPr>
        <w:t xml:space="preserve">Clauses 20 to 28 of the JORC Code, Clauses 24 to 34 of the SAMREC Code and Part 2.2 (among others) of NI 43-101 set out additional requirements for the classification and disclosure of Mineral Resources.  Additionally, a Mining Reporting Entity when making a disclosure, for example, in relation to Mineral Resources under the JORC Code or SAMREC Code, is to refer to the key reporting sections in Table 1 of the relevant Mining Reporting Standard (including in relation to sampling techniques, sub-sampling techniques, sample preparation, drilling techniques, data spacing and distribution). </w:t>
      </w:r>
      <w:r w:rsidR="001E6358">
        <w:rPr>
          <w:rFonts w:asciiTheme="minorBidi" w:hAnsiTheme="minorBidi"/>
        </w:rPr>
        <w:t xml:space="preserve"> </w:t>
      </w:r>
      <w:r w:rsidRPr="006B0843">
        <w:rPr>
          <w:rFonts w:asciiTheme="minorBidi" w:hAnsiTheme="minorBidi"/>
        </w:rPr>
        <w:t xml:space="preserve">The key requirements in these Mining Reporting Standards in relation to geology and </w:t>
      </w:r>
      <w:r w:rsidRPr="006B0843">
        <w:rPr>
          <w:rFonts w:asciiTheme="minorBidi" w:hAnsiTheme="minorBidi"/>
        </w:rPr>
        <w:lastRenderedPageBreak/>
        <w:t>geological interpretation, estimation and modelling techniques and cut-off parameters are also to be complied with.</w:t>
      </w:r>
    </w:p>
    <w:p w14:paraId="10F087B7" w14:textId="77777777" w:rsidR="008F1B4D" w:rsidRPr="006B0843" w:rsidRDefault="008F1B4D" w:rsidP="008F1B4D">
      <w:pPr>
        <w:pStyle w:val="ListParagraph"/>
        <w:rPr>
          <w:rFonts w:asciiTheme="minorBidi" w:hAnsiTheme="minorBidi"/>
        </w:rPr>
      </w:pPr>
    </w:p>
    <w:p w14:paraId="5547FA9A" w14:textId="3F8F4C26" w:rsidR="00382657" w:rsidRPr="006B0843" w:rsidRDefault="00382657" w:rsidP="00DD775A">
      <w:pPr>
        <w:pStyle w:val="Heading1"/>
        <w:keepLines w:val="0"/>
        <w:spacing w:before="0" w:after="240" w:line="246" w:lineRule="atLeast"/>
        <w:jc w:val="both"/>
        <w:rPr>
          <w:rFonts w:asciiTheme="minorBidi" w:hAnsiTheme="minorBidi" w:cstheme="minorBidi"/>
          <w:sz w:val="22"/>
          <w:szCs w:val="22"/>
        </w:rPr>
      </w:pPr>
      <w:bookmarkStart w:id="28" w:name="_Toc43963855"/>
      <w:r w:rsidRPr="006B0843">
        <w:rPr>
          <w:rFonts w:asciiTheme="minorBidi" w:hAnsiTheme="minorBidi" w:cstheme="minorBidi"/>
          <w:sz w:val="22"/>
          <w:szCs w:val="22"/>
        </w:rPr>
        <w:t>O</w:t>
      </w:r>
      <w:r w:rsidR="00DD775A" w:rsidRPr="006B0843">
        <w:rPr>
          <w:rFonts w:asciiTheme="minorBidi" w:hAnsiTheme="minorBidi" w:cstheme="minorBidi"/>
          <w:sz w:val="22"/>
          <w:szCs w:val="22"/>
        </w:rPr>
        <w:t>RE RESERVES</w:t>
      </w:r>
      <w:bookmarkEnd w:id="28"/>
      <w:r w:rsidRPr="006B0843">
        <w:rPr>
          <w:rFonts w:asciiTheme="minorBidi" w:hAnsiTheme="minorBidi" w:cstheme="minorBidi"/>
          <w:sz w:val="22"/>
          <w:szCs w:val="22"/>
        </w:rPr>
        <w:t xml:space="preserve"> </w:t>
      </w:r>
    </w:p>
    <w:p w14:paraId="4FA6B415" w14:textId="2615AF9F" w:rsidR="00382657" w:rsidRPr="006B0843" w:rsidRDefault="00382657" w:rsidP="00CF12F9">
      <w:pPr>
        <w:pStyle w:val="ListParagraph"/>
        <w:numPr>
          <w:ilvl w:val="0"/>
          <w:numId w:val="1"/>
        </w:numPr>
        <w:ind w:left="567" w:hanging="567"/>
        <w:jc w:val="both"/>
        <w:rPr>
          <w:rFonts w:asciiTheme="minorBidi" w:hAnsiTheme="minorBidi"/>
        </w:rPr>
      </w:pPr>
      <w:r w:rsidRPr="006B0843">
        <w:rPr>
          <w:rFonts w:asciiTheme="minorBidi" w:hAnsiTheme="minorBidi"/>
        </w:rPr>
        <w:t xml:space="preserve">Rule 11.6 requires a Mining Reporting Entity that is disclosing estimates of Ore Reserves (being Probable Ore Reserves or Proved Ore Reserves) for the first time, or that have materially changed from when </w:t>
      </w:r>
      <w:r w:rsidR="006C2467" w:rsidRPr="006B0843">
        <w:rPr>
          <w:rFonts w:asciiTheme="minorBidi" w:hAnsiTheme="minorBidi"/>
        </w:rPr>
        <w:t xml:space="preserve">they </w:t>
      </w:r>
      <w:r w:rsidRPr="006B0843">
        <w:rPr>
          <w:rFonts w:asciiTheme="minorBidi" w:hAnsiTheme="minorBidi"/>
        </w:rPr>
        <w:t>were last disclosed, to disclose certain information.</w:t>
      </w:r>
    </w:p>
    <w:p w14:paraId="7256A0BA" w14:textId="5661AF65" w:rsidR="00382657" w:rsidRPr="006B0843" w:rsidRDefault="00382657" w:rsidP="00CF12F9">
      <w:pPr>
        <w:ind w:left="567" w:hanging="567"/>
        <w:jc w:val="both"/>
        <w:rPr>
          <w:rFonts w:asciiTheme="minorBidi" w:hAnsiTheme="minorBidi"/>
        </w:rPr>
      </w:pPr>
    </w:p>
    <w:p w14:paraId="08A6687A" w14:textId="652CC390" w:rsidR="00382657" w:rsidRPr="006B0843" w:rsidRDefault="00382657" w:rsidP="00CF12F9">
      <w:pPr>
        <w:pStyle w:val="ListParagraph"/>
        <w:numPr>
          <w:ilvl w:val="0"/>
          <w:numId w:val="1"/>
        </w:numPr>
        <w:ind w:left="567" w:hanging="567"/>
        <w:jc w:val="both"/>
        <w:rPr>
          <w:rFonts w:asciiTheme="minorBidi" w:hAnsiTheme="minorBidi"/>
        </w:rPr>
      </w:pPr>
      <w:r w:rsidRPr="006B0843">
        <w:rPr>
          <w:rFonts w:asciiTheme="minorBidi" w:hAnsiTheme="minorBidi"/>
        </w:rPr>
        <w:t>Pursuant to Rule 11.6.1, the information included in the disclosure must be a fair and balanced representation of the information contained in the separate report prepared in accordance with Rule 11.6.2 (which must be included as an annexure to the disclosure).  In complying with this obligation, the FSRA does not expect a Mining Reporting Entity to prepare a summary of all the information contained in the separate report.  Instead, it is expected that that only information which is material to understanding the estimates of Mineral Resources contained in the separate report, that is not otherwise included in the body of the disclosure, be included.</w:t>
      </w:r>
    </w:p>
    <w:p w14:paraId="31A6DF8F" w14:textId="77777777" w:rsidR="008F1B4D" w:rsidRPr="006B0843" w:rsidRDefault="008F1B4D" w:rsidP="00CF12F9">
      <w:pPr>
        <w:pStyle w:val="ListParagraph"/>
        <w:ind w:left="567" w:hanging="567"/>
        <w:rPr>
          <w:rFonts w:asciiTheme="minorBidi" w:hAnsiTheme="minorBidi"/>
        </w:rPr>
      </w:pPr>
    </w:p>
    <w:p w14:paraId="0157635A" w14:textId="1EC6683E" w:rsidR="008F1B4D" w:rsidRPr="006B0843" w:rsidRDefault="008F1B4D" w:rsidP="00CF12F9">
      <w:pPr>
        <w:pStyle w:val="ListParagraph"/>
        <w:numPr>
          <w:ilvl w:val="0"/>
          <w:numId w:val="1"/>
        </w:numPr>
        <w:ind w:left="567" w:hanging="567"/>
        <w:jc w:val="both"/>
        <w:rPr>
          <w:rFonts w:asciiTheme="minorBidi" w:hAnsiTheme="minorBidi"/>
        </w:rPr>
      </w:pPr>
      <w:r w:rsidRPr="006B0843">
        <w:rPr>
          <w:rFonts w:asciiTheme="minorBidi" w:hAnsiTheme="minorBidi"/>
        </w:rPr>
        <w:t xml:space="preserve">Pursuant to Rule 11.6.1(1)(a), </w:t>
      </w:r>
      <w:proofErr w:type="gramStart"/>
      <w:r w:rsidRPr="006B0843">
        <w:rPr>
          <w:rFonts w:asciiTheme="minorBidi" w:hAnsiTheme="minorBidi"/>
        </w:rPr>
        <w:t>in order to</w:t>
      </w:r>
      <w:proofErr w:type="gramEnd"/>
      <w:r w:rsidRPr="006B0843">
        <w:rPr>
          <w:rFonts w:asciiTheme="minorBidi" w:hAnsiTheme="minorBidi"/>
        </w:rPr>
        <w:t xml:space="preserve"> achieve the required level of confidence in the modifying factors to determine an estimate of Ore Reserves, a Mining Reporting Entity will need to have carried out a relevant Technical Study (preliminary feasibility study or feasibility study</w:t>
      </w:r>
      <w:r w:rsidRPr="006B0843">
        <w:rPr>
          <w:rStyle w:val="FootnoteReference"/>
          <w:rFonts w:asciiTheme="minorBidi" w:hAnsiTheme="minorBidi"/>
        </w:rPr>
        <w:footnoteReference w:id="7"/>
      </w:r>
      <w:r w:rsidRPr="006B0843">
        <w:rPr>
          <w:rFonts w:asciiTheme="minorBidi" w:hAnsiTheme="minorBidi"/>
        </w:rPr>
        <w:t xml:space="preserve">). </w:t>
      </w:r>
      <w:r w:rsidR="001E6358">
        <w:rPr>
          <w:rFonts w:asciiTheme="minorBidi" w:hAnsiTheme="minorBidi"/>
        </w:rPr>
        <w:t xml:space="preserve"> </w:t>
      </w:r>
      <w:r w:rsidRPr="006B0843">
        <w:rPr>
          <w:rFonts w:asciiTheme="minorBidi" w:hAnsiTheme="minorBidi"/>
        </w:rPr>
        <w:t>The key underlying assumption</w:t>
      </w:r>
      <w:r w:rsidR="006C2467" w:rsidRPr="006B0843">
        <w:rPr>
          <w:rFonts w:asciiTheme="minorBidi" w:hAnsiTheme="minorBidi"/>
        </w:rPr>
        <w:t>s</w:t>
      </w:r>
      <w:r w:rsidRPr="006B0843">
        <w:rPr>
          <w:rFonts w:asciiTheme="minorBidi" w:hAnsiTheme="minorBidi"/>
        </w:rPr>
        <w:t xml:space="preserve"> and outcomes of the Technical Study are also to be disclosed.  </w:t>
      </w:r>
    </w:p>
    <w:p w14:paraId="48079524" w14:textId="77777777" w:rsidR="008F1B4D" w:rsidRPr="006B0843" w:rsidRDefault="008F1B4D" w:rsidP="00CF12F9">
      <w:pPr>
        <w:pStyle w:val="ListParagraph"/>
        <w:ind w:left="567" w:hanging="567"/>
        <w:rPr>
          <w:rFonts w:asciiTheme="minorBidi" w:hAnsiTheme="minorBidi"/>
        </w:rPr>
      </w:pPr>
    </w:p>
    <w:p w14:paraId="55073910" w14:textId="213166E4" w:rsidR="008F1B4D" w:rsidRPr="006B0843" w:rsidRDefault="008F1B4D" w:rsidP="00CF12F9">
      <w:pPr>
        <w:pStyle w:val="ListParagraph"/>
        <w:numPr>
          <w:ilvl w:val="0"/>
          <w:numId w:val="1"/>
        </w:numPr>
        <w:ind w:left="567" w:hanging="567"/>
        <w:jc w:val="both"/>
        <w:rPr>
          <w:rFonts w:asciiTheme="minorBidi" w:hAnsiTheme="minorBidi"/>
        </w:rPr>
      </w:pPr>
      <w:r w:rsidRPr="006B0843">
        <w:rPr>
          <w:rFonts w:asciiTheme="minorBidi" w:hAnsiTheme="minorBidi"/>
        </w:rPr>
        <w:t>The FSRA does expect a Mining Reporting Entity to have to disclose commercially sensitive information (e.g., pricing or volumes under long term contractual commitments)</w:t>
      </w:r>
      <w:r w:rsidR="009507DA" w:rsidRPr="006B0843">
        <w:rPr>
          <w:rFonts w:asciiTheme="minorBidi" w:hAnsiTheme="minorBidi"/>
        </w:rPr>
        <w:t xml:space="preserve"> to meet this Rule obligation</w:t>
      </w:r>
      <w:r w:rsidRPr="006B0843">
        <w:rPr>
          <w:rFonts w:asciiTheme="minorBidi" w:hAnsiTheme="minorBidi"/>
        </w:rPr>
        <w:t xml:space="preserve">.  A </w:t>
      </w:r>
      <w:r w:rsidR="009507DA" w:rsidRPr="006B0843">
        <w:rPr>
          <w:rFonts w:asciiTheme="minorBidi" w:hAnsiTheme="minorBidi"/>
        </w:rPr>
        <w:t xml:space="preserve">Mining </w:t>
      </w:r>
      <w:r w:rsidRPr="006B0843">
        <w:rPr>
          <w:rFonts w:asciiTheme="minorBidi" w:hAnsiTheme="minorBidi"/>
        </w:rPr>
        <w:t xml:space="preserve">Reporting Entity (and other relevant entities) may, however, </w:t>
      </w:r>
      <w:proofErr w:type="gramStart"/>
      <w:r w:rsidRPr="006B0843">
        <w:rPr>
          <w:rFonts w:asciiTheme="minorBidi" w:hAnsiTheme="minorBidi"/>
        </w:rPr>
        <w:t>have to</w:t>
      </w:r>
      <w:proofErr w:type="gramEnd"/>
      <w:r w:rsidRPr="006B0843">
        <w:rPr>
          <w:rFonts w:asciiTheme="minorBidi" w:hAnsiTheme="minorBidi"/>
        </w:rPr>
        <w:t xml:space="preserve"> carefully consider whether this information needs to be disclosed to meet other disclosure requirements, including in reference to:</w:t>
      </w:r>
    </w:p>
    <w:p w14:paraId="1124F94D" w14:textId="77777777" w:rsidR="008F1B4D" w:rsidRPr="006B0843" w:rsidRDefault="008F1B4D" w:rsidP="008F1B4D">
      <w:pPr>
        <w:pStyle w:val="ListParagraph"/>
        <w:rPr>
          <w:rFonts w:asciiTheme="minorBidi" w:hAnsiTheme="minorBidi"/>
        </w:rPr>
      </w:pPr>
    </w:p>
    <w:p w14:paraId="527CB452" w14:textId="77777777" w:rsidR="008F1B4D" w:rsidRPr="006B0843" w:rsidRDefault="008F1B4D" w:rsidP="00CF12F9">
      <w:pPr>
        <w:pStyle w:val="ListParagraph"/>
        <w:numPr>
          <w:ilvl w:val="0"/>
          <w:numId w:val="15"/>
        </w:numPr>
        <w:ind w:left="1134" w:hanging="567"/>
        <w:jc w:val="both"/>
        <w:rPr>
          <w:rFonts w:asciiTheme="minorBidi" w:hAnsiTheme="minorBidi"/>
        </w:rPr>
      </w:pPr>
      <w:r w:rsidRPr="006B0843">
        <w:rPr>
          <w:rFonts w:asciiTheme="minorBidi" w:hAnsiTheme="minorBidi"/>
        </w:rPr>
        <w:t xml:space="preserve">where an Issuer is issuing a Prospectus within ADGM, and the requirement in section 62(1) of FSMR to include all information that investors would reasonably require and expect to find in a Prospectus for the purposes of making an informed investment decision; or </w:t>
      </w:r>
    </w:p>
    <w:p w14:paraId="1F56E83A" w14:textId="77777777" w:rsidR="009507DA" w:rsidRPr="006B0843" w:rsidRDefault="009507DA" w:rsidP="00CF12F9">
      <w:pPr>
        <w:pStyle w:val="ListParagraph"/>
        <w:ind w:left="1134" w:hanging="567"/>
        <w:jc w:val="both"/>
        <w:rPr>
          <w:rFonts w:asciiTheme="minorBidi" w:hAnsiTheme="minorBidi"/>
        </w:rPr>
      </w:pPr>
    </w:p>
    <w:p w14:paraId="151E9438" w14:textId="1BD3970F" w:rsidR="008F1B4D" w:rsidRPr="006B0843" w:rsidRDefault="008F1B4D" w:rsidP="00CF12F9">
      <w:pPr>
        <w:pStyle w:val="ListParagraph"/>
        <w:numPr>
          <w:ilvl w:val="0"/>
          <w:numId w:val="15"/>
        </w:numPr>
        <w:ind w:left="1134" w:hanging="567"/>
        <w:jc w:val="both"/>
        <w:rPr>
          <w:rFonts w:asciiTheme="minorBidi" w:hAnsiTheme="minorBidi"/>
        </w:rPr>
      </w:pPr>
      <w:r w:rsidRPr="006B0843">
        <w:rPr>
          <w:rFonts w:asciiTheme="minorBidi" w:hAnsiTheme="minorBidi"/>
        </w:rPr>
        <w:t>the requirements in sections 95(2) of FSMR and Rule 7.2.1 to disclose information that ‘would, if generally available, be likely to have a significant effect on the price…’ of Financial Instruments.</w:t>
      </w:r>
      <w:r w:rsidRPr="006B0843">
        <w:rPr>
          <w:rStyle w:val="FootnoteReference"/>
          <w:rFonts w:asciiTheme="minorBidi" w:hAnsiTheme="minorBidi"/>
        </w:rPr>
        <w:footnoteReference w:id="8"/>
      </w:r>
      <w:r w:rsidRPr="006B0843">
        <w:rPr>
          <w:rFonts w:asciiTheme="minorBidi" w:hAnsiTheme="minorBidi"/>
        </w:rPr>
        <w:t xml:space="preserve"> </w:t>
      </w:r>
    </w:p>
    <w:p w14:paraId="7C929081" w14:textId="02B33CCA" w:rsidR="00382657" w:rsidRPr="006B0843" w:rsidRDefault="00382657" w:rsidP="00382657">
      <w:pPr>
        <w:jc w:val="both"/>
        <w:rPr>
          <w:rFonts w:asciiTheme="minorBidi" w:hAnsiTheme="minorBidi"/>
        </w:rPr>
      </w:pPr>
    </w:p>
    <w:p w14:paraId="19096EFA" w14:textId="39136C6B" w:rsidR="009507DA" w:rsidRPr="006B0843" w:rsidRDefault="009507DA" w:rsidP="00CF12F9">
      <w:pPr>
        <w:pStyle w:val="ListParagraph"/>
        <w:numPr>
          <w:ilvl w:val="0"/>
          <w:numId w:val="1"/>
        </w:numPr>
        <w:ind w:left="567" w:hanging="567"/>
        <w:jc w:val="both"/>
        <w:rPr>
          <w:rFonts w:asciiTheme="minorBidi" w:hAnsiTheme="minorBidi"/>
        </w:rPr>
      </w:pPr>
      <w:r w:rsidRPr="006B0843">
        <w:rPr>
          <w:rFonts w:asciiTheme="minorBidi" w:hAnsiTheme="minorBidi"/>
        </w:rPr>
        <w:t>In such cases, however, where a Mining Reporting Entity relies on the guidance set out in Rule 11.6.1(1)(a)</w:t>
      </w:r>
      <w:r w:rsidR="006C2467" w:rsidRPr="006B0843">
        <w:rPr>
          <w:rFonts w:asciiTheme="minorBidi" w:hAnsiTheme="minorBidi"/>
        </w:rPr>
        <w:t>,</w:t>
      </w:r>
      <w:r w:rsidRPr="006B0843">
        <w:rPr>
          <w:rFonts w:asciiTheme="minorBidi" w:hAnsiTheme="minorBidi"/>
        </w:rPr>
        <w:t xml:space="preserve"> it:</w:t>
      </w:r>
    </w:p>
    <w:p w14:paraId="19F31AD4" w14:textId="77777777" w:rsidR="009507DA" w:rsidRPr="006B0843" w:rsidRDefault="009507DA" w:rsidP="009507DA">
      <w:pPr>
        <w:pStyle w:val="ListParagraph"/>
        <w:rPr>
          <w:rFonts w:asciiTheme="minorBidi" w:hAnsiTheme="minorBidi"/>
        </w:rPr>
      </w:pPr>
    </w:p>
    <w:p w14:paraId="1E58FEB9" w14:textId="402E1D53" w:rsidR="009507DA" w:rsidRPr="006B0843" w:rsidRDefault="009507DA" w:rsidP="00CF12F9">
      <w:pPr>
        <w:pStyle w:val="ListParagraph"/>
        <w:numPr>
          <w:ilvl w:val="0"/>
          <w:numId w:val="14"/>
        </w:numPr>
        <w:ind w:left="1134" w:hanging="567"/>
        <w:jc w:val="both"/>
        <w:rPr>
          <w:rFonts w:asciiTheme="minorBidi" w:hAnsiTheme="minorBidi"/>
        </w:rPr>
      </w:pPr>
      <w:r w:rsidRPr="006B0843">
        <w:rPr>
          <w:rFonts w:asciiTheme="minorBidi" w:hAnsiTheme="minorBidi"/>
        </w:rPr>
        <w:t xml:space="preserve">must make a statement to the effect that </w:t>
      </w:r>
      <w:r w:rsidR="006C2467" w:rsidRPr="006B0843">
        <w:rPr>
          <w:rFonts w:asciiTheme="minorBidi" w:hAnsiTheme="minorBidi"/>
        </w:rPr>
        <w:t>its</w:t>
      </w:r>
      <w:r w:rsidRPr="006B0843">
        <w:rPr>
          <w:rFonts w:asciiTheme="minorBidi" w:hAnsiTheme="minorBidi"/>
        </w:rPr>
        <w:t xml:space="preserve"> material economic assumptions are commercially </w:t>
      </w:r>
      <w:proofErr w:type="gramStart"/>
      <w:r w:rsidRPr="006B0843">
        <w:rPr>
          <w:rFonts w:asciiTheme="minorBidi" w:hAnsiTheme="minorBidi"/>
        </w:rPr>
        <w:t>sensitive;</w:t>
      </w:r>
      <w:proofErr w:type="gramEnd"/>
    </w:p>
    <w:p w14:paraId="5730D287" w14:textId="77777777" w:rsidR="009507DA" w:rsidRPr="006B0843" w:rsidRDefault="009507DA" w:rsidP="00CF12F9">
      <w:pPr>
        <w:pStyle w:val="ListParagraph"/>
        <w:ind w:left="1134" w:hanging="567"/>
        <w:jc w:val="both"/>
        <w:rPr>
          <w:rFonts w:asciiTheme="minorBidi" w:hAnsiTheme="minorBidi"/>
        </w:rPr>
      </w:pPr>
    </w:p>
    <w:p w14:paraId="07095E49" w14:textId="77777777" w:rsidR="009507DA" w:rsidRPr="006B0843" w:rsidRDefault="009507DA" w:rsidP="00CF12F9">
      <w:pPr>
        <w:pStyle w:val="ListParagraph"/>
        <w:numPr>
          <w:ilvl w:val="0"/>
          <w:numId w:val="14"/>
        </w:numPr>
        <w:ind w:left="1134" w:hanging="567"/>
        <w:jc w:val="both"/>
        <w:rPr>
          <w:rFonts w:asciiTheme="minorBidi" w:hAnsiTheme="minorBidi"/>
        </w:rPr>
      </w:pPr>
      <w:r w:rsidRPr="006B0843">
        <w:rPr>
          <w:rFonts w:asciiTheme="minorBidi" w:hAnsiTheme="minorBidi"/>
        </w:rPr>
        <w:t>should explain why the information is considered a trade secret or commercially sensitive; and</w:t>
      </w:r>
    </w:p>
    <w:p w14:paraId="0D72D6D0" w14:textId="77777777" w:rsidR="009507DA" w:rsidRPr="006B0843" w:rsidRDefault="009507DA" w:rsidP="00CF12F9">
      <w:pPr>
        <w:pStyle w:val="ListParagraph"/>
        <w:ind w:left="1134" w:hanging="567"/>
        <w:rPr>
          <w:rFonts w:asciiTheme="minorBidi" w:hAnsiTheme="minorBidi"/>
        </w:rPr>
      </w:pPr>
    </w:p>
    <w:p w14:paraId="09A79733" w14:textId="52220C05" w:rsidR="009507DA" w:rsidRPr="006B0843" w:rsidRDefault="009507DA" w:rsidP="00CF12F9">
      <w:pPr>
        <w:pStyle w:val="ListParagraph"/>
        <w:numPr>
          <w:ilvl w:val="0"/>
          <w:numId w:val="14"/>
        </w:numPr>
        <w:ind w:left="1134" w:hanging="567"/>
        <w:jc w:val="both"/>
        <w:rPr>
          <w:rFonts w:asciiTheme="minorBidi" w:hAnsiTheme="minorBidi"/>
        </w:rPr>
      </w:pPr>
      <w:r w:rsidRPr="006B0843">
        <w:rPr>
          <w:rFonts w:asciiTheme="minorBidi" w:hAnsiTheme="minorBidi"/>
        </w:rPr>
        <w:lastRenderedPageBreak/>
        <w:t xml:space="preserve">must disclose sufficient information (possibly in narrative rather than numerical form, where the numbers are commercially sensitive) in order for investors to understand the </w:t>
      </w:r>
      <w:proofErr w:type="gramStart"/>
      <w:r w:rsidRPr="006B0843">
        <w:rPr>
          <w:rFonts w:asciiTheme="minorBidi" w:hAnsiTheme="minorBidi"/>
        </w:rPr>
        <w:t>methodology</w:t>
      </w:r>
      <w:proofErr w:type="gramEnd"/>
      <w:r w:rsidRPr="006B0843">
        <w:rPr>
          <w:rFonts w:asciiTheme="minorBidi" w:hAnsiTheme="minorBidi"/>
        </w:rPr>
        <w:t xml:space="preserve"> it has used to determine these factors and assumptions, and the basis on which it is reporting the estimates of </w:t>
      </w:r>
      <w:r w:rsidR="003F6BB4" w:rsidRPr="006B0843">
        <w:rPr>
          <w:rFonts w:asciiTheme="minorBidi" w:hAnsiTheme="minorBidi"/>
        </w:rPr>
        <w:t>Ore</w:t>
      </w:r>
      <w:r w:rsidRPr="006B0843">
        <w:rPr>
          <w:rFonts w:asciiTheme="minorBidi" w:hAnsiTheme="minorBidi"/>
        </w:rPr>
        <w:t xml:space="preserve"> Reserves. </w:t>
      </w:r>
    </w:p>
    <w:p w14:paraId="7D602463" w14:textId="77777777" w:rsidR="009507DA" w:rsidRPr="006B0843" w:rsidRDefault="009507DA" w:rsidP="009507DA">
      <w:pPr>
        <w:pStyle w:val="ListParagraph"/>
        <w:rPr>
          <w:rFonts w:asciiTheme="minorBidi" w:hAnsiTheme="minorBidi"/>
        </w:rPr>
      </w:pPr>
    </w:p>
    <w:p w14:paraId="6C60F840" w14:textId="7516A723" w:rsidR="009507DA" w:rsidRPr="006B0843" w:rsidRDefault="009507DA" w:rsidP="00CF12F9">
      <w:pPr>
        <w:pStyle w:val="ListParagraph"/>
        <w:numPr>
          <w:ilvl w:val="0"/>
          <w:numId w:val="1"/>
        </w:numPr>
        <w:ind w:left="567" w:hanging="567"/>
        <w:jc w:val="both"/>
        <w:rPr>
          <w:rFonts w:asciiTheme="minorBidi" w:hAnsiTheme="minorBidi"/>
        </w:rPr>
      </w:pPr>
      <w:r w:rsidRPr="006B0843">
        <w:rPr>
          <w:rFonts w:asciiTheme="minorBidi" w:hAnsiTheme="minorBidi"/>
        </w:rPr>
        <w:t xml:space="preserve">Mining Reporting Entities need to be careful not to claim that information is commercially sensitive when </w:t>
      </w:r>
      <w:r w:rsidR="006C2467" w:rsidRPr="006B0843">
        <w:rPr>
          <w:rFonts w:asciiTheme="minorBidi" w:hAnsiTheme="minorBidi"/>
        </w:rPr>
        <w:t>this</w:t>
      </w:r>
      <w:r w:rsidRPr="006B0843">
        <w:rPr>
          <w:rFonts w:asciiTheme="minorBidi" w:hAnsiTheme="minorBidi"/>
        </w:rPr>
        <w:t xml:space="preserve"> is not the case.  If a Mining Reporting Entity, for example, has not yet </w:t>
      </w:r>
      <w:proofErr w:type="gramStart"/>
      <w:r w:rsidRPr="006B0843">
        <w:rPr>
          <w:rFonts w:asciiTheme="minorBidi" w:hAnsiTheme="minorBidi"/>
        </w:rPr>
        <w:t>entered into</w:t>
      </w:r>
      <w:proofErr w:type="gramEnd"/>
      <w:r w:rsidRPr="006B0843">
        <w:rPr>
          <w:rFonts w:asciiTheme="minorBidi" w:hAnsiTheme="minorBidi"/>
        </w:rPr>
        <w:t xml:space="preserve"> any commercially sensitive contracts that underpin its commodity price, capital expenditure or operational expenditure assumptions, it would be difficult to form a view that information about those assumptions would be commercially sensitive.</w:t>
      </w:r>
    </w:p>
    <w:p w14:paraId="312FD498" w14:textId="77777777" w:rsidR="009507DA" w:rsidRPr="006B0843" w:rsidRDefault="009507DA" w:rsidP="00CF12F9">
      <w:pPr>
        <w:ind w:left="567" w:hanging="567"/>
        <w:jc w:val="both"/>
        <w:rPr>
          <w:rFonts w:asciiTheme="minorBidi" w:hAnsiTheme="minorBidi"/>
        </w:rPr>
      </w:pPr>
    </w:p>
    <w:p w14:paraId="1FAB335E" w14:textId="59EF84EA" w:rsidR="009507DA" w:rsidRPr="006B0843" w:rsidRDefault="009507DA" w:rsidP="00CF12F9">
      <w:pPr>
        <w:pStyle w:val="ListParagraph"/>
        <w:numPr>
          <w:ilvl w:val="0"/>
          <w:numId w:val="1"/>
        </w:numPr>
        <w:ind w:left="567" w:hanging="567"/>
        <w:jc w:val="both"/>
        <w:rPr>
          <w:rFonts w:asciiTheme="minorBidi" w:hAnsiTheme="minorBidi"/>
        </w:rPr>
      </w:pPr>
      <w:r w:rsidRPr="006B0843">
        <w:rPr>
          <w:rFonts w:asciiTheme="minorBidi" w:hAnsiTheme="minorBidi"/>
        </w:rPr>
        <w:t xml:space="preserve">Rule 11.6 also requires that when </w:t>
      </w:r>
      <w:r w:rsidR="006C2467" w:rsidRPr="006B0843">
        <w:rPr>
          <w:rFonts w:asciiTheme="minorBidi" w:hAnsiTheme="minorBidi"/>
        </w:rPr>
        <w:t xml:space="preserve">a </w:t>
      </w:r>
      <w:r w:rsidRPr="006B0843">
        <w:rPr>
          <w:rFonts w:asciiTheme="minorBidi" w:hAnsiTheme="minorBidi"/>
        </w:rPr>
        <w:t>Mining Reporting Entit</w:t>
      </w:r>
      <w:r w:rsidR="006C2467" w:rsidRPr="006B0843">
        <w:rPr>
          <w:rFonts w:asciiTheme="minorBidi" w:hAnsiTheme="minorBidi"/>
        </w:rPr>
        <w:t>y</w:t>
      </w:r>
      <w:r w:rsidRPr="006B0843">
        <w:rPr>
          <w:rFonts w:asciiTheme="minorBidi" w:hAnsiTheme="minorBidi"/>
        </w:rPr>
        <w:t xml:space="preserve"> disclose</w:t>
      </w:r>
      <w:r w:rsidR="006C2467" w:rsidRPr="006B0843">
        <w:rPr>
          <w:rFonts w:asciiTheme="minorBidi" w:hAnsiTheme="minorBidi"/>
        </w:rPr>
        <w:t>s</w:t>
      </w:r>
      <w:r w:rsidRPr="006B0843">
        <w:rPr>
          <w:rFonts w:asciiTheme="minorBidi" w:hAnsiTheme="minorBidi"/>
        </w:rPr>
        <w:t xml:space="preserve"> an estimate of Ore Reserves, the disclosure is also to include key information relating to mining (recovery/dilution) factors or assumptions, metallurgical factors or assumptions, cut-off parameters, study status and the relative accuracy/confidence.</w:t>
      </w:r>
    </w:p>
    <w:p w14:paraId="32A66386" w14:textId="77777777" w:rsidR="009A5BA8" w:rsidRPr="006B0843" w:rsidRDefault="009A5BA8" w:rsidP="00CF12F9">
      <w:pPr>
        <w:pStyle w:val="ListParagraph"/>
        <w:ind w:left="567" w:hanging="567"/>
        <w:rPr>
          <w:rFonts w:asciiTheme="minorBidi" w:hAnsiTheme="minorBidi"/>
        </w:rPr>
      </w:pPr>
    </w:p>
    <w:p w14:paraId="4B0A567A" w14:textId="338DDD0B" w:rsidR="009A5BA8" w:rsidRPr="006B0843" w:rsidRDefault="009A5BA8" w:rsidP="00CF12F9">
      <w:pPr>
        <w:pStyle w:val="ListParagraph"/>
        <w:numPr>
          <w:ilvl w:val="0"/>
          <w:numId w:val="1"/>
        </w:numPr>
        <w:ind w:left="567" w:hanging="567"/>
        <w:jc w:val="both"/>
        <w:rPr>
          <w:rFonts w:asciiTheme="minorBidi" w:hAnsiTheme="minorBidi"/>
        </w:rPr>
      </w:pPr>
      <w:r w:rsidRPr="006B0843">
        <w:rPr>
          <w:rFonts w:asciiTheme="minorBidi" w:hAnsiTheme="minorBidi"/>
        </w:rPr>
        <w:t>Clauses 29 to 36 of the JORC Code, Clauses 35 to 43 of the SAMREC Code and Part 2.2 (among others) of NI 43-101 set out additional requirements for the classification and disclosure of Ore R</w:t>
      </w:r>
      <w:r w:rsidR="00AD324F" w:rsidRPr="006B0843">
        <w:rPr>
          <w:rFonts w:asciiTheme="minorBidi" w:hAnsiTheme="minorBidi"/>
        </w:rPr>
        <w:t>e</w:t>
      </w:r>
      <w:r w:rsidRPr="006B0843">
        <w:rPr>
          <w:rFonts w:asciiTheme="minorBidi" w:hAnsiTheme="minorBidi"/>
        </w:rPr>
        <w:t xml:space="preserve">serves.  </w:t>
      </w:r>
    </w:p>
    <w:p w14:paraId="6141AAE9" w14:textId="77777777" w:rsidR="009507DA" w:rsidRPr="006B0843" w:rsidRDefault="009507DA" w:rsidP="009507DA">
      <w:pPr>
        <w:pStyle w:val="ListParagraph"/>
        <w:ind w:left="426"/>
        <w:jc w:val="both"/>
        <w:rPr>
          <w:rFonts w:asciiTheme="minorBidi" w:hAnsiTheme="minorBidi"/>
        </w:rPr>
      </w:pPr>
    </w:p>
    <w:p w14:paraId="734A00B6" w14:textId="07B0BC8F" w:rsidR="00DD775A" w:rsidRPr="006B0843" w:rsidRDefault="00DD775A" w:rsidP="00DD775A">
      <w:pPr>
        <w:pStyle w:val="Heading1"/>
        <w:keepLines w:val="0"/>
        <w:spacing w:before="0" w:after="240" w:line="246" w:lineRule="atLeast"/>
        <w:jc w:val="both"/>
        <w:rPr>
          <w:rFonts w:asciiTheme="minorBidi" w:hAnsiTheme="minorBidi" w:cstheme="minorBidi"/>
          <w:sz w:val="22"/>
          <w:szCs w:val="22"/>
        </w:rPr>
      </w:pPr>
      <w:bookmarkStart w:id="29" w:name="_Toc43963856"/>
      <w:r w:rsidRPr="006B0843">
        <w:rPr>
          <w:rFonts w:asciiTheme="minorBidi" w:hAnsiTheme="minorBidi" w:cstheme="minorBidi"/>
          <w:sz w:val="22"/>
          <w:szCs w:val="22"/>
        </w:rPr>
        <w:t>NON-EQUIVALENT ESTIMATES</w:t>
      </w:r>
      <w:bookmarkEnd w:id="29"/>
      <w:r w:rsidRPr="006B0843">
        <w:rPr>
          <w:rFonts w:asciiTheme="minorBidi" w:hAnsiTheme="minorBidi" w:cstheme="minorBidi"/>
          <w:sz w:val="22"/>
          <w:szCs w:val="22"/>
        </w:rPr>
        <w:t xml:space="preserve"> </w:t>
      </w:r>
    </w:p>
    <w:p w14:paraId="63726017" w14:textId="3AC833B2" w:rsidR="00DD775A" w:rsidRPr="006B0843" w:rsidRDefault="00DD775A" w:rsidP="00AA2317">
      <w:pPr>
        <w:pStyle w:val="Heading2"/>
        <w:tabs>
          <w:tab w:val="clear" w:pos="720"/>
          <w:tab w:val="num" w:pos="0"/>
        </w:tabs>
        <w:ind w:left="0" w:firstLine="0"/>
        <w:rPr>
          <w:rFonts w:asciiTheme="minorBidi" w:hAnsiTheme="minorBidi" w:cstheme="minorBidi"/>
          <w:sz w:val="22"/>
          <w:szCs w:val="22"/>
        </w:rPr>
      </w:pPr>
      <w:bookmarkStart w:id="30" w:name="_Toc43963857"/>
      <w:r w:rsidRPr="006B0843">
        <w:rPr>
          <w:rFonts w:asciiTheme="minorBidi" w:hAnsiTheme="minorBidi" w:cstheme="minorBidi"/>
          <w:sz w:val="22"/>
          <w:szCs w:val="22"/>
        </w:rPr>
        <w:t>When can Non-Equivalent Estimates be disclosed?</w:t>
      </w:r>
      <w:bookmarkEnd w:id="30"/>
      <w:r w:rsidRPr="006B0843">
        <w:rPr>
          <w:rFonts w:asciiTheme="minorBidi" w:hAnsiTheme="minorBidi" w:cstheme="minorBidi"/>
          <w:sz w:val="22"/>
          <w:szCs w:val="22"/>
        </w:rPr>
        <w:t xml:space="preserve"> </w:t>
      </w:r>
    </w:p>
    <w:p w14:paraId="1C81DA63" w14:textId="6B1F64CC" w:rsidR="00DD775A" w:rsidRPr="006B0843" w:rsidRDefault="007B075F" w:rsidP="00CF12F9">
      <w:pPr>
        <w:pStyle w:val="ListParagraph"/>
        <w:numPr>
          <w:ilvl w:val="0"/>
          <w:numId w:val="1"/>
        </w:numPr>
        <w:ind w:left="567" w:hanging="594"/>
        <w:jc w:val="both"/>
        <w:rPr>
          <w:rFonts w:asciiTheme="minorBidi" w:hAnsiTheme="minorBidi"/>
        </w:rPr>
      </w:pPr>
      <w:r w:rsidRPr="006B0843">
        <w:rPr>
          <w:rFonts w:asciiTheme="minorBidi" w:hAnsiTheme="minorBidi"/>
        </w:rPr>
        <w:t xml:space="preserve">Rule </w:t>
      </w:r>
      <w:r w:rsidR="00DD775A" w:rsidRPr="006B0843">
        <w:rPr>
          <w:rFonts w:asciiTheme="minorBidi" w:hAnsiTheme="minorBidi"/>
        </w:rPr>
        <w:t>11.2.1 operates such that any disclosure relating to Exploration Targets, Exploration Results, Mineral Resources or Ore Reserves is to be prepared in accordance with a Mining Reporting Standard.  Rule 11.7</w:t>
      </w:r>
      <w:r w:rsidR="00494980" w:rsidRPr="006B0843">
        <w:rPr>
          <w:rFonts w:asciiTheme="minorBidi" w:hAnsiTheme="minorBidi"/>
        </w:rPr>
        <w:t>.2</w:t>
      </w:r>
      <w:r w:rsidR="00DD775A" w:rsidRPr="006B0843">
        <w:rPr>
          <w:rFonts w:asciiTheme="minorBidi" w:hAnsiTheme="minorBidi"/>
        </w:rPr>
        <w:t xml:space="preserve"> </w:t>
      </w:r>
      <w:r w:rsidR="00494980" w:rsidRPr="006B0843">
        <w:rPr>
          <w:rFonts w:asciiTheme="minorBidi" w:hAnsiTheme="minorBidi"/>
        </w:rPr>
        <w:t xml:space="preserve">provides an exception to Rule 11.2.1 for a Mining Reporting Entity where that Mining Reporting Entity discloses material Non-Equivalent Estimates of Mineralisation.  Non-Equivalent Estimates are estimates classified under a reporting standard which is not deemed by </w:t>
      </w:r>
      <w:r w:rsidR="006726AA">
        <w:rPr>
          <w:rFonts w:asciiTheme="minorBidi" w:hAnsiTheme="minorBidi"/>
        </w:rPr>
        <w:t xml:space="preserve">the </w:t>
      </w:r>
      <w:r w:rsidR="00494980" w:rsidRPr="006B0843">
        <w:rPr>
          <w:rFonts w:asciiTheme="minorBidi" w:hAnsiTheme="minorBidi"/>
        </w:rPr>
        <w:t>FSRA as a Mining Reporting Standard.</w:t>
      </w:r>
    </w:p>
    <w:p w14:paraId="254376B2" w14:textId="0A7D8568" w:rsidR="00494980" w:rsidRPr="006B0843" w:rsidRDefault="00494980" w:rsidP="00CF12F9">
      <w:pPr>
        <w:pStyle w:val="ListParagraph"/>
        <w:ind w:left="567" w:hanging="594"/>
        <w:jc w:val="both"/>
        <w:rPr>
          <w:rFonts w:asciiTheme="minorBidi" w:hAnsiTheme="minorBidi"/>
        </w:rPr>
      </w:pPr>
    </w:p>
    <w:p w14:paraId="79595588" w14:textId="77777777" w:rsidR="00494980" w:rsidRPr="006B0843" w:rsidRDefault="00494980" w:rsidP="00CF12F9">
      <w:pPr>
        <w:pStyle w:val="ListParagraph"/>
        <w:numPr>
          <w:ilvl w:val="0"/>
          <w:numId w:val="1"/>
        </w:numPr>
        <w:ind w:left="567" w:hanging="594"/>
        <w:jc w:val="both"/>
        <w:rPr>
          <w:rFonts w:asciiTheme="minorBidi" w:hAnsiTheme="minorBidi"/>
        </w:rPr>
      </w:pPr>
      <w:r w:rsidRPr="006B0843">
        <w:rPr>
          <w:rFonts w:asciiTheme="minorBidi" w:hAnsiTheme="minorBidi"/>
        </w:rPr>
        <w:t>The ability of a Mining Reporting Entity to disclose Non-Equivalent Estimates under Rule 11.7.2 does not extend to disclosures of ‘non-material’ Non-Equivalent Estimates (e.g., the FSRA does not generally see it as acceptable practice for Mining Reporting Entities to be disclosing such non-material information).  This limitation also extends, via Rule 11.7.3, to situations where a Mining Reporting Entity attempts to disclose:</w:t>
      </w:r>
    </w:p>
    <w:p w14:paraId="2E393F36" w14:textId="77777777" w:rsidR="00494980" w:rsidRPr="006B0843" w:rsidRDefault="00494980" w:rsidP="00494980">
      <w:pPr>
        <w:pStyle w:val="ListParagraph"/>
        <w:rPr>
          <w:rFonts w:asciiTheme="minorBidi" w:hAnsiTheme="minorBidi"/>
        </w:rPr>
      </w:pPr>
    </w:p>
    <w:p w14:paraId="5557CEB1" w14:textId="77777777" w:rsidR="00494980" w:rsidRPr="006B0843" w:rsidRDefault="00494980" w:rsidP="00CF12F9">
      <w:pPr>
        <w:pStyle w:val="ListParagraph"/>
        <w:numPr>
          <w:ilvl w:val="0"/>
          <w:numId w:val="24"/>
        </w:numPr>
        <w:ind w:left="1134" w:hanging="567"/>
        <w:jc w:val="both"/>
        <w:rPr>
          <w:rFonts w:asciiTheme="minorBidi" w:hAnsiTheme="minorBidi"/>
        </w:rPr>
      </w:pPr>
      <w:r w:rsidRPr="006B0843">
        <w:rPr>
          <w:rFonts w:asciiTheme="minorBidi" w:hAnsiTheme="minorBidi"/>
        </w:rPr>
        <w:t>‘</w:t>
      </w:r>
      <w:proofErr w:type="gramStart"/>
      <w:r w:rsidRPr="006B0843">
        <w:rPr>
          <w:rFonts w:asciiTheme="minorBidi" w:hAnsiTheme="minorBidi"/>
        </w:rPr>
        <w:t>preliminary</w:t>
      </w:r>
      <w:proofErr w:type="gramEnd"/>
      <w:r w:rsidRPr="006B0843">
        <w:rPr>
          <w:rFonts w:asciiTheme="minorBidi" w:hAnsiTheme="minorBidi"/>
        </w:rPr>
        <w:t xml:space="preserve"> resources’ where the Mining Reporting Entity’s relevant Exploration and evaluation programs are incomplete;</w:t>
      </w:r>
    </w:p>
    <w:p w14:paraId="1772900D" w14:textId="3C653AB3" w:rsidR="00494980" w:rsidRPr="006B0843" w:rsidRDefault="00494980" w:rsidP="00CF12F9">
      <w:pPr>
        <w:pStyle w:val="ListParagraph"/>
        <w:ind w:left="1134" w:hanging="567"/>
        <w:jc w:val="both"/>
        <w:rPr>
          <w:rFonts w:asciiTheme="minorBidi" w:hAnsiTheme="minorBidi"/>
        </w:rPr>
      </w:pPr>
    </w:p>
    <w:p w14:paraId="7DEBD721" w14:textId="77777777" w:rsidR="00494980" w:rsidRPr="006B0843" w:rsidRDefault="00494980" w:rsidP="00CF12F9">
      <w:pPr>
        <w:pStyle w:val="ListParagraph"/>
        <w:numPr>
          <w:ilvl w:val="0"/>
          <w:numId w:val="24"/>
        </w:numPr>
        <w:ind w:left="1134" w:hanging="567"/>
        <w:jc w:val="both"/>
        <w:rPr>
          <w:rFonts w:asciiTheme="minorBidi" w:hAnsiTheme="minorBidi"/>
        </w:rPr>
      </w:pPr>
      <w:r w:rsidRPr="006B0843">
        <w:rPr>
          <w:rFonts w:asciiTheme="minorBidi" w:hAnsiTheme="minorBidi"/>
        </w:rPr>
        <w:t xml:space="preserve">Ore Reserves when the appropriate Technical Study(s) required by a Mining Reporting Standard to allow the conversion of Mineral Resources to Ore Reserves has not yet been </w:t>
      </w:r>
      <w:proofErr w:type="gramStart"/>
      <w:r w:rsidRPr="006B0843">
        <w:rPr>
          <w:rFonts w:asciiTheme="minorBidi" w:hAnsiTheme="minorBidi"/>
        </w:rPr>
        <w:t>completed;</w:t>
      </w:r>
      <w:proofErr w:type="gramEnd"/>
    </w:p>
    <w:p w14:paraId="404B2B80" w14:textId="77777777" w:rsidR="00494980" w:rsidRPr="006B0843" w:rsidRDefault="00494980" w:rsidP="00CF12F9">
      <w:pPr>
        <w:pStyle w:val="ListParagraph"/>
        <w:ind w:left="1134" w:hanging="567"/>
        <w:jc w:val="both"/>
        <w:rPr>
          <w:rFonts w:asciiTheme="minorBidi" w:hAnsiTheme="minorBidi"/>
        </w:rPr>
      </w:pPr>
    </w:p>
    <w:p w14:paraId="78D6ED4F" w14:textId="1E15364C" w:rsidR="00494980" w:rsidRPr="006B0843" w:rsidRDefault="00494980" w:rsidP="00CF12F9">
      <w:pPr>
        <w:pStyle w:val="ListParagraph"/>
        <w:numPr>
          <w:ilvl w:val="0"/>
          <w:numId w:val="24"/>
        </w:numPr>
        <w:ind w:left="1134" w:hanging="567"/>
        <w:jc w:val="both"/>
        <w:rPr>
          <w:rFonts w:asciiTheme="minorBidi" w:hAnsiTheme="minorBidi"/>
        </w:rPr>
      </w:pPr>
      <w:r w:rsidRPr="006B0843">
        <w:rPr>
          <w:rFonts w:asciiTheme="minorBidi" w:hAnsiTheme="minorBidi"/>
        </w:rPr>
        <w:t>Non-Equivalent Estimates of Mineralisation for areas adjacent to a Mining Reporting Entit</w:t>
      </w:r>
      <w:r w:rsidR="006C2467" w:rsidRPr="006B0843">
        <w:rPr>
          <w:rFonts w:asciiTheme="minorBidi" w:hAnsiTheme="minorBidi"/>
        </w:rPr>
        <w:t>y</w:t>
      </w:r>
      <w:r w:rsidRPr="006B0843">
        <w:rPr>
          <w:rFonts w:asciiTheme="minorBidi" w:hAnsiTheme="minorBidi"/>
        </w:rPr>
        <w:t>’s Mining Tenements; or</w:t>
      </w:r>
    </w:p>
    <w:p w14:paraId="3010A469" w14:textId="77777777" w:rsidR="00494980" w:rsidRPr="006B0843" w:rsidRDefault="00494980" w:rsidP="00CF12F9">
      <w:pPr>
        <w:pStyle w:val="ListParagraph"/>
        <w:ind w:left="1134" w:hanging="567"/>
        <w:jc w:val="both"/>
        <w:rPr>
          <w:rFonts w:asciiTheme="minorBidi" w:hAnsiTheme="minorBidi"/>
        </w:rPr>
      </w:pPr>
    </w:p>
    <w:p w14:paraId="2F2A102C" w14:textId="3C99E6D1" w:rsidR="00494980" w:rsidRPr="006B0843" w:rsidRDefault="00494980" w:rsidP="00CF12F9">
      <w:pPr>
        <w:pStyle w:val="ListParagraph"/>
        <w:numPr>
          <w:ilvl w:val="0"/>
          <w:numId w:val="24"/>
        </w:numPr>
        <w:ind w:left="1134" w:hanging="567"/>
        <w:jc w:val="both"/>
        <w:rPr>
          <w:rFonts w:asciiTheme="minorBidi" w:hAnsiTheme="minorBidi"/>
        </w:rPr>
      </w:pPr>
      <w:r w:rsidRPr="006B0843">
        <w:rPr>
          <w:rFonts w:asciiTheme="minorBidi" w:hAnsiTheme="minorBidi"/>
        </w:rPr>
        <w:t xml:space="preserve">with an intent to avoid the requirements of a Mining Reporting Standard and/or the Rules. </w:t>
      </w:r>
      <w:r w:rsidR="001E6358">
        <w:rPr>
          <w:rFonts w:asciiTheme="minorBidi" w:hAnsiTheme="minorBidi"/>
        </w:rPr>
        <w:t xml:space="preserve"> </w:t>
      </w:r>
      <w:r w:rsidRPr="006B0843">
        <w:rPr>
          <w:rFonts w:asciiTheme="minorBidi" w:hAnsiTheme="minorBidi"/>
        </w:rPr>
        <w:t xml:space="preserve">This includes a disclosure of estimates that would not fall within the letter, </w:t>
      </w:r>
      <w:proofErr w:type="gramStart"/>
      <w:r w:rsidRPr="006B0843">
        <w:rPr>
          <w:rFonts w:asciiTheme="minorBidi" w:hAnsiTheme="minorBidi"/>
        </w:rPr>
        <w:t>spirit</w:t>
      </w:r>
      <w:proofErr w:type="gramEnd"/>
      <w:r w:rsidRPr="006B0843">
        <w:rPr>
          <w:rFonts w:asciiTheme="minorBidi" w:hAnsiTheme="minorBidi"/>
        </w:rPr>
        <w:t xml:space="preserve"> or purpose of the definition of Non-Equivalent Estimates.  </w:t>
      </w:r>
    </w:p>
    <w:p w14:paraId="0173DECE" w14:textId="77777777" w:rsidR="00DD775A" w:rsidRPr="006B0843" w:rsidRDefault="00DD775A" w:rsidP="00DD775A">
      <w:pPr>
        <w:pStyle w:val="ListParagraph"/>
        <w:ind w:left="426"/>
        <w:jc w:val="both"/>
        <w:rPr>
          <w:rFonts w:asciiTheme="minorBidi" w:hAnsiTheme="minorBidi"/>
        </w:rPr>
      </w:pPr>
    </w:p>
    <w:p w14:paraId="5EEB47CF" w14:textId="67E16FF8" w:rsidR="00EE4B90" w:rsidRPr="006B0843" w:rsidRDefault="002732EE" w:rsidP="00CF12F9">
      <w:pPr>
        <w:pStyle w:val="ListParagraph"/>
        <w:numPr>
          <w:ilvl w:val="0"/>
          <w:numId w:val="1"/>
        </w:numPr>
        <w:ind w:left="567" w:hanging="594"/>
        <w:jc w:val="both"/>
        <w:rPr>
          <w:rFonts w:asciiTheme="minorBidi" w:hAnsiTheme="minorBidi"/>
        </w:rPr>
      </w:pPr>
      <w:r w:rsidRPr="006B0843">
        <w:rPr>
          <w:rFonts w:asciiTheme="minorBidi" w:hAnsiTheme="minorBidi"/>
        </w:rPr>
        <w:t>A Mining Reporting Entity wishing to disclose Non-Equivalent Estimates of Mineralisation under Rule 11.7.2 must comply with the requirement</w:t>
      </w:r>
      <w:r w:rsidR="006C2467" w:rsidRPr="006B0843">
        <w:rPr>
          <w:rFonts w:asciiTheme="minorBidi" w:hAnsiTheme="minorBidi"/>
        </w:rPr>
        <w:t>s</w:t>
      </w:r>
      <w:r w:rsidRPr="006B0843">
        <w:rPr>
          <w:rFonts w:asciiTheme="minorBidi" w:hAnsiTheme="minorBidi"/>
        </w:rPr>
        <w:t xml:space="preserve"> in Rules 11.7.3 to </w:t>
      </w:r>
      <w:r w:rsidRPr="006B0843">
        <w:rPr>
          <w:rFonts w:asciiTheme="minorBidi" w:hAnsiTheme="minorBidi"/>
        </w:rPr>
        <w:lastRenderedPageBreak/>
        <w:t>11.7.6.  If the Mining Reporting Entity is not able to comply with the requirements of these specific Rules, it cannot disclose the estimate.</w:t>
      </w:r>
      <w:r w:rsidR="00EE4B90" w:rsidRPr="006B0843">
        <w:rPr>
          <w:rFonts w:asciiTheme="minorBidi" w:hAnsiTheme="minorBidi"/>
        </w:rPr>
        <w:t xml:space="preserve"> </w:t>
      </w:r>
    </w:p>
    <w:p w14:paraId="12D1EC21" w14:textId="61462DF3" w:rsidR="00AD324F" w:rsidRPr="006B0843" w:rsidRDefault="00AD324F" w:rsidP="00AD324F">
      <w:pPr>
        <w:pStyle w:val="ListParagraph"/>
        <w:ind w:left="426"/>
        <w:jc w:val="both"/>
        <w:rPr>
          <w:rFonts w:asciiTheme="minorBidi" w:hAnsiTheme="minorBidi"/>
        </w:rPr>
      </w:pPr>
    </w:p>
    <w:p w14:paraId="456815D3" w14:textId="457FC992" w:rsidR="00AD324F" w:rsidRPr="006B0843" w:rsidRDefault="00AD324F" w:rsidP="00CF12F9">
      <w:pPr>
        <w:pStyle w:val="ListParagraph"/>
        <w:numPr>
          <w:ilvl w:val="0"/>
          <w:numId w:val="1"/>
        </w:numPr>
        <w:ind w:left="567" w:hanging="567"/>
        <w:jc w:val="both"/>
        <w:rPr>
          <w:rFonts w:asciiTheme="minorBidi" w:hAnsiTheme="minorBidi"/>
        </w:rPr>
      </w:pPr>
      <w:r w:rsidRPr="006B0843">
        <w:rPr>
          <w:rFonts w:asciiTheme="minorBidi" w:hAnsiTheme="minorBidi"/>
        </w:rPr>
        <w:t>It is important to note that Rule 11.7.1 prohibits a Mining Reporting Entity from including any Non-Equivalent Estimates of Mineralisation in any Technical Study of a Mining Reporting Entity’s Mineral Resources or Ore Reserves.</w:t>
      </w:r>
    </w:p>
    <w:p w14:paraId="014643AA" w14:textId="4F16A940" w:rsidR="00AD324F" w:rsidRPr="006B0843" w:rsidRDefault="00AD324F" w:rsidP="00AD324F">
      <w:pPr>
        <w:pStyle w:val="ListParagraph"/>
        <w:rPr>
          <w:rFonts w:asciiTheme="minorBidi" w:hAnsiTheme="minorBidi"/>
        </w:rPr>
      </w:pPr>
    </w:p>
    <w:p w14:paraId="06EAB656" w14:textId="72B09AC6" w:rsidR="00AD324F" w:rsidRPr="006B0843" w:rsidRDefault="00AD324F" w:rsidP="00AA2317">
      <w:pPr>
        <w:pStyle w:val="Heading2"/>
        <w:tabs>
          <w:tab w:val="clear" w:pos="720"/>
          <w:tab w:val="num" w:pos="0"/>
        </w:tabs>
        <w:ind w:left="0" w:firstLine="0"/>
        <w:rPr>
          <w:rFonts w:asciiTheme="minorBidi" w:hAnsiTheme="minorBidi" w:cstheme="minorBidi"/>
          <w:sz w:val="22"/>
          <w:szCs w:val="22"/>
        </w:rPr>
      </w:pPr>
      <w:bookmarkStart w:id="31" w:name="_Toc43963858"/>
      <w:r w:rsidRPr="006B0843">
        <w:rPr>
          <w:rFonts w:asciiTheme="minorBidi" w:hAnsiTheme="minorBidi" w:cstheme="minorBidi"/>
          <w:sz w:val="22"/>
          <w:szCs w:val="22"/>
        </w:rPr>
        <w:t>Non-Equivalent Estimates disclosure requirements</w:t>
      </w:r>
      <w:bookmarkEnd w:id="31"/>
      <w:r w:rsidRPr="006B0843">
        <w:rPr>
          <w:rFonts w:asciiTheme="minorBidi" w:hAnsiTheme="minorBidi" w:cstheme="minorBidi"/>
          <w:sz w:val="22"/>
          <w:szCs w:val="22"/>
        </w:rPr>
        <w:t xml:space="preserve"> </w:t>
      </w:r>
    </w:p>
    <w:p w14:paraId="56507BB7" w14:textId="7F17F056" w:rsidR="00AD324F" w:rsidRPr="006B0843" w:rsidRDefault="00AD324F" w:rsidP="00BB75FA">
      <w:pPr>
        <w:pStyle w:val="ListParagraph"/>
        <w:numPr>
          <w:ilvl w:val="0"/>
          <w:numId w:val="1"/>
        </w:numPr>
        <w:ind w:left="567" w:hanging="567"/>
        <w:jc w:val="both"/>
        <w:rPr>
          <w:rFonts w:asciiTheme="minorBidi" w:hAnsiTheme="minorBidi"/>
        </w:rPr>
      </w:pPr>
      <w:r w:rsidRPr="006B0843">
        <w:rPr>
          <w:rFonts w:asciiTheme="minorBidi" w:hAnsiTheme="minorBidi"/>
        </w:rPr>
        <w:t>Rule 11.7.4 sets out the information to be included in a disclosure relating to material Non-Equivalent Estimates of Mineralisation.  Rule 11.7.4(1) importantly requires that when a Mining Reporting Entity is disclosing Non-Equivalent Estimates, a prominent, and proximate, statement relating to the lack of appropriate classification work (under a Mining Reporting Standard) and the related uncertainty of further evaluation work is required within the disclosure.</w:t>
      </w:r>
    </w:p>
    <w:p w14:paraId="720C576E" w14:textId="592AA07C" w:rsidR="00AD324F" w:rsidRPr="006B0843" w:rsidRDefault="00AD324F" w:rsidP="00BB75FA">
      <w:pPr>
        <w:pStyle w:val="ListParagraph"/>
        <w:ind w:left="567" w:hanging="567"/>
        <w:jc w:val="both"/>
        <w:rPr>
          <w:rFonts w:asciiTheme="minorBidi" w:hAnsiTheme="minorBidi"/>
        </w:rPr>
      </w:pPr>
    </w:p>
    <w:p w14:paraId="25B55388" w14:textId="7738C706" w:rsidR="00AD324F" w:rsidRPr="006B0843" w:rsidRDefault="00AD324F" w:rsidP="00BB75FA">
      <w:pPr>
        <w:pStyle w:val="ListParagraph"/>
        <w:numPr>
          <w:ilvl w:val="0"/>
          <w:numId w:val="1"/>
        </w:numPr>
        <w:ind w:left="567" w:hanging="567"/>
        <w:jc w:val="both"/>
        <w:rPr>
          <w:rFonts w:asciiTheme="minorBidi" w:hAnsiTheme="minorBidi"/>
        </w:rPr>
      </w:pPr>
      <w:r w:rsidRPr="006B0843">
        <w:rPr>
          <w:rFonts w:asciiTheme="minorBidi" w:hAnsiTheme="minorBidi"/>
        </w:rPr>
        <w:t xml:space="preserve">Rule 11.7.4(2) requires the identification of the source and date of the Non-Equivalent Estimate. </w:t>
      </w:r>
      <w:r w:rsidR="001E6358">
        <w:rPr>
          <w:rFonts w:asciiTheme="minorBidi" w:hAnsiTheme="minorBidi"/>
        </w:rPr>
        <w:t xml:space="preserve"> </w:t>
      </w:r>
      <w:r w:rsidRPr="006B0843">
        <w:rPr>
          <w:rFonts w:asciiTheme="minorBidi" w:hAnsiTheme="minorBidi"/>
        </w:rPr>
        <w:t xml:space="preserve">The FSRA requires the original source and date of the estimate to be disclosed, and not a summary or restatement of that information that has, for example, been released by government agency or obtained from a </w:t>
      </w:r>
      <w:proofErr w:type="gramStart"/>
      <w:r w:rsidRPr="006B0843">
        <w:rPr>
          <w:rFonts w:asciiTheme="minorBidi" w:hAnsiTheme="minorBidi"/>
        </w:rPr>
        <w:t>third party</w:t>
      </w:r>
      <w:proofErr w:type="gramEnd"/>
      <w:r w:rsidRPr="006B0843">
        <w:rPr>
          <w:rFonts w:asciiTheme="minorBidi" w:hAnsiTheme="minorBidi"/>
        </w:rPr>
        <w:t xml:space="preserve"> database.  Rule 11.7.4(6) requires that a summary of the evaluation and/or exploration work on which the Non-Equivalent Estimates are based </w:t>
      </w:r>
      <w:proofErr w:type="gramStart"/>
      <w:r w:rsidRPr="006B0843">
        <w:rPr>
          <w:rFonts w:asciiTheme="minorBidi" w:hAnsiTheme="minorBidi"/>
        </w:rPr>
        <w:t>has to</w:t>
      </w:r>
      <w:proofErr w:type="gramEnd"/>
      <w:r w:rsidRPr="006B0843">
        <w:rPr>
          <w:rFonts w:asciiTheme="minorBidi" w:hAnsiTheme="minorBidi"/>
        </w:rPr>
        <w:t xml:space="preserve"> be disclosed.</w:t>
      </w:r>
    </w:p>
    <w:p w14:paraId="0ADCB2BF" w14:textId="77777777" w:rsidR="00AD324F" w:rsidRPr="006B0843" w:rsidRDefault="00AD324F" w:rsidP="00BB75FA">
      <w:pPr>
        <w:pStyle w:val="ListParagraph"/>
        <w:ind w:left="567" w:hanging="567"/>
        <w:rPr>
          <w:rFonts w:asciiTheme="minorBidi" w:hAnsiTheme="minorBidi"/>
        </w:rPr>
      </w:pPr>
    </w:p>
    <w:p w14:paraId="4B7F0283" w14:textId="761AACA7" w:rsidR="00BF6108" w:rsidRPr="006B0843" w:rsidRDefault="00BF6108" w:rsidP="00BB75FA">
      <w:pPr>
        <w:pStyle w:val="ListParagraph"/>
        <w:numPr>
          <w:ilvl w:val="0"/>
          <w:numId w:val="1"/>
        </w:numPr>
        <w:ind w:left="567" w:hanging="567"/>
        <w:jc w:val="both"/>
        <w:rPr>
          <w:rFonts w:asciiTheme="minorBidi" w:hAnsiTheme="minorBidi"/>
        </w:rPr>
      </w:pPr>
      <w:r w:rsidRPr="006B0843">
        <w:rPr>
          <w:rFonts w:asciiTheme="minorBidi" w:hAnsiTheme="minorBidi"/>
        </w:rPr>
        <w:t xml:space="preserve">Importantly, Rules 11.7.4(9) to (11) relate to the evaluation and/or Exploration work that needs to be undertaken to verify the Non-Equivalent Estimates as Mineral Resources or Ore Reserves in accordance with a Mining Reporting Standard.  Whilst the timing for this work is to be disclosed under Rule 11.7.4(10), Rule 11.7.4(11) requires a Mining Reporting Entity to disclose the proposed source of funding for the required evaluation and/or Exploration work. </w:t>
      </w:r>
    </w:p>
    <w:p w14:paraId="1222186B" w14:textId="77777777" w:rsidR="00BF6108" w:rsidRPr="006B0843" w:rsidRDefault="00BF6108" w:rsidP="00BB75FA">
      <w:pPr>
        <w:pStyle w:val="ListParagraph"/>
        <w:ind w:left="567" w:hanging="567"/>
        <w:rPr>
          <w:rFonts w:asciiTheme="minorBidi" w:hAnsiTheme="minorBidi"/>
        </w:rPr>
      </w:pPr>
    </w:p>
    <w:p w14:paraId="65752D05" w14:textId="630D4C3D" w:rsidR="00F13F49" w:rsidRPr="006B0843" w:rsidRDefault="00BF6108" w:rsidP="00BB75FA">
      <w:pPr>
        <w:pStyle w:val="ListParagraph"/>
        <w:numPr>
          <w:ilvl w:val="0"/>
          <w:numId w:val="1"/>
        </w:numPr>
        <w:ind w:left="567" w:hanging="567"/>
        <w:jc w:val="both"/>
        <w:rPr>
          <w:rFonts w:asciiTheme="minorBidi" w:hAnsiTheme="minorBidi"/>
        </w:rPr>
      </w:pPr>
      <w:r w:rsidRPr="006B0843">
        <w:rPr>
          <w:rFonts w:asciiTheme="minorBidi" w:hAnsiTheme="minorBidi"/>
        </w:rPr>
        <w:t xml:space="preserve">For </w:t>
      </w:r>
      <w:r w:rsidR="006C2467" w:rsidRPr="006B0843">
        <w:rPr>
          <w:rFonts w:asciiTheme="minorBidi" w:hAnsiTheme="minorBidi"/>
        </w:rPr>
        <w:t xml:space="preserve">requirements for </w:t>
      </w:r>
      <w:r w:rsidRPr="006B0843">
        <w:rPr>
          <w:rFonts w:asciiTheme="minorBidi" w:hAnsiTheme="minorBidi"/>
        </w:rPr>
        <w:t xml:space="preserve">subsequent disclosures of Non-Equivalent Estimates </w:t>
      </w:r>
      <w:r w:rsidR="006C2467" w:rsidRPr="006B0843">
        <w:rPr>
          <w:rFonts w:asciiTheme="minorBidi" w:hAnsiTheme="minorBidi"/>
        </w:rPr>
        <w:t xml:space="preserve">are outlined in </w:t>
      </w:r>
      <w:r w:rsidRPr="006B0843">
        <w:rPr>
          <w:rFonts w:asciiTheme="minorBidi" w:hAnsiTheme="minorBidi"/>
        </w:rPr>
        <w:t>Rule 11.7.5</w:t>
      </w:r>
      <w:r w:rsidR="006C2467" w:rsidRPr="006B0843">
        <w:rPr>
          <w:rFonts w:asciiTheme="minorBidi" w:hAnsiTheme="minorBidi"/>
        </w:rPr>
        <w:t xml:space="preserve">.  Amongst </w:t>
      </w:r>
      <w:r w:rsidRPr="006B0843">
        <w:rPr>
          <w:rFonts w:asciiTheme="minorBidi" w:hAnsiTheme="minorBidi"/>
        </w:rPr>
        <w:t xml:space="preserve">other requirements, the disclosure </w:t>
      </w:r>
      <w:r w:rsidR="006C2467" w:rsidRPr="006B0843">
        <w:rPr>
          <w:rFonts w:asciiTheme="minorBidi" w:hAnsiTheme="minorBidi"/>
        </w:rPr>
        <w:t xml:space="preserve">is </w:t>
      </w:r>
      <w:r w:rsidRPr="006B0843">
        <w:rPr>
          <w:rFonts w:asciiTheme="minorBidi" w:hAnsiTheme="minorBidi"/>
        </w:rPr>
        <w:t>to include a positive confirmation from the Mining Reporting Entity that there is no new material information or dat</w:t>
      </w:r>
      <w:r w:rsidR="006C2467" w:rsidRPr="006B0843">
        <w:rPr>
          <w:rFonts w:asciiTheme="minorBidi" w:hAnsiTheme="minorBidi"/>
        </w:rPr>
        <w:t>a</w:t>
      </w:r>
      <w:r w:rsidRPr="006B0843">
        <w:rPr>
          <w:rFonts w:asciiTheme="minorBidi" w:hAnsiTheme="minorBidi"/>
        </w:rPr>
        <w:t xml:space="preserve"> that would impact on the reliability or interpretation of the Non-Equivalent Estimates, or the Mining Reporting Entity’s ability </w:t>
      </w:r>
      <w:r w:rsidR="006C2467" w:rsidRPr="006B0843">
        <w:rPr>
          <w:rFonts w:asciiTheme="minorBidi" w:hAnsiTheme="minorBidi"/>
        </w:rPr>
        <w:t xml:space="preserve">to </w:t>
      </w:r>
      <w:r w:rsidRPr="006B0843">
        <w:rPr>
          <w:rFonts w:asciiTheme="minorBidi" w:hAnsiTheme="minorBidi"/>
        </w:rPr>
        <w:t>verify the Non-Equivalent Estimates as Mineral Resources or Ore Reserves in accordance with a Mining Reporting Standard.  The FSRA intends for this Rule to operate in such a way that a Mining Reporting Entity cannot be aware of this information and choose not to disclose it.</w:t>
      </w:r>
    </w:p>
    <w:p w14:paraId="7BF71E84" w14:textId="77777777" w:rsidR="00F13F49" w:rsidRPr="006B0843" w:rsidRDefault="00F13F49" w:rsidP="00BB75FA">
      <w:pPr>
        <w:pStyle w:val="ListParagraph"/>
        <w:ind w:left="567" w:hanging="567"/>
        <w:rPr>
          <w:rFonts w:asciiTheme="minorBidi" w:hAnsiTheme="minorBidi"/>
        </w:rPr>
      </w:pPr>
    </w:p>
    <w:p w14:paraId="5264C9EB" w14:textId="37F08F49" w:rsidR="00AD324F" w:rsidRPr="006B0843" w:rsidRDefault="00F13F49" w:rsidP="00BB75FA">
      <w:pPr>
        <w:pStyle w:val="ListParagraph"/>
        <w:numPr>
          <w:ilvl w:val="0"/>
          <w:numId w:val="1"/>
        </w:numPr>
        <w:ind w:left="567" w:hanging="567"/>
        <w:jc w:val="both"/>
        <w:rPr>
          <w:rFonts w:asciiTheme="minorBidi" w:hAnsiTheme="minorBidi"/>
        </w:rPr>
      </w:pPr>
      <w:r w:rsidRPr="006B0843">
        <w:rPr>
          <w:rFonts w:asciiTheme="minorBidi" w:hAnsiTheme="minorBidi"/>
        </w:rPr>
        <w:t>Pursuant to Rule 11.7.4(13), a disclosure containing Non-Equivalent Estimates must include a statement by a Competent Person that certain information in the disclosure (being the information provided under Rules 11.7.4(3) to (9)</w:t>
      </w:r>
      <w:r w:rsidR="006C2467" w:rsidRPr="006B0843">
        <w:rPr>
          <w:rFonts w:asciiTheme="minorBidi" w:hAnsiTheme="minorBidi"/>
        </w:rPr>
        <w:t>)</w:t>
      </w:r>
      <w:r w:rsidR="00BF6108" w:rsidRPr="006B0843">
        <w:rPr>
          <w:rFonts w:asciiTheme="minorBidi" w:hAnsiTheme="minorBidi"/>
        </w:rPr>
        <w:t xml:space="preserve"> </w:t>
      </w:r>
      <w:r w:rsidRPr="006B0843">
        <w:rPr>
          <w:rFonts w:asciiTheme="minorBidi" w:hAnsiTheme="minorBidi"/>
        </w:rPr>
        <w:t xml:space="preserve">is an accurate representation of the relevant data and related studies. </w:t>
      </w:r>
    </w:p>
    <w:p w14:paraId="5315EBD2" w14:textId="1660FDE1" w:rsidR="00372AAC" w:rsidRPr="006B0843" w:rsidRDefault="00372AAC" w:rsidP="00372AAC">
      <w:pPr>
        <w:pStyle w:val="ListParagraph"/>
        <w:rPr>
          <w:rFonts w:asciiTheme="minorBidi" w:hAnsiTheme="minorBidi"/>
        </w:rPr>
      </w:pPr>
    </w:p>
    <w:p w14:paraId="4CB6CF51" w14:textId="13F83810" w:rsidR="00372AAC" w:rsidRPr="006B0843" w:rsidRDefault="00F13F49" w:rsidP="00AA2317">
      <w:pPr>
        <w:pStyle w:val="Heading2"/>
        <w:tabs>
          <w:tab w:val="clear" w:pos="720"/>
          <w:tab w:val="num" w:pos="0"/>
        </w:tabs>
        <w:ind w:left="0" w:firstLine="0"/>
        <w:rPr>
          <w:rFonts w:asciiTheme="minorBidi" w:hAnsiTheme="minorBidi" w:cstheme="minorBidi"/>
          <w:sz w:val="22"/>
          <w:szCs w:val="22"/>
        </w:rPr>
      </w:pPr>
      <w:bookmarkStart w:id="32" w:name="_Toc43963859"/>
      <w:r w:rsidRPr="006B0843">
        <w:rPr>
          <w:rFonts w:asciiTheme="minorBidi" w:hAnsiTheme="minorBidi" w:cstheme="minorBidi"/>
          <w:sz w:val="22"/>
          <w:szCs w:val="22"/>
        </w:rPr>
        <w:t>Summary of Reserves and Resources</w:t>
      </w:r>
      <w:bookmarkEnd w:id="32"/>
    </w:p>
    <w:p w14:paraId="65C8FCCB" w14:textId="5B0CCC4E" w:rsidR="00F13F49" w:rsidRPr="006B0843" w:rsidRDefault="00F13F49" w:rsidP="00BB75FA">
      <w:pPr>
        <w:pStyle w:val="ListParagraph"/>
        <w:numPr>
          <w:ilvl w:val="0"/>
          <w:numId w:val="1"/>
        </w:numPr>
        <w:ind w:left="567" w:hanging="567"/>
        <w:jc w:val="both"/>
        <w:rPr>
          <w:rFonts w:asciiTheme="minorBidi" w:hAnsiTheme="minorBidi"/>
        </w:rPr>
      </w:pPr>
      <w:r w:rsidRPr="006B0843">
        <w:rPr>
          <w:rFonts w:asciiTheme="minorBidi" w:hAnsiTheme="minorBidi"/>
        </w:rPr>
        <w:t>Rule 11.7.6 requires that a Mining Reporting Entity that has disclosed Non-Equivalent Estimates under Rules 11.7.4 and 11.7.5 which have not subsequently been verified and disclosed as Mineral Resources or Ore Reserves in accordance with a Mining Reporting Standard</w:t>
      </w:r>
      <w:r w:rsidR="00696E44" w:rsidRPr="006B0843">
        <w:rPr>
          <w:rFonts w:asciiTheme="minorBidi" w:hAnsiTheme="minorBidi"/>
        </w:rPr>
        <w:t>, must include certain additional information in its Summary of Reserves and Resources, including:</w:t>
      </w:r>
    </w:p>
    <w:p w14:paraId="1506B816" w14:textId="77777777" w:rsidR="00696E44" w:rsidRPr="006B0843" w:rsidRDefault="00696E44" w:rsidP="00696E44">
      <w:pPr>
        <w:pStyle w:val="ListParagraph"/>
        <w:ind w:left="426"/>
        <w:jc w:val="both"/>
        <w:rPr>
          <w:rFonts w:asciiTheme="minorBidi" w:hAnsiTheme="minorBidi"/>
        </w:rPr>
      </w:pPr>
    </w:p>
    <w:p w14:paraId="75F88E8F" w14:textId="0C9C87BE" w:rsidR="00696E44" w:rsidRPr="006B0843" w:rsidRDefault="00696E44" w:rsidP="00BB75FA">
      <w:pPr>
        <w:pStyle w:val="ListParagraph"/>
        <w:numPr>
          <w:ilvl w:val="0"/>
          <w:numId w:val="25"/>
        </w:numPr>
        <w:ind w:left="1134" w:hanging="567"/>
        <w:jc w:val="both"/>
        <w:rPr>
          <w:rFonts w:asciiTheme="minorBidi" w:hAnsiTheme="minorBidi"/>
        </w:rPr>
      </w:pPr>
      <w:r w:rsidRPr="006B0843">
        <w:rPr>
          <w:rFonts w:asciiTheme="minorBidi" w:hAnsiTheme="minorBidi"/>
        </w:rPr>
        <w:t xml:space="preserve">the steps it has taken in evaluating the previously disclosed Non-Equivalent </w:t>
      </w:r>
      <w:proofErr w:type="gramStart"/>
      <w:r w:rsidRPr="006B0843">
        <w:rPr>
          <w:rFonts w:asciiTheme="minorBidi" w:hAnsiTheme="minorBidi"/>
        </w:rPr>
        <w:t>Estimates;</w:t>
      </w:r>
      <w:proofErr w:type="gramEnd"/>
    </w:p>
    <w:p w14:paraId="6C10340D" w14:textId="4983F5B3" w:rsidR="00696E44" w:rsidRPr="006B0843" w:rsidRDefault="00696E44" w:rsidP="00BB75FA">
      <w:pPr>
        <w:pStyle w:val="ListParagraph"/>
        <w:ind w:left="1134" w:hanging="567"/>
        <w:jc w:val="both"/>
        <w:rPr>
          <w:rFonts w:asciiTheme="minorBidi" w:hAnsiTheme="minorBidi"/>
        </w:rPr>
      </w:pPr>
    </w:p>
    <w:p w14:paraId="39C181F7" w14:textId="6E2A356F" w:rsidR="00696E44" w:rsidRPr="006B0843" w:rsidRDefault="00696E44" w:rsidP="00BB75FA">
      <w:pPr>
        <w:pStyle w:val="ListParagraph"/>
        <w:numPr>
          <w:ilvl w:val="0"/>
          <w:numId w:val="25"/>
        </w:numPr>
        <w:ind w:left="1134" w:hanging="567"/>
        <w:jc w:val="both"/>
        <w:rPr>
          <w:rFonts w:asciiTheme="minorBidi" w:hAnsiTheme="minorBidi"/>
        </w:rPr>
      </w:pPr>
      <w:r w:rsidRPr="006B0843">
        <w:rPr>
          <w:rFonts w:asciiTheme="minorBidi" w:hAnsiTheme="minorBidi"/>
        </w:rPr>
        <w:t xml:space="preserve">the status of any further evaluation and/or Exploration work required to verify and disclose the Non-Equivalent Estimates as Mineral Resources or Ore Reserves with a Mining Reporting </w:t>
      </w:r>
      <w:proofErr w:type="gramStart"/>
      <w:r w:rsidRPr="006B0843">
        <w:rPr>
          <w:rFonts w:asciiTheme="minorBidi" w:hAnsiTheme="minorBidi"/>
        </w:rPr>
        <w:t>Standard;</w:t>
      </w:r>
      <w:proofErr w:type="gramEnd"/>
    </w:p>
    <w:p w14:paraId="5E6CDF7C" w14:textId="77777777" w:rsidR="00696E44" w:rsidRPr="006B0843" w:rsidRDefault="00696E44" w:rsidP="00BB75FA">
      <w:pPr>
        <w:pStyle w:val="ListParagraph"/>
        <w:ind w:left="1134" w:hanging="567"/>
        <w:rPr>
          <w:rFonts w:asciiTheme="minorBidi" w:hAnsiTheme="minorBidi"/>
        </w:rPr>
      </w:pPr>
    </w:p>
    <w:p w14:paraId="3109D00A" w14:textId="6339C6BD" w:rsidR="00696E44" w:rsidRPr="006B0843" w:rsidRDefault="00696E44" w:rsidP="00BB75FA">
      <w:pPr>
        <w:pStyle w:val="ListParagraph"/>
        <w:numPr>
          <w:ilvl w:val="0"/>
          <w:numId w:val="25"/>
        </w:numPr>
        <w:ind w:left="1134" w:hanging="567"/>
        <w:jc w:val="both"/>
        <w:rPr>
          <w:rFonts w:asciiTheme="minorBidi" w:hAnsiTheme="minorBidi"/>
        </w:rPr>
      </w:pPr>
      <w:r w:rsidRPr="006B0843">
        <w:rPr>
          <w:rFonts w:asciiTheme="minorBidi" w:hAnsiTheme="minorBidi"/>
        </w:rPr>
        <w:t>the status of any proposed source of funding for the evaluation and/or Exploration work referred to above; and</w:t>
      </w:r>
    </w:p>
    <w:p w14:paraId="7B792B48" w14:textId="77777777" w:rsidR="00696E44" w:rsidRPr="006B0843" w:rsidRDefault="00696E44" w:rsidP="00BB75FA">
      <w:pPr>
        <w:pStyle w:val="ListParagraph"/>
        <w:ind w:left="1134" w:hanging="567"/>
        <w:rPr>
          <w:rFonts w:asciiTheme="minorBidi" w:hAnsiTheme="minorBidi"/>
        </w:rPr>
      </w:pPr>
    </w:p>
    <w:p w14:paraId="3A8A207E" w14:textId="5BAE7C8F" w:rsidR="00696E44" w:rsidRPr="006B0843" w:rsidRDefault="00696E44" w:rsidP="00BB75FA">
      <w:pPr>
        <w:pStyle w:val="ListParagraph"/>
        <w:numPr>
          <w:ilvl w:val="0"/>
          <w:numId w:val="25"/>
        </w:numPr>
        <w:ind w:left="1134" w:hanging="567"/>
        <w:jc w:val="both"/>
        <w:rPr>
          <w:rFonts w:asciiTheme="minorBidi" w:hAnsiTheme="minorBidi"/>
        </w:rPr>
      </w:pPr>
      <w:r w:rsidRPr="006B0843">
        <w:rPr>
          <w:rFonts w:asciiTheme="minorBidi" w:hAnsiTheme="minorBidi"/>
        </w:rPr>
        <w:t>if the Non-Equivalent Estimate</w:t>
      </w:r>
      <w:r w:rsidR="0093455A" w:rsidRPr="006B0843">
        <w:rPr>
          <w:rFonts w:asciiTheme="minorBidi" w:hAnsiTheme="minorBidi"/>
        </w:rPr>
        <w:t>s</w:t>
      </w:r>
      <w:r w:rsidRPr="006B0843">
        <w:rPr>
          <w:rFonts w:asciiTheme="minorBidi" w:hAnsiTheme="minorBidi"/>
        </w:rPr>
        <w:t xml:space="preserve"> have not been verified and disclosed as Mineral Resources or Ore Reserves in accordance with a Mining Reporting Standard after 3 years from the date they were initially disclose</w:t>
      </w:r>
      <w:r w:rsidR="0093455A" w:rsidRPr="006B0843">
        <w:rPr>
          <w:rFonts w:asciiTheme="minorBidi" w:hAnsiTheme="minorBidi"/>
        </w:rPr>
        <w:t>d</w:t>
      </w:r>
      <w:r w:rsidRPr="006B0843">
        <w:rPr>
          <w:rFonts w:asciiTheme="minorBidi" w:hAnsiTheme="minorBidi"/>
        </w:rPr>
        <w:t>, a statement explaining:</w:t>
      </w:r>
    </w:p>
    <w:p w14:paraId="252C44F1" w14:textId="77777777" w:rsidR="00696E44" w:rsidRPr="006B0843" w:rsidRDefault="00696E44" w:rsidP="00696E44">
      <w:pPr>
        <w:pStyle w:val="ListParagraph"/>
        <w:rPr>
          <w:rFonts w:asciiTheme="minorBidi" w:hAnsiTheme="minorBidi"/>
        </w:rPr>
      </w:pPr>
    </w:p>
    <w:p w14:paraId="056E0E2A" w14:textId="43348F93" w:rsidR="00696E44" w:rsidRPr="006B0843" w:rsidRDefault="00696E44" w:rsidP="00BB75FA">
      <w:pPr>
        <w:pStyle w:val="ListParagraph"/>
        <w:numPr>
          <w:ilvl w:val="1"/>
          <w:numId w:val="25"/>
        </w:numPr>
        <w:ind w:left="1701" w:hanging="567"/>
        <w:jc w:val="both"/>
        <w:rPr>
          <w:rFonts w:asciiTheme="minorBidi" w:hAnsiTheme="minorBidi"/>
        </w:rPr>
      </w:pPr>
      <w:r w:rsidRPr="006B0843">
        <w:rPr>
          <w:rFonts w:asciiTheme="minorBidi" w:hAnsiTheme="minorBidi"/>
        </w:rPr>
        <w:t>why the Non-Equivalent Estimates have not been verified and disclosed as Mineral Resources or Ore Reserves in accordance with a Mining Reporting Standard; and</w:t>
      </w:r>
    </w:p>
    <w:p w14:paraId="5274CC00" w14:textId="698A5539" w:rsidR="00696E44" w:rsidRPr="006B0843" w:rsidRDefault="00696E44" w:rsidP="00BB75FA">
      <w:pPr>
        <w:pStyle w:val="ListParagraph"/>
        <w:ind w:left="1701" w:hanging="567"/>
        <w:jc w:val="both"/>
        <w:rPr>
          <w:rFonts w:asciiTheme="minorBidi" w:hAnsiTheme="minorBidi"/>
        </w:rPr>
      </w:pPr>
    </w:p>
    <w:p w14:paraId="442D61C9" w14:textId="2AF7713D" w:rsidR="00696E44" w:rsidRPr="006B0843" w:rsidRDefault="00696E44" w:rsidP="00BB75FA">
      <w:pPr>
        <w:pStyle w:val="ListParagraph"/>
        <w:numPr>
          <w:ilvl w:val="1"/>
          <w:numId w:val="25"/>
        </w:numPr>
        <w:ind w:left="1701" w:hanging="567"/>
        <w:jc w:val="both"/>
        <w:rPr>
          <w:rFonts w:asciiTheme="minorBidi" w:hAnsiTheme="minorBidi"/>
        </w:rPr>
      </w:pPr>
      <w:r w:rsidRPr="006B0843">
        <w:rPr>
          <w:rFonts w:asciiTheme="minorBidi" w:hAnsiTheme="minorBidi"/>
        </w:rPr>
        <w:t xml:space="preserve">the Mining Reporting Entity’s intention, proposed </w:t>
      </w:r>
      <w:proofErr w:type="gramStart"/>
      <w:r w:rsidRPr="006B0843">
        <w:rPr>
          <w:rFonts w:asciiTheme="minorBidi" w:hAnsiTheme="minorBidi"/>
        </w:rPr>
        <w:t>timetable</w:t>
      </w:r>
      <w:proofErr w:type="gramEnd"/>
      <w:r w:rsidRPr="006B0843">
        <w:rPr>
          <w:rFonts w:asciiTheme="minorBidi" w:hAnsiTheme="minorBidi"/>
        </w:rPr>
        <w:t xml:space="preserve"> and proposed source of funding with regard to verifying and disclosing the Non-Equivalent Estimates as Mineral Resources or Ore Reserves in accordance with a Mining Reporting Standard.</w:t>
      </w:r>
    </w:p>
    <w:p w14:paraId="04655412" w14:textId="77777777" w:rsidR="00F13F49" w:rsidRPr="006B0843" w:rsidRDefault="00F13F49" w:rsidP="00F13F49">
      <w:pPr>
        <w:pStyle w:val="ListParagraph"/>
        <w:ind w:left="426"/>
        <w:jc w:val="both"/>
        <w:rPr>
          <w:rFonts w:asciiTheme="minorBidi" w:hAnsiTheme="minorBidi"/>
        </w:rPr>
      </w:pPr>
    </w:p>
    <w:p w14:paraId="04F629A8" w14:textId="034481AA" w:rsidR="00276E9D" w:rsidRPr="006B0843" w:rsidRDefault="00276E9D" w:rsidP="00BB75FA">
      <w:pPr>
        <w:pStyle w:val="ListParagraph"/>
        <w:numPr>
          <w:ilvl w:val="0"/>
          <w:numId w:val="1"/>
        </w:numPr>
        <w:ind w:left="567" w:hanging="567"/>
        <w:jc w:val="both"/>
        <w:rPr>
          <w:rFonts w:asciiTheme="minorBidi" w:hAnsiTheme="minorBidi"/>
        </w:rPr>
      </w:pPr>
      <w:r w:rsidRPr="006B0843">
        <w:rPr>
          <w:rFonts w:asciiTheme="minorBidi" w:hAnsiTheme="minorBidi"/>
        </w:rPr>
        <w:t xml:space="preserve">The requirement to disclose the source of funding is an important one, as this will require Mining Reporting Entities to disclose both the expected work program, and the funding position in relation </w:t>
      </w:r>
      <w:r w:rsidR="00825A28" w:rsidRPr="006B0843">
        <w:rPr>
          <w:rFonts w:asciiTheme="minorBidi" w:hAnsiTheme="minorBidi"/>
        </w:rPr>
        <w:t xml:space="preserve">to that work program. </w:t>
      </w:r>
    </w:p>
    <w:p w14:paraId="762F00F1" w14:textId="4AB182F3" w:rsidR="00825A28" w:rsidRPr="006B0843" w:rsidRDefault="00825A28" w:rsidP="00BB75FA">
      <w:pPr>
        <w:pStyle w:val="ListParagraph"/>
        <w:ind w:left="567" w:hanging="567"/>
        <w:jc w:val="both"/>
        <w:rPr>
          <w:rFonts w:asciiTheme="minorBidi" w:hAnsiTheme="minorBidi"/>
        </w:rPr>
      </w:pPr>
    </w:p>
    <w:p w14:paraId="5FED7F24" w14:textId="77777777" w:rsidR="00825A28" w:rsidRPr="006B0843" w:rsidRDefault="00825A28" w:rsidP="00BB75FA">
      <w:pPr>
        <w:pStyle w:val="ListParagraph"/>
        <w:numPr>
          <w:ilvl w:val="0"/>
          <w:numId w:val="1"/>
        </w:numPr>
        <w:ind w:left="567" w:hanging="567"/>
        <w:jc w:val="both"/>
        <w:rPr>
          <w:rFonts w:asciiTheme="minorBidi" w:hAnsiTheme="minorBidi"/>
        </w:rPr>
      </w:pPr>
      <w:r w:rsidRPr="006B0843">
        <w:rPr>
          <w:rFonts w:asciiTheme="minorBidi" w:hAnsiTheme="minorBidi"/>
        </w:rPr>
        <w:t>Save for including the information/explanations required above in a Summary of Reserves and Resources, Non-Equivalent Estimates must not be included in the information (presented as Mineral Resources or Ore Reserves) as they do not meet the requirement to be classified as Mineral Resources under a Mining Reporting Standard.  For this reason, the FSRA encourages Mining Reporting Entities that have disclosed Non-Equivalent Estimates under Rules 11.7.4 and 11.7.5 to undertake the work required to verify them as Mineral Resources or Ore Reserves in accordance with a Mining Reporting Standard, as quickly and practically as possible.</w:t>
      </w:r>
    </w:p>
    <w:p w14:paraId="60511BD6" w14:textId="62480383" w:rsidR="00825A28" w:rsidRPr="006B0843" w:rsidRDefault="00825A28" w:rsidP="00825A28">
      <w:pPr>
        <w:rPr>
          <w:rFonts w:asciiTheme="minorBidi" w:hAnsiTheme="minorBidi"/>
        </w:rPr>
      </w:pPr>
    </w:p>
    <w:p w14:paraId="3477BBE3" w14:textId="0483F2D3" w:rsidR="00825A28" w:rsidRPr="006B0843" w:rsidRDefault="00825A28" w:rsidP="00825A28">
      <w:pPr>
        <w:pStyle w:val="Heading1"/>
        <w:keepLines w:val="0"/>
        <w:spacing w:before="0" w:after="240" w:line="246" w:lineRule="atLeast"/>
        <w:jc w:val="both"/>
        <w:rPr>
          <w:rFonts w:asciiTheme="minorBidi" w:hAnsiTheme="minorBidi" w:cstheme="minorBidi"/>
          <w:sz w:val="22"/>
          <w:szCs w:val="22"/>
        </w:rPr>
      </w:pPr>
      <w:bookmarkStart w:id="33" w:name="_Toc43963860"/>
      <w:r w:rsidRPr="006B0843">
        <w:rPr>
          <w:rFonts w:asciiTheme="minorBidi" w:hAnsiTheme="minorBidi" w:cstheme="minorBidi"/>
          <w:sz w:val="22"/>
          <w:szCs w:val="22"/>
        </w:rPr>
        <w:t>PRODUCTION TARGETS</w:t>
      </w:r>
      <w:bookmarkEnd w:id="33"/>
      <w:r w:rsidRPr="006B0843">
        <w:rPr>
          <w:rFonts w:asciiTheme="minorBidi" w:hAnsiTheme="minorBidi" w:cstheme="minorBidi"/>
          <w:sz w:val="22"/>
          <w:szCs w:val="22"/>
        </w:rPr>
        <w:t xml:space="preserve"> </w:t>
      </w:r>
    </w:p>
    <w:p w14:paraId="3044ABCE" w14:textId="222FF3E4" w:rsidR="00825A28" w:rsidRPr="006B0843" w:rsidRDefault="00825A28" w:rsidP="00BB75FA">
      <w:pPr>
        <w:pStyle w:val="ListParagraph"/>
        <w:numPr>
          <w:ilvl w:val="0"/>
          <w:numId w:val="1"/>
        </w:numPr>
        <w:ind w:left="567" w:hanging="567"/>
        <w:jc w:val="both"/>
        <w:rPr>
          <w:rFonts w:asciiTheme="minorBidi" w:hAnsiTheme="minorBidi"/>
        </w:rPr>
      </w:pPr>
      <w:r w:rsidRPr="006B0843">
        <w:rPr>
          <w:rFonts w:asciiTheme="minorBidi" w:hAnsiTheme="minorBidi"/>
        </w:rPr>
        <w:t>Rule 11.8 sets out the requirements for disclosing certain types of Production Target</w:t>
      </w:r>
      <w:r w:rsidR="0093455A" w:rsidRPr="006B0843">
        <w:rPr>
          <w:rFonts w:asciiTheme="minorBidi" w:hAnsiTheme="minorBidi"/>
        </w:rPr>
        <w:t>s</w:t>
      </w:r>
      <w:r w:rsidRPr="006B0843">
        <w:rPr>
          <w:rFonts w:asciiTheme="minorBidi" w:hAnsiTheme="minorBidi"/>
        </w:rPr>
        <w:t xml:space="preserve">.  The FSRA emphasises that Production Targets are forward looking statements. A Production Target must, therefore, be based on reasonable grounds or it will </w:t>
      </w:r>
      <w:r w:rsidR="0093455A" w:rsidRPr="006B0843">
        <w:rPr>
          <w:rFonts w:asciiTheme="minorBidi" w:hAnsiTheme="minorBidi"/>
        </w:rPr>
        <w:t xml:space="preserve">otherwise </w:t>
      </w:r>
      <w:r w:rsidRPr="006B0843">
        <w:rPr>
          <w:rFonts w:asciiTheme="minorBidi" w:hAnsiTheme="minorBidi"/>
        </w:rPr>
        <w:t xml:space="preserve">be deemed misleading. </w:t>
      </w:r>
      <w:r w:rsidR="0093455A" w:rsidRPr="006B0843">
        <w:rPr>
          <w:rFonts w:asciiTheme="minorBidi" w:hAnsiTheme="minorBidi"/>
        </w:rPr>
        <w:t xml:space="preserve"> </w:t>
      </w:r>
      <w:r w:rsidR="0019795E" w:rsidRPr="006B0843">
        <w:rPr>
          <w:rFonts w:asciiTheme="minorBidi" w:hAnsiTheme="minorBidi"/>
        </w:rPr>
        <w:t>An appropriate level of due diligence must, as a result, be applied to the preparation of a Production Target.  The assumptions and underlying</w:t>
      </w:r>
      <w:r w:rsidRPr="006B0843">
        <w:rPr>
          <w:rFonts w:asciiTheme="minorBidi" w:hAnsiTheme="minorBidi"/>
        </w:rPr>
        <w:t xml:space="preserve"> </w:t>
      </w:r>
      <w:r w:rsidR="0019795E" w:rsidRPr="006B0843">
        <w:rPr>
          <w:rFonts w:asciiTheme="minorBidi" w:hAnsiTheme="minorBidi"/>
        </w:rPr>
        <w:t>figures used in preparing a Production Target need to be carefully vetted and signed off at a suitably senior level within the Mining Reporting Entity before it is disclosed.</w:t>
      </w:r>
    </w:p>
    <w:p w14:paraId="73258A70" w14:textId="016BCDE8" w:rsidR="0019795E" w:rsidRPr="006B0843" w:rsidRDefault="0019795E" w:rsidP="0019795E">
      <w:pPr>
        <w:ind w:left="-27"/>
        <w:jc w:val="both"/>
        <w:rPr>
          <w:rFonts w:asciiTheme="minorBidi" w:hAnsiTheme="minorBidi"/>
        </w:rPr>
      </w:pPr>
    </w:p>
    <w:p w14:paraId="12759A99" w14:textId="05030347" w:rsidR="0019795E" w:rsidRPr="006B0843" w:rsidRDefault="0019795E" w:rsidP="00AA2317">
      <w:pPr>
        <w:pStyle w:val="Heading2"/>
        <w:tabs>
          <w:tab w:val="clear" w:pos="720"/>
          <w:tab w:val="num" w:pos="0"/>
        </w:tabs>
        <w:ind w:left="0" w:firstLine="0"/>
        <w:rPr>
          <w:rFonts w:asciiTheme="minorBidi" w:hAnsiTheme="minorBidi" w:cstheme="minorBidi"/>
          <w:sz w:val="22"/>
          <w:szCs w:val="22"/>
        </w:rPr>
      </w:pPr>
      <w:bookmarkStart w:id="34" w:name="_Toc43963861"/>
      <w:r w:rsidRPr="006B0843">
        <w:rPr>
          <w:rFonts w:asciiTheme="minorBidi" w:hAnsiTheme="minorBidi" w:cstheme="minorBidi"/>
          <w:sz w:val="22"/>
          <w:szCs w:val="22"/>
        </w:rPr>
        <w:t>What constitutes reasonable grounds?</w:t>
      </w:r>
      <w:bookmarkEnd w:id="34"/>
    </w:p>
    <w:p w14:paraId="6A4393A4" w14:textId="58382EFC" w:rsidR="0019795E" w:rsidRPr="006B0843" w:rsidRDefault="0019795E" w:rsidP="00BB75FA">
      <w:pPr>
        <w:pStyle w:val="ListParagraph"/>
        <w:numPr>
          <w:ilvl w:val="0"/>
          <w:numId w:val="1"/>
        </w:numPr>
        <w:ind w:left="567" w:hanging="567"/>
        <w:jc w:val="both"/>
        <w:rPr>
          <w:rFonts w:asciiTheme="minorBidi" w:hAnsiTheme="minorBidi"/>
        </w:rPr>
      </w:pPr>
      <w:r w:rsidRPr="006B0843">
        <w:rPr>
          <w:rFonts w:asciiTheme="minorBidi" w:hAnsiTheme="minorBidi"/>
        </w:rPr>
        <w:t xml:space="preserve">As set out above, it is the responsibility of a Mining Reporting Entity disclosing a Production Target to ensure that it has reasonable grounds to do so. </w:t>
      </w:r>
      <w:r w:rsidR="001E6358">
        <w:rPr>
          <w:rFonts w:asciiTheme="minorBidi" w:hAnsiTheme="minorBidi"/>
        </w:rPr>
        <w:t xml:space="preserve"> </w:t>
      </w:r>
      <w:r w:rsidR="0093455A" w:rsidRPr="006B0843">
        <w:rPr>
          <w:rFonts w:asciiTheme="minorBidi" w:hAnsiTheme="minorBidi"/>
        </w:rPr>
        <w:t>‘</w:t>
      </w:r>
      <w:r w:rsidRPr="006B0843">
        <w:rPr>
          <w:rFonts w:asciiTheme="minorBidi" w:hAnsiTheme="minorBidi"/>
        </w:rPr>
        <w:t>Reasonable grounds</w:t>
      </w:r>
      <w:r w:rsidR="0093455A" w:rsidRPr="006B0843">
        <w:rPr>
          <w:rFonts w:asciiTheme="minorBidi" w:hAnsiTheme="minorBidi"/>
        </w:rPr>
        <w:t>’</w:t>
      </w:r>
      <w:r w:rsidRPr="006B0843">
        <w:rPr>
          <w:rFonts w:asciiTheme="minorBidi" w:hAnsiTheme="minorBidi"/>
        </w:rPr>
        <w:t xml:space="preserve"> extend not only to the Mineralisation underpinning a Production Target, but also to any assumptions regarding modifying factors (including, for example, the ‘modifying factors; set out within Table 1 of the SAMREC Code or JORC Code). </w:t>
      </w:r>
    </w:p>
    <w:p w14:paraId="217C200A" w14:textId="4F578DC9" w:rsidR="0019795E" w:rsidRPr="006B0843" w:rsidRDefault="0019795E" w:rsidP="0019795E">
      <w:pPr>
        <w:pStyle w:val="ListParagraph"/>
        <w:ind w:left="426"/>
        <w:jc w:val="both"/>
        <w:rPr>
          <w:rFonts w:asciiTheme="minorBidi" w:hAnsiTheme="minorBidi"/>
        </w:rPr>
      </w:pPr>
    </w:p>
    <w:p w14:paraId="2D53491D" w14:textId="6C8EF8A1" w:rsidR="0019795E" w:rsidRPr="006B0843" w:rsidRDefault="0019795E" w:rsidP="00BB75FA">
      <w:pPr>
        <w:pStyle w:val="ListParagraph"/>
        <w:numPr>
          <w:ilvl w:val="0"/>
          <w:numId w:val="1"/>
        </w:numPr>
        <w:ind w:left="567" w:hanging="567"/>
        <w:jc w:val="both"/>
        <w:rPr>
          <w:rFonts w:asciiTheme="minorBidi" w:hAnsiTheme="minorBidi"/>
        </w:rPr>
      </w:pPr>
      <w:r w:rsidRPr="006B0843">
        <w:rPr>
          <w:rFonts w:asciiTheme="minorBidi" w:hAnsiTheme="minorBidi"/>
        </w:rPr>
        <w:lastRenderedPageBreak/>
        <w:t xml:space="preserve">What </w:t>
      </w:r>
      <w:r w:rsidR="0093455A" w:rsidRPr="006B0843">
        <w:rPr>
          <w:rFonts w:asciiTheme="minorBidi" w:hAnsiTheme="minorBidi"/>
        </w:rPr>
        <w:t xml:space="preserve">will </w:t>
      </w:r>
      <w:r w:rsidRPr="006B0843">
        <w:rPr>
          <w:rFonts w:asciiTheme="minorBidi" w:hAnsiTheme="minorBidi"/>
        </w:rPr>
        <w:t xml:space="preserve">constitute ‘reasonable grounds’ for </w:t>
      </w:r>
      <w:r w:rsidR="0093455A" w:rsidRPr="006B0843">
        <w:rPr>
          <w:rFonts w:asciiTheme="minorBidi" w:hAnsiTheme="minorBidi"/>
        </w:rPr>
        <w:t xml:space="preserve">disclosure of </w:t>
      </w:r>
      <w:r w:rsidRPr="006B0843">
        <w:rPr>
          <w:rFonts w:asciiTheme="minorBidi" w:hAnsiTheme="minorBidi"/>
        </w:rPr>
        <w:t xml:space="preserve">a Production Target must be </w:t>
      </w:r>
      <w:r w:rsidR="0093455A" w:rsidRPr="006B0843">
        <w:rPr>
          <w:rFonts w:asciiTheme="minorBidi" w:hAnsiTheme="minorBidi"/>
        </w:rPr>
        <w:t xml:space="preserve">considered and </w:t>
      </w:r>
      <w:r w:rsidRPr="006B0843">
        <w:rPr>
          <w:rFonts w:asciiTheme="minorBidi" w:hAnsiTheme="minorBidi"/>
        </w:rPr>
        <w:t>judged according to the facts and circumstances of each case, and the requirements of FSMR</w:t>
      </w:r>
      <w:r w:rsidR="0093455A" w:rsidRPr="006B0843">
        <w:rPr>
          <w:rFonts w:asciiTheme="minorBidi" w:hAnsiTheme="minorBidi"/>
        </w:rPr>
        <w:t>.</w:t>
      </w:r>
      <w:r w:rsidR="00CC1CC6" w:rsidRPr="006B0843">
        <w:rPr>
          <w:rStyle w:val="FootnoteReference"/>
          <w:rFonts w:asciiTheme="minorBidi" w:hAnsiTheme="minorBidi"/>
        </w:rPr>
        <w:footnoteReference w:id="9"/>
      </w:r>
      <w:r w:rsidRPr="006B0843">
        <w:rPr>
          <w:rFonts w:asciiTheme="minorBidi" w:hAnsiTheme="minorBidi"/>
        </w:rPr>
        <w:t xml:space="preserve"> </w:t>
      </w:r>
      <w:r w:rsidR="00CC1CC6" w:rsidRPr="006B0843">
        <w:rPr>
          <w:rFonts w:asciiTheme="minorBidi" w:hAnsiTheme="minorBidi"/>
        </w:rPr>
        <w:t xml:space="preserve"> The FSRA is of the view, however, that:</w:t>
      </w:r>
    </w:p>
    <w:p w14:paraId="07B42883" w14:textId="77777777" w:rsidR="00CC1CC6" w:rsidRPr="006B0843" w:rsidRDefault="00CC1CC6" w:rsidP="00CC1CC6">
      <w:pPr>
        <w:pStyle w:val="ListParagraph"/>
        <w:rPr>
          <w:rFonts w:asciiTheme="minorBidi" w:hAnsiTheme="minorBidi"/>
        </w:rPr>
      </w:pPr>
    </w:p>
    <w:p w14:paraId="62FFD5F1" w14:textId="77777777" w:rsidR="00CC1CC6" w:rsidRPr="006B0843" w:rsidRDefault="00CC1CC6" w:rsidP="00BB75FA">
      <w:pPr>
        <w:pStyle w:val="ListParagraph"/>
        <w:numPr>
          <w:ilvl w:val="0"/>
          <w:numId w:val="26"/>
        </w:numPr>
        <w:ind w:left="1134" w:hanging="567"/>
        <w:jc w:val="both"/>
        <w:rPr>
          <w:rFonts w:asciiTheme="minorBidi" w:hAnsiTheme="minorBidi"/>
        </w:rPr>
      </w:pPr>
      <w:r w:rsidRPr="006B0843">
        <w:rPr>
          <w:rFonts w:asciiTheme="minorBidi" w:hAnsiTheme="minorBidi"/>
        </w:rPr>
        <w:t xml:space="preserve">Probable Ore Reserves or Proved Ore Reserves will generally provide a reasonable basis for the disclosure of a Production Target, given the level of geological knowledge and confidence, and the consideration of the modifying factors, </w:t>
      </w:r>
      <w:proofErr w:type="gramStart"/>
      <w:r w:rsidRPr="006B0843">
        <w:rPr>
          <w:rFonts w:asciiTheme="minorBidi" w:hAnsiTheme="minorBidi"/>
        </w:rPr>
        <w:t>involved;</w:t>
      </w:r>
      <w:proofErr w:type="gramEnd"/>
    </w:p>
    <w:p w14:paraId="4B68C8E0" w14:textId="316A3D29" w:rsidR="00CC1CC6" w:rsidRPr="006B0843" w:rsidRDefault="00CC1CC6" w:rsidP="00BB75FA">
      <w:pPr>
        <w:pStyle w:val="ListParagraph"/>
        <w:ind w:left="1134" w:hanging="567"/>
        <w:jc w:val="both"/>
        <w:rPr>
          <w:rFonts w:asciiTheme="minorBidi" w:hAnsiTheme="minorBidi"/>
        </w:rPr>
      </w:pPr>
    </w:p>
    <w:p w14:paraId="1E8CD08C" w14:textId="28C3D69B" w:rsidR="00635E4A" w:rsidRPr="006B0843" w:rsidRDefault="00CC1CC6" w:rsidP="00BB75FA">
      <w:pPr>
        <w:pStyle w:val="ListParagraph"/>
        <w:numPr>
          <w:ilvl w:val="0"/>
          <w:numId w:val="26"/>
        </w:numPr>
        <w:ind w:left="1134" w:hanging="567"/>
        <w:jc w:val="both"/>
        <w:rPr>
          <w:rFonts w:asciiTheme="minorBidi" w:hAnsiTheme="minorBidi"/>
        </w:rPr>
      </w:pPr>
      <w:r w:rsidRPr="006B0843">
        <w:rPr>
          <w:rFonts w:asciiTheme="minorBidi" w:hAnsiTheme="minorBidi"/>
        </w:rPr>
        <w:t>Indicated Mineral Resources or Measured Mineral Resources may provide a reasonable basis for</w:t>
      </w:r>
      <w:r w:rsidR="0093455A" w:rsidRPr="006B0843">
        <w:rPr>
          <w:rFonts w:asciiTheme="minorBidi" w:hAnsiTheme="minorBidi"/>
        </w:rPr>
        <w:t xml:space="preserve"> disclosure of</w:t>
      </w:r>
      <w:r w:rsidRPr="006B0843">
        <w:rPr>
          <w:rFonts w:asciiTheme="minorBidi" w:hAnsiTheme="minorBidi"/>
        </w:rPr>
        <w:t xml:space="preserve"> a Production Target, provided a Mining Reporting Entity has given sufficient consi</w:t>
      </w:r>
      <w:r w:rsidR="00635E4A" w:rsidRPr="006B0843">
        <w:rPr>
          <w:rFonts w:asciiTheme="minorBidi" w:hAnsiTheme="minorBidi"/>
        </w:rPr>
        <w:t xml:space="preserve">deration to the modifying factors in order to have reasonable grounds, and the Mining Reporting Entity clearly discloses the material assumptions it has made in this </w:t>
      </w:r>
      <w:proofErr w:type="gramStart"/>
      <w:r w:rsidR="00635E4A" w:rsidRPr="006B0843">
        <w:rPr>
          <w:rFonts w:asciiTheme="minorBidi" w:hAnsiTheme="minorBidi"/>
        </w:rPr>
        <w:t>regard;</w:t>
      </w:r>
      <w:proofErr w:type="gramEnd"/>
    </w:p>
    <w:p w14:paraId="462AEA37" w14:textId="77777777" w:rsidR="00635E4A" w:rsidRPr="006B0843" w:rsidRDefault="00635E4A" w:rsidP="00BB75FA">
      <w:pPr>
        <w:pStyle w:val="ListParagraph"/>
        <w:ind w:left="1134" w:hanging="567"/>
        <w:rPr>
          <w:rFonts w:asciiTheme="minorBidi" w:hAnsiTheme="minorBidi"/>
        </w:rPr>
      </w:pPr>
    </w:p>
    <w:p w14:paraId="5A1E3215" w14:textId="74AFB838" w:rsidR="00635E4A" w:rsidRPr="006B0843" w:rsidRDefault="00635E4A" w:rsidP="00BB75FA">
      <w:pPr>
        <w:pStyle w:val="ListParagraph"/>
        <w:numPr>
          <w:ilvl w:val="0"/>
          <w:numId w:val="26"/>
        </w:numPr>
        <w:ind w:left="1134" w:hanging="567"/>
        <w:jc w:val="both"/>
        <w:rPr>
          <w:rFonts w:asciiTheme="minorBidi" w:hAnsiTheme="minorBidi"/>
        </w:rPr>
      </w:pPr>
      <w:r w:rsidRPr="006B0843">
        <w:rPr>
          <w:rFonts w:asciiTheme="minorBidi" w:hAnsiTheme="minorBidi"/>
        </w:rPr>
        <w:t xml:space="preserve">where a Mining Reporting </w:t>
      </w:r>
      <w:r w:rsidR="0093455A" w:rsidRPr="006B0843">
        <w:rPr>
          <w:rFonts w:asciiTheme="minorBidi" w:hAnsiTheme="minorBidi"/>
        </w:rPr>
        <w:t xml:space="preserve">Entity </w:t>
      </w:r>
      <w:r w:rsidRPr="006B0843">
        <w:rPr>
          <w:rFonts w:asciiTheme="minorBidi" w:hAnsiTheme="minorBidi"/>
        </w:rPr>
        <w:t>has disclosed estimates of Ore Reserves, Indicated Mineral Resources or Measured Mineral Resources, it may have reasonable grounds for including some level of Inferred Mineral Resources or an Exploration Target in a Production Target, subject to the Mining Reporting Entity confirming that the respective proportions of Inferred Mineral Resources or Exploration Target</w:t>
      </w:r>
      <w:r w:rsidR="00314645" w:rsidRPr="006B0843">
        <w:rPr>
          <w:rFonts w:asciiTheme="minorBidi" w:hAnsiTheme="minorBidi"/>
        </w:rPr>
        <w:t xml:space="preserve"> (pursuant to Rule 11.8.3(4))</w:t>
      </w:r>
      <w:r w:rsidRPr="006B0843">
        <w:rPr>
          <w:rFonts w:asciiTheme="minorBidi" w:hAnsiTheme="minorBidi"/>
        </w:rPr>
        <w:t>:</w:t>
      </w:r>
    </w:p>
    <w:p w14:paraId="5B836C2F" w14:textId="77777777" w:rsidR="00635E4A" w:rsidRPr="006B0843" w:rsidRDefault="00635E4A" w:rsidP="00635E4A">
      <w:pPr>
        <w:pStyle w:val="ListParagraph"/>
        <w:rPr>
          <w:rFonts w:asciiTheme="minorBidi" w:hAnsiTheme="minorBidi"/>
        </w:rPr>
      </w:pPr>
    </w:p>
    <w:p w14:paraId="0BFDEF20" w14:textId="77777777" w:rsidR="00635E4A" w:rsidRPr="006B0843" w:rsidRDefault="00635E4A" w:rsidP="00BB75FA">
      <w:pPr>
        <w:pStyle w:val="ListParagraph"/>
        <w:numPr>
          <w:ilvl w:val="1"/>
          <w:numId w:val="26"/>
        </w:numPr>
        <w:ind w:left="1701" w:hanging="555"/>
        <w:jc w:val="both"/>
        <w:rPr>
          <w:rFonts w:asciiTheme="minorBidi" w:hAnsiTheme="minorBidi"/>
        </w:rPr>
      </w:pPr>
      <w:r w:rsidRPr="006B0843">
        <w:rPr>
          <w:rFonts w:asciiTheme="minorBidi" w:hAnsiTheme="minorBidi"/>
        </w:rPr>
        <w:t>are not the determining factors in the viability of the Production Target; and</w:t>
      </w:r>
    </w:p>
    <w:p w14:paraId="042E1D55" w14:textId="65C5271E" w:rsidR="00635E4A" w:rsidRPr="006B0843" w:rsidRDefault="00635E4A" w:rsidP="00BB75FA">
      <w:pPr>
        <w:pStyle w:val="ListParagraph"/>
        <w:ind w:left="1701" w:hanging="555"/>
        <w:jc w:val="both"/>
        <w:rPr>
          <w:rFonts w:asciiTheme="minorBidi" w:hAnsiTheme="minorBidi"/>
        </w:rPr>
      </w:pPr>
    </w:p>
    <w:p w14:paraId="0707414D" w14:textId="30E103D2" w:rsidR="00CC1CC6" w:rsidRPr="006B0843" w:rsidRDefault="00635E4A" w:rsidP="00BB75FA">
      <w:pPr>
        <w:pStyle w:val="ListParagraph"/>
        <w:numPr>
          <w:ilvl w:val="1"/>
          <w:numId w:val="26"/>
        </w:numPr>
        <w:ind w:left="1701" w:hanging="555"/>
        <w:jc w:val="both"/>
        <w:rPr>
          <w:rFonts w:asciiTheme="minorBidi" w:hAnsiTheme="minorBidi"/>
        </w:rPr>
      </w:pPr>
      <w:r w:rsidRPr="006B0843">
        <w:rPr>
          <w:rFonts w:asciiTheme="minorBidi" w:hAnsiTheme="minorBidi"/>
        </w:rPr>
        <w:t xml:space="preserve">do not feature as a significant proportion in the </w:t>
      </w:r>
      <w:r w:rsidR="00314645" w:rsidRPr="006B0843">
        <w:rPr>
          <w:rFonts w:asciiTheme="minorBidi" w:hAnsiTheme="minorBidi"/>
        </w:rPr>
        <w:t xml:space="preserve">early </w:t>
      </w:r>
      <w:proofErr w:type="gramStart"/>
      <w:r w:rsidRPr="006B0843">
        <w:rPr>
          <w:rFonts w:asciiTheme="minorBidi" w:hAnsiTheme="minorBidi"/>
        </w:rPr>
        <w:t>mine</w:t>
      </w:r>
      <w:proofErr w:type="gramEnd"/>
      <w:r w:rsidRPr="006B0843">
        <w:rPr>
          <w:rFonts w:asciiTheme="minorBidi" w:hAnsiTheme="minorBidi"/>
        </w:rPr>
        <w:t xml:space="preserve"> plan.</w:t>
      </w:r>
    </w:p>
    <w:p w14:paraId="6CEF91CC" w14:textId="30E2F95B" w:rsidR="00276E9D" w:rsidRPr="006B0843" w:rsidRDefault="00276E9D" w:rsidP="00276E9D">
      <w:pPr>
        <w:pStyle w:val="ListParagraph"/>
        <w:ind w:left="426"/>
        <w:jc w:val="both"/>
        <w:rPr>
          <w:rFonts w:asciiTheme="minorBidi" w:hAnsiTheme="minorBidi"/>
        </w:rPr>
      </w:pPr>
    </w:p>
    <w:p w14:paraId="053F56E3" w14:textId="29649092" w:rsidR="00635E4A" w:rsidRPr="006B0843" w:rsidRDefault="00635E4A" w:rsidP="00BB75FA">
      <w:pPr>
        <w:pStyle w:val="ListParagraph"/>
        <w:numPr>
          <w:ilvl w:val="0"/>
          <w:numId w:val="26"/>
        </w:numPr>
        <w:ind w:left="1134" w:hanging="567"/>
        <w:jc w:val="both"/>
        <w:rPr>
          <w:rFonts w:asciiTheme="minorBidi" w:hAnsiTheme="minorBidi"/>
        </w:rPr>
      </w:pPr>
      <w:r w:rsidRPr="006B0843">
        <w:rPr>
          <w:rFonts w:asciiTheme="minorBidi" w:hAnsiTheme="minorBidi"/>
        </w:rPr>
        <w:t xml:space="preserve">a Production Target may only be wholly based on Inferred Mineral Resources if the Mining Reporting Entity complies with Rule </w:t>
      </w:r>
      <w:r w:rsidR="00137FDB" w:rsidRPr="006B0843">
        <w:rPr>
          <w:rFonts w:asciiTheme="minorBidi" w:hAnsiTheme="minorBidi"/>
        </w:rPr>
        <w:t>11.8.3(5)</w:t>
      </w:r>
      <w:r w:rsidR="0093455A" w:rsidRPr="006B0843">
        <w:rPr>
          <w:rFonts w:asciiTheme="minorBidi" w:hAnsiTheme="minorBidi"/>
        </w:rPr>
        <w:t>.</w:t>
      </w:r>
      <w:r w:rsidR="00137FDB" w:rsidRPr="006B0843">
        <w:rPr>
          <w:rStyle w:val="FootnoteReference"/>
          <w:rFonts w:asciiTheme="minorBidi" w:hAnsiTheme="minorBidi"/>
        </w:rPr>
        <w:footnoteReference w:id="10"/>
      </w:r>
    </w:p>
    <w:p w14:paraId="15084D0D" w14:textId="490911AB" w:rsidR="00635E4A" w:rsidRPr="006B0843" w:rsidRDefault="00635E4A" w:rsidP="00137FDB">
      <w:pPr>
        <w:jc w:val="both"/>
        <w:rPr>
          <w:rFonts w:asciiTheme="minorBidi" w:hAnsiTheme="minorBidi"/>
        </w:rPr>
      </w:pPr>
    </w:p>
    <w:p w14:paraId="108FA10F" w14:textId="07BFAE52" w:rsidR="002D57FC" w:rsidRPr="006B0843" w:rsidRDefault="002D57FC" w:rsidP="00AA2317">
      <w:pPr>
        <w:pStyle w:val="Heading2"/>
        <w:tabs>
          <w:tab w:val="clear" w:pos="720"/>
          <w:tab w:val="num" w:pos="0"/>
        </w:tabs>
        <w:ind w:left="0" w:firstLine="0"/>
        <w:rPr>
          <w:rFonts w:asciiTheme="minorBidi" w:hAnsiTheme="minorBidi" w:cstheme="minorBidi"/>
          <w:sz w:val="22"/>
          <w:szCs w:val="22"/>
        </w:rPr>
      </w:pPr>
      <w:bookmarkStart w:id="35" w:name="_Toc43963862"/>
      <w:r w:rsidRPr="006B0843">
        <w:rPr>
          <w:rFonts w:asciiTheme="minorBidi" w:hAnsiTheme="minorBidi" w:cstheme="minorBidi"/>
          <w:sz w:val="22"/>
          <w:szCs w:val="22"/>
        </w:rPr>
        <w:t xml:space="preserve">Production Targets – what can </w:t>
      </w:r>
      <w:r w:rsidR="00AA2317" w:rsidRPr="006B0843">
        <w:rPr>
          <w:rFonts w:asciiTheme="minorBidi" w:hAnsiTheme="minorBidi" w:cstheme="minorBidi"/>
          <w:sz w:val="22"/>
          <w:szCs w:val="22"/>
        </w:rPr>
        <w:t>they be</w:t>
      </w:r>
      <w:r w:rsidRPr="006B0843">
        <w:rPr>
          <w:rFonts w:asciiTheme="minorBidi" w:hAnsiTheme="minorBidi" w:cstheme="minorBidi"/>
          <w:sz w:val="22"/>
          <w:szCs w:val="22"/>
        </w:rPr>
        <w:t xml:space="preserve"> disclosed in relation to?</w:t>
      </w:r>
      <w:bookmarkEnd w:id="35"/>
      <w:r w:rsidRPr="006B0843">
        <w:rPr>
          <w:rFonts w:asciiTheme="minorBidi" w:hAnsiTheme="minorBidi" w:cstheme="minorBidi"/>
          <w:sz w:val="22"/>
          <w:szCs w:val="22"/>
        </w:rPr>
        <w:t xml:space="preserve"> </w:t>
      </w:r>
    </w:p>
    <w:p w14:paraId="3B06831B" w14:textId="731868D8" w:rsidR="002D57FC" w:rsidRPr="006B0843" w:rsidRDefault="002D57FC" w:rsidP="00BB75FA">
      <w:pPr>
        <w:pStyle w:val="ListParagraph"/>
        <w:numPr>
          <w:ilvl w:val="0"/>
          <w:numId w:val="1"/>
        </w:numPr>
        <w:ind w:left="567" w:hanging="567"/>
        <w:jc w:val="both"/>
        <w:rPr>
          <w:rFonts w:asciiTheme="minorBidi" w:hAnsiTheme="minorBidi"/>
        </w:rPr>
      </w:pPr>
      <w:r w:rsidRPr="006B0843">
        <w:rPr>
          <w:rFonts w:asciiTheme="minorBidi" w:hAnsiTheme="minorBidi"/>
        </w:rPr>
        <w:t>Rule 11.8.2 provides that a Mining Reporting Entity can disclose a Production Target in relation to:</w:t>
      </w:r>
    </w:p>
    <w:p w14:paraId="2FC21118" w14:textId="77777777" w:rsidR="00314645" w:rsidRPr="006B0843" w:rsidRDefault="00314645" w:rsidP="00314645">
      <w:pPr>
        <w:pStyle w:val="ListParagraph"/>
        <w:ind w:left="786"/>
        <w:jc w:val="both"/>
        <w:rPr>
          <w:rFonts w:asciiTheme="minorBidi" w:hAnsiTheme="minorBidi"/>
        </w:rPr>
      </w:pPr>
    </w:p>
    <w:p w14:paraId="58F59E25" w14:textId="19012B08" w:rsidR="00314645" w:rsidRPr="006B0843" w:rsidRDefault="00314645" w:rsidP="00BB75FA">
      <w:pPr>
        <w:pStyle w:val="ListParagraph"/>
        <w:numPr>
          <w:ilvl w:val="0"/>
          <w:numId w:val="28"/>
        </w:numPr>
        <w:ind w:left="1134" w:hanging="567"/>
        <w:jc w:val="both"/>
        <w:rPr>
          <w:rFonts w:asciiTheme="minorBidi" w:hAnsiTheme="minorBidi"/>
        </w:rPr>
      </w:pPr>
      <w:r w:rsidRPr="006B0843">
        <w:rPr>
          <w:rFonts w:asciiTheme="minorBidi" w:hAnsiTheme="minorBidi"/>
        </w:rPr>
        <w:t>i</w:t>
      </w:r>
      <w:r w:rsidR="002D57FC" w:rsidRPr="006B0843">
        <w:rPr>
          <w:rFonts w:asciiTheme="minorBidi" w:hAnsiTheme="minorBidi"/>
        </w:rPr>
        <w:t xml:space="preserve">ts Mineral Resources </w:t>
      </w:r>
      <w:r w:rsidRPr="006B0843">
        <w:rPr>
          <w:rFonts w:asciiTheme="minorBidi" w:hAnsiTheme="minorBidi"/>
        </w:rPr>
        <w:t>and Ore Reserves Holdings; or</w:t>
      </w:r>
    </w:p>
    <w:p w14:paraId="4D6A510B" w14:textId="14A3DE2E" w:rsidR="00314645" w:rsidRPr="006B0843" w:rsidRDefault="00314645" w:rsidP="00BB75FA">
      <w:pPr>
        <w:pStyle w:val="ListParagraph"/>
        <w:ind w:left="1134" w:hanging="567"/>
        <w:jc w:val="both"/>
        <w:rPr>
          <w:rFonts w:asciiTheme="minorBidi" w:hAnsiTheme="minorBidi"/>
        </w:rPr>
      </w:pPr>
    </w:p>
    <w:p w14:paraId="0A7B2AA5" w14:textId="1FB47DC4" w:rsidR="002D57FC" w:rsidRPr="006B0843" w:rsidRDefault="00314645" w:rsidP="00BB75FA">
      <w:pPr>
        <w:pStyle w:val="ListParagraph"/>
        <w:numPr>
          <w:ilvl w:val="0"/>
          <w:numId w:val="28"/>
        </w:numPr>
        <w:ind w:left="1134" w:hanging="567"/>
        <w:jc w:val="both"/>
        <w:rPr>
          <w:rFonts w:asciiTheme="minorBidi" w:hAnsiTheme="minorBidi"/>
        </w:rPr>
      </w:pPr>
      <w:r w:rsidRPr="006B0843">
        <w:rPr>
          <w:rFonts w:asciiTheme="minorBidi" w:hAnsiTheme="minorBidi"/>
        </w:rPr>
        <w:t xml:space="preserve">a material Mining Project (or two or more Mining Projects which together are material). </w:t>
      </w:r>
    </w:p>
    <w:p w14:paraId="7770CE9E" w14:textId="77777777" w:rsidR="00314645" w:rsidRPr="006B0843" w:rsidRDefault="00314645" w:rsidP="00CC466E">
      <w:pPr>
        <w:pStyle w:val="ListParagraph"/>
        <w:rPr>
          <w:rFonts w:asciiTheme="minorBidi" w:hAnsiTheme="minorBidi"/>
        </w:rPr>
      </w:pPr>
    </w:p>
    <w:p w14:paraId="7348EC18" w14:textId="77777777" w:rsidR="00314645" w:rsidRPr="006B0843" w:rsidRDefault="00314645" w:rsidP="00BB75FA">
      <w:pPr>
        <w:pStyle w:val="ListParagraph"/>
        <w:numPr>
          <w:ilvl w:val="0"/>
          <w:numId w:val="1"/>
        </w:numPr>
        <w:ind w:left="567" w:hanging="567"/>
        <w:jc w:val="both"/>
        <w:rPr>
          <w:rFonts w:asciiTheme="minorBidi" w:hAnsiTheme="minorBidi"/>
        </w:rPr>
      </w:pPr>
      <w:r w:rsidRPr="006B0843">
        <w:rPr>
          <w:rFonts w:asciiTheme="minorBidi" w:hAnsiTheme="minorBidi"/>
        </w:rPr>
        <w:t xml:space="preserve">A Mining Reporting Entity can disclose a Production Target that is based on a combination of Ore Reserves and/or Mineral Resources and an Exploration Target, </w:t>
      </w:r>
      <w:proofErr w:type="gramStart"/>
      <w:r w:rsidRPr="006B0843">
        <w:rPr>
          <w:rFonts w:asciiTheme="minorBidi" w:hAnsiTheme="minorBidi"/>
        </w:rPr>
        <w:t>provided that</w:t>
      </w:r>
      <w:proofErr w:type="gramEnd"/>
      <w:r w:rsidRPr="006B0843">
        <w:rPr>
          <w:rFonts w:asciiTheme="minorBidi" w:hAnsiTheme="minorBidi"/>
        </w:rPr>
        <w:t xml:space="preserve"> it does so in accordance with Rule 11.8.4, and it has reasonable grounds for doing so.</w:t>
      </w:r>
    </w:p>
    <w:p w14:paraId="7D4AC352" w14:textId="07507621" w:rsidR="00314645" w:rsidRPr="006B0843" w:rsidRDefault="00314645" w:rsidP="00BB75FA">
      <w:pPr>
        <w:pStyle w:val="ListParagraph"/>
        <w:ind w:left="567" w:hanging="567"/>
        <w:jc w:val="both"/>
        <w:rPr>
          <w:rFonts w:asciiTheme="minorBidi" w:hAnsiTheme="minorBidi"/>
        </w:rPr>
      </w:pPr>
    </w:p>
    <w:p w14:paraId="6A497D40" w14:textId="7E6F527C" w:rsidR="00314645" w:rsidRPr="006B0843" w:rsidRDefault="00314645" w:rsidP="00BB75FA">
      <w:pPr>
        <w:pStyle w:val="ListParagraph"/>
        <w:numPr>
          <w:ilvl w:val="0"/>
          <w:numId w:val="1"/>
        </w:numPr>
        <w:ind w:left="567" w:hanging="567"/>
        <w:jc w:val="both"/>
        <w:rPr>
          <w:rFonts w:asciiTheme="minorBidi" w:hAnsiTheme="minorBidi"/>
        </w:rPr>
      </w:pPr>
      <w:r w:rsidRPr="006B0843">
        <w:rPr>
          <w:rFonts w:asciiTheme="minorBidi" w:hAnsiTheme="minorBidi"/>
        </w:rPr>
        <w:t xml:space="preserve">Rule 11.8.3(4) provides that, among other things, the Inferred Mineral Resources and Exploration Target (as applicable) do not feature as a significant proportion in the early </w:t>
      </w:r>
      <w:proofErr w:type="gramStart"/>
      <w:r w:rsidRPr="006B0843">
        <w:rPr>
          <w:rFonts w:asciiTheme="minorBidi" w:hAnsiTheme="minorBidi"/>
        </w:rPr>
        <w:t>mine</w:t>
      </w:r>
      <w:proofErr w:type="gramEnd"/>
      <w:r w:rsidRPr="006B0843">
        <w:rPr>
          <w:rFonts w:asciiTheme="minorBidi" w:hAnsiTheme="minorBidi"/>
        </w:rPr>
        <w:t xml:space="preserve"> plan.  The proportion of Inferred Mineral Resources and an Exploration Target that may be added to the end of the min</w:t>
      </w:r>
      <w:r w:rsidR="0093455A" w:rsidRPr="006B0843">
        <w:rPr>
          <w:rFonts w:asciiTheme="minorBidi" w:hAnsiTheme="minorBidi"/>
        </w:rPr>
        <w:t>e</w:t>
      </w:r>
      <w:r w:rsidRPr="006B0843">
        <w:rPr>
          <w:rFonts w:asciiTheme="minorBidi" w:hAnsiTheme="minorBidi"/>
        </w:rPr>
        <w:t xml:space="preserve"> plan depends on the maturity of a Mining Project.  For example, a greater proportion may be justified </w:t>
      </w:r>
      <w:r w:rsidR="00CC466E" w:rsidRPr="006B0843">
        <w:rPr>
          <w:rFonts w:asciiTheme="minorBidi" w:hAnsiTheme="minorBidi"/>
        </w:rPr>
        <w:t xml:space="preserve">by </w:t>
      </w:r>
      <w:r w:rsidRPr="006B0843">
        <w:rPr>
          <w:rFonts w:asciiTheme="minorBidi" w:hAnsiTheme="minorBidi"/>
        </w:rPr>
        <w:t>a producing mine</w:t>
      </w:r>
      <w:r w:rsidR="00CC466E" w:rsidRPr="006B0843">
        <w:rPr>
          <w:rFonts w:asciiTheme="minorBidi" w:hAnsiTheme="minorBidi"/>
        </w:rPr>
        <w:t xml:space="preserve"> (or a Min</w:t>
      </w:r>
      <w:r w:rsidR="0093455A" w:rsidRPr="006B0843">
        <w:rPr>
          <w:rFonts w:asciiTheme="minorBidi" w:hAnsiTheme="minorBidi"/>
        </w:rPr>
        <w:t>in</w:t>
      </w:r>
      <w:r w:rsidR="00CC466E" w:rsidRPr="006B0843">
        <w:rPr>
          <w:rFonts w:asciiTheme="minorBidi" w:hAnsiTheme="minorBidi"/>
        </w:rPr>
        <w:t xml:space="preserve">g </w:t>
      </w:r>
      <w:r w:rsidR="00CC466E" w:rsidRPr="006B0843">
        <w:rPr>
          <w:rFonts w:asciiTheme="minorBidi" w:hAnsiTheme="minorBidi"/>
        </w:rPr>
        <w:lastRenderedPageBreak/>
        <w:t xml:space="preserve">Production Reporting Entity) </w:t>
      </w:r>
      <w:r w:rsidRPr="006B0843">
        <w:rPr>
          <w:rFonts w:asciiTheme="minorBidi" w:hAnsiTheme="minorBidi"/>
        </w:rPr>
        <w:t>with a history</w:t>
      </w:r>
      <w:r w:rsidR="00CC466E" w:rsidRPr="006B0843">
        <w:rPr>
          <w:rFonts w:asciiTheme="minorBidi" w:hAnsiTheme="minorBidi"/>
        </w:rPr>
        <w:t xml:space="preserve"> of converting Exploration Targets and Mineral Resources into Ore Reserves, than a Mining Exploration Reporting Entity that has Indicated Mineral Resources as the highest confidence Mineral Resource. </w:t>
      </w:r>
      <w:r w:rsidR="001E6358">
        <w:rPr>
          <w:rFonts w:asciiTheme="minorBidi" w:hAnsiTheme="minorBidi"/>
        </w:rPr>
        <w:t xml:space="preserve"> </w:t>
      </w:r>
      <w:proofErr w:type="gramStart"/>
      <w:r w:rsidR="00CC466E" w:rsidRPr="006B0843">
        <w:rPr>
          <w:rFonts w:asciiTheme="minorBidi" w:hAnsiTheme="minorBidi"/>
        </w:rPr>
        <w:t>For the purpose of</w:t>
      </w:r>
      <w:proofErr w:type="gramEnd"/>
      <w:r w:rsidR="00CC466E" w:rsidRPr="006B0843">
        <w:rPr>
          <w:rFonts w:asciiTheme="minorBidi" w:hAnsiTheme="minorBidi"/>
        </w:rPr>
        <w:t xml:space="preserve"> this Rule, therefore, the FSRA interprets the phrase ‘significant proportion’ to mean 25% or less of the Mineralisation used to determine the Production Target is attributed to Inferred Mineral Resources and/or an Exploration Target.</w:t>
      </w:r>
    </w:p>
    <w:p w14:paraId="2DE0583F" w14:textId="77777777" w:rsidR="00CC466E" w:rsidRPr="006B0843" w:rsidRDefault="00CC466E" w:rsidP="00CC466E">
      <w:pPr>
        <w:pStyle w:val="Heading1"/>
        <w:keepLines w:val="0"/>
        <w:spacing w:before="0" w:line="246" w:lineRule="atLeast"/>
        <w:jc w:val="both"/>
        <w:rPr>
          <w:rFonts w:asciiTheme="minorBidi" w:hAnsiTheme="minorBidi" w:cstheme="minorBidi"/>
          <w:sz w:val="22"/>
          <w:szCs w:val="22"/>
        </w:rPr>
      </w:pPr>
    </w:p>
    <w:p w14:paraId="46B13341" w14:textId="033F4901" w:rsidR="00137FDB" w:rsidRPr="006B0843" w:rsidRDefault="00137FDB" w:rsidP="00AA2317">
      <w:pPr>
        <w:pStyle w:val="Heading2"/>
        <w:tabs>
          <w:tab w:val="clear" w:pos="720"/>
          <w:tab w:val="num" w:pos="0"/>
        </w:tabs>
        <w:ind w:left="0" w:firstLine="0"/>
        <w:rPr>
          <w:rFonts w:asciiTheme="minorBidi" w:hAnsiTheme="minorBidi" w:cstheme="minorBidi"/>
          <w:sz w:val="22"/>
          <w:szCs w:val="22"/>
        </w:rPr>
      </w:pPr>
      <w:bookmarkStart w:id="36" w:name="_Toc43963863"/>
      <w:r w:rsidRPr="006B0843">
        <w:rPr>
          <w:rFonts w:asciiTheme="minorBidi" w:hAnsiTheme="minorBidi" w:cstheme="minorBidi"/>
          <w:sz w:val="22"/>
          <w:szCs w:val="22"/>
        </w:rPr>
        <w:t>Production Targets – what is not acceptable?</w:t>
      </w:r>
      <w:bookmarkEnd w:id="36"/>
      <w:r w:rsidRPr="006B0843">
        <w:rPr>
          <w:rFonts w:asciiTheme="minorBidi" w:hAnsiTheme="minorBidi" w:cstheme="minorBidi"/>
          <w:sz w:val="22"/>
          <w:szCs w:val="22"/>
        </w:rPr>
        <w:t xml:space="preserve"> </w:t>
      </w:r>
    </w:p>
    <w:p w14:paraId="0B98D672" w14:textId="3492D42A" w:rsidR="00137FDB" w:rsidRPr="006B0843" w:rsidRDefault="00137FDB" w:rsidP="002C2772">
      <w:pPr>
        <w:pStyle w:val="ListParagraph"/>
        <w:numPr>
          <w:ilvl w:val="0"/>
          <w:numId w:val="1"/>
        </w:numPr>
        <w:ind w:left="567" w:hanging="567"/>
        <w:jc w:val="both"/>
        <w:rPr>
          <w:rFonts w:asciiTheme="minorBidi" w:hAnsiTheme="minorBidi"/>
        </w:rPr>
      </w:pPr>
      <w:r w:rsidRPr="006B0843">
        <w:rPr>
          <w:rFonts w:asciiTheme="minorBidi" w:hAnsiTheme="minorBidi"/>
        </w:rPr>
        <w:t>Rule 11.8.1 provides that a Mining Reporting Entity cannot not disclose a Production target that is based wholly on:</w:t>
      </w:r>
    </w:p>
    <w:p w14:paraId="7FE22C04" w14:textId="4A22DB42" w:rsidR="00137FDB" w:rsidRPr="006B0843" w:rsidRDefault="00137FDB" w:rsidP="00137FDB">
      <w:pPr>
        <w:pStyle w:val="ListParagraph"/>
        <w:ind w:left="1440"/>
        <w:jc w:val="both"/>
        <w:rPr>
          <w:rFonts w:asciiTheme="minorBidi" w:hAnsiTheme="minorBidi"/>
        </w:rPr>
      </w:pPr>
    </w:p>
    <w:p w14:paraId="7CEF3087" w14:textId="19D9C6C7" w:rsidR="00137FDB" w:rsidRPr="006B0843" w:rsidRDefault="00137FDB" w:rsidP="002C2772">
      <w:pPr>
        <w:pStyle w:val="ListParagraph"/>
        <w:numPr>
          <w:ilvl w:val="0"/>
          <w:numId w:val="27"/>
        </w:numPr>
        <w:ind w:left="1134" w:hanging="567"/>
        <w:jc w:val="both"/>
        <w:rPr>
          <w:rFonts w:asciiTheme="minorBidi" w:hAnsiTheme="minorBidi"/>
        </w:rPr>
      </w:pPr>
      <w:r w:rsidRPr="006B0843">
        <w:rPr>
          <w:rFonts w:asciiTheme="minorBidi" w:hAnsiTheme="minorBidi"/>
        </w:rPr>
        <w:t xml:space="preserve">on an Exploration </w:t>
      </w:r>
      <w:proofErr w:type="gramStart"/>
      <w:r w:rsidRPr="006B0843">
        <w:rPr>
          <w:rFonts w:asciiTheme="minorBidi" w:hAnsiTheme="minorBidi"/>
        </w:rPr>
        <w:t>Target;</w:t>
      </w:r>
      <w:proofErr w:type="gramEnd"/>
    </w:p>
    <w:p w14:paraId="52AB8D35" w14:textId="01BADA84" w:rsidR="00137FDB" w:rsidRPr="006B0843" w:rsidRDefault="00137FDB" w:rsidP="002C2772">
      <w:pPr>
        <w:pStyle w:val="ListParagraph"/>
        <w:ind w:left="1134" w:hanging="567"/>
        <w:jc w:val="both"/>
        <w:rPr>
          <w:rFonts w:asciiTheme="minorBidi" w:hAnsiTheme="minorBidi"/>
        </w:rPr>
      </w:pPr>
    </w:p>
    <w:p w14:paraId="212735B0" w14:textId="7BD8ECAD" w:rsidR="00137FDB" w:rsidRPr="006B0843" w:rsidRDefault="00137FDB" w:rsidP="002C2772">
      <w:pPr>
        <w:pStyle w:val="ListParagraph"/>
        <w:numPr>
          <w:ilvl w:val="0"/>
          <w:numId w:val="27"/>
        </w:numPr>
        <w:ind w:left="1134" w:hanging="567"/>
        <w:jc w:val="both"/>
        <w:rPr>
          <w:rFonts w:asciiTheme="minorBidi" w:hAnsiTheme="minorBidi"/>
        </w:rPr>
      </w:pPr>
      <w:r w:rsidRPr="006B0843">
        <w:rPr>
          <w:rFonts w:asciiTheme="minorBidi" w:hAnsiTheme="minorBidi"/>
        </w:rPr>
        <w:t>on a combination of Inferred Mineral Resources and an Exploration Target; or</w:t>
      </w:r>
    </w:p>
    <w:p w14:paraId="31D5AE5B" w14:textId="77777777" w:rsidR="00137FDB" w:rsidRPr="006B0843" w:rsidRDefault="00137FDB" w:rsidP="002C2772">
      <w:pPr>
        <w:pStyle w:val="ListParagraph"/>
        <w:ind w:left="1134" w:hanging="567"/>
        <w:rPr>
          <w:rFonts w:asciiTheme="minorBidi" w:hAnsiTheme="minorBidi"/>
        </w:rPr>
      </w:pPr>
    </w:p>
    <w:p w14:paraId="4BFC94F8" w14:textId="74357ECA" w:rsidR="00137FDB" w:rsidRPr="006B0843" w:rsidRDefault="00137FDB" w:rsidP="002C2772">
      <w:pPr>
        <w:pStyle w:val="ListParagraph"/>
        <w:numPr>
          <w:ilvl w:val="0"/>
          <w:numId w:val="27"/>
        </w:numPr>
        <w:ind w:left="1134" w:hanging="567"/>
        <w:jc w:val="both"/>
        <w:rPr>
          <w:rFonts w:asciiTheme="minorBidi" w:hAnsiTheme="minorBidi"/>
        </w:rPr>
      </w:pPr>
      <w:r w:rsidRPr="006B0843">
        <w:rPr>
          <w:rFonts w:asciiTheme="minorBidi" w:hAnsiTheme="minorBidi"/>
        </w:rPr>
        <w:t xml:space="preserve">or partly on, Non-Equivalent Estimates. </w:t>
      </w:r>
    </w:p>
    <w:p w14:paraId="6AF85CA8" w14:textId="6CAFD979" w:rsidR="00137FDB" w:rsidRPr="006B0843" w:rsidRDefault="00137FDB" w:rsidP="00137FDB">
      <w:pPr>
        <w:pStyle w:val="ListParagraph"/>
        <w:ind w:left="426"/>
        <w:jc w:val="both"/>
        <w:rPr>
          <w:rFonts w:asciiTheme="minorBidi" w:hAnsiTheme="minorBidi"/>
        </w:rPr>
      </w:pPr>
    </w:p>
    <w:p w14:paraId="3136ED7F" w14:textId="2BC94C82" w:rsidR="00137FDB" w:rsidRPr="006B0843" w:rsidRDefault="00137FDB" w:rsidP="002C2772">
      <w:pPr>
        <w:pStyle w:val="ListParagraph"/>
        <w:numPr>
          <w:ilvl w:val="0"/>
          <w:numId w:val="1"/>
        </w:numPr>
        <w:ind w:left="567" w:hanging="567"/>
        <w:jc w:val="both"/>
        <w:rPr>
          <w:rFonts w:asciiTheme="minorBidi" w:hAnsiTheme="minorBidi"/>
        </w:rPr>
      </w:pPr>
      <w:r w:rsidRPr="006B0843">
        <w:rPr>
          <w:rFonts w:asciiTheme="minorBidi" w:hAnsiTheme="minorBidi"/>
        </w:rPr>
        <w:t>In paragraphs a) and b) above, with no confirmed Ore Reserves, Measured Mineral Resources or Indicated Mineral Resources, there will</w:t>
      </w:r>
      <w:r w:rsidR="002D57FC" w:rsidRPr="006B0843">
        <w:rPr>
          <w:rFonts w:asciiTheme="minorBidi" w:hAnsiTheme="minorBidi"/>
        </w:rPr>
        <w:t xml:space="preserve"> be significant uncertainty as to the Mining Reporting Entity’s ability to achieve the Production Target.  In c) above, with the Mineralisation not having been verified and disclosed in accordance with a Mining Reporting Standard, there will be similar significant uncertainty as to the Mining Reporting Entity’s ability to achieve the Production Target. </w:t>
      </w:r>
    </w:p>
    <w:p w14:paraId="03AD584E" w14:textId="76E583E0" w:rsidR="002D57FC" w:rsidRPr="006B0843" w:rsidRDefault="002D57FC" w:rsidP="002D57FC">
      <w:pPr>
        <w:pStyle w:val="ListParagraph"/>
        <w:ind w:left="426"/>
        <w:jc w:val="both"/>
        <w:rPr>
          <w:rFonts w:asciiTheme="minorBidi" w:hAnsiTheme="minorBidi"/>
        </w:rPr>
      </w:pPr>
    </w:p>
    <w:p w14:paraId="785622E7" w14:textId="5C68481C" w:rsidR="00CC466E" w:rsidRPr="006B0843" w:rsidRDefault="00CC466E" w:rsidP="00AA2317">
      <w:pPr>
        <w:pStyle w:val="Heading2"/>
        <w:tabs>
          <w:tab w:val="clear" w:pos="720"/>
          <w:tab w:val="num" w:pos="0"/>
        </w:tabs>
        <w:ind w:left="0" w:firstLine="0"/>
        <w:rPr>
          <w:rFonts w:asciiTheme="minorBidi" w:hAnsiTheme="minorBidi" w:cstheme="minorBidi"/>
          <w:sz w:val="22"/>
          <w:szCs w:val="22"/>
        </w:rPr>
      </w:pPr>
      <w:bookmarkStart w:id="37" w:name="_Toc43963864"/>
      <w:r w:rsidRPr="006B0843">
        <w:rPr>
          <w:rFonts w:asciiTheme="minorBidi" w:hAnsiTheme="minorBidi" w:cstheme="minorBidi"/>
          <w:sz w:val="22"/>
          <w:szCs w:val="22"/>
        </w:rPr>
        <w:t>Disclosure requirements</w:t>
      </w:r>
      <w:bookmarkEnd w:id="37"/>
      <w:r w:rsidRPr="006B0843">
        <w:rPr>
          <w:rFonts w:asciiTheme="minorBidi" w:hAnsiTheme="minorBidi" w:cstheme="minorBidi"/>
          <w:sz w:val="22"/>
          <w:szCs w:val="22"/>
        </w:rPr>
        <w:t xml:space="preserve"> </w:t>
      </w:r>
    </w:p>
    <w:p w14:paraId="31204C07" w14:textId="1BBF8851" w:rsidR="00CC466E" w:rsidRPr="006B0843" w:rsidRDefault="00CC466E"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Each of the items </w:t>
      </w:r>
      <w:r w:rsidR="00846C2D" w:rsidRPr="006B0843">
        <w:rPr>
          <w:rFonts w:asciiTheme="minorBidi" w:hAnsiTheme="minorBidi"/>
        </w:rPr>
        <w:t xml:space="preserve">required by 11.8.3(1) to (7) to be disclosed in relation to a Production Target must be disclosed at the same time as the headline Production Target is disclosed, and in the same document. </w:t>
      </w:r>
    </w:p>
    <w:p w14:paraId="1DDD5BFA" w14:textId="67354848" w:rsidR="00846C2D" w:rsidRPr="006B0843" w:rsidRDefault="00846C2D" w:rsidP="00BE299D">
      <w:pPr>
        <w:pStyle w:val="ListParagraph"/>
        <w:ind w:left="567" w:hanging="567"/>
        <w:jc w:val="both"/>
        <w:rPr>
          <w:rFonts w:asciiTheme="minorBidi" w:hAnsiTheme="minorBidi"/>
        </w:rPr>
      </w:pPr>
    </w:p>
    <w:p w14:paraId="64C0D2C7" w14:textId="1F332FAA" w:rsidR="00310E29" w:rsidRPr="006B0843" w:rsidRDefault="00846C2D" w:rsidP="00BE299D">
      <w:pPr>
        <w:pStyle w:val="ListParagraph"/>
        <w:numPr>
          <w:ilvl w:val="0"/>
          <w:numId w:val="1"/>
        </w:numPr>
        <w:ind w:left="567" w:hanging="567"/>
        <w:jc w:val="both"/>
        <w:rPr>
          <w:rFonts w:asciiTheme="minorBidi" w:hAnsiTheme="minorBidi"/>
        </w:rPr>
      </w:pPr>
      <w:r w:rsidRPr="006B0843">
        <w:rPr>
          <w:rFonts w:asciiTheme="minorBidi" w:hAnsiTheme="minorBidi"/>
        </w:rPr>
        <w:t>Rule 11.8.3(1)</w:t>
      </w:r>
      <w:r w:rsidR="00310E29" w:rsidRPr="006B0843">
        <w:rPr>
          <w:rFonts w:asciiTheme="minorBidi" w:hAnsiTheme="minorBidi"/>
        </w:rPr>
        <w:t>(a)</w:t>
      </w:r>
      <w:r w:rsidRPr="006B0843">
        <w:rPr>
          <w:rFonts w:asciiTheme="minorBidi" w:hAnsiTheme="minorBidi"/>
        </w:rPr>
        <w:t xml:space="preserve"> requires a Mining Reporting Entity to disclose the material assumptions, and material economic assumptions, used to determine a Production Target the first </w:t>
      </w:r>
      <w:r w:rsidR="00310E29" w:rsidRPr="006B0843">
        <w:rPr>
          <w:rFonts w:asciiTheme="minorBidi" w:hAnsiTheme="minorBidi"/>
        </w:rPr>
        <w:t>time it discloses the Production Target.  The aim of this is to facilitate greater transparency of the basis for a Production Target.</w:t>
      </w:r>
    </w:p>
    <w:p w14:paraId="02034D3B" w14:textId="77777777" w:rsidR="00310E29" w:rsidRPr="006B0843" w:rsidRDefault="00310E29" w:rsidP="00BE299D">
      <w:pPr>
        <w:pStyle w:val="ListParagraph"/>
        <w:ind w:left="567" w:hanging="567"/>
        <w:rPr>
          <w:rFonts w:asciiTheme="minorBidi" w:hAnsiTheme="minorBidi"/>
        </w:rPr>
      </w:pPr>
    </w:p>
    <w:p w14:paraId="57A2A149" w14:textId="0FBC5031" w:rsidR="00310E29" w:rsidRPr="006B0843" w:rsidRDefault="00310E29"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Pursuant to Rule 11.8.3(1)(b), if a Mining Reporting Entity considers that the material economic assumptions are commercially sensitive (e.g., pricing or volumes under long term contractual commitments), the Mining Reporting Entity is required to disclose a statement to that effect and provide an explanation of the methodology used to determine the material economic assumptions. </w:t>
      </w:r>
      <w:r w:rsidR="001E6358">
        <w:rPr>
          <w:rFonts w:asciiTheme="minorBidi" w:hAnsiTheme="minorBidi"/>
        </w:rPr>
        <w:t xml:space="preserve"> </w:t>
      </w:r>
      <w:r w:rsidRPr="006B0843">
        <w:rPr>
          <w:rFonts w:asciiTheme="minorBidi" w:hAnsiTheme="minorBidi"/>
        </w:rPr>
        <w:t>Though this Rule 11.8.3(1)(b) allows for a Mining Reporting Entity to not disclose commercially sensitive information, the Mining Reporting Entity should carefully consider whether this commercially sensitive information needs to be disclosed to meet other disclosure obligations, including in reference to:</w:t>
      </w:r>
    </w:p>
    <w:p w14:paraId="15125FA3" w14:textId="77777777" w:rsidR="00310E29" w:rsidRPr="006B0843" w:rsidRDefault="00310E29" w:rsidP="00310E29">
      <w:pPr>
        <w:pStyle w:val="ListParagraph"/>
        <w:rPr>
          <w:rFonts w:asciiTheme="minorBidi" w:hAnsiTheme="minorBidi"/>
        </w:rPr>
      </w:pPr>
    </w:p>
    <w:p w14:paraId="7CEBBC30" w14:textId="77777777" w:rsidR="00310E29" w:rsidRPr="006B0843" w:rsidRDefault="00310E29" w:rsidP="00BE299D">
      <w:pPr>
        <w:pStyle w:val="ListParagraph"/>
        <w:numPr>
          <w:ilvl w:val="0"/>
          <w:numId w:val="29"/>
        </w:numPr>
        <w:ind w:left="1134" w:hanging="567"/>
        <w:jc w:val="both"/>
        <w:rPr>
          <w:rFonts w:asciiTheme="minorBidi" w:hAnsiTheme="minorBidi"/>
        </w:rPr>
      </w:pPr>
      <w:r w:rsidRPr="006B0843">
        <w:rPr>
          <w:rFonts w:asciiTheme="minorBidi" w:hAnsiTheme="minorBidi"/>
        </w:rPr>
        <w:t xml:space="preserve">where an Issuer is issuing a Prospectus within ADGM, and the requirement in section 62(1) of FSMR to include all information that investors would reasonably require and expect to find in a Prospectus for the purposes of making an informed investment decision; or </w:t>
      </w:r>
    </w:p>
    <w:p w14:paraId="7A9F84AE" w14:textId="77777777" w:rsidR="00310E29" w:rsidRPr="006B0843" w:rsidRDefault="00310E29" w:rsidP="00BE299D">
      <w:pPr>
        <w:pStyle w:val="ListParagraph"/>
        <w:ind w:left="1134" w:hanging="567"/>
        <w:jc w:val="both"/>
        <w:rPr>
          <w:rFonts w:asciiTheme="minorBidi" w:hAnsiTheme="minorBidi"/>
        </w:rPr>
      </w:pPr>
    </w:p>
    <w:p w14:paraId="1A18DC40" w14:textId="54B2022B" w:rsidR="00846C2D" w:rsidRPr="006B0843" w:rsidRDefault="00310E29" w:rsidP="00BE299D">
      <w:pPr>
        <w:pStyle w:val="ListParagraph"/>
        <w:numPr>
          <w:ilvl w:val="0"/>
          <w:numId w:val="29"/>
        </w:numPr>
        <w:ind w:left="1134" w:hanging="567"/>
        <w:jc w:val="both"/>
        <w:rPr>
          <w:rFonts w:asciiTheme="minorBidi" w:hAnsiTheme="minorBidi"/>
        </w:rPr>
      </w:pPr>
      <w:r w:rsidRPr="006B0843">
        <w:rPr>
          <w:rFonts w:asciiTheme="minorBidi" w:hAnsiTheme="minorBidi"/>
        </w:rPr>
        <w:lastRenderedPageBreak/>
        <w:t>the requirements in sections 95(2) of FSMR and Rule 7.2.1 to disclose information that ‘would, if generally available, be likely to have a significant effect on the price…’ of Financial Instruments.</w:t>
      </w:r>
      <w:r w:rsidRPr="006B0843">
        <w:rPr>
          <w:rFonts w:asciiTheme="minorBidi" w:hAnsiTheme="minorBidi"/>
          <w:vertAlign w:val="superscript"/>
        </w:rPr>
        <w:footnoteReference w:id="11"/>
      </w:r>
      <w:r w:rsidRPr="006B0843">
        <w:rPr>
          <w:rFonts w:asciiTheme="minorBidi" w:hAnsiTheme="minorBidi"/>
          <w:vertAlign w:val="superscript"/>
        </w:rPr>
        <w:t xml:space="preserve"> </w:t>
      </w:r>
    </w:p>
    <w:p w14:paraId="2A5A3A95" w14:textId="77777777" w:rsidR="00CC466E" w:rsidRPr="006B0843" w:rsidRDefault="00CC466E" w:rsidP="00CC466E">
      <w:pPr>
        <w:pStyle w:val="ListParagraph"/>
        <w:ind w:left="426"/>
        <w:jc w:val="both"/>
        <w:rPr>
          <w:rFonts w:asciiTheme="minorBidi" w:hAnsiTheme="minorBidi"/>
        </w:rPr>
      </w:pPr>
    </w:p>
    <w:p w14:paraId="4607B693" w14:textId="27E242FA" w:rsidR="00310E29" w:rsidRPr="006B0843" w:rsidRDefault="00310E29" w:rsidP="00BE299D">
      <w:pPr>
        <w:pStyle w:val="ListParagraph"/>
        <w:numPr>
          <w:ilvl w:val="0"/>
          <w:numId w:val="1"/>
        </w:numPr>
        <w:ind w:left="567" w:hanging="594"/>
        <w:jc w:val="both"/>
        <w:rPr>
          <w:rFonts w:asciiTheme="minorBidi" w:hAnsiTheme="minorBidi"/>
        </w:rPr>
      </w:pPr>
      <w:r w:rsidRPr="006B0843">
        <w:rPr>
          <w:rFonts w:asciiTheme="minorBidi" w:hAnsiTheme="minorBidi"/>
        </w:rPr>
        <w:t>In such cases, however, where a Mining Reporting Entity relies on Rule 11.8.3</w:t>
      </w:r>
      <w:r w:rsidR="00A75C5B" w:rsidRPr="006B0843">
        <w:rPr>
          <w:rFonts w:asciiTheme="minorBidi" w:hAnsiTheme="minorBidi"/>
        </w:rPr>
        <w:t>(1)</w:t>
      </w:r>
      <w:r w:rsidRPr="006B0843">
        <w:rPr>
          <w:rFonts w:asciiTheme="minorBidi" w:hAnsiTheme="minorBidi"/>
        </w:rPr>
        <w:t>(</w:t>
      </w:r>
      <w:r w:rsidR="00A75C5B" w:rsidRPr="006B0843">
        <w:rPr>
          <w:rFonts w:asciiTheme="minorBidi" w:hAnsiTheme="minorBidi"/>
        </w:rPr>
        <w:t>b</w:t>
      </w:r>
      <w:r w:rsidRPr="006B0843">
        <w:rPr>
          <w:rFonts w:asciiTheme="minorBidi" w:hAnsiTheme="minorBidi"/>
        </w:rPr>
        <w:t>) it:</w:t>
      </w:r>
    </w:p>
    <w:p w14:paraId="30F3F7C0" w14:textId="77777777" w:rsidR="00310E29" w:rsidRPr="006B0843" w:rsidRDefault="00310E29" w:rsidP="00310E29">
      <w:pPr>
        <w:pStyle w:val="ListParagraph"/>
        <w:rPr>
          <w:rFonts w:asciiTheme="minorBidi" w:hAnsiTheme="minorBidi"/>
        </w:rPr>
      </w:pPr>
    </w:p>
    <w:p w14:paraId="1A744C21" w14:textId="77777777" w:rsidR="00310E29" w:rsidRPr="006B0843" w:rsidRDefault="00310E29" w:rsidP="00BE299D">
      <w:pPr>
        <w:pStyle w:val="ListParagraph"/>
        <w:numPr>
          <w:ilvl w:val="0"/>
          <w:numId w:val="33"/>
        </w:numPr>
        <w:ind w:left="1134" w:hanging="567"/>
        <w:jc w:val="both"/>
        <w:rPr>
          <w:rFonts w:asciiTheme="minorBidi" w:hAnsiTheme="minorBidi"/>
        </w:rPr>
      </w:pPr>
      <w:r w:rsidRPr="006B0843">
        <w:rPr>
          <w:rFonts w:asciiTheme="minorBidi" w:hAnsiTheme="minorBidi"/>
        </w:rPr>
        <w:t xml:space="preserve">must make a statement to the effect that the material economic assumptions are commercially </w:t>
      </w:r>
      <w:proofErr w:type="gramStart"/>
      <w:r w:rsidRPr="006B0843">
        <w:rPr>
          <w:rFonts w:asciiTheme="minorBidi" w:hAnsiTheme="minorBidi"/>
        </w:rPr>
        <w:t>sensitive;</w:t>
      </w:r>
      <w:proofErr w:type="gramEnd"/>
    </w:p>
    <w:p w14:paraId="7A995D7C" w14:textId="77777777" w:rsidR="00310E29" w:rsidRPr="006B0843" w:rsidRDefault="00310E29" w:rsidP="00BE299D">
      <w:pPr>
        <w:pStyle w:val="ListParagraph"/>
        <w:ind w:left="1134" w:hanging="567"/>
        <w:jc w:val="both"/>
        <w:rPr>
          <w:rFonts w:asciiTheme="minorBidi" w:hAnsiTheme="minorBidi"/>
        </w:rPr>
      </w:pPr>
    </w:p>
    <w:p w14:paraId="68A45388" w14:textId="77777777" w:rsidR="00310E29" w:rsidRPr="006B0843" w:rsidRDefault="00310E29" w:rsidP="00BE299D">
      <w:pPr>
        <w:pStyle w:val="ListParagraph"/>
        <w:numPr>
          <w:ilvl w:val="0"/>
          <w:numId w:val="33"/>
        </w:numPr>
        <w:ind w:left="1134" w:hanging="567"/>
        <w:jc w:val="both"/>
        <w:rPr>
          <w:rFonts w:asciiTheme="minorBidi" w:hAnsiTheme="minorBidi"/>
        </w:rPr>
      </w:pPr>
      <w:r w:rsidRPr="006B0843">
        <w:rPr>
          <w:rFonts w:asciiTheme="minorBidi" w:hAnsiTheme="minorBidi"/>
        </w:rPr>
        <w:t>should explain why the information is considered a trade secret or commercially sensitive; and</w:t>
      </w:r>
    </w:p>
    <w:p w14:paraId="0325816B" w14:textId="77777777" w:rsidR="00310E29" w:rsidRPr="006B0843" w:rsidRDefault="00310E29" w:rsidP="00BE299D">
      <w:pPr>
        <w:pStyle w:val="ListParagraph"/>
        <w:ind w:left="1134" w:hanging="567"/>
        <w:rPr>
          <w:rFonts w:asciiTheme="minorBidi" w:hAnsiTheme="minorBidi"/>
        </w:rPr>
      </w:pPr>
    </w:p>
    <w:p w14:paraId="50E2A6C2" w14:textId="7F340E01" w:rsidR="00310E29" w:rsidRPr="006B0843" w:rsidRDefault="00310E29" w:rsidP="00BE299D">
      <w:pPr>
        <w:pStyle w:val="ListParagraph"/>
        <w:numPr>
          <w:ilvl w:val="0"/>
          <w:numId w:val="33"/>
        </w:numPr>
        <w:ind w:left="1134" w:hanging="567"/>
        <w:jc w:val="both"/>
        <w:rPr>
          <w:rFonts w:asciiTheme="minorBidi" w:hAnsiTheme="minorBidi"/>
        </w:rPr>
      </w:pPr>
      <w:r w:rsidRPr="006B0843">
        <w:rPr>
          <w:rFonts w:asciiTheme="minorBidi" w:hAnsiTheme="minorBidi"/>
        </w:rPr>
        <w:t xml:space="preserve">must disclose sufficient information (possibly in narrative rather than numerical form, where the numbers are commercially sensitive) in order for investors to understand the </w:t>
      </w:r>
      <w:proofErr w:type="gramStart"/>
      <w:r w:rsidRPr="006B0843">
        <w:rPr>
          <w:rFonts w:asciiTheme="minorBidi" w:hAnsiTheme="minorBidi"/>
        </w:rPr>
        <w:t>methodology</w:t>
      </w:r>
      <w:proofErr w:type="gramEnd"/>
      <w:r w:rsidRPr="006B0843">
        <w:rPr>
          <w:rFonts w:asciiTheme="minorBidi" w:hAnsiTheme="minorBidi"/>
        </w:rPr>
        <w:t xml:space="preserve"> it has used to determine these factors and assumptions, and the basis on which it is reporting the </w:t>
      </w:r>
      <w:r w:rsidR="003F6BB4" w:rsidRPr="006B0843">
        <w:rPr>
          <w:rFonts w:asciiTheme="minorBidi" w:hAnsiTheme="minorBidi"/>
        </w:rPr>
        <w:t xml:space="preserve">relevant </w:t>
      </w:r>
      <w:r w:rsidRPr="006B0843">
        <w:rPr>
          <w:rFonts w:asciiTheme="minorBidi" w:hAnsiTheme="minorBidi"/>
        </w:rPr>
        <w:t xml:space="preserve">estimates. </w:t>
      </w:r>
    </w:p>
    <w:p w14:paraId="222445DC" w14:textId="77777777" w:rsidR="00310E29" w:rsidRPr="006B0843" w:rsidRDefault="00310E29" w:rsidP="00310E29">
      <w:pPr>
        <w:pStyle w:val="ListParagraph"/>
        <w:rPr>
          <w:rFonts w:asciiTheme="minorBidi" w:hAnsiTheme="minorBidi"/>
        </w:rPr>
      </w:pPr>
    </w:p>
    <w:p w14:paraId="6498CA2F" w14:textId="6C855875" w:rsidR="00310E29" w:rsidRPr="006B0843" w:rsidRDefault="00310E29"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Mining Reporting Entities need to be careful not to claim that information is commercially sensitive when </w:t>
      </w:r>
      <w:r w:rsidR="0093455A" w:rsidRPr="006B0843">
        <w:rPr>
          <w:rFonts w:asciiTheme="minorBidi" w:hAnsiTheme="minorBidi"/>
        </w:rPr>
        <w:t>this</w:t>
      </w:r>
      <w:r w:rsidRPr="006B0843">
        <w:rPr>
          <w:rFonts w:asciiTheme="minorBidi" w:hAnsiTheme="minorBidi"/>
        </w:rPr>
        <w:t xml:space="preserve"> is not the case.  If a Mining Reporting Entity, for example, has not yet </w:t>
      </w:r>
      <w:proofErr w:type="gramStart"/>
      <w:r w:rsidRPr="006B0843">
        <w:rPr>
          <w:rFonts w:asciiTheme="minorBidi" w:hAnsiTheme="minorBidi"/>
        </w:rPr>
        <w:t>entered into</w:t>
      </w:r>
      <w:proofErr w:type="gramEnd"/>
      <w:r w:rsidRPr="006B0843">
        <w:rPr>
          <w:rFonts w:asciiTheme="minorBidi" w:hAnsiTheme="minorBidi"/>
        </w:rPr>
        <w:t xml:space="preserve"> any commercially sensitive contracts that underpin its commodity price, capital expenditure or operational expenditure assumptions</w:t>
      </w:r>
      <w:r w:rsidR="00303424" w:rsidRPr="006B0843">
        <w:rPr>
          <w:rFonts w:asciiTheme="minorBidi" w:hAnsiTheme="minorBidi"/>
        </w:rPr>
        <w:t xml:space="preserve"> (as it is not yet a Mining Production Reporting Entity)</w:t>
      </w:r>
      <w:r w:rsidRPr="006B0843">
        <w:rPr>
          <w:rFonts w:asciiTheme="minorBidi" w:hAnsiTheme="minorBidi"/>
        </w:rPr>
        <w:t>, it would be difficult to form a view that information about those assumptions would be commercially sensitive.</w:t>
      </w:r>
    </w:p>
    <w:p w14:paraId="4F5DC1DB" w14:textId="4BAC8820" w:rsidR="00303424" w:rsidRPr="006B0843" w:rsidRDefault="00303424" w:rsidP="00BE299D">
      <w:pPr>
        <w:pStyle w:val="ListParagraph"/>
        <w:ind w:left="567" w:hanging="567"/>
        <w:jc w:val="both"/>
        <w:rPr>
          <w:rFonts w:asciiTheme="minorBidi" w:hAnsiTheme="minorBidi"/>
        </w:rPr>
      </w:pPr>
    </w:p>
    <w:p w14:paraId="2EBBAA3D" w14:textId="64E98CB2" w:rsidR="00303424" w:rsidRPr="006B0843" w:rsidRDefault="00303424"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As Rule 11.8.3(1)(c) requires the disclosure of all material ‘non-economic’ assumptions, Mining Reporting Entities are not provided the same discretion relating to commercial sensitivity for these assumptions as what applies to material ‘economic </w:t>
      </w:r>
      <w:proofErr w:type="gramStart"/>
      <w:r w:rsidRPr="006B0843">
        <w:rPr>
          <w:rFonts w:asciiTheme="minorBidi" w:hAnsiTheme="minorBidi"/>
        </w:rPr>
        <w:t>assumptions’</w:t>
      </w:r>
      <w:proofErr w:type="gramEnd"/>
      <w:r w:rsidRPr="006B0843">
        <w:rPr>
          <w:rFonts w:asciiTheme="minorBidi" w:hAnsiTheme="minorBidi"/>
        </w:rPr>
        <w:t xml:space="preserve">.  </w:t>
      </w:r>
    </w:p>
    <w:p w14:paraId="0132D079" w14:textId="77777777" w:rsidR="00303424" w:rsidRPr="006B0843" w:rsidRDefault="00303424" w:rsidP="00BE299D">
      <w:pPr>
        <w:pStyle w:val="ListParagraph"/>
        <w:ind w:left="567" w:hanging="567"/>
        <w:rPr>
          <w:rFonts w:asciiTheme="minorBidi" w:hAnsiTheme="minorBidi"/>
        </w:rPr>
      </w:pPr>
    </w:p>
    <w:p w14:paraId="37A41A81" w14:textId="2ADC579A" w:rsidR="00303424" w:rsidRPr="006B0843" w:rsidRDefault="00303424"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It is important to note that as a Production Target involves a representation about future matters, it must be based on reasonable grounds, meaning that the </w:t>
      </w:r>
      <w:r w:rsidR="0014204B" w:rsidRPr="006B0843">
        <w:rPr>
          <w:rFonts w:asciiTheme="minorBidi" w:hAnsiTheme="minorBidi"/>
        </w:rPr>
        <w:t>price, capital expenditure and operational expenditure a</w:t>
      </w:r>
      <w:r w:rsidRPr="006B0843">
        <w:rPr>
          <w:rFonts w:asciiTheme="minorBidi" w:hAnsiTheme="minorBidi"/>
        </w:rPr>
        <w:t xml:space="preserve">ssumptions used to calculate the </w:t>
      </w:r>
      <w:r w:rsidR="0014204B" w:rsidRPr="006B0843">
        <w:rPr>
          <w:rFonts w:asciiTheme="minorBidi" w:hAnsiTheme="minorBidi"/>
        </w:rPr>
        <w:t>Production Target</w:t>
      </w:r>
      <w:r w:rsidRPr="006B0843">
        <w:rPr>
          <w:rFonts w:asciiTheme="minorBidi" w:hAnsiTheme="minorBidi"/>
        </w:rPr>
        <w:t xml:space="preserve"> must also be objectively reasonable, or else the representation could be deemed as misleading.</w:t>
      </w:r>
      <w:r w:rsidR="0014204B" w:rsidRPr="006B0843">
        <w:rPr>
          <w:rStyle w:val="FootnoteReference"/>
          <w:rFonts w:asciiTheme="minorBidi" w:hAnsiTheme="minorBidi"/>
        </w:rPr>
        <w:footnoteReference w:id="12"/>
      </w:r>
      <w:r w:rsidRPr="006B0843">
        <w:rPr>
          <w:rFonts w:asciiTheme="minorBidi" w:hAnsiTheme="minorBidi"/>
        </w:rPr>
        <w:t xml:space="preserve">  </w:t>
      </w:r>
    </w:p>
    <w:p w14:paraId="1422B22A" w14:textId="77777777" w:rsidR="0014204B" w:rsidRPr="006B0843" w:rsidRDefault="0014204B" w:rsidP="00BE299D">
      <w:pPr>
        <w:pStyle w:val="ListParagraph"/>
        <w:ind w:left="567" w:hanging="567"/>
        <w:rPr>
          <w:rFonts w:asciiTheme="minorBidi" w:hAnsiTheme="minorBidi"/>
        </w:rPr>
      </w:pPr>
    </w:p>
    <w:p w14:paraId="494F6CA5" w14:textId="77777777" w:rsidR="0014204B" w:rsidRPr="006B0843" w:rsidRDefault="0014204B" w:rsidP="00BE299D">
      <w:pPr>
        <w:pStyle w:val="ListParagraph"/>
        <w:numPr>
          <w:ilvl w:val="0"/>
          <w:numId w:val="1"/>
        </w:numPr>
        <w:ind w:left="567" w:hanging="567"/>
        <w:jc w:val="both"/>
        <w:rPr>
          <w:rFonts w:asciiTheme="minorBidi" w:hAnsiTheme="minorBidi"/>
        </w:rPr>
      </w:pPr>
      <w:r w:rsidRPr="006B0843">
        <w:rPr>
          <w:rFonts w:asciiTheme="minorBidi" w:hAnsiTheme="minorBidi"/>
        </w:rPr>
        <w:t>Rule 11.8.3(2) requires that if forecast commodity prices have been used, a Mining Reporting Entity must confirm that such forecast commodity prices were arrived at on reasonable grounds.</w:t>
      </w:r>
    </w:p>
    <w:p w14:paraId="5BF4E7E1" w14:textId="77777777" w:rsidR="0014204B" w:rsidRPr="006B0843" w:rsidRDefault="0014204B" w:rsidP="00BE299D">
      <w:pPr>
        <w:pStyle w:val="ListParagraph"/>
        <w:ind w:left="567" w:hanging="567"/>
        <w:rPr>
          <w:rFonts w:asciiTheme="minorBidi" w:hAnsiTheme="minorBidi"/>
        </w:rPr>
      </w:pPr>
    </w:p>
    <w:p w14:paraId="62198B08" w14:textId="0FF7CA92" w:rsidR="0014204B" w:rsidRPr="006B0843" w:rsidRDefault="0014204B"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Where a Production Target in in part based on Inferred Mineral Resources, Rule 11.8.3(6) requires a Mining Reporting Entity’s disclosure to include a prominent, and proximate, cautionary statement.  For more details on the FSRA’s expectations for prominent, and proximate, cautionary statements, please refer to paragraphs </w:t>
      </w:r>
      <w:r w:rsidR="00D8111F" w:rsidRPr="006B0843">
        <w:rPr>
          <w:rFonts w:asciiTheme="minorBidi" w:hAnsiTheme="minorBidi"/>
        </w:rPr>
        <w:t>87-89</w:t>
      </w:r>
      <w:r w:rsidRPr="006B0843">
        <w:rPr>
          <w:rFonts w:asciiTheme="minorBidi" w:hAnsiTheme="minorBidi"/>
        </w:rPr>
        <w:t xml:space="preserve"> below. </w:t>
      </w:r>
    </w:p>
    <w:p w14:paraId="3444CA19" w14:textId="77777777" w:rsidR="0014204B" w:rsidRPr="006B0843" w:rsidRDefault="0014204B" w:rsidP="00BE299D">
      <w:pPr>
        <w:pStyle w:val="ListParagraph"/>
        <w:ind w:left="567" w:hanging="567"/>
        <w:rPr>
          <w:rFonts w:asciiTheme="minorBidi" w:hAnsiTheme="minorBidi"/>
        </w:rPr>
      </w:pPr>
    </w:p>
    <w:p w14:paraId="560DE480" w14:textId="6A0BAAB6" w:rsidR="0014204B" w:rsidRPr="006B0843" w:rsidRDefault="0014204B"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Where a Production Target is in part based on an Exploration Target, in addition to the Mining Reporting Entity’s disclosure needing to include a prominent, and proximate, cautionary statement, Rule 11.8.3(7)(a) also requires a statement on the factors that </w:t>
      </w:r>
      <w:r w:rsidRPr="006B0843">
        <w:rPr>
          <w:rFonts w:asciiTheme="minorBidi" w:hAnsiTheme="minorBidi"/>
        </w:rPr>
        <w:lastRenderedPageBreak/>
        <w:t>lead the Mining Reporting Entity to believe that it has a reasonable basis for disclosing the Production Target.</w:t>
      </w:r>
    </w:p>
    <w:p w14:paraId="6B9ED5E7" w14:textId="77777777" w:rsidR="005A10FF" w:rsidRPr="006B0843" w:rsidRDefault="005A10FF" w:rsidP="005A10FF">
      <w:pPr>
        <w:pStyle w:val="ListParagraph"/>
        <w:rPr>
          <w:rFonts w:asciiTheme="minorBidi" w:hAnsiTheme="minorBidi"/>
        </w:rPr>
      </w:pPr>
    </w:p>
    <w:p w14:paraId="5CA10B04" w14:textId="2AD887CC" w:rsidR="005A10FF" w:rsidRPr="006B0843" w:rsidRDefault="005A10FF"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The FSRA has not imposed a specific Rule obligation requiring confirmation that the estimates </w:t>
      </w:r>
      <w:r w:rsidR="0093455A" w:rsidRPr="006B0843">
        <w:rPr>
          <w:rFonts w:asciiTheme="minorBidi" w:hAnsiTheme="minorBidi"/>
        </w:rPr>
        <w:t xml:space="preserve">of </w:t>
      </w:r>
      <w:r w:rsidRPr="006B0843">
        <w:rPr>
          <w:rFonts w:asciiTheme="minorBidi" w:hAnsiTheme="minorBidi"/>
        </w:rPr>
        <w:t>Ore Reserves and/or Mineral Resources used in determining a Production Target have been prepared by a Competent Person in accordance with a Mining Reporting Standard.  The FSRA expects to see disclosure of the appropriate Competent Person statement in relation to the original disclosure of the estimates of Ore Reserves and/or Mineral Resources, as part of the Mining Reporting Entity meet</w:t>
      </w:r>
      <w:r w:rsidR="0093455A" w:rsidRPr="006B0843">
        <w:rPr>
          <w:rFonts w:asciiTheme="minorBidi" w:hAnsiTheme="minorBidi"/>
        </w:rPr>
        <w:t>ing</w:t>
      </w:r>
      <w:r w:rsidRPr="006B0843">
        <w:rPr>
          <w:rFonts w:asciiTheme="minorBidi" w:hAnsiTheme="minorBidi"/>
        </w:rPr>
        <w:t xml:space="preserve"> its obligations under the Mining Reporting Standards and the Rules.  The FSRA therefore suggests that Mining Reporting Entities reconfirm this position in any disclosure relating to Production Targets. </w:t>
      </w:r>
    </w:p>
    <w:p w14:paraId="27A0F44B" w14:textId="77777777" w:rsidR="009C349B" w:rsidRPr="006B0843" w:rsidRDefault="009C349B" w:rsidP="00BE299D">
      <w:pPr>
        <w:pStyle w:val="ListParagraph"/>
        <w:ind w:left="567" w:hanging="567"/>
        <w:rPr>
          <w:rFonts w:asciiTheme="minorBidi" w:hAnsiTheme="minorBidi"/>
        </w:rPr>
      </w:pPr>
    </w:p>
    <w:p w14:paraId="0D4ADB3A" w14:textId="2D46E402" w:rsidR="009C349B" w:rsidRPr="006B0843" w:rsidRDefault="009C349B" w:rsidP="00BE299D">
      <w:pPr>
        <w:pStyle w:val="ListParagraph"/>
        <w:numPr>
          <w:ilvl w:val="0"/>
          <w:numId w:val="1"/>
        </w:numPr>
        <w:ind w:left="567" w:hanging="567"/>
        <w:jc w:val="both"/>
        <w:rPr>
          <w:rFonts w:asciiTheme="minorBidi" w:hAnsiTheme="minorBidi"/>
        </w:rPr>
      </w:pPr>
      <w:r w:rsidRPr="006B0843">
        <w:rPr>
          <w:rFonts w:asciiTheme="minorBidi" w:hAnsiTheme="minorBidi"/>
        </w:rPr>
        <w:t xml:space="preserve">If a Mining Reporting Entity becomes aware that its Production results will differ materially (up or down) from any Production Target it has disclosed, it may have a legal obligation to disclose this.  This obligation to disclose may arise under Rule 7.2.1 and </w:t>
      </w:r>
      <w:r w:rsidR="00A23B85">
        <w:rPr>
          <w:rFonts w:asciiTheme="minorBidi" w:hAnsiTheme="minorBidi"/>
        </w:rPr>
        <w:t>s</w:t>
      </w:r>
      <w:r w:rsidRPr="006B0843">
        <w:rPr>
          <w:rFonts w:asciiTheme="minorBidi" w:hAnsiTheme="minorBidi"/>
        </w:rPr>
        <w:t xml:space="preserve">ection 95(2) of FSMR, </w:t>
      </w:r>
      <w:proofErr w:type="gramStart"/>
      <w:r w:rsidRPr="006B0843">
        <w:rPr>
          <w:rFonts w:asciiTheme="minorBidi" w:hAnsiTheme="minorBidi"/>
        </w:rPr>
        <w:t>in order to</w:t>
      </w:r>
      <w:proofErr w:type="gramEnd"/>
      <w:r w:rsidRPr="006B0843">
        <w:rPr>
          <w:rFonts w:asciiTheme="minorBidi" w:hAnsiTheme="minorBidi"/>
        </w:rPr>
        <w:t xml:space="preserve"> disclose information that ‘would, if generally available, be likely to have a significant effect on the price…’ of Financial Instruments.</w:t>
      </w:r>
      <w:r w:rsidRPr="006B0843">
        <w:rPr>
          <w:rStyle w:val="FootnoteReference"/>
          <w:rFonts w:asciiTheme="minorBidi" w:hAnsiTheme="minorBidi"/>
        </w:rPr>
        <w:footnoteReference w:id="13"/>
      </w:r>
    </w:p>
    <w:p w14:paraId="1A34A3DF" w14:textId="77777777" w:rsidR="009C349B" w:rsidRPr="006B0843" w:rsidRDefault="009C349B" w:rsidP="009C349B">
      <w:pPr>
        <w:pStyle w:val="ListParagraph"/>
        <w:ind w:left="426"/>
        <w:jc w:val="both"/>
        <w:rPr>
          <w:rFonts w:asciiTheme="minorBidi" w:hAnsiTheme="minorBidi"/>
        </w:rPr>
      </w:pPr>
    </w:p>
    <w:p w14:paraId="553F63B2" w14:textId="2540440E" w:rsidR="005A10FF" w:rsidRPr="006B0843" w:rsidRDefault="00D569E4" w:rsidP="00AA2317">
      <w:pPr>
        <w:pStyle w:val="Heading2"/>
        <w:tabs>
          <w:tab w:val="clear" w:pos="720"/>
          <w:tab w:val="num" w:pos="0"/>
        </w:tabs>
        <w:ind w:left="0" w:firstLine="0"/>
        <w:rPr>
          <w:rFonts w:asciiTheme="minorBidi" w:hAnsiTheme="minorBidi" w:cstheme="minorBidi"/>
          <w:sz w:val="22"/>
          <w:szCs w:val="22"/>
        </w:rPr>
      </w:pPr>
      <w:bookmarkStart w:id="38" w:name="_Toc43963865"/>
      <w:r w:rsidRPr="006B0843">
        <w:rPr>
          <w:rFonts w:asciiTheme="minorBidi" w:hAnsiTheme="minorBidi" w:cstheme="minorBidi"/>
          <w:sz w:val="22"/>
          <w:szCs w:val="22"/>
        </w:rPr>
        <w:t>Production Targets wholly based on Inferred Mineral Resources</w:t>
      </w:r>
      <w:bookmarkEnd w:id="38"/>
      <w:r w:rsidR="005A10FF" w:rsidRPr="006B0843">
        <w:rPr>
          <w:rFonts w:asciiTheme="minorBidi" w:hAnsiTheme="minorBidi" w:cstheme="minorBidi"/>
          <w:sz w:val="22"/>
          <w:szCs w:val="22"/>
        </w:rPr>
        <w:t xml:space="preserve"> </w:t>
      </w:r>
    </w:p>
    <w:p w14:paraId="36A95BB1" w14:textId="1394972C" w:rsidR="005A10FF" w:rsidRPr="006B0843" w:rsidRDefault="00D569E4" w:rsidP="00BE299D">
      <w:pPr>
        <w:pStyle w:val="ListParagraph"/>
        <w:numPr>
          <w:ilvl w:val="0"/>
          <w:numId w:val="1"/>
        </w:numPr>
        <w:ind w:left="567" w:hanging="567"/>
        <w:jc w:val="both"/>
        <w:rPr>
          <w:rFonts w:asciiTheme="minorBidi" w:hAnsiTheme="minorBidi"/>
        </w:rPr>
      </w:pPr>
      <w:r w:rsidRPr="006B0843">
        <w:rPr>
          <w:rFonts w:asciiTheme="minorBidi" w:hAnsiTheme="minorBidi"/>
        </w:rPr>
        <w:t>As noted earlier, Mining Reporting Entities are required to note that a disclosure about a Production Target can be deemed misleading unless the Mining Reporting Entity has reasonable grounds for making the disclosure.  For this reason, the FSRA considers that only in exceptional circumstances w</w:t>
      </w:r>
      <w:r w:rsidR="0093455A" w:rsidRPr="006B0843">
        <w:rPr>
          <w:rFonts w:asciiTheme="minorBidi" w:hAnsiTheme="minorBidi"/>
        </w:rPr>
        <w:t xml:space="preserve">ill </w:t>
      </w:r>
      <w:r w:rsidRPr="006B0843">
        <w:rPr>
          <w:rFonts w:asciiTheme="minorBidi" w:hAnsiTheme="minorBidi"/>
        </w:rPr>
        <w:t>a Mining Reporting Entity be able to form the view that it has reasonable grounds to determine a Production Target wholly based on Inferred Mineral Resources.</w:t>
      </w:r>
    </w:p>
    <w:p w14:paraId="267E20A0" w14:textId="604AFA19" w:rsidR="000F2D4D" w:rsidRPr="006B0843" w:rsidRDefault="000F2D4D" w:rsidP="00BE299D">
      <w:pPr>
        <w:pStyle w:val="ListParagraph"/>
        <w:ind w:left="567" w:hanging="567"/>
        <w:jc w:val="both"/>
        <w:rPr>
          <w:rFonts w:asciiTheme="minorBidi" w:hAnsiTheme="minorBidi"/>
        </w:rPr>
      </w:pPr>
    </w:p>
    <w:p w14:paraId="3A36EDA7" w14:textId="7C95E0E4" w:rsidR="000F2D4D" w:rsidRPr="006B0843" w:rsidRDefault="000F2D4D" w:rsidP="00BE299D">
      <w:pPr>
        <w:pStyle w:val="ListParagraph"/>
        <w:numPr>
          <w:ilvl w:val="0"/>
          <w:numId w:val="1"/>
        </w:numPr>
        <w:ind w:left="567" w:hanging="567"/>
        <w:jc w:val="both"/>
        <w:rPr>
          <w:rFonts w:asciiTheme="minorBidi" w:hAnsiTheme="minorBidi"/>
        </w:rPr>
      </w:pPr>
      <w:r w:rsidRPr="006B0843">
        <w:rPr>
          <w:rFonts w:asciiTheme="minorBidi" w:hAnsiTheme="minorBidi"/>
        </w:rPr>
        <w:t>Rule 11.8.3(5) therefore requires that where a Production Target is wholly based on Inferred Mineral Resources, the following additional requirements be satisfied:</w:t>
      </w:r>
    </w:p>
    <w:p w14:paraId="559FBF8F" w14:textId="77777777" w:rsidR="000F2D4D" w:rsidRPr="006B0843" w:rsidRDefault="000F2D4D" w:rsidP="000F2D4D">
      <w:pPr>
        <w:pStyle w:val="ListParagraph"/>
        <w:rPr>
          <w:rFonts w:asciiTheme="minorBidi" w:hAnsiTheme="minorBidi"/>
        </w:rPr>
      </w:pPr>
    </w:p>
    <w:p w14:paraId="2CACEEFC" w14:textId="6AEEC26C" w:rsidR="00E36EC8" w:rsidRPr="006B0843" w:rsidRDefault="00E36EC8" w:rsidP="00BE299D">
      <w:pPr>
        <w:pStyle w:val="ListParagraph"/>
        <w:numPr>
          <w:ilvl w:val="0"/>
          <w:numId w:val="34"/>
        </w:numPr>
        <w:ind w:left="1134" w:hanging="567"/>
        <w:jc w:val="both"/>
        <w:rPr>
          <w:rFonts w:asciiTheme="minorBidi" w:hAnsiTheme="minorBidi"/>
        </w:rPr>
      </w:pPr>
      <w:r w:rsidRPr="006B0843">
        <w:rPr>
          <w:rFonts w:asciiTheme="minorBidi" w:hAnsiTheme="minorBidi"/>
        </w:rPr>
        <w:t xml:space="preserve">disclosure of an explanation as to why the Mining Reporting Entity believes it has a reasonable basis for disclosing a Production Target wholly based on Inferred Mineral Resources.  This should, for example, be limited to types of Mineralisation where a Mining Project cannot be progressed, at the time of the disclosure, up to a higher level of confidence in the Mineralisation by conventional exploration </w:t>
      </w:r>
      <w:proofErr w:type="gramStart"/>
      <w:r w:rsidRPr="006B0843">
        <w:rPr>
          <w:rFonts w:asciiTheme="minorBidi" w:hAnsiTheme="minorBidi"/>
        </w:rPr>
        <w:t>alone;</w:t>
      </w:r>
      <w:proofErr w:type="gramEnd"/>
    </w:p>
    <w:p w14:paraId="06264030" w14:textId="28264B39" w:rsidR="00E36EC8" w:rsidRPr="006B0843" w:rsidRDefault="00E36EC8" w:rsidP="00BE299D">
      <w:pPr>
        <w:pStyle w:val="ListParagraph"/>
        <w:ind w:left="1134" w:hanging="567"/>
        <w:jc w:val="both"/>
        <w:rPr>
          <w:rFonts w:asciiTheme="minorBidi" w:hAnsiTheme="minorBidi"/>
        </w:rPr>
      </w:pPr>
    </w:p>
    <w:p w14:paraId="64A33912" w14:textId="4CC143A7" w:rsidR="00E36EC8" w:rsidRPr="006B0843" w:rsidRDefault="00E36EC8" w:rsidP="00BE299D">
      <w:pPr>
        <w:pStyle w:val="ListParagraph"/>
        <w:numPr>
          <w:ilvl w:val="0"/>
          <w:numId w:val="34"/>
        </w:numPr>
        <w:ind w:left="1134" w:hanging="567"/>
        <w:jc w:val="both"/>
        <w:rPr>
          <w:rFonts w:asciiTheme="minorBidi" w:hAnsiTheme="minorBidi"/>
        </w:rPr>
      </w:pPr>
      <w:r w:rsidRPr="006B0843">
        <w:rPr>
          <w:rFonts w:asciiTheme="minorBidi" w:hAnsiTheme="minorBidi"/>
        </w:rPr>
        <w:t xml:space="preserve">disclosure of the level of confidence associated with the estimates of Inferred Mineral Resources and the basis of this level of confidence.  This should be provided in narrative form and be sufficiently descriptive </w:t>
      </w:r>
      <w:r w:rsidR="0093455A" w:rsidRPr="006B0843">
        <w:rPr>
          <w:rFonts w:asciiTheme="minorBidi" w:hAnsiTheme="minorBidi"/>
        </w:rPr>
        <w:t xml:space="preserve">such that investors are </w:t>
      </w:r>
      <w:r w:rsidRPr="006B0843">
        <w:rPr>
          <w:rFonts w:asciiTheme="minorBidi" w:hAnsiTheme="minorBidi"/>
        </w:rPr>
        <w:t>inform</w:t>
      </w:r>
      <w:r w:rsidR="0093455A" w:rsidRPr="006B0843">
        <w:rPr>
          <w:rFonts w:asciiTheme="minorBidi" w:hAnsiTheme="minorBidi"/>
        </w:rPr>
        <w:t>ed</w:t>
      </w:r>
      <w:r w:rsidRPr="006B0843">
        <w:rPr>
          <w:rFonts w:asciiTheme="minorBidi" w:hAnsiTheme="minorBidi"/>
        </w:rPr>
        <w:t xml:space="preserve"> of the reasons why the Mining Reporting Entity maintains this level of </w:t>
      </w:r>
      <w:proofErr w:type="gramStart"/>
      <w:r w:rsidRPr="006B0843">
        <w:rPr>
          <w:rFonts w:asciiTheme="minorBidi" w:hAnsiTheme="minorBidi"/>
        </w:rPr>
        <w:t>confidence;</w:t>
      </w:r>
      <w:proofErr w:type="gramEnd"/>
    </w:p>
    <w:p w14:paraId="2AE10FE1" w14:textId="77777777" w:rsidR="00E36EC8" w:rsidRPr="006B0843" w:rsidRDefault="00E36EC8" w:rsidP="00BE299D">
      <w:pPr>
        <w:pStyle w:val="ListParagraph"/>
        <w:ind w:left="1134" w:hanging="567"/>
        <w:rPr>
          <w:rFonts w:asciiTheme="minorBidi" w:hAnsiTheme="minorBidi"/>
        </w:rPr>
      </w:pPr>
    </w:p>
    <w:p w14:paraId="5240CDCA" w14:textId="7E8A31D7" w:rsidR="00E36EC8" w:rsidRPr="006B0843" w:rsidRDefault="00E36EC8" w:rsidP="00BE299D">
      <w:pPr>
        <w:pStyle w:val="ListParagraph"/>
        <w:numPr>
          <w:ilvl w:val="0"/>
          <w:numId w:val="34"/>
        </w:numPr>
        <w:ind w:left="1134" w:hanging="567"/>
        <w:jc w:val="both"/>
        <w:rPr>
          <w:rFonts w:asciiTheme="minorBidi" w:hAnsiTheme="minorBidi"/>
        </w:rPr>
      </w:pPr>
      <w:r w:rsidRPr="006B0843">
        <w:rPr>
          <w:rFonts w:asciiTheme="minorBidi" w:hAnsiTheme="minorBidi"/>
        </w:rPr>
        <w:t>completion and disclosure of an independent technical report that is of a sufficient level of confidence to support the Production Target.  The Technical Study must be prepared by, or under the supervision of a Competent Person in accordance with a Mining Reporting Standard</w:t>
      </w:r>
      <w:r w:rsidR="009C349B" w:rsidRPr="006B0843">
        <w:rPr>
          <w:rFonts w:asciiTheme="minorBidi" w:hAnsiTheme="minorBidi"/>
        </w:rPr>
        <w:t>. The Technical Study produced by the independent Competent Person for the purposes of Rule 11.8.3(5)(c) should be a technical assessment report prepared in accordance with a Valuation Standard</w:t>
      </w:r>
      <w:r w:rsidRPr="006B0843">
        <w:rPr>
          <w:rFonts w:asciiTheme="minorBidi" w:hAnsiTheme="minorBidi"/>
        </w:rPr>
        <w:t>; and</w:t>
      </w:r>
    </w:p>
    <w:p w14:paraId="1E7966D4" w14:textId="77777777" w:rsidR="00E36EC8" w:rsidRPr="006B0843" w:rsidRDefault="00E36EC8" w:rsidP="00BE299D">
      <w:pPr>
        <w:pStyle w:val="ListParagraph"/>
        <w:ind w:left="1134" w:hanging="567"/>
        <w:rPr>
          <w:rFonts w:asciiTheme="minorBidi" w:hAnsiTheme="minorBidi"/>
        </w:rPr>
      </w:pPr>
    </w:p>
    <w:p w14:paraId="1CE18B08" w14:textId="37A943B5" w:rsidR="000F2D4D" w:rsidRPr="006B0843" w:rsidRDefault="00E36EC8" w:rsidP="00BE299D">
      <w:pPr>
        <w:pStyle w:val="ListParagraph"/>
        <w:numPr>
          <w:ilvl w:val="0"/>
          <w:numId w:val="34"/>
        </w:numPr>
        <w:ind w:left="1134" w:hanging="567"/>
        <w:jc w:val="both"/>
        <w:rPr>
          <w:rFonts w:asciiTheme="minorBidi" w:hAnsiTheme="minorBidi"/>
        </w:rPr>
      </w:pPr>
      <w:r w:rsidRPr="006B0843">
        <w:rPr>
          <w:rFonts w:asciiTheme="minorBidi" w:hAnsiTheme="minorBidi"/>
        </w:rPr>
        <w:lastRenderedPageBreak/>
        <w:t>inclusion, in the relevant disclosure, of the prominent, and proximate, cautionary statement required by Rule 11.8.3(5)(d).</w:t>
      </w:r>
    </w:p>
    <w:p w14:paraId="1BA106C4" w14:textId="77777777" w:rsidR="00A75C5B" w:rsidRPr="006B0843" w:rsidRDefault="00A75C5B" w:rsidP="00A75C5B">
      <w:pPr>
        <w:pStyle w:val="ListParagraph"/>
        <w:ind w:left="426"/>
        <w:jc w:val="both"/>
        <w:rPr>
          <w:rFonts w:asciiTheme="minorBidi" w:hAnsiTheme="minorBidi"/>
        </w:rPr>
      </w:pPr>
    </w:p>
    <w:p w14:paraId="77160E58" w14:textId="37721D65" w:rsidR="00E36EC8" w:rsidRPr="006B0843" w:rsidRDefault="009C349B" w:rsidP="00584B87">
      <w:pPr>
        <w:pStyle w:val="ListParagraph"/>
        <w:numPr>
          <w:ilvl w:val="0"/>
          <w:numId w:val="1"/>
        </w:numPr>
        <w:ind w:left="567" w:hanging="567"/>
        <w:jc w:val="both"/>
        <w:rPr>
          <w:rFonts w:asciiTheme="minorBidi" w:hAnsiTheme="minorBidi"/>
        </w:rPr>
      </w:pPr>
      <w:r w:rsidRPr="006B0843">
        <w:rPr>
          <w:rFonts w:asciiTheme="minorBidi" w:hAnsiTheme="minorBidi"/>
        </w:rPr>
        <w:t>The Inferred Mineral Resources used in determining the Production Target are to be prepared by, or under the supervision of, a Competent Person, but are not required to be prepared by, or under the supervision of, an independent Competent Person</w:t>
      </w:r>
      <w:r w:rsidR="00E36EC8" w:rsidRPr="006B0843">
        <w:rPr>
          <w:rFonts w:asciiTheme="minorBidi" w:hAnsiTheme="minorBidi"/>
        </w:rPr>
        <w:t xml:space="preserve">. </w:t>
      </w:r>
    </w:p>
    <w:p w14:paraId="76E3BD7E" w14:textId="5D5BFBE1" w:rsidR="009C349B" w:rsidRPr="006B0843" w:rsidRDefault="009C349B" w:rsidP="009C349B">
      <w:pPr>
        <w:ind w:left="-27"/>
        <w:jc w:val="both"/>
        <w:rPr>
          <w:rFonts w:asciiTheme="minorBidi" w:hAnsiTheme="minorBidi"/>
        </w:rPr>
      </w:pPr>
    </w:p>
    <w:p w14:paraId="0AD87D2A" w14:textId="4A265181" w:rsidR="009C349B" w:rsidRPr="006B0843" w:rsidRDefault="009C349B" w:rsidP="00AA2317">
      <w:pPr>
        <w:pStyle w:val="Heading2"/>
        <w:tabs>
          <w:tab w:val="clear" w:pos="720"/>
          <w:tab w:val="num" w:pos="0"/>
        </w:tabs>
        <w:ind w:left="0" w:firstLine="0"/>
        <w:rPr>
          <w:rFonts w:asciiTheme="minorBidi" w:hAnsiTheme="minorBidi" w:cstheme="minorBidi"/>
          <w:sz w:val="22"/>
          <w:szCs w:val="22"/>
        </w:rPr>
      </w:pPr>
      <w:bookmarkStart w:id="39" w:name="_Toc43963866"/>
      <w:r w:rsidRPr="006B0843">
        <w:rPr>
          <w:rFonts w:asciiTheme="minorBidi" w:hAnsiTheme="minorBidi" w:cstheme="minorBidi"/>
          <w:sz w:val="22"/>
          <w:szCs w:val="22"/>
        </w:rPr>
        <w:t>Exemptions from disclosure - Subsequent disclosures &amp; operating mines</w:t>
      </w:r>
      <w:bookmarkEnd w:id="39"/>
      <w:r w:rsidRPr="006B0843">
        <w:rPr>
          <w:rFonts w:asciiTheme="minorBidi" w:hAnsiTheme="minorBidi" w:cstheme="minorBidi"/>
          <w:sz w:val="22"/>
          <w:szCs w:val="22"/>
        </w:rPr>
        <w:t xml:space="preserve"> </w:t>
      </w:r>
    </w:p>
    <w:p w14:paraId="2CDACDEB" w14:textId="16A6F2E1" w:rsidR="009C349B" w:rsidRPr="006B0843" w:rsidRDefault="009C349B" w:rsidP="00584B87">
      <w:pPr>
        <w:pStyle w:val="ListParagraph"/>
        <w:numPr>
          <w:ilvl w:val="0"/>
          <w:numId w:val="1"/>
        </w:numPr>
        <w:ind w:left="567" w:hanging="567"/>
        <w:jc w:val="both"/>
        <w:rPr>
          <w:rFonts w:asciiTheme="minorBidi" w:hAnsiTheme="minorBidi"/>
        </w:rPr>
      </w:pPr>
      <w:r w:rsidRPr="006B0843">
        <w:rPr>
          <w:rFonts w:asciiTheme="minorBidi" w:hAnsiTheme="minorBidi"/>
        </w:rPr>
        <w:t>Rule 11.8.4 allows Mining Reporting Entities to not have to include, within a subsequent disclosure of a Production Target,</w:t>
      </w:r>
      <w:r w:rsidR="00E00C8D" w:rsidRPr="006B0843">
        <w:rPr>
          <w:rFonts w:asciiTheme="minorBidi" w:hAnsiTheme="minorBidi"/>
        </w:rPr>
        <w:t xml:space="preserve"> </w:t>
      </w:r>
      <w:r w:rsidRPr="006B0843">
        <w:rPr>
          <w:rFonts w:asciiTheme="minorBidi" w:hAnsiTheme="minorBidi"/>
        </w:rPr>
        <w:t>all the information set out</w:t>
      </w:r>
      <w:r w:rsidR="00E00C8D" w:rsidRPr="006B0843">
        <w:rPr>
          <w:rFonts w:asciiTheme="minorBidi" w:hAnsiTheme="minorBidi"/>
        </w:rPr>
        <w:t xml:space="preserve"> in Rule 11.8.3 provided certain</w:t>
      </w:r>
      <w:r w:rsidR="0093455A" w:rsidRPr="006B0843">
        <w:rPr>
          <w:rFonts w:asciiTheme="minorBidi" w:hAnsiTheme="minorBidi"/>
        </w:rPr>
        <w:t xml:space="preserve"> other</w:t>
      </w:r>
      <w:r w:rsidR="00E00C8D" w:rsidRPr="006B0843">
        <w:rPr>
          <w:rFonts w:asciiTheme="minorBidi" w:hAnsiTheme="minorBidi"/>
        </w:rPr>
        <w:t xml:space="preserve"> conditions are satisfied. </w:t>
      </w:r>
      <w:r w:rsidR="001E6358">
        <w:rPr>
          <w:rFonts w:asciiTheme="minorBidi" w:hAnsiTheme="minorBidi"/>
        </w:rPr>
        <w:t xml:space="preserve"> </w:t>
      </w:r>
      <w:r w:rsidR="00E00C8D" w:rsidRPr="006B0843">
        <w:rPr>
          <w:rFonts w:asciiTheme="minorBidi" w:hAnsiTheme="minorBidi"/>
        </w:rPr>
        <w:t>One of these conditions is that the subsequent disclosure must cross refer to the disclosure containing the Production Target and all the required supporting information.</w:t>
      </w:r>
      <w:r w:rsidR="00E00C8D" w:rsidRPr="006B0843">
        <w:rPr>
          <w:rStyle w:val="FootnoteReference"/>
          <w:rFonts w:asciiTheme="minorBidi" w:hAnsiTheme="minorBidi"/>
        </w:rPr>
        <w:footnoteReference w:id="14"/>
      </w:r>
      <w:r w:rsidR="00E00C8D" w:rsidRPr="006B0843">
        <w:rPr>
          <w:rFonts w:asciiTheme="minorBidi" w:hAnsiTheme="minorBidi"/>
        </w:rPr>
        <w:t xml:space="preserve"> </w:t>
      </w:r>
    </w:p>
    <w:p w14:paraId="7E0A4B60" w14:textId="1EDDC0A9" w:rsidR="00E00C8D" w:rsidRPr="006B0843" w:rsidRDefault="00E00C8D" w:rsidP="00584B87">
      <w:pPr>
        <w:pStyle w:val="ListParagraph"/>
        <w:ind w:left="567" w:hanging="567"/>
        <w:jc w:val="both"/>
        <w:rPr>
          <w:rFonts w:asciiTheme="minorBidi" w:hAnsiTheme="minorBidi"/>
        </w:rPr>
      </w:pPr>
    </w:p>
    <w:p w14:paraId="149BB437" w14:textId="4E07C9B2" w:rsidR="00E00C8D" w:rsidRPr="006B0843" w:rsidRDefault="00E00C8D" w:rsidP="00584B87">
      <w:pPr>
        <w:pStyle w:val="ListParagraph"/>
        <w:numPr>
          <w:ilvl w:val="0"/>
          <w:numId w:val="1"/>
        </w:numPr>
        <w:ind w:left="567" w:hanging="567"/>
        <w:jc w:val="both"/>
        <w:rPr>
          <w:rFonts w:asciiTheme="minorBidi" w:hAnsiTheme="minorBidi"/>
        </w:rPr>
      </w:pPr>
      <w:r w:rsidRPr="006B0843">
        <w:rPr>
          <w:rFonts w:asciiTheme="minorBidi" w:hAnsiTheme="minorBidi"/>
        </w:rPr>
        <w:t xml:space="preserve">Similarly, as set out in Rule 11.8.5, </w:t>
      </w:r>
      <w:r w:rsidR="0093455A" w:rsidRPr="006B0843">
        <w:rPr>
          <w:rFonts w:asciiTheme="minorBidi" w:hAnsiTheme="minorBidi"/>
        </w:rPr>
        <w:t xml:space="preserve">and </w:t>
      </w:r>
      <w:r w:rsidRPr="006B0843">
        <w:rPr>
          <w:rFonts w:asciiTheme="minorBidi" w:hAnsiTheme="minorBidi"/>
        </w:rPr>
        <w:t>with the FSRA being comfortable with a Mining</w:t>
      </w:r>
      <w:r w:rsidR="007D4F19" w:rsidRPr="006B0843">
        <w:rPr>
          <w:rFonts w:asciiTheme="minorBidi" w:hAnsiTheme="minorBidi"/>
        </w:rPr>
        <w:t xml:space="preserve"> (Production)</w:t>
      </w:r>
      <w:r w:rsidRPr="006B0843">
        <w:rPr>
          <w:rFonts w:asciiTheme="minorBidi" w:hAnsiTheme="minorBidi"/>
        </w:rPr>
        <w:t xml:space="preserve"> Reporting Entity operating a mine underpinned by higher confidence Mineralisation, the disclosure obligations set out in Rule 11.8.3 do not apply when that operating mine is wholly underpinned by:</w:t>
      </w:r>
    </w:p>
    <w:p w14:paraId="415D6D30" w14:textId="77777777" w:rsidR="00E00C8D" w:rsidRPr="006B0843" w:rsidRDefault="00E00C8D" w:rsidP="00E00C8D">
      <w:pPr>
        <w:pStyle w:val="ListParagraph"/>
        <w:rPr>
          <w:rFonts w:asciiTheme="minorBidi" w:hAnsiTheme="minorBidi"/>
        </w:rPr>
      </w:pPr>
    </w:p>
    <w:p w14:paraId="5EC342B1" w14:textId="0396D76D" w:rsidR="00E00C8D" w:rsidRPr="006B0843" w:rsidRDefault="00E00C8D" w:rsidP="00584B87">
      <w:pPr>
        <w:pStyle w:val="ListParagraph"/>
        <w:numPr>
          <w:ilvl w:val="0"/>
          <w:numId w:val="35"/>
        </w:numPr>
        <w:ind w:left="1134" w:hanging="567"/>
        <w:jc w:val="both"/>
        <w:rPr>
          <w:rFonts w:asciiTheme="minorBidi" w:hAnsiTheme="minorBidi"/>
        </w:rPr>
      </w:pPr>
      <w:r w:rsidRPr="006B0843">
        <w:rPr>
          <w:rFonts w:asciiTheme="minorBidi" w:hAnsiTheme="minorBidi"/>
        </w:rPr>
        <w:t xml:space="preserve">Ore </w:t>
      </w:r>
      <w:proofErr w:type="gramStart"/>
      <w:r w:rsidRPr="006B0843">
        <w:rPr>
          <w:rFonts w:asciiTheme="minorBidi" w:hAnsiTheme="minorBidi"/>
        </w:rPr>
        <w:t>Reserves;</w:t>
      </w:r>
      <w:proofErr w:type="gramEnd"/>
    </w:p>
    <w:p w14:paraId="4CD31ED4" w14:textId="0B77A97A" w:rsidR="00E00C8D" w:rsidRPr="006B0843" w:rsidRDefault="00E00C8D" w:rsidP="00584B87">
      <w:pPr>
        <w:pStyle w:val="ListParagraph"/>
        <w:ind w:left="1134" w:hanging="567"/>
        <w:jc w:val="both"/>
        <w:rPr>
          <w:rFonts w:asciiTheme="minorBidi" w:hAnsiTheme="minorBidi"/>
        </w:rPr>
      </w:pPr>
    </w:p>
    <w:p w14:paraId="0B143D51" w14:textId="6B41F6A4" w:rsidR="00E00C8D" w:rsidRPr="006B0843" w:rsidRDefault="00E00C8D" w:rsidP="00584B87">
      <w:pPr>
        <w:pStyle w:val="ListParagraph"/>
        <w:numPr>
          <w:ilvl w:val="0"/>
          <w:numId w:val="35"/>
        </w:numPr>
        <w:ind w:left="1134" w:hanging="567"/>
        <w:jc w:val="both"/>
        <w:rPr>
          <w:rFonts w:asciiTheme="minorBidi" w:hAnsiTheme="minorBidi"/>
        </w:rPr>
      </w:pPr>
      <w:r w:rsidRPr="006B0843">
        <w:rPr>
          <w:rFonts w:asciiTheme="minorBidi" w:hAnsiTheme="minorBidi"/>
        </w:rPr>
        <w:t>a combination of Ore Reserves and Measured Mineral Resources; or</w:t>
      </w:r>
    </w:p>
    <w:p w14:paraId="4128E135" w14:textId="77777777" w:rsidR="00E00C8D" w:rsidRPr="006B0843" w:rsidRDefault="00E00C8D" w:rsidP="00584B87">
      <w:pPr>
        <w:pStyle w:val="ListParagraph"/>
        <w:ind w:left="1134" w:hanging="567"/>
        <w:rPr>
          <w:rFonts w:asciiTheme="minorBidi" w:hAnsiTheme="minorBidi"/>
        </w:rPr>
      </w:pPr>
    </w:p>
    <w:p w14:paraId="5C9FE6EA" w14:textId="329A1FFF" w:rsidR="00E00C8D" w:rsidRPr="006B0843" w:rsidRDefault="00E00C8D" w:rsidP="00584B87">
      <w:pPr>
        <w:pStyle w:val="ListParagraph"/>
        <w:numPr>
          <w:ilvl w:val="0"/>
          <w:numId w:val="35"/>
        </w:numPr>
        <w:ind w:left="1134" w:hanging="567"/>
        <w:jc w:val="both"/>
        <w:rPr>
          <w:rFonts w:asciiTheme="minorBidi" w:hAnsiTheme="minorBidi"/>
        </w:rPr>
      </w:pPr>
      <w:r w:rsidRPr="006B0843">
        <w:rPr>
          <w:rFonts w:asciiTheme="minorBidi" w:hAnsiTheme="minorBidi"/>
        </w:rPr>
        <w:t>a combination of Ore Reserves and,</w:t>
      </w:r>
    </w:p>
    <w:p w14:paraId="0E8516F4" w14:textId="77777777" w:rsidR="00E00C8D" w:rsidRPr="006B0843" w:rsidRDefault="00E00C8D" w:rsidP="00E00C8D">
      <w:pPr>
        <w:pStyle w:val="ListParagraph"/>
        <w:rPr>
          <w:rFonts w:asciiTheme="minorBidi" w:hAnsiTheme="minorBidi"/>
        </w:rPr>
      </w:pPr>
    </w:p>
    <w:p w14:paraId="5DCA52E0" w14:textId="3920BA56" w:rsidR="00E00C8D" w:rsidRPr="006B0843" w:rsidRDefault="00E00C8D" w:rsidP="00584B87">
      <w:pPr>
        <w:pStyle w:val="ListParagraph"/>
        <w:numPr>
          <w:ilvl w:val="1"/>
          <w:numId w:val="26"/>
        </w:numPr>
        <w:ind w:left="1701" w:hanging="567"/>
        <w:jc w:val="both"/>
        <w:rPr>
          <w:rFonts w:asciiTheme="minorBidi" w:hAnsiTheme="minorBidi"/>
        </w:rPr>
      </w:pPr>
      <w:r w:rsidRPr="006B0843">
        <w:rPr>
          <w:rFonts w:asciiTheme="minorBidi" w:hAnsiTheme="minorBidi"/>
        </w:rPr>
        <w:t>Measured Mineral Resources; and/or</w:t>
      </w:r>
    </w:p>
    <w:p w14:paraId="245AE846" w14:textId="77777777" w:rsidR="00E00C8D" w:rsidRPr="006B0843" w:rsidRDefault="00E00C8D" w:rsidP="00584B87">
      <w:pPr>
        <w:pStyle w:val="ListParagraph"/>
        <w:ind w:left="1701" w:hanging="567"/>
        <w:jc w:val="both"/>
        <w:rPr>
          <w:rFonts w:asciiTheme="minorBidi" w:hAnsiTheme="minorBidi"/>
        </w:rPr>
      </w:pPr>
    </w:p>
    <w:p w14:paraId="37993CF3" w14:textId="3E963ACF" w:rsidR="00E00C8D" w:rsidRPr="006B0843" w:rsidRDefault="00E00C8D" w:rsidP="00584B87">
      <w:pPr>
        <w:pStyle w:val="ListParagraph"/>
        <w:numPr>
          <w:ilvl w:val="1"/>
          <w:numId w:val="26"/>
        </w:numPr>
        <w:ind w:left="1701" w:hanging="567"/>
        <w:jc w:val="both"/>
        <w:rPr>
          <w:rFonts w:asciiTheme="minorBidi" w:hAnsiTheme="minorBidi"/>
        </w:rPr>
      </w:pPr>
      <w:r w:rsidRPr="006B0843">
        <w:rPr>
          <w:rFonts w:asciiTheme="minorBidi" w:hAnsiTheme="minorBidi"/>
        </w:rPr>
        <w:t>Indicated Mineral Resources, provided that the Indicated Mineral Resources are not the determining factor in the viability of the project.</w:t>
      </w:r>
    </w:p>
    <w:p w14:paraId="4A671BA8" w14:textId="77777777" w:rsidR="00E00C8D" w:rsidRPr="006B0843" w:rsidRDefault="00E00C8D" w:rsidP="00E00C8D">
      <w:pPr>
        <w:pStyle w:val="Heading1"/>
        <w:keepLines w:val="0"/>
        <w:spacing w:before="0" w:line="246" w:lineRule="atLeast"/>
        <w:jc w:val="both"/>
        <w:rPr>
          <w:rFonts w:asciiTheme="minorBidi" w:hAnsiTheme="minorBidi" w:cstheme="minorBidi"/>
          <w:sz w:val="22"/>
          <w:szCs w:val="22"/>
        </w:rPr>
      </w:pPr>
    </w:p>
    <w:p w14:paraId="61310604" w14:textId="6E748AA0" w:rsidR="00E00C8D" w:rsidRPr="006B0843" w:rsidRDefault="00AA2317" w:rsidP="00AA2317">
      <w:pPr>
        <w:pStyle w:val="Heading2"/>
        <w:tabs>
          <w:tab w:val="clear" w:pos="720"/>
          <w:tab w:val="num" w:pos="0"/>
        </w:tabs>
        <w:ind w:left="0" w:firstLine="0"/>
        <w:rPr>
          <w:rFonts w:asciiTheme="minorBidi" w:hAnsiTheme="minorBidi" w:cstheme="minorBidi"/>
          <w:sz w:val="22"/>
          <w:szCs w:val="22"/>
        </w:rPr>
      </w:pPr>
      <w:bookmarkStart w:id="40" w:name="_Toc43963867"/>
      <w:r w:rsidRPr="006B0843">
        <w:rPr>
          <w:rFonts w:asciiTheme="minorBidi" w:hAnsiTheme="minorBidi" w:cstheme="minorBidi"/>
          <w:sz w:val="22"/>
          <w:szCs w:val="22"/>
        </w:rPr>
        <w:t>Are near-term production forecasts a Production Target?</w:t>
      </w:r>
      <w:bookmarkEnd w:id="40"/>
      <w:r w:rsidR="00E00C8D" w:rsidRPr="006B0843">
        <w:rPr>
          <w:rFonts w:asciiTheme="minorBidi" w:hAnsiTheme="minorBidi" w:cstheme="minorBidi"/>
          <w:sz w:val="22"/>
          <w:szCs w:val="22"/>
        </w:rPr>
        <w:t xml:space="preserve"> </w:t>
      </w:r>
    </w:p>
    <w:p w14:paraId="5A56C1A2" w14:textId="1A60F1E3" w:rsidR="00E00C8D" w:rsidRPr="006B0843" w:rsidRDefault="00AA2317" w:rsidP="0009637B">
      <w:pPr>
        <w:pStyle w:val="ListParagraph"/>
        <w:numPr>
          <w:ilvl w:val="0"/>
          <w:numId w:val="1"/>
        </w:numPr>
        <w:ind w:left="567" w:hanging="594"/>
        <w:jc w:val="both"/>
        <w:rPr>
          <w:rFonts w:asciiTheme="minorBidi" w:hAnsiTheme="minorBidi"/>
        </w:rPr>
      </w:pPr>
      <w:r w:rsidRPr="006B0843">
        <w:rPr>
          <w:rFonts w:asciiTheme="minorBidi" w:hAnsiTheme="minorBidi"/>
        </w:rPr>
        <w:t xml:space="preserve">No, </w:t>
      </w:r>
      <w:r w:rsidR="0093455A" w:rsidRPr="006B0843">
        <w:rPr>
          <w:rFonts w:asciiTheme="minorBidi" w:hAnsiTheme="minorBidi"/>
        </w:rPr>
        <w:t xml:space="preserve">due to its limited time horizon, </w:t>
      </w:r>
      <w:r w:rsidRPr="006B0843">
        <w:rPr>
          <w:rFonts w:asciiTheme="minorBidi" w:hAnsiTheme="minorBidi"/>
        </w:rPr>
        <w:t>the FSRA does not consider a near-term production forecast</w:t>
      </w:r>
      <w:r w:rsidR="0093455A" w:rsidRPr="006B0843">
        <w:rPr>
          <w:rFonts w:asciiTheme="minorBidi" w:hAnsiTheme="minorBidi"/>
        </w:rPr>
        <w:t xml:space="preserve"> </w:t>
      </w:r>
      <w:r w:rsidRPr="006B0843">
        <w:rPr>
          <w:rFonts w:asciiTheme="minorBidi" w:hAnsiTheme="minorBidi"/>
        </w:rPr>
        <w:t xml:space="preserve">a Production Target.  The disclosure requirements contained in Rule 11.8.3, therefore, do not apply to the disclosure of a near-term production </w:t>
      </w:r>
      <w:proofErr w:type="gramStart"/>
      <w:r w:rsidRPr="006B0843">
        <w:rPr>
          <w:rFonts w:asciiTheme="minorBidi" w:hAnsiTheme="minorBidi"/>
        </w:rPr>
        <w:t>forecast, if</w:t>
      </w:r>
      <w:proofErr w:type="gramEnd"/>
      <w:r w:rsidRPr="006B0843">
        <w:rPr>
          <w:rFonts w:asciiTheme="minorBidi" w:hAnsiTheme="minorBidi"/>
        </w:rPr>
        <w:t xml:space="preserve"> that production forecast relates to the current or forthcoming year</w:t>
      </w:r>
      <w:r w:rsidR="006474FF" w:rsidRPr="006B0843">
        <w:rPr>
          <w:rFonts w:asciiTheme="minorBidi" w:hAnsiTheme="minorBidi"/>
        </w:rPr>
        <w:t xml:space="preserve"> (though the provisions of Rule 7.2.1 do apply)</w:t>
      </w:r>
      <w:r w:rsidRPr="006B0843">
        <w:rPr>
          <w:rFonts w:asciiTheme="minorBidi" w:hAnsiTheme="minorBidi"/>
        </w:rPr>
        <w:t>.</w:t>
      </w:r>
    </w:p>
    <w:p w14:paraId="73634D58" w14:textId="3CD3F979" w:rsidR="00AA2317" w:rsidRPr="006B0843" w:rsidRDefault="00AA2317" w:rsidP="0009637B">
      <w:pPr>
        <w:pStyle w:val="ListParagraph"/>
        <w:ind w:left="567" w:hanging="594"/>
        <w:jc w:val="both"/>
        <w:rPr>
          <w:rFonts w:asciiTheme="minorBidi" w:hAnsiTheme="minorBidi"/>
        </w:rPr>
      </w:pPr>
    </w:p>
    <w:p w14:paraId="4F4A0DF6" w14:textId="530FC55B" w:rsidR="00AA2317" w:rsidRPr="006B0843" w:rsidRDefault="00AA2317" w:rsidP="0009637B">
      <w:pPr>
        <w:pStyle w:val="ListParagraph"/>
        <w:numPr>
          <w:ilvl w:val="0"/>
          <w:numId w:val="1"/>
        </w:numPr>
        <w:ind w:left="567" w:hanging="594"/>
        <w:jc w:val="both"/>
        <w:rPr>
          <w:rFonts w:asciiTheme="minorBidi" w:hAnsiTheme="minorBidi"/>
        </w:rPr>
      </w:pPr>
      <w:r w:rsidRPr="006B0843">
        <w:rPr>
          <w:rFonts w:asciiTheme="minorBidi" w:hAnsiTheme="minorBidi"/>
        </w:rPr>
        <w:t>The FSRA also does not regard ‘aspirational statements’</w:t>
      </w:r>
      <w:r w:rsidRPr="006B0843">
        <w:rPr>
          <w:rStyle w:val="FootnoteReference"/>
          <w:rFonts w:asciiTheme="minorBidi" w:hAnsiTheme="minorBidi"/>
        </w:rPr>
        <w:footnoteReference w:id="15"/>
      </w:r>
      <w:r w:rsidR="0093455A" w:rsidRPr="006B0843">
        <w:rPr>
          <w:rFonts w:asciiTheme="minorBidi" w:hAnsiTheme="minorBidi"/>
        </w:rPr>
        <w:t xml:space="preserve"> </w:t>
      </w:r>
      <w:r w:rsidRPr="006B0843">
        <w:rPr>
          <w:rFonts w:asciiTheme="minorBidi" w:hAnsiTheme="minorBidi"/>
        </w:rPr>
        <w:t xml:space="preserve">as falling within the definition of ‘Production Target’.  Rule 11.8.3 also therefore does not apply to such statements. </w:t>
      </w:r>
    </w:p>
    <w:p w14:paraId="14958FD4" w14:textId="12AE3DE2" w:rsidR="009C349B" w:rsidRPr="006B0843" w:rsidRDefault="009C349B" w:rsidP="00E36EC8">
      <w:pPr>
        <w:pStyle w:val="ListParagraph"/>
        <w:ind w:left="426"/>
        <w:jc w:val="both"/>
        <w:rPr>
          <w:rFonts w:asciiTheme="minorBidi" w:hAnsiTheme="minorBidi"/>
        </w:rPr>
      </w:pPr>
    </w:p>
    <w:p w14:paraId="56342113" w14:textId="7E56B991" w:rsidR="004D33C1" w:rsidRPr="006B0843" w:rsidRDefault="00AA2317" w:rsidP="00AA2317">
      <w:pPr>
        <w:pStyle w:val="Heading1"/>
        <w:keepLines w:val="0"/>
        <w:spacing w:before="0" w:after="240" w:line="246" w:lineRule="atLeast"/>
        <w:jc w:val="both"/>
        <w:rPr>
          <w:rFonts w:asciiTheme="minorBidi" w:hAnsiTheme="minorBidi" w:cstheme="minorBidi"/>
          <w:sz w:val="22"/>
          <w:szCs w:val="22"/>
        </w:rPr>
      </w:pPr>
      <w:bookmarkStart w:id="41" w:name="_Toc43963868"/>
      <w:r w:rsidRPr="006B0843">
        <w:rPr>
          <w:rFonts w:asciiTheme="minorBidi" w:hAnsiTheme="minorBidi" w:cstheme="minorBidi"/>
          <w:sz w:val="22"/>
          <w:szCs w:val="22"/>
        </w:rPr>
        <w:t>FORECAST FINANCIAL INFORMATION</w:t>
      </w:r>
      <w:bookmarkEnd w:id="41"/>
    </w:p>
    <w:p w14:paraId="71ADC440" w14:textId="6C17E328" w:rsidR="007D0CDA" w:rsidRPr="006B0843" w:rsidRDefault="007D0CDA" w:rsidP="0009637B">
      <w:pPr>
        <w:pStyle w:val="ListParagraph"/>
        <w:numPr>
          <w:ilvl w:val="0"/>
          <w:numId w:val="1"/>
        </w:numPr>
        <w:ind w:left="567" w:hanging="567"/>
        <w:jc w:val="both"/>
        <w:rPr>
          <w:rFonts w:asciiTheme="minorBidi" w:hAnsiTheme="minorBidi"/>
        </w:rPr>
      </w:pPr>
      <w:r w:rsidRPr="006B0843">
        <w:rPr>
          <w:rFonts w:asciiTheme="minorBidi" w:hAnsiTheme="minorBidi"/>
        </w:rPr>
        <w:t xml:space="preserve">Rule 11.9 sets out the requirements for disclosing forecast financial information (derived from a Production Target disclosed under Rule 11.8).  </w:t>
      </w:r>
      <w:proofErr w:type="gramStart"/>
      <w:r w:rsidRPr="006B0843">
        <w:rPr>
          <w:rFonts w:asciiTheme="minorBidi" w:hAnsiTheme="minorBidi"/>
        </w:rPr>
        <w:t>Similar to</w:t>
      </w:r>
      <w:proofErr w:type="gramEnd"/>
      <w:r w:rsidRPr="006B0843">
        <w:rPr>
          <w:rFonts w:asciiTheme="minorBidi" w:hAnsiTheme="minorBidi"/>
        </w:rPr>
        <w:t xml:space="preserve"> Production Targets, it </w:t>
      </w:r>
      <w:r w:rsidRPr="006B0843">
        <w:rPr>
          <w:rFonts w:asciiTheme="minorBidi" w:hAnsiTheme="minorBidi"/>
        </w:rPr>
        <w:lastRenderedPageBreak/>
        <w:t>is important to emphasise that forecast financial information is a forward-looking statement.</w:t>
      </w:r>
      <w:r w:rsidRPr="006B0843">
        <w:rPr>
          <w:rStyle w:val="FootnoteReference"/>
          <w:rFonts w:asciiTheme="minorBidi" w:hAnsiTheme="minorBidi"/>
        </w:rPr>
        <w:footnoteReference w:id="16"/>
      </w:r>
    </w:p>
    <w:p w14:paraId="2023AC5D" w14:textId="77777777" w:rsidR="007D0CDA" w:rsidRPr="006B0843" w:rsidRDefault="007D0CDA" w:rsidP="0009637B">
      <w:pPr>
        <w:pStyle w:val="ListParagraph"/>
        <w:ind w:left="567" w:hanging="567"/>
        <w:jc w:val="both"/>
        <w:rPr>
          <w:rFonts w:asciiTheme="minorBidi" w:hAnsiTheme="minorBidi"/>
        </w:rPr>
      </w:pPr>
    </w:p>
    <w:p w14:paraId="5D1DD9EE" w14:textId="77777777" w:rsidR="005A1AC6" w:rsidRPr="006B0843" w:rsidRDefault="007D0CDA" w:rsidP="0009637B">
      <w:pPr>
        <w:pStyle w:val="ListParagraph"/>
        <w:numPr>
          <w:ilvl w:val="0"/>
          <w:numId w:val="1"/>
        </w:numPr>
        <w:ind w:left="567" w:hanging="567"/>
        <w:jc w:val="both"/>
        <w:rPr>
          <w:rFonts w:asciiTheme="minorBidi" w:hAnsiTheme="minorBidi"/>
        </w:rPr>
      </w:pPr>
      <w:r w:rsidRPr="006B0843">
        <w:rPr>
          <w:rFonts w:asciiTheme="minorBidi" w:hAnsiTheme="minorBidi"/>
        </w:rPr>
        <w:t xml:space="preserve">As outlined above, and </w:t>
      </w:r>
      <w:proofErr w:type="gramStart"/>
      <w:r w:rsidRPr="006B0843">
        <w:rPr>
          <w:rFonts w:asciiTheme="minorBidi" w:hAnsiTheme="minorBidi"/>
        </w:rPr>
        <w:t>similar to</w:t>
      </w:r>
      <w:proofErr w:type="gramEnd"/>
      <w:r w:rsidRPr="006B0843">
        <w:rPr>
          <w:rFonts w:asciiTheme="minorBidi" w:hAnsiTheme="minorBidi"/>
        </w:rPr>
        <w:t xml:space="preserve"> the treatment of Production Targets, </w:t>
      </w:r>
      <w:r w:rsidR="005A1AC6" w:rsidRPr="006B0843">
        <w:rPr>
          <w:rFonts w:asciiTheme="minorBidi" w:hAnsiTheme="minorBidi"/>
        </w:rPr>
        <w:t xml:space="preserve">it is the responsibility of a Mining Reporting Entity disclosing forecast financial information derived from a Production Target to ensure that it has reasonable grounds to do so. Reasonable grounds extend not only to the Mineralisation underpinning the forecast financial information, but also to, for example, any assumptions regarding ‘modifying factors’ in Table 1 of the SAMREC Code or JORC Code.  </w:t>
      </w:r>
    </w:p>
    <w:p w14:paraId="34CC2C03" w14:textId="77777777" w:rsidR="005A1AC6" w:rsidRPr="006B0843" w:rsidRDefault="005A1AC6" w:rsidP="0009637B">
      <w:pPr>
        <w:pStyle w:val="ListParagraph"/>
        <w:ind w:left="567" w:hanging="567"/>
        <w:rPr>
          <w:rFonts w:asciiTheme="minorBidi" w:hAnsiTheme="minorBidi"/>
        </w:rPr>
      </w:pPr>
    </w:p>
    <w:p w14:paraId="2239DC07" w14:textId="7533A439" w:rsidR="005A1AC6" w:rsidRPr="006B0843" w:rsidRDefault="005A1AC6" w:rsidP="0009637B">
      <w:pPr>
        <w:pStyle w:val="ListParagraph"/>
        <w:numPr>
          <w:ilvl w:val="0"/>
          <w:numId w:val="1"/>
        </w:numPr>
        <w:ind w:left="567" w:hanging="567"/>
        <w:jc w:val="both"/>
        <w:rPr>
          <w:rFonts w:asciiTheme="minorBidi" w:hAnsiTheme="minorBidi"/>
        </w:rPr>
      </w:pPr>
      <w:r w:rsidRPr="006B0843">
        <w:rPr>
          <w:rFonts w:asciiTheme="minorBidi" w:hAnsiTheme="minorBidi"/>
        </w:rPr>
        <w:t xml:space="preserve">In determining what constitutes ‘reasonable grounds’ for forecast financial information derived from a Production Target, a Mining Reporting Entity must consider the same requirements applying to Production Targets set out in paragraph </w:t>
      </w:r>
      <w:r w:rsidR="00195FCE" w:rsidRPr="006B0843">
        <w:rPr>
          <w:rFonts w:asciiTheme="minorBidi" w:hAnsiTheme="minorBidi"/>
        </w:rPr>
        <w:t>69 above.</w:t>
      </w:r>
      <w:r w:rsidRPr="006B0843">
        <w:rPr>
          <w:rFonts w:asciiTheme="minorBidi" w:hAnsiTheme="minorBidi"/>
        </w:rPr>
        <w:t xml:space="preserve"> </w:t>
      </w:r>
    </w:p>
    <w:p w14:paraId="1E577270" w14:textId="77777777" w:rsidR="00195FCE" w:rsidRPr="006B0843" w:rsidRDefault="00195FCE" w:rsidP="0009637B">
      <w:pPr>
        <w:pStyle w:val="ListParagraph"/>
        <w:ind w:left="567" w:hanging="567"/>
        <w:rPr>
          <w:rFonts w:asciiTheme="minorBidi" w:hAnsiTheme="minorBidi"/>
        </w:rPr>
      </w:pPr>
    </w:p>
    <w:p w14:paraId="41363F87" w14:textId="77777777" w:rsidR="00195FCE" w:rsidRPr="006B0843" w:rsidRDefault="00195FCE" w:rsidP="0009637B">
      <w:pPr>
        <w:pStyle w:val="ListParagraph"/>
        <w:numPr>
          <w:ilvl w:val="0"/>
          <w:numId w:val="1"/>
        </w:numPr>
        <w:ind w:left="567" w:hanging="567"/>
        <w:jc w:val="both"/>
        <w:rPr>
          <w:rFonts w:asciiTheme="minorBidi" w:hAnsiTheme="minorBidi"/>
        </w:rPr>
      </w:pPr>
      <w:r w:rsidRPr="006B0843">
        <w:rPr>
          <w:rFonts w:asciiTheme="minorBidi" w:hAnsiTheme="minorBidi"/>
        </w:rPr>
        <w:t>Pursuant to Rule 11.9.1, the disclosure requirements in Rule 11.9.2 apply to forecast financial information relating to a Mining Reporting Entity’s:</w:t>
      </w:r>
    </w:p>
    <w:p w14:paraId="38A546D8" w14:textId="77777777" w:rsidR="00195FCE" w:rsidRPr="006B0843" w:rsidRDefault="00195FCE" w:rsidP="00195FCE">
      <w:pPr>
        <w:pStyle w:val="ListParagraph"/>
        <w:rPr>
          <w:rFonts w:asciiTheme="minorBidi" w:hAnsiTheme="minorBidi"/>
        </w:rPr>
      </w:pPr>
    </w:p>
    <w:p w14:paraId="3E1E453D" w14:textId="6B727522" w:rsidR="00195FCE" w:rsidRPr="006B0843" w:rsidRDefault="00195FCE" w:rsidP="0009637B">
      <w:pPr>
        <w:pStyle w:val="ListParagraph"/>
        <w:numPr>
          <w:ilvl w:val="0"/>
          <w:numId w:val="37"/>
        </w:numPr>
        <w:ind w:left="1134" w:hanging="567"/>
        <w:jc w:val="both"/>
        <w:rPr>
          <w:rFonts w:asciiTheme="minorBidi" w:hAnsiTheme="minorBidi"/>
        </w:rPr>
      </w:pPr>
      <w:r w:rsidRPr="006B0843">
        <w:rPr>
          <w:rFonts w:asciiTheme="minorBidi" w:hAnsiTheme="minorBidi"/>
        </w:rPr>
        <w:t>Mineral Resources and Ore Reserves Holdings; or</w:t>
      </w:r>
    </w:p>
    <w:p w14:paraId="2A530A21" w14:textId="77777777" w:rsidR="00195FCE" w:rsidRPr="006B0843" w:rsidRDefault="00195FCE" w:rsidP="0009637B">
      <w:pPr>
        <w:pStyle w:val="ListParagraph"/>
        <w:ind w:left="1134" w:hanging="567"/>
        <w:jc w:val="both"/>
        <w:rPr>
          <w:rFonts w:asciiTheme="minorBidi" w:hAnsiTheme="minorBidi"/>
        </w:rPr>
      </w:pPr>
    </w:p>
    <w:p w14:paraId="4EB86D14" w14:textId="74DE66FA" w:rsidR="00195FCE" w:rsidRPr="006B0843" w:rsidRDefault="00195FCE" w:rsidP="0009637B">
      <w:pPr>
        <w:pStyle w:val="ListParagraph"/>
        <w:numPr>
          <w:ilvl w:val="0"/>
          <w:numId w:val="37"/>
        </w:numPr>
        <w:ind w:left="1134" w:hanging="567"/>
        <w:jc w:val="both"/>
        <w:rPr>
          <w:rFonts w:asciiTheme="minorBidi" w:hAnsiTheme="minorBidi"/>
        </w:rPr>
      </w:pPr>
      <w:r w:rsidRPr="006B0843">
        <w:rPr>
          <w:rFonts w:asciiTheme="minorBidi" w:hAnsiTheme="minorBidi"/>
        </w:rPr>
        <w:t xml:space="preserve">material Mining Project (or two or more Mining Projects which together are material). </w:t>
      </w:r>
    </w:p>
    <w:p w14:paraId="593007E8" w14:textId="66400615" w:rsidR="00195FCE" w:rsidRPr="006B0843" w:rsidRDefault="00195FCE" w:rsidP="00195FCE">
      <w:pPr>
        <w:jc w:val="both"/>
        <w:rPr>
          <w:rFonts w:asciiTheme="minorBidi" w:hAnsiTheme="minorBidi"/>
        </w:rPr>
      </w:pPr>
    </w:p>
    <w:p w14:paraId="69C8F230" w14:textId="682E5079" w:rsidR="00195FCE" w:rsidRPr="006B0843" w:rsidRDefault="00195FCE" w:rsidP="00195FCE">
      <w:pPr>
        <w:pStyle w:val="Heading2"/>
        <w:tabs>
          <w:tab w:val="clear" w:pos="720"/>
          <w:tab w:val="num" w:pos="0"/>
        </w:tabs>
        <w:ind w:left="0" w:firstLine="0"/>
        <w:rPr>
          <w:rFonts w:asciiTheme="minorBidi" w:hAnsiTheme="minorBidi" w:cstheme="minorBidi"/>
          <w:sz w:val="22"/>
          <w:szCs w:val="22"/>
        </w:rPr>
      </w:pPr>
      <w:bookmarkStart w:id="42" w:name="_Toc43963869"/>
      <w:r w:rsidRPr="006B0843">
        <w:rPr>
          <w:rFonts w:asciiTheme="minorBidi" w:hAnsiTheme="minorBidi" w:cstheme="minorBidi"/>
          <w:sz w:val="22"/>
          <w:szCs w:val="22"/>
        </w:rPr>
        <w:t>Disclosure requirements</w:t>
      </w:r>
      <w:bookmarkEnd w:id="42"/>
      <w:r w:rsidRPr="006B0843">
        <w:rPr>
          <w:rFonts w:asciiTheme="minorBidi" w:hAnsiTheme="minorBidi" w:cstheme="minorBidi"/>
          <w:sz w:val="22"/>
          <w:szCs w:val="22"/>
        </w:rPr>
        <w:t xml:space="preserve"> </w:t>
      </w:r>
    </w:p>
    <w:p w14:paraId="565B9979" w14:textId="77777777" w:rsidR="002F6073" w:rsidRPr="006B0843" w:rsidRDefault="002F6073" w:rsidP="0009637B">
      <w:pPr>
        <w:pStyle w:val="ListParagraph"/>
        <w:numPr>
          <w:ilvl w:val="0"/>
          <w:numId w:val="1"/>
        </w:numPr>
        <w:ind w:left="567" w:hanging="567"/>
        <w:jc w:val="both"/>
        <w:rPr>
          <w:rFonts w:asciiTheme="minorBidi" w:hAnsiTheme="minorBidi"/>
        </w:rPr>
      </w:pPr>
      <w:r w:rsidRPr="006B0843">
        <w:rPr>
          <w:rFonts w:asciiTheme="minorBidi" w:hAnsiTheme="minorBidi"/>
        </w:rPr>
        <w:t>Each of the requirements to be disclosed in relation to forecast financial information derived from a Production Target in Rule 11.9.2 must be disclosed at the same time as the headline financial forecast is disclosed, and in the same document.  Pursuant to Rule 11.9.2(2), the full disclosure requirements of Rule 11.8.3 (that relate to Production Targets) also apply to forecast financial information derived from a Production Target.</w:t>
      </w:r>
    </w:p>
    <w:p w14:paraId="543D87E7" w14:textId="77777777" w:rsidR="002F6073" w:rsidRPr="006B0843" w:rsidRDefault="002F6073" w:rsidP="0009637B">
      <w:pPr>
        <w:pStyle w:val="ListParagraph"/>
        <w:ind w:left="567" w:hanging="567"/>
        <w:jc w:val="both"/>
        <w:rPr>
          <w:rFonts w:asciiTheme="minorBidi" w:hAnsiTheme="minorBidi"/>
        </w:rPr>
      </w:pPr>
    </w:p>
    <w:p w14:paraId="6F6154D9" w14:textId="66870024" w:rsidR="00195FCE" w:rsidRPr="006B0843" w:rsidRDefault="002F6073" w:rsidP="0009637B">
      <w:pPr>
        <w:pStyle w:val="ListParagraph"/>
        <w:numPr>
          <w:ilvl w:val="0"/>
          <w:numId w:val="1"/>
        </w:numPr>
        <w:ind w:left="567" w:hanging="567"/>
        <w:jc w:val="both"/>
        <w:rPr>
          <w:rFonts w:asciiTheme="minorBidi" w:hAnsiTheme="minorBidi"/>
        </w:rPr>
      </w:pPr>
      <w:proofErr w:type="gramStart"/>
      <w:r w:rsidRPr="006B0843">
        <w:rPr>
          <w:rFonts w:asciiTheme="minorBidi" w:hAnsiTheme="minorBidi"/>
        </w:rPr>
        <w:t>Similar to</w:t>
      </w:r>
      <w:proofErr w:type="gramEnd"/>
      <w:r w:rsidRPr="006B0843">
        <w:rPr>
          <w:rFonts w:asciiTheme="minorBidi" w:hAnsiTheme="minorBidi"/>
        </w:rPr>
        <w:t xml:space="preserve"> the treatment of material assumptions relating to Production Targets in Rule 18.3.1(1), Rule 11.9.2(1) requires a Mining Reporting Entity to disclose the material assumptions underpinning the forecast financial information the first time the Mining Reporting Entity discloses it.  The aim of this Rule is to also facilitate greater transparency of the basis for the disclosure of forecast financial information.  For further guidance on the FSRA’s treatment of material assumptions, refer to paragraphs 76</w:t>
      </w:r>
      <w:r w:rsidR="005D03BF" w:rsidRPr="006B0843">
        <w:rPr>
          <w:rFonts w:asciiTheme="minorBidi" w:hAnsiTheme="minorBidi"/>
        </w:rPr>
        <w:t>-</w:t>
      </w:r>
      <w:r w:rsidRPr="006B0843">
        <w:rPr>
          <w:rFonts w:asciiTheme="minorBidi" w:hAnsiTheme="minorBidi"/>
        </w:rPr>
        <w:t xml:space="preserve">80 above.  </w:t>
      </w:r>
    </w:p>
    <w:p w14:paraId="6596561C" w14:textId="77777777" w:rsidR="006474FF" w:rsidRPr="006B0843" w:rsidRDefault="006474FF" w:rsidP="0009637B">
      <w:pPr>
        <w:pStyle w:val="ListParagraph"/>
        <w:ind w:left="567" w:hanging="567"/>
        <w:rPr>
          <w:rFonts w:asciiTheme="minorBidi" w:hAnsiTheme="minorBidi"/>
        </w:rPr>
      </w:pPr>
    </w:p>
    <w:p w14:paraId="008F31D2" w14:textId="21048015" w:rsidR="006474FF" w:rsidRPr="006B0843" w:rsidRDefault="006474FF" w:rsidP="0009637B">
      <w:pPr>
        <w:pStyle w:val="ListParagraph"/>
        <w:numPr>
          <w:ilvl w:val="0"/>
          <w:numId w:val="1"/>
        </w:numPr>
        <w:ind w:left="567" w:hanging="567"/>
        <w:jc w:val="both"/>
        <w:rPr>
          <w:rFonts w:asciiTheme="minorBidi" w:hAnsiTheme="minorBidi"/>
        </w:rPr>
      </w:pPr>
      <w:r w:rsidRPr="006B0843">
        <w:rPr>
          <w:rFonts w:asciiTheme="minorBidi" w:hAnsiTheme="minorBidi"/>
        </w:rPr>
        <w:t xml:space="preserve">Pursuant to Rule 11.9.3, subsequent disclosures by a Mining Reporting Entity that refer to previously disclosed forecast financial information (derived from a Production Target) do not have to provide all the information set out in Rule 11.9.2 provided certain </w:t>
      </w:r>
      <w:r w:rsidR="0093455A" w:rsidRPr="006B0843">
        <w:rPr>
          <w:rFonts w:asciiTheme="minorBidi" w:hAnsiTheme="minorBidi"/>
        </w:rPr>
        <w:t xml:space="preserve">other </w:t>
      </w:r>
      <w:r w:rsidRPr="006B0843">
        <w:rPr>
          <w:rFonts w:asciiTheme="minorBidi" w:hAnsiTheme="minorBidi"/>
        </w:rPr>
        <w:t xml:space="preserve">conditions are satisfied. </w:t>
      </w:r>
      <w:r w:rsidR="00F33D39">
        <w:rPr>
          <w:rFonts w:asciiTheme="minorBidi" w:hAnsiTheme="minorBidi"/>
        </w:rPr>
        <w:t xml:space="preserve"> </w:t>
      </w:r>
      <w:r w:rsidRPr="006B0843">
        <w:rPr>
          <w:rFonts w:asciiTheme="minorBidi" w:hAnsiTheme="minorBidi"/>
        </w:rPr>
        <w:t>One of these conditions is that the subsequent disclosure must cross refer to the disclosure containing the forecast financial information, as well as all the required supporting information</w:t>
      </w:r>
      <w:r w:rsidR="0093455A" w:rsidRPr="006B0843">
        <w:rPr>
          <w:rFonts w:asciiTheme="minorBidi" w:hAnsiTheme="minorBidi"/>
        </w:rPr>
        <w:t>.</w:t>
      </w:r>
      <w:r w:rsidRPr="006B0843">
        <w:rPr>
          <w:rStyle w:val="FootnoteReference"/>
          <w:rFonts w:asciiTheme="minorBidi" w:hAnsiTheme="minorBidi"/>
        </w:rPr>
        <w:footnoteReference w:id="17"/>
      </w:r>
      <w:r w:rsidRPr="006B0843">
        <w:rPr>
          <w:rFonts w:asciiTheme="minorBidi" w:hAnsiTheme="minorBidi"/>
        </w:rPr>
        <w:t xml:space="preserve">  This is consistent with the treatment of subsequent disclosure of Production Targets, set out in Rule 11.8.4.</w:t>
      </w:r>
    </w:p>
    <w:p w14:paraId="22C7A750" w14:textId="77777777" w:rsidR="006474FF" w:rsidRPr="006B0843" w:rsidRDefault="006474FF" w:rsidP="006474FF">
      <w:pPr>
        <w:pStyle w:val="ListParagraph"/>
        <w:rPr>
          <w:rFonts w:asciiTheme="minorBidi" w:hAnsiTheme="minorBidi"/>
        </w:rPr>
      </w:pPr>
    </w:p>
    <w:p w14:paraId="58109876" w14:textId="577CBCC1" w:rsidR="006474FF" w:rsidRPr="006B0843" w:rsidRDefault="006474FF" w:rsidP="0009637B">
      <w:pPr>
        <w:pStyle w:val="ListParagraph"/>
        <w:numPr>
          <w:ilvl w:val="0"/>
          <w:numId w:val="1"/>
        </w:numPr>
        <w:ind w:left="567" w:hanging="567"/>
        <w:jc w:val="both"/>
        <w:rPr>
          <w:rFonts w:asciiTheme="minorBidi" w:hAnsiTheme="minorBidi"/>
        </w:rPr>
      </w:pPr>
      <w:proofErr w:type="gramStart"/>
      <w:r w:rsidRPr="006B0843">
        <w:rPr>
          <w:rFonts w:asciiTheme="minorBidi" w:hAnsiTheme="minorBidi"/>
        </w:rPr>
        <w:t>Similar to</w:t>
      </w:r>
      <w:proofErr w:type="gramEnd"/>
      <w:r w:rsidRPr="006B0843">
        <w:rPr>
          <w:rFonts w:asciiTheme="minorBidi" w:hAnsiTheme="minorBidi"/>
        </w:rPr>
        <w:t xml:space="preserve"> the considerations set out above for Production Targets, the FSRA does not consider that a near-term production forecast, due to both its limited time horizon and focus on production rather than financial information, is forecast financial information.  </w:t>
      </w:r>
      <w:r w:rsidRPr="006B0843">
        <w:rPr>
          <w:rFonts w:asciiTheme="minorBidi" w:hAnsiTheme="minorBidi"/>
        </w:rPr>
        <w:lastRenderedPageBreak/>
        <w:t xml:space="preserve">The disclosure requirements contained in Rule 11.9.2, therefore, do not apply to the disclosure of a near-term production </w:t>
      </w:r>
      <w:proofErr w:type="gramStart"/>
      <w:r w:rsidRPr="006B0843">
        <w:rPr>
          <w:rFonts w:asciiTheme="minorBidi" w:hAnsiTheme="minorBidi"/>
        </w:rPr>
        <w:t>forecast, if</w:t>
      </w:r>
      <w:proofErr w:type="gramEnd"/>
      <w:r w:rsidRPr="006B0843">
        <w:rPr>
          <w:rFonts w:asciiTheme="minorBidi" w:hAnsiTheme="minorBidi"/>
        </w:rPr>
        <w:t xml:space="preserve"> that production forecast relates to the current or forthcoming year (though </w:t>
      </w:r>
      <w:r w:rsidR="0093455A" w:rsidRPr="006B0843">
        <w:rPr>
          <w:rFonts w:asciiTheme="minorBidi" w:hAnsiTheme="minorBidi"/>
        </w:rPr>
        <w:t xml:space="preserve">Mining Reporting Entities should be aware that </w:t>
      </w:r>
      <w:r w:rsidRPr="006B0843">
        <w:rPr>
          <w:rFonts w:asciiTheme="minorBidi" w:hAnsiTheme="minorBidi"/>
        </w:rPr>
        <w:t>the provisions of Rule 7.2.1 do apply).</w:t>
      </w:r>
    </w:p>
    <w:p w14:paraId="1AB41879" w14:textId="77777777" w:rsidR="006474FF" w:rsidRPr="006B0843" w:rsidRDefault="006474FF" w:rsidP="0009637B">
      <w:pPr>
        <w:pStyle w:val="ListParagraph"/>
        <w:ind w:left="567" w:hanging="567"/>
        <w:rPr>
          <w:rFonts w:asciiTheme="minorBidi" w:hAnsiTheme="minorBidi"/>
        </w:rPr>
      </w:pPr>
    </w:p>
    <w:p w14:paraId="3B9257B1" w14:textId="0A8525A5" w:rsidR="006474FF" w:rsidRPr="006B0843" w:rsidRDefault="007D4F19" w:rsidP="0009637B">
      <w:pPr>
        <w:pStyle w:val="ListParagraph"/>
        <w:numPr>
          <w:ilvl w:val="0"/>
          <w:numId w:val="1"/>
        </w:numPr>
        <w:ind w:left="567" w:hanging="567"/>
        <w:jc w:val="both"/>
        <w:rPr>
          <w:rFonts w:asciiTheme="minorBidi" w:hAnsiTheme="minorBidi"/>
        </w:rPr>
      </w:pPr>
      <w:r w:rsidRPr="006B0843">
        <w:rPr>
          <w:rFonts w:asciiTheme="minorBidi" w:hAnsiTheme="minorBidi"/>
        </w:rPr>
        <w:t xml:space="preserve">Pursuant to Rule 11.9.4, and </w:t>
      </w:r>
      <w:proofErr w:type="gramStart"/>
      <w:r w:rsidRPr="006B0843">
        <w:rPr>
          <w:rFonts w:asciiTheme="minorBidi" w:hAnsiTheme="minorBidi"/>
        </w:rPr>
        <w:t>similar to</w:t>
      </w:r>
      <w:proofErr w:type="gramEnd"/>
      <w:r w:rsidRPr="006B0843">
        <w:rPr>
          <w:rFonts w:asciiTheme="minorBidi" w:hAnsiTheme="minorBidi"/>
        </w:rPr>
        <w:t xml:space="preserve"> Rule 11.8.5, due to the FSRA being comfortable with </w:t>
      </w:r>
      <w:r w:rsidR="0093455A" w:rsidRPr="006B0843">
        <w:rPr>
          <w:rFonts w:asciiTheme="minorBidi" w:hAnsiTheme="minorBidi"/>
        </w:rPr>
        <w:t xml:space="preserve">a </w:t>
      </w:r>
      <w:r w:rsidRPr="006B0843">
        <w:rPr>
          <w:rFonts w:asciiTheme="minorBidi" w:hAnsiTheme="minorBidi"/>
        </w:rPr>
        <w:t>Mining (Production) Reporting Entity operating a mine underpinned by higher confidence Mineralisation, the disclosure obligations set out in Rule 11.9.2 do not apply to forecast financial information when that operating mine is wholly underpinned by the Mineralisation identified in paragraph 91 above.</w:t>
      </w:r>
    </w:p>
    <w:p w14:paraId="67DB8514" w14:textId="77777777" w:rsidR="007D4F19" w:rsidRPr="006B0843" w:rsidRDefault="007D4F19" w:rsidP="0009637B">
      <w:pPr>
        <w:pStyle w:val="ListParagraph"/>
        <w:ind w:left="567" w:hanging="567"/>
        <w:rPr>
          <w:rFonts w:asciiTheme="minorBidi" w:hAnsiTheme="minorBidi"/>
        </w:rPr>
      </w:pPr>
    </w:p>
    <w:p w14:paraId="58A93CDE" w14:textId="44B25A4E" w:rsidR="007D4F19" w:rsidRPr="006B0843" w:rsidRDefault="007D4F19" w:rsidP="0009637B">
      <w:pPr>
        <w:pStyle w:val="ListParagraph"/>
        <w:numPr>
          <w:ilvl w:val="0"/>
          <w:numId w:val="1"/>
        </w:numPr>
        <w:ind w:left="567" w:hanging="567"/>
        <w:jc w:val="both"/>
        <w:rPr>
          <w:rFonts w:asciiTheme="minorBidi" w:hAnsiTheme="minorBidi"/>
        </w:rPr>
      </w:pPr>
      <w:r w:rsidRPr="006B0843">
        <w:rPr>
          <w:rFonts w:asciiTheme="minorBidi" w:hAnsiTheme="minorBidi"/>
        </w:rPr>
        <w:t xml:space="preserve">Pursuant to Rule 11.9.2(2), a Mining Reporting Entity disclosing forecast financial information (derived from a Production Target) must disclose the underlying Production Target, and all the information contained in Rule 11.8.3. </w:t>
      </w:r>
      <w:r w:rsidR="00F33D39">
        <w:rPr>
          <w:rFonts w:asciiTheme="minorBidi" w:hAnsiTheme="minorBidi"/>
        </w:rPr>
        <w:t xml:space="preserve"> </w:t>
      </w:r>
      <w:r w:rsidRPr="006B0843">
        <w:rPr>
          <w:rFonts w:asciiTheme="minorBidi" w:hAnsiTheme="minorBidi"/>
        </w:rPr>
        <w:t>In interpreting this Rule, the FSRA require</w:t>
      </w:r>
      <w:r w:rsidR="0093455A" w:rsidRPr="006B0843">
        <w:rPr>
          <w:rFonts w:asciiTheme="minorBidi" w:hAnsiTheme="minorBidi"/>
        </w:rPr>
        <w:t>s</w:t>
      </w:r>
      <w:r w:rsidRPr="006B0843">
        <w:rPr>
          <w:rFonts w:asciiTheme="minorBidi" w:hAnsiTheme="minorBidi"/>
        </w:rPr>
        <w:t xml:space="preserve"> a Mining Reporting Entity disclosing forecast financial information based solely on Inferred Mineral Resources to include the additional information required by Rule 11.8.3(5), in</w:t>
      </w:r>
      <w:r w:rsidR="0093455A" w:rsidRPr="006B0843">
        <w:rPr>
          <w:rFonts w:asciiTheme="minorBidi" w:hAnsiTheme="minorBidi"/>
        </w:rPr>
        <w:t>-</w:t>
      </w:r>
      <w:r w:rsidRPr="006B0843">
        <w:rPr>
          <w:rFonts w:asciiTheme="minorBidi" w:hAnsiTheme="minorBidi"/>
        </w:rPr>
        <w:t>so</w:t>
      </w:r>
      <w:r w:rsidR="0093455A" w:rsidRPr="006B0843">
        <w:rPr>
          <w:rFonts w:asciiTheme="minorBidi" w:hAnsiTheme="minorBidi"/>
        </w:rPr>
        <w:t>-</w:t>
      </w:r>
      <w:r w:rsidRPr="006B0843">
        <w:rPr>
          <w:rFonts w:asciiTheme="minorBidi" w:hAnsiTheme="minorBidi"/>
        </w:rPr>
        <w:t xml:space="preserve">far as that information relates to the forecast financial information.   </w:t>
      </w:r>
    </w:p>
    <w:p w14:paraId="561CED12" w14:textId="6C78FF44" w:rsidR="00CA61C1" w:rsidRPr="006B0843" w:rsidRDefault="00CA61C1" w:rsidP="00CA61C1">
      <w:pPr>
        <w:pStyle w:val="ListParagraph"/>
        <w:rPr>
          <w:rFonts w:asciiTheme="minorBidi" w:hAnsiTheme="minorBidi"/>
        </w:rPr>
      </w:pPr>
    </w:p>
    <w:p w14:paraId="2E7D30B4" w14:textId="5F7270F0" w:rsidR="00B25384" w:rsidRPr="006B0843" w:rsidRDefault="00B25384" w:rsidP="00B25384">
      <w:pPr>
        <w:pStyle w:val="Heading1"/>
        <w:keepLines w:val="0"/>
        <w:spacing w:before="0" w:after="240" w:line="246" w:lineRule="atLeast"/>
        <w:jc w:val="both"/>
        <w:rPr>
          <w:rFonts w:asciiTheme="minorBidi" w:hAnsiTheme="minorBidi" w:cstheme="minorBidi"/>
          <w:sz w:val="22"/>
          <w:szCs w:val="22"/>
        </w:rPr>
      </w:pPr>
      <w:bookmarkStart w:id="43" w:name="_Toc43963870"/>
      <w:r w:rsidRPr="006B0843">
        <w:rPr>
          <w:rFonts w:asciiTheme="minorBidi" w:hAnsiTheme="minorBidi" w:cstheme="minorBidi"/>
          <w:sz w:val="22"/>
          <w:szCs w:val="22"/>
        </w:rPr>
        <w:t>SPECIFIC DISCLOSURE REQUIREMENTS</w:t>
      </w:r>
      <w:bookmarkEnd w:id="43"/>
    </w:p>
    <w:p w14:paraId="34C27024" w14:textId="77777777" w:rsidR="008C4FE8" w:rsidRPr="006B0843" w:rsidRDefault="008C4FE8" w:rsidP="008C4FE8">
      <w:pPr>
        <w:pStyle w:val="Heading2"/>
        <w:tabs>
          <w:tab w:val="clear" w:pos="720"/>
          <w:tab w:val="num" w:pos="0"/>
        </w:tabs>
        <w:ind w:left="0" w:firstLine="0"/>
        <w:rPr>
          <w:rFonts w:asciiTheme="minorBidi" w:hAnsiTheme="minorBidi" w:cstheme="minorBidi"/>
          <w:sz w:val="22"/>
          <w:szCs w:val="22"/>
        </w:rPr>
      </w:pPr>
      <w:bookmarkStart w:id="44" w:name="_Toc43963871"/>
      <w:r w:rsidRPr="006B0843">
        <w:rPr>
          <w:rFonts w:asciiTheme="minorBidi" w:hAnsiTheme="minorBidi" w:cstheme="minorBidi"/>
          <w:sz w:val="22"/>
          <w:szCs w:val="22"/>
        </w:rPr>
        <w:t>Competent Persons</w:t>
      </w:r>
      <w:bookmarkEnd w:id="44"/>
    </w:p>
    <w:p w14:paraId="2254EB9F" w14:textId="40F60B01" w:rsidR="008C4FE8" w:rsidRPr="006B0843" w:rsidRDefault="008C4FE8" w:rsidP="0009637B">
      <w:pPr>
        <w:pStyle w:val="ListParagraph"/>
        <w:numPr>
          <w:ilvl w:val="0"/>
          <w:numId w:val="1"/>
        </w:numPr>
        <w:ind w:left="567" w:hanging="594"/>
        <w:jc w:val="both"/>
        <w:rPr>
          <w:rFonts w:asciiTheme="minorBidi" w:hAnsiTheme="minorBidi"/>
        </w:rPr>
      </w:pPr>
      <w:r w:rsidRPr="006B0843">
        <w:rPr>
          <w:rFonts w:asciiTheme="minorBidi" w:hAnsiTheme="minorBidi"/>
        </w:rPr>
        <w:t xml:space="preserve">Rule 11.12.1 requires that the first time a Mining Reporting Entity discloses an Exploration Target, Exploration </w:t>
      </w:r>
      <w:r w:rsidR="0008762A" w:rsidRPr="006B0843">
        <w:rPr>
          <w:rFonts w:asciiTheme="minorBidi" w:hAnsiTheme="minorBidi"/>
        </w:rPr>
        <w:t>R</w:t>
      </w:r>
      <w:r w:rsidRPr="006B0843">
        <w:rPr>
          <w:rFonts w:asciiTheme="minorBidi" w:hAnsiTheme="minorBidi"/>
        </w:rPr>
        <w:t xml:space="preserve">esults, estimates of Mineral </w:t>
      </w:r>
      <w:proofErr w:type="gramStart"/>
      <w:r w:rsidRPr="006B0843">
        <w:rPr>
          <w:rFonts w:asciiTheme="minorBidi" w:hAnsiTheme="minorBidi"/>
        </w:rPr>
        <w:t>Resources</w:t>
      </w:r>
      <w:proofErr w:type="gramEnd"/>
      <w:r w:rsidRPr="006B0843">
        <w:rPr>
          <w:rFonts w:asciiTheme="minorBidi" w:hAnsiTheme="minorBidi"/>
        </w:rPr>
        <w:t xml:space="preserve"> or estimates of Ore Reserves, it must ensure that the disclosure, pursuant to Rule 11.12.1, state</w:t>
      </w:r>
      <w:r w:rsidR="0008762A" w:rsidRPr="006B0843">
        <w:rPr>
          <w:rFonts w:asciiTheme="minorBidi" w:hAnsiTheme="minorBidi"/>
        </w:rPr>
        <w:t>s</w:t>
      </w:r>
      <w:r w:rsidRPr="006B0843">
        <w:rPr>
          <w:rFonts w:asciiTheme="minorBidi" w:hAnsiTheme="minorBidi"/>
        </w:rPr>
        <w:t>:</w:t>
      </w:r>
    </w:p>
    <w:p w14:paraId="2EE004BC" w14:textId="77777777" w:rsidR="008C4FE8" w:rsidRPr="006B0843" w:rsidRDefault="008C4FE8" w:rsidP="008C4FE8">
      <w:pPr>
        <w:pStyle w:val="ListParagraph"/>
        <w:ind w:left="680"/>
        <w:jc w:val="both"/>
        <w:rPr>
          <w:rFonts w:asciiTheme="minorBidi" w:hAnsiTheme="minorBidi"/>
        </w:rPr>
      </w:pPr>
    </w:p>
    <w:p w14:paraId="63226F32" w14:textId="77777777" w:rsidR="008C4FE8" w:rsidRPr="006B0843" w:rsidRDefault="008C4FE8" w:rsidP="0009637B">
      <w:pPr>
        <w:pStyle w:val="ListParagraph"/>
        <w:numPr>
          <w:ilvl w:val="0"/>
          <w:numId w:val="16"/>
        </w:numPr>
        <w:ind w:left="1134" w:hanging="567"/>
        <w:jc w:val="both"/>
        <w:rPr>
          <w:rFonts w:asciiTheme="minorBidi" w:hAnsiTheme="minorBidi"/>
        </w:rPr>
      </w:pPr>
      <w:r w:rsidRPr="006B0843">
        <w:rPr>
          <w:rFonts w:asciiTheme="minorBidi" w:hAnsiTheme="minorBidi"/>
        </w:rPr>
        <w:t>that it is based on, and fairly represents, information and supporting documentation prepared by a named Competent Person(s</w:t>
      </w:r>
      <w:proofErr w:type="gramStart"/>
      <w:r w:rsidRPr="006B0843">
        <w:rPr>
          <w:rFonts w:asciiTheme="minorBidi" w:hAnsiTheme="minorBidi"/>
        </w:rPr>
        <w:t>);</w:t>
      </w:r>
      <w:proofErr w:type="gramEnd"/>
    </w:p>
    <w:p w14:paraId="3B10B545" w14:textId="77777777" w:rsidR="008C4FE8" w:rsidRPr="006B0843" w:rsidRDefault="008C4FE8" w:rsidP="0009637B">
      <w:pPr>
        <w:pStyle w:val="ListParagraph"/>
        <w:ind w:left="1134" w:hanging="567"/>
        <w:jc w:val="both"/>
        <w:rPr>
          <w:rFonts w:asciiTheme="minorBidi" w:hAnsiTheme="minorBidi"/>
        </w:rPr>
      </w:pPr>
    </w:p>
    <w:p w14:paraId="0B06E552" w14:textId="59AF317D" w:rsidR="008C4FE8" w:rsidRPr="006B0843" w:rsidRDefault="008C4FE8" w:rsidP="0009637B">
      <w:pPr>
        <w:pStyle w:val="ListParagraph"/>
        <w:numPr>
          <w:ilvl w:val="0"/>
          <w:numId w:val="16"/>
        </w:numPr>
        <w:ind w:left="1134" w:hanging="567"/>
        <w:jc w:val="both"/>
        <w:rPr>
          <w:rFonts w:asciiTheme="minorBidi" w:hAnsiTheme="minorBidi"/>
        </w:rPr>
      </w:pPr>
      <w:r w:rsidRPr="006B0843">
        <w:rPr>
          <w:rFonts w:asciiTheme="minorBidi" w:hAnsiTheme="minorBidi"/>
        </w:rPr>
        <w:t xml:space="preserve">whether the Competent Person is an employee of the </w:t>
      </w:r>
      <w:r w:rsidR="0008762A" w:rsidRPr="006B0843">
        <w:rPr>
          <w:rFonts w:asciiTheme="minorBidi" w:hAnsiTheme="minorBidi"/>
        </w:rPr>
        <w:t>Mining</w:t>
      </w:r>
      <w:r w:rsidRPr="006B0843">
        <w:rPr>
          <w:rFonts w:asciiTheme="minorBidi" w:hAnsiTheme="minorBidi"/>
        </w:rPr>
        <w:t xml:space="preserve"> Reporting Entity, or a Related Party, and</w:t>
      </w:r>
      <w:r w:rsidR="0093455A" w:rsidRPr="006B0843">
        <w:rPr>
          <w:rFonts w:asciiTheme="minorBidi" w:hAnsiTheme="minorBidi"/>
        </w:rPr>
        <w:t>,</w:t>
      </w:r>
      <w:r w:rsidRPr="006B0843">
        <w:rPr>
          <w:rFonts w:asciiTheme="minorBidi" w:hAnsiTheme="minorBidi"/>
        </w:rPr>
        <w:t xml:space="preserve"> if not, the name of the Competent Person’s employer; and</w:t>
      </w:r>
    </w:p>
    <w:p w14:paraId="229838AF" w14:textId="77777777" w:rsidR="008C4FE8" w:rsidRPr="006B0843" w:rsidRDefault="008C4FE8" w:rsidP="0009637B">
      <w:pPr>
        <w:pStyle w:val="ListParagraph"/>
        <w:ind w:left="1134" w:hanging="567"/>
        <w:rPr>
          <w:rFonts w:asciiTheme="minorBidi" w:hAnsiTheme="minorBidi"/>
        </w:rPr>
      </w:pPr>
    </w:p>
    <w:p w14:paraId="44C34666" w14:textId="77777777" w:rsidR="008C4FE8" w:rsidRPr="006B0843" w:rsidRDefault="008C4FE8" w:rsidP="0009637B">
      <w:pPr>
        <w:pStyle w:val="ListParagraph"/>
        <w:numPr>
          <w:ilvl w:val="0"/>
          <w:numId w:val="16"/>
        </w:numPr>
        <w:ind w:left="1134" w:hanging="567"/>
        <w:jc w:val="both"/>
        <w:rPr>
          <w:rFonts w:asciiTheme="minorBidi" w:hAnsiTheme="minorBidi"/>
        </w:rPr>
      </w:pPr>
      <w:r w:rsidRPr="006B0843">
        <w:rPr>
          <w:rFonts w:asciiTheme="minorBidi" w:hAnsiTheme="minorBidi"/>
        </w:rPr>
        <w:t>the name of the professional organisation of which the Competent Person is a member.</w:t>
      </w:r>
    </w:p>
    <w:p w14:paraId="12709312" w14:textId="77777777" w:rsidR="008C4FE8" w:rsidRPr="006B0843" w:rsidRDefault="008C4FE8" w:rsidP="008C4FE8">
      <w:pPr>
        <w:jc w:val="both"/>
        <w:rPr>
          <w:rFonts w:asciiTheme="minorBidi" w:hAnsiTheme="minorBidi"/>
        </w:rPr>
      </w:pPr>
    </w:p>
    <w:p w14:paraId="03C6CF1E" w14:textId="398469DE" w:rsidR="008C4FE8" w:rsidRPr="006B0843" w:rsidRDefault="008C4FE8" w:rsidP="0009637B">
      <w:pPr>
        <w:pStyle w:val="ListParagraph"/>
        <w:numPr>
          <w:ilvl w:val="0"/>
          <w:numId w:val="1"/>
        </w:numPr>
        <w:ind w:left="567" w:hanging="567"/>
        <w:jc w:val="both"/>
        <w:rPr>
          <w:rFonts w:asciiTheme="minorBidi" w:hAnsiTheme="minorBidi"/>
        </w:rPr>
      </w:pPr>
      <w:r w:rsidRPr="006B0843">
        <w:rPr>
          <w:rFonts w:asciiTheme="minorBidi" w:hAnsiTheme="minorBidi"/>
        </w:rPr>
        <w:t>As required by Rule 1</w:t>
      </w:r>
      <w:r w:rsidR="0008762A" w:rsidRPr="006B0843">
        <w:rPr>
          <w:rFonts w:asciiTheme="minorBidi" w:hAnsiTheme="minorBidi"/>
        </w:rPr>
        <w:t>1</w:t>
      </w:r>
      <w:r w:rsidRPr="006B0843">
        <w:rPr>
          <w:rFonts w:asciiTheme="minorBidi" w:hAnsiTheme="minorBidi"/>
        </w:rPr>
        <w:t>.</w:t>
      </w:r>
      <w:r w:rsidR="0008762A" w:rsidRPr="006B0843">
        <w:rPr>
          <w:rFonts w:asciiTheme="minorBidi" w:hAnsiTheme="minorBidi"/>
        </w:rPr>
        <w:t>12</w:t>
      </w:r>
      <w:r w:rsidRPr="006B0843">
        <w:rPr>
          <w:rFonts w:asciiTheme="minorBidi" w:hAnsiTheme="minorBidi"/>
        </w:rPr>
        <w:t>.</w:t>
      </w:r>
      <w:r w:rsidR="0008762A" w:rsidRPr="006B0843">
        <w:rPr>
          <w:rFonts w:asciiTheme="minorBidi" w:hAnsiTheme="minorBidi"/>
        </w:rPr>
        <w:t>2</w:t>
      </w:r>
      <w:r w:rsidRPr="006B0843">
        <w:rPr>
          <w:rFonts w:asciiTheme="minorBidi" w:hAnsiTheme="minorBidi"/>
        </w:rPr>
        <w:t>, the statement referred to in Rule 1</w:t>
      </w:r>
      <w:r w:rsidR="0008762A" w:rsidRPr="006B0843">
        <w:rPr>
          <w:rFonts w:asciiTheme="minorBidi" w:hAnsiTheme="minorBidi"/>
        </w:rPr>
        <w:t>1</w:t>
      </w:r>
      <w:r w:rsidRPr="006B0843">
        <w:rPr>
          <w:rFonts w:asciiTheme="minorBidi" w:hAnsiTheme="minorBidi"/>
        </w:rPr>
        <w:t>.</w:t>
      </w:r>
      <w:r w:rsidR="0008762A" w:rsidRPr="006B0843">
        <w:rPr>
          <w:rFonts w:asciiTheme="minorBidi" w:hAnsiTheme="minorBidi"/>
        </w:rPr>
        <w:t>12</w:t>
      </w:r>
      <w:r w:rsidRPr="006B0843">
        <w:rPr>
          <w:rFonts w:asciiTheme="minorBidi" w:hAnsiTheme="minorBidi"/>
        </w:rPr>
        <w:t>.</w:t>
      </w:r>
      <w:r w:rsidR="0008762A" w:rsidRPr="006B0843">
        <w:rPr>
          <w:rFonts w:asciiTheme="minorBidi" w:hAnsiTheme="minorBidi"/>
        </w:rPr>
        <w:t>1</w:t>
      </w:r>
      <w:r w:rsidRPr="006B0843">
        <w:rPr>
          <w:rFonts w:asciiTheme="minorBidi" w:hAnsiTheme="minorBidi"/>
        </w:rPr>
        <w:t xml:space="preserve"> must only be disclosed with the prior written consent of the Competent Person(s) as to the form and context in which the </w:t>
      </w:r>
      <w:r w:rsidR="0008762A" w:rsidRPr="006B0843">
        <w:rPr>
          <w:rFonts w:asciiTheme="minorBidi" w:hAnsiTheme="minorBidi"/>
        </w:rPr>
        <w:t>Exploration Results or estimates of Mineral Resources or Ore Reserves</w:t>
      </w:r>
      <w:r w:rsidRPr="006B0843">
        <w:rPr>
          <w:rFonts w:asciiTheme="minorBidi" w:hAnsiTheme="minorBidi"/>
        </w:rPr>
        <w:t xml:space="preserve"> (and the supporting information) are set out and presented within the specific disclosure.</w:t>
      </w:r>
    </w:p>
    <w:p w14:paraId="7D046080" w14:textId="77777777" w:rsidR="008C4FE8" w:rsidRPr="006B0843" w:rsidRDefault="008C4FE8" w:rsidP="0009637B">
      <w:pPr>
        <w:pStyle w:val="ListParagraph"/>
        <w:ind w:left="567" w:hanging="567"/>
        <w:jc w:val="both"/>
        <w:rPr>
          <w:rFonts w:asciiTheme="minorBidi" w:hAnsiTheme="minorBidi"/>
        </w:rPr>
      </w:pPr>
    </w:p>
    <w:p w14:paraId="2BF70DF4" w14:textId="61637530" w:rsidR="008C4FE8" w:rsidRPr="006B0843" w:rsidRDefault="008C4FE8" w:rsidP="0009637B">
      <w:pPr>
        <w:pStyle w:val="ListParagraph"/>
        <w:numPr>
          <w:ilvl w:val="0"/>
          <w:numId w:val="1"/>
        </w:numPr>
        <w:ind w:left="567" w:hanging="567"/>
        <w:jc w:val="both"/>
        <w:rPr>
          <w:rFonts w:asciiTheme="minorBidi" w:hAnsiTheme="minorBidi"/>
        </w:rPr>
      </w:pPr>
      <w:r w:rsidRPr="006B0843">
        <w:rPr>
          <w:rFonts w:asciiTheme="minorBidi" w:hAnsiTheme="minorBidi"/>
        </w:rPr>
        <w:t>This obligation in Rule 1</w:t>
      </w:r>
      <w:r w:rsidR="0008762A" w:rsidRPr="006B0843">
        <w:rPr>
          <w:rFonts w:asciiTheme="minorBidi" w:hAnsiTheme="minorBidi"/>
        </w:rPr>
        <w:t>1</w:t>
      </w:r>
      <w:r w:rsidRPr="006B0843">
        <w:rPr>
          <w:rFonts w:asciiTheme="minorBidi" w:hAnsiTheme="minorBidi"/>
        </w:rPr>
        <w:t>.</w:t>
      </w:r>
      <w:r w:rsidR="0008762A" w:rsidRPr="006B0843">
        <w:rPr>
          <w:rFonts w:asciiTheme="minorBidi" w:hAnsiTheme="minorBidi"/>
        </w:rPr>
        <w:t>12</w:t>
      </w:r>
      <w:r w:rsidRPr="006B0843">
        <w:rPr>
          <w:rFonts w:asciiTheme="minorBidi" w:hAnsiTheme="minorBidi"/>
        </w:rPr>
        <w:t>.</w:t>
      </w:r>
      <w:r w:rsidR="0008762A" w:rsidRPr="006B0843">
        <w:rPr>
          <w:rFonts w:asciiTheme="minorBidi" w:hAnsiTheme="minorBidi"/>
        </w:rPr>
        <w:t>2</w:t>
      </w:r>
      <w:r w:rsidRPr="006B0843">
        <w:rPr>
          <w:rFonts w:asciiTheme="minorBidi" w:hAnsiTheme="minorBidi"/>
        </w:rPr>
        <w:t xml:space="preserve"> applies (but is not solely limited to) disclosures containing </w:t>
      </w:r>
      <w:r w:rsidR="0008762A" w:rsidRPr="006B0843">
        <w:rPr>
          <w:rFonts w:asciiTheme="minorBidi" w:hAnsiTheme="minorBidi"/>
        </w:rPr>
        <w:t xml:space="preserve">Exploration Results </w:t>
      </w:r>
      <w:r w:rsidRPr="006B0843">
        <w:rPr>
          <w:rFonts w:asciiTheme="minorBidi" w:hAnsiTheme="minorBidi"/>
        </w:rPr>
        <w:t xml:space="preserve">(or materially changed </w:t>
      </w:r>
      <w:r w:rsidR="0008762A" w:rsidRPr="006B0843">
        <w:rPr>
          <w:rFonts w:asciiTheme="minorBidi" w:hAnsiTheme="minorBidi"/>
        </w:rPr>
        <w:t>Exploration Results) (Rule 11.4), and estimates (or materially changed estimates</w:t>
      </w:r>
      <w:r w:rsidRPr="006B0843">
        <w:rPr>
          <w:rFonts w:asciiTheme="minorBidi" w:hAnsiTheme="minorBidi"/>
        </w:rPr>
        <w:t xml:space="preserve">) of </w:t>
      </w:r>
      <w:r w:rsidR="0008762A" w:rsidRPr="006B0843">
        <w:rPr>
          <w:rFonts w:asciiTheme="minorBidi" w:hAnsiTheme="minorBidi"/>
        </w:rPr>
        <w:t>Mineral Resources</w:t>
      </w:r>
      <w:r w:rsidRPr="006B0843">
        <w:rPr>
          <w:rFonts w:asciiTheme="minorBidi" w:hAnsiTheme="minorBidi"/>
        </w:rPr>
        <w:t xml:space="preserve"> (Rule 1</w:t>
      </w:r>
      <w:r w:rsidR="0008762A" w:rsidRPr="006B0843">
        <w:rPr>
          <w:rFonts w:asciiTheme="minorBidi" w:hAnsiTheme="minorBidi"/>
        </w:rPr>
        <w:t>1.5) and Ore Reserves (Rule 11.6</w:t>
      </w:r>
      <w:r w:rsidRPr="006B0843">
        <w:rPr>
          <w:rFonts w:asciiTheme="minorBidi" w:hAnsiTheme="minorBidi"/>
        </w:rPr>
        <w:t xml:space="preserve">).  It also applies to the disclosure of a </w:t>
      </w:r>
      <w:r w:rsidR="0008762A" w:rsidRPr="006B0843">
        <w:rPr>
          <w:rFonts w:asciiTheme="minorBidi" w:hAnsiTheme="minorBidi"/>
        </w:rPr>
        <w:t>Mining</w:t>
      </w:r>
      <w:r w:rsidRPr="006B0843">
        <w:rPr>
          <w:rFonts w:asciiTheme="minorBidi" w:hAnsiTheme="minorBidi"/>
        </w:rPr>
        <w:t xml:space="preserve"> Reporting Entity’s Summary of Reserves and Resources (Rule 1</w:t>
      </w:r>
      <w:r w:rsidR="0008762A" w:rsidRPr="006B0843">
        <w:rPr>
          <w:rFonts w:asciiTheme="minorBidi" w:hAnsiTheme="minorBidi"/>
        </w:rPr>
        <w:t>1.11.1</w:t>
      </w:r>
      <w:r w:rsidRPr="006B0843">
        <w:rPr>
          <w:rFonts w:asciiTheme="minorBidi" w:hAnsiTheme="minorBidi"/>
        </w:rPr>
        <w:t xml:space="preserve">), as well as the disclosure of </w:t>
      </w:r>
      <w:proofErr w:type="gramStart"/>
      <w:r w:rsidRPr="006B0843">
        <w:rPr>
          <w:rFonts w:asciiTheme="minorBidi" w:hAnsiTheme="minorBidi"/>
        </w:rPr>
        <w:t>a</w:t>
      </w:r>
      <w:proofErr w:type="gramEnd"/>
      <w:r w:rsidR="0008762A" w:rsidRPr="006B0843">
        <w:rPr>
          <w:rFonts w:asciiTheme="minorBidi" w:hAnsiTheme="minorBidi"/>
        </w:rPr>
        <w:t xml:space="preserve"> MKT Form 11-1</w:t>
      </w:r>
      <w:r w:rsidRPr="006B0843">
        <w:rPr>
          <w:rFonts w:asciiTheme="minorBidi" w:hAnsiTheme="minorBidi"/>
        </w:rPr>
        <w:t xml:space="preserve">.  </w:t>
      </w:r>
    </w:p>
    <w:p w14:paraId="3FDF226E" w14:textId="77777777" w:rsidR="008C4FE8" w:rsidRPr="006B0843" w:rsidRDefault="008C4FE8" w:rsidP="008C4FE8">
      <w:pPr>
        <w:pStyle w:val="ListParagraph"/>
        <w:rPr>
          <w:rFonts w:asciiTheme="minorBidi" w:hAnsiTheme="minorBidi"/>
        </w:rPr>
      </w:pPr>
    </w:p>
    <w:p w14:paraId="6E38B92A" w14:textId="6D5D0194" w:rsidR="008C4FE8" w:rsidRPr="006B0843" w:rsidRDefault="008C4FE8" w:rsidP="0009637B">
      <w:pPr>
        <w:pStyle w:val="ListParagraph"/>
        <w:numPr>
          <w:ilvl w:val="0"/>
          <w:numId w:val="1"/>
        </w:numPr>
        <w:ind w:left="567" w:hanging="567"/>
        <w:jc w:val="both"/>
        <w:rPr>
          <w:rFonts w:asciiTheme="minorBidi" w:hAnsiTheme="minorBidi"/>
        </w:rPr>
      </w:pPr>
      <w:r w:rsidRPr="006B0843">
        <w:rPr>
          <w:rFonts w:asciiTheme="minorBidi" w:hAnsiTheme="minorBidi"/>
        </w:rPr>
        <w:t>As provided for in Rule 1</w:t>
      </w:r>
      <w:r w:rsidR="0008762A" w:rsidRPr="006B0843">
        <w:rPr>
          <w:rFonts w:asciiTheme="minorBidi" w:hAnsiTheme="minorBidi"/>
        </w:rPr>
        <w:t>1</w:t>
      </w:r>
      <w:r w:rsidRPr="006B0843">
        <w:rPr>
          <w:rFonts w:asciiTheme="minorBidi" w:hAnsiTheme="minorBidi"/>
        </w:rPr>
        <w:t>.1</w:t>
      </w:r>
      <w:r w:rsidR="0008762A" w:rsidRPr="006B0843">
        <w:rPr>
          <w:rFonts w:asciiTheme="minorBidi" w:hAnsiTheme="minorBidi"/>
        </w:rPr>
        <w:t>2</w:t>
      </w:r>
      <w:r w:rsidRPr="006B0843">
        <w:rPr>
          <w:rFonts w:asciiTheme="minorBidi" w:hAnsiTheme="minorBidi"/>
        </w:rPr>
        <w:t xml:space="preserve">.3, subsequent inclusion of the Competent Person’s statement is not required upon a re-disclosure of the same </w:t>
      </w:r>
      <w:r w:rsidR="00691A19" w:rsidRPr="006B0843">
        <w:rPr>
          <w:rFonts w:asciiTheme="minorBidi" w:hAnsiTheme="minorBidi"/>
        </w:rPr>
        <w:t xml:space="preserve">Exploration Results, </w:t>
      </w:r>
      <w:r w:rsidR="0008762A" w:rsidRPr="006B0843">
        <w:rPr>
          <w:rFonts w:asciiTheme="minorBidi" w:hAnsiTheme="minorBidi"/>
        </w:rPr>
        <w:t>Mineral Resources or Ore Reserves</w:t>
      </w:r>
      <w:r w:rsidRPr="006B0843">
        <w:rPr>
          <w:rFonts w:asciiTheme="minorBidi" w:hAnsiTheme="minorBidi"/>
        </w:rPr>
        <w:t xml:space="preserve"> where the following is met:</w:t>
      </w:r>
    </w:p>
    <w:p w14:paraId="11246CFB" w14:textId="77777777" w:rsidR="008C4FE8" w:rsidRPr="006B0843" w:rsidRDefault="008C4FE8" w:rsidP="008C4FE8">
      <w:pPr>
        <w:pStyle w:val="ListParagraph"/>
        <w:rPr>
          <w:rFonts w:asciiTheme="minorBidi" w:hAnsiTheme="minorBidi"/>
        </w:rPr>
      </w:pPr>
    </w:p>
    <w:p w14:paraId="3D75A23D" w14:textId="7A9670C3" w:rsidR="008C4FE8" w:rsidRPr="006B0843" w:rsidRDefault="008C4FE8" w:rsidP="0009637B">
      <w:pPr>
        <w:pStyle w:val="ListParagraph"/>
        <w:numPr>
          <w:ilvl w:val="0"/>
          <w:numId w:val="17"/>
        </w:numPr>
        <w:ind w:left="1134" w:hanging="567"/>
        <w:jc w:val="both"/>
        <w:rPr>
          <w:rFonts w:asciiTheme="minorBidi" w:hAnsiTheme="minorBidi"/>
        </w:rPr>
      </w:pPr>
      <w:r w:rsidRPr="006B0843">
        <w:rPr>
          <w:rFonts w:asciiTheme="minorBidi" w:hAnsiTheme="minorBidi"/>
        </w:rPr>
        <w:lastRenderedPageBreak/>
        <w:t xml:space="preserve">any subsequent disclosure that refers to the </w:t>
      </w:r>
      <w:r w:rsidR="00691A19" w:rsidRPr="006B0843">
        <w:rPr>
          <w:rFonts w:asciiTheme="minorBidi" w:hAnsiTheme="minorBidi"/>
        </w:rPr>
        <w:t xml:space="preserve">Exploration Results or </w:t>
      </w:r>
      <w:r w:rsidRPr="006B0843">
        <w:rPr>
          <w:rFonts w:asciiTheme="minorBidi" w:hAnsiTheme="minorBidi"/>
        </w:rPr>
        <w:t xml:space="preserve">estimates of </w:t>
      </w:r>
      <w:r w:rsidR="00691A19" w:rsidRPr="006B0843">
        <w:rPr>
          <w:rFonts w:asciiTheme="minorBidi" w:hAnsiTheme="minorBidi"/>
        </w:rPr>
        <w:t>Mineral Resources or Ore Reserves</w:t>
      </w:r>
      <w:r w:rsidRPr="006B0843">
        <w:rPr>
          <w:rFonts w:asciiTheme="minorBidi" w:hAnsiTheme="minorBidi"/>
        </w:rPr>
        <w:t xml:space="preserve"> references the earlier disclosure containing the statements and consent referred to in Rule</w:t>
      </w:r>
      <w:r w:rsidR="00691A19" w:rsidRPr="006B0843">
        <w:rPr>
          <w:rFonts w:asciiTheme="minorBidi" w:hAnsiTheme="minorBidi"/>
        </w:rPr>
        <w:t xml:space="preserve"> 11.12.1</w:t>
      </w:r>
      <w:r w:rsidRPr="006B0843">
        <w:rPr>
          <w:rFonts w:asciiTheme="minorBidi" w:hAnsiTheme="minorBidi"/>
        </w:rPr>
        <w:t>; and</w:t>
      </w:r>
    </w:p>
    <w:p w14:paraId="64DDDBD2" w14:textId="77777777" w:rsidR="008C4FE8" w:rsidRPr="006B0843" w:rsidRDefault="008C4FE8" w:rsidP="0009637B">
      <w:pPr>
        <w:pStyle w:val="ListParagraph"/>
        <w:ind w:left="1134" w:hanging="567"/>
        <w:jc w:val="both"/>
        <w:rPr>
          <w:rFonts w:asciiTheme="minorBidi" w:hAnsiTheme="minorBidi"/>
        </w:rPr>
      </w:pPr>
    </w:p>
    <w:p w14:paraId="2E46E314" w14:textId="58D35386" w:rsidR="008C4FE8" w:rsidRPr="006B0843" w:rsidRDefault="008C4FE8" w:rsidP="0009637B">
      <w:pPr>
        <w:pStyle w:val="ListParagraph"/>
        <w:numPr>
          <w:ilvl w:val="0"/>
          <w:numId w:val="17"/>
        </w:numPr>
        <w:ind w:left="1134" w:hanging="567"/>
        <w:jc w:val="both"/>
        <w:rPr>
          <w:rFonts w:asciiTheme="minorBidi" w:hAnsiTheme="minorBidi"/>
        </w:rPr>
      </w:pPr>
      <w:r w:rsidRPr="006B0843">
        <w:rPr>
          <w:rFonts w:asciiTheme="minorBidi" w:hAnsiTheme="minorBidi"/>
        </w:rPr>
        <w:t xml:space="preserve">the </w:t>
      </w:r>
      <w:r w:rsidR="00691A19" w:rsidRPr="006B0843">
        <w:rPr>
          <w:rFonts w:asciiTheme="minorBidi" w:hAnsiTheme="minorBidi"/>
        </w:rPr>
        <w:t>Mining</w:t>
      </w:r>
      <w:r w:rsidRPr="006B0843">
        <w:rPr>
          <w:rFonts w:asciiTheme="minorBidi" w:hAnsiTheme="minorBidi"/>
        </w:rPr>
        <w:t xml:space="preserve"> Reporting Entity confirms in the subsequent disclosure that it is not aware of any new information or data that materially affects the information included in the earlier disclosure, and that all material assumptions and technical parameters underpinning the estimates in the earlier disclosure continue to apply and have not materially changed.</w:t>
      </w:r>
    </w:p>
    <w:p w14:paraId="70823D4C" w14:textId="77777777" w:rsidR="008C4FE8" w:rsidRPr="006B0843" w:rsidRDefault="008C4FE8" w:rsidP="008C4FE8">
      <w:pPr>
        <w:pStyle w:val="ListParagraph"/>
        <w:rPr>
          <w:rFonts w:asciiTheme="minorBidi" w:hAnsiTheme="minorBidi"/>
        </w:rPr>
      </w:pPr>
    </w:p>
    <w:p w14:paraId="4F766DF1" w14:textId="4C128137" w:rsidR="008C4FE8" w:rsidRPr="006B0843" w:rsidRDefault="008C4FE8" w:rsidP="0009637B">
      <w:pPr>
        <w:pStyle w:val="ListParagraph"/>
        <w:numPr>
          <w:ilvl w:val="0"/>
          <w:numId w:val="1"/>
        </w:numPr>
        <w:ind w:left="567" w:hanging="567"/>
        <w:jc w:val="both"/>
        <w:rPr>
          <w:rFonts w:asciiTheme="minorBidi" w:hAnsiTheme="minorBidi"/>
        </w:rPr>
      </w:pPr>
      <w:r w:rsidRPr="006B0843">
        <w:rPr>
          <w:rFonts w:asciiTheme="minorBidi" w:hAnsiTheme="minorBidi"/>
        </w:rPr>
        <w:t xml:space="preserve">If a </w:t>
      </w:r>
      <w:r w:rsidR="00691A19" w:rsidRPr="006B0843">
        <w:rPr>
          <w:rFonts w:asciiTheme="minorBidi" w:hAnsiTheme="minorBidi"/>
        </w:rPr>
        <w:t>Mining</w:t>
      </w:r>
      <w:r w:rsidRPr="006B0843">
        <w:rPr>
          <w:rFonts w:asciiTheme="minorBidi" w:hAnsiTheme="minorBidi"/>
        </w:rPr>
        <w:t xml:space="preserve"> Reporting Entity is not able to meet these </w:t>
      </w:r>
      <w:proofErr w:type="gramStart"/>
      <w:r w:rsidRPr="006B0843">
        <w:rPr>
          <w:rFonts w:asciiTheme="minorBidi" w:hAnsiTheme="minorBidi"/>
        </w:rPr>
        <w:t>conditions</w:t>
      </w:r>
      <w:proofErr w:type="gramEnd"/>
      <w:r w:rsidRPr="006B0843">
        <w:rPr>
          <w:rFonts w:asciiTheme="minorBidi" w:hAnsiTheme="minorBidi"/>
        </w:rPr>
        <w:t xml:space="preserve"> then a subsequent disclosure is to include the statements and consent required by Rule 1</w:t>
      </w:r>
      <w:r w:rsidR="00691A19" w:rsidRPr="006B0843">
        <w:rPr>
          <w:rFonts w:asciiTheme="minorBidi" w:hAnsiTheme="minorBidi"/>
        </w:rPr>
        <w:t>1</w:t>
      </w:r>
      <w:r w:rsidRPr="006B0843">
        <w:rPr>
          <w:rFonts w:asciiTheme="minorBidi" w:hAnsiTheme="minorBidi"/>
        </w:rPr>
        <w:t>.1</w:t>
      </w:r>
      <w:r w:rsidR="00691A19" w:rsidRPr="006B0843">
        <w:rPr>
          <w:rFonts w:asciiTheme="minorBidi" w:hAnsiTheme="minorBidi"/>
        </w:rPr>
        <w:t>2</w:t>
      </w:r>
      <w:r w:rsidRPr="006B0843">
        <w:rPr>
          <w:rFonts w:asciiTheme="minorBidi" w:hAnsiTheme="minorBidi"/>
        </w:rPr>
        <w:t>.</w:t>
      </w:r>
      <w:r w:rsidR="00691A19" w:rsidRPr="006B0843">
        <w:rPr>
          <w:rFonts w:asciiTheme="minorBidi" w:hAnsiTheme="minorBidi"/>
        </w:rPr>
        <w:t>1</w:t>
      </w:r>
      <w:r w:rsidRPr="006B0843">
        <w:rPr>
          <w:rFonts w:asciiTheme="minorBidi" w:hAnsiTheme="minorBidi"/>
        </w:rPr>
        <w:t>.</w:t>
      </w:r>
    </w:p>
    <w:p w14:paraId="12B9ACC3" w14:textId="77777777" w:rsidR="008C4FE8" w:rsidRPr="006B0843" w:rsidRDefault="008C4FE8" w:rsidP="008C4FE8">
      <w:pPr>
        <w:pStyle w:val="Heading2"/>
        <w:tabs>
          <w:tab w:val="clear" w:pos="720"/>
          <w:tab w:val="num" w:pos="0"/>
        </w:tabs>
        <w:spacing w:after="0"/>
        <w:ind w:left="0" w:firstLine="0"/>
        <w:rPr>
          <w:rFonts w:asciiTheme="minorBidi" w:hAnsiTheme="minorBidi" w:cstheme="minorBidi"/>
          <w:sz w:val="22"/>
          <w:szCs w:val="22"/>
        </w:rPr>
      </w:pPr>
    </w:p>
    <w:p w14:paraId="4E6195A1" w14:textId="13CBF66F" w:rsidR="00424A47" w:rsidRPr="006B0843" w:rsidRDefault="00424A47" w:rsidP="00424A47">
      <w:pPr>
        <w:pStyle w:val="Heading2"/>
        <w:tabs>
          <w:tab w:val="clear" w:pos="720"/>
          <w:tab w:val="num" w:pos="0"/>
        </w:tabs>
        <w:ind w:left="0" w:firstLine="0"/>
        <w:rPr>
          <w:rFonts w:asciiTheme="minorBidi" w:hAnsiTheme="minorBidi" w:cstheme="minorBidi"/>
          <w:sz w:val="22"/>
          <w:szCs w:val="22"/>
        </w:rPr>
      </w:pPr>
      <w:bookmarkStart w:id="45" w:name="_Toc43963872"/>
      <w:r w:rsidRPr="006B0843">
        <w:rPr>
          <w:rFonts w:asciiTheme="minorBidi" w:hAnsiTheme="minorBidi" w:cstheme="minorBidi"/>
          <w:sz w:val="22"/>
          <w:szCs w:val="22"/>
        </w:rPr>
        <w:t>Prominent, and proximate, cautionary statements</w:t>
      </w:r>
      <w:bookmarkEnd w:id="45"/>
      <w:r w:rsidRPr="006B0843">
        <w:rPr>
          <w:rFonts w:asciiTheme="minorBidi" w:hAnsiTheme="minorBidi" w:cstheme="minorBidi"/>
          <w:sz w:val="22"/>
          <w:szCs w:val="22"/>
        </w:rPr>
        <w:t xml:space="preserve"> </w:t>
      </w:r>
    </w:p>
    <w:p w14:paraId="4F7CEEDE" w14:textId="1353FD99" w:rsidR="00F546CB" w:rsidRPr="006B0843" w:rsidRDefault="00F546CB" w:rsidP="006B620E">
      <w:pPr>
        <w:pStyle w:val="ListParagraph"/>
        <w:numPr>
          <w:ilvl w:val="0"/>
          <w:numId w:val="1"/>
        </w:numPr>
        <w:ind w:left="567" w:hanging="567"/>
        <w:jc w:val="both"/>
        <w:rPr>
          <w:rFonts w:asciiTheme="minorBidi" w:hAnsiTheme="minorBidi"/>
        </w:rPr>
      </w:pPr>
      <w:r w:rsidRPr="006B0843">
        <w:rPr>
          <w:rFonts w:asciiTheme="minorBidi" w:hAnsiTheme="minorBidi"/>
        </w:rPr>
        <w:t>The requirements for disclosing pursuant to:</w:t>
      </w:r>
    </w:p>
    <w:p w14:paraId="041FBCBA" w14:textId="77777777" w:rsidR="00F546CB" w:rsidRPr="006B0843" w:rsidRDefault="00F546CB" w:rsidP="00F546CB">
      <w:pPr>
        <w:pStyle w:val="ListParagraph"/>
        <w:ind w:left="786"/>
        <w:jc w:val="both"/>
        <w:rPr>
          <w:rFonts w:asciiTheme="minorBidi" w:hAnsiTheme="minorBidi"/>
        </w:rPr>
      </w:pPr>
    </w:p>
    <w:p w14:paraId="42E43C00" w14:textId="46C21394" w:rsidR="00F546CB" w:rsidRPr="006B0843" w:rsidRDefault="00424A47" w:rsidP="006B620E">
      <w:pPr>
        <w:pStyle w:val="ListParagraph"/>
        <w:numPr>
          <w:ilvl w:val="0"/>
          <w:numId w:val="21"/>
        </w:numPr>
        <w:ind w:left="1134" w:hanging="567"/>
        <w:jc w:val="both"/>
        <w:rPr>
          <w:rFonts w:asciiTheme="minorBidi" w:hAnsiTheme="minorBidi"/>
        </w:rPr>
      </w:pPr>
      <w:r w:rsidRPr="006B0843">
        <w:rPr>
          <w:rFonts w:asciiTheme="minorBidi" w:hAnsiTheme="minorBidi"/>
        </w:rPr>
        <w:t>Rule</w:t>
      </w:r>
      <w:r w:rsidR="00F546CB" w:rsidRPr="006B0843">
        <w:rPr>
          <w:rFonts w:asciiTheme="minorBidi" w:hAnsiTheme="minorBidi"/>
        </w:rPr>
        <w:t>s 11.7.4(1) and 11.7.5(3) (Non-Equivalent Estimates</w:t>
      </w:r>
      <w:proofErr w:type="gramStart"/>
      <w:r w:rsidR="00F546CB" w:rsidRPr="006B0843">
        <w:rPr>
          <w:rFonts w:asciiTheme="minorBidi" w:hAnsiTheme="minorBidi"/>
        </w:rPr>
        <w:t>)</w:t>
      </w:r>
      <w:r w:rsidR="0093455A" w:rsidRPr="006B0843">
        <w:rPr>
          <w:rFonts w:asciiTheme="minorBidi" w:hAnsiTheme="minorBidi"/>
        </w:rPr>
        <w:t>;</w:t>
      </w:r>
      <w:proofErr w:type="gramEnd"/>
      <w:r w:rsidR="00F546CB" w:rsidRPr="006B0843">
        <w:rPr>
          <w:rFonts w:asciiTheme="minorBidi" w:hAnsiTheme="minorBidi"/>
        </w:rPr>
        <w:t xml:space="preserve"> </w:t>
      </w:r>
    </w:p>
    <w:p w14:paraId="07D09533" w14:textId="77777777" w:rsidR="00F546CB" w:rsidRPr="006B0843" w:rsidRDefault="00F546CB" w:rsidP="006B620E">
      <w:pPr>
        <w:pStyle w:val="ListParagraph"/>
        <w:ind w:left="1134" w:hanging="567"/>
        <w:jc w:val="both"/>
        <w:rPr>
          <w:rFonts w:asciiTheme="minorBidi" w:hAnsiTheme="minorBidi"/>
        </w:rPr>
      </w:pPr>
    </w:p>
    <w:p w14:paraId="2D202544" w14:textId="37B065E0" w:rsidR="00F546CB" w:rsidRPr="006B0843" w:rsidRDefault="00F546CB" w:rsidP="006B620E">
      <w:pPr>
        <w:pStyle w:val="ListParagraph"/>
        <w:numPr>
          <w:ilvl w:val="0"/>
          <w:numId w:val="21"/>
        </w:numPr>
        <w:ind w:left="1134" w:hanging="567"/>
        <w:jc w:val="both"/>
        <w:rPr>
          <w:rFonts w:asciiTheme="minorBidi" w:hAnsiTheme="minorBidi"/>
        </w:rPr>
      </w:pPr>
      <w:r w:rsidRPr="006B0843">
        <w:rPr>
          <w:rFonts w:asciiTheme="minorBidi" w:hAnsiTheme="minorBidi"/>
        </w:rPr>
        <w:t xml:space="preserve">Rules 11.8.3(5)(d), 11.8.3(6) &amp; (7) </w:t>
      </w:r>
      <w:r w:rsidR="0093455A" w:rsidRPr="006B0843">
        <w:rPr>
          <w:rFonts w:asciiTheme="minorBidi" w:hAnsiTheme="minorBidi"/>
        </w:rPr>
        <w:t>(Production Targets</w:t>
      </w:r>
      <w:proofErr w:type="gramStart"/>
      <w:r w:rsidR="0093455A" w:rsidRPr="006B0843">
        <w:rPr>
          <w:rFonts w:asciiTheme="minorBidi" w:hAnsiTheme="minorBidi"/>
        </w:rPr>
        <w:t>);</w:t>
      </w:r>
      <w:proofErr w:type="gramEnd"/>
      <w:r w:rsidRPr="006B0843">
        <w:rPr>
          <w:rFonts w:asciiTheme="minorBidi" w:hAnsiTheme="minorBidi"/>
        </w:rPr>
        <w:t xml:space="preserve"> </w:t>
      </w:r>
    </w:p>
    <w:p w14:paraId="4BD77A94" w14:textId="77777777" w:rsidR="00F546CB" w:rsidRPr="006B0843" w:rsidRDefault="00F546CB" w:rsidP="006B620E">
      <w:pPr>
        <w:pStyle w:val="ListParagraph"/>
        <w:ind w:left="1134" w:hanging="567"/>
        <w:jc w:val="both"/>
        <w:rPr>
          <w:rFonts w:asciiTheme="minorBidi" w:hAnsiTheme="minorBidi"/>
        </w:rPr>
      </w:pPr>
    </w:p>
    <w:p w14:paraId="7136840B" w14:textId="0D1957F0" w:rsidR="00F546CB" w:rsidRPr="006B0843" w:rsidRDefault="00F546CB" w:rsidP="006B620E">
      <w:pPr>
        <w:pStyle w:val="ListParagraph"/>
        <w:numPr>
          <w:ilvl w:val="0"/>
          <w:numId w:val="21"/>
        </w:numPr>
        <w:ind w:left="1134" w:hanging="567"/>
        <w:jc w:val="both"/>
        <w:rPr>
          <w:rFonts w:asciiTheme="minorBidi" w:hAnsiTheme="minorBidi"/>
        </w:rPr>
      </w:pPr>
      <w:r w:rsidRPr="006B0843">
        <w:rPr>
          <w:rFonts w:asciiTheme="minorBidi" w:hAnsiTheme="minorBidi"/>
        </w:rPr>
        <w:t>Rules 11.8.4(3) &amp; (4) (Production Targets)</w:t>
      </w:r>
      <w:r w:rsidR="0093455A" w:rsidRPr="006B0843">
        <w:rPr>
          <w:rFonts w:asciiTheme="minorBidi" w:hAnsiTheme="minorBidi"/>
        </w:rPr>
        <w:t>;</w:t>
      </w:r>
      <w:r w:rsidRPr="006B0843">
        <w:rPr>
          <w:rFonts w:asciiTheme="minorBidi" w:hAnsiTheme="minorBidi"/>
        </w:rPr>
        <w:t xml:space="preserve"> and </w:t>
      </w:r>
    </w:p>
    <w:p w14:paraId="234CA012" w14:textId="77777777" w:rsidR="00F546CB" w:rsidRPr="006B0843" w:rsidRDefault="00F546CB" w:rsidP="006B620E">
      <w:pPr>
        <w:pStyle w:val="ListParagraph"/>
        <w:ind w:left="1134" w:hanging="567"/>
        <w:jc w:val="both"/>
        <w:rPr>
          <w:rFonts w:asciiTheme="minorBidi" w:hAnsiTheme="minorBidi"/>
        </w:rPr>
      </w:pPr>
    </w:p>
    <w:p w14:paraId="027F6172" w14:textId="31FF1EC8" w:rsidR="00F546CB" w:rsidRPr="006B0843" w:rsidRDefault="00F546CB" w:rsidP="006B620E">
      <w:pPr>
        <w:pStyle w:val="ListParagraph"/>
        <w:numPr>
          <w:ilvl w:val="0"/>
          <w:numId w:val="21"/>
        </w:numPr>
        <w:ind w:left="1134" w:hanging="567"/>
        <w:jc w:val="both"/>
        <w:rPr>
          <w:rFonts w:asciiTheme="minorBidi" w:hAnsiTheme="minorBidi"/>
        </w:rPr>
      </w:pPr>
      <w:r w:rsidRPr="006B0843">
        <w:rPr>
          <w:rFonts w:asciiTheme="minorBidi" w:hAnsiTheme="minorBidi"/>
        </w:rPr>
        <w:t>Rules 11.9.3(3) &amp; (4) (Forecast financial information),</w:t>
      </w:r>
    </w:p>
    <w:p w14:paraId="35FF4BA9" w14:textId="77777777" w:rsidR="00F546CB" w:rsidRPr="006B0843" w:rsidRDefault="00F546CB" w:rsidP="00F546CB">
      <w:pPr>
        <w:jc w:val="both"/>
        <w:rPr>
          <w:rFonts w:asciiTheme="minorBidi" w:hAnsiTheme="minorBidi"/>
        </w:rPr>
      </w:pPr>
    </w:p>
    <w:p w14:paraId="10B6316F" w14:textId="7BB873B3" w:rsidR="00424A47" w:rsidRPr="006B0843" w:rsidRDefault="00F546CB" w:rsidP="006B620E">
      <w:pPr>
        <w:ind w:left="567"/>
        <w:jc w:val="both"/>
        <w:rPr>
          <w:rFonts w:asciiTheme="minorBidi" w:hAnsiTheme="minorBidi"/>
        </w:rPr>
      </w:pPr>
      <w:r w:rsidRPr="006B0843">
        <w:rPr>
          <w:rFonts w:asciiTheme="minorBidi" w:hAnsiTheme="minorBidi"/>
        </w:rPr>
        <w:t>require the inclusion of a cautionary statement that is at least equally prominent, and if applicable, proximate to</w:t>
      </w:r>
      <w:r w:rsidR="00F32E9F" w:rsidRPr="006B0843">
        <w:rPr>
          <w:rFonts w:asciiTheme="minorBidi" w:hAnsiTheme="minorBidi"/>
        </w:rPr>
        <w:t xml:space="preserve"> the</w:t>
      </w:r>
      <w:r w:rsidRPr="006B0843">
        <w:rPr>
          <w:rFonts w:asciiTheme="minorBidi" w:hAnsiTheme="minorBidi"/>
        </w:rPr>
        <w:t xml:space="preserve"> disclosed information.</w:t>
      </w:r>
    </w:p>
    <w:p w14:paraId="3893310A" w14:textId="77777777" w:rsidR="00424A47" w:rsidRPr="006B0843" w:rsidRDefault="00424A47" w:rsidP="00424A47">
      <w:pPr>
        <w:pStyle w:val="ListParagraph"/>
        <w:ind w:left="426"/>
        <w:jc w:val="both"/>
        <w:rPr>
          <w:rFonts w:asciiTheme="minorBidi" w:hAnsiTheme="minorBidi"/>
        </w:rPr>
      </w:pPr>
    </w:p>
    <w:p w14:paraId="01CD0B94" w14:textId="77777777" w:rsidR="00424A47" w:rsidRPr="006B0843" w:rsidRDefault="00424A47" w:rsidP="006B620E">
      <w:pPr>
        <w:pStyle w:val="ListParagraph"/>
        <w:numPr>
          <w:ilvl w:val="0"/>
          <w:numId w:val="1"/>
        </w:numPr>
        <w:ind w:left="567" w:hanging="567"/>
        <w:jc w:val="both"/>
        <w:rPr>
          <w:rFonts w:asciiTheme="minorBidi" w:hAnsiTheme="minorBidi"/>
        </w:rPr>
      </w:pPr>
      <w:r w:rsidRPr="006B0843">
        <w:rPr>
          <w:rFonts w:asciiTheme="minorBidi" w:hAnsiTheme="minorBidi"/>
        </w:rPr>
        <w:t xml:space="preserve">At least equal prominence, for the purposes of the Rules, means the cautionary statement </w:t>
      </w:r>
      <w:proofErr w:type="gramStart"/>
      <w:r w:rsidRPr="006B0843">
        <w:rPr>
          <w:rFonts w:asciiTheme="minorBidi" w:hAnsiTheme="minorBidi"/>
        </w:rPr>
        <w:t>should have,</w:t>
      </w:r>
      <w:proofErr w:type="gramEnd"/>
      <w:r w:rsidRPr="006B0843">
        <w:rPr>
          <w:rFonts w:asciiTheme="minorBidi" w:hAnsiTheme="minorBidi"/>
        </w:rPr>
        <w:t xml:space="preserve"> at the very least, the same font type, size and colour as the relevant information.  This means that if the estimates of Prospective Resources are disclosed in a heading, the cautionary statement is to be in at least the same font type, </w:t>
      </w:r>
      <w:proofErr w:type="gramStart"/>
      <w:r w:rsidRPr="006B0843">
        <w:rPr>
          <w:rFonts w:asciiTheme="minorBidi" w:hAnsiTheme="minorBidi"/>
        </w:rPr>
        <w:t>size</w:t>
      </w:r>
      <w:proofErr w:type="gramEnd"/>
      <w:r w:rsidRPr="006B0843">
        <w:rPr>
          <w:rFonts w:asciiTheme="minorBidi" w:hAnsiTheme="minorBidi"/>
        </w:rPr>
        <w:t xml:space="preserve"> and colour as the heading.  The FSRA expects that, at the very least, where the relevant information is highlighted and emphasised in any way (e.g., by being printed in bold, italics or a different colour to the surrounding text), the prominent cautionary statement must, at the very least, be equally highlighted and emphasised.</w:t>
      </w:r>
    </w:p>
    <w:p w14:paraId="3241D00F" w14:textId="77777777" w:rsidR="00424A47" w:rsidRPr="006B0843" w:rsidRDefault="00424A47" w:rsidP="00424A47">
      <w:pPr>
        <w:pStyle w:val="ListParagraph"/>
        <w:rPr>
          <w:rFonts w:asciiTheme="minorBidi" w:hAnsiTheme="minorBidi"/>
        </w:rPr>
      </w:pPr>
    </w:p>
    <w:p w14:paraId="21D79822" w14:textId="77777777" w:rsidR="00424A47" w:rsidRPr="006B0843" w:rsidRDefault="00424A47" w:rsidP="006B620E">
      <w:pPr>
        <w:pStyle w:val="ListParagraph"/>
        <w:numPr>
          <w:ilvl w:val="0"/>
          <w:numId w:val="1"/>
        </w:numPr>
        <w:ind w:left="567" w:hanging="567"/>
        <w:jc w:val="both"/>
        <w:rPr>
          <w:rFonts w:asciiTheme="minorBidi" w:hAnsiTheme="minorBidi"/>
        </w:rPr>
      </w:pPr>
      <w:r w:rsidRPr="006B0843">
        <w:rPr>
          <w:rFonts w:asciiTheme="minorBidi" w:hAnsiTheme="minorBidi"/>
        </w:rPr>
        <w:t>The FSRA considers that proximate, for the purposes of the Rules, means on the same page, and in the same paragraph or in the immediately preceding or following paragraph, as the relevant information.  Except as set out below, placing a cautionary statement in a footnote or endnote, or in a general disclaimer elsewhere in a disclosure, does not meet the requirement for the statement to be proximate.</w:t>
      </w:r>
    </w:p>
    <w:p w14:paraId="66F4222C" w14:textId="77777777" w:rsidR="00424A47" w:rsidRPr="006B0843" w:rsidRDefault="00424A47" w:rsidP="006B620E">
      <w:pPr>
        <w:pStyle w:val="ListParagraph"/>
        <w:ind w:left="567" w:hanging="567"/>
        <w:rPr>
          <w:rFonts w:asciiTheme="minorBidi" w:hAnsiTheme="minorBidi"/>
        </w:rPr>
      </w:pPr>
    </w:p>
    <w:p w14:paraId="3ECFD950" w14:textId="77777777" w:rsidR="00424A47" w:rsidRPr="006B0843" w:rsidRDefault="00424A47" w:rsidP="006B620E">
      <w:pPr>
        <w:pStyle w:val="ListParagraph"/>
        <w:numPr>
          <w:ilvl w:val="0"/>
          <w:numId w:val="1"/>
        </w:numPr>
        <w:ind w:left="567" w:hanging="567"/>
        <w:jc w:val="both"/>
        <w:rPr>
          <w:rFonts w:asciiTheme="minorBidi" w:hAnsiTheme="minorBidi"/>
        </w:rPr>
      </w:pPr>
      <w:r w:rsidRPr="006B0843">
        <w:rPr>
          <w:rFonts w:asciiTheme="minorBidi" w:hAnsiTheme="minorBidi"/>
        </w:rPr>
        <w:t>Where a disclosure includes multiple references to the relevant information, the required cautionary statement need only appear with the required prominence and proximity once, being where the relevant information first appears in the disclosure.</w:t>
      </w:r>
    </w:p>
    <w:p w14:paraId="46D0980C" w14:textId="77777777" w:rsidR="00424A47" w:rsidRPr="006B0843" w:rsidRDefault="00424A47" w:rsidP="006B620E">
      <w:pPr>
        <w:pStyle w:val="ListParagraph"/>
        <w:ind w:left="567" w:hanging="567"/>
        <w:rPr>
          <w:rFonts w:asciiTheme="minorBidi" w:hAnsiTheme="minorBidi"/>
        </w:rPr>
      </w:pPr>
    </w:p>
    <w:p w14:paraId="4B65D0DC" w14:textId="093F306A" w:rsidR="00424A47" w:rsidRPr="006B0843" w:rsidRDefault="00F32E9F" w:rsidP="006B620E">
      <w:pPr>
        <w:pStyle w:val="ListParagraph"/>
        <w:numPr>
          <w:ilvl w:val="0"/>
          <w:numId w:val="1"/>
        </w:numPr>
        <w:ind w:left="567" w:hanging="567"/>
        <w:jc w:val="both"/>
        <w:rPr>
          <w:rFonts w:asciiTheme="minorBidi" w:hAnsiTheme="minorBidi"/>
        </w:rPr>
      </w:pPr>
      <w:r w:rsidRPr="006B0843">
        <w:rPr>
          <w:rFonts w:asciiTheme="minorBidi" w:hAnsiTheme="minorBidi"/>
        </w:rPr>
        <w:t xml:space="preserve">To the extent that the cautionary statement appears more than once, the Mining Reporting Entity should ensure that its presentation is consistent. </w:t>
      </w:r>
      <w:r w:rsidR="00F33D39">
        <w:rPr>
          <w:rFonts w:asciiTheme="minorBidi" w:hAnsiTheme="minorBidi"/>
        </w:rPr>
        <w:t xml:space="preserve"> </w:t>
      </w:r>
      <w:r w:rsidRPr="006B0843">
        <w:rPr>
          <w:rFonts w:asciiTheme="minorBidi" w:hAnsiTheme="minorBidi"/>
        </w:rPr>
        <w:t>For example, i</w:t>
      </w:r>
      <w:r w:rsidR="00424A47" w:rsidRPr="006B0843">
        <w:rPr>
          <w:rFonts w:asciiTheme="minorBidi" w:hAnsiTheme="minorBidi"/>
        </w:rPr>
        <w:t xml:space="preserve">f a Mining Reporting Entity uses a smaller or less legible font when it first refers to the relevant information than in subsequent references, such that its cautionary statement is therefore smaller or less legible compared to the subsequent </w:t>
      </w:r>
      <w:r w:rsidRPr="006B0843">
        <w:rPr>
          <w:rFonts w:asciiTheme="minorBidi" w:hAnsiTheme="minorBidi"/>
        </w:rPr>
        <w:t>information</w:t>
      </w:r>
      <w:r w:rsidR="00424A47" w:rsidRPr="006B0843">
        <w:rPr>
          <w:rFonts w:asciiTheme="minorBidi" w:hAnsiTheme="minorBidi"/>
        </w:rPr>
        <w:t>, the Mining Reporting Entity will be regarded by the FSRA as not promoting the purpose or intent of the relevant</w:t>
      </w:r>
      <w:r w:rsidRPr="006B0843">
        <w:rPr>
          <w:rFonts w:asciiTheme="minorBidi" w:hAnsiTheme="minorBidi"/>
        </w:rPr>
        <w:t xml:space="preserve"> Rule</w:t>
      </w:r>
      <w:r w:rsidR="00424A47" w:rsidRPr="006B0843">
        <w:rPr>
          <w:rFonts w:asciiTheme="minorBidi" w:hAnsiTheme="minorBidi"/>
        </w:rPr>
        <w:t xml:space="preserve">.  Similarly, if a Mining Reporting Entity first refers to the relevant </w:t>
      </w:r>
      <w:r w:rsidR="00424A47" w:rsidRPr="006B0843">
        <w:rPr>
          <w:rFonts w:asciiTheme="minorBidi" w:hAnsiTheme="minorBidi"/>
        </w:rPr>
        <w:lastRenderedPageBreak/>
        <w:t>information in plain font so that its cautionary statement is also in plain font, but then uses highlighted or emphasised text for subsequent references to the relevant information, the Mining Reporting Entity will be regarded by the FSRA a</w:t>
      </w:r>
      <w:r w:rsidRPr="006B0843">
        <w:rPr>
          <w:rFonts w:asciiTheme="minorBidi" w:hAnsiTheme="minorBidi"/>
        </w:rPr>
        <w:t>s</w:t>
      </w:r>
      <w:r w:rsidR="00424A47" w:rsidRPr="006B0843">
        <w:rPr>
          <w:rFonts w:asciiTheme="minorBidi" w:hAnsiTheme="minorBidi"/>
        </w:rPr>
        <w:t xml:space="preserve"> not promoting the purpose or intent of the relevant Rule.</w:t>
      </w:r>
    </w:p>
    <w:p w14:paraId="1C0A7339" w14:textId="77777777" w:rsidR="00424A47" w:rsidRPr="006B0843" w:rsidRDefault="00424A47" w:rsidP="00424A47">
      <w:pPr>
        <w:pStyle w:val="ListParagraph"/>
        <w:rPr>
          <w:rFonts w:asciiTheme="minorBidi" w:hAnsiTheme="minorBidi"/>
        </w:rPr>
      </w:pPr>
    </w:p>
    <w:p w14:paraId="60D7DE63" w14:textId="51B52093" w:rsidR="00424A47" w:rsidRPr="006B0843" w:rsidRDefault="00424A47" w:rsidP="006B620E">
      <w:pPr>
        <w:pStyle w:val="ListParagraph"/>
        <w:numPr>
          <w:ilvl w:val="0"/>
          <w:numId w:val="1"/>
        </w:numPr>
        <w:ind w:left="567" w:hanging="567"/>
        <w:jc w:val="both"/>
        <w:rPr>
          <w:rFonts w:asciiTheme="minorBidi" w:hAnsiTheme="minorBidi"/>
        </w:rPr>
      </w:pPr>
      <w:r w:rsidRPr="006B0843">
        <w:rPr>
          <w:rFonts w:asciiTheme="minorBidi" w:hAnsiTheme="minorBidi"/>
        </w:rPr>
        <w:t>After the first use of a cautionary statement within a disclosure, it is sufficient for any subsequent reference to the estimate of Prospective Resources to include a footnote or endnote that cross-refers to the cautionary statement (which includes the page number where the prominent cautionary statement appears)</w:t>
      </w:r>
      <w:r w:rsidR="00F32E9F" w:rsidRPr="006B0843">
        <w:rPr>
          <w:rFonts w:asciiTheme="minorBidi" w:hAnsiTheme="minorBidi"/>
        </w:rPr>
        <w:t>.</w:t>
      </w:r>
      <w:r w:rsidRPr="006B0843">
        <w:rPr>
          <w:rFonts w:asciiTheme="minorBidi" w:hAnsiTheme="minorBidi"/>
          <w:vertAlign w:val="superscript"/>
        </w:rPr>
        <w:footnoteReference w:id="18"/>
      </w:r>
      <w:r w:rsidRPr="006B0843">
        <w:rPr>
          <w:rFonts w:asciiTheme="minorBidi" w:hAnsiTheme="minorBidi"/>
        </w:rPr>
        <w:t xml:space="preserve">  </w:t>
      </w:r>
    </w:p>
    <w:p w14:paraId="6168DDBC" w14:textId="6FFC8F07" w:rsidR="00353739" w:rsidRPr="006B0843" w:rsidRDefault="00353739" w:rsidP="00353739">
      <w:pPr>
        <w:pStyle w:val="ListParagraph"/>
        <w:ind w:left="426"/>
        <w:jc w:val="both"/>
        <w:rPr>
          <w:rFonts w:asciiTheme="minorBidi" w:hAnsiTheme="minorBidi"/>
        </w:rPr>
      </w:pPr>
    </w:p>
    <w:p w14:paraId="33D8FA84" w14:textId="25156121" w:rsidR="00EF1A7D" w:rsidRPr="006B0843" w:rsidRDefault="00EF1A7D" w:rsidP="00EF1A7D">
      <w:pPr>
        <w:pStyle w:val="Heading2"/>
        <w:tabs>
          <w:tab w:val="clear" w:pos="720"/>
          <w:tab w:val="num" w:pos="0"/>
        </w:tabs>
        <w:ind w:left="0" w:firstLine="0"/>
        <w:rPr>
          <w:rFonts w:asciiTheme="minorBidi" w:hAnsiTheme="minorBidi" w:cstheme="minorBidi"/>
          <w:sz w:val="22"/>
          <w:szCs w:val="22"/>
        </w:rPr>
      </w:pPr>
      <w:bookmarkStart w:id="46" w:name="_Toc43963873"/>
      <w:r w:rsidRPr="006B0843">
        <w:rPr>
          <w:rFonts w:asciiTheme="minorBidi" w:hAnsiTheme="minorBidi" w:cstheme="minorBidi"/>
          <w:sz w:val="22"/>
          <w:szCs w:val="22"/>
        </w:rPr>
        <w:t>Non acceptance of historical estimates</w:t>
      </w:r>
      <w:bookmarkEnd w:id="46"/>
    </w:p>
    <w:p w14:paraId="17FCA7F5" w14:textId="77777777" w:rsidR="00EF1A7D" w:rsidRPr="006B0843" w:rsidRDefault="00EF1A7D" w:rsidP="006B620E">
      <w:pPr>
        <w:pStyle w:val="ListParagraph"/>
        <w:numPr>
          <w:ilvl w:val="0"/>
          <w:numId w:val="1"/>
        </w:numPr>
        <w:ind w:left="567" w:hanging="567"/>
        <w:jc w:val="both"/>
        <w:rPr>
          <w:rFonts w:asciiTheme="minorBidi" w:hAnsiTheme="minorBidi"/>
        </w:rPr>
      </w:pPr>
      <w:r w:rsidRPr="006B0843">
        <w:rPr>
          <w:rFonts w:asciiTheme="minorBidi" w:hAnsiTheme="minorBidi"/>
        </w:rPr>
        <w:t xml:space="preserve">Pursuant to Rule 11.12.4, the FSRA does not allow a disclosure by a Mining Reporting Entity that includes a statement about Exploration Targets, Exploration Results, Mineral Resources, Ore Reserves, Production </w:t>
      </w:r>
      <w:proofErr w:type="gramStart"/>
      <w:r w:rsidRPr="006B0843">
        <w:rPr>
          <w:rFonts w:asciiTheme="minorBidi" w:hAnsiTheme="minorBidi"/>
        </w:rPr>
        <w:t>Targets</w:t>
      </w:r>
      <w:proofErr w:type="gramEnd"/>
      <w:r w:rsidRPr="006B0843">
        <w:rPr>
          <w:rFonts w:asciiTheme="minorBidi" w:hAnsiTheme="minorBidi"/>
        </w:rPr>
        <w:t xml:space="preserve"> or a Technical Study to include Historical Estimates.  Historical Estimates are estimates of Mineralisation prepared prior to the publication of the first editions of the JORC Code, the SAMREC Code and NI 43-1-1.  </w:t>
      </w:r>
    </w:p>
    <w:p w14:paraId="34B310D0" w14:textId="77777777" w:rsidR="00EF1A7D" w:rsidRPr="006B0843" w:rsidRDefault="00EF1A7D" w:rsidP="006B620E">
      <w:pPr>
        <w:pStyle w:val="ListParagraph"/>
        <w:ind w:left="567" w:hanging="567"/>
        <w:jc w:val="both"/>
        <w:rPr>
          <w:rFonts w:asciiTheme="minorBidi" w:hAnsiTheme="minorBidi"/>
        </w:rPr>
      </w:pPr>
    </w:p>
    <w:p w14:paraId="5F925303" w14:textId="1C000139" w:rsidR="00EF1A7D" w:rsidRPr="006B0843" w:rsidRDefault="00EF1A7D" w:rsidP="006B620E">
      <w:pPr>
        <w:pStyle w:val="ListParagraph"/>
        <w:numPr>
          <w:ilvl w:val="0"/>
          <w:numId w:val="1"/>
        </w:numPr>
        <w:spacing w:after="240" w:line="246" w:lineRule="atLeast"/>
        <w:ind w:left="567" w:hanging="567"/>
        <w:jc w:val="both"/>
        <w:rPr>
          <w:rFonts w:asciiTheme="minorBidi" w:hAnsiTheme="minorBidi"/>
        </w:rPr>
      </w:pPr>
      <w:r w:rsidRPr="006B0843">
        <w:rPr>
          <w:rFonts w:asciiTheme="minorBidi" w:hAnsiTheme="minorBidi"/>
        </w:rPr>
        <w:t xml:space="preserve">It is FSRA’s expectation that a Mining Reporting Entity wishing to disclose Historical Estimates </w:t>
      </w:r>
      <w:r w:rsidR="00F32E9F" w:rsidRPr="006B0843">
        <w:rPr>
          <w:rFonts w:asciiTheme="minorBidi" w:hAnsiTheme="minorBidi"/>
        </w:rPr>
        <w:t>will</w:t>
      </w:r>
      <w:r w:rsidRPr="006B0843">
        <w:rPr>
          <w:rFonts w:asciiTheme="minorBidi" w:hAnsiTheme="minorBidi"/>
        </w:rPr>
        <w:t xml:space="preserve"> first verify them against a Mining Reporting Standard.</w:t>
      </w:r>
    </w:p>
    <w:p w14:paraId="1EAAB494" w14:textId="1C07A00C" w:rsidR="000B6DCC" w:rsidRPr="006B0843" w:rsidRDefault="000B6DCC" w:rsidP="000B6DCC">
      <w:pPr>
        <w:pStyle w:val="Heading2"/>
        <w:tabs>
          <w:tab w:val="clear" w:pos="720"/>
          <w:tab w:val="num" w:pos="0"/>
        </w:tabs>
        <w:ind w:left="0" w:firstLine="0"/>
        <w:rPr>
          <w:rFonts w:asciiTheme="minorBidi" w:hAnsiTheme="minorBidi" w:cstheme="minorBidi"/>
          <w:sz w:val="22"/>
          <w:szCs w:val="22"/>
        </w:rPr>
      </w:pPr>
      <w:bookmarkStart w:id="47" w:name="_Toc43963874"/>
      <w:r w:rsidRPr="006B0843">
        <w:rPr>
          <w:rFonts w:asciiTheme="minorBidi" w:hAnsiTheme="minorBidi" w:cstheme="minorBidi"/>
          <w:sz w:val="22"/>
          <w:szCs w:val="22"/>
        </w:rPr>
        <w:t>Disclosure against Table 1 of JORC Code / SAMREC Code</w:t>
      </w:r>
      <w:bookmarkEnd w:id="47"/>
    </w:p>
    <w:p w14:paraId="3277B846" w14:textId="77777777" w:rsidR="00C66086" w:rsidRPr="006B0843" w:rsidRDefault="000B6DCC" w:rsidP="006B620E">
      <w:pPr>
        <w:pStyle w:val="ListParagraph"/>
        <w:numPr>
          <w:ilvl w:val="0"/>
          <w:numId w:val="1"/>
        </w:numPr>
        <w:spacing w:after="240" w:line="246" w:lineRule="atLeast"/>
        <w:ind w:left="567" w:hanging="567"/>
        <w:jc w:val="both"/>
        <w:rPr>
          <w:rFonts w:asciiTheme="minorBidi" w:hAnsiTheme="minorBidi"/>
        </w:rPr>
      </w:pPr>
      <w:r w:rsidRPr="006B0843">
        <w:rPr>
          <w:rFonts w:asciiTheme="minorBidi" w:hAnsiTheme="minorBidi"/>
        </w:rPr>
        <w:t>In practice, the requirements for a Mining Reporting Entity to disclose Exploration Results (Rule 11.4), an estimate of Mineral Resources (Rule 11.5) or an estimate of Ore Reserves (Rule 11.6) include an obligation (via Rule 11.2.1) for the Mining Reporting Entity to report against, for example, Table 1 of the JORC Code or SAMREC Code</w:t>
      </w:r>
      <w:r w:rsidR="00C66086" w:rsidRPr="006B0843">
        <w:rPr>
          <w:rFonts w:asciiTheme="minorBidi" w:hAnsiTheme="minorBidi"/>
        </w:rPr>
        <w:t xml:space="preserve"> on an ‘if not, why not’ basis</w:t>
      </w:r>
      <w:r w:rsidRPr="006B0843">
        <w:rPr>
          <w:rFonts w:asciiTheme="minorBidi" w:hAnsiTheme="minorBidi"/>
        </w:rPr>
        <w:t xml:space="preserve">. </w:t>
      </w:r>
    </w:p>
    <w:p w14:paraId="72384F23" w14:textId="77777777" w:rsidR="00C66086" w:rsidRPr="006B0843" w:rsidRDefault="00C66086" w:rsidP="006B620E">
      <w:pPr>
        <w:pStyle w:val="ListParagraph"/>
        <w:spacing w:after="240" w:line="246" w:lineRule="atLeast"/>
        <w:ind w:left="567" w:hanging="567"/>
        <w:jc w:val="both"/>
        <w:rPr>
          <w:rFonts w:asciiTheme="minorBidi" w:hAnsiTheme="minorBidi"/>
        </w:rPr>
      </w:pPr>
    </w:p>
    <w:p w14:paraId="4722C0F9" w14:textId="7C4E841F" w:rsidR="000B6DCC" w:rsidRPr="006B0843" w:rsidRDefault="00C66086" w:rsidP="006B620E">
      <w:pPr>
        <w:pStyle w:val="ListParagraph"/>
        <w:numPr>
          <w:ilvl w:val="0"/>
          <w:numId w:val="1"/>
        </w:numPr>
        <w:spacing w:after="240" w:line="246" w:lineRule="atLeast"/>
        <w:ind w:left="567" w:hanging="567"/>
        <w:jc w:val="both"/>
        <w:rPr>
          <w:rFonts w:asciiTheme="minorBidi" w:hAnsiTheme="minorBidi"/>
        </w:rPr>
      </w:pPr>
      <w:r w:rsidRPr="006B0843">
        <w:rPr>
          <w:rFonts w:asciiTheme="minorBidi" w:hAnsiTheme="minorBidi"/>
        </w:rPr>
        <w:t>This means that if a Mining Reporting Entity determines that one or more of the criteria in Table 1 of the JORC Code/SAMREC Code is not information material to the understanding of its disclosed information, the Mining Reporting Entity must identify those criteria and include in its disclosure a description of why it considers the information is not material to understanding the disclosed information.</w:t>
      </w:r>
    </w:p>
    <w:p w14:paraId="0E301EEE" w14:textId="77777777" w:rsidR="00C66086" w:rsidRPr="006B0843" w:rsidRDefault="00C66086" w:rsidP="00C66086">
      <w:pPr>
        <w:pStyle w:val="ListParagraph"/>
        <w:rPr>
          <w:rFonts w:asciiTheme="minorBidi" w:hAnsiTheme="minorBidi"/>
        </w:rPr>
      </w:pPr>
    </w:p>
    <w:p w14:paraId="1026ABFC" w14:textId="77777777" w:rsidR="00C66086" w:rsidRPr="006B0843" w:rsidRDefault="00C66086" w:rsidP="006B620E">
      <w:pPr>
        <w:pStyle w:val="ListParagraph"/>
        <w:numPr>
          <w:ilvl w:val="0"/>
          <w:numId w:val="1"/>
        </w:numPr>
        <w:spacing w:after="240" w:line="246" w:lineRule="atLeast"/>
        <w:ind w:left="567" w:hanging="567"/>
        <w:jc w:val="both"/>
        <w:rPr>
          <w:rFonts w:asciiTheme="minorBidi" w:hAnsiTheme="minorBidi"/>
        </w:rPr>
      </w:pPr>
      <w:r w:rsidRPr="006B0843">
        <w:rPr>
          <w:rFonts w:asciiTheme="minorBidi" w:hAnsiTheme="minorBidi"/>
        </w:rPr>
        <w:t xml:space="preserve">In such a circumstance, a Mining Reporting Standard cannot leave an item contained within Table 1 blank or state ‘not applicable/not relevant’, if it does not believe that the information is material to understanding the disclosed information.  Instead, the Mining Reporting Entity must include a clear statement as to why it is not material.  </w:t>
      </w:r>
    </w:p>
    <w:p w14:paraId="2E26D1A0" w14:textId="77777777" w:rsidR="00C66086" w:rsidRPr="006B0843" w:rsidRDefault="00C66086" w:rsidP="00C66086">
      <w:pPr>
        <w:pStyle w:val="ListParagraph"/>
        <w:rPr>
          <w:rFonts w:asciiTheme="minorBidi" w:hAnsiTheme="minorBidi"/>
        </w:rPr>
      </w:pPr>
    </w:p>
    <w:p w14:paraId="6B2F8D8C" w14:textId="28931285" w:rsidR="00C66086" w:rsidRPr="006B0843" w:rsidRDefault="00C66086" w:rsidP="006B620E">
      <w:pPr>
        <w:pStyle w:val="ListParagraph"/>
        <w:numPr>
          <w:ilvl w:val="0"/>
          <w:numId w:val="1"/>
        </w:numPr>
        <w:spacing w:after="240" w:line="246" w:lineRule="atLeast"/>
        <w:ind w:left="567" w:hanging="594"/>
        <w:jc w:val="both"/>
        <w:rPr>
          <w:rFonts w:asciiTheme="minorBidi" w:hAnsiTheme="minorBidi"/>
        </w:rPr>
      </w:pPr>
      <w:r w:rsidRPr="006B0843">
        <w:rPr>
          <w:rFonts w:asciiTheme="minorBidi" w:hAnsiTheme="minorBidi"/>
        </w:rPr>
        <w:t xml:space="preserve">The FSRA would also further draw the attention of Mining Reporting Entities to the guidance set out above in paragraphs 50-53 in relation to commercially sensitive information.  The FSRA reiterates that the same considerations apply in relation to the reporting against Table 1 considerations.   </w:t>
      </w:r>
    </w:p>
    <w:p w14:paraId="7B95A42A" w14:textId="68FCD921" w:rsidR="00353739" w:rsidRPr="006B0843" w:rsidRDefault="00353739" w:rsidP="00353739">
      <w:pPr>
        <w:pStyle w:val="Heading1"/>
        <w:keepLines w:val="0"/>
        <w:spacing w:before="0" w:after="240" w:line="246" w:lineRule="atLeast"/>
        <w:jc w:val="both"/>
        <w:rPr>
          <w:rFonts w:asciiTheme="minorBidi" w:hAnsiTheme="minorBidi" w:cstheme="minorBidi"/>
          <w:sz w:val="22"/>
          <w:szCs w:val="22"/>
        </w:rPr>
      </w:pPr>
      <w:bookmarkStart w:id="48" w:name="_Toc43963875"/>
      <w:r w:rsidRPr="006B0843">
        <w:rPr>
          <w:rFonts w:asciiTheme="minorBidi" w:hAnsiTheme="minorBidi" w:cstheme="minorBidi"/>
          <w:sz w:val="22"/>
          <w:szCs w:val="22"/>
        </w:rPr>
        <w:lastRenderedPageBreak/>
        <w:t>QUARTERLY DISCLOSURE OBLIGATIONS</w:t>
      </w:r>
      <w:bookmarkEnd w:id="48"/>
    </w:p>
    <w:p w14:paraId="660770B2" w14:textId="2EB0DB6C" w:rsidR="003073E5" w:rsidRPr="006B0843" w:rsidRDefault="003073E5" w:rsidP="003073E5">
      <w:pPr>
        <w:pStyle w:val="Heading2"/>
        <w:tabs>
          <w:tab w:val="clear" w:pos="720"/>
          <w:tab w:val="num" w:pos="0"/>
        </w:tabs>
        <w:ind w:left="0" w:firstLine="0"/>
        <w:rPr>
          <w:rFonts w:asciiTheme="minorBidi" w:hAnsiTheme="minorBidi" w:cstheme="minorBidi"/>
          <w:sz w:val="22"/>
          <w:szCs w:val="22"/>
        </w:rPr>
      </w:pPr>
      <w:bookmarkStart w:id="49" w:name="_Toc43963876"/>
      <w:r w:rsidRPr="006B0843">
        <w:rPr>
          <w:rFonts w:asciiTheme="minorBidi" w:hAnsiTheme="minorBidi" w:cstheme="minorBidi"/>
          <w:sz w:val="22"/>
          <w:szCs w:val="22"/>
        </w:rPr>
        <w:t>Quarterly Activity Reports</w:t>
      </w:r>
      <w:bookmarkEnd w:id="49"/>
    </w:p>
    <w:p w14:paraId="3758C731" w14:textId="58311053" w:rsidR="00353739" w:rsidRPr="006B0843" w:rsidRDefault="0044474F" w:rsidP="006B620E">
      <w:pPr>
        <w:pStyle w:val="ListParagraph"/>
        <w:numPr>
          <w:ilvl w:val="0"/>
          <w:numId w:val="1"/>
        </w:numPr>
        <w:ind w:left="567" w:hanging="594"/>
        <w:jc w:val="both"/>
        <w:rPr>
          <w:rFonts w:asciiTheme="minorBidi" w:hAnsiTheme="minorBidi"/>
        </w:rPr>
      </w:pPr>
      <w:r w:rsidRPr="006B0843">
        <w:rPr>
          <w:rFonts w:asciiTheme="minorBidi" w:hAnsiTheme="minorBidi"/>
        </w:rPr>
        <w:t xml:space="preserve">The FSRA requires </w:t>
      </w:r>
      <w:r w:rsidR="00B25384" w:rsidRPr="006B0843">
        <w:rPr>
          <w:rFonts w:asciiTheme="minorBidi" w:hAnsiTheme="minorBidi"/>
        </w:rPr>
        <w:t xml:space="preserve">Mining </w:t>
      </w:r>
      <w:r w:rsidRPr="006B0843">
        <w:rPr>
          <w:rFonts w:asciiTheme="minorBidi" w:hAnsiTheme="minorBidi"/>
        </w:rPr>
        <w:t xml:space="preserve">Exploration Reporting Entities and </w:t>
      </w:r>
      <w:r w:rsidR="00B25384" w:rsidRPr="006B0843">
        <w:rPr>
          <w:rFonts w:asciiTheme="minorBidi" w:hAnsiTheme="minorBidi"/>
        </w:rPr>
        <w:t xml:space="preserve">Mining </w:t>
      </w:r>
      <w:r w:rsidRPr="006B0843">
        <w:rPr>
          <w:rFonts w:asciiTheme="minorBidi" w:hAnsiTheme="minorBidi"/>
        </w:rPr>
        <w:t>Production Reporting Entities to disclose, on a quarterly basis, an update of the</w:t>
      </w:r>
      <w:r w:rsidR="00F32E9F" w:rsidRPr="006B0843">
        <w:rPr>
          <w:rFonts w:asciiTheme="minorBidi" w:hAnsiTheme="minorBidi"/>
        </w:rPr>
        <w:t>ir</w:t>
      </w:r>
      <w:r w:rsidRPr="006B0843">
        <w:rPr>
          <w:rFonts w:asciiTheme="minorBidi" w:hAnsiTheme="minorBidi"/>
        </w:rPr>
        <w:t xml:space="preserve"> activities. </w:t>
      </w:r>
      <w:r w:rsidR="00F33D39">
        <w:rPr>
          <w:rFonts w:asciiTheme="minorBidi" w:hAnsiTheme="minorBidi"/>
        </w:rPr>
        <w:t xml:space="preserve"> </w:t>
      </w:r>
      <w:r w:rsidR="00B25384" w:rsidRPr="006B0843">
        <w:rPr>
          <w:rFonts w:asciiTheme="minorBidi" w:hAnsiTheme="minorBidi"/>
        </w:rPr>
        <w:t xml:space="preserve">Mining </w:t>
      </w:r>
      <w:r w:rsidR="00353739" w:rsidRPr="006B0843">
        <w:rPr>
          <w:rFonts w:asciiTheme="minorBidi" w:hAnsiTheme="minorBidi"/>
        </w:rPr>
        <w:t>Exploration Reporting Entities are required, pursuant to Rule 1</w:t>
      </w:r>
      <w:r w:rsidR="00B25384" w:rsidRPr="006B0843">
        <w:rPr>
          <w:rFonts w:asciiTheme="minorBidi" w:hAnsiTheme="minorBidi"/>
        </w:rPr>
        <w:t>1</w:t>
      </w:r>
      <w:r w:rsidR="00353739" w:rsidRPr="006B0843">
        <w:rPr>
          <w:rFonts w:asciiTheme="minorBidi" w:hAnsiTheme="minorBidi"/>
        </w:rPr>
        <w:t>.</w:t>
      </w:r>
      <w:r w:rsidR="00B25384" w:rsidRPr="006B0843">
        <w:rPr>
          <w:rFonts w:asciiTheme="minorBidi" w:hAnsiTheme="minorBidi"/>
        </w:rPr>
        <w:t>10</w:t>
      </w:r>
      <w:r w:rsidR="00353739" w:rsidRPr="006B0843">
        <w:rPr>
          <w:rFonts w:asciiTheme="minorBidi" w:hAnsiTheme="minorBidi"/>
        </w:rPr>
        <w:t>.1, to disclose a quarterly report which provides, on a consolidated basis:</w:t>
      </w:r>
    </w:p>
    <w:p w14:paraId="1B3A373D" w14:textId="77777777" w:rsidR="00353739" w:rsidRPr="006B0843" w:rsidRDefault="00353739" w:rsidP="00353739">
      <w:pPr>
        <w:pStyle w:val="ListParagraph"/>
        <w:ind w:left="1440"/>
        <w:jc w:val="both"/>
        <w:rPr>
          <w:rFonts w:asciiTheme="minorBidi" w:hAnsiTheme="minorBidi"/>
        </w:rPr>
      </w:pPr>
    </w:p>
    <w:p w14:paraId="56E1DFD6" w14:textId="28775339" w:rsidR="00353739" w:rsidRPr="006B0843" w:rsidRDefault="00353739" w:rsidP="006B620E">
      <w:pPr>
        <w:pStyle w:val="ListParagraph"/>
        <w:numPr>
          <w:ilvl w:val="0"/>
          <w:numId w:val="18"/>
        </w:numPr>
        <w:ind w:left="1134" w:hanging="567"/>
        <w:jc w:val="both"/>
        <w:rPr>
          <w:rFonts w:asciiTheme="minorBidi" w:hAnsiTheme="minorBidi"/>
        </w:rPr>
      </w:pPr>
      <w:r w:rsidRPr="006B0843">
        <w:rPr>
          <w:rFonts w:asciiTheme="minorBidi" w:hAnsiTheme="minorBidi"/>
        </w:rPr>
        <w:t xml:space="preserve">details of its activities relating to </w:t>
      </w:r>
      <w:r w:rsidR="00B25384" w:rsidRPr="006B0843">
        <w:rPr>
          <w:rFonts w:asciiTheme="minorBidi" w:hAnsiTheme="minorBidi"/>
        </w:rPr>
        <w:t xml:space="preserve">mining </w:t>
      </w:r>
      <w:r w:rsidRPr="006B0843">
        <w:rPr>
          <w:rFonts w:asciiTheme="minorBidi" w:hAnsiTheme="minorBidi"/>
        </w:rPr>
        <w:t xml:space="preserve">Exploration, or a statement that there have been no activities relating to </w:t>
      </w:r>
      <w:r w:rsidR="00B25384" w:rsidRPr="006B0843">
        <w:rPr>
          <w:rFonts w:asciiTheme="minorBidi" w:hAnsiTheme="minorBidi"/>
        </w:rPr>
        <w:t xml:space="preserve">mining </w:t>
      </w:r>
      <w:r w:rsidRPr="006B0843">
        <w:rPr>
          <w:rFonts w:asciiTheme="minorBidi" w:hAnsiTheme="minorBidi"/>
        </w:rPr>
        <w:t>Exploration</w:t>
      </w:r>
      <w:r w:rsidR="00F32E9F" w:rsidRPr="006B0843">
        <w:rPr>
          <w:rFonts w:asciiTheme="minorBidi" w:hAnsiTheme="minorBidi"/>
        </w:rPr>
        <w:t xml:space="preserve"> (if there have not been any</w:t>
      </w:r>
      <w:proofErr w:type="gramStart"/>
      <w:r w:rsidR="00F32E9F" w:rsidRPr="006B0843">
        <w:rPr>
          <w:rFonts w:asciiTheme="minorBidi" w:hAnsiTheme="minorBidi"/>
        </w:rPr>
        <w:t>)</w:t>
      </w:r>
      <w:r w:rsidRPr="006B0843">
        <w:rPr>
          <w:rFonts w:asciiTheme="minorBidi" w:hAnsiTheme="minorBidi"/>
        </w:rPr>
        <w:t>;</w:t>
      </w:r>
      <w:proofErr w:type="gramEnd"/>
    </w:p>
    <w:p w14:paraId="128E57E8" w14:textId="3E3E6EB9" w:rsidR="00353739" w:rsidRPr="006B0843" w:rsidRDefault="00353739" w:rsidP="006B620E">
      <w:pPr>
        <w:pStyle w:val="ListParagraph"/>
        <w:ind w:left="1134" w:hanging="567"/>
        <w:jc w:val="both"/>
        <w:rPr>
          <w:rFonts w:asciiTheme="minorBidi" w:hAnsiTheme="minorBidi"/>
        </w:rPr>
      </w:pPr>
    </w:p>
    <w:p w14:paraId="3131B224" w14:textId="000F283D" w:rsidR="00353739" w:rsidRPr="006B0843" w:rsidRDefault="00353739" w:rsidP="006B620E">
      <w:pPr>
        <w:pStyle w:val="ListParagraph"/>
        <w:numPr>
          <w:ilvl w:val="0"/>
          <w:numId w:val="18"/>
        </w:numPr>
        <w:ind w:left="1134" w:hanging="567"/>
        <w:jc w:val="both"/>
        <w:rPr>
          <w:rFonts w:asciiTheme="minorBidi" w:hAnsiTheme="minorBidi"/>
        </w:rPr>
      </w:pPr>
      <w:r w:rsidRPr="006B0843">
        <w:rPr>
          <w:rFonts w:asciiTheme="minorBidi" w:hAnsiTheme="minorBidi"/>
        </w:rPr>
        <w:t xml:space="preserve">a summary of its activities relating to </w:t>
      </w:r>
      <w:r w:rsidR="00B25384" w:rsidRPr="006B0843">
        <w:rPr>
          <w:rFonts w:asciiTheme="minorBidi" w:hAnsiTheme="minorBidi"/>
        </w:rPr>
        <w:t>mining</w:t>
      </w:r>
      <w:r w:rsidRPr="006B0843">
        <w:rPr>
          <w:rFonts w:asciiTheme="minorBidi" w:hAnsiTheme="minorBidi"/>
        </w:rPr>
        <w:t xml:space="preserve"> </w:t>
      </w:r>
      <w:r w:rsidR="0044474F" w:rsidRPr="006B0843">
        <w:rPr>
          <w:rFonts w:asciiTheme="minorBidi" w:hAnsiTheme="minorBidi"/>
        </w:rPr>
        <w:t>p</w:t>
      </w:r>
      <w:r w:rsidRPr="006B0843">
        <w:rPr>
          <w:rFonts w:asciiTheme="minorBidi" w:hAnsiTheme="minorBidi"/>
        </w:rPr>
        <w:t xml:space="preserve">roduction and development, or a statement that there have been no activities relating to </w:t>
      </w:r>
      <w:r w:rsidR="00B25384" w:rsidRPr="006B0843">
        <w:rPr>
          <w:rFonts w:asciiTheme="minorBidi" w:hAnsiTheme="minorBidi"/>
        </w:rPr>
        <w:t>mining</w:t>
      </w:r>
      <w:r w:rsidRPr="006B0843">
        <w:rPr>
          <w:rFonts w:asciiTheme="minorBidi" w:hAnsiTheme="minorBidi"/>
        </w:rPr>
        <w:t xml:space="preserve"> </w:t>
      </w:r>
      <w:r w:rsidR="0044474F" w:rsidRPr="006B0843">
        <w:rPr>
          <w:rFonts w:asciiTheme="minorBidi" w:hAnsiTheme="minorBidi"/>
        </w:rPr>
        <w:t>p</w:t>
      </w:r>
      <w:r w:rsidRPr="006B0843">
        <w:rPr>
          <w:rFonts w:asciiTheme="minorBidi" w:hAnsiTheme="minorBidi"/>
        </w:rPr>
        <w:t>roduction and development</w:t>
      </w:r>
      <w:r w:rsidR="00F32E9F" w:rsidRPr="006B0843">
        <w:rPr>
          <w:rFonts w:asciiTheme="minorBidi" w:hAnsiTheme="minorBidi"/>
        </w:rPr>
        <w:t xml:space="preserve"> (if there have not been any</w:t>
      </w:r>
      <w:proofErr w:type="gramStart"/>
      <w:r w:rsidR="00F32E9F" w:rsidRPr="006B0843">
        <w:rPr>
          <w:rFonts w:asciiTheme="minorBidi" w:hAnsiTheme="minorBidi"/>
        </w:rPr>
        <w:t>)</w:t>
      </w:r>
      <w:r w:rsidRPr="006B0843">
        <w:rPr>
          <w:rFonts w:asciiTheme="minorBidi" w:hAnsiTheme="minorBidi"/>
        </w:rPr>
        <w:t>;</w:t>
      </w:r>
      <w:proofErr w:type="gramEnd"/>
    </w:p>
    <w:p w14:paraId="233C1085" w14:textId="77777777" w:rsidR="00353739" w:rsidRPr="006B0843" w:rsidRDefault="00353739" w:rsidP="006B620E">
      <w:pPr>
        <w:pStyle w:val="ListParagraph"/>
        <w:ind w:left="1134" w:hanging="567"/>
        <w:rPr>
          <w:rFonts w:asciiTheme="minorBidi" w:hAnsiTheme="minorBidi"/>
        </w:rPr>
      </w:pPr>
    </w:p>
    <w:p w14:paraId="30D54407" w14:textId="4EB33512" w:rsidR="00353739" w:rsidRPr="006B0843" w:rsidRDefault="00353739" w:rsidP="006B620E">
      <w:pPr>
        <w:pStyle w:val="ListParagraph"/>
        <w:numPr>
          <w:ilvl w:val="0"/>
          <w:numId w:val="18"/>
        </w:numPr>
        <w:ind w:left="1134" w:hanging="567"/>
        <w:jc w:val="both"/>
        <w:rPr>
          <w:rFonts w:asciiTheme="minorBidi" w:hAnsiTheme="minorBidi"/>
        </w:rPr>
      </w:pPr>
      <w:r w:rsidRPr="006B0843">
        <w:rPr>
          <w:rFonts w:asciiTheme="minorBidi" w:hAnsiTheme="minorBidi"/>
        </w:rPr>
        <w:t xml:space="preserve">a summary of the expenditure it has incurred in relation to </w:t>
      </w:r>
      <w:r w:rsidR="00B25384" w:rsidRPr="006B0843">
        <w:rPr>
          <w:rFonts w:asciiTheme="minorBidi" w:hAnsiTheme="minorBidi"/>
        </w:rPr>
        <w:t>mining</w:t>
      </w:r>
      <w:r w:rsidRPr="006B0843">
        <w:rPr>
          <w:rFonts w:asciiTheme="minorBidi" w:hAnsiTheme="minorBidi"/>
        </w:rPr>
        <w:t xml:space="preserve"> Exploration or </w:t>
      </w:r>
      <w:r w:rsidR="00B25384" w:rsidRPr="006B0843">
        <w:rPr>
          <w:rFonts w:asciiTheme="minorBidi" w:hAnsiTheme="minorBidi"/>
        </w:rPr>
        <w:t>mining</w:t>
      </w:r>
      <w:r w:rsidRPr="006B0843">
        <w:rPr>
          <w:rFonts w:asciiTheme="minorBidi" w:hAnsiTheme="minorBidi"/>
        </w:rPr>
        <w:t xml:space="preserve"> Production activities; and</w:t>
      </w:r>
    </w:p>
    <w:p w14:paraId="1EF0F488" w14:textId="77777777" w:rsidR="00353739" w:rsidRPr="006B0843" w:rsidRDefault="00353739" w:rsidP="006B620E">
      <w:pPr>
        <w:pStyle w:val="ListParagraph"/>
        <w:ind w:left="1134" w:hanging="567"/>
        <w:rPr>
          <w:rFonts w:asciiTheme="minorBidi" w:hAnsiTheme="minorBidi"/>
        </w:rPr>
      </w:pPr>
    </w:p>
    <w:p w14:paraId="6C7A47A1" w14:textId="218A05A0" w:rsidR="00353739" w:rsidRPr="006B0843" w:rsidRDefault="00353739" w:rsidP="006B620E">
      <w:pPr>
        <w:pStyle w:val="ListParagraph"/>
        <w:numPr>
          <w:ilvl w:val="0"/>
          <w:numId w:val="18"/>
        </w:numPr>
        <w:ind w:left="1134" w:hanging="567"/>
        <w:jc w:val="both"/>
        <w:rPr>
          <w:rFonts w:asciiTheme="minorBidi" w:hAnsiTheme="minorBidi"/>
        </w:rPr>
      </w:pPr>
      <w:r w:rsidRPr="006B0843">
        <w:rPr>
          <w:rFonts w:asciiTheme="minorBidi" w:hAnsiTheme="minorBidi"/>
        </w:rPr>
        <w:t xml:space="preserve">details of the </w:t>
      </w:r>
      <w:r w:rsidR="00B25384" w:rsidRPr="006B0843">
        <w:rPr>
          <w:rFonts w:asciiTheme="minorBidi" w:hAnsiTheme="minorBidi"/>
        </w:rPr>
        <w:t>Mining</w:t>
      </w:r>
      <w:r w:rsidRPr="006B0843">
        <w:rPr>
          <w:rFonts w:asciiTheme="minorBidi" w:hAnsiTheme="minorBidi"/>
        </w:rPr>
        <w:t xml:space="preserve"> </w:t>
      </w:r>
      <w:r w:rsidR="00B25384" w:rsidRPr="006B0843">
        <w:rPr>
          <w:rFonts w:asciiTheme="minorBidi" w:hAnsiTheme="minorBidi"/>
        </w:rPr>
        <w:t>T</w:t>
      </w:r>
      <w:r w:rsidRPr="006B0843">
        <w:rPr>
          <w:rFonts w:asciiTheme="minorBidi" w:hAnsiTheme="minorBidi"/>
        </w:rPr>
        <w:t xml:space="preserve">enements, and the beneficial interests in farm-in and farm-out agreements, held by the </w:t>
      </w:r>
      <w:r w:rsidR="00B25384" w:rsidRPr="006B0843">
        <w:rPr>
          <w:rFonts w:asciiTheme="minorBidi" w:hAnsiTheme="minorBidi"/>
        </w:rPr>
        <w:t>Mining Exploration</w:t>
      </w:r>
      <w:r w:rsidRPr="006B0843">
        <w:rPr>
          <w:rFonts w:asciiTheme="minorBidi" w:hAnsiTheme="minorBidi"/>
        </w:rPr>
        <w:t xml:space="preserve"> Reporting Entity as at the end of the relevant quarter, and any changes over the quarter. </w:t>
      </w:r>
    </w:p>
    <w:p w14:paraId="5B1D3A7F" w14:textId="0AD7B8CA" w:rsidR="00353739" w:rsidRPr="006B0843" w:rsidRDefault="00353739" w:rsidP="00353739">
      <w:pPr>
        <w:pStyle w:val="ListParagraph"/>
        <w:ind w:left="426"/>
        <w:jc w:val="both"/>
        <w:rPr>
          <w:rFonts w:asciiTheme="minorBidi" w:hAnsiTheme="minorBidi"/>
        </w:rPr>
      </w:pPr>
    </w:p>
    <w:p w14:paraId="28AAFB19" w14:textId="01D93D35" w:rsidR="00353739" w:rsidRPr="006B0843" w:rsidRDefault="00B25384" w:rsidP="006B620E">
      <w:pPr>
        <w:pStyle w:val="ListParagraph"/>
        <w:numPr>
          <w:ilvl w:val="0"/>
          <w:numId w:val="1"/>
        </w:numPr>
        <w:ind w:left="567" w:hanging="567"/>
        <w:jc w:val="both"/>
        <w:rPr>
          <w:rFonts w:asciiTheme="minorBidi" w:hAnsiTheme="minorBidi"/>
        </w:rPr>
      </w:pPr>
      <w:r w:rsidRPr="006B0843">
        <w:rPr>
          <w:rFonts w:asciiTheme="minorBidi" w:hAnsiTheme="minorBidi"/>
        </w:rPr>
        <w:t>Mining</w:t>
      </w:r>
      <w:r w:rsidR="0044474F" w:rsidRPr="006B0843">
        <w:rPr>
          <w:rFonts w:asciiTheme="minorBidi" w:hAnsiTheme="minorBidi"/>
        </w:rPr>
        <w:t xml:space="preserve"> Production Reporting Entities are required, pursuant to Rule 1</w:t>
      </w:r>
      <w:r w:rsidRPr="006B0843">
        <w:rPr>
          <w:rFonts w:asciiTheme="minorBidi" w:hAnsiTheme="minorBidi"/>
        </w:rPr>
        <w:t>1</w:t>
      </w:r>
      <w:r w:rsidR="0044474F" w:rsidRPr="006B0843">
        <w:rPr>
          <w:rFonts w:asciiTheme="minorBidi" w:hAnsiTheme="minorBidi"/>
        </w:rPr>
        <w:t>.1</w:t>
      </w:r>
      <w:r w:rsidRPr="006B0843">
        <w:rPr>
          <w:rFonts w:asciiTheme="minorBidi" w:hAnsiTheme="minorBidi"/>
        </w:rPr>
        <w:t>0</w:t>
      </w:r>
      <w:r w:rsidR="0044474F" w:rsidRPr="006B0843">
        <w:rPr>
          <w:rFonts w:asciiTheme="minorBidi" w:hAnsiTheme="minorBidi"/>
        </w:rPr>
        <w:t>.3, to disclose a quarterly report which provides, on a consolidated basis:</w:t>
      </w:r>
    </w:p>
    <w:p w14:paraId="33796FE5" w14:textId="2D2DBE43" w:rsidR="0044474F" w:rsidRPr="006B0843" w:rsidRDefault="0044474F" w:rsidP="0044474F">
      <w:pPr>
        <w:jc w:val="both"/>
        <w:rPr>
          <w:rFonts w:asciiTheme="minorBidi" w:hAnsiTheme="minorBidi"/>
        </w:rPr>
      </w:pPr>
    </w:p>
    <w:p w14:paraId="4EE8DD37" w14:textId="2B220C37" w:rsidR="0044474F" w:rsidRPr="006B0843" w:rsidRDefault="0044474F" w:rsidP="006B620E">
      <w:pPr>
        <w:pStyle w:val="ListParagraph"/>
        <w:numPr>
          <w:ilvl w:val="0"/>
          <w:numId w:val="19"/>
        </w:numPr>
        <w:ind w:left="1134" w:hanging="567"/>
        <w:jc w:val="both"/>
        <w:rPr>
          <w:rFonts w:asciiTheme="minorBidi" w:hAnsiTheme="minorBidi"/>
        </w:rPr>
      </w:pPr>
      <w:r w:rsidRPr="006B0843">
        <w:rPr>
          <w:rFonts w:asciiTheme="minorBidi" w:hAnsiTheme="minorBidi"/>
        </w:rPr>
        <w:t xml:space="preserve">details of its activities relating to </w:t>
      </w:r>
      <w:r w:rsidR="00B25384" w:rsidRPr="006B0843">
        <w:rPr>
          <w:rFonts w:asciiTheme="minorBidi" w:hAnsiTheme="minorBidi"/>
        </w:rPr>
        <w:t>mining</w:t>
      </w:r>
      <w:r w:rsidRPr="006B0843">
        <w:rPr>
          <w:rFonts w:asciiTheme="minorBidi" w:hAnsiTheme="minorBidi"/>
        </w:rPr>
        <w:t xml:space="preserve"> production and development, or a statement that there have been no activities relating to </w:t>
      </w:r>
      <w:r w:rsidR="00B25384" w:rsidRPr="006B0843">
        <w:rPr>
          <w:rFonts w:asciiTheme="minorBidi" w:hAnsiTheme="minorBidi"/>
        </w:rPr>
        <w:t>mining</w:t>
      </w:r>
      <w:r w:rsidRPr="006B0843">
        <w:rPr>
          <w:rFonts w:asciiTheme="minorBidi" w:hAnsiTheme="minorBidi"/>
        </w:rPr>
        <w:t xml:space="preserve"> production and development</w:t>
      </w:r>
      <w:r w:rsidR="00F32E9F" w:rsidRPr="006B0843">
        <w:rPr>
          <w:rFonts w:asciiTheme="minorBidi" w:hAnsiTheme="minorBidi"/>
        </w:rPr>
        <w:t xml:space="preserve"> (if there have not been any</w:t>
      </w:r>
      <w:proofErr w:type="gramStart"/>
      <w:r w:rsidR="00F32E9F" w:rsidRPr="006B0843">
        <w:rPr>
          <w:rFonts w:asciiTheme="minorBidi" w:hAnsiTheme="minorBidi"/>
        </w:rPr>
        <w:t>)</w:t>
      </w:r>
      <w:r w:rsidRPr="006B0843">
        <w:rPr>
          <w:rFonts w:asciiTheme="minorBidi" w:hAnsiTheme="minorBidi"/>
        </w:rPr>
        <w:t>;</w:t>
      </w:r>
      <w:proofErr w:type="gramEnd"/>
    </w:p>
    <w:p w14:paraId="181DCD62" w14:textId="77777777" w:rsidR="0044474F" w:rsidRPr="006B0843" w:rsidRDefault="0044474F" w:rsidP="006B620E">
      <w:pPr>
        <w:pStyle w:val="ListParagraph"/>
        <w:ind w:left="1134" w:hanging="567"/>
        <w:jc w:val="both"/>
        <w:rPr>
          <w:rFonts w:asciiTheme="minorBidi" w:hAnsiTheme="minorBidi"/>
        </w:rPr>
      </w:pPr>
    </w:p>
    <w:p w14:paraId="4A56F936" w14:textId="10280A9C" w:rsidR="0044474F" w:rsidRPr="006B0843" w:rsidRDefault="0044474F" w:rsidP="006B620E">
      <w:pPr>
        <w:pStyle w:val="ListParagraph"/>
        <w:numPr>
          <w:ilvl w:val="0"/>
          <w:numId w:val="19"/>
        </w:numPr>
        <w:ind w:left="1134" w:hanging="567"/>
        <w:jc w:val="both"/>
        <w:rPr>
          <w:rFonts w:asciiTheme="minorBidi" w:hAnsiTheme="minorBidi"/>
        </w:rPr>
      </w:pPr>
      <w:r w:rsidRPr="006B0843">
        <w:rPr>
          <w:rFonts w:asciiTheme="minorBidi" w:hAnsiTheme="minorBidi"/>
        </w:rPr>
        <w:t xml:space="preserve">a summary of its activities relating to </w:t>
      </w:r>
      <w:r w:rsidR="00B25384" w:rsidRPr="006B0843">
        <w:rPr>
          <w:rFonts w:asciiTheme="minorBidi" w:hAnsiTheme="minorBidi"/>
        </w:rPr>
        <w:t>mining</w:t>
      </w:r>
      <w:r w:rsidRPr="006B0843">
        <w:rPr>
          <w:rFonts w:asciiTheme="minorBidi" w:hAnsiTheme="minorBidi"/>
        </w:rPr>
        <w:t xml:space="preserve"> Exploration, or a statement that there have been no activities relating to </w:t>
      </w:r>
      <w:r w:rsidR="00B25384" w:rsidRPr="006B0843">
        <w:rPr>
          <w:rFonts w:asciiTheme="minorBidi" w:hAnsiTheme="minorBidi"/>
        </w:rPr>
        <w:t>mining</w:t>
      </w:r>
      <w:r w:rsidRPr="006B0843">
        <w:rPr>
          <w:rFonts w:asciiTheme="minorBidi" w:hAnsiTheme="minorBidi"/>
        </w:rPr>
        <w:t xml:space="preserve"> Exploration</w:t>
      </w:r>
      <w:r w:rsidR="00F32E9F" w:rsidRPr="006B0843">
        <w:rPr>
          <w:rFonts w:asciiTheme="minorBidi" w:hAnsiTheme="minorBidi"/>
        </w:rPr>
        <w:t xml:space="preserve"> (if there have not been any)</w:t>
      </w:r>
      <w:r w:rsidRPr="006B0843">
        <w:rPr>
          <w:rFonts w:asciiTheme="minorBidi" w:hAnsiTheme="minorBidi"/>
        </w:rPr>
        <w:t>; and</w:t>
      </w:r>
    </w:p>
    <w:p w14:paraId="6512E89B" w14:textId="77777777" w:rsidR="0044474F" w:rsidRPr="006B0843" w:rsidRDefault="0044474F" w:rsidP="006B620E">
      <w:pPr>
        <w:pStyle w:val="ListParagraph"/>
        <w:ind w:left="1134" w:hanging="567"/>
        <w:rPr>
          <w:rFonts w:asciiTheme="minorBidi" w:hAnsiTheme="minorBidi"/>
        </w:rPr>
      </w:pPr>
    </w:p>
    <w:p w14:paraId="19512F14" w14:textId="3F60C8AF" w:rsidR="0044474F" w:rsidRPr="006B0843" w:rsidRDefault="0044474F" w:rsidP="006B620E">
      <w:pPr>
        <w:pStyle w:val="ListParagraph"/>
        <w:numPr>
          <w:ilvl w:val="0"/>
          <w:numId w:val="19"/>
        </w:numPr>
        <w:ind w:left="1134" w:hanging="567"/>
        <w:jc w:val="both"/>
        <w:rPr>
          <w:rFonts w:asciiTheme="minorBidi" w:hAnsiTheme="minorBidi"/>
        </w:rPr>
      </w:pPr>
      <w:r w:rsidRPr="006B0843">
        <w:rPr>
          <w:rFonts w:asciiTheme="minorBidi" w:hAnsiTheme="minorBidi"/>
        </w:rPr>
        <w:t xml:space="preserve">a summary of the expenditure it has incurrent in relation to </w:t>
      </w:r>
      <w:r w:rsidR="00B25384" w:rsidRPr="006B0843">
        <w:rPr>
          <w:rFonts w:asciiTheme="minorBidi" w:hAnsiTheme="minorBidi"/>
        </w:rPr>
        <w:t>mining</w:t>
      </w:r>
      <w:r w:rsidRPr="006B0843">
        <w:rPr>
          <w:rFonts w:asciiTheme="minorBidi" w:hAnsiTheme="minorBidi"/>
        </w:rPr>
        <w:t xml:space="preserve"> production and </w:t>
      </w:r>
      <w:r w:rsidR="00B25384" w:rsidRPr="006B0843">
        <w:rPr>
          <w:rFonts w:asciiTheme="minorBidi" w:hAnsiTheme="minorBidi"/>
        </w:rPr>
        <w:t>mining</w:t>
      </w:r>
      <w:r w:rsidRPr="006B0843">
        <w:rPr>
          <w:rFonts w:asciiTheme="minorBidi" w:hAnsiTheme="minorBidi"/>
        </w:rPr>
        <w:t xml:space="preserve"> Exploration.</w:t>
      </w:r>
    </w:p>
    <w:p w14:paraId="2C1CD182" w14:textId="77777777" w:rsidR="00353739" w:rsidRPr="006B0843" w:rsidRDefault="00353739" w:rsidP="00353739">
      <w:pPr>
        <w:pStyle w:val="ListParagraph"/>
        <w:rPr>
          <w:rFonts w:asciiTheme="minorBidi" w:hAnsiTheme="minorBidi"/>
        </w:rPr>
      </w:pPr>
    </w:p>
    <w:p w14:paraId="29A3ED7A" w14:textId="39B44D28" w:rsidR="00353739" w:rsidRPr="006B0843" w:rsidRDefault="0044474F" w:rsidP="006B620E">
      <w:pPr>
        <w:pStyle w:val="ListParagraph"/>
        <w:numPr>
          <w:ilvl w:val="0"/>
          <w:numId w:val="1"/>
        </w:numPr>
        <w:ind w:left="567" w:hanging="567"/>
        <w:jc w:val="both"/>
        <w:rPr>
          <w:rFonts w:asciiTheme="minorBidi" w:hAnsiTheme="minorBidi"/>
        </w:rPr>
      </w:pPr>
      <w:r w:rsidRPr="006B0843">
        <w:rPr>
          <w:rFonts w:asciiTheme="minorBidi" w:hAnsiTheme="minorBidi"/>
        </w:rPr>
        <w:t>As required by Rules 1</w:t>
      </w:r>
      <w:r w:rsidR="00B25384" w:rsidRPr="006B0843">
        <w:rPr>
          <w:rFonts w:asciiTheme="minorBidi" w:hAnsiTheme="minorBidi"/>
        </w:rPr>
        <w:t>1</w:t>
      </w:r>
      <w:r w:rsidRPr="006B0843">
        <w:rPr>
          <w:rFonts w:asciiTheme="minorBidi" w:hAnsiTheme="minorBidi"/>
        </w:rPr>
        <w:t>.</w:t>
      </w:r>
      <w:r w:rsidR="00B25384" w:rsidRPr="006B0843">
        <w:rPr>
          <w:rFonts w:asciiTheme="minorBidi" w:hAnsiTheme="minorBidi"/>
        </w:rPr>
        <w:t>10</w:t>
      </w:r>
      <w:r w:rsidRPr="006B0843">
        <w:rPr>
          <w:rFonts w:asciiTheme="minorBidi" w:hAnsiTheme="minorBidi"/>
        </w:rPr>
        <w:t>.2 and 1</w:t>
      </w:r>
      <w:r w:rsidR="00B25384" w:rsidRPr="006B0843">
        <w:rPr>
          <w:rFonts w:asciiTheme="minorBidi" w:hAnsiTheme="minorBidi"/>
        </w:rPr>
        <w:t>1</w:t>
      </w:r>
      <w:r w:rsidRPr="006B0843">
        <w:rPr>
          <w:rFonts w:asciiTheme="minorBidi" w:hAnsiTheme="minorBidi"/>
        </w:rPr>
        <w:t>.1</w:t>
      </w:r>
      <w:r w:rsidR="00B25384" w:rsidRPr="006B0843">
        <w:rPr>
          <w:rFonts w:asciiTheme="minorBidi" w:hAnsiTheme="minorBidi"/>
        </w:rPr>
        <w:t>0</w:t>
      </w:r>
      <w:r w:rsidRPr="006B0843">
        <w:rPr>
          <w:rFonts w:asciiTheme="minorBidi" w:hAnsiTheme="minorBidi"/>
        </w:rPr>
        <w:t xml:space="preserve">.4, the quarterly reports for both </w:t>
      </w:r>
      <w:r w:rsidR="00B25384" w:rsidRPr="006B0843">
        <w:rPr>
          <w:rFonts w:asciiTheme="minorBidi" w:hAnsiTheme="minorBidi"/>
        </w:rPr>
        <w:t xml:space="preserve">Mining </w:t>
      </w:r>
      <w:r w:rsidRPr="006B0843">
        <w:rPr>
          <w:rFonts w:asciiTheme="minorBidi" w:hAnsiTheme="minorBidi"/>
        </w:rPr>
        <w:t xml:space="preserve">Exploration Reporting Entities and </w:t>
      </w:r>
      <w:r w:rsidR="00B25384" w:rsidRPr="006B0843">
        <w:rPr>
          <w:rFonts w:asciiTheme="minorBidi" w:hAnsiTheme="minorBidi"/>
        </w:rPr>
        <w:t xml:space="preserve">Mining </w:t>
      </w:r>
      <w:r w:rsidRPr="006B0843">
        <w:rPr>
          <w:rFonts w:asciiTheme="minorBidi" w:hAnsiTheme="minorBidi"/>
        </w:rPr>
        <w:t>Production Reporting Entities are to be disclosed no later than one month after the end of the relevant quarter.</w:t>
      </w:r>
    </w:p>
    <w:p w14:paraId="660C246C" w14:textId="1E7C7EDF" w:rsidR="0044474F" w:rsidRPr="006B0843" w:rsidRDefault="0044474F" w:rsidP="0044474F">
      <w:pPr>
        <w:ind w:left="-27"/>
        <w:jc w:val="both"/>
        <w:rPr>
          <w:rFonts w:asciiTheme="minorBidi" w:hAnsiTheme="minorBidi"/>
        </w:rPr>
      </w:pPr>
    </w:p>
    <w:p w14:paraId="3E9AED2D" w14:textId="16E97258" w:rsidR="0044474F" w:rsidRPr="006B0843" w:rsidRDefault="003073E5" w:rsidP="00B25384">
      <w:pPr>
        <w:pStyle w:val="Heading2"/>
        <w:tabs>
          <w:tab w:val="clear" w:pos="720"/>
          <w:tab w:val="num" w:pos="0"/>
        </w:tabs>
        <w:ind w:left="0" w:firstLine="0"/>
        <w:rPr>
          <w:rFonts w:asciiTheme="minorBidi" w:hAnsiTheme="minorBidi" w:cstheme="minorBidi"/>
          <w:sz w:val="22"/>
          <w:szCs w:val="22"/>
        </w:rPr>
      </w:pPr>
      <w:bookmarkStart w:id="50" w:name="_Toc43963877"/>
      <w:r w:rsidRPr="006B0843">
        <w:rPr>
          <w:rFonts w:asciiTheme="minorBidi" w:hAnsiTheme="minorBidi" w:cstheme="minorBidi"/>
          <w:sz w:val="22"/>
          <w:szCs w:val="22"/>
        </w:rPr>
        <w:t xml:space="preserve">Quarterly Cash Reports - </w:t>
      </w:r>
      <w:r w:rsidR="00B25384" w:rsidRPr="006B0843">
        <w:rPr>
          <w:rFonts w:asciiTheme="minorBidi" w:hAnsiTheme="minorBidi" w:cstheme="minorBidi"/>
          <w:sz w:val="22"/>
          <w:szCs w:val="22"/>
        </w:rPr>
        <w:t>Mining</w:t>
      </w:r>
      <w:r w:rsidRPr="006B0843">
        <w:rPr>
          <w:rFonts w:asciiTheme="minorBidi" w:hAnsiTheme="minorBidi" w:cstheme="minorBidi"/>
          <w:sz w:val="22"/>
          <w:szCs w:val="22"/>
        </w:rPr>
        <w:t xml:space="preserve"> Exploration Reporting Entities</w:t>
      </w:r>
      <w:bookmarkEnd w:id="50"/>
    </w:p>
    <w:p w14:paraId="164CFCD5" w14:textId="3F826113" w:rsidR="0044474F" w:rsidRPr="006B0843" w:rsidRDefault="00B25384" w:rsidP="006B620E">
      <w:pPr>
        <w:pStyle w:val="ListParagraph"/>
        <w:numPr>
          <w:ilvl w:val="0"/>
          <w:numId w:val="1"/>
        </w:numPr>
        <w:ind w:left="567" w:hanging="594"/>
        <w:jc w:val="both"/>
        <w:rPr>
          <w:rFonts w:asciiTheme="minorBidi" w:hAnsiTheme="minorBidi"/>
        </w:rPr>
      </w:pPr>
      <w:r w:rsidRPr="006B0843">
        <w:rPr>
          <w:rFonts w:asciiTheme="minorBidi" w:hAnsiTheme="minorBidi"/>
        </w:rPr>
        <w:t xml:space="preserve">Mining </w:t>
      </w:r>
      <w:r w:rsidR="003073E5" w:rsidRPr="006B0843">
        <w:rPr>
          <w:rFonts w:asciiTheme="minorBidi" w:hAnsiTheme="minorBidi"/>
        </w:rPr>
        <w:t xml:space="preserve">Exploration Reporting Entities are required, pursuant to Rule 10.1.3B(1), to disclose a quarterly cash report in the form set out in </w:t>
      </w:r>
      <w:r w:rsidR="00A361C9" w:rsidRPr="006B0843">
        <w:rPr>
          <w:rFonts w:asciiTheme="minorBidi" w:hAnsiTheme="minorBidi"/>
        </w:rPr>
        <w:t>MKT Form 1</w:t>
      </w:r>
      <w:r w:rsidR="00A361C9">
        <w:rPr>
          <w:rFonts w:asciiTheme="minorBidi" w:hAnsiTheme="minorBidi"/>
        </w:rPr>
        <w:t>0</w:t>
      </w:r>
      <w:r w:rsidR="00A361C9" w:rsidRPr="006B0843">
        <w:rPr>
          <w:rFonts w:asciiTheme="minorBidi" w:hAnsiTheme="minorBidi"/>
        </w:rPr>
        <w:t>-1</w:t>
      </w:r>
      <w:r w:rsidR="003073E5" w:rsidRPr="006B0843">
        <w:rPr>
          <w:rFonts w:asciiTheme="minorBidi" w:hAnsiTheme="minorBidi"/>
        </w:rPr>
        <w:t>. Rule 10.1.3B2 requires a quarterly cash report to be disclosed no later than one month after the end of the relevant quarter.</w:t>
      </w:r>
    </w:p>
    <w:p w14:paraId="6FB4598C" w14:textId="419975D8" w:rsidR="003073E5" w:rsidRPr="006B0843" w:rsidRDefault="003073E5" w:rsidP="003073E5">
      <w:pPr>
        <w:pStyle w:val="ListParagraph"/>
        <w:ind w:left="426"/>
        <w:jc w:val="both"/>
        <w:rPr>
          <w:rFonts w:asciiTheme="minorBidi" w:hAnsiTheme="minorBidi"/>
        </w:rPr>
      </w:pPr>
    </w:p>
    <w:p w14:paraId="6282BE01" w14:textId="1E2871F6" w:rsidR="004741F5" w:rsidRPr="006B0843" w:rsidRDefault="00B25384" w:rsidP="001C4A2D">
      <w:pPr>
        <w:pStyle w:val="ListParagraph"/>
        <w:numPr>
          <w:ilvl w:val="0"/>
          <w:numId w:val="1"/>
        </w:numPr>
        <w:ind w:left="567" w:hanging="594"/>
        <w:jc w:val="both"/>
        <w:rPr>
          <w:rFonts w:asciiTheme="minorBidi" w:hAnsiTheme="minorBidi"/>
        </w:rPr>
      </w:pPr>
      <w:r w:rsidRPr="006B0843">
        <w:rPr>
          <w:rFonts w:asciiTheme="minorBidi" w:hAnsiTheme="minorBidi"/>
        </w:rPr>
        <w:t xml:space="preserve">Mining </w:t>
      </w:r>
      <w:r w:rsidR="003073E5" w:rsidRPr="006B0843">
        <w:rPr>
          <w:rFonts w:asciiTheme="minorBidi" w:hAnsiTheme="minorBidi"/>
        </w:rPr>
        <w:t>Exploration Reporting Entities, pursuant to Rule</w:t>
      </w:r>
      <w:r w:rsidR="004741F5" w:rsidRPr="006B0843">
        <w:rPr>
          <w:rFonts w:asciiTheme="minorBidi" w:hAnsiTheme="minorBidi"/>
        </w:rPr>
        <w:t xml:space="preserve">s 10.1.7(2)(i) and (iii), and Rule </w:t>
      </w:r>
      <w:r w:rsidR="00492FCA" w:rsidRPr="006B0843">
        <w:rPr>
          <w:rFonts w:asciiTheme="minorBidi" w:hAnsiTheme="minorBidi"/>
        </w:rPr>
        <w:t>11.10.1</w:t>
      </w:r>
      <w:r w:rsidR="004741F5" w:rsidRPr="006B0843">
        <w:rPr>
          <w:rFonts w:asciiTheme="minorBidi" w:hAnsiTheme="minorBidi"/>
        </w:rPr>
        <w:t>, are not required to disclose:</w:t>
      </w:r>
    </w:p>
    <w:p w14:paraId="581748A6" w14:textId="77777777" w:rsidR="004741F5" w:rsidRPr="006B0843" w:rsidRDefault="004741F5" w:rsidP="004741F5">
      <w:pPr>
        <w:pStyle w:val="ListParagraph"/>
        <w:rPr>
          <w:rFonts w:asciiTheme="minorBidi" w:hAnsiTheme="minorBidi"/>
        </w:rPr>
      </w:pPr>
    </w:p>
    <w:p w14:paraId="279537B6" w14:textId="3036CF72" w:rsidR="004741F5" w:rsidRPr="006B0843" w:rsidRDefault="004741F5" w:rsidP="001C4A2D">
      <w:pPr>
        <w:pStyle w:val="ListParagraph"/>
        <w:numPr>
          <w:ilvl w:val="0"/>
          <w:numId w:val="38"/>
        </w:numPr>
        <w:ind w:left="1134" w:hanging="567"/>
        <w:jc w:val="both"/>
        <w:rPr>
          <w:rFonts w:asciiTheme="minorBidi" w:hAnsiTheme="minorBidi"/>
        </w:rPr>
      </w:pPr>
      <w:r w:rsidRPr="006B0843">
        <w:rPr>
          <w:rFonts w:asciiTheme="minorBidi" w:hAnsiTheme="minorBidi"/>
        </w:rPr>
        <w:t xml:space="preserve">within their semi-annual financial report, events that have happened in the first six months of a financial </w:t>
      </w:r>
      <w:proofErr w:type="gramStart"/>
      <w:r w:rsidRPr="006B0843">
        <w:rPr>
          <w:rFonts w:asciiTheme="minorBidi" w:hAnsiTheme="minorBidi"/>
        </w:rPr>
        <w:t>year;</w:t>
      </w:r>
      <w:proofErr w:type="gramEnd"/>
      <w:r w:rsidRPr="006B0843">
        <w:rPr>
          <w:rFonts w:asciiTheme="minorBidi" w:hAnsiTheme="minorBidi"/>
        </w:rPr>
        <w:t xml:space="preserve"> </w:t>
      </w:r>
    </w:p>
    <w:p w14:paraId="4B7BF292" w14:textId="77777777" w:rsidR="004741F5" w:rsidRPr="006B0843" w:rsidRDefault="004741F5" w:rsidP="001C4A2D">
      <w:pPr>
        <w:pStyle w:val="ListParagraph"/>
        <w:ind w:left="1134" w:hanging="567"/>
        <w:jc w:val="both"/>
        <w:rPr>
          <w:rFonts w:asciiTheme="minorBidi" w:hAnsiTheme="minorBidi"/>
        </w:rPr>
      </w:pPr>
    </w:p>
    <w:p w14:paraId="4011BDF8" w14:textId="65B01D88" w:rsidR="004741F5" w:rsidRPr="006B0843" w:rsidRDefault="007644EE" w:rsidP="001C4A2D">
      <w:pPr>
        <w:pStyle w:val="ListParagraph"/>
        <w:numPr>
          <w:ilvl w:val="0"/>
          <w:numId w:val="38"/>
        </w:numPr>
        <w:ind w:left="1134" w:hanging="567"/>
        <w:jc w:val="both"/>
        <w:rPr>
          <w:rFonts w:asciiTheme="minorBidi" w:hAnsiTheme="minorBidi"/>
        </w:rPr>
      </w:pPr>
      <w:r w:rsidRPr="006B0843">
        <w:rPr>
          <w:rFonts w:asciiTheme="minorBidi" w:hAnsiTheme="minorBidi"/>
        </w:rPr>
        <w:lastRenderedPageBreak/>
        <w:t xml:space="preserve">within their semi-annual financial report, </w:t>
      </w:r>
      <w:r w:rsidR="004741F5" w:rsidRPr="006B0843">
        <w:rPr>
          <w:rFonts w:asciiTheme="minorBidi" w:hAnsiTheme="minorBidi"/>
        </w:rPr>
        <w:t>a description of the principal risks/uncertainties for the remaining six months of the financial year</w:t>
      </w:r>
      <w:r w:rsidRPr="006B0843">
        <w:rPr>
          <w:rFonts w:asciiTheme="minorBidi" w:hAnsiTheme="minorBidi"/>
        </w:rPr>
        <w:t xml:space="preserve">; </w:t>
      </w:r>
      <w:r w:rsidR="004741F5" w:rsidRPr="006B0843">
        <w:rPr>
          <w:rFonts w:asciiTheme="minorBidi" w:hAnsiTheme="minorBidi"/>
        </w:rPr>
        <w:t xml:space="preserve">or </w:t>
      </w:r>
    </w:p>
    <w:p w14:paraId="3FCBF4EA" w14:textId="77777777" w:rsidR="004741F5" w:rsidRPr="006B0843" w:rsidRDefault="004741F5" w:rsidP="001C4A2D">
      <w:pPr>
        <w:pStyle w:val="ListParagraph"/>
        <w:ind w:left="1134" w:hanging="567"/>
        <w:jc w:val="both"/>
        <w:rPr>
          <w:rFonts w:asciiTheme="minorBidi" w:hAnsiTheme="minorBidi"/>
        </w:rPr>
      </w:pPr>
    </w:p>
    <w:p w14:paraId="2D43B6F7" w14:textId="77777777" w:rsidR="007644EE" w:rsidRPr="006B0843" w:rsidRDefault="004741F5" w:rsidP="001C4A2D">
      <w:pPr>
        <w:pStyle w:val="ListParagraph"/>
        <w:numPr>
          <w:ilvl w:val="0"/>
          <w:numId w:val="38"/>
        </w:numPr>
        <w:ind w:left="1134" w:hanging="567"/>
        <w:jc w:val="both"/>
        <w:rPr>
          <w:rFonts w:asciiTheme="minorBidi" w:hAnsiTheme="minorBidi"/>
        </w:rPr>
      </w:pPr>
      <w:r w:rsidRPr="006B0843">
        <w:rPr>
          <w:rFonts w:asciiTheme="minorBidi" w:hAnsiTheme="minorBidi"/>
        </w:rPr>
        <w:t xml:space="preserve">a Full Year Indicative Financial Report.   </w:t>
      </w:r>
    </w:p>
    <w:p w14:paraId="2640B99A" w14:textId="77777777" w:rsidR="007644EE" w:rsidRPr="006B0843" w:rsidRDefault="007644EE" w:rsidP="007644EE">
      <w:pPr>
        <w:pStyle w:val="ListParagraph"/>
        <w:rPr>
          <w:rFonts w:asciiTheme="minorBidi" w:hAnsiTheme="minorBidi"/>
        </w:rPr>
      </w:pPr>
    </w:p>
    <w:p w14:paraId="68290AFF" w14:textId="1AB660A6" w:rsidR="003073E5" w:rsidRPr="006B0843" w:rsidRDefault="004741F5" w:rsidP="001C4A2D">
      <w:pPr>
        <w:pStyle w:val="ListParagraph"/>
        <w:numPr>
          <w:ilvl w:val="0"/>
          <w:numId w:val="1"/>
        </w:numPr>
        <w:ind w:left="567" w:hanging="594"/>
        <w:jc w:val="both"/>
        <w:rPr>
          <w:rFonts w:asciiTheme="minorBidi" w:hAnsiTheme="minorBidi"/>
        </w:rPr>
      </w:pPr>
      <w:r w:rsidRPr="006B0843">
        <w:rPr>
          <w:rFonts w:asciiTheme="minorBidi" w:hAnsiTheme="minorBidi"/>
        </w:rPr>
        <w:t xml:space="preserve">This is due to </w:t>
      </w:r>
      <w:r w:rsidR="00B25384" w:rsidRPr="006B0843">
        <w:rPr>
          <w:rFonts w:asciiTheme="minorBidi" w:hAnsiTheme="minorBidi"/>
        </w:rPr>
        <w:t xml:space="preserve">Mining </w:t>
      </w:r>
      <w:r w:rsidRPr="006B0843">
        <w:rPr>
          <w:rFonts w:asciiTheme="minorBidi" w:hAnsiTheme="minorBidi"/>
        </w:rPr>
        <w:t xml:space="preserve">Exploration Reporting Entities having as their main business activity the expenditure of funds on </w:t>
      </w:r>
      <w:r w:rsidR="00B25384" w:rsidRPr="006B0843">
        <w:rPr>
          <w:rFonts w:asciiTheme="minorBidi" w:hAnsiTheme="minorBidi"/>
        </w:rPr>
        <w:t>mining</w:t>
      </w:r>
      <w:r w:rsidRPr="006B0843">
        <w:rPr>
          <w:rFonts w:asciiTheme="minorBidi" w:hAnsiTheme="minorBidi"/>
        </w:rPr>
        <w:t xml:space="preserve"> Exploration, and </w:t>
      </w:r>
      <w:r w:rsidR="00F32E9F" w:rsidRPr="006B0843">
        <w:rPr>
          <w:rFonts w:asciiTheme="minorBidi" w:hAnsiTheme="minorBidi"/>
        </w:rPr>
        <w:t xml:space="preserve">the expectation </w:t>
      </w:r>
      <w:r w:rsidRPr="006B0843">
        <w:rPr>
          <w:rFonts w:asciiTheme="minorBidi" w:hAnsiTheme="minorBidi"/>
        </w:rPr>
        <w:t xml:space="preserve">that they are unlikely to have material revenues outside of this activity. </w:t>
      </w:r>
      <w:r w:rsidR="00F33D39">
        <w:rPr>
          <w:rFonts w:asciiTheme="minorBidi" w:hAnsiTheme="minorBidi"/>
        </w:rPr>
        <w:t xml:space="preserve"> </w:t>
      </w:r>
      <w:r w:rsidRPr="006B0843">
        <w:rPr>
          <w:rFonts w:asciiTheme="minorBidi" w:hAnsiTheme="minorBidi"/>
        </w:rPr>
        <w:t xml:space="preserve">As a result, the disclosure of a </w:t>
      </w:r>
      <w:r w:rsidR="00B25384" w:rsidRPr="006B0843">
        <w:rPr>
          <w:rFonts w:asciiTheme="minorBidi" w:hAnsiTheme="minorBidi"/>
        </w:rPr>
        <w:t>Mining</w:t>
      </w:r>
      <w:r w:rsidRPr="006B0843">
        <w:rPr>
          <w:rFonts w:asciiTheme="minorBidi" w:hAnsiTheme="minorBidi"/>
        </w:rPr>
        <w:t xml:space="preserve"> Exploration Entity’s quarterly activity reports and quarterly cash reports (as set out above), along with any other disclosures required to be made under </w:t>
      </w:r>
      <w:r w:rsidR="007644EE" w:rsidRPr="006B0843">
        <w:rPr>
          <w:rFonts w:asciiTheme="minorBidi" w:hAnsiTheme="minorBidi"/>
        </w:rPr>
        <w:t>C</w:t>
      </w:r>
      <w:r w:rsidRPr="006B0843">
        <w:rPr>
          <w:rFonts w:asciiTheme="minorBidi" w:hAnsiTheme="minorBidi"/>
        </w:rPr>
        <w:t>hapters 7 and 1</w:t>
      </w:r>
      <w:r w:rsidR="00B25384" w:rsidRPr="006B0843">
        <w:rPr>
          <w:rFonts w:asciiTheme="minorBidi" w:hAnsiTheme="minorBidi"/>
        </w:rPr>
        <w:t>1</w:t>
      </w:r>
      <w:r w:rsidRPr="006B0843">
        <w:rPr>
          <w:rFonts w:asciiTheme="minorBidi" w:hAnsiTheme="minorBidi"/>
        </w:rPr>
        <w:t xml:space="preserve"> of the Rules, allow for sufficient information (financial and otherwise) to be available to allow investors to make an informed decision as to the value of a </w:t>
      </w:r>
      <w:r w:rsidR="00B25384" w:rsidRPr="006B0843">
        <w:rPr>
          <w:rFonts w:asciiTheme="minorBidi" w:hAnsiTheme="minorBidi"/>
        </w:rPr>
        <w:t xml:space="preserve">Mining </w:t>
      </w:r>
      <w:r w:rsidRPr="006B0843">
        <w:rPr>
          <w:rFonts w:asciiTheme="minorBidi" w:hAnsiTheme="minorBidi"/>
        </w:rPr>
        <w:t xml:space="preserve">Reporting Entity’s Securities. </w:t>
      </w:r>
    </w:p>
    <w:p w14:paraId="4DCB5F54" w14:textId="3C1FAFE1" w:rsidR="00957918" w:rsidRPr="006B0843" w:rsidRDefault="00957918" w:rsidP="007644EE">
      <w:pPr>
        <w:ind w:left="-27"/>
        <w:jc w:val="both"/>
        <w:rPr>
          <w:rFonts w:asciiTheme="minorBidi" w:hAnsiTheme="minorBidi"/>
        </w:rPr>
      </w:pPr>
    </w:p>
    <w:p w14:paraId="6EB5A8A6" w14:textId="721F81F4" w:rsidR="007644EE" w:rsidRPr="006B0843" w:rsidRDefault="007644EE" w:rsidP="007644EE">
      <w:pPr>
        <w:pStyle w:val="Heading1"/>
        <w:keepLines w:val="0"/>
        <w:spacing w:before="0" w:after="240" w:line="246" w:lineRule="atLeast"/>
        <w:jc w:val="both"/>
        <w:rPr>
          <w:rFonts w:asciiTheme="minorBidi" w:hAnsiTheme="minorBidi" w:cstheme="minorBidi"/>
          <w:sz w:val="22"/>
          <w:szCs w:val="22"/>
        </w:rPr>
      </w:pPr>
      <w:bookmarkStart w:id="51" w:name="_Toc43963878"/>
      <w:r w:rsidRPr="006B0843">
        <w:rPr>
          <w:rFonts w:asciiTheme="minorBidi" w:hAnsiTheme="minorBidi" w:cstheme="minorBidi"/>
          <w:sz w:val="22"/>
          <w:szCs w:val="22"/>
        </w:rPr>
        <w:t>ANNUAL DISCLOSURES</w:t>
      </w:r>
      <w:bookmarkEnd w:id="51"/>
    </w:p>
    <w:p w14:paraId="4A13DDB8" w14:textId="33756265" w:rsidR="007644EE" w:rsidRPr="006B0843" w:rsidRDefault="007644EE" w:rsidP="007644EE">
      <w:pPr>
        <w:pStyle w:val="Heading2"/>
        <w:tabs>
          <w:tab w:val="clear" w:pos="720"/>
          <w:tab w:val="num" w:pos="0"/>
        </w:tabs>
        <w:ind w:left="0" w:firstLine="0"/>
        <w:rPr>
          <w:rFonts w:asciiTheme="minorBidi" w:hAnsiTheme="minorBidi" w:cstheme="minorBidi"/>
          <w:sz w:val="22"/>
          <w:szCs w:val="22"/>
        </w:rPr>
      </w:pPr>
      <w:bookmarkStart w:id="52" w:name="_Toc43963879"/>
      <w:r w:rsidRPr="006B0843">
        <w:rPr>
          <w:rFonts w:asciiTheme="minorBidi" w:hAnsiTheme="minorBidi" w:cstheme="minorBidi"/>
          <w:sz w:val="22"/>
          <w:szCs w:val="22"/>
        </w:rPr>
        <w:t>Summary of Reserves and Resources</w:t>
      </w:r>
      <w:bookmarkEnd w:id="52"/>
    </w:p>
    <w:p w14:paraId="26AB1392" w14:textId="796D3720" w:rsidR="007644EE" w:rsidRPr="006B0843" w:rsidRDefault="002E47AD" w:rsidP="001C4A2D">
      <w:pPr>
        <w:pStyle w:val="ListParagraph"/>
        <w:numPr>
          <w:ilvl w:val="0"/>
          <w:numId w:val="1"/>
        </w:numPr>
        <w:ind w:left="567" w:hanging="567"/>
        <w:jc w:val="both"/>
        <w:rPr>
          <w:rFonts w:asciiTheme="minorBidi" w:hAnsiTheme="minorBidi"/>
        </w:rPr>
      </w:pPr>
      <w:r w:rsidRPr="006B0843">
        <w:rPr>
          <w:rFonts w:asciiTheme="minorBidi" w:hAnsiTheme="minorBidi"/>
        </w:rPr>
        <w:t>As required by Rule 1</w:t>
      </w:r>
      <w:r w:rsidR="0078289B" w:rsidRPr="006B0843">
        <w:rPr>
          <w:rFonts w:asciiTheme="minorBidi" w:hAnsiTheme="minorBidi"/>
        </w:rPr>
        <w:t>1</w:t>
      </w:r>
      <w:r w:rsidRPr="006B0843">
        <w:rPr>
          <w:rFonts w:asciiTheme="minorBidi" w:hAnsiTheme="minorBidi"/>
        </w:rPr>
        <w:t>.1</w:t>
      </w:r>
      <w:r w:rsidR="0078289B" w:rsidRPr="006B0843">
        <w:rPr>
          <w:rFonts w:asciiTheme="minorBidi" w:hAnsiTheme="minorBidi"/>
        </w:rPr>
        <w:t>1</w:t>
      </w:r>
      <w:r w:rsidRPr="006B0843">
        <w:rPr>
          <w:rFonts w:asciiTheme="minorBidi" w:hAnsiTheme="minorBidi"/>
        </w:rPr>
        <w:t xml:space="preserve">.1, a </w:t>
      </w:r>
      <w:r w:rsidR="0078289B" w:rsidRPr="006B0843">
        <w:rPr>
          <w:rFonts w:asciiTheme="minorBidi" w:hAnsiTheme="minorBidi"/>
        </w:rPr>
        <w:t>Mining</w:t>
      </w:r>
      <w:r w:rsidRPr="006B0843">
        <w:rPr>
          <w:rFonts w:asciiTheme="minorBidi" w:hAnsiTheme="minorBidi"/>
        </w:rPr>
        <w:t xml:space="preserve"> Reporting Entity that has any </w:t>
      </w:r>
      <w:r w:rsidR="0078289B" w:rsidRPr="006B0843">
        <w:rPr>
          <w:rFonts w:asciiTheme="minorBidi" w:hAnsiTheme="minorBidi"/>
        </w:rPr>
        <w:t xml:space="preserve">Ore Reserves or Mineral Resources </w:t>
      </w:r>
      <w:r w:rsidRPr="006B0843">
        <w:rPr>
          <w:rFonts w:asciiTheme="minorBidi" w:hAnsiTheme="minorBidi"/>
        </w:rPr>
        <w:t>is required to disclose, on an annual basis, a Summary of Reserves and Resources.</w:t>
      </w:r>
    </w:p>
    <w:p w14:paraId="3C3D2E7A" w14:textId="488FDB21" w:rsidR="002E47AD" w:rsidRPr="006B0843" w:rsidRDefault="002E47AD" w:rsidP="001C4A2D">
      <w:pPr>
        <w:pStyle w:val="ListParagraph"/>
        <w:ind w:left="567" w:hanging="567"/>
        <w:jc w:val="both"/>
        <w:rPr>
          <w:rFonts w:asciiTheme="minorBidi" w:hAnsiTheme="minorBidi"/>
        </w:rPr>
      </w:pPr>
    </w:p>
    <w:p w14:paraId="7E8A34F6" w14:textId="386310DC" w:rsidR="002E47AD" w:rsidRPr="006B0843" w:rsidRDefault="002E47AD"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Flexibility is provided to a </w:t>
      </w:r>
      <w:r w:rsidR="0078289B" w:rsidRPr="006B0843">
        <w:rPr>
          <w:rFonts w:asciiTheme="minorBidi" w:hAnsiTheme="minorBidi"/>
        </w:rPr>
        <w:t>Mining</w:t>
      </w:r>
      <w:r w:rsidRPr="006B0843">
        <w:rPr>
          <w:rFonts w:asciiTheme="minorBidi" w:hAnsiTheme="minorBidi"/>
        </w:rPr>
        <w:t xml:space="preserve"> Reporting Entity as to when the Summary of Reserves and Resources is to be disclosed.  Rather than requiring the Summary of Reserves and Resources to always be disclosed by a </w:t>
      </w:r>
      <w:r w:rsidR="0078289B" w:rsidRPr="006B0843">
        <w:rPr>
          <w:rFonts w:asciiTheme="minorBidi" w:hAnsiTheme="minorBidi"/>
        </w:rPr>
        <w:t>Mining</w:t>
      </w:r>
      <w:r w:rsidRPr="006B0843">
        <w:rPr>
          <w:rFonts w:asciiTheme="minorBidi" w:hAnsiTheme="minorBidi"/>
        </w:rPr>
        <w:t xml:space="preserve"> Reporting Entity in its annual financial report, a </w:t>
      </w:r>
      <w:r w:rsidR="0078289B" w:rsidRPr="006B0843">
        <w:rPr>
          <w:rFonts w:asciiTheme="minorBidi" w:hAnsiTheme="minorBidi"/>
        </w:rPr>
        <w:t xml:space="preserve">Mining </w:t>
      </w:r>
      <w:r w:rsidRPr="006B0843">
        <w:rPr>
          <w:rFonts w:asciiTheme="minorBidi" w:hAnsiTheme="minorBidi"/>
        </w:rPr>
        <w:t>Reporting Entity has the flexibility (provided by Rules 1</w:t>
      </w:r>
      <w:r w:rsidR="0078289B" w:rsidRPr="006B0843">
        <w:rPr>
          <w:rFonts w:asciiTheme="minorBidi" w:hAnsiTheme="minorBidi"/>
        </w:rPr>
        <w:t>1</w:t>
      </w:r>
      <w:r w:rsidRPr="006B0843">
        <w:rPr>
          <w:rFonts w:asciiTheme="minorBidi" w:hAnsiTheme="minorBidi"/>
        </w:rPr>
        <w:t>.1</w:t>
      </w:r>
      <w:r w:rsidR="0078289B" w:rsidRPr="006B0843">
        <w:rPr>
          <w:rFonts w:asciiTheme="minorBidi" w:hAnsiTheme="minorBidi"/>
        </w:rPr>
        <w:t>0</w:t>
      </w:r>
      <w:r w:rsidRPr="006B0843">
        <w:rPr>
          <w:rFonts w:asciiTheme="minorBidi" w:hAnsiTheme="minorBidi"/>
        </w:rPr>
        <w:t>.1(5) and 1</w:t>
      </w:r>
      <w:r w:rsidR="0078289B" w:rsidRPr="006B0843">
        <w:rPr>
          <w:rFonts w:asciiTheme="minorBidi" w:hAnsiTheme="minorBidi"/>
        </w:rPr>
        <w:t>1</w:t>
      </w:r>
      <w:r w:rsidRPr="006B0843">
        <w:rPr>
          <w:rFonts w:asciiTheme="minorBidi" w:hAnsiTheme="minorBidi"/>
        </w:rPr>
        <w:t>.1</w:t>
      </w:r>
      <w:r w:rsidR="0078289B" w:rsidRPr="006B0843">
        <w:rPr>
          <w:rFonts w:asciiTheme="minorBidi" w:hAnsiTheme="minorBidi"/>
        </w:rPr>
        <w:t>0</w:t>
      </w:r>
      <w:r w:rsidRPr="006B0843">
        <w:rPr>
          <w:rFonts w:asciiTheme="minorBidi" w:hAnsiTheme="minorBidi"/>
        </w:rPr>
        <w:t>.3(4)) to disclose the Summary of Reserves and Resources within either its annual financial report or as part of its quarterly activities report.</w:t>
      </w:r>
    </w:p>
    <w:p w14:paraId="73D560E6" w14:textId="77777777" w:rsidR="002E47AD" w:rsidRPr="006B0843" w:rsidRDefault="002E47AD" w:rsidP="001C4A2D">
      <w:pPr>
        <w:pStyle w:val="ListParagraph"/>
        <w:ind w:left="567" w:hanging="567"/>
        <w:rPr>
          <w:rFonts w:asciiTheme="minorBidi" w:hAnsiTheme="minorBidi"/>
        </w:rPr>
      </w:pPr>
    </w:p>
    <w:p w14:paraId="0EB635DA" w14:textId="2DF9C2A4" w:rsidR="002E47AD" w:rsidRPr="006B0843" w:rsidRDefault="002E47AD"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A </w:t>
      </w:r>
      <w:r w:rsidR="0078289B" w:rsidRPr="006B0843">
        <w:rPr>
          <w:rFonts w:asciiTheme="minorBidi" w:hAnsiTheme="minorBidi"/>
        </w:rPr>
        <w:t>Mining</w:t>
      </w:r>
      <w:r w:rsidRPr="006B0843">
        <w:rPr>
          <w:rFonts w:asciiTheme="minorBidi" w:hAnsiTheme="minorBidi"/>
        </w:rPr>
        <w:t xml:space="preserve"> Reporting Entity should disclose its Summary of Reserves and Resources within the same report each year (whether that be its annual financial report, or a particular quarterly activities report) so as to allow for suitable year-on-year comparison, and Rules 12.1</w:t>
      </w:r>
      <w:r w:rsidR="0078289B" w:rsidRPr="006B0843">
        <w:rPr>
          <w:rFonts w:asciiTheme="minorBidi" w:hAnsiTheme="minorBidi"/>
        </w:rPr>
        <w:t>0</w:t>
      </w:r>
      <w:r w:rsidRPr="006B0843">
        <w:rPr>
          <w:rFonts w:asciiTheme="minorBidi" w:hAnsiTheme="minorBidi"/>
        </w:rPr>
        <w:t>.1(6) and 1</w:t>
      </w:r>
      <w:r w:rsidR="0078289B" w:rsidRPr="006B0843">
        <w:rPr>
          <w:rFonts w:asciiTheme="minorBidi" w:hAnsiTheme="minorBidi"/>
        </w:rPr>
        <w:t>1</w:t>
      </w:r>
      <w:r w:rsidRPr="006B0843">
        <w:rPr>
          <w:rFonts w:asciiTheme="minorBidi" w:hAnsiTheme="minorBidi"/>
        </w:rPr>
        <w:t>.1</w:t>
      </w:r>
      <w:r w:rsidR="0078289B" w:rsidRPr="006B0843">
        <w:rPr>
          <w:rFonts w:asciiTheme="minorBidi" w:hAnsiTheme="minorBidi"/>
        </w:rPr>
        <w:t>0</w:t>
      </w:r>
      <w:r w:rsidRPr="006B0843">
        <w:rPr>
          <w:rFonts w:asciiTheme="minorBidi" w:hAnsiTheme="minorBidi"/>
        </w:rPr>
        <w:t xml:space="preserve">.3(5) require each quarterly activity report </w:t>
      </w:r>
      <w:r w:rsidR="00356467" w:rsidRPr="006B0843">
        <w:rPr>
          <w:rFonts w:asciiTheme="minorBidi" w:hAnsiTheme="minorBidi"/>
        </w:rPr>
        <w:t xml:space="preserve">to state when the previous and next disclosure of a Summary of Reserves and Resources was, and is next to be, disclosed.  Together, these Rules allow a </w:t>
      </w:r>
      <w:r w:rsidR="0078289B" w:rsidRPr="006B0843">
        <w:rPr>
          <w:rFonts w:asciiTheme="minorBidi" w:hAnsiTheme="minorBidi"/>
        </w:rPr>
        <w:t xml:space="preserve">Mining </w:t>
      </w:r>
      <w:r w:rsidR="00356467" w:rsidRPr="006B0843">
        <w:rPr>
          <w:rFonts w:asciiTheme="minorBidi" w:hAnsiTheme="minorBidi"/>
        </w:rPr>
        <w:t>Reporting Entity to fully align the preparation and disclosure of its Summary of Reserves and Resources with its review process and corporate planning/reporting cycle.</w:t>
      </w:r>
    </w:p>
    <w:p w14:paraId="2B4A4F5D" w14:textId="77777777" w:rsidR="0078289B" w:rsidRPr="006B0843" w:rsidRDefault="0078289B" w:rsidP="001C4A2D">
      <w:pPr>
        <w:pStyle w:val="ListParagraph"/>
        <w:ind w:left="567" w:hanging="567"/>
        <w:rPr>
          <w:rFonts w:asciiTheme="minorBidi" w:hAnsiTheme="minorBidi"/>
        </w:rPr>
      </w:pPr>
    </w:p>
    <w:p w14:paraId="61ACDA74" w14:textId="61A67594" w:rsidR="0078289B" w:rsidRPr="006B0843" w:rsidRDefault="0078289B"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It is noted that the Mining Reporting Standards (e.g., Clause 9 of the JORC Code or Clause 7 of the SAMREC Code) set out that prior written consent (of the named Competent Person who approved the required Competent Person statement </w:t>
      </w:r>
      <w:proofErr w:type="gramStart"/>
      <w:r w:rsidRPr="006B0843">
        <w:rPr>
          <w:rFonts w:asciiTheme="minorBidi" w:hAnsiTheme="minorBidi"/>
        </w:rPr>
        <w:t>as a whole as</w:t>
      </w:r>
      <w:proofErr w:type="gramEnd"/>
      <w:r w:rsidRPr="006B0843">
        <w:rPr>
          <w:rFonts w:asciiTheme="minorBidi" w:hAnsiTheme="minorBidi"/>
        </w:rPr>
        <w:t xml:space="preserve"> to form and context in which it appears) must be disclosed as part of a Mining Reporting Entity’s annual disclosure of Mineral Resources and Ore Reserves.  This consent is include</w:t>
      </w:r>
      <w:r w:rsidR="00F33D39">
        <w:rPr>
          <w:rFonts w:asciiTheme="minorBidi" w:hAnsiTheme="minorBidi"/>
        </w:rPr>
        <w:t>d</w:t>
      </w:r>
      <w:r w:rsidRPr="006B0843">
        <w:rPr>
          <w:rFonts w:asciiTheme="minorBidi" w:hAnsiTheme="minorBidi"/>
        </w:rPr>
        <w:t xml:space="preserve"> in MKT Form 11-1</w:t>
      </w:r>
      <w:r w:rsidR="00C916D1" w:rsidRPr="006B0843">
        <w:rPr>
          <w:rFonts w:asciiTheme="minorBidi" w:hAnsiTheme="minorBidi"/>
        </w:rPr>
        <w:t xml:space="preserve"> (discussed later in this Guidance). </w:t>
      </w:r>
    </w:p>
    <w:p w14:paraId="75B06970" w14:textId="77777777" w:rsidR="00BA214D" w:rsidRPr="006B0843" w:rsidRDefault="00BA214D" w:rsidP="001C4A2D">
      <w:pPr>
        <w:pStyle w:val="ListParagraph"/>
        <w:ind w:left="567" w:hanging="567"/>
        <w:rPr>
          <w:rFonts w:asciiTheme="minorBidi" w:hAnsiTheme="minorBidi"/>
        </w:rPr>
      </w:pPr>
    </w:p>
    <w:p w14:paraId="1EC39872" w14:textId="4BD048C5" w:rsidR="00BA214D" w:rsidRPr="006B0843" w:rsidRDefault="00BA214D"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Mining Reporting Entities, pursuant to Rule </w:t>
      </w:r>
      <w:r w:rsidR="00464A78" w:rsidRPr="006B0843">
        <w:rPr>
          <w:rFonts w:asciiTheme="minorBidi" w:hAnsiTheme="minorBidi"/>
        </w:rPr>
        <w:t xml:space="preserve">11.11.2, are also required to include an update on its policies and practices for operating in a sustainable manner. </w:t>
      </w:r>
      <w:r w:rsidRPr="006B0843">
        <w:rPr>
          <w:rFonts w:asciiTheme="minorBidi" w:hAnsiTheme="minorBidi"/>
        </w:rPr>
        <w:t xml:space="preserve"> </w:t>
      </w:r>
    </w:p>
    <w:p w14:paraId="02BA90FB" w14:textId="009717C2" w:rsidR="002E47AD" w:rsidRPr="006B0843" w:rsidRDefault="002E47AD" w:rsidP="002E47AD">
      <w:pPr>
        <w:jc w:val="both"/>
        <w:rPr>
          <w:rFonts w:asciiTheme="minorBidi" w:hAnsiTheme="minorBidi"/>
        </w:rPr>
      </w:pPr>
    </w:p>
    <w:p w14:paraId="08AB1A1B" w14:textId="467826D6" w:rsidR="00325242" w:rsidRPr="006B0843" w:rsidRDefault="00325242" w:rsidP="00325242">
      <w:pPr>
        <w:pStyle w:val="Heading1"/>
        <w:keepLines w:val="0"/>
        <w:spacing w:before="0" w:after="240" w:line="246" w:lineRule="atLeast"/>
        <w:jc w:val="both"/>
        <w:rPr>
          <w:rFonts w:asciiTheme="minorBidi" w:hAnsiTheme="minorBidi" w:cstheme="minorBidi"/>
          <w:sz w:val="22"/>
          <w:szCs w:val="22"/>
        </w:rPr>
      </w:pPr>
      <w:bookmarkStart w:id="53" w:name="_Toc43963880"/>
      <w:r w:rsidRPr="006B0843">
        <w:rPr>
          <w:rFonts w:asciiTheme="minorBidi" w:hAnsiTheme="minorBidi" w:cstheme="minorBidi"/>
          <w:sz w:val="22"/>
          <w:szCs w:val="22"/>
        </w:rPr>
        <w:t>INTERACTION OF CHAPTER 1</w:t>
      </w:r>
      <w:r w:rsidR="007F298F">
        <w:rPr>
          <w:rFonts w:asciiTheme="minorBidi" w:hAnsiTheme="minorBidi" w:cstheme="minorBidi"/>
          <w:sz w:val="22"/>
          <w:szCs w:val="22"/>
        </w:rPr>
        <w:t>1</w:t>
      </w:r>
      <w:r w:rsidRPr="006B0843">
        <w:rPr>
          <w:rFonts w:asciiTheme="minorBidi" w:hAnsiTheme="minorBidi" w:cstheme="minorBidi"/>
          <w:sz w:val="22"/>
          <w:szCs w:val="22"/>
        </w:rPr>
        <w:t xml:space="preserve"> WITH OTHER RULE DISCLOSURE OBLIGATIONS</w:t>
      </w:r>
      <w:bookmarkEnd w:id="53"/>
    </w:p>
    <w:p w14:paraId="3F770F6B" w14:textId="49F98E39" w:rsidR="00325242" w:rsidRPr="006B0843" w:rsidRDefault="00325242"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As set out in earlier parts of this Guidance, the disclosure obligations relating to </w:t>
      </w:r>
      <w:r w:rsidR="00C360D8" w:rsidRPr="006B0843">
        <w:rPr>
          <w:rFonts w:asciiTheme="minorBidi" w:hAnsiTheme="minorBidi"/>
        </w:rPr>
        <w:t>mining activities</w:t>
      </w:r>
      <w:r w:rsidRPr="006B0843">
        <w:rPr>
          <w:rFonts w:asciiTheme="minorBidi" w:hAnsiTheme="minorBidi"/>
        </w:rPr>
        <w:t xml:space="preserve"> and to </w:t>
      </w:r>
      <w:r w:rsidR="00C360D8" w:rsidRPr="006B0843">
        <w:rPr>
          <w:rFonts w:asciiTheme="minorBidi" w:hAnsiTheme="minorBidi"/>
        </w:rPr>
        <w:t>Mining</w:t>
      </w:r>
      <w:r w:rsidRPr="006B0843">
        <w:rPr>
          <w:rFonts w:asciiTheme="minorBidi" w:hAnsiTheme="minorBidi"/>
        </w:rPr>
        <w:t xml:space="preserve"> Reporting Entities (as set out in Chapter 1</w:t>
      </w:r>
      <w:r w:rsidR="00C360D8" w:rsidRPr="006B0843">
        <w:rPr>
          <w:rFonts w:asciiTheme="minorBidi" w:hAnsiTheme="minorBidi"/>
        </w:rPr>
        <w:t>1</w:t>
      </w:r>
      <w:r w:rsidRPr="006B0843">
        <w:rPr>
          <w:rFonts w:asciiTheme="minorBidi" w:hAnsiTheme="minorBidi"/>
        </w:rPr>
        <w:t xml:space="preserve"> of the Rules) operate closely with the disclosure obligations set out in separately within the Rules, including </w:t>
      </w:r>
      <w:r w:rsidR="00F32E9F" w:rsidRPr="006B0843">
        <w:rPr>
          <w:rFonts w:asciiTheme="minorBidi" w:hAnsiTheme="minorBidi"/>
        </w:rPr>
        <w:t xml:space="preserve">Chapter 2 (The Listing Rules), Chapter 4 (Offers of Securities), </w:t>
      </w:r>
      <w:r w:rsidRPr="006B0843">
        <w:rPr>
          <w:rFonts w:asciiTheme="minorBidi" w:hAnsiTheme="minorBidi"/>
        </w:rPr>
        <w:t xml:space="preserve">Chapter 7 (Market </w:t>
      </w:r>
      <w:r w:rsidRPr="006B0843">
        <w:rPr>
          <w:rFonts w:asciiTheme="minorBidi" w:hAnsiTheme="minorBidi"/>
        </w:rPr>
        <w:lastRenderedPageBreak/>
        <w:t>Disclosure)</w:t>
      </w:r>
      <w:r w:rsidR="00F32E9F" w:rsidRPr="006B0843">
        <w:rPr>
          <w:rFonts w:asciiTheme="minorBidi" w:hAnsiTheme="minorBidi"/>
        </w:rPr>
        <w:t xml:space="preserve"> and</w:t>
      </w:r>
      <w:r w:rsidRPr="006B0843">
        <w:rPr>
          <w:rFonts w:asciiTheme="minorBidi" w:hAnsiTheme="minorBidi"/>
        </w:rPr>
        <w:t xml:space="preserve"> Chapter 10 (Accounting Periods, Financial Reports and Auditing)</w:t>
      </w:r>
      <w:r w:rsidR="00A31A69" w:rsidRPr="006B0843">
        <w:rPr>
          <w:rFonts w:asciiTheme="minorBidi" w:hAnsiTheme="minorBidi"/>
        </w:rPr>
        <w:t xml:space="preserve">. </w:t>
      </w:r>
      <w:r w:rsidR="00F33D39">
        <w:rPr>
          <w:rFonts w:asciiTheme="minorBidi" w:hAnsiTheme="minorBidi"/>
        </w:rPr>
        <w:t xml:space="preserve"> </w:t>
      </w:r>
      <w:r w:rsidR="00A31A69" w:rsidRPr="006B0843">
        <w:rPr>
          <w:rFonts w:asciiTheme="minorBidi" w:hAnsiTheme="minorBidi"/>
        </w:rPr>
        <w:t xml:space="preserve">For example, where a </w:t>
      </w:r>
      <w:r w:rsidR="00C360D8" w:rsidRPr="006B0843">
        <w:rPr>
          <w:rFonts w:asciiTheme="minorBidi" w:hAnsiTheme="minorBidi"/>
        </w:rPr>
        <w:t>Mining</w:t>
      </w:r>
      <w:r w:rsidR="00A31A69" w:rsidRPr="006B0843">
        <w:rPr>
          <w:rFonts w:asciiTheme="minorBidi" w:hAnsiTheme="minorBidi"/>
        </w:rPr>
        <w:t xml:space="preserve"> Reporting Entity is required to make a disclosure in relation to </w:t>
      </w:r>
      <w:r w:rsidR="00C360D8" w:rsidRPr="006B0843">
        <w:rPr>
          <w:rFonts w:asciiTheme="minorBidi" w:hAnsiTheme="minorBidi"/>
        </w:rPr>
        <w:t>mining</w:t>
      </w:r>
      <w:r w:rsidR="00A31A69" w:rsidRPr="006B0843">
        <w:rPr>
          <w:rFonts w:asciiTheme="minorBidi" w:hAnsiTheme="minorBidi"/>
        </w:rPr>
        <w:t xml:space="preserve"> activities under Rule 7.2.1, the information contained in the disclosure must not only comply with Rule 7.2.1 but also with any applicable Rules within Chapter 1</w:t>
      </w:r>
      <w:r w:rsidR="00C360D8" w:rsidRPr="006B0843">
        <w:rPr>
          <w:rFonts w:asciiTheme="minorBidi" w:hAnsiTheme="minorBidi"/>
        </w:rPr>
        <w:t>1</w:t>
      </w:r>
      <w:r w:rsidR="00A31A69" w:rsidRPr="006B0843">
        <w:rPr>
          <w:rFonts w:asciiTheme="minorBidi" w:hAnsiTheme="minorBidi"/>
        </w:rPr>
        <w:t>.  The same principle applies in the context of an Issuer making an Offer of Securities within ADGM, such that the Prospectus requirements of Chapter 4 of the Rules, Appendix 1 of the Rules (Content of a Prospectus) and Chapter 1</w:t>
      </w:r>
      <w:r w:rsidR="00C360D8" w:rsidRPr="006B0843">
        <w:rPr>
          <w:rFonts w:asciiTheme="minorBidi" w:hAnsiTheme="minorBidi"/>
        </w:rPr>
        <w:t>1</w:t>
      </w:r>
      <w:r w:rsidR="00A31A69" w:rsidRPr="006B0843">
        <w:rPr>
          <w:rFonts w:asciiTheme="minorBidi" w:hAnsiTheme="minorBidi"/>
        </w:rPr>
        <w:t xml:space="preserve"> all apply.</w:t>
      </w:r>
    </w:p>
    <w:p w14:paraId="0016A9A2" w14:textId="19697D37" w:rsidR="00A31A69" w:rsidRPr="006B0843" w:rsidRDefault="00A31A69" w:rsidP="001C4A2D">
      <w:pPr>
        <w:pStyle w:val="ListParagraph"/>
        <w:ind w:left="567" w:hanging="567"/>
        <w:jc w:val="both"/>
        <w:rPr>
          <w:rFonts w:asciiTheme="minorBidi" w:hAnsiTheme="minorBidi"/>
        </w:rPr>
      </w:pPr>
    </w:p>
    <w:p w14:paraId="4D5F2A03" w14:textId="0C12F351" w:rsidR="00A31A69" w:rsidRPr="006B0843" w:rsidRDefault="00A31A69"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All other things being equal, the FSRA considers that the obligation for a </w:t>
      </w:r>
      <w:r w:rsidR="00C360D8" w:rsidRPr="006B0843">
        <w:rPr>
          <w:rFonts w:asciiTheme="minorBidi" w:hAnsiTheme="minorBidi"/>
        </w:rPr>
        <w:t>Mining</w:t>
      </w:r>
      <w:r w:rsidRPr="006B0843">
        <w:rPr>
          <w:rFonts w:asciiTheme="minorBidi" w:hAnsiTheme="minorBidi"/>
        </w:rPr>
        <w:t xml:space="preserve"> Reporting Entity to disclose material information about </w:t>
      </w:r>
      <w:r w:rsidR="00C360D8" w:rsidRPr="006B0843">
        <w:rPr>
          <w:rFonts w:asciiTheme="minorBidi" w:hAnsiTheme="minorBidi"/>
        </w:rPr>
        <w:t>mining</w:t>
      </w:r>
      <w:r w:rsidRPr="006B0843">
        <w:rPr>
          <w:rFonts w:asciiTheme="minorBidi" w:hAnsiTheme="minorBidi"/>
        </w:rPr>
        <w:t xml:space="preserve"> activities under Rule 7.2.1 and Chapter 1</w:t>
      </w:r>
      <w:r w:rsidR="00C360D8" w:rsidRPr="006B0843">
        <w:rPr>
          <w:rFonts w:asciiTheme="minorBidi" w:hAnsiTheme="minorBidi"/>
        </w:rPr>
        <w:t>1</w:t>
      </w:r>
      <w:r w:rsidRPr="006B0843">
        <w:rPr>
          <w:rFonts w:asciiTheme="minorBidi" w:hAnsiTheme="minorBidi"/>
        </w:rPr>
        <w:t xml:space="preserve"> will generally only be triggered when the </w:t>
      </w:r>
      <w:r w:rsidR="00C360D8" w:rsidRPr="006B0843">
        <w:rPr>
          <w:rFonts w:asciiTheme="minorBidi" w:hAnsiTheme="minorBidi"/>
        </w:rPr>
        <w:t>Mining</w:t>
      </w:r>
      <w:r w:rsidRPr="006B0843">
        <w:rPr>
          <w:rFonts w:asciiTheme="minorBidi" w:hAnsiTheme="minorBidi"/>
        </w:rPr>
        <w:t xml:space="preserve"> Reporting Entity is in possession of all the information that it is required to include in a disclosure about that relevant </w:t>
      </w:r>
      <w:r w:rsidR="00C360D8" w:rsidRPr="006B0843">
        <w:rPr>
          <w:rFonts w:asciiTheme="minorBidi" w:hAnsiTheme="minorBidi"/>
        </w:rPr>
        <w:t>mining</w:t>
      </w:r>
      <w:r w:rsidRPr="006B0843">
        <w:rPr>
          <w:rFonts w:asciiTheme="minorBidi" w:hAnsiTheme="minorBidi"/>
        </w:rPr>
        <w:t xml:space="preserve"> activity (being the information it is required to disclose under Chapter 1</w:t>
      </w:r>
      <w:r w:rsidR="00C360D8" w:rsidRPr="006B0843">
        <w:rPr>
          <w:rFonts w:asciiTheme="minorBidi" w:hAnsiTheme="minorBidi"/>
        </w:rPr>
        <w:t>1</w:t>
      </w:r>
      <w:r w:rsidRPr="006B0843">
        <w:rPr>
          <w:rFonts w:asciiTheme="minorBidi" w:hAnsiTheme="minorBidi"/>
        </w:rPr>
        <w:t xml:space="preserve"> of the Rules).</w:t>
      </w:r>
    </w:p>
    <w:p w14:paraId="0FCE0E06" w14:textId="77777777" w:rsidR="00A31A69" w:rsidRPr="006B0843" w:rsidRDefault="00A31A69" w:rsidP="001C4A2D">
      <w:pPr>
        <w:pStyle w:val="ListParagraph"/>
        <w:ind w:left="567" w:hanging="567"/>
        <w:rPr>
          <w:rFonts w:asciiTheme="minorBidi" w:hAnsiTheme="minorBidi"/>
        </w:rPr>
      </w:pPr>
    </w:p>
    <w:p w14:paraId="43B7AE29" w14:textId="0AA7E05B" w:rsidR="00A31A69" w:rsidRPr="006B0843" w:rsidRDefault="00A31A69"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Prior to a </w:t>
      </w:r>
      <w:r w:rsidR="003F6BB4" w:rsidRPr="006B0843">
        <w:rPr>
          <w:rFonts w:asciiTheme="minorBidi" w:hAnsiTheme="minorBidi"/>
        </w:rPr>
        <w:t>Mining</w:t>
      </w:r>
      <w:r w:rsidRPr="006B0843">
        <w:rPr>
          <w:rFonts w:asciiTheme="minorBidi" w:hAnsiTheme="minorBidi"/>
        </w:rPr>
        <w:t xml:space="preserve"> Reporting Entity having all the information</w:t>
      </w:r>
      <w:r w:rsidR="00C360D8" w:rsidRPr="006B0843">
        <w:rPr>
          <w:rFonts w:asciiTheme="minorBidi" w:hAnsiTheme="minorBidi"/>
        </w:rPr>
        <w:t xml:space="preserve"> available </w:t>
      </w:r>
      <w:r w:rsidRPr="006B0843">
        <w:rPr>
          <w:rFonts w:asciiTheme="minorBidi" w:hAnsiTheme="minorBidi"/>
        </w:rPr>
        <w:t xml:space="preserve">to it, the FSRA considers that whatever material information it may have about the </w:t>
      </w:r>
      <w:r w:rsidR="00C360D8" w:rsidRPr="006B0843">
        <w:rPr>
          <w:rFonts w:asciiTheme="minorBidi" w:hAnsiTheme="minorBidi"/>
        </w:rPr>
        <w:t xml:space="preserve">mining </w:t>
      </w:r>
      <w:r w:rsidRPr="006B0843">
        <w:rPr>
          <w:rFonts w:asciiTheme="minorBidi" w:hAnsiTheme="minorBidi"/>
        </w:rPr>
        <w:t>activity will generally be insufficiently definite to warrant disclosure under the Rules.  Therefore</w:t>
      </w:r>
      <w:r w:rsidR="00B966EC" w:rsidRPr="006B0843">
        <w:rPr>
          <w:rFonts w:asciiTheme="minorBidi" w:hAnsiTheme="minorBidi"/>
        </w:rPr>
        <w:t xml:space="preserve">, provided the material information is and remains confidential, </w:t>
      </w:r>
      <w:r w:rsidR="00F32E9F" w:rsidRPr="006B0843">
        <w:rPr>
          <w:rFonts w:asciiTheme="minorBidi" w:hAnsiTheme="minorBidi"/>
        </w:rPr>
        <w:t>and</w:t>
      </w:r>
      <w:r w:rsidR="00B966EC" w:rsidRPr="006B0843">
        <w:rPr>
          <w:rFonts w:asciiTheme="minorBidi" w:hAnsiTheme="minorBidi"/>
        </w:rPr>
        <w:t xml:space="preserve"> the FSRA has not formed the view that the information ceases to remain confidential (e.g., where there are exceptions from disclosing the information)</w:t>
      </w:r>
      <w:r w:rsidR="00C360D8" w:rsidRPr="006B0843">
        <w:rPr>
          <w:rFonts w:asciiTheme="minorBidi" w:hAnsiTheme="minorBidi"/>
        </w:rPr>
        <w:t>, the material information is not immediately required to be disclosed under Rule 7.2.1</w:t>
      </w:r>
      <w:r w:rsidR="00B966EC" w:rsidRPr="006B0843">
        <w:rPr>
          <w:rFonts w:asciiTheme="minorBidi" w:hAnsiTheme="minorBidi"/>
        </w:rPr>
        <w:t xml:space="preserve">. </w:t>
      </w:r>
      <w:r w:rsidR="00002FCA">
        <w:rPr>
          <w:rFonts w:asciiTheme="minorBidi" w:hAnsiTheme="minorBidi"/>
        </w:rPr>
        <w:t xml:space="preserve"> </w:t>
      </w:r>
      <w:r w:rsidR="00B966EC" w:rsidRPr="006B0843">
        <w:rPr>
          <w:rFonts w:asciiTheme="minorBidi" w:hAnsiTheme="minorBidi"/>
        </w:rPr>
        <w:t>For more information, please refer to Chapter 7 of the Rules, and any relevant Guidance that the FSRA may publish from time in relation to the FSRA’s expectations as to how Reporting Entities are to comply with Chapter 7.</w:t>
      </w:r>
      <w:r w:rsidRPr="006B0843">
        <w:rPr>
          <w:rFonts w:asciiTheme="minorBidi" w:hAnsiTheme="minorBidi"/>
        </w:rPr>
        <w:t xml:space="preserve">   </w:t>
      </w:r>
    </w:p>
    <w:p w14:paraId="3185EC50" w14:textId="48EAEB45" w:rsidR="0067733C" w:rsidRPr="006B0843" w:rsidRDefault="0067733C" w:rsidP="0067733C">
      <w:pPr>
        <w:rPr>
          <w:rFonts w:asciiTheme="minorBidi" w:hAnsiTheme="minorBidi"/>
        </w:rPr>
      </w:pPr>
    </w:p>
    <w:p w14:paraId="011E3A9A" w14:textId="78118138" w:rsidR="0067733C" w:rsidRPr="006B0843" w:rsidRDefault="0067733C" w:rsidP="0067733C">
      <w:pPr>
        <w:pStyle w:val="Heading2"/>
        <w:tabs>
          <w:tab w:val="clear" w:pos="720"/>
          <w:tab w:val="num" w:pos="0"/>
        </w:tabs>
        <w:ind w:left="0" w:firstLine="0"/>
        <w:rPr>
          <w:rFonts w:asciiTheme="minorBidi" w:hAnsiTheme="minorBidi" w:cstheme="minorBidi"/>
          <w:sz w:val="22"/>
          <w:szCs w:val="22"/>
        </w:rPr>
      </w:pPr>
      <w:bookmarkStart w:id="54" w:name="_Toc43963881"/>
      <w:r w:rsidRPr="006B0843">
        <w:rPr>
          <w:rFonts w:asciiTheme="minorBidi" w:hAnsiTheme="minorBidi" w:cstheme="minorBidi"/>
          <w:sz w:val="22"/>
          <w:szCs w:val="22"/>
        </w:rPr>
        <w:t>Offers</w:t>
      </w:r>
      <w:r w:rsidR="000F2D4D" w:rsidRPr="006B0843">
        <w:rPr>
          <w:rFonts w:asciiTheme="minorBidi" w:hAnsiTheme="minorBidi" w:cstheme="minorBidi"/>
          <w:sz w:val="22"/>
          <w:szCs w:val="22"/>
        </w:rPr>
        <w:t>,</w:t>
      </w:r>
      <w:r w:rsidRPr="006B0843">
        <w:rPr>
          <w:rFonts w:asciiTheme="minorBidi" w:hAnsiTheme="minorBidi" w:cstheme="minorBidi"/>
          <w:sz w:val="22"/>
          <w:szCs w:val="22"/>
        </w:rPr>
        <w:t xml:space="preserve"> and Admission to FSRA Official List of Securities</w:t>
      </w:r>
      <w:bookmarkEnd w:id="54"/>
    </w:p>
    <w:p w14:paraId="79EAFB74" w14:textId="6556C8BD" w:rsidR="0067733C" w:rsidRPr="006B0843" w:rsidRDefault="0067733C" w:rsidP="001C4A2D">
      <w:pPr>
        <w:pStyle w:val="ListParagraph"/>
        <w:numPr>
          <w:ilvl w:val="0"/>
          <w:numId w:val="1"/>
        </w:numPr>
        <w:ind w:left="567" w:hanging="567"/>
        <w:jc w:val="both"/>
        <w:rPr>
          <w:rFonts w:asciiTheme="minorBidi" w:hAnsiTheme="minorBidi"/>
        </w:rPr>
      </w:pPr>
      <w:r w:rsidRPr="006B0843">
        <w:rPr>
          <w:rFonts w:asciiTheme="minorBidi" w:hAnsiTheme="minorBidi"/>
        </w:rPr>
        <w:t>As set out in the Rules, and reinforced by this Guidance, the disclosure obligations imposed by the FSRA establish a high bar for the purposes of compliance by Mining Reporting Entities.</w:t>
      </w:r>
      <w:r w:rsidR="001C4A2D">
        <w:rPr>
          <w:rFonts w:asciiTheme="minorBidi" w:hAnsiTheme="minorBidi"/>
        </w:rPr>
        <w:t xml:space="preserve"> </w:t>
      </w:r>
      <w:r w:rsidR="00002FCA">
        <w:rPr>
          <w:rFonts w:asciiTheme="minorBidi" w:hAnsiTheme="minorBidi"/>
        </w:rPr>
        <w:t xml:space="preserve"> </w:t>
      </w:r>
      <w:r w:rsidRPr="006B0843">
        <w:rPr>
          <w:rFonts w:asciiTheme="minorBidi" w:hAnsiTheme="minorBidi"/>
        </w:rPr>
        <w:t xml:space="preserve">The intent behind these Rules is to provide a clear, rational set of regulatory requirements, </w:t>
      </w:r>
      <w:proofErr w:type="gramStart"/>
      <w:r w:rsidRPr="006B0843">
        <w:rPr>
          <w:rFonts w:asciiTheme="minorBidi" w:hAnsiTheme="minorBidi"/>
        </w:rPr>
        <w:t>in order to</w:t>
      </w:r>
      <w:proofErr w:type="gramEnd"/>
      <w:r w:rsidRPr="006B0843">
        <w:rPr>
          <w:rFonts w:asciiTheme="minorBidi" w:hAnsiTheme="minorBidi"/>
        </w:rPr>
        <w:t xml:space="preserve"> provide:</w:t>
      </w:r>
    </w:p>
    <w:p w14:paraId="73CA6813" w14:textId="7B3291C6" w:rsidR="0067733C" w:rsidRPr="006B0843" w:rsidRDefault="0067733C" w:rsidP="0067733C">
      <w:pPr>
        <w:ind w:left="426"/>
        <w:jc w:val="both"/>
        <w:rPr>
          <w:rFonts w:asciiTheme="minorBidi" w:hAnsiTheme="minorBidi"/>
        </w:rPr>
      </w:pPr>
    </w:p>
    <w:p w14:paraId="305F97C0" w14:textId="73CEFF9B" w:rsidR="0067733C" w:rsidRPr="006B0843" w:rsidRDefault="0067733C" w:rsidP="001C4A2D">
      <w:pPr>
        <w:pStyle w:val="ListParagraph"/>
        <w:numPr>
          <w:ilvl w:val="0"/>
          <w:numId w:val="30"/>
        </w:numPr>
        <w:ind w:left="1134" w:hanging="567"/>
        <w:jc w:val="both"/>
        <w:rPr>
          <w:rFonts w:asciiTheme="minorBidi" w:hAnsiTheme="minorBidi"/>
        </w:rPr>
      </w:pPr>
      <w:r w:rsidRPr="006B0843">
        <w:rPr>
          <w:rFonts w:asciiTheme="minorBidi" w:hAnsiTheme="minorBidi"/>
        </w:rPr>
        <w:t xml:space="preserve">Mining Reporting Entities </w:t>
      </w:r>
      <w:r w:rsidR="00F32E9F" w:rsidRPr="006B0843">
        <w:rPr>
          <w:rFonts w:asciiTheme="minorBidi" w:hAnsiTheme="minorBidi"/>
        </w:rPr>
        <w:t xml:space="preserve">with </w:t>
      </w:r>
      <w:r w:rsidRPr="006B0843">
        <w:rPr>
          <w:rFonts w:asciiTheme="minorBidi" w:hAnsiTheme="minorBidi"/>
        </w:rPr>
        <w:t>clear requirements as to what they need to understand and ensure compliance with, to allow them to suitably comply with the requirements of being a Mining Reporting Entity; and</w:t>
      </w:r>
    </w:p>
    <w:p w14:paraId="5779821C" w14:textId="77777777" w:rsidR="0067733C" w:rsidRPr="006B0843" w:rsidRDefault="0067733C" w:rsidP="001C4A2D">
      <w:pPr>
        <w:pStyle w:val="ListParagraph"/>
        <w:ind w:left="1134" w:hanging="567"/>
        <w:jc w:val="both"/>
        <w:rPr>
          <w:rFonts w:asciiTheme="minorBidi" w:hAnsiTheme="minorBidi"/>
        </w:rPr>
      </w:pPr>
    </w:p>
    <w:p w14:paraId="5E0F4726" w14:textId="6DAA75A6" w:rsidR="0067733C" w:rsidRPr="006B0843" w:rsidRDefault="0067733C" w:rsidP="001C4A2D">
      <w:pPr>
        <w:pStyle w:val="ListParagraph"/>
        <w:numPr>
          <w:ilvl w:val="0"/>
          <w:numId w:val="30"/>
        </w:numPr>
        <w:ind w:left="1134" w:hanging="567"/>
        <w:jc w:val="both"/>
        <w:rPr>
          <w:rFonts w:asciiTheme="minorBidi" w:hAnsiTheme="minorBidi"/>
        </w:rPr>
      </w:pPr>
      <w:r w:rsidRPr="006B0843">
        <w:rPr>
          <w:rFonts w:asciiTheme="minorBidi" w:hAnsiTheme="minorBidi"/>
        </w:rPr>
        <w:t xml:space="preserve">the market (that invests and trades in the Securities of the Mining Reporting Entity) a clear, and suitably regulated, framework to allow it better </w:t>
      </w:r>
      <w:proofErr w:type="gramStart"/>
      <w:r w:rsidRPr="006B0843">
        <w:rPr>
          <w:rFonts w:asciiTheme="minorBidi" w:hAnsiTheme="minorBidi"/>
        </w:rPr>
        <w:t>understand</w:t>
      </w:r>
      <w:proofErr w:type="gramEnd"/>
      <w:r w:rsidRPr="006B0843">
        <w:rPr>
          <w:rFonts w:asciiTheme="minorBidi" w:hAnsiTheme="minorBidi"/>
        </w:rPr>
        <w:t xml:space="preserve"> the information disclosed by Mining Reporting Entities. </w:t>
      </w:r>
    </w:p>
    <w:p w14:paraId="6DA7F10C" w14:textId="5A4C6D17" w:rsidR="006A6DBB" w:rsidRPr="006B0843" w:rsidRDefault="006A6DBB" w:rsidP="0067733C">
      <w:pPr>
        <w:rPr>
          <w:rFonts w:asciiTheme="minorBidi" w:hAnsiTheme="minorBidi"/>
        </w:rPr>
      </w:pPr>
    </w:p>
    <w:p w14:paraId="01961E44" w14:textId="31666EBF" w:rsidR="00DA5F60" w:rsidRPr="006B0843" w:rsidRDefault="00DA5F60" w:rsidP="001C4A2D">
      <w:pPr>
        <w:pStyle w:val="ListParagraph"/>
        <w:numPr>
          <w:ilvl w:val="0"/>
          <w:numId w:val="1"/>
        </w:numPr>
        <w:ind w:left="567" w:hanging="594"/>
        <w:jc w:val="both"/>
        <w:rPr>
          <w:rFonts w:asciiTheme="minorBidi" w:hAnsiTheme="minorBidi"/>
        </w:rPr>
      </w:pPr>
      <w:r w:rsidRPr="006B0843">
        <w:rPr>
          <w:rFonts w:asciiTheme="minorBidi" w:hAnsiTheme="minorBidi"/>
        </w:rPr>
        <w:t>For these reasons, the FSRA considers these Rules (particularly in the way that they inter-relate between Issuers/entities making an Offer of Securities and Reporting Entities) establish a standard of disclosure, and expectations of related conduct by Mining Reporting Entities, of a market leading calibre.  The FSRA expects therefore that these Rules be applied only to those entities that will undertake the full set of requirements within the Rules, meaning that a Mining Reporting Entity</w:t>
      </w:r>
      <w:r w:rsidR="00893082" w:rsidRPr="006B0843">
        <w:rPr>
          <w:rFonts w:asciiTheme="minorBidi" w:hAnsiTheme="minorBidi"/>
        </w:rPr>
        <w:t xml:space="preserve"> should be</w:t>
      </w:r>
      <w:r w:rsidRPr="006B0843">
        <w:rPr>
          <w:rFonts w:asciiTheme="minorBidi" w:hAnsiTheme="minorBidi"/>
        </w:rPr>
        <w:t>:</w:t>
      </w:r>
    </w:p>
    <w:p w14:paraId="499E3B9E" w14:textId="77777777" w:rsidR="00DA5F60" w:rsidRPr="006B0843" w:rsidRDefault="00DA5F60" w:rsidP="00DA5F60">
      <w:pPr>
        <w:pStyle w:val="ListParagraph"/>
        <w:ind w:left="426"/>
        <w:jc w:val="both"/>
        <w:rPr>
          <w:rFonts w:asciiTheme="minorBidi" w:hAnsiTheme="minorBidi"/>
        </w:rPr>
      </w:pPr>
    </w:p>
    <w:p w14:paraId="503EE86D" w14:textId="258E01AA" w:rsidR="00DA5F60" w:rsidRPr="006B0843" w:rsidRDefault="00DA5F60" w:rsidP="001C4A2D">
      <w:pPr>
        <w:pStyle w:val="ListParagraph"/>
        <w:numPr>
          <w:ilvl w:val="0"/>
          <w:numId w:val="31"/>
        </w:numPr>
        <w:ind w:left="1134" w:hanging="567"/>
        <w:jc w:val="both"/>
        <w:rPr>
          <w:rFonts w:asciiTheme="minorBidi" w:hAnsiTheme="minorBidi"/>
        </w:rPr>
      </w:pPr>
      <w:r w:rsidRPr="006B0843">
        <w:rPr>
          <w:rFonts w:asciiTheme="minorBidi" w:hAnsiTheme="minorBidi"/>
        </w:rPr>
        <w:t xml:space="preserve">conducting an Offer of Securities and complying with Rule </w:t>
      </w:r>
      <w:proofErr w:type="gramStart"/>
      <w:r w:rsidRPr="006B0843">
        <w:rPr>
          <w:rFonts w:asciiTheme="minorBidi" w:hAnsiTheme="minorBidi"/>
        </w:rPr>
        <w:t>11.3;</w:t>
      </w:r>
      <w:proofErr w:type="gramEnd"/>
      <w:r w:rsidRPr="006B0843">
        <w:rPr>
          <w:rFonts w:asciiTheme="minorBidi" w:hAnsiTheme="minorBidi"/>
        </w:rPr>
        <w:t xml:space="preserve"> </w:t>
      </w:r>
    </w:p>
    <w:p w14:paraId="458F4F88" w14:textId="77777777" w:rsidR="00DA5F60" w:rsidRPr="006B0843" w:rsidRDefault="00DA5F60" w:rsidP="001C4A2D">
      <w:pPr>
        <w:pStyle w:val="ListParagraph"/>
        <w:ind w:left="1134" w:hanging="567"/>
        <w:jc w:val="both"/>
        <w:rPr>
          <w:rFonts w:asciiTheme="minorBidi" w:hAnsiTheme="minorBidi"/>
        </w:rPr>
      </w:pPr>
    </w:p>
    <w:p w14:paraId="6D72EF6B" w14:textId="5E5CE2F2" w:rsidR="00DA5F60" w:rsidRPr="006B0843" w:rsidRDefault="00DA5F60" w:rsidP="001C4A2D">
      <w:pPr>
        <w:pStyle w:val="ListParagraph"/>
        <w:numPr>
          <w:ilvl w:val="0"/>
          <w:numId w:val="31"/>
        </w:numPr>
        <w:ind w:left="1134" w:hanging="567"/>
        <w:jc w:val="both"/>
        <w:rPr>
          <w:rFonts w:asciiTheme="minorBidi" w:hAnsiTheme="minorBidi"/>
        </w:rPr>
      </w:pPr>
      <w:r w:rsidRPr="006B0843">
        <w:rPr>
          <w:rFonts w:asciiTheme="minorBidi" w:hAnsiTheme="minorBidi"/>
        </w:rPr>
        <w:t>seeking admission to the Official List of Securities</w:t>
      </w:r>
      <w:r w:rsidR="008A461E" w:rsidRPr="006B0843">
        <w:rPr>
          <w:rFonts w:asciiTheme="minorBidi" w:hAnsiTheme="minorBidi"/>
        </w:rPr>
        <w:t xml:space="preserve"> (under </w:t>
      </w:r>
      <w:r w:rsidR="00A23B85">
        <w:rPr>
          <w:rFonts w:asciiTheme="minorBidi" w:hAnsiTheme="minorBidi"/>
        </w:rPr>
        <w:t>s</w:t>
      </w:r>
      <w:r w:rsidR="008A461E" w:rsidRPr="006B0843">
        <w:rPr>
          <w:rFonts w:asciiTheme="minorBidi" w:hAnsiTheme="minorBidi"/>
        </w:rPr>
        <w:t>ection 51 of FSMR</w:t>
      </w:r>
      <w:proofErr w:type="gramStart"/>
      <w:r w:rsidR="008A461E" w:rsidRPr="006B0843">
        <w:rPr>
          <w:rFonts w:asciiTheme="minorBidi" w:hAnsiTheme="minorBidi"/>
        </w:rPr>
        <w:t>)</w:t>
      </w:r>
      <w:r w:rsidRPr="006B0843">
        <w:rPr>
          <w:rFonts w:asciiTheme="minorBidi" w:hAnsiTheme="minorBidi"/>
        </w:rPr>
        <w:t>;</w:t>
      </w:r>
      <w:proofErr w:type="gramEnd"/>
      <w:r w:rsidRPr="006B0843">
        <w:rPr>
          <w:rFonts w:asciiTheme="minorBidi" w:hAnsiTheme="minorBidi"/>
        </w:rPr>
        <w:t xml:space="preserve"> </w:t>
      </w:r>
    </w:p>
    <w:p w14:paraId="6335FAD7" w14:textId="77777777" w:rsidR="00DA5F60" w:rsidRPr="006B0843" w:rsidRDefault="00DA5F60" w:rsidP="001C4A2D">
      <w:pPr>
        <w:pStyle w:val="ListParagraph"/>
        <w:ind w:left="1134" w:hanging="567"/>
        <w:rPr>
          <w:rFonts w:asciiTheme="minorBidi" w:hAnsiTheme="minorBidi"/>
        </w:rPr>
      </w:pPr>
    </w:p>
    <w:p w14:paraId="53E3F0CC" w14:textId="579EA325" w:rsidR="00893082" w:rsidRPr="006B0843" w:rsidRDefault="00DA5F60" w:rsidP="001C4A2D">
      <w:pPr>
        <w:pStyle w:val="ListParagraph"/>
        <w:numPr>
          <w:ilvl w:val="0"/>
          <w:numId w:val="31"/>
        </w:numPr>
        <w:ind w:left="1134" w:hanging="567"/>
        <w:jc w:val="both"/>
        <w:rPr>
          <w:rFonts w:asciiTheme="minorBidi" w:hAnsiTheme="minorBidi"/>
        </w:rPr>
      </w:pPr>
      <w:r w:rsidRPr="006B0843">
        <w:rPr>
          <w:rFonts w:asciiTheme="minorBidi" w:hAnsiTheme="minorBidi"/>
        </w:rPr>
        <w:lastRenderedPageBreak/>
        <w:t>seeking admission to trading on a Recognised Investment Exchange</w:t>
      </w:r>
      <w:r w:rsidR="00F32E9F" w:rsidRPr="006B0843">
        <w:rPr>
          <w:rFonts w:asciiTheme="minorBidi" w:hAnsiTheme="minorBidi"/>
        </w:rPr>
        <w:t xml:space="preserve"> </w:t>
      </w:r>
      <w:r w:rsidR="008A461E" w:rsidRPr="006B0843">
        <w:rPr>
          <w:rFonts w:asciiTheme="minorBidi" w:hAnsiTheme="minorBidi"/>
        </w:rPr>
        <w:t>(RIE)</w:t>
      </w:r>
      <w:r w:rsidR="00F32E9F" w:rsidRPr="006B0843">
        <w:rPr>
          <w:rFonts w:asciiTheme="minorBidi" w:hAnsiTheme="minorBidi"/>
        </w:rPr>
        <w:t>;</w:t>
      </w:r>
      <w:r w:rsidR="00893082" w:rsidRPr="006B0843">
        <w:rPr>
          <w:rStyle w:val="FootnoteReference"/>
          <w:rFonts w:asciiTheme="minorBidi" w:hAnsiTheme="minorBidi"/>
        </w:rPr>
        <w:footnoteReference w:id="19"/>
      </w:r>
      <w:r w:rsidR="00893082" w:rsidRPr="006B0843">
        <w:rPr>
          <w:rFonts w:asciiTheme="minorBidi" w:hAnsiTheme="minorBidi"/>
        </w:rPr>
        <w:t xml:space="preserve"> and </w:t>
      </w:r>
    </w:p>
    <w:p w14:paraId="3F95158C" w14:textId="77777777" w:rsidR="00893082" w:rsidRPr="006B0843" w:rsidRDefault="00893082" w:rsidP="001C4A2D">
      <w:pPr>
        <w:pStyle w:val="ListParagraph"/>
        <w:ind w:left="1134" w:hanging="567"/>
        <w:rPr>
          <w:rFonts w:asciiTheme="minorBidi" w:hAnsiTheme="minorBidi"/>
        </w:rPr>
      </w:pPr>
    </w:p>
    <w:p w14:paraId="4540A20F" w14:textId="068344F7" w:rsidR="00893082" w:rsidRPr="006B0843" w:rsidRDefault="00893082" w:rsidP="001C4A2D">
      <w:pPr>
        <w:pStyle w:val="ListParagraph"/>
        <w:numPr>
          <w:ilvl w:val="0"/>
          <w:numId w:val="31"/>
        </w:numPr>
        <w:ind w:left="1134" w:hanging="567"/>
        <w:jc w:val="both"/>
        <w:rPr>
          <w:rFonts w:asciiTheme="minorBidi" w:hAnsiTheme="minorBidi"/>
        </w:rPr>
      </w:pPr>
      <w:r w:rsidRPr="006B0843">
        <w:rPr>
          <w:rFonts w:asciiTheme="minorBidi" w:hAnsiTheme="minorBidi"/>
        </w:rPr>
        <w:t>complying with the ongoing disclosure Rules in their entirety, including Chapter 11.</w:t>
      </w:r>
    </w:p>
    <w:p w14:paraId="3B8B7121" w14:textId="77777777" w:rsidR="00893082" w:rsidRPr="006B0843" w:rsidRDefault="00893082" w:rsidP="00893082">
      <w:pPr>
        <w:pStyle w:val="ListParagraph"/>
        <w:rPr>
          <w:rFonts w:asciiTheme="minorBidi" w:hAnsiTheme="minorBidi"/>
        </w:rPr>
      </w:pPr>
    </w:p>
    <w:p w14:paraId="2B4E9194" w14:textId="4D5FF804" w:rsidR="00893082" w:rsidRPr="006B0843" w:rsidRDefault="00893082"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In effect, the FSRA sees the ability of a Mining Reporting Entity to raise capital within ADGM and ensure ongoing compliance with the Rules as part of an over-arching </w:t>
      </w:r>
      <w:r w:rsidR="008A461E" w:rsidRPr="006B0843">
        <w:rPr>
          <w:rFonts w:asciiTheme="minorBidi" w:hAnsiTheme="minorBidi"/>
        </w:rPr>
        <w:t xml:space="preserve">set of </w:t>
      </w:r>
      <w:r w:rsidRPr="006B0843">
        <w:rPr>
          <w:rFonts w:asciiTheme="minorBidi" w:hAnsiTheme="minorBidi"/>
        </w:rPr>
        <w:t xml:space="preserve">regulatory </w:t>
      </w:r>
      <w:r w:rsidR="008A461E" w:rsidRPr="006B0843">
        <w:rPr>
          <w:rFonts w:asciiTheme="minorBidi" w:hAnsiTheme="minorBidi"/>
        </w:rPr>
        <w:t>requirements</w:t>
      </w:r>
      <w:r w:rsidRPr="006B0843">
        <w:rPr>
          <w:rFonts w:asciiTheme="minorBidi" w:hAnsiTheme="minorBidi"/>
        </w:rPr>
        <w:t>.</w:t>
      </w:r>
      <w:r w:rsidR="008A461E" w:rsidRPr="006B0843">
        <w:rPr>
          <w:rFonts w:asciiTheme="minorBidi" w:hAnsiTheme="minorBidi"/>
        </w:rPr>
        <w:t xml:space="preserve"> </w:t>
      </w:r>
      <w:r w:rsidR="00002FCA">
        <w:rPr>
          <w:rFonts w:asciiTheme="minorBidi" w:hAnsiTheme="minorBidi"/>
        </w:rPr>
        <w:t xml:space="preserve"> </w:t>
      </w:r>
      <w:r w:rsidRPr="006B0843">
        <w:rPr>
          <w:rFonts w:asciiTheme="minorBidi" w:hAnsiTheme="minorBidi"/>
        </w:rPr>
        <w:t>The following circumstances, therefore, are important to note:</w:t>
      </w:r>
    </w:p>
    <w:p w14:paraId="28396F1C" w14:textId="77777777" w:rsidR="00893082" w:rsidRPr="006B0843" w:rsidRDefault="00893082" w:rsidP="00893082">
      <w:pPr>
        <w:pStyle w:val="ListParagraph"/>
        <w:ind w:left="426"/>
        <w:jc w:val="both"/>
        <w:rPr>
          <w:rFonts w:asciiTheme="minorBidi" w:hAnsiTheme="minorBidi"/>
        </w:rPr>
      </w:pPr>
    </w:p>
    <w:p w14:paraId="4003E792" w14:textId="10BABD09" w:rsidR="00893082" w:rsidRPr="006B0843" w:rsidRDefault="00893082" w:rsidP="001C4A2D">
      <w:pPr>
        <w:pStyle w:val="ListParagraph"/>
        <w:numPr>
          <w:ilvl w:val="0"/>
          <w:numId w:val="32"/>
        </w:numPr>
        <w:ind w:left="1134" w:hanging="567"/>
        <w:jc w:val="both"/>
        <w:rPr>
          <w:rFonts w:asciiTheme="minorBidi" w:hAnsiTheme="minorBidi"/>
        </w:rPr>
      </w:pPr>
      <w:r w:rsidRPr="006B0843">
        <w:rPr>
          <w:rFonts w:asciiTheme="minorBidi" w:hAnsiTheme="minorBidi"/>
        </w:rPr>
        <w:t>If an Issuer was seeking to make a Prospectus Offer within ADGM, but not seek</w:t>
      </w:r>
      <w:r w:rsidR="00F32E9F" w:rsidRPr="006B0843">
        <w:rPr>
          <w:rFonts w:asciiTheme="minorBidi" w:hAnsiTheme="minorBidi"/>
        </w:rPr>
        <w:t>ing</w:t>
      </w:r>
      <w:r w:rsidRPr="006B0843">
        <w:rPr>
          <w:rFonts w:asciiTheme="minorBidi" w:hAnsiTheme="minorBidi"/>
        </w:rPr>
        <w:t xml:space="preserve"> to be listed and traded </w:t>
      </w:r>
      <w:r w:rsidR="00AD77D9" w:rsidRPr="006B0843">
        <w:rPr>
          <w:rFonts w:asciiTheme="minorBidi" w:hAnsiTheme="minorBidi"/>
        </w:rPr>
        <w:t>within ADGM</w:t>
      </w:r>
      <w:r w:rsidRPr="006B0843">
        <w:rPr>
          <w:rFonts w:asciiTheme="minorBidi" w:hAnsiTheme="minorBidi"/>
        </w:rPr>
        <w:t>, then depending on where the listing and trading was to occur</w:t>
      </w:r>
      <w:r w:rsidR="00F32E9F" w:rsidRPr="006B0843">
        <w:rPr>
          <w:rFonts w:asciiTheme="minorBidi" w:hAnsiTheme="minorBidi"/>
        </w:rPr>
        <w:t>,</w:t>
      </w:r>
      <w:r w:rsidRPr="006B0843">
        <w:rPr>
          <w:rFonts w:asciiTheme="minorBidi" w:hAnsiTheme="minorBidi"/>
        </w:rPr>
        <w:t xml:space="preserve"> the FSRA may not view the entity as having the required ‘investor protection’ and ‘disclosure’ protections in </w:t>
      </w:r>
      <w:proofErr w:type="gramStart"/>
      <w:r w:rsidRPr="006B0843">
        <w:rPr>
          <w:rFonts w:asciiTheme="minorBidi" w:hAnsiTheme="minorBidi"/>
        </w:rPr>
        <w:t>place, and</w:t>
      </w:r>
      <w:proofErr w:type="gramEnd"/>
      <w:r w:rsidRPr="006B0843">
        <w:rPr>
          <w:rFonts w:asciiTheme="minorBidi" w:hAnsiTheme="minorBidi"/>
        </w:rPr>
        <w:t xml:space="preserve"> </w:t>
      </w:r>
      <w:r w:rsidR="00F32E9F" w:rsidRPr="006B0843">
        <w:rPr>
          <w:rFonts w:asciiTheme="minorBidi" w:hAnsiTheme="minorBidi"/>
        </w:rPr>
        <w:t xml:space="preserve">may </w:t>
      </w:r>
      <w:r w:rsidRPr="006B0843">
        <w:rPr>
          <w:rFonts w:asciiTheme="minorBidi" w:hAnsiTheme="minorBidi"/>
        </w:rPr>
        <w:t>not form a view that it can approve the Prospectus under Rule 4.6.2</w:t>
      </w:r>
      <w:r w:rsidR="008A461E" w:rsidRPr="006B0843">
        <w:rPr>
          <w:rFonts w:asciiTheme="minorBidi" w:hAnsiTheme="minorBidi"/>
        </w:rPr>
        <w:t>.  In such circumstance, it may be the FSRA’s general view that the Issuer (or relevant entity) also seek admission to the Official List and admission to trading on a</w:t>
      </w:r>
      <w:r w:rsidR="00BE2C0A">
        <w:rPr>
          <w:rFonts w:asciiTheme="minorBidi" w:hAnsiTheme="minorBidi"/>
        </w:rPr>
        <w:t>n</w:t>
      </w:r>
      <w:r w:rsidR="008A461E" w:rsidRPr="006B0843">
        <w:rPr>
          <w:rFonts w:asciiTheme="minorBidi" w:hAnsiTheme="minorBidi"/>
        </w:rPr>
        <w:t xml:space="preserve"> </w:t>
      </w:r>
      <w:proofErr w:type="gramStart"/>
      <w:r w:rsidR="008A461E" w:rsidRPr="006B0843">
        <w:rPr>
          <w:rFonts w:asciiTheme="minorBidi" w:hAnsiTheme="minorBidi"/>
        </w:rPr>
        <w:t>RIE</w:t>
      </w:r>
      <w:r w:rsidRPr="006B0843">
        <w:rPr>
          <w:rFonts w:asciiTheme="minorBidi" w:hAnsiTheme="minorBidi"/>
        </w:rPr>
        <w:t>;</w:t>
      </w:r>
      <w:proofErr w:type="gramEnd"/>
    </w:p>
    <w:p w14:paraId="5541959E" w14:textId="77777777" w:rsidR="008A461E" w:rsidRPr="006B0843" w:rsidRDefault="008A461E" w:rsidP="001C4A2D">
      <w:pPr>
        <w:pStyle w:val="ListParagraph"/>
        <w:ind w:left="1134" w:hanging="567"/>
        <w:jc w:val="both"/>
        <w:rPr>
          <w:rFonts w:asciiTheme="minorBidi" w:hAnsiTheme="minorBidi"/>
        </w:rPr>
      </w:pPr>
    </w:p>
    <w:p w14:paraId="6B997072" w14:textId="1052BF0D" w:rsidR="00AD77D9" w:rsidRPr="006B0843" w:rsidRDefault="00AD77D9" w:rsidP="001C4A2D">
      <w:pPr>
        <w:pStyle w:val="ListParagraph"/>
        <w:numPr>
          <w:ilvl w:val="0"/>
          <w:numId w:val="32"/>
        </w:numPr>
        <w:ind w:left="1134" w:hanging="567"/>
        <w:jc w:val="both"/>
        <w:rPr>
          <w:rFonts w:asciiTheme="minorBidi" w:hAnsiTheme="minorBidi"/>
        </w:rPr>
      </w:pPr>
      <w:r w:rsidRPr="006B0843">
        <w:rPr>
          <w:rFonts w:asciiTheme="minorBidi" w:hAnsiTheme="minorBidi"/>
        </w:rPr>
        <w:t xml:space="preserve">If an issuer was seeking to make a prospectus offer outside ADGM, but then seek to be listed and traded within ADGM, then depending on where the listing and trading was to occur the FSRA may not view the issuer as having made an offer of securities (equivalent to the requirements within the Rules), such that there were inadequate ‘investor protection’ and ‘disclosure’ protections in place, and it may, therefore, form a view that it cannot approve an admission to the Official List (under </w:t>
      </w:r>
      <w:r w:rsidR="00A23B85">
        <w:rPr>
          <w:rFonts w:asciiTheme="minorBidi" w:hAnsiTheme="minorBidi"/>
        </w:rPr>
        <w:t>s</w:t>
      </w:r>
      <w:r w:rsidRPr="006B0843">
        <w:rPr>
          <w:rFonts w:asciiTheme="minorBidi" w:hAnsiTheme="minorBidi"/>
        </w:rPr>
        <w:t>ection 50(2) of FSMR)</w:t>
      </w:r>
      <w:r w:rsidR="008A461E" w:rsidRPr="006B0843">
        <w:rPr>
          <w:rFonts w:asciiTheme="minorBidi" w:hAnsiTheme="minorBidi"/>
        </w:rPr>
        <w:t xml:space="preserve">. </w:t>
      </w:r>
      <w:r w:rsidR="00002FCA">
        <w:rPr>
          <w:rFonts w:asciiTheme="minorBidi" w:hAnsiTheme="minorBidi"/>
        </w:rPr>
        <w:t xml:space="preserve"> </w:t>
      </w:r>
      <w:r w:rsidR="008A461E" w:rsidRPr="006B0843">
        <w:rPr>
          <w:rFonts w:asciiTheme="minorBidi" w:hAnsiTheme="minorBidi"/>
        </w:rPr>
        <w:t xml:space="preserve">In such circumstance, it may be the FSRA’s general view that the Issuer (or relevant entity) also make a Prospectus Offer within ADGM as </w:t>
      </w:r>
      <w:proofErr w:type="gramStart"/>
      <w:r w:rsidR="008A461E" w:rsidRPr="006B0843">
        <w:rPr>
          <w:rFonts w:asciiTheme="minorBidi" w:hAnsiTheme="minorBidi"/>
        </w:rPr>
        <w:t>well</w:t>
      </w:r>
      <w:r w:rsidRPr="006B0843">
        <w:rPr>
          <w:rFonts w:asciiTheme="minorBidi" w:hAnsiTheme="minorBidi"/>
        </w:rPr>
        <w:t>;</w:t>
      </w:r>
      <w:proofErr w:type="gramEnd"/>
    </w:p>
    <w:p w14:paraId="631CBE9E" w14:textId="6BDD49D0" w:rsidR="00AD77D9" w:rsidRPr="006B0843" w:rsidRDefault="00AD77D9" w:rsidP="001C4A2D">
      <w:pPr>
        <w:pStyle w:val="ListParagraph"/>
        <w:ind w:left="1134" w:hanging="567"/>
        <w:jc w:val="both"/>
        <w:rPr>
          <w:rFonts w:asciiTheme="minorBidi" w:hAnsiTheme="minorBidi"/>
        </w:rPr>
      </w:pPr>
    </w:p>
    <w:p w14:paraId="1D8BF096" w14:textId="25CFE803" w:rsidR="00AD77D9" w:rsidRPr="006B0843" w:rsidRDefault="00AD77D9" w:rsidP="001C4A2D">
      <w:pPr>
        <w:pStyle w:val="ListParagraph"/>
        <w:numPr>
          <w:ilvl w:val="0"/>
          <w:numId w:val="32"/>
        </w:numPr>
        <w:ind w:left="1134" w:hanging="567"/>
        <w:jc w:val="both"/>
        <w:rPr>
          <w:rFonts w:asciiTheme="minorBidi" w:hAnsiTheme="minorBidi"/>
        </w:rPr>
      </w:pPr>
      <w:r w:rsidRPr="006B0843">
        <w:rPr>
          <w:rFonts w:asciiTheme="minorBidi" w:hAnsiTheme="minorBidi"/>
        </w:rPr>
        <w:t>If an Issuer was seeking to make a Prospectus Offer within ADGM and in another ‘equivalent’ jurisdiction</w:t>
      </w:r>
      <w:r w:rsidRPr="006B0843">
        <w:rPr>
          <w:rStyle w:val="FootnoteReference"/>
          <w:rFonts w:asciiTheme="minorBidi" w:hAnsiTheme="minorBidi"/>
        </w:rPr>
        <w:footnoteReference w:id="20"/>
      </w:r>
      <w:r w:rsidRPr="006B0843">
        <w:rPr>
          <w:rFonts w:asciiTheme="minorBidi" w:hAnsiTheme="minorBidi"/>
        </w:rPr>
        <w:t>, but not seek</w:t>
      </w:r>
      <w:r w:rsidR="00F32E9F" w:rsidRPr="006B0843">
        <w:rPr>
          <w:rFonts w:asciiTheme="minorBidi" w:hAnsiTheme="minorBidi"/>
        </w:rPr>
        <w:t>ing</w:t>
      </w:r>
      <w:r w:rsidRPr="006B0843">
        <w:rPr>
          <w:rFonts w:asciiTheme="minorBidi" w:hAnsiTheme="minorBidi"/>
        </w:rPr>
        <w:t xml:space="preserve"> to be listed and traded within ADGM, the FSRA may </w:t>
      </w:r>
      <w:r w:rsidR="00F32E9F" w:rsidRPr="006B0843">
        <w:rPr>
          <w:rFonts w:asciiTheme="minorBidi" w:hAnsiTheme="minorBidi"/>
        </w:rPr>
        <w:t xml:space="preserve">be in a position to </w:t>
      </w:r>
      <w:r w:rsidRPr="006B0843">
        <w:rPr>
          <w:rFonts w:asciiTheme="minorBidi" w:hAnsiTheme="minorBidi"/>
        </w:rPr>
        <w:t>consider</w:t>
      </w:r>
      <w:r w:rsidR="00F32E9F" w:rsidRPr="006B0843">
        <w:rPr>
          <w:rFonts w:asciiTheme="minorBidi" w:hAnsiTheme="minorBidi"/>
        </w:rPr>
        <w:t>, based on its review of the Prospectus,</w:t>
      </w:r>
      <w:r w:rsidRPr="006B0843">
        <w:rPr>
          <w:rFonts w:asciiTheme="minorBidi" w:hAnsiTheme="minorBidi"/>
        </w:rPr>
        <w:t xml:space="preserve"> that the required ‘investor protection’ and ‘disclosure’ protections are in place, and </w:t>
      </w:r>
      <w:r w:rsidR="00F32E9F" w:rsidRPr="006B0843">
        <w:rPr>
          <w:rFonts w:asciiTheme="minorBidi" w:hAnsiTheme="minorBidi"/>
        </w:rPr>
        <w:t xml:space="preserve">may be able to </w:t>
      </w:r>
      <w:r w:rsidRPr="006B0843">
        <w:rPr>
          <w:rFonts w:asciiTheme="minorBidi" w:hAnsiTheme="minorBidi"/>
        </w:rPr>
        <w:t>form a view that it can approve the Prospectus under Rule 4.6.2;</w:t>
      </w:r>
    </w:p>
    <w:p w14:paraId="12AB2F8B" w14:textId="3EBA0DA2" w:rsidR="00AD77D9" w:rsidRPr="006B0843" w:rsidRDefault="00AD77D9" w:rsidP="001C4A2D">
      <w:pPr>
        <w:pStyle w:val="ListParagraph"/>
        <w:ind w:left="1134" w:hanging="567"/>
        <w:jc w:val="both"/>
        <w:rPr>
          <w:rFonts w:asciiTheme="minorBidi" w:hAnsiTheme="minorBidi"/>
        </w:rPr>
      </w:pPr>
    </w:p>
    <w:p w14:paraId="7A54A1A5" w14:textId="088972B9" w:rsidR="008A461E" w:rsidRPr="006B0843" w:rsidRDefault="00AD77D9" w:rsidP="001C4A2D">
      <w:pPr>
        <w:pStyle w:val="ListParagraph"/>
        <w:numPr>
          <w:ilvl w:val="0"/>
          <w:numId w:val="32"/>
        </w:numPr>
        <w:ind w:left="1134" w:hanging="567"/>
        <w:jc w:val="both"/>
        <w:rPr>
          <w:rFonts w:asciiTheme="minorBidi" w:hAnsiTheme="minorBidi"/>
        </w:rPr>
      </w:pPr>
      <w:r w:rsidRPr="006B0843">
        <w:rPr>
          <w:rFonts w:asciiTheme="minorBidi" w:hAnsiTheme="minorBidi"/>
        </w:rPr>
        <w:t>If an Issuer was seeking to make a Prospectus Offer within ADGM and outside ADGM (</w:t>
      </w:r>
      <w:r w:rsidR="008A461E" w:rsidRPr="006B0843">
        <w:rPr>
          <w:rFonts w:asciiTheme="minorBidi" w:hAnsiTheme="minorBidi"/>
        </w:rPr>
        <w:t>into an ‘equivalent jurisdiction’</w:t>
      </w:r>
      <w:r w:rsidR="008A461E" w:rsidRPr="006B0843">
        <w:rPr>
          <w:rStyle w:val="FootnoteReference"/>
          <w:rFonts w:asciiTheme="minorBidi" w:hAnsiTheme="minorBidi"/>
        </w:rPr>
        <w:footnoteReference w:id="21"/>
      </w:r>
      <w:r w:rsidR="008A461E" w:rsidRPr="006B0843">
        <w:rPr>
          <w:rFonts w:asciiTheme="minorBidi" w:hAnsiTheme="minorBidi"/>
        </w:rPr>
        <w:t>)</w:t>
      </w:r>
      <w:r w:rsidRPr="006B0843">
        <w:rPr>
          <w:rFonts w:asciiTheme="minorBidi" w:hAnsiTheme="minorBidi"/>
        </w:rPr>
        <w:t xml:space="preserve">, </w:t>
      </w:r>
      <w:r w:rsidR="008A461E" w:rsidRPr="006B0843">
        <w:rPr>
          <w:rFonts w:asciiTheme="minorBidi" w:hAnsiTheme="minorBidi"/>
        </w:rPr>
        <w:t>as well as seek</w:t>
      </w:r>
      <w:r w:rsidR="00F32E9F" w:rsidRPr="006B0843">
        <w:rPr>
          <w:rFonts w:asciiTheme="minorBidi" w:hAnsiTheme="minorBidi"/>
        </w:rPr>
        <w:t>ing</w:t>
      </w:r>
      <w:r w:rsidR="008A461E" w:rsidRPr="006B0843">
        <w:rPr>
          <w:rFonts w:asciiTheme="minorBidi" w:hAnsiTheme="minorBidi"/>
        </w:rPr>
        <w:t xml:space="preserve"> admission to the Official List</w:t>
      </w:r>
      <w:r w:rsidR="00F32E9F" w:rsidRPr="006B0843">
        <w:rPr>
          <w:rFonts w:asciiTheme="minorBidi" w:hAnsiTheme="minorBidi"/>
        </w:rPr>
        <w:t xml:space="preserve"> </w:t>
      </w:r>
      <w:r w:rsidR="008A461E" w:rsidRPr="006B0843">
        <w:rPr>
          <w:rFonts w:asciiTheme="minorBidi" w:hAnsiTheme="minorBidi"/>
        </w:rPr>
        <w:t>and admission to trading on a</w:t>
      </w:r>
      <w:r w:rsidR="00BE2C0A">
        <w:rPr>
          <w:rFonts w:asciiTheme="minorBidi" w:hAnsiTheme="minorBidi"/>
        </w:rPr>
        <w:t>n</w:t>
      </w:r>
      <w:r w:rsidR="008A461E" w:rsidRPr="006B0843">
        <w:rPr>
          <w:rFonts w:asciiTheme="minorBidi" w:hAnsiTheme="minorBidi"/>
        </w:rPr>
        <w:t xml:space="preserve"> RIE (on a primary listing, dual-listing, or secondary listing basis), the FSRA may </w:t>
      </w:r>
      <w:r w:rsidR="00F32E9F" w:rsidRPr="006B0843">
        <w:rPr>
          <w:rFonts w:asciiTheme="minorBidi" w:hAnsiTheme="minorBidi"/>
        </w:rPr>
        <w:t xml:space="preserve">be in a position to </w:t>
      </w:r>
      <w:r w:rsidR="008A461E" w:rsidRPr="006B0843">
        <w:rPr>
          <w:rFonts w:asciiTheme="minorBidi" w:hAnsiTheme="minorBidi"/>
        </w:rPr>
        <w:t xml:space="preserve">consider that the required ‘investor protection’ and ‘disclosure’ protections are in place, and </w:t>
      </w:r>
      <w:r w:rsidR="00F32E9F" w:rsidRPr="006B0843">
        <w:rPr>
          <w:rFonts w:asciiTheme="minorBidi" w:hAnsiTheme="minorBidi"/>
        </w:rPr>
        <w:t xml:space="preserve">may be able to </w:t>
      </w:r>
      <w:r w:rsidR="008A461E" w:rsidRPr="006B0843">
        <w:rPr>
          <w:rFonts w:asciiTheme="minorBidi" w:hAnsiTheme="minorBidi"/>
        </w:rPr>
        <w:t xml:space="preserve">form a view that it can approve the Prospectus under Rule 4.6.2 and approve an admission to the Official List of Securities (under </w:t>
      </w:r>
      <w:r w:rsidR="00A23B85">
        <w:rPr>
          <w:rFonts w:asciiTheme="minorBidi" w:hAnsiTheme="minorBidi"/>
        </w:rPr>
        <w:t>s</w:t>
      </w:r>
      <w:r w:rsidR="008A461E" w:rsidRPr="006B0843">
        <w:rPr>
          <w:rFonts w:asciiTheme="minorBidi" w:hAnsiTheme="minorBidi"/>
        </w:rPr>
        <w:t>ection 50(2) of FSMR)</w:t>
      </w:r>
      <w:r w:rsidR="00253E72">
        <w:rPr>
          <w:rFonts w:asciiTheme="minorBidi" w:hAnsiTheme="minorBidi"/>
        </w:rPr>
        <w:t>.</w:t>
      </w:r>
    </w:p>
    <w:p w14:paraId="2E7DFEE1" w14:textId="77777777" w:rsidR="008A461E" w:rsidRPr="006B0843" w:rsidRDefault="008A461E" w:rsidP="008A461E">
      <w:pPr>
        <w:pStyle w:val="ListParagraph"/>
        <w:rPr>
          <w:rFonts w:asciiTheme="minorBidi" w:hAnsiTheme="minorBidi"/>
        </w:rPr>
      </w:pPr>
    </w:p>
    <w:p w14:paraId="3E2F8DEA" w14:textId="29051F01" w:rsidR="00DA5F60" w:rsidRPr="006B0843" w:rsidRDefault="008A461E" w:rsidP="001C4A2D">
      <w:pPr>
        <w:pStyle w:val="ListParagraph"/>
        <w:numPr>
          <w:ilvl w:val="0"/>
          <w:numId w:val="1"/>
        </w:numPr>
        <w:ind w:left="567" w:hanging="567"/>
        <w:jc w:val="both"/>
        <w:rPr>
          <w:rFonts w:asciiTheme="minorBidi" w:hAnsiTheme="minorBidi"/>
        </w:rPr>
      </w:pPr>
      <w:r w:rsidRPr="006B0843">
        <w:rPr>
          <w:rFonts w:asciiTheme="minorBidi" w:hAnsiTheme="minorBidi"/>
        </w:rPr>
        <w:t xml:space="preserve">Considering the circumstances above, and the positioning of </w:t>
      </w:r>
      <w:r w:rsidR="006726AA">
        <w:rPr>
          <w:rFonts w:asciiTheme="minorBidi" w:hAnsiTheme="minorBidi"/>
        </w:rPr>
        <w:t xml:space="preserve">the </w:t>
      </w:r>
      <w:r w:rsidRPr="006B0843">
        <w:rPr>
          <w:rFonts w:asciiTheme="minorBidi" w:hAnsiTheme="minorBidi"/>
        </w:rPr>
        <w:t>FSRA in relation to these matter</w:t>
      </w:r>
      <w:r w:rsidR="006726AA">
        <w:rPr>
          <w:rFonts w:asciiTheme="minorBidi" w:hAnsiTheme="minorBidi"/>
        </w:rPr>
        <w:t>s</w:t>
      </w:r>
      <w:r w:rsidRPr="006B0843">
        <w:rPr>
          <w:rFonts w:asciiTheme="minorBidi" w:hAnsiTheme="minorBidi"/>
        </w:rPr>
        <w:t>, the FSRA suggests that Issuers/Mining Reporting Entities (and their advisors) contact the FSRA as early as possible to discuss.</w:t>
      </w:r>
    </w:p>
    <w:p w14:paraId="69626F77" w14:textId="77777777" w:rsidR="008A461E" w:rsidRPr="006B0843" w:rsidRDefault="008A461E" w:rsidP="008A461E">
      <w:pPr>
        <w:pStyle w:val="Heading1"/>
        <w:keepLines w:val="0"/>
        <w:spacing w:before="0" w:line="246" w:lineRule="atLeast"/>
        <w:jc w:val="both"/>
        <w:rPr>
          <w:rFonts w:asciiTheme="minorBidi" w:hAnsiTheme="minorBidi" w:cstheme="minorBidi"/>
          <w:sz w:val="22"/>
          <w:szCs w:val="22"/>
        </w:rPr>
      </w:pPr>
    </w:p>
    <w:p w14:paraId="7E4769D2" w14:textId="32D2A34A" w:rsidR="006A6DBB" w:rsidRPr="006B0843" w:rsidRDefault="006A6DBB" w:rsidP="008C4FE8">
      <w:pPr>
        <w:pStyle w:val="Heading1"/>
        <w:keepLines w:val="0"/>
        <w:spacing w:before="0" w:after="240" w:line="246" w:lineRule="atLeast"/>
        <w:jc w:val="both"/>
        <w:rPr>
          <w:rFonts w:asciiTheme="minorBidi" w:hAnsiTheme="minorBidi" w:cstheme="minorBidi"/>
          <w:sz w:val="22"/>
          <w:szCs w:val="22"/>
        </w:rPr>
      </w:pPr>
      <w:bookmarkStart w:id="55" w:name="_Toc43963882"/>
      <w:r w:rsidRPr="006B0843">
        <w:rPr>
          <w:rFonts w:asciiTheme="minorBidi" w:hAnsiTheme="minorBidi" w:cstheme="minorBidi"/>
          <w:sz w:val="22"/>
          <w:szCs w:val="22"/>
        </w:rPr>
        <w:t>MKT FORM 1</w:t>
      </w:r>
      <w:r w:rsidR="008C4FE8" w:rsidRPr="006B0843">
        <w:rPr>
          <w:rFonts w:asciiTheme="minorBidi" w:hAnsiTheme="minorBidi" w:cstheme="minorBidi"/>
          <w:sz w:val="22"/>
          <w:szCs w:val="22"/>
        </w:rPr>
        <w:t>1</w:t>
      </w:r>
      <w:r w:rsidRPr="006B0843">
        <w:rPr>
          <w:rFonts w:asciiTheme="minorBidi" w:hAnsiTheme="minorBidi" w:cstheme="minorBidi"/>
          <w:sz w:val="22"/>
          <w:szCs w:val="22"/>
        </w:rPr>
        <w:t>-1 – Summary of Reserves and Resources</w:t>
      </w:r>
      <w:bookmarkEnd w:id="55"/>
    </w:p>
    <w:p w14:paraId="03898C3A" w14:textId="04AD4559" w:rsidR="006A6DBB" w:rsidRPr="006B0843" w:rsidRDefault="006A6DBB" w:rsidP="001C4A2D">
      <w:pPr>
        <w:pStyle w:val="ListParagraph"/>
        <w:numPr>
          <w:ilvl w:val="0"/>
          <w:numId w:val="1"/>
        </w:numPr>
        <w:ind w:left="567" w:hanging="594"/>
        <w:jc w:val="both"/>
        <w:rPr>
          <w:rFonts w:asciiTheme="minorBidi" w:hAnsiTheme="minorBidi"/>
        </w:rPr>
      </w:pPr>
      <w:r w:rsidRPr="006B0843">
        <w:rPr>
          <w:rFonts w:asciiTheme="minorBidi" w:hAnsiTheme="minorBidi"/>
        </w:rPr>
        <w:t>Rule 1</w:t>
      </w:r>
      <w:r w:rsidR="008C4FE8" w:rsidRPr="006B0843">
        <w:rPr>
          <w:rFonts w:asciiTheme="minorBidi" w:hAnsiTheme="minorBidi"/>
        </w:rPr>
        <w:t>1</w:t>
      </w:r>
      <w:r w:rsidRPr="006B0843">
        <w:rPr>
          <w:rFonts w:asciiTheme="minorBidi" w:hAnsiTheme="minorBidi"/>
        </w:rPr>
        <w:t>.1</w:t>
      </w:r>
      <w:r w:rsidR="008C4FE8" w:rsidRPr="006B0843">
        <w:rPr>
          <w:rFonts w:asciiTheme="minorBidi" w:hAnsiTheme="minorBidi"/>
        </w:rPr>
        <w:t>1</w:t>
      </w:r>
      <w:r w:rsidRPr="006B0843">
        <w:rPr>
          <w:rFonts w:asciiTheme="minorBidi" w:hAnsiTheme="minorBidi"/>
        </w:rPr>
        <w:t xml:space="preserve">.1 requires a </w:t>
      </w:r>
      <w:r w:rsidR="008C4FE8" w:rsidRPr="006B0843">
        <w:rPr>
          <w:rFonts w:asciiTheme="minorBidi" w:hAnsiTheme="minorBidi"/>
        </w:rPr>
        <w:t xml:space="preserve">Mining </w:t>
      </w:r>
      <w:r w:rsidRPr="006B0843">
        <w:rPr>
          <w:rFonts w:asciiTheme="minorBidi" w:hAnsiTheme="minorBidi"/>
        </w:rPr>
        <w:t xml:space="preserve">Reporting Entity to include in its Summary of Reserves and Resources (see paragraphs </w:t>
      </w:r>
      <w:r w:rsidR="008C4FE8" w:rsidRPr="006B0843">
        <w:rPr>
          <w:rFonts w:asciiTheme="minorBidi" w:hAnsiTheme="minorBidi"/>
        </w:rPr>
        <w:t>128</w:t>
      </w:r>
      <w:r w:rsidR="005D03BF" w:rsidRPr="006B0843">
        <w:rPr>
          <w:rFonts w:asciiTheme="minorBidi" w:hAnsiTheme="minorBidi"/>
        </w:rPr>
        <w:t>-</w:t>
      </w:r>
      <w:r w:rsidR="008C4FE8" w:rsidRPr="006B0843">
        <w:rPr>
          <w:rFonts w:asciiTheme="minorBidi" w:hAnsiTheme="minorBidi"/>
        </w:rPr>
        <w:t>131</w:t>
      </w:r>
      <w:r w:rsidRPr="006B0843">
        <w:rPr>
          <w:rFonts w:asciiTheme="minorBidi" w:hAnsiTheme="minorBidi"/>
        </w:rPr>
        <w:t xml:space="preserve"> above) a table set out in the form of MKT Form 1</w:t>
      </w:r>
      <w:r w:rsidR="008C4FE8" w:rsidRPr="006B0843">
        <w:rPr>
          <w:rFonts w:asciiTheme="minorBidi" w:hAnsiTheme="minorBidi"/>
        </w:rPr>
        <w:t>1</w:t>
      </w:r>
      <w:r w:rsidRPr="006B0843">
        <w:rPr>
          <w:rFonts w:asciiTheme="minorBidi" w:hAnsiTheme="minorBidi"/>
        </w:rPr>
        <w:t>-1.  The information contained in MKT Form 1</w:t>
      </w:r>
      <w:r w:rsidR="008C4FE8" w:rsidRPr="006B0843">
        <w:rPr>
          <w:rFonts w:asciiTheme="minorBidi" w:hAnsiTheme="minorBidi"/>
        </w:rPr>
        <w:t>1</w:t>
      </w:r>
      <w:r w:rsidRPr="006B0843">
        <w:rPr>
          <w:rFonts w:asciiTheme="minorBidi" w:hAnsiTheme="minorBidi"/>
        </w:rPr>
        <w:t xml:space="preserve">-1 must be current as of the date no </w:t>
      </w:r>
      <w:r w:rsidRPr="006B0843">
        <w:rPr>
          <w:rFonts w:asciiTheme="minorBidi" w:hAnsiTheme="minorBidi"/>
        </w:rPr>
        <w:lastRenderedPageBreak/>
        <w:t>earlier than one month prior to the disclosure of MKT Form 1</w:t>
      </w:r>
      <w:r w:rsidR="008C4FE8" w:rsidRPr="006B0843">
        <w:rPr>
          <w:rFonts w:asciiTheme="minorBidi" w:hAnsiTheme="minorBidi"/>
        </w:rPr>
        <w:t>1</w:t>
      </w:r>
      <w:r w:rsidRPr="006B0843">
        <w:rPr>
          <w:rFonts w:asciiTheme="minorBidi" w:hAnsiTheme="minorBidi"/>
        </w:rPr>
        <w:t>-1.</w:t>
      </w:r>
      <w:r w:rsidR="008C4FE8" w:rsidRPr="006B0843">
        <w:rPr>
          <w:rFonts w:asciiTheme="minorBidi" w:hAnsiTheme="minorBidi"/>
        </w:rPr>
        <w:t xml:space="preserve">  The FSRA considers that the annual disclosure of the Summary of Reserves and Resources allows Mining Reporting Entities to comply with any applicable annual reporting obligations set out in a Mining Reporting Standard (for example, under Clause 15 of the JORC Code).</w:t>
      </w:r>
    </w:p>
    <w:p w14:paraId="3D4DC47F" w14:textId="0FED0F38" w:rsidR="006A6DBB" w:rsidRPr="006B0843" w:rsidRDefault="006A6DBB" w:rsidP="001C4A2D">
      <w:pPr>
        <w:pStyle w:val="ListParagraph"/>
        <w:ind w:left="567" w:hanging="594"/>
        <w:jc w:val="both"/>
        <w:rPr>
          <w:rFonts w:asciiTheme="minorBidi" w:hAnsiTheme="minorBidi"/>
        </w:rPr>
      </w:pPr>
    </w:p>
    <w:p w14:paraId="095B1576" w14:textId="276D8A64" w:rsidR="006A6DBB" w:rsidRPr="006B0843" w:rsidRDefault="006A6DBB" w:rsidP="001C4A2D">
      <w:pPr>
        <w:pStyle w:val="ListParagraph"/>
        <w:numPr>
          <w:ilvl w:val="0"/>
          <w:numId w:val="1"/>
        </w:numPr>
        <w:ind w:left="567" w:hanging="594"/>
        <w:jc w:val="both"/>
        <w:rPr>
          <w:rFonts w:asciiTheme="minorBidi" w:hAnsiTheme="minorBidi"/>
        </w:rPr>
      </w:pPr>
      <w:r w:rsidRPr="006B0843">
        <w:rPr>
          <w:rFonts w:asciiTheme="minorBidi" w:hAnsiTheme="minorBidi"/>
        </w:rPr>
        <w:t>The use of the table format within MKT Form 1</w:t>
      </w:r>
      <w:r w:rsidR="008C4FE8" w:rsidRPr="006B0843">
        <w:rPr>
          <w:rFonts w:asciiTheme="minorBidi" w:hAnsiTheme="minorBidi"/>
        </w:rPr>
        <w:t>1</w:t>
      </w:r>
      <w:r w:rsidRPr="006B0843">
        <w:rPr>
          <w:rFonts w:asciiTheme="minorBidi" w:hAnsiTheme="minorBidi"/>
        </w:rPr>
        <w:t xml:space="preserve">-1 is intended to provide </w:t>
      </w:r>
      <w:r w:rsidR="008C4FE8" w:rsidRPr="006B0843">
        <w:rPr>
          <w:rFonts w:asciiTheme="minorBidi" w:hAnsiTheme="minorBidi"/>
        </w:rPr>
        <w:t>Mining R</w:t>
      </w:r>
      <w:r w:rsidRPr="006B0843">
        <w:rPr>
          <w:rFonts w:asciiTheme="minorBidi" w:hAnsiTheme="minorBidi"/>
        </w:rPr>
        <w:t>eporting Entities with flexibility in the way it discloses the Summary of Reserves and Resources, as well as ensuring consistency of reporting under the Rules.  In Guidance set out below Rule 1</w:t>
      </w:r>
      <w:r w:rsidR="008C4FE8" w:rsidRPr="006B0843">
        <w:rPr>
          <w:rFonts w:asciiTheme="minorBidi" w:hAnsiTheme="minorBidi"/>
        </w:rPr>
        <w:t>1</w:t>
      </w:r>
      <w:r w:rsidRPr="006B0843">
        <w:rPr>
          <w:rFonts w:asciiTheme="minorBidi" w:hAnsiTheme="minorBidi"/>
        </w:rPr>
        <w:t xml:space="preserve">.2.1, the FSRA sets out an expectation that to ensure consistency of its disclosures, </w:t>
      </w:r>
      <w:r w:rsidR="008C4FE8" w:rsidRPr="006B0843">
        <w:rPr>
          <w:rFonts w:asciiTheme="minorBidi" w:hAnsiTheme="minorBidi"/>
        </w:rPr>
        <w:t>Mining R</w:t>
      </w:r>
      <w:r w:rsidRPr="006B0843">
        <w:rPr>
          <w:rFonts w:asciiTheme="minorBidi" w:hAnsiTheme="minorBidi"/>
        </w:rPr>
        <w:t xml:space="preserve">eporting Entities should be mindful of the table format for the disclosure of </w:t>
      </w:r>
      <w:r w:rsidR="008C4FE8" w:rsidRPr="006B0843">
        <w:rPr>
          <w:rFonts w:asciiTheme="minorBidi" w:hAnsiTheme="minorBidi"/>
        </w:rPr>
        <w:t>Mineral Resources or Ore Reserves</w:t>
      </w:r>
      <w:r w:rsidRPr="006B0843">
        <w:rPr>
          <w:rFonts w:asciiTheme="minorBidi" w:hAnsiTheme="minorBidi"/>
        </w:rPr>
        <w:t xml:space="preserve"> as set out in MKT Form 1</w:t>
      </w:r>
      <w:r w:rsidR="008C4FE8" w:rsidRPr="006B0843">
        <w:rPr>
          <w:rFonts w:asciiTheme="minorBidi" w:hAnsiTheme="minorBidi"/>
        </w:rPr>
        <w:t>1</w:t>
      </w:r>
      <w:r w:rsidRPr="006B0843">
        <w:rPr>
          <w:rFonts w:asciiTheme="minorBidi" w:hAnsiTheme="minorBidi"/>
        </w:rPr>
        <w:t xml:space="preserve">-1.  </w:t>
      </w:r>
    </w:p>
    <w:p w14:paraId="4E2FFD50" w14:textId="77777777" w:rsidR="006A6DBB" w:rsidRPr="006B0843" w:rsidRDefault="006A6DBB" w:rsidP="001C4A2D">
      <w:pPr>
        <w:pStyle w:val="ListParagraph"/>
        <w:ind w:left="567" w:hanging="594"/>
        <w:rPr>
          <w:rFonts w:asciiTheme="minorBidi" w:hAnsiTheme="minorBidi"/>
        </w:rPr>
      </w:pPr>
    </w:p>
    <w:p w14:paraId="39F39434" w14:textId="0FD4F58D" w:rsidR="006A6DBB" w:rsidRPr="006B0843" w:rsidRDefault="006A6DBB" w:rsidP="001C4A2D">
      <w:pPr>
        <w:pStyle w:val="ListParagraph"/>
        <w:numPr>
          <w:ilvl w:val="0"/>
          <w:numId w:val="1"/>
        </w:numPr>
        <w:ind w:left="567" w:hanging="594"/>
        <w:jc w:val="both"/>
        <w:rPr>
          <w:rFonts w:asciiTheme="minorBidi" w:hAnsiTheme="minorBidi"/>
        </w:rPr>
      </w:pPr>
      <w:r w:rsidRPr="006B0843">
        <w:rPr>
          <w:rFonts w:asciiTheme="minorBidi" w:hAnsiTheme="minorBidi"/>
        </w:rPr>
        <w:t xml:space="preserve">The geographical areas by which a </w:t>
      </w:r>
      <w:r w:rsidR="008C4FE8" w:rsidRPr="006B0843">
        <w:rPr>
          <w:rFonts w:asciiTheme="minorBidi" w:hAnsiTheme="minorBidi"/>
        </w:rPr>
        <w:t>Mining</w:t>
      </w:r>
      <w:r w:rsidRPr="006B0843">
        <w:rPr>
          <w:rFonts w:asciiTheme="minorBidi" w:hAnsiTheme="minorBidi"/>
        </w:rPr>
        <w:t xml:space="preserve"> Reporting Entity chooses to disclose its </w:t>
      </w:r>
      <w:r w:rsidR="008C4FE8" w:rsidRPr="006B0843">
        <w:rPr>
          <w:rFonts w:asciiTheme="minorBidi" w:hAnsiTheme="minorBidi"/>
        </w:rPr>
        <w:t xml:space="preserve">Summary of Reserves and Resources </w:t>
      </w:r>
      <w:r w:rsidRPr="006B0843">
        <w:rPr>
          <w:rFonts w:asciiTheme="minorBidi" w:hAnsiTheme="minorBidi"/>
        </w:rPr>
        <w:t>within MKT Form 1</w:t>
      </w:r>
      <w:r w:rsidR="008C4FE8" w:rsidRPr="006B0843">
        <w:rPr>
          <w:rFonts w:asciiTheme="minorBidi" w:hAnsiTheme="minorBidi"/>
        </w:rPr>
        <w:t>1</w:t>
      </w:r>
      <w:r w:rsidRPr="006B0843">
        <w:rPr>
          <w:rFonts w:asciiTheme="minorBidi" w:hAnsiTheme="minorBidi"/>
        </w:rPr>
        <w:t>-1 is a matte</w:t>
      </w:r>
      <w:r w:rsidR="008C4FE8" w:rsidRPr="006B0843">
        <w:rPr>
          <w:rFonts w:asciiTheme="minorBidi" w:hAnsiTheme="minorBidi"/>
        </w:rPr>
        <w:t>r</w:t>
      </w:r>
      <w:r w:rsidRPr="006B0843">
        <w:rPr>
          <w:rFonts w:asciiTheme="minorBidi" w:hAnsiTheme="minorBidi"/>
        </w:rPr>
        <w:t xml:space="preserve"> for the </w:t>
      </w:r>
      <w:r w:rsidR="008C4FE8" w:rsidRPr="006B0843">
        <w:rPr>
          <w:rFonts w:asciiTheme="minorBidi" w:hAnsiTheme="minorBidi"/>
        </w:rPr>
        <w:t xml:space="preserve">Mining </w:t>
      </w:r>
      <w:r w:rsidRPr="006B0843">
        <w:rPr>
          <w:rFonts w:asciiTheme="minorBidi" w:hAnsiTheme="minorBidi"/>
        </w:rPr>
        <w:t xml:space="preserve">Reporting Entity to determine, having regard to its individual circumstances and the materiality of the </w:t>
      </w:r>
      <w:r w:rsidR="008C4FE8" w:rsidRPr="006B0843">
        <w:rPr>
          <w:rFonts w:asciiTheme="minorBidi" w:hAnsiTheme="minorBidi"/>
        </w:rPr>
        <w:t xml:space="preserve">Mineral Resources and Ore Reserves </w:t>
      </w:r>
      <w:r w:rsidRPr="006B0843">
        <w:rPr>
          <w:rFonts w:asciiTheme="minorBidi" w:hAnsiTheme="minorBidi"/>
        </w:rPr>
        <w:t xml:space="preserve">in question. </w:t>
      </w:r>
      <w:r w:rsidR="00002FCA">
        <w:rPr>
          <w:rFonts w:asciiTheme="minorBidi" w:hAnsiTheme="minorBidi"/>
        </w:rPr>
        <w:t xml:space="preserve"> </w:t>
      </w:r>
      <w:r w:rsidR="008C4FE8" w:rsidRPr="006B0843">
        <w:rPr>
          <w:rFonts w:asciiTheme="minorBidi" w:hAnsiTheme="minorBidi"/>
        </w:rPr>
        <w:t xml:space="preserve">Mining </w:t>
      </w:r>
      <w:r w:rsidR="009D47CF" w:rsidRPr="006B0843">
        <w:rPr>
          <w:rFonts w:asciiTheme="minorBidi" w:hAnsiTheme="minorBidi"/>
        </w:rPr>
        <w:t xml:space="preserve">Reporting Entities can choose to report by continent, by country, by state or by other distinct geographical area.  </w:t>
      </w:r>
      <w:r w:rsidR="008C4FE8" w:rsidRPr="006B0843">
        <w:rPr>
          <w:rFonts w:asciiTheme="minorBidi" w:hAnsiTheme="minorBidi"/>
        </w:rPr>
        <w:t xml:space="preserve">Mining </w:t>
      </w:r>
      <w:r w:rsidR="009D47CF" w:rsidRPr="006B0843">
        <w:rPr>
          <w:rFonts w:asciiTheme="minorBidi" w:hAnsiTheme="minorBidi"/>
        </w:rPr>
        <w:t xml:space="preserve">Reporting Entities may also choose to disclose </w:t>
      </w:r>
      <w:r w:rsidR="008C4FE8" w:rsidRPr="006B0843">
        <w:rPr>
          <w:rFonts w:asciiTheme="minorBidi" w:hAnsiTheme="minorBidi"/>
        </w:rPr>
        <w:t xml:space="preserve">holdings </w:t>
      </w:r>
      <w:r w:rsidR="009D47CF" w:rsidRPr="006B0843">
        <w:rPr>
          <w:rFonts w:asciiTheme="minorBidi" w:hAnsiTheme="minorBidi"/>
        </w:rPr>
        <w:t xml:space="preserve">for a particular </w:t>
      </w:r>
      <w:r w:rsidR="008C4FE8" w:rsidRPr="006B0843">
        <w:rPr>
          <w:rFonts w:asciiTheme="minorBidi" w:hAnsiTheme="minorBidi"/>
        </w:rPr>
        <w:t xml:space="preserve">Mining Tenement, Mining </w:t>
      </w:r>
      <w:proofErr w:type="gramStart"/>
      <w:r w:rsidR="008C4FE8" w:rsidRPr="006B0843">
        <w:rPr>
          <w:rFonts w:asciiTheme="minorBidi" w:hAnsiTheme="minorBidi"/>
        </w:rPr>
        <w:t>Project</w:t>
      </w:r>
      <w:proofErr w:type="gramEnd"/>
      <w:r w:rsidR="008C4FE8" w:rsidRPr="006B0843">
        <w:rPr>
          <w:rFonts w:asciiTheme="minorBidi" w:hAnsiTheme="minorBidi"/>
        </w:rPr>
        <w:t xml:space="preserve"> or deposit </w:t>
      </w:r>
      <w:r w:rsidR="009D47CF" w:rsidRPr="006B0843">
        <w:rPr>
          <w:rFonts w:asciiTheme="minorBidi" w:hAnsiTheme="minorBidi"/>
        </w:rPr>
        <w:t>(if material), with a mix of other geographical areas.</w:t>
      </w:r>
    </w:p>
    <w:p w14:paraId="6B0D66EF" w14:textId="77777777" w:rsidR="007436C2" w:rsidRPr="006B0843" w:rsidRDefault="007436C2" w:rsidP="001C4A2D">
      <w:pPr>
        <w:pStyle w:val="ListParagraph"/>
        <w:ind w:left="567" w:hanging="594"/>
        <w:rPr>
          <w:rFonts w:asciiTheme="minorBidi" w:hAnsiTheme="minorBidi"/>
        </w:rPr>
      </w:pPr>
    </w:p>
    <w:p w14:paraId="6DBF93BC" w14:textId="6A1C1D7C" w:rsidR="007436C2" w:rsidRPr="00750304" w:rsidRDefault="007436C2" w:rsidP="001C4A2D">
      <w:pPr>
        <w:pStyle w:val="ListParagraph"/>
        <w:numPr>
          <w:ilvl w:val="0"/>
          <w:numId w:val="1"/>
        </w:numPr>
        <w:ind w:left="567" w:hanging="594"/>
        <w:jc w:val="both"/>
        <w:rPr>
          <w:rFonts w:asciiTheme="minorBidi" w:hAnsiTheme="minorBidi"/>
          <w:sz w:val="24"/>
          <w:szCs w:val="24"/>
        </w:rPr>
      </w:pPr>
      <w:r w:rsidRPr="006B0843">
        <w:rPr>
          <w:rFonts w:asciiTheme="minorBidi" w:hAnsiTheme="minorBidi"/>
        </w:rPr>
        <w:t>MKT Form 1</w:t>
      </w:r>
      <w:r w:rsidR="008C4FE8" w:rsidRPr="006B0843">
        <w:rPr>
          <w:rFonts w:asciiTheme="minorBidi" w:hAnsiTheme="minorBidi"/>
        </w:rPr>
        <w:t>1</w:t>
      </w:r>
      <w:r w:rsidRPr="006B0843">
        <w:rPr>
          <w:rFonts w:asciiTheme="minorBidi" w:hAnsiTheme="minorBidi"/>
        </w:rPr>
        <w:t xml:space="preserve">-1 requires a </w:t>
      </w:r>
      <w:r w:rsidR="008C4FE8" w:rsidRPr="006B0843">
        <w:rPr>
          <w:rFonts w:asciiTheme="minorBidi" w:hAnsiTheme="minorBidi"/>
        </w:rPr>
        <w:t>Mining</w:t>
      </w:r>
      <w:r w:rsidRPr="006B0843">
        <w:rPr>
          <w:rFonts w:asciiTheme="minorBidi" w:hAnsiTheme="minorBidi"/>
        </w:rPr>
        <w:t xml:space="preserve"> Reporting Entity to disclose, amongst other things, a summary of its governance arrangements and internal controls, as well as a summary of its policies and practices relating to operating in a sustainable manner.</w:t>
      </w:r>
    </w:p>
    <w:sectPr w:rsidR="007436C2" w:rsidRPr="00750304" w:rsidSect="001C4A2D">
      <w:headerReference w:type="default"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60D3" w14:textId="77777777" w:rsidR="00F460D6" w:rsidRDefault="00F460D6" w:rsidP="006261AA">
      <w:r>
        <w:separator/>
      </w:r>
    </w:p>
  </w:endnote>
  <w:endnote w:type="continuationSeparator" w:id="0">
    <w:p w14:paraId="547E0591" w14:textId="77777777" w:rsidR="00F460D6" w:rsidRDefault="00F460D6" w:rsidP="006261AA">
      <w:r>
        <w:continuationSeparator/>
      </w:r>
    </w:p>
  </w:endnote>
  <w:endnote w:type="continuationNotice" w:id="1">
    <w:p w14:paraId="383F1D1A" w14:textId="77777777" w:rsidR="00F460D6" w:rsidRDefault="00F460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A07BE" w14:textId="5F946249" w:rsidR="001C4A2D" w:rsidRPr="001C4A2D" w:rsidRDefault="000A7CFC" w:rsidP="001C4A2D">
    <w:pPr>
      <w:pStyle w:val="Footer"/>
      <w:jc w:val="right"/>
      <w:rPr>
        <w:rFonts w:ascii="Arial" w:hAnsi="Arial" w:cs="Arial"/>
        <w:sz w:val="20"/>
        <w:szCs w:val="20"/>
      </w:rPr>
    </w:pPr>
    <w:r>
      <w:rPr>
        <w:noProof/>
        <w:lang w:eastAsia="en-GB"/>
      </w:rPr>
      <w:drawing>
        <wp:anchor distT="0" distB="0" distL="114300" distR="114300" simplePos="0" relativeHeight="251659264" behindDoc="1" locked="0" layoutInCell="1" allowOverlap="1" wp14:anchorId="5A8B633C" wp14:editId="0602165B">
          <wp:simplePos x="0" y="0"/>
          <wp:positionH relativeFrom="page">
            <wp:align>right</wp:align>
          </wp:positionH>
          <wp:positionV relativeFrom="paragraph">
            <wp:posOffset>-1119226</wp:posOffset>
          </wp:positionV>
          <wp:extent cx="7766050" cy="1874520"/>
          <wp:effectExtent l="0" t="0" r="6350" b="0"/>
          <wp:wrapNone/>
          <wp:docPr id="9"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E6563" w14:textId="3B39CB4A" w:rsidR="00750304" w:rsidRDefault="00750304" w:rsidP="0075030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600248"/>
      <w:docPartObj>
        <w:docPartGallery w:val="Page Numbers (Bottom of Page)"/>
        <w:docPartUnique/>
      </w:docPartObj>
    </w:sdtPr>
    <w:sdtEndPr>
      <w:rPr>
        <w:rFonts w:ascii="Arial" w:hAnsi="Arial" w:cs="Arial"/>
        <w:noProof/>
        <w:sz w:val="20"/>
        <w:szCs w:val="20"/>
      </w:rPr>
    </w:sdtEndPr>
    <w:sdtContent>
      <w:p w14:paraId="096F5AE5" w14:textId="5C16621F" w:rsidR="001C4A2D" w:rsidRPr="001C4A2D" w:rsidRDefault="000A7CFC">
        <w:pPr>
          <w:pStyle w:val="Footer"/>
          <w:jc w:val="right"/>
          <w:rPr>
            <w:rFonts w:ascii="Arial" w:hAnsi="Arial" w:cs="Arial"/>
            <w:sz w:val="20"/>
            <w:szCs w:val="20"/>
          </w:rPr>
        </w:pPr>
        <w:r>
          <w:rPr>
            <w:noProof/>
            <w:lang w:eastAsia="en-GB"/>
          </w:rPr>
          <w:drawing>
            <wp:anchor distT="0" distB="0" distL="114300" distR="114300" simplePos="0" relativeHeight="251661312" behindDoc="1" locked="0" layoutInCell="1" allowOverlap="1" wp14:anchorId="09C7CCE4" wp14:editId="72C4E66D">
              <wp:simplePos x="0" y="0"/>
              <wp:positionH relativeFrom="page">
                <wp:align>left</wp:align>
              </wp:positionH>
              <wp:positionV relativeFrom="paragraph">
                <wp:posOffset>-921969</wp:posOffset>
              </wp:positionV>
              <wp:extent cx="7766050" cy="1874520"/>
              <wp:effectExtent l="0" t="0" r="6350" b="0"/>
              <wp:wrapNone/>
              <wp:docPr id="1"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sidR="001C4A2D" w:rsidRPr="001C4A2D">
          <w:rPr>
            <w:rFonts w:ascii="Arial" w:hAnsi="Arial" w:cs="Arial"/>
            <w:sz w:val="20"/>
            <w:szCs w:val="20"/>
          </w:rPr>
          <w:fldChar w:fldCharType="begin"/>
        </w:r>
        <w:r w:rsidR="001C4A2D" w:rsidRPr="001C4A2D">
          <w:rPr>
            <w:rFonts w:ascii="Arial" w:hAnsi="Arial" w:cs="Arial"/>
            <w:sz w:val="20"/>
            <w:szCs w:val="20"/>
          </w:rPr>
          <w:instrText xml:space="preserve"> PAGE   \* MERGEFORMAT </w:instrText>
        </w:r>
        <w:r w:rsidR="001C4A2D" w:rsidRPr="001C4A2D">
          <w:rPr>
            <w:rFonts w:ascii="Arial" w:hAnsi="Arial" w:cs="Arial"/>
            <w:sz w:val="20"/>
            <w:szCs w:val="20"/>
          </w:rPr>
          <w:fldChar w:fldCharType="separate"/>
        </w:r>
        <w:r w:rsidR="00AA5EA9">
          <w:rPr>
            <w:rFonts w:ascii="Arial" w:hAnsi="Arial" w:cs="Arial"/>
            <w:noProof/>
            <w:sz w:val="20"/>
            <w:szCs w:val="20"/>
          </w:rPr>
          <w:t>19</w:t>
        </w:r>
        <w:r w:rsidR="001C4A2D" w:rsidRPr="001C4A2D">
          <w:rPr>
            <w:rFonts w:ascii="Arial" w:hAnsi="Arial" w:cs="Arial"/>
            <w:noProof/>
            <w:sz w:val="20"/>
            <w:szCs w:val="20"/>
          </w:rPr>
          <w:fldChar w:fldCharType="end"/>
        </w:r>
      </w:p>
    </w:sdtContent>
  </w:sdt>
  <w:p w14:paraId="0FFEC56E" w14:textId="1F03490E" w:rsidR="001C4A2D" w:rsidRDefault="001C4A2D" w:rsidP="0075030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5861" w14:textId="77777777" w:rsidR="00F460D6" w:rsidRDefault="00F460D6" w:rsidP="006261AA">
      <w:r>
        <w:separator/>
      </w:r>
    </w:p>
  </w:footnote>
  <w:footnote w:type="continuationSeparator" w:id="0">
    <w:p w14:paraId="0B02FBEF" w14:textId="77777777" w:rsidR="00F460D6" w:rsidRDefault="00F460D6" w:rsidP="006261AA">
      <w:r>
        <w:continuationSeparator/>
      </w:r>
    </w:p>
  </w:footnote>
  <w:footnote w:type="continuationNotice" w:id="1">
    <w:p w14:paraId="4B023926" w14:textId="77777777" w:rsidR="00F460D6" w:rsidRDefault="00F460D6"/>
  </w:footnote>
  <w:footnote w:id="2">
    <w:p w14:paraId="6AAE8107" w14:textId="1D6D77BA" w:rsidR="00750304" w:rsidRPr="00985BD3" w:rsidRDefault="00750304" w:rsidP="009A0B84">
      <w:pPr>
        <w:jc w:val="both"/>
        <w:rPr>
          <w:rFonts w:asciiTheme="minorBidi" w:hAnsiTheme="minorBidi"/>
        </w:rPr>
      </w:pPr>
      <w:r w:rsidRPr="00985BD3">
        <w:rPr>
          <w:rStyle w:val="FootnoteReference"/>
          <w:rFonts w:asciiTheme="minorBidi" w:hAnsiTheme="minorBidi"/>
          <w:sz w:val="20"/>
          <w:szCs w:val="20"/>
        </w:rPr>
        <w:footnoteRef/>
      </w:r>
      <w:r w:rsidRPr="00985BD3">
        <w:rPr>
          <w:rFonts w:asciiTheme="minorBidi" w:hAnsiTheme="minorBidi"/>
          <w:sz w:val="20"/>
          <w:szCs w:val="20"/>
        </w:rPr>
        <w:t xml:space="preserve"> For example, a</w:t>
      </w:r>
      <w:r w:rsidRPr="00985BD3">
        <w:rPr>
          <w:rFonts w:asciiTheme="minorBidi" w:hAnsiTheme="minorBidi"/>
          <w:snapToGrid w:val="0"/>
          <w:sz w:val="20"/>
          <w:szCs w:val="20"/>
        </w:rPr>
        <w:t xml:space="preserve"> material Mining Project is defined in the </w:t>
      </w:r>
      <w:r w:rsidRPr="00985BD3">
        <w:rPr>
          <w:rFonts w:asciiTheme="minorBidi" w:hAnsiTheme="minorBidi"/>
          <w:bCs/>
          <w:snapToGrid w:val="0"/>
          <w:sz w:val="20"/>
          <w:szCs w:val="20"/>
        </w:rPr>
        <w:t>JORC Code</w:t>
      </w:r>
      <w:r w:rsidRPr="00985BD3">
        <w:rPr>
          <w:rFonts w:asciiTheme="minorBidi" w:hAnsiTheme="minorBidi"/>
          <w:snapToGrid w:val="0"/>
          <w:sz w:val="20"/>
          <w:szCs w:val="20"/>
        </w:rPr>
        <w:t xml:space="preserve"> as </w:t>
      </w:r>
      <w:r w:rsidRPr="00985BD3">
        <w:rPr>
          <w:rFonts w:asciiTheme="minorBidi" w:hAnsiTheme="minorBidi"/>
          <w:i/>
          <w:snapToGrid w:val="0"/>
          <w:sz w:val="20"/>
          <w:szCs w:val="20"/>
        </w:rPr>
        <w:t>‘an exploration or mineral development project that has or could have a significant influence on the market value or operations of a [Mining Reporting Entity], and/or has specific prominence in public reports and announcements.’</w:t>
      </w:r>
    </w:p>
  </w:footnote>
  <w:footnote w:id="3">
    <w:p w14:paraId="17E7F93D" w14:textId="394FCB95" w:rsidR="00750304" w:rsidRPr="009E427B" w:rsidRDefault="00750304" w:rsidP="00943F97">
      <w:pPr>
        <w:pStyle w:val="FootnoteText"/>
        <w:jc w:val="both"/>
      </w:pPr>
      <w:r w:rsidRPr="00985BD3">
        <w:rPr>
          <w:rStyle w:val="FootnoteReference"/>
          <w:rFonts w:asciiTheme="minorBidi" w:hAnsiTheme="minorBidi"/>
        </w:rPr>
        <w:footnoteRef/>
      </w:r>
      <w:r w:rsidRPr="00985BD3">
        <w:rPr>
          <w:rFonts w:asciiTheme="minorBidi" w:hAnsiTheme="minorBidi"/>
        </w:rPr>
        <w:t xml:space="preserve"> They may also apply to a Production Target that relates to two or more Mining Projects that together are material to a Mining Reporting Entity or to a Mining Reporting Entity-level Production Target.</w:t>
      </w:r>
    </w:p>
  </w:footnote>
  <w:footnote w:id="4">
    <w:p w14:paraId="2D301A4F" w14:textId="4DCFFFEE" w:rsidR="00300726" w:rsidRPr="006726AA" w:rsidRDefault="00300726" w:rsidP="006726AA">
      <w:pPr>
        <w:pStyle w:val="FootnoteText"/>
        <w:jc w:val="both"/>
        <w:rPr>
          <w:rFonts w:asciiTheme="minorBidi" w:hAnsiTheme="minorBidi"/>
          <w:lang w:val="en-US"/>
        </w:rPr>
      </w:pPr>
      <w:r w:rsidRPr="006726AA">
        <w:rPr>
          <w:rStyle w:val="FootnoteReference"/>
          <w:rFonts w:asciiTheme="minorBidi" w:hAnsiTheme="minorBidi"/>
        </w:rPr>
        <w:footnoteRef/>
      </w:r>
      <w:r w:rsidRPr="006726AA">
        <w:rPr>
          <w:rFonts w:asciiTheme="minorBidi" w:hAnsiTheme="minorBidi"/>
        </w:rPr>
        <w:t xml:space="preserve"> </w:t>
      </w:r>
      <w:r w:rsidR="006726AA" w:rsidRPr="006726AA">
        <w:rPr>
          <w:rFonts w:asciiTheme="minorBidi" w:hAnsiTheme="minorBidi"/>
        </w:rPr>
        <w:t xml:space="preserve">The </w:t>
      </w:r>
      <w:r w:rsidRPr="006726AA">
        <w:rPr>
          <w:rFonts w:asciiTheme="minorBidi" w:hAnsiTheme="minorBidi"/>
          <w:lang w:val="en-US"/>
        </w:rPr>
        <w:t>FSRA notes that in these same sections within both the SAMREC Code and the JORC Code, the relevant Reporting Standards stress the importance of ‘transparency’ and ‘competency’, along with ‘materiality’.</w:t>
      </w:r>
    </w:p>
  </w:footnote>
  <w:footnote w:id="5">
    <w:p w14:paraId="00C3F45B" w14:textId="5507C563" w:rsidR="00750304" w:rsidRPr="00985BD3" w:rsidRDefault="00750304">
      <w:pPr>
        <w:pStyle w:val="FootnoteText"/>
        <w:rPr>
          <w:rFonts w:asciiTheme="minorBidi" w:hAnsiTheme="minorBidi"/>
          <w:lang w:val="en-US"/>
        </w:rPr>
      </w:pPr>
      <w:r w:rsidRPr="00985BD3">
        <w:rPr>
          <w:rStyle w:val="FootnoteReference"/>
          <w:rFonts w:asciiTheme="minorBidi" w:hAnsiTheme="minorBidi"/>
        </w:rPr>
        <w:footnoteRef/>
      </w:r>
      <w:r w:rsidRPr="00985BD3">
        <w:rPr>
          <w:rFonts w:asciiTheme="minorBidi" w:hAnsiTheme="minorBidi"/>
        </w:rPr>
        <w:t xml:space="preserve"> </w:t>
      </w:r>
      <w:r w:rsidRPr="00985BD3">
        <w:rPr>
          <w:rFonts w:asciiTheme="minorBidi" w:hAnsiTheme="minorBidi"/>
          <w:lang w:val="en-US"/>
        </w:rPr>
        <w:t>Refer to section 95(2) of FSMR.</w:t>
      </w:r>
    </w:p>
  </w:footnote>
  <w:footnote w:id="6">
    <w:p w14:paraId="2B679520" w14:textId="1C02E4B2" w:rsidR="00750304" w:rsidRPr="00FE060F" w:rsidRDefault="00750304" w:rsidP="006726AA">
      <w:pPr>
        <w:pStyle w:val="FootnoteText"/>
        <w:jc w:val="both"/>
      </w:pPr>
      <w:r w:rsidRPr="00985BD3">
        <w:rPr>
          <w:rStyle w:val="FootnoteReference"/>
          <w:rFonts w:asciiTheme="minorBidi" w:hAnsiTheme="minorBidi"/>
        </w:rPr>
        <w:footnoteRef/>
      </w:r>
      <w:r w:rsidRPr="00985BD3">
        <w:rPr>
          <w:rFonts w:asciiTheme="minorBidi" w:hAnsiTheme="minorBidi"/>
        </w:rPr>
        <w:t xml:space="preserve"> Refer, for example, to Section 21 of the SAMREC Code and Section 17 of the JORC Code. </w:t>
      </w:r>
      <w:r w:rsidR="00A23B85">
        <w:rPr>
          <w:rFonts w:asciiTheme="minorBidi" w:hAnsiTheme="minorBidi"/>
        </w:rPr>
        <w:t xml:space="preserve"> </w:t>
      </w:r>
      <w:r w:rsidRPr="00985BD3">
        <w:rPr>
          <w:rFonts w:asciiTheme="minorBidi" w:hAnsiTheme="minorBidi"/>
        </w:rPr>
        <w:t>Exploration Target is not defined in CIM or NI 43 101 (but it is defined under CRIRSCO).</w:t>
      </w:r>
    </w:p>
  </w:footnote>
  <w:footnote w:id="7">
    <w:p w14:paraId="389D4CA4" w14:textId="2939CB70" w:rsidR="00750304" w:rsidRPr="00CF12F9" w:rsidRDefault="00750304" w:rsidP="006C2467">
      <w:pPr>
        <w:pStyle w:val="FootnoteText"/>
        <w:jc w:val="both"/>
        <w:rPr>
          <w:rFonts w:asciiTheme="minorBidi" w:hAnsiTheme="minorBidi"/>
        </w:rPr>
      </w:pPr>
      <w:r w:rsidRPr="00CF12F9">
        <w:rPr>
          <w:rStyle w:val="FootnoteReference"/>
          <w:rFonts w:asciiTheme="minorBidi" w:hAnsiTheme="minorBidi"/>
        </w:rPr>
        <w:footnoteRef/>
      </w:r>
      <w:r w:rsidRPr="00CF12F9">
        <w:rPr>
          <w:rFonts w:asciiTheme="minorBidi" w:hAnsiTheme="minorBidi"/>
        </w:rPr>
        <w:t xml:space="preserve"> The FSRA notes that Clause 38 of the JORC Code, for example, set out that a scoping study cannot be used as the basis for an estimate of Ore Reserves.</w:t>
      </w:r>
    </w:p>
  </w:footnote>
  <w:footnote w:id="8">
    <w:p w14:paraId="5128E76F" w14:textId="77777777" w:rsidR="00750304" w:rsidRPr="00633DC9" w:rsidRDefault="00750304" w:rsidP="008F1B4D">
      <w:pPr>
        <w:pStyle w:val="FootnoteText"/>
        <w:jc w:val="both"/>
        <w:rPr>
          <w:lang w:val="en-US"/>
        </w:rPr>
      </w:pPr>
      <w:r w:rsidRPr="00CF12F9">
        <w:rPr>
          <w:rStyle w:val="FootnoteReference"/>
          <w:rFonts w:asciiTheme="minorBidi" w:hAnsiTheme="minorBidi"/>
        </w:rPr>
        <w:footnoteRef/>
      </w:r>
      <w:r w:rsidRPr="00CF12F9">
        <w:rPr>
          <w:rFonts w:asciiTheme="minorBidi" w:hAnsiTheme="minorBidi"/>
        </w:rPr>
        <w:t xml:space="preserve"> </w:t>
      </w:r>
      <w:r w:rsidRPr="00CF12F9">
        <w:rPr>
          <w:rFonts w:asciiTheme="minorBidi" w:hAnsiTheme="minorBidi"/>
          <w:lang w:val="en-US"/>
        </w:rPr>
        <w:t xml:space="preserve">Refer also to Guidance (paragraph 8) to Rule 7.2.1, which provides that </w:t>
      </w:r>
      <w:r w:rsidRPr="00CF12F9">
        <w:rPr>
          <w:rFonts w:asciiTheme="minorBidi" w:hAnsiTheme="minorBidi"/>
          <w:i/>
          <w:iCs/>
          <w:lang w:val="en-US"/>
        </w:rPr>
        <w:t>‘</w:t>
      </w:r>
      <w:r w:rsidRPr="00CF12F9">
        <w:rPr>
          <w:rFonts w:asciiTheme="minorBidi" w:hAnsiTheme="minorBidi"/>
          <w:i/>
          <w:iCs/>
        </w:rPr>
        <w:t>information would be likely to have a "significant effect on price" if and only if it is information of that kind which a reasonable investor would be likely to use as part of the basis of his investment decisions’</w:t>
      </w:r>
      <w:r w:rsidRPr="00CF12F9">
        <w:rPr>
          <w:rFonts w:asciiTheme="minorBidi" w:hAnsiTheme="minorBidi"/>
        </w:rPr>
        <w:t>.</w:t>
      </w:r>
      <w:r>
        <w:rPr>
          <w:lang w:val="en-US"/>
        </w:rPr>
        <w:t xml:space="preserve"> </w:t>
      </w:r>
    </w:p>
  </w:footnote>
  <w:footnote w:id="9">
    <w:p w14:paraId="441F1DF8" w14:textId="0748B5DC" w:rsidR="00750304" w:rsidRPr="002C2772" w:rsidRDefault="00750304" w:rsidP="00CC1CC6">
      <w:pPr>
        <w:jc w:val="both"/>
        <w:rPr>
          <w:rFonts w:asciiTheme="minorBidi" w:hAnsiTheme="minorBidi"/>
        </w:rPr>
      </w:pPr>
      <w:r w:rsidRPr="002C2772">
        <w:rPr>
          <w:rStyle w:val="FootnoteReference"/>
          <w:rFonts w:asciiTheme="minorBidi" w:hAnsiTheme="minorBidi"/>
        </w:rPr>
        <w:footnoteRef/>
      </w:r>
      <w:r w:rsidRPr="002C2772">
        <w:rPr>
          <w:rFonts w:asciiTheme="minorBidi" w:hAnsiTheme="minorBidi"/>
        </w:rPr>
        <w:t xml:space="preserve"> </w:t>
      </w:r>
      <w:r w:rsidRPr="002C2772">
        <w:rPr>
          <w:rFonts w:asciiTheme="minorBidi" w:hAnsiTheme="minorBidi"/>
          <w:sz w:val="20"/>
          <w:szCs w:val="20"/>
          <w:lang w:val="en-US"/>
        </w:rPr>
        <w:t>For this purpose, please refer to section 69 of FSMR (Statements about future matters) which provides that a person is taken to make a misleading or deceptive statement about a future matter (within a Prospectus document) if, at the time of making the statement, that person did not have reasonable grounds for making the statement.</w:t>
      </w:r>
    </w:p>
  </w:footnote>
  <w:footnote w:id="10">
    <w:p w14:paraId="0110997D" w14:textId="6C947D52" w:rsidR="00750304" w:rsidRPr="00137FDB" w:rsidRDefault="00750304">
      <w:pPr>
        <w:pStyle w:val="FootnoteText"/>
      </w:pPr>
      <w:r w:rsidRPr="002C2772">
        <w:rPr>
          <w:rStyle w:val="FootnoteReference"/>
          <w:rFonts w:asciiTheme="minorBidi" w:hAnsiTheme="minorBidi"/>
        </w:rPr>
        <w:footnoteRef/>
      </w:r>
      <w:r w:rsidRPr="002C2772">
        <w:rPr>
          <w:rFonts w:asciiTheme="minorBidi" w:hAnsiTheme="minorBidi"/>
        </w:rPr>
        <w:t xml:space="preserve"> Refer to paragraph 88 below</w:t>
      </w:r>
      <w:r w:rsidR="002C2772">
        <w:rPr>
          <w:rFonts w:asciiTheme="minorBidi" w:hAnsiTheme="minorBidi"/>
        </w:rPr>
        <w:t>.</w:t>
      </w:r>
    </w:p>
  </w:footnote>
  <w:footnote w:id="11">
    <w:p w14:paraId="4C0A084F" w14:textId="77777777" w:rsidR="00750304" w:rsidRPr="00BE299D" w:rsidRDefault="00750304" w:rsidP="00310E29">
      <w:pPr>
        <w:pStyle w:val="FootnoteText"/>
        <w:jc w:val="both"/>
        <w:rPr>
          <w:rFonts w:asciiTheme="minorBidi" w:hAnsiTheme="minorBidi"/>
          <w:lang w:val="en-US"/>
        </w:rPr>
      </w:pPr>
      <w:r w:rsidRPr="00BE299D">
        <w:rPr>
          <w:rStyle w:val="FootnoteReference"/>
          <w:rFonts w:asciiTheme="minorBidi" w:hAnsiTheme="minorBidi"/>
        </w:rPr>
        <w:footnoteRef/>
      </w:r>
      <w:r w:rsidRPr="00BE299D">
        <w:rPr>
          <w:rFonts w:asciiTheme="minorBidi" w:hAnsiTheme="minorBidi"/>
        </w:rPr>
        <w:t xml:space="preserve"> </w:t>
      </w:r>
      <w:r w:rsidRPr="00BE299D">
        <w:rPr>
          <w:rFonts w:asciiTheme="minorBidi" w:hAnsiTheme="minorBidi"/>
          <w:lang w:val="en-US"/>
        </w:rPr>
        <w:t xml:space="preserve">Refer also to Guidance (paragraph 8) to Rule 7.2.1, which provides that </w:t>
      </w:r>
      <w:r w:rsidRPr="00BE299D">
        <w:rPr>
          <w:rFonts w:asciiTheme="minorBidi" w:hAnsiTheme="minorBidi"/>
          <w:i/>
          <w:iCs/>
          <w:lang w:val="en-US"/>
        </w:rPr>
        <w:t>‘</w:t>
      </w:r>
      <w:r w:rsidRPr="00BE299D">
        <w:rPr>
          <w:rFonts w:asciiTheme="minorBidi" w:hAnsiTheme="minorBidi"/>
          <w:i/>
          <w:iCs/>
        </w:rPr>
        <w:t>information would be likely to have a "significant effect on price" if and only if it is information of that kind which a reasonable investor would be likely to use as part of the basis of his investment decisions’</w:t>
      </w:r>
      <w:r w:rsidRPr="00BE299D">
        <w:rPr>
          <w:rFonts w:asciiTheme="minorBidi" w:hAnsiTheme="minorBidi"/>
        </w:rPr>
        <w:t>.</w:t>
      </w:r>
      <w:r w:rsidRPr="00BE299D">
        <w:rPr>
          <w:rFonts w:asciiTheme="minorBidi" w:hAnsiTheme="minorBidi"/>
          <w:lang w:val="en-US"/>
        </w:rPr>
        <w:t xml:space="preserve"> </w:t>
      </w:r>
    </w:p>
  </w:footnote>
  <w:footnote w:id="12">
    <w:p w14:paraId="0A0045A9" w14:textId="66F9D531" w:rsidR="00750304" w:rsidRPr="0014204B" w:rsidRDefault="00750304" w:rsidP="0014204B">
      <w:pPr>
        <w:pStyle w:val="FootnoteText"/>
        <w:jc w:val="both"/>
      </w:pPr>
      <w:r w:rsidRPr="00BE299D">
        <w:rPr>
          <w:rStyle w:val="FootnoteReference"/>
          <w:rFonts w:asciiTheme="minorBidi" w:hAnsiTheme="minorBidi"/>
        </w:rPr>
        <w:footnoteRef/>
      </w:r>
      <w:r w:rsidRPr="00BE299D">
        <w:rPr>
          <w:rFonts w:asciiTheme="minorBidi" w:hAnsiTheme="minorBidi"/>
        </w:rPr>
        <w:t xml:space="preserve"> </w:t>
      </w:r>
      <w:r w:rsidRPr="00BE299D">
        <w:rPr>
          <w:rFonts w:asciiTheme="minorBidi" w:hAnsiTheme="minorBidi"/>
          <w:lang w:val="en-US"/>
        </w:rPr>
        <w:t>For this purpose, please refer to section 69 of FSMR (Statements about future matters) which provides that a person is taken to make a misleading or deceptive statement about a future matter if, at the time of making the statement that person did not have reasonable grounds for making the statement.</w:t>
      </w:r>
    </w:p>
  </w:footnote>
  <w:footnote w:id="13">
    <w:p w14:paraId="2F782D42" w14:textId="2987150C" w:rsidR="00750304" w:rsidRPr="00584B87" w:rsidRDefault="00750304">
      <w:pPr>
        <w:pStyle w:val="FootnoteText"/>
        <w:rPr>
          <w:rFonts w:asciiTheme="minorBidi" w:hAnsiTheme="minorBidi"/>
        </w:rPr>
      </w:pPr>
      <w:r w:rsidRPr="00584B87">
        <w:rPr>
          <w:rStyle w:val="FootnoteReference"/>
          <w:rFonts w:asciiTheme="minorBidi" w:hAnsiTheme="minorBidi"/>
        </w:rPr>
        <w:footnoteRef/>
      </w:r>
      <w:r w:rsidRPr="00584B87">
        <w:rPr>
          <w:rFonts w:asciiTheme="minorBidi" w:hAnsiTheme="minorBidi"/>
        </w:rPr>
        <w:t xml:space="preserve"> Refer to footnote 6.</w:t>
      </w:r>
    </w:p>
  </w:footnote>
  <w:footnote w:id="14">
    <w:p w14:paraId="3051380B" w14:textId="0DAC7EE8" w:rsidR="00750304" w:rsidRPr="0009637B" w:rsidRDefault="00750304" w:rsidP="006474FF">
      <w:pPr>
        <w:pStyle w:val="FootnoteText"/>
        <w:jc w:val="both"/>
        <w:rPr>
          <w:rFonts w:asciiTheme="minorBidi" w:hAnsiTheme="minorBidi"/>
        </w:rPr>
      </w:pPr>
      <w:r w:rsidRPr="0009637B">
        <w:rPr>
          <w:rStyle w:val="FootnoteReference"/>
          <w:rFonts w:asciiTheme="minorBidi" w:hAnsiTheme="minorBidi"/>
        </w:rPr>
        <w:footnoteRef/>
      </w:r>
      <w:r w:rsidRPr="0009637B">
        <w:rPr>
          <w:rFonts w:asciiTheme="minorBidi" w:hAnsiTheme="minorBidi"/>
        </w:rPr>
        <w:t xml:space="preserve"> </w:t>
      </w:r>
      <w:r w:rsidRPr="0009637B">
        <w:rPr>
          <w:rFonts w:asciiTheme="minorBidi" w:hAnsiTheme="minorBidi"/>
          <w:lang w:val="en-US"/>
        </w:rPr>
        <w:t>It could be helpful, for example, for the Mining Reporting Entity to publish a copy of the original disclosure containing all the supporting information on its website, and include a hyperlink to that disclosure in its subsequent disclosure.</w:t>
      </w:r>
    </w:p>
  </w:footnote>
  <w:footnote w:id="15">
    <w:p w14:paraId="5D28DC11" w14:textId="5B8F27C6" w:rsidR="00750304" w:rsidRPr="0009637B" w:rsidRDefault="00750304">
      <w:pPr>
        <w:pStyle w:val="FootnoteText"/>
        <w:rPr>
          <w:rFonts w:asciiTheme="minorBidi" w:hAnsiTheme="minorBidi"/>
        </w:rPr>
      </w:pPr>
      <w:r w:rsidRPr="0009637B">
        <w:rPr>
          <w:rStyle w:val="FootnoteReference"/>
          <w:rFonts w:asciiTheme="minorBidi" w:hAnsiTheme="minorBidi"/>
        </w:rPr>
        <w:footnoteRef/>
      </w:r>
      <w:r w:rsidRPr="0009637B">
        <w:rPr>
          <w:rFonts w:asciiTheme="minorBidi" w:hAnsiTheme="minorBidi"/>
        </w:rPr>
        <w:t xml:space="preserve"> Examples of ‘aspirational statements’ could include:</w:t>
      </w:r>
    </w:p>
    <w:p w14:paraId="1DF5C0CE" w14:textId="134C082E" w:rsidR="00750304" w:rsidRPr="0009637B" w:rsidRDefault="00750304" w:rsidP="00AA2317">
      <w:pPr>
        <w:pStyle w:val="FootnoteText"/>
        <w:numPr>
          <w:ilvl w:val="0"/>
          <w:numId w:val="36"/>
        </w:numPr>
        <w:ind w:left="426" w:hanging="219"/>
        <w:rPr>
          <w:rFonts w:asciiTheme="minorBidi" w:hAnsiTheme="minorBidi"/>
          <w:i/>
          <w:iCs/>
        </w:rPr>
      </w:pPr>
      <w:r w:rsidRPr="0009637B">
        <w:rPr>
          <w:rFonts w:asciiTheme="minorBidi" w:hAnsiTheme="minorBidi"/>
          <w:i/>
          <w:iCs/>
        </w:rPr>
        <w:t>‘ABC LLC aims to be a 200,000 plus ounces per annum zinc producer in 3 years’;</w:t>
      </w:r>
    </w:p>
    <w:p w14:paraId="66E27F9F" w14:textId="33D66BAB" w:rsidR="00750304" w:rsidRPr="0009637B" w:rsidRDefault="00750304" w:rsidP="00AA2317">
      <w:pPr>
        <w:pStyle w:val="FootnoteText"/>
        <w:numPr>
          <w:ilvl w:val="0"/>
          <w:numId w:val="36"/>
        </w:numPr>
        <w:ind w:left="426" w:hanging="219"/>
        <w:rPr>
          <w:rFonts w:asciiTheme="minorBidi" w:hAnsiTheme="minorBidi"/>
          <w:i/>
          <w:iCs/>
        </w:rPr>
      </w:pPr>
      <w:r w:rsidRPr="0009637B">
        <w:rPr>
          <w:rFonts w:asciiTheme="minorBidi" w:hAnsiTheme="minorBidi"/>
          <w:i/>
          <w:iCs/>
        </w:rPr>
        <w:t>‘XYZ LLC aims to be the leading regional aluminium producer by [year/date]; or</w:t>
      </w:r>
    </w:p>
    <w:p w14:paraId="43ED5AE9" w14:textId="237FF8F7" w:rsidR="00750304" w:rsidRPr="00AA2317" w:rsidRDefault="00750304" w:rsidP="00AA2317">
      <w:pPr>
        <w:pStyle w:val="FootnoteText"/>
        <w:numPr>
          <w:ilvl w:val="0"/>
          <w:numId w:val="36"/>
        </w:numPr>
        <w:ind w:left="426" w:hanging="219"/>
      </w:pPr>
      <w:r w:rsidRPr="0009637B">
        <w:rPr>
          <w:rFonts w:asciiTheme="minorBidi" w:hAnsiTheme="minorBidi"/>
          <w:i/>
          <w:iCs/>
        </w:rPr>
        <w:t>‘[Mining Company LLC] aims to be significant gold producer that is doubling production over the next 4 years].</w:t>
      </w:r>
      <w:r>
        <w:t xml:space="preserve"> </w:t>
      </w:r>
    </w:p>
  </w:footnote>
  <w:footnote w:id="16">
    <w:p w14:paraId="64142689" w14:textId="70F7D652" w:rsidR="00750304" w:rsidRPr="0009637B" w:rsidRDefault="00750304" w:rsidP="00E90932">
      <w:pPr>
        <w:pStyle w:val="FootnoteText"/>
        <w:jc w:val="both"/>
        <w:rPr>
          <w:rFonts w:asciiTheme="minorBidi" w:hAnsiTheme="minorBidi"/>
        </w:rPr>
      </w:pPr>
      <w:r w:rsidRPr="0009637B">
        <w:rPr>
          <w:rStyle w:val="FootnoteReference"/>
          <w:rFonts w:asciiTheme="minorBidi" w:hAnsiTheme="minorBidi"/>
        </w:rPr>
        <w:footnoteRef/>
      </w:r>
      <w:r w:rsidRPr="0009637B">
        <w:rPr>
          <w:rFonts w:asciiTheme="minorBidi" w:hAnsiTheme="minorBidi"/>
        </w:rPr>
        <w:t xml:space="preserve"> For the guidance on forward looking statements in relation to Production Targets, refer to paragraphs 67-69 and 81 above.</w:t>
      </w:r>
    </w:p>
  </w:footnote>
  <w:footnote w:id="17">
    <w:p w14:paraId="7846787D" w14:textId="5E49F0F0" w:rsidR="00750304" w:rsidRPr="0009637B" w:rsidRDefault="00750304" w:rsidP="006474FF">
      <w:pPr>
        <w:pStyle w:val="FootnoteText"/>
        <w:jc w:val="both"/>
        <w:rPr>
          <w:rFonts w:asciiTheme="minorBidi" w:hAnsiTheme="minorBidi"/>
        </w:rPr>
      </w:pPr>
      <w:r w:rsidRPr="0009637B">
        <w:rPr>
          <w:rStyle w:val="FootnoteReference"/>
          <w:rFonts w:asciiTheme="minorBidi" w:hAnsiTheme="minorBidi"/>
        </w:rPr>
        <w:footnoteRef/>
      </w:r>
      <w:r w:rsidRPr="0009637B">
        <w:rPr>
          <w:rFonts w:asciiTheme="minorBidi" w:hAnsiTheme="minorBidi"/>
        </w:rPr>
        <w:t xml:space="preserve"> </w:t>
      </w:r>
      <w:r w:rsidRPr="0009637B">
        <w:rPr>
          <w:rFonts w:asciiTheme="minorBidi" w:hAnsiTheme="minorBidi"/>
          <w:lang w:val="en-US"/>
        </w:rPr>
        <w:t>It could be helpful, for example, for the Mining Reporting Entity to publish a copy of the original disclosure containing all the supporting information on its website, and include a hyperlink to that disclosure in its subsequent disclosure.</w:t>
      </w:r>
    </w:p>
  </w:footnote>
  <w:footnote w:id="18">
    <w:p w14:paraId="21BBA682" w14:textId="1085194F" w:rsidR="00750304" w:rsidRPr="006B620E" w:rsidRDefault="00750304" w:rsidP="00424A47">
      <w:pPr>
        <w:pStyle w:val="FootnoteText"/>
        <w:jc w:val="both"/>
        <w:rPr>
          <w:rFonts w:asciiTheme="minorBidi" w:hAnsiTheme="minorBidi"/>
        </w:rPr>
      </w:pPr>
      <w:r w:rsidRPr="006B620E">
        <w:rPr>
          <w:rStyle w:val="FootnoteReference"/>
          <w:rFonts w:asciiTheme="minorBidi" w:hAnsiTheme="minorBidi"/>
        </w:rPr>
        <w:footnoteRef/>
      </w:r>
      <w:r w:rsidRPr="006B620E">
        <w:rPr>
          <w:rFonts w:asciiTheme="minorBidi" w:hAnsiTheme="minorBidi"/>
        </w:rPr>
        <w:t xml:space="preserve"> For example, in the case of a cautionary statement for a Production Target, of which a proportion is based on an Exploration Target (see Rule 11.8.3(6)), a suitable cross-reference would be:</w:t>
      </w:r>
    </w:p>
    <w:p w14:paraId="36EF7BA7" w14:textId="77777777" w:rsidR="00750304" w:rsidRPr="006B620E" w:rsidRDefault="00750304" w:rsidP="00424A47">
      <w:pPr>
        <w:pStyle w:val="FootnoteText"/>
        <w:jc w:val="both"/>
        <w:rPr>
          <w:rFonts w:asciiTheme="minorBidi" w:hAnsiTheme="minorBidi"/>
          <w:i/>
        </w:rPr>
      </w:pPr>
      <w:r w:rsidRPr="006B620E">
        <w:rPr>
          <w:rFonts w:asciiTheme="minorBidi" w:hAnsiTheme="minorBidi"/>
          <w:i/>
        </w:rPr>
        <w:t>“This production target must be read in conjunction with the prominent cautionary statement on page [insert page number] that:</w:t>
      </w:r>
    </w:p>
    <w:p w14:paraId="1C6798E0" w14:textId="77777777" w:rsidR="00750304" w:rsidRPr="006B620E" w:rsidRDefault="00750304" w:rsidP="00424A47">
      <w:pPr>
        <w:pStyle w:val="FootnoteText"/>
        <w:ind w:left="142" w:right="379"/>
        <w:jc w:val="both"/>
        <w:rPr>
          <w:rFonts w:asciiTheme="minorBidi" w:hAnsiTheme="minorBidi"/>
          <w:i/>
        </w:rPr>
      </w:pPr>
      <w:r w:rsidRPr="006B620E">
        <w:rPr>
          <w:rFonts w:asciiTheme="minorBidi" w:hAnsiTheme="minorBidi"/>
          <w:i/>
        </w:rPr>
        <w:t xml:space="preserve">‘The potential quantity and grade of an exploration target is conceptual in nature, there has been insufficient exploration to determine a mineral resource and there is no certainty that future exploration work will result in the determination of mineral resources or that the production target itself will be realised.’”. </w:t>
      </w:r>
    </w:p>
    <w:p w14:paraId="4D608FBB" w14:textId="77777777" w:rsidR="00750304" w:rsidRPr="00D56AF1" w:rsidRDefault="00750304" w:rsidP="00424A47">
      <w:pPr>
        <w:pStyle w:val="FootnoteText"/>
        <w:ind w:left="720"/>
        <w:jc w:val="both"/>
        <w:rPr>
          <w:lang w:val="en-US"/>
        </w:rPr>
      </w:pPr>
    </w:p>
  </w:footnote>
  <w:footnote w:id="19">
    <w:p w14:paraId="0FEBF93F" w14:textId="75C0C851" w:rsidR="00750304" w:rsidRPr="001C4A2D" w:rsidRDefault="00750304">
      <w:pPr>
        <w:pStyle w:val="FootnoteText"/>
        <w:rPr>
          <w:rFonts w:asciiTheme="minorBidi" w:hAnsiTheme="minorBidi"/>
          <w:lang w:val="en-US"/>
        </w:rPr>
      </w:pPr>
      <w:r w:rsidRPr="001C4A2D">
        <w:rPr>
          <w:rStyle w:val="FootnoteReference"/>
          <w:rFonts w:asciiTheme="minorBidi" w:hAnsiTheme="minorBidi"/>
        </w:rPr>
        <w:footnoteRef/>
      </w:r>
      <w:r w:rsidRPr="001C4A2D">
        <w:rPr>
          <w:rFonts w:asciiTheme="minorBidi" w:hAnsiTheme="minorBidi"/>
        </w:rPr>
        <w:t xml:space="preserve"> </w:t>
      </w:r>
      <w:r w:rsidRPr="001C4A2D">
        <w:rPr>
          <w:rFonts w:asciiTheme="minorBidi" w:hAnsiTheme="minorBidi"/>
          <w:lang w:val="en-US"/>
        </w:rPr>
        <w:t>As provided for under Market Infrastructure Rule (MIR) 3.9.</w:t>
      </w:r>
    </w:p>
  </w:footnote>
  <w:footnote w:id="20">
    <w:p w14:paraId="6A219F4A" w14:textId="2C3B8E66" w:rsidR="00750304" w:rsidRPr="001C4A2D" w:rsidRDefault="00750304" w:rsidP="00AD77D9">
      <w:pPr>
        <w:pStyle w:val="FootnoteText"/>
        <w:rPr>
          <w:rFonts w:asciiTheme="minorBidi" w:hAnsiTheme="minorBidi"/>
          <w:lang w:val="en-US"/>
        </w:rPr>
      </w:pPr>
      <w:r w:rsidRPr="001C4A2D">
        <w:rPr>
          <w:rStyle w:val="FootnoteReference"/>
          <w:rFonts w:asciiTheme="minorBidi" w:hAnsiTheme="minorBidi"/>
        </w:rPr>
        <w:footnoteRef/>
      </w:r>
      <w:r w:rsidRPr="001C4A2D">
        <w:rPr>
          <w:rFonts w:asciiTheme="minorBidi" w:hAnsiTheme="minorBidi"/>
        </w:rPr>
        <w:t xml:space="preserve"> F</w:t>
      </w:r>
      <w:r w:rsidRPr="001C4A2D">
        <w:rPr>
          <w:rFonts w:asciiTheme="minorBidi" w:hAnsiTheme="minorBidi"/>
          <w:lang w:val="en-US"/>
        </w:rPr>
        <w:t>or example, one of Canada, South Africa or Australia</w:t>
      </w:r>
      <w:r w:rsidR="00E90932">
        <w:rPr>
          <w:rFonts w:asciiTheme="minorBidi" w:hAnsiTheme="minorBidi"/>
          <w:lang w:val="en-US"/>
        </w:rPr>
        <w:t>.</w:t>
      </w:r>
    </w:p>
  </w:footnote>
  <w:footnote w:id="21">
    <w:p w14:paraId="1282ABC3" w14:textId="255E4654" w:rsidR="00750304" w:rsidRPr="008A461E" w:rsidRDefault="00750304">
      <w:pPr>
        <w:pStyle w:val="FootnoteText"/>
        <w:rPr>
          <w:lang w:val="en-US"/>
        </w:rPr>
      </w:pPr>
      <w:r w:rsidRPr="001C4A2D">
        <w:rPr>
          <w:rStyle w:val="FootnoteReference"/>
          <w:rFonts w:asciiTheme="minorBidi" w:hAnsiTheme="minorBidi"/>
        </w:rPr>
        <w:footnoteRef/>
      </w:r>
      <w:r w:rsidRPr="001C4A2D">
        <w:rPr>
          <w:rFonts w:asciiTheme="minorBidi" w:hAnsiTheme="minorBidi"/>
        </w:rPr>
        <w:t xml:space="preserve"> </w:t>
      </w:r>
      <w:r w:rsidRPr="001C4A2D">
        <w:rPr>
          <w:rFonts w:asciiTheme="minorBidi" w:hAnsiTheme="minorBidi"/>
          <w:lang w:val="en-US"/>
        </w:rPr>
        <w:t>See footnote 1</w:t>
      </w:r>
      <w:r w:rsidR="008A6D2D">
        <w:rPr>
          <w:rFonts w:asciiTheme="minorBidi" w:hAnsiTheme="minorBidi"/>
          <w:lang w:val="en-US"/>
        </w:rPr>
        <w:t>9</w:t>
      </w:r>
      <w:r w:rsidRPr="001C4A2D">
        <w:rPr>
          <w:rFonts w:asciiTheme="minorBidi" w:hAnsiTheme="minorBidi"/>
          <w:lang w:val="en-US"/>
        </w:rPr>
        <w:t xml:space="preserve"> above.</w:t>
      </w:r>
      <w:r w:rsidR="00EF22D2">
        <w:rPr>
          <w:rFonts w:asciiTheme="minorBidi" w:hAnsiTheme="minorBidi"/>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3C35" w14:textId="2C224CF1" w:rsidR="00750304" w:rsidRPr="00750304" w:rsidRDefault="00AA5EA9" w:rsidP="00750304">
    <w:pPr>
      <w:pStyle w:val="Header"/>
      <w:jc w:val="right"/>
      <w:rPr>
        <w:rFonts w:asciiTheme="minorBidi" w:hAnsiTheme="minorBidi"/>
        <w:sz w:val="20"/>
        <w:szCs w:val="20"/>
        <w:lang w:val="en-US"/>
      </w:rPr>
    </w:pPr>
    <w:r w:rsidRPr="00345620">
      <w:rPr>
        <w:rFonts w:asciiTheme="minorBidi" w:hAnsiTheme="minorBidi"/>
        <w:noProof/>
        <w:sz w:val="20"/>
        <w:szCs w:val="20"/>
        <w:lang w:eastAsia="en-GB"/>
      </w:rPr>
      <w:drawing>
        <wp:anchor distT="0" distB="0" distL="114300" distR="114300" simplePos="0" relativeHeight="251657216" behindDoc="0" locked="0" layoutInCell="1" allowOverlap="1" wp14:anchorId="23FAE09E" wp14:editId="484B5024">
          <wp:simplePos x="0" y="0"/>
          <wp:positionH relativeFrom="margin">
            <wp:posOffset>-142710</wp:posOffset>
          </wp:positionH>
          <wp:positionV relativeFrom="paragraph">
            <wp:posOffset>173788</wp:posOffset>
          </wp:positionV>
          <wp:extent cx="1899666" cy="539496"/>
          <wp:effectExtent l="0" t="0" r="5715" b="0"/>
          <wp:wrapNone/>
          <wp:docPr id="4" name="Picture 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inorBidi" w:hAnsiTheme="minorBidi"/>
          <w:sz w:val="20"/>
          <w:szCs w:val="20"/>
          <w:lang w:val="en-US"/>
        </w:rPr>
        <w:id w:val="-518009049"/>
        <w:docPartObj>
          <w:docPartGallery w:val="Watermarks"/>
          <w:docPartUnique/>
        </w:docPartObj>
      </w:sdtPr>
      <w:sdtEndP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949F" w14:textId="11EA8611" w:rsidR="00AA5EA9" w:rsidRPr="00F32DD2" w:rsidRDefault="000A7CFC" w:rsidP="00750304">
    <w:pPr>
      <w:pStyle w:val="Header"/>
      <w:jc w:val="right"/>
      <w:rPr>
        <w:rFonts w:asciiTheme="minorBidi" w:hAnsiTheme="minorBidi"/>
        <w:b/>
        <w:bCs/>
        <w:sz w:val="20"/>
        <w:szCs w:val="20"/>
        <w:lang w:val="en-US"/>
      </w:rPr>
    </w:pPr>
    <w:r w:rsidRPr="002721A6">
      <w:rPr>
        <w:noProof/>
        <w:lang w:eastAsia="en-GB"/>
      </w:rPr>
      <w:drawing>
        <wp:anchor distT="0" distB="0" distL="114300" distR="114300" simplePos="0" relativeHeight="251665408" behindDoc="0" locked="0" layoutInCell="1" allowOverlap="1" wp14:anchorId="7A023AEF" wp14:editId="1578B6C9">
          <wp:simplePos x="0" y="0"/>
          <wp:positionH relativeFrom="margin">
            <wp:posOffset>-226771</wp:posOffset>
          </wp:positionH>
          <wp:positionV relativeFrom="paragraph">
            <wp:posOffset>-132308</wp:posOffset>
          </wp:positionV>
          <wp:extent cx="1899666" cy="539496"/>
          <wp:effectExtent l="0" t="0" r="5715" b="0"/>
          <wp:wrapNone/>
          <wp:docPr id="2" name="Picture 2"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inorBidi" w:hAnsiTheme="minorBidi"/>
          <w:sz w:val="20"/>
          <w:szCs w:val="20"/>
          <w:lang w:val="en-US"/>
        </w:rPr>
        <w:id w:val="1914123862"/>
        <w:docPartObj>
          <w:docPartGallery w:val="Watermarks"/>
          <w:docPartUnique/>
        </w:docPartObj>
      </w:sdtPr>
      <w:sdtEndPr/>
      <w:sdtContent/>
    </w:sdt>
    <w:r w:rsidR="00F32DD2" w:rsidRPr="00F32DD2">
      <w:rPr>
        <w:rFonts w:asciiTheme="minorBidi" w:hAnsiTheme="minorBidi"/>
        <w:b/>
        <w:bCs/>
        <w:sz w:val="20"/>
        <w:szCs w:val="20"/>
        <w:lang w:val="en-US"/>
      </w:rPr>
      <w:t>VER 01.280922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A3E1F" w14:textId="047AA879" w:rsidR="00F32DD2" w:rsidRPr="00F32DD2" w:rsidRDefault="000A7CFC" w:rsidP="00F32DD2">
    <w:pPr>
      <w:pStyle w:val="Header"/>
      <w:jc w:val="right"/>
      <w:rPr>
        <w:rFonts w:asciiTheme="minorBidi" w:hAnsiTheme="minorBidi"/>
        <w:b/>
        <w:bCs/>
        <w:sz w:val="20"/>
        <w:szCs w:val="20"/>
        <w:lang w:val="en-US"/>
      </w:rPr>
    </w:pPr>
    <w:r w:rsidRPr="002721A6">
      <w:rPr>
        <w:noProof/>
        <w:lang w:eastAsia="en-GB"/>
      </w:rPr>
      <w:drawing>
        <wp:anchor distT="0" distB="0" distL="114300" distR="114300" simplePos="0" relativeHeight="251663360" behindDoc="0" locked="0" layoutInCell="1" allowOverlap="1" wp14:anchorId="58ABE73A" wp14:editId="3147A870">
          <wp:simplePos x="0" y="0"/>
          <wp:positionH relativeFrom="margin">
            <wp:posOffset>-475488</wp:posOffset>
          </wp:positionH>
          <wp:positionV relativeFrom="paragraph">
            <wp:posOffset>-74041</wp:posOffset>
          </wp:positionV>
          <wp:extent cx="1899666" cy="539496"/>
          <wp:effectExtent l="0" t="0" r="5715" b="0"/>
          <wp:wrapNone/>
          <wp:docPr id="6" name="Picture 6"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r w:rsidR="00F32DD2" w:rsidRPr="00F32DD2">
      <w:rPr>
        <w:rFonts w:asciiTheme="minorBidi" w:hAnsiTheme="minorBidi"/>
        <w:b/>
        <w:bCs/>
        <w:sz w:val="20"/>
        <w:szCs w:val="20"/>
        <w:lang w:val="en-US"/>
      </w:rPr>
      <w:t>VER 01.280922</w:t>
    </w:r>
  </w:p>
  <w:p w14:paraId="4B1CFA9D" w14:textId="1FF7E78C" w:rsidR="00AA5EA9" w:rsidRPr="00750304" w:rsidRDefault="00AA5EA9" w:rsidP="00750304">
    <w:pPr>
      <w:pStyle w:val="Header"/>
      <w:jc w:val="right"/>
      <w:rPr>
        <w:rFonts w:asciiTheme="minorBidi" w:hAnsiTheme="minorBidi"/>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769"/>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0D977CD1"/>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15:restartNumberingAfterBreak="0">
    <w:nsid w:val="0EF8678F"/>
    <w:multiLevelType w:val="hybridMultilevel"/>
    <w:tmpl w:val="68420608"/>
    <w:name w:val="(Unnamed Numbering Scheme)2"/>
    <w:lvl w:ilvl="0" w:tplc="08090017">
      <w:start w:val="1"/>
      <w:numFmt w:val="lowerLetter"/>
      <w:lvlText w:val="%1)"/>
      <w:lvlJc w:val="left"/>
      <w:pPr>
        <w:ind w:left="288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E1C66"/>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BBF34EC"/>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225010B7"/>
    <w:multiLevelType w:val="hybridMultilevel"/>
    <w:tmpl w:val="C1D46FDA"/>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6" w15:restartNumberingAfterBreak="0">
    <w:nsid w:val="2283248C"/>
    <w:multiLevelType w:val="hybridMultilevel"/>
    <w:tmpl w:val="32684236"/>
    <w:lvl w:ilvl="0" w:tplc="0562CC0A">
      <w:start w:val="1"/>
      <w:numFmt w:val="lowerLetter"/>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22E430D4"/>
    <w:multiLevelType w:val="hybridMultilevel"/>
    <w:tmpl w:val="EC3AF0AE"/>
    <w:lvl w:ilvl="0" w:tplc="1270DA7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245C068E"/>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28E35254"/>
    <w:multiLevelType w:val="hybridMultilevel"/>
    <w:tmpl w:val="7CFA0EEE"/>
    <w:lvl w:ilvl="0" w:tplc="0562CC0A">
      <w:start w:val="1"/>
      <w:numFmt w:val="lowerLetter"/>
      <w:lvlText w:val="%1)"/>
      <w:lvlJc w:val="left"/>
      <w:pPr>
        <w:ind w:left="786" w:hanging="360"/>
      </w:pPr>
      <w:rPr>
        <w:rFonts w:hint="default"/>
      </w:rPr>
    </w:lvl>
    <w:lvl w:ilvl="1" w:tplc="AFB6489A">
      <w:start w:val="1"/>
      <w:numFmt w:val="lowerRoman"/>
      <w:lvlText w:val="(%2)"/>
      <w:lvlJc w:val="left"/>
      <w:pPr>
        <w:ind w:left="1506" w:hanging="360"/>
      </w:pPr>
      <w:rPr>
        <w:rFonts w:hint="default"/>
      </w:r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29A73733"/>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2AF77658"/>
    <w:multiLevelType w:val="hybridMultilevel"/>
    <w:tmpl w:val="C1D46FDA"/>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 w15:restartNumberingAfterBreak="0">
    <w:nsid w:val="2BB62F12"/>
    <w:multiLevelType w:val="hybridMultilevel"/>
    <w:tmpl w:val="7CFA0EEE"/>
    <w:lvl w:ilvl="0" w:tplc="0562CC0A">
      <w:start w:val="1"/>
      <w:numFmt w:val="lowerLetter"/>
      <w:lvlText w:val="%1)"/>
      <w:lvlJc w:val="left"/>
      <w:pPr>
        <w:ind w:left="786" w:hanging="360"/>
      </w:pPr>
      <w:rPr>
        <w:rFonts w:hint="default"/>
      </w:rPr>
    </w:lvl>
    <w:lvl w:ilvl="1" w:tplc="AFB6489A">
      <w:start w:val="1"/>
      <w:numFmt w:val="lowerRoman"/>
      <w:lvlText w:val="(%2)"/>
      <w:lvlJc w:val="left"/>
      <w:pPr>
        <w:ind w:left="1506" w:hanging="360"/>
      </w:pPr>
      <w:rPr>
        <w:rFonts w:hint="default"/>
      </w:r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2CFA2ED5"/>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30CB0BD1"/>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15:restartNumberingAfterBreak="0">
    <w:nsid w:val="314A23D3"/>
    <w:multiLevelType w:val="hybridMultilevel"/>
    <w:tmpl w:val="7CFA0EEE"/>
    <w:lvl w:ilvl="0" w:tplc="0562CC0A">
      <w:start w:val="1"/>
      <w:numFmt w:val="lowerLetter"/>
      <w:lvlText w:val="%1)"/>
      <w:lvlJc w:val="left"/>
      <w:pPr>
        <w:ind w:left="786" w:hanging="360"/>
      </w:pPr>
      <w:rPr>
        <w:rFonts w:hint="default"/>
      </w:rPr>
    </w:lvl>
    <w:lvl w:ilvl="1" w:tplc="AFB6489A">
      <w:start w:val="1"/>
      <w:numFmt w:val="lowerRoman"/>
      <w:lvlText w:val="(%2)"/>
      <w:lvlJc w:val="left"/>
      <w:pPr>
        <w:ind w:left="1506" w:hanging="360"/>
      </w:pPr>
      <w:rPr>
        <w:rFonts w:hint="default"/>
      </w:r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38D16DA8"/>
    <w:multiLevelType w:val="hybridMultilevel"/>
    <w:tmpl w:val="EC3AF0AE"/>
    <w:lvl w:ilvl="0" w:tplc="1270DA7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41505958"/>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17A1BC6"/>
    <w:multiLevelType w:val="hybridMultilevel"/>
    <w:tmpl w:val="7CFA0EEE"/>
    <w:lvl w:ilvl="0" w:tplc="0562CC0A">
      <w:start w:val="1"/>
      <w:numFmt w:val="lowerLetter"/>
      <w:lvlText w:val="%1)"/>
      <w:lvlJc w:val="left"/>
      <w:pPr>
        <w:ind w:left="786" w:hanging="360"/>
      </w:pPr>
      <w:rPr>
        <w:rFonts w:hint="default"/>
      </w:rPr>
    </w:lvl>
    <w:lvl w:ilvl="1" w:tplc="AFB6489A">
      <w:start w:val="1"/>
      <w:numFmt w:val="lowerRoman"/>
      <w:lvlText w:val="(%2)"/>
      <w:lvlJc w:val="left"/>
      <w:pPr>
        <w:ind w:left="1506" w:hanging="360"/>
      </w:pPr>
      <w:rPr>
        <w:rFonts w:hint="default"/>
      </w:r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 w15:restartNumberingAfterBreak="0">
    <w:nsid w:val="431A0C4A"/>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452C5A15"/>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47B1142B"/>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49CD70BB"/>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2234E7E"/>
    <w:multiLevelType w:val="hybridMultilevel"/>
    <w:tmpl w:val="FF5AB9F2"/>
    <w:lvl w:ilvl="0" w:tplc="F6248764">
      <w:start w:val="1"/>
      <w:numFmt w:val="lowerLetter"/>
      <w:lvlText w:val="%1)"/>
      <w:lvlJc w:val="left"/>
      <w:pPr>
        <w:ind w:left="1080" w:hanging="360"/>
      </w:pPr>
      <w:rPr>
        <w:rFonts w:asciiTheme="minorBidi" w:hAnsiTheme="minorBidi" w:cstheme="minorBid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AA3756A"/>
    <w:multiLevelType w:val="hybridMultilevel"/>
    <w:tmpl w:val="7CFA0EEE"/>
    <w:lvl w:ilvl="0" w:tplc="0562CC0A">
      <w:start w:val="1"/>
      <w:numFmt w:val="lowerLetter"/>
      <w:lvlText w:val="%1)"/>
      <w:lvlJc w:val="left"/>
      <w:pPr>
        <w:ind w:left="786" w:hanging="360"/>
      </w:pPr>
      <w:rPr>
        <w:rFonts w:hint="default"/>
      </w:rPr>
    </w:lvl>
    <w:lvl w:ilvl="1" w:tplc="AFB6489A">
      <w:start w:val="1"/>
      <w:numFmt w:val="lowerRoman"/>
      <w:lvlText w:val="(%2)"/>
      <w:lvlJc w:val="left"/>
      <w:pPr>
        <w:ind w:left="1506" w:hanging="360"/>
      </w:pPr>
      <w:rPr>
        <w:rFonts w:hint="default"/>
      </w:r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15:restartNumberingAfterBreak="0">
    <w:nsid w:val="5F7E2BBD"/>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15:restartNumberingAfterBreak="0">
    <w:nsid w:val="61140403"/>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15:restartNumberingAfterBreak="0">
    <w:nsid w:val="66A4744C"/>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8" w15:restartNumberingAfterBreak="0">
    <w:nsid w:val="66F64775"/>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9" w15:restartNumberingAfterBreak="0">
    <w:nsid w:val="67BC7066"/>
    <w:multiLevelType w:val="hybridMultilevel"/>
    <w:tmpl w:val="B35AF1C0"/>
    <w:lvl w:ilvl="0" w:tplc="68340C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8C102D2"/>
    <w:multiLevelType w:val="hybridMultilevel"/>
    <w:tmpl w:val="2F2295F2"/>
    <w:lvl w:ilvl="0" w:tplc="F0DCA85E">
      <w:start w:val="1"/>
      <w:numFmt w:val="decimal"/>
      <w:pStyle w:val="BodyTextNumbered"/>
      <w:lvlText w:val="%1."/>
      <w:lvlJc w:val="left"/>
      <w:pPr>
        <w:ind w:left="360" w:hanging="360"/>
      </w:pPr>
      <w:rPr>
        <w:b w:val="0"/>
        <w:color w:val="003B5A"/>
        <w:lang w:val="en-GB"/>
      </w:rPr>
    </w:lvl>
    <w:lvl w:ilvl="1" w:tplc="4DE853AE">
      <w:start w:val="1"/>
      <w:numFmt w:val="lowerLetter"/>
      <w:lvlText w:val="%2)"/>
      <w:lvlJc w:val="left"/>
      <w:pPr>
        <w:ind w:left="1778" w:hanging="360"/>
      </w:pPr>
    </w:lvl>
    <w:lvl w:ilvl="2" w:tplc="B02ADF4C">
      <w:start w:val="1"/>
      <w:numFmt w:val="lowerRoman"/>
      <w:lvlText w:val="%3."/>
      <w:lvlJc w:val="right"/>
      <w:pPr>
        <w:ind w:left="2160" w:hanging="180"/>
      </w:pPr>
    </w:lvl>
    <w:lvl w:ilvl="3" w:tplc="15EC4C3C" w:tentative="1">
      <w:start w:val="1"/>
      <w:numFmt w:val="decimal"/>
      <w:lvlText w:val="%4."/>
      <w:lvlJc w:val="left"/>
      <w:pPr>
        <w:ind w:left="2880" w:hanging="360"/>
      </w:pPr>
    </w:lvl>
    <w:lvl w:ilvl="4" w:tplc="1E1A3AE6" w:tentative="1">
      <w:start w:val="1"/>
      <w:numFmt w:val="lowerLetter"/>
      <w:lvlText w:val="%5."/>
      <w:lvlJc w:val="left"/>
      <w:pPr>
        <w:ind w:left="3600" w:hanging="360"/>
      </w:pPr>
    </w:lvl>
    <w:lvl w:ilvl="5" w:tplc="0B3083DA" w:tentative="1">
      <w:start w:val="1"/>
      <w:numFmt w:val="lowerRoman"/>
      <w:lvlText w:val="%6."/>
      <w:lvlJc w:val="right"/>
      <w:pPr>
        <w:ind w:left="4320" w:hanging="180"/>
      </w:pPr>
    </w:lvl>
    <w:lvl w:ilvl="6" w:tplc="AA9822D0" w:tentative="1">
      <w:start w:val="1"/>
      <w:numFmt w:val="decimal"/>
      <w:lvlText w:val="%7."/>
      <w:lvlJc w:val="left"/>
      <w:pPr>
        <w:ind w:left="5040" w:hanging="360"/>
      </w:pPr>
    </w:lvl>
    <w:lvl w:ilvl="7" w:tplc="F8683FA2" w:tentative="1">
      <w:start w:val="1"/>
      <w:numFmt w:val="lowerLetter"/>
      <w:lvlText w:val="%8."/>
      <w:lvlJc w:val="left"/>
      <w:pPr>
        <w:ind w:left="5760" w:hanging="360"/>
      </w:pPr>
    </w:lvl>
    <w:lvl w:ilvl="8" w:tplc="B14AE26E" w:tentative="1">
      <w:start w:val="1"/>
      <w:numFmt w:val="lowerRoman"/>
      <w:lvlText w:val="%9."/>
      <w:lvlJc w:val="right"/>
      <w:pPr>
        <w:ind w:left="6480" w:hanging="180"/>
      </w:pPr>
    </w:lvl>
  </w:abstractNum>
  <w:abstractNum w:abstractNumId="31" w15:restartNumberingAfterBreak="0">
    <w:nsid w:val="69BE6B71"/>
    <w:multiLevelType w:val="multilevel"/>
    <w:tmpl w:val="217CF056"/>
    <w:lvl w:ilvl="0">
      <w:start w:val="1"/>
      <w:numFmt w:val="decimal"/>
      <w:lvlText w:val="%1."/>
      <w:lvlJc w:val="left"/>
      <w:pPr>
        <w:tabs>
          <w:tab w:val="num" w:pos="4253"/>
        </w:tabs>
        <w:ind w:left="4253" w:hanging="567"/>
      </w:pPr>
      <w:rPr>
        <w:sz w:val="24"/>
      </w:rPr>
    </w:lvl>
    <w:lvl w:ilvl="1">
      <w:start w:val="1"/>
      <w:numFmt w:val="decimal"/>
      <w:lvlText w:val="%1.%2"/>
      <w:lvlJc w:val="left"/>
      <w:pPr>
        <w:tabs>
          <w:tab w:val="num" w:pos="851"/>
        </w:tabs>
        <w:ind w:left="851" w:hanging="851"/>
      </w:pPr>
      <w:rPr>
        <w:rFonts w:ascii="Arial Narrow" w:hAnsi="Arial Narrow" w:hint="default"/>
        <w:b w:val="0"/>
        <w:i w:val="0"/>
        <w:sz w:val="22"/>
        <w:szCs w:val="22"/>
      </w:rPr>
    </w:lvl>
    <w:lvl w:ilvl="2">
      <w:start w:val="1"/>
      <w:numFmt w:val="lowerLetter"/>
      <w:lvlText w:val="(%3)"/>
      <w:lvlJc w:val="left"/>
      <w:pPr>
        <w:tabs>
          <w:tab w:val="num" w:pos="1701"/>
        </w:tabs>
        <w:ind w:left="1701" w:hanging="850"/>
      </w:pPr>
      <w:rPr>
        <w:i w:val="0"/>
        <w:u w:val="none"/>
      </w:rPr>
    </w:lvl>
    <w:lvl w:ilvl="3">
      <w:start w:val="1"/>
      <w:numFmt w:val="lowerLetter"/>
      <w:lvlText w:val="(%4)"/>
      <w:lvlJc w:val="left"/>
      <w:pPr>
        <w:tabs>
          <w:tab w:val="num" w:pos="2552"/>
        </w:tabs>
        <w:ind w:left="2552" w:hanging="851"/>
      </w:pPr>
    </w:lvl>
    <w:lvl w:ilvl="4">
      <w:start w:val="1"/>
      <w:numFmt w:val="lowerRoman"/>
      <w:lvlText w:val="(%5)"/>
      <w:lvlJc w:val="left"/>
      <w:pPr>
        <w:tabs>
          <w:tab w:val="num" w:pos="3402"/>
        </w:tabs>
        <w:ind w:left="3402" w:hanging="850"/>
      </w:pPr>
    </w:lvl>
    <w:lvl w:ilvl="5">
      <w:start w:val="1"/>
      <w:numFmt w:val="upperLetter"/>
      <w:lvlText w:val="(%6)"/>
      <w:lvlJc w:val="left"/>
      <w:pPr>
        <w:tabs>
          <w:tab w:val="num" w:pos="4253"/>
        </w:tabs>
        <w:ind w:left="4253" w:hanging="851"/>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6E9104B2"/>
    <w:multiLevelType w:val="hybridMultilevel"/>
    <w:tmpl w:val="EC3AF0AE"/>
    <w:lvl w:ilvl="0" w:tplc="1270DA78">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3" w15:restartNumberingAfterBreak="0">
    <w:nsid w:val="70460578"/>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 w15:restartNumberingAfterBreak="0">
    <w:nsid w:val="72836349"/>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5" w15:restartNumberingAfterBreak="0">
    <w:nsid w:val="731C37D9"/>
    <w:multiLevelType w:val="multilevel"/>
    <w:tmpl w:val="2500D036"/>
    <w:name w:val="(Unnamed Numbering Scheme)"/>
    <w:lvl w:ilvl="0">
      <w:start w:val="1"/>
      <w:numFmt w:val="decimal"/>
      <w:lvlText w:val="%1."/>
      <w:lvlJc w:val="left"/>
      <w:pPr>
        <w:tabs>
          <w:tab w:val="num" w:pos="720"/>
        </w:tabs>
        <w:ind w:left="720" w:hanging="720"/>
      </w:pPr>
      <w:rPr>
        <w:rFonts w:asciiTheme="minorHAnsi" w:hAnsiTheme="minorHAnsi" w:hint="default"/>
        <w:b w:val="0"/>
        <w:i w:val="0"/>
        <w:caps w:val="0"/>
        <w:color w:val="010000"/>
        <w:u w:val="none"/>
      </w:rPr>
    </w:lvl>
    <w:lvl w:ilvl="1">
      <w:start w:val="1"/>
      <w:numFmt w:val="decimal"/>
      <w:lvlText w:val="%1.%2"/>
      <w:lvlJc w:val="left"/>
      <w:pPr>
        <w:tabs>
          <w:tab w:val="num" w:pos="720"/>
        </w:tabs>
        <w:ind w:left="720" w:hanging="720"/>
      </w:pPr>
      <w:rPr>
        <w:rFonts w:asciiTheme="minorHAnsi" w:hAnsiTheme="minorHAnsi" w:hint="default"/>
        <w:b w:val="0"/>
        <w:i w:val="0"/>
        <w:color w:val="010000"/>
        <w:u w:val="none"/>
      </w:rPr>
    </w:lvl>
    <w:lvl w:ilvl="2">
      <w:start w:val="1"/>
      <w:numFmt w:val="decimal"/>
      <w:lvlText w:val="%1.%2.%3"/>
      <w:lvlJc w:val="left"/>
      <w:pPr>
        <w:tabs>
          <w:tab w:val="num" w:pos="720"/>
        </w:tabs>
        <w:ind w:left="720" w:hanging="720"/>
      </w:pPr>
      <w:rPr>
        <w:rFonts w:hint="default"/>
        <w:color w:val="010000"/>
        <w:u w:val="none"/>
      </w:rPr>
    </w:lvl>
    <w:lvl w:ilvl="3">
      <w:start w:val="1"/>
      <w:numFmt w:val="lowerLetter"/>
      <w:lvlText w:val="(%4)"/>
      <w:lvlJc w:val="left"/>
      <w:pPr>
        <w:tabs>
          <w:tab w:val="num" w:pos="1440"/>
        </w:tabs>
        <w:ind w:left="1440" w:hanging="720"/>
      </w:pPr>
      <w:rPr>
        <w:rFonts w:ascii="Calibri" w:eastAsiaTheme="majorEastAsia" w:hAnsi="Calibri" w:cs="Calibri"/>
        <w:color w:val="010000"/>
        <w:u w:val="none"/>
      </w:rPr>
    </w:lvl>
    <w:lvl w:ilvl="4">
      <w:start w:val="1"/>
      <w:numFmt w:val="lowerRoman"/>
      <w:lvlText w:val="(%5)"/>
      <w:lvlJc w:val="left"/>
      <w:pPr>
        <w:tabs>
          <w:tab w:val="num" w:pos="2160"/>
        </w:tabs>
        <w:ind w:left="2160" w:hanging="720"/>
      </w:pPr>
      <w:rPr>
        <w:rFonts w:hint="default"/>
        <w:color w:val="010000"/>
        <w:u w:val="none"/>
      </w:rPr>
    </w:lvl>
    <w:lvl w:ilvl="5">
      <w:start w:val="1"/>
      <w:numFmt w:val="upperLetter"/>
      <w:lvlText w:val="(%6)"/>
      <w:lvlJc w:val="left"/>
      <w:pPr>
        <w:tabs>
          <w:tab w:val="num" w:pos="2880"/>
        </w:tabs>
        <w:ind w:left="2880" w:hanging="720"/>
      </w:pPr>
      <w:rPr>
        <w:rFonts w:hint="default"/>
        <w:color w:val="010000"/>
        <w:u w:val="none"/>
      </w:rPr>
    </w:lvl>
    <w:lvl w:ilvl="6">
      <w:start w:val="27"/>
      <w:numFmt w:val="lowerLetter"/>
      <w:lvlText w:val="(%7)"/>
      <w:lvlJc w:val="left"/>
      <w:pPr>
        <w:tabs>
          <w:tab w:val="num" w:pos="4320"/>
        </w:tabs>
        <w:ind w:left="4320" w:hanging="720"/>
      </w:pPr>
      <w:rPr>
        <w:rFonts w:hint="default"/>
        <w:color w:val="010000"/>
        <w:u w:val="none"/>
      </w:rPr>
    </w:lvl>
    <w:lvl w:ilvl="7">
      <w:start w:val="1"/>
      <w:numFmt w:val="none"/>
      <w:suff w:val="nothing"/>
      <w:lvlText w:val=""/>
      <w:lvlJc w:val="left"/>
      <w:pPr>
        <w:ind w:left="0" w:firstLine="0"/>
      </w:pPr>
      <w:rPr>
        <w:rFonts w:hint="default"/>
        <w:color w:val="010000"/>
        <w:u w:val="none"/>
      </w:rPr>
    </w:lvl>
    <w:lvl w:ilvl="8">
      <w:start w:val="1"/>
      <w:numFmt w:val="none"/>
      <w:suff w:val="nothing"/>
      <w:lvlText w:val=""/>
      <w:lvlJc w:val="left"/>
      <w:pPr>
        <w:ind w:left="0" w:firstLine="0"/>
      </w:pPr>
      <w:rPr>
        <w:rFonts w:hint="default"/>
        <w:color w:val="010000"/>
        <w:u w:val="none"/>
      </w:rPr>
    </w:lvl>
  </w:abstractNum>
  <w:abstractNum w:abstractNumId="36" w15:restartNumberingAfterBreak="0">
    <w:nsid w:val="7A53090C"/>
    <w:multiLevelType w:val="hybridMultilevel"/>
    <w:tmpl w:val="32684236"/>
    <w:lvl w:ilvl="0" w:tplc="0562CC0A">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7" w15:restartNumberingAfterBreak="0">
    <w:nsid w:val="7DA73C35"/>
    <w:multiLevelType w:val="hybridMultilevel"/>
    <w:tmpl w:val="B120C564"/>
    <w:lvl w:ilvl="0" w:tplc="A8FC6280">
      <w:start w:val="1"/>
      <w:numFmt w:val="decimal"/>
      <w:lvlText w:val="%1)"/>
      <w:lvlJc w:val="left"/>
      <w:pPr>
        <w:ind w:left="680" w:hanging="453"/>
      </w:pPr>
      <w:rPr>
        <w:rFonts w:cs="Helvetica" w:hint="default"/>
        <w:i w:val="0"/>
        <w:iCs w:val="0"/>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CB0AEA"/>
    <w:multiLevelType w:val="hybridMultilevel"/>
    <w:tmpl w:val="ABF8FF06"/>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16cid:durableId="996149641">
    <w:abstractNumId w:val="37"/>
  </w:num>
  <w:num w:numId="2" w16cid:durableId="255557425">
    <w:abstractNumId w:val="30"/>
  </w:num>
  <w:num w:numId="3" w16cid:durableId="822550595">
    <w:abstractNumId w:val="29"/>
  </w:num>
  <w:num w:numId="4" w16cid:durableId="574584535">
    <w:abstractNumId w:val="23"/>
  </w:num>
  <w:num w:numId="5" w16cid:durableId="1141069456">
    <w:abstractNumId w:val="17"/>
  </w:num>
  <w:num w:numId="6" w16cid:durableId="4284493">
    <w:abstractNumId w:val="22"/>
  </w:num>
  <w:num w:numId="7" w16cid:durableId="1849247220">
    <w:abstractNumId w:val="3"/>
  </w:num>
  <w:num w:numId="8" w16cid:durableId="54008364">
    <w:abstractNumId w:val="1"/>
  </w:num>
  <w:num w:numId="9" w16cid:durableId="2127573789">
    <w:abstractNumId w:val="2"/>
  </w:num>
  <w:num w:numId="10" w16cid:durableId="1924605277">
    <w:abstractNumId w:val="8"/>
  </w:num>
  <w:num w:numId="11" w16cid:durableId="418867628">
    <w:abstractNumId w:val="13"/>
  </w:num>
  <w:num w:numId="12" w16cid:durableId="915480387">
    <w:abstractNumId w:val="20"/>
  </w:num>
  <w:num w:numId="13" w16cid:durableId="1432119815">
    <w:abstractNumId w:val="25"/>
  </w:num>
  <w:num w:numId="14" w16cid:durableId="1183327550">
    <w:abstractNumId w:val="10"/>
  </w:num>
  <w:num w:numId="15" w16cid:durableId="1763914993">
    <w:abstractNumId w:val="28"/>
  </w:num>
  <w:num w:numId="16" w16cid:durableId="406071786">
    <w:abstractNumId w:val="0"/>
  </w:num>
  <w:num w:numId="17" w16cid:durableId="1653411626">
    <w:abstractNumId w:val="34"/>
  </w:num>
  <w:num w:numId="18" w16cid:durableId="1387609669">
    <w:abstractNumId w:val="36"/>
  </w:num>
  <w:num w:numId="19" w16cid:durableId="1171872685">
    <w:abstractNumId w:val="5"/>
  </w:num>
  <w:num w:numId="20" w16cid:durableId="500513507">
    <w:abstractNumId w:val="31"/>
  </w:num>
  <w:num w:numId="21" w16cid:durableId="1445271805">
    <w:abstractNumId w:val="26"/>
  </w:num>
  <w:num w:numId="22" w16cid:durableId="748622964">
    <w:abstractNumId w:val="27"/>
  </w:num>
  <w:num w:numId="23" w16cid:durableId="328336145">
    <w:abstractNumId w:val="33"/>
  </w:num>
  <w:num w:numId="24" w16cid:durableId="2127264313">
    <w:abstractNumId w:val="19"/>
  </w:num>
  <w:num w:numId="25" w16cid:durableId="1298299381">
    <w:abstractNumId w:val="24"/>
  </w:num>
  <w:num w:numId="26" w16cid:durableId="430711749">
    <w:abstractNumId w:val="18"/>
  </w:num>
  <w:num w:numId="27" w16cid:durableId="1187526091">
    <w:abstractNumId w:val="12"/>
  </w:num>
  <w:num w:numId="28" w16cid:durableId="1986078550">
    <w:abstractNumId w:val="15"/>
  </w:num>
  <w:num w:numId="29" w16cid:durableId="647704584">
    <w:abstractNumId w:val="4"/>
  </w:num>
  <w:num w:numId="30" w16cid:durableId="1767118084">
    <w:abstractNumId w:val="16"/>
  </w:num>
  <w:num w:numId="31" w16cid:durableId="555049934">
    <w:abstractNumId w:val="7"/>
  </w:num>
  <w:num w:numId="32" w16cid:durableId="13387381">
    <w:abstractNumId w:val="32"/>
  </w:num>
  <w:num w:numId="33" w16cid:durableId="115414582">
    <w:abstractNumId w:val="14"/>
  </w:num>
  <w:num w:numId="34" w16cid:durableId="1240598903">
    <w:abstractNumId w:val="21"/>
  </w:num>
  <w:num w:numId="35" w16cid:durableId="1079713896">
    <w:abstractNumId w:val="6"/>
  </w:num>
  <w:num w:numId="36" w16cid:durableId="2042777481">
    <w:abstractNumId w:val="38"/>
  </w:num>
  <w:num w:numId="37" w16cid:durableId="362707753">
    <w:abstractNumId w:val="9"/>
  </w:num>
  <w:num w:numId="38" w16cid:durableId="27198329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AA"/>
    <w:rsid w:val="0000146A"/>
    <w:rsid w:val="00002AB2"/>
    <w:rsid w:val="00002FCA"/>
    <w:rsid w:val="00003B70"/>
    <w:rsid w:val="00004D25"/>
    <w:rsid w:val="000054C5"/>
    <w:rsid w:val="00011485"/>
    <w:rsid w:val="0001171A"/>
    <w:rsid w:val="00012B4D"/>
    <w:rsid w:val="00014105"/>
    <w:rsid w:val="00014947"/>
    <w:rsid w:val="00014C40"/>
    <w:rsid w:val="0001614B"/>
    <w:rsid w:val="0002223B"/>
    <w:rsid w:val="0002224E"/>
    <w:rsid w:val="00023DED"/>
    <w:rsid w:val="00024950"/>
    <w:rsid w:val="00027DB0"/>
    <w:rsid w:val="000316EC"/>
    <w:rsid w:val="0003172B"/>
    <w:rsid w:val="000340C1"/>
    <w:rsid w:val="00034DD2"/>
    <w:rsid w:val="00034FBB"/>
    <w:rsid w:val="00037291"/>
    <w:rsid w:val="00037A25"/>
    <w:rsid w:val="00040206"/>
    <w:rsid w:val="00040272"/>
    <w:rsid w:val="00043BC1"/>
    <w:rsid w:val="0004462B"/>
    <w:rsid w:val="00045EC3"/>
    <w:rsid w:val="00046AA3"/>
    <w:rsid w:val="00054C59"/>
    <w:rsid w:val="0006075C"/>
    <w:rsid w:val="00062352"/>
    <w:rsid w:val="00062F6C"/>
    <w:rsid w:val="000630D4"/>
    <w:rsid w:val="000654FD"/>
    <w:rsid w:val="00065567"/>
    <w:rsid w:val="0007249E"/>
    <w:rsid w:val="00072834"/>
    <w:rsid w:val="00073A47"/>
    <w:rsid w:val="00074295"/>
    <w:rsid w:val="000744D3"/>
    <w:rsid w:val="00077529"/>
    <w:rsid w:val="00077A00"/>
    <w:rsid w:val="000803DB"/>
    <w:rsid w:val="00082A9B"/>
    <w:rsid w:val="00085086"/>
    <w:rsid w:val="000850F7"/>
    <w:rsid w:val="000866AB"/>
    <w:rsid w:val="0008762A"/>
    <w:rsid w:val="000900C3"/>
    <w:rsid w:val="00091A58"/>
    <w:rsid w:val="0009226E"/>
    <w:rsid w:val="000922B9"/>
    <w:rsid w:val="0009637B"/>
    <w:rsid w:val="000972BF"/>
    <w:rsid w:val="00097DA5"/>
    <w:rsid w:val="000A0B46"/>
    <w:rsid w:val="000A1123"/>
    <w:rsid w:val="000A3F32"/>
    <w:rsid w:val="000A7CFC"/>
    <w:rsid w:val="000B1C01"/>
    <w:rsid w:val="000B3335"/>
    <w:rsid w:val="000B3831"/>
    <w:rsid w:val="000B3B99"/>
    <w:rsid w:val="000B580B"/>
    <w:rsid w:val="000B6DCC"/>
    <w:rsid w:val="000C117F"/>
    <w:rsid w:val="000C1392"/>
    <w:rsid w:val="000C293F"/>
    <w:rsid w:val="000C3725"/>
    <w:rsid w:val="000C4857"/>
    <w:rsid w:val="000C50D3"/>
    <w:rsid w:val="000D07A1"/>
    <w:rsid w:val="000D2F27"/>
    <w:rsid w:val="000D43D4"/>
    <w:rsid w:val="000D5BAB"/>
    <w:rsid w:val="000D61F7"/>
    <w:rsid w:val="000D70DC"/>
    <w:rsid w:val="000E0599"/>
    <w:rsid w:val="000E0A1D"/>
    <w:rsid w:val="000E1E31"/>
    <w:rsid w:val="000E242C"/>
    <w:rsid w:val="000E380A"/>
    <w:rsid w:val="000E3E8F"/>
    <w:rsid w:val="000E49AF"/>
    <w:rsid w:val="000E4D22"/>
    <w:rsid w:val="000E5437"/>
    <w:rsid w:val="000E68BA"/>
    <w:rsid w:val="000E7F4F"/>
    <w:rsid w:val="000F1264"/>
    <w:rsid w:val="000F1E22"/>
    <w:rsid w:val="000F2D4D"/>
    <w:rsid w:val="000F3F4A"/>
    <w:rsid w:val="000F60FA"/>
    <w:rsid w:val="000F6A6D"/>
    <w:rsid w:val="000F7067"/>
    <w:rsid w:val="00101B32"/>
    <w:rsid w:val="001021D7"/>
    <w:rsid w:val="001030DA"/>
    <w:rsid w:val="00105E25"/>
    <w:rsid w:val="00113EBA"/>
    <w:rsid w:val="00113F5F"/>
    <w:rsid w:val="001142D5"/>
    <w:rsid w:val="00116195"/>
    <w:rsid w:val="001168C8"/>
    <w:rsid w:val="0011692F"/>
    <w:rsid w:val="00116A19"/>
    <w:rsid w:val="001207FC"/>
    <w:rsid w:val="00120E8C"/>
    <w:rsid w:val="00123411"/>
    <w:rsid w:val="00124880"/>
    <w:rsid w:val="0012494D"/>
    <w:rsid w:val="00125ECC"/>
    <w:rsid w:val="00126180"/>
    <w:rsid w:val="001271B0"/>
    <w:rsid w:val="00132E3B"/>
    <w:rsid w:val="00135DBE"/>
    <w:rsid w:val="001367B1"/>
    <w:rsid w:val="00136F28"/>
    <w:rsid w:val="00137FDB"/>
    <w:rsid w:val="00141F9C"/>
    <w:rsid w:val="0014204B"/>
    <w:rsid w:val="00145F0D"/>
    <w:rsid w:val="001467AD"/>
    <w:rsid w:val="00153876"/>
    <w:rsid w:val="00154537"/>
    <w:rsid w:val="00155EEB"/>
    <w:rsid w:val="00156347"/>
    <w:rsid w:val="00156435"/>
    <w:rsid w:val="00157B34"/>
    <w:rsid w:val="00161ECE"/>
    <w:rsid w:val="0016211D"/>
    <w:rsid w:val="001636B1"/>
    <w:rsid w:val="001649F4"/>
    <w:rsid w:val="00165010"/>
    <w:rsid w:val="0016716B"/>
    <w:rsid w:val="00167C73"/>
    <w:rsid w:val="00170BB0"/>
    <w:rsid w:val="001741CF"/>
    <w:rsid w:val="0017511D"/>
    <w:rsid w:val="00176638"/>
    <w:rsid w:val="00176DC5"/>
    <w:rsid w:val="0018151C"/>
    <w:rsid w:val="00183FE9"/>
    <w:rsid w:val="001857F8"/>
    <w:rsid w:val="0018630E"/>
    <w:rsid w:val="001873F7"/>
    <w:rsid w:val="001903F9"/>
    <w:rsid w:val="001916F4"/>
    <w:rsid w:val="00193874"/>
    <w:rsid w:val="0019392F"/>
    <w:rsid w:val="00195597"/>
    <w:rsid w:val="00195FCE"/>
    <w:rsid w:val="00196A9B"/>
    <w:rsid w:val="00196AB8"/>
    <w:rsid w:val="0019795E"/>
    <w:rsid w:val="001A032E"/>
    <w:rsid w:val="001A0588"/>
    <w:rsid w:val="001A0F44"/>
    <w:rsid w:val="001A21B8"/>
    <w:rsid w:val="001A233B"/>
    <w:rsid w:val="001A3E38"/>
    <w:rsid w:val="001A4E4A"/>
    <w:rsid w:val="001A52F8"/>
    <w:rsid w:val="001A6743"/>
    <w:rsid w:val="001B06F1"/>
    <w:rsid w:val="001B2488"/>
    <w:rsid w:val="001B34FB"/>
    <w:rsid w:val="001B39A7"/>
    <w:rsid w:val="001B3EB3"/>
    <w:rsid w:val="001B74DA"/>
    <w:rsid w:val="001C1987"/>
    <w:rsid w:val="001C2FEE"/>
    <w:rsid w:val="001C3AFB"/>
    <w:rsid w:val="001C4A2D"/>
    <w:rsid w:val="001C59E9"/>
    <w:rsid w:val="001C661D"/>
    <w:rsid w:val="001C6799"/>
    <w:rsid w:val="001C7C70"/>
    <w:rsid w:val="001D11F9"/>
    <w:rsid w:val="001D1A8B"/>
    <w:rsid w:val="001D40BE"/>
    <w:rsid w:val="001D6369"/>
    <w:rsid w:val="001E184F"/>
    <w:rsid w:val="001E1FAF"/>
    <w:rsid w:val="001E6358"/>
    <w:rsid w:val="001E6D26"/>
    <w:rsid w:val="001E6E6E"/>
    <w:rsid w:val="001F02F4"/>
    <w:rsid w:val="001F0D3E"/>
    <w:rsid w:val="001F1AB6"/>
    <w:rsid w:val="001F28E0"/>
    <w:rsid w:val="001F6185"/>
    <w:rsid w:val="001F7BDD"/>
    <w:rsid w:val="002014B2"/>
    <w:rsid w:val="00201EB7"/>
    <w:rsid w:val="00202619"/>
    <w:rsid w:val="0020268D"/>
    <w:rsid w:val="00203582"/>
    <w:rsid w:val="00205DA9"/>
    <w:rsid w:val="00206FFA"/>
    <w:rsid w:val="00211603"/>
    <w:rsid w:val="00211F02"/>
    <w:rsid w:val="002133E3"/>
    <w:rsid w:val="0021431C"/>
    <w:rsid w:val="002162CA"/>
    <w:rsid w:val="00217077"/>
    <w:rsid w:val="0022094A"/>
    <w:rsid w:val="00220D07"/>
    <w:rsid w:val="00221514"/>
    <w:rsid w:val="002232A1"/>
    <w:rsid w:val="00223A77"/>
    <w:rsid w:val="00225E93"/>
    <w:rsid w:val="002326E0"/>
    <w:rsid w:val="002326F8"/>
    <w:rsid w:val="00232A74"/>
    <w:rsid w:val="0023339B"/>
    <w:rsid w:val="00234B0A"/>
    <w:rsid w:val="0023502F"/>
    <w:rsid w:val="002358C5"/>
    <w:rsid w:val="00235A81"/>
    <w:rsid w:val="00242F43"/>
    <w:rsid w:val="002434EF"/>
    <w:rsid w:val="00244DD2"/>
    <w:rsid w:val="00245D9B"/>
    <w:rsid w:val="00245DDE"/>
    <w:rsid w:val="00250EA5"/>
    <w:rsid w:val="002511B2"/>
    <w:rsid w:val="00251BF6"/>
    <w:rsid w:val="0025230B"/>
    <w:rsid w:val="00253E72"/>
    <w:rsid w:val="002559F2"/>
    <w:rsid w:val="002561DF"/>
    <w:rsid w:val="00257E9D"/>
    <w:rsid w:val="00263B58"/>
    <w:rsid w:val="0026410B"/>
    <w:rsid w:val="00265A59"/>
    <w:rsid w:val="002666A9"/>
    <w:rsid w:val="0026737B"/>
    <w:rsid w:val="0026756F"/>
    <w:rsid w:val="00270D22"/>
    <w:rsid w:val="002718ED"/>
    <w:rsid w:val="002732EE"/>
    <w:rsid w:val="00276CEA"/>
    <w:rsid w:val="00276E9D"/>
    <w:rsid w:val="00280A9A"/>
    <w:rsid w:val="00280FF3"/>
    <w:rsid w:val="002811DD"/>
    <w:rsid w:val="00282C42"/>
    <w:rsid w:val="00282DC5"/>
    <w:rsid w:val="00282FB0"/>
    <w:rsid w:val="0028372E"/>
    <w:rsid w:val="00286AAD"/>
    <w:rsid w:val="00287F44"/>
    <w:rsid w:val="00292B32"/>
    <w:rsid w:val="00292B67"/>
    <w:rsid w:val="00292C72"/>
    <w:rsid w:val="00292F56"/>
    <w:rsid w:val="00292F99"/>
    <w:rsid w:val="00293BD1"/>
    <w:rsid w:val="002942A6"/>
    <w:rsid w:val="00295637"/>
    <w:rsid w:val="00296F2C"/>
    <w:rsid w:val="002A2368"/>
    <w:rsid w:val="002A290D"/>
    <w:rsid w:val="002A2A32"/>
    <w:rsid w:val="002A5E1B"/>
    <w:rsid w:val="002A6B54"/>
    <w:rsid w:val="002A6D23"/>
    <w:rsid w:val="002A7414"/>
    <w:rsid w:val="002A7599"/>
    <w:rsid w:val="002A787A"/>
    <w:rsid w:val="002B55D2"/>
    <w:rsid w:val="002B702A"/>
    <w:rsid w:val="002B7E8F"/>
    <w:rsid w:val="002C0619"/>
    <w:rsid w:val="002C099D"/>
    <w:rsid w:val="002C0A1E"/>
    <w:rsid w:val="002C11D4"/>
    <w:rsid w:val="002C1426"/>
    <w:rsid w:val="002C224F"/>
    <w:rsid w:val="002C2772"/>
    <w:rsid w:val="002C2848"/>
    <w:rsid w:val="002C40DC"/>
    <w:rsid w:val="002C416A"/>
    <w:rsid w:val="002D09A8"/>
    <w:rsid w:val="002D1173"/>
    <w:rsid w:val="002D2045"/>
    <w:rsid w:val="002D2619"/>
    <w:rsid w:val="002D57FC"/>
    <w:rsid w:val="002D6D6C"/>
    <w:rsid w:val="002E25B9"/>
    <w:rsid w:val="002E47AD"/>
    <w:rsid w:val="002E62ED"/>
    <w:rsid w:val="002E6C0E"/>
    <w:rsid w:val="002F10CC"/>
    <w:rsid w:val="002F1763"/>
    <w:rsid w:val="002F1ED7"/>
    <w:rsid w:val="002F4990"/>
    <w:rsid w:val="002F6055"/>
    <w:rsid w:val="002F6073"/>
    <w:rsid w:val="002F7D13"/>
    <w:rsid w:val="00300726"/>
    <w:rsid w:val="00300A10"/>
    <w:rsid w:val="00302DEC"/>
    <w:rsid w:val="00303424"/>
    <w:rsid w:val="00303E03"/>
    <w:rsid w:val="00306E6A"/>
    <w:rsid w:val="0030703D"/>
    <w:rsid w:val="003073BF"/>
    <w:rsid w:val="003073E5"/>
    <w:rsid w:val="00307D81"/>
    <w:rsid w:val="0031092C"/>
    <w:rsid w:val="00310994"/>
    <w:rsid w:val="00310A6F"/>
    <w:rsid w:val="00310E29"/>
    <w:rsid w:val="00312093"/>
    <w:rsid w:val="003137A1"/>
    <w:rsid w:val="00314645"/>
    <w:rsid w:val="00316805"/>
    <w:rsid w:val="00323468"/>
    <w:rsid w:val="0032497A"/>
    <w:rsid w:val="00325242"/>
    <w:rsid w:val="00325DD0"/>
    <w:rsid w:val="00327097"/>
    <w:rsid w:val="00327BC4"/>
    <w:rsid w:val="00333E9D"/>
    <w:rsid w:val="0033449D"/>
    <w:rsid w:val="0033507E"/>
    <w:rsid w:val="00337635"/>
    <w:rsid w:val="00337D8E"/>
    <w:rsid w:val="003404F4"/>
    <w:rsid w:val="003419D9"/>
    <w:rsid w:val="003428E5"/>
    <w:rsid w:val="00342973"/>
    <w:rsid w:val="00343533"/>
    <w:rsid w:val="00344785"/>
    <w:rsid w:val="00344A49"/>
    <w:rsid w:val="00345AAA"/>
    <w:rsid w:val="00346E3B"/>
    <w:rsid w:val="003515A9"/>
    <w:rsid w:val="00351A09"/>
    <w:rsid w:val="003521C5"/>
    <w:rsid w:val="003525BF"/>
    <w:rsid w:val="0035328C"/>
    <w:rsid w:val="00353739"/>
    <w:rsid w:val="00354660"/>
    <w:rsid w:val="00355112"/>
    <w:rsid w:val="00356467"/>
    <w:rsid w:val="003572FE"/>
    <w:rsid w:val="00360843"/>
    <w:rsid w:val="00360FAB"/>
    <w:rsid w:val="0036191E"/>
    <w:rsid w:val="00361E5E"/>
    <w:rsid w:val="00363D18"/>
    <w:rsid w:val="0036677C"/>
    <w:rsid w:val="00370005"/>
    <w:rsid w:val="00372AAC"/>
    <w:rsid w:val="00372C64"/>
    <w:rsid w:val="00372FE9"/>
    <w:rsid w:val="0037673A"/>
    <w:rsid w:val="003821CB"/>
    <w:rsid w:val="00382657"/>
    <w:rsid w:val="00382DB2"/>
    <w:rsid w:val="00385BA5"/>
    <w:rsid w:val="00386141"/>
    <w:rsid w:val="0039207B"/>
    <w:rsid w:val="00395B9B"/>
    <w:rsid w:val="003975DC"/>
    <w:rsid w:val="003978A1"/>
    <w:rsid w:val="003A17ED"/>
    <w:rsid w:val="003A2BA8"/>
    <w:rsid w:val="003A3639"/>
    <w:rsid w:val="003A5DB7"/>
    <w:rsid w:val="003A73C0"/>
    <w:rsid w:val="003B1648"/>
    <w:rsid w:val="003B4860"/>
    <w:rsid w:val="003B56A9"/>
    <w:rsid w:val="003C043D"/>
    <w:rsid w:val="003C1703"/>
    <w:rsid w:val="003C2457"/>
    <w:rsid w:val="003C4B35"/>
    <w:rsid w:val="003C6D69"/>
    <w:rsid w:val="003C7311"/>
    <w:rsid w:val="003C74F5"/>
    <w:rsid w:val="003C79C2"/>
    <w:rsid w:val="003D0E01"/>
    <w:rsid w:val="003D2E07"/>
    <w:rsid w:val="003D37A5"/>
    <w:rsid w:val="003D3C92"/>
    <w:rsid w:val="003D42CD"/>
    <w:rsid w:val="003D5705"/>
    <w:rsid w:val="003D60BD"/>
    <w:rsid w:val="003D6906"/>
    <w:rsid w:val="003D776F"/>
    <w:rsid w:val="003E0920"/>
    <w:rsid w:val="003E2071"/>
    <w:rsid w:val="003E334D"/>
    <w:rsid w:val="003E4368"/>
    <w:rsid w:val="003E7763"/>
    <w:rsid w:val="003F15AE"/>
    <w:rsid w:val="003F43D8"/>
    <w:rsid w:val="003F5567"/>
    <w:rsid w:val="003F5577"/>
    <w:rsid w:val="003F5EEE"/>
    <w:rsid w:val="003F6BB4"/>
    <w:rsid w:val="004004DE"/>
    <w:rsid w:val="00402780"/>
    <w:rsid w:val="0040305F"/>
    <w:rsid w:val="00403739"/>
    <w:rsid w:val="00405C74"/>
    <w:rsid w:val="00406C01"/>
    <w:rsid w:val="00406C0B"/>
    <w:rsid w:val="004106E5"/>
    <w:rsid w:val="0041239D"/>
    <w:rsid w:val="00412F41"/>
    <w:rsid w:val="00413793"/>
    <w:rsid w:val="0041431E"/>
    <w:rsid w:val="00414FE8"/>
    <w:rsid w:val="004151CD"/>
    <w:rsid w:val="004154BE"/>
    <w:rsid w:val="00417E6B"/>
    <w:rsid w:val="00420462"/>
    <w:rsid w:val="00420A1B"/>
    <w:rsid w:val="00422A04"/>
    <w:rsid w:val="00423989"/>
    <w:rsid w:val="004246EB"/>
    <w:rsid w:val="00424A47"/>
    <w:rsid w:val="0042780A"/>
    <w:rsid w:val="00430235"/>
    <w:rsid w:val="00430380"/>
    <w:rsid w:val="00433595"/>
    <w:rsid w:val="00434AF8"/>
    <w:rsid w:val="00435F25"/>
    <w:rsid w:val="00436388"/>
    <w:rsid w:val="00437E28"/>
    <w:rsid w:val="004404D4"/>
    <w:rsid w:val="004421E0"/>
    <w:rsid w:val="0044448A"/>
    <w:rsid w:val="0044474F"/>
    <w:rsid w:val="00445103"/>
    <w:rsid w:val="004461A6"/>
    <w:rsid w:val="00450C71"/>
    <w:rsid w:val="0045440B"/>
    <w:rsid w:val="0045489D"/>
    <w:rsid w:val="00454E68"/>
    <w:rsid w:val="00456206"/>
    <w:rsid w:val="00460AF3"/>
    <w:rsid w:val="00462891"/>
    <w:rsid w:val="00464A78"/>
    <w:rsid w:val="0046601E"/>
    <w:rsid w:val="0047067D"/>
    <w:rsid w:val="00470B52"/>
    <w:rsid w:val="00473128"/>
    <w:rsid w:val="004741F5"/>
    <w:rsid w:val="00474496"/>
    <w:rsid w:val="00475603"/>
    <w:rsid w:val="0048113B"/>
    <w:rsid w:val="0048323B"/>
    <w:rsid w:val="00483400"/>
    <w:rsid w:val="00483729"/>
    <w:rsid w:val="004864AB"/>
    <w:rsid w:val="00487487"/>
    <w:rsid w:val="00487CCD"/>
    <w:rsid w:val="004909DB"/>
    <w:rsid w:val="00490C72"/>
    <w:rsid w:val="00492383"/>
    <w:rsid w:val="004925EF"/>
    <w:rsid w:val="00492FCA"/>
    <w:rsid w:val="00494980"/>
    <w:rsid w:val="00494BB7"/>
    <w:rsid w:val="00495345"/>
    <w:rsid w:val="00495FA9"/>
    <w:rsid w:val="004966BF"/>
    <w:rsid w:val="00497BD5"/>
    <w:rsid w:val="004A0598"/>
    <w:rsid w:val="004A1DCC"/>
    <w:rsid w:val="004A201C"/>
    <w:rsid w:val="004A21B8"/>
    <w:rsid w:val="004A59E1"/>
    <w:rsid w:val="004A6A79"/>
    <w:rsid w:val="004A6EC7"/>
    <w:rsid w:val="004A7151"/>
    <w:rsid w:val="004B4014"/>
    <w:rsid w:val="004B7848"/>
    <w:rsid w:val="004B786C"/>
    <w:rsid w:val="004C2B7F"/>
    <w:rsid w:val="004C4B23"/>
    <w:rsid w:val="004C53AF"/>
    <w:rsid w:val="004C6A4F"/>
    <w:rsid w:val="004D0CD8"/>
    <w:rsid w:val="004D28AF"/>
    <w:rsid w:val="004D33C1"/>
    <w:rsid w:val="004D646E"/>
    <w:rsid w:val="004E4FDB"/>
    <w:rsid w:val="004F120F"/>
    <w:rsid w:val="004F3D07"/>
    <w:rsid w:val="004F4CEB"/>
    <w:rsid w:val="004F7410"/>
    <w:rsid w:val="00501D21"/>
    <w:rsid w:val="00502560"/>
    <w:rsid w:val="00502E0F"/>
    <w:rsid w:val="00503CF1"/>
    <w:rsid w:val="0050489E"/>
    <w:rsid w:val="00506261"/>
    <w:rsid w:val="00511350"/>
    <w:rsid w:val="00512AEC"/>
    <w:rsid w:val="00513241"/>
    <w:rsid w:val="00513EA8"/>
    <w:rsid w:val="005156DF"/>
    <w:rsid w:val="00515783"/>
    <w:rsid w:val="005165CE"/>
    <w:rsid w:val="00516F8F"/>
    <w:rsid w:val="00521FE2"/>
    <w:rsid w:val="00522306"/>
    <w:rsid w:val="00523866"/>
    <w:rsid w:val="00524173"/>
    <w:rsid w:val="005245F3"/>
    <w:rsid w:val="005255B1"/>
    <w:rsid w:val="00525D0E"/>
    <w:rsid w:val="00525EA7"/>
    <w:rsid w:val="00526D9F"/>
    <w:rsid w:val="00526F7F"/>
    <w:rsid w:val="005279FB"/>
    <w:rsid w:val="00530168"/>
    <w:rsid w:val="00530CEF"/>
    <w:rsid w:val="00534951"/>
    <w:rsid w:val="005351A8"/>
    <w:rsid w:val="005359BC"/>
    <w:rsid w:val="00536494"/>
    <w:rsid w:val="0053767F"/>
    <w:rsid w:val="00537CBC"/>
    <w:rsid w:val="00537DEE"/>
    <w:rsid w:val="00540BBA"/>
    <w:rsid w:val="00541716"/>
    <w:rsid w:val="00544985"/>
    <w:rsid w:val="005458ED"/>
    <w:rsid w:val="00546008"/>
    <w:rsid w:val="0055051B"/>
    <w:rsid w:val="005525E0"/>
    <w:rsid w:val="00554028"/>
    <w:rsid w:val="00554D0E"/>
    <w:rsid w:val="0055760C"/>
    <w:rsid w:val="00557E89"/>
    <w:rsid w:val="00560279"/>
    <w:rsid w:val="005631B8"/>
    <w:rsid w:val="0056488C"/>
    <w:rsid w:val="005661BE"/>
    <w:rsid w:val="005700FC"/>
    <w:rsid w:val="005702C3"/>
    <w:rsid w:val="0057032D"/>
    <w:rsid w:val="005725CC"/>
    <w:rsid w:val="0057296D"/>
    <w:rsid w:val="0057309F"/>
    <w:rsid w:val="0057335D"/>
    <w:rsid w:val="00574B78"/>
    <w:rsid w:val="00574DF1"/>
    <w:rsid w:val="00577838"/>
    <w:rsid w:val="00580020"/>
    <w:rsid w:val="005810D5"/>
    <w:rsid w:val="0058179F"/>
    <w:rsid w:val="005843A6"/>
    <w:rsid w:val="00584B87"/>
    <w:rsid w:val="00584BCE"/>
    <w:rsid w:val="005858D5"/>
    <w:rsid w:val="00586237"/>
    <w:rsid w:val="00586510"/>
    <w:rsid w:val="005929A3"/>
    <w:rsid w:val="005937C2"/>
    <w:rsid w:val="00593B75"/>
    <w:rsid w:val="005961B2"/>
    <w:rsid w:val="005A10FF"/>
    <w:rsid w:val="005A1AC6"/>
    <w:rsid w:val="005A1DAB"/>
    <w:rsid w:val="005A3396"/>
    <w:rsid w:val="005A461F"/>
    <w:rsid w:val="005A46EE"/>
    <w:rsid w:val="005B0149"/>
    <w:rsid w:val="005B1ABD"/>
    <w:rsid w:val="005B34CD"/>
    <w:rsid w:val="005B4CC9"/>
    <w:rsid w:val="005C155E"/>
    <w:rsid w:val="005C30E7"/>
    <w:rsid w:val="005C35EE"/>
    <w:rsid w:val="005C423A"/>
    <w:rsid w:val="005C49A2"/>
    <w:rsid w:val="005C4EFA"/>
    <w:rsid w:val="005C799D"/>
    <w:rsid w:val="005D03BF"/>
    <w:rsid w:val="005D0E65"/>
    <w:rsid w:val="005D401B"/>
    <w:rsid w:val="005D5D2E"/>
    <w:rsid w:val="005D67B8"/>
    <w:rsid w:val="005E081B"/>
    <w:rsid w:val="005E0F17"/>
    <w:rsid w:val="005E2797"/>
    <w:rsid w:val="005E2DBA"/>
    <w:rsid w:val="005E31F1"/>
    <w:rsid w:val="005E32B4"/>
    <w:rsid w:val="005E331A"/>
    <w:rsid w:val="005E3519"/>
    <w:rsid w:val="005E4A9A"/>
    <w:rsid w:val="005F0A42"/>
    <w:rsid w:val="005F1AC6"/>
    <w:rsid w:val="005F1AFB"/>
    <w:rsid w:val="005F3C14"/>
    <w:rsid w:val="005F5644"/>
    <w:rsid w:val="005F5994"/>
    <w:rsid w:val="005F6C93"/>
    <w:rsid w:val="005F78BF"/>
    <w:rsid w:val="00602C7F"/>
    <w:rsid w:val="00603836"/>
    <w:rsid w:val="00603CE4"/>
    <w:rsid w:val="006045B5"/>
    <w:rsid w:val="0060600B"/>
    <w:rsid w:val="00606410"/>
    <w:rsid w:val="006104B2"/>
    <w:rsid w:val="00611D8A"/>
    <w:rsid w:val="00612517"/>
    <w:rsid w:val="00615C95"/>
    <w:rsid w:val="00617142"/>
    <w:rsid w:val="00617171"/>
    <w:rsid w:val="00620E88"/>
    <w:rsid w:val="00621D47"/>
    <w:rsid w:val="00623BD0"/>
    <w:rsid w:val="00623D17"/>
    <w:rsid w:val="00624315"/>
    <w:rsid w:val="00624829"/>
    <w:rsid w:val="006261AA"/>
    <w:rsid w:val="006265AA"/>
    <w:rsid w:val="0062661B"/>
    <w:rsid w:val="006301CC"/>
    <w:rsid w:val="00630EA2"/>
    <w:rsid w:val="00631103"/>
    <w:rsid w:val="006332BD"/>
    <w:rsid w:val="00633846"/>
    <w:rsid w:val="00633DC9"/>
    <w:rsid w:val="00634BF8"/>
    <w:rsid w:val="00635E4A"/>
    <w:rsid w:val="00636592"/>
    <w:rsid w:val="0063756E"/>
    <w:rsid w:val="00641296"/>
    <w:rsid w:val="00641A07"/>
    <w:rsid w:val="00643C18"/>
    <w:rsid w:val="00644107"/>
    <w:rsid w:val="006442DA"/>
    <w:rsid w:val="0064448E"/>
    <w:rsid w:val="00645C69"/>
    <w:rsid w:val="00646BE3"/>
    <w:rsid w:val="00647088"/>
    <w:rsid w:val="00647225"/>
    <w:rsid w:val="006474FF"/>
    <w:rsid w:val="00647BEA"/>
    <w:rsid w:val="0065118C"/>
    <w:rsid w:val="006513CB"/>
    <w:rsid w:val="006541EB"/>
    <w:rsid w:val="00654765"/>
    <w:rsid w:val="006558B8"/>
    <w:rsid w:val="00655D89"/>
    <w:rsid w:val="00660CC3"/>
    <w:rsid w:val="00661C9F"/>
    <w:rsid w:val="00662D1D"/>
    <w:rsid w:val="00663BC4"/>
    <w:rsid w:val="0066475A"/>
    <w:rsid w:val="00665B41"/>
    <w:rsid w:val="006665AE"/>
    <w:rsid w:val="00667CA8"/>
    <w:rsid w:val="0067047D"/>
    <w:rsid w:val="006726AA"/>
    <w:rsid w:val="006730D5"/>
    <w:rsid w:val="00674113"/>
    <w:rsid w:val="00674183"/>
    <w:rsid w:val="0067733C"/>
    <w:rsid w:val="00677C5B"/>
    <w:rsid w:val="006800F1"/>
    <w:rsid w:val="006814D8"/>
    <w:rsid w:val="006839CF"/>
    <w:rsid w:val="006859F7"/>
    <w:rsid w:val="00691A19"/>
    <w:rsid w:val="0069368B"/>
    <w:rsid w:val="00694296"/>
    <w:rsid w:val="00696E44"/>
    <w:rsid w:val="006A0F3B"/>
    <w:rsid w:val="006A1D77"/>
    <w:rsid w:val="006A588A"/>
    <w:rsid w:val="006A5A2A"/>
    <w:rsid w:val="006A60AE"/>
    <w:rsid w:val="006A666E"/>
    <w:rsid w:val="006A66FD"/>
    <w:rsid w:val="006A6DBB"/>
    <w:rsid w:val="006B0843"/>
    <w:rsid w:val="006B0C96"/>
    <w:rsid w:val="006B16D5"/>
    <w:rsid w:val="006B3E5E"/>
    <w:rsid w:val="006B47FF"/>
    <w:rsid w:val="006B5935"/>
    <w:rsid w:val="006B5B80"/>
    <w:rsid w:val="006B620E"/>
    <w:rsid w:val="006B65BC"/>
    <w:rsid w:val="006C12BA"/>
    <w:rsid w:val="006C2467"/>
    <w:rsid w:val="006C2782"/>
    <w:rsid w:val="006C30BC"/>
    <w:rsid w:val="006C48DB"/>
    <w:rsid w:val="006C4BAA"/>
    <w:rsid w:val="006C6DB7"/>
    <w:rsid w:val="006D0BEA"/>
    <w:rsid w:val="006D2514"/>
    <w:rsid w:val="006D3441"/>
    <w:rsid w:val="006D5133"/>
    <w:rsid w:val="006D5757"/>
    <w:rsid w:val="006D595A"/>
    <w:rsid w:val="006D6119"/>
    <w:rsid w:val="006D70FD"/>
    <w:rsid w:val="006E0DA8"/>
    <w:rsid w:val="006E17BC"/>
    <w:rsid w:val="006E21CA"/>
    <w:rsid w:val="006E28A8"/>
    <w:rsid w:val="006E4FED"/>
    <w:rsid w:val="006E5159"/>
    <w:rsid w:val="006E5431"/>
    <w:rsid w:val="006E7D02"/>
    <w:rsid w:val="006F207F"/>
    <w:rsid w:val="006F4F48"/>
    <w:rsid w:val="006F64C5"/>
    <w:rsid w:val="007007CC"/>
    <w:rsid w:val="007008C9"/>
    <w:rsid w:val="00701E3E"/>
    <w:rsid w:val="00702BCA"/>
    <w:rsid w:val="00702F81"/>
    <w:rsid w:val="00703A3D"/>
    <w:rsid w:val="0070649F"/>
    <w:rsid w:val="00706DDB"/>
    <w:rsid w:val="00707102"/>
    <w:rsid w:val="00707C4A"/>
    <w:rsid w:val="00707C83"/>
    <w:rsid w:val="00711329"/>
    <w:rsid w:val="00711997"/>
    <w:rsid w:val="00714866"/>
    <w:rsid w:val="00714BC7"/>
    <w:rsid w:val="0071682A"/>
    <w:rsid w:val="00716C98"/>
    <w:rsid w:val="00720053"/>
    <w:rsid w:val="00720C60"/>
    <w:rsid w:val="00720E89"/>
    <w:rsid w:val="00722BA3"/>
    <w:rsid w:val="00724962"/>
    <w:rsid w:val="007315D0"/>
    <w:rsid w:val="00731FB2"/>
    <w:rsid w:val="00732632"/>
    <w:rsid w:val="00732A73"/>
    <w:rsid w:val="00733583"/>
    <w:rsid w:val="007344AD"/>
    <w:rsid w:val="00735DD7"/>
    <w:rsid w:val="0073785A"/>
    <w:rsid w:val="00740C4D"/>
    <w:rsid w:val="0074157D"/>
    <w:rsid w:val="00742DE0"/>
    <w:rsid w:val="007436C2"/>
    <w:rsid w:val="007447D0"/>
    <w:rsid w:val="00744C62"/>
    <w:rsid w:val="00745360"/>
    <w:rsid w:val="00750304"/>
    <w:rsid w:val="00752369"/>
    <w:rsid w:val="007523D8"/>
    <w:rsid w:val="00752B4A"/>
    <w:rsid w:val="00754FBD"/>
    <w:rsid w:val="00755225"/>
    <w:rsid w:val="007579DD"/>
    <w:rsid w:val="00757B9B"/>
    <w:rsid w:val="00760249"/>
    <w:rsid w:val="00761F4C"/>
    <w:rsid w:val="00762565"/>
    <w:rsid w:val="007644EE"/>
    <w:rsid w:val="00765706"/>
    <w:rsid w:val="0077116D"/>
    <w:rsid w:val="00771C4C"/>
    <w:rsid w:val="00772C3C"/>
    <w:rsid w:val="00773CB5"/>
    <w:rsid w:val="00774BF0"/>
    <w:rsid w:val="007752AA"/>
    <w:rsid w:val="007761DF"/>
    <w:rsid w:val="00776C94"/>
    <w:rsid w:val="007774EF"/>
    <w:rsid w:val="007821BE"/>
    <w:rsid w:val="0078289B"/>
    <w:rsid w:val="00782ACC"/>
    <w:rsid w:val="00783ACD"/>
    <w:rsid w:val="00784CB8"/>
    <w:rsid w:val="00785A25"/>
    <w:rsid w:val="0078658B"/>
    <w:rsid w:val="007870C8"/>
    <w:rsid w:val="0078728E"/>
    <w:rsid w:val="00792021"/>
    <w:rsid w:val="00793A79"/>
    <w:rsid w:val="00793B9B"/>
    <w:rsid w:val="007945C0"/>
    <w:rsid w:val="00795E97"/>
    <w:rsid w:val="00796C86"/>
    <w:rsid w:val="007A165A"/>
    <w:rsid w:val="007A2500"/>
    <w:rsid w:val="007A5D48"/>
    <w:rsid w:val="007A664A"/>
    <w:rsid w:val="007B075F"/>
    <w:rsid w:val="007B11AB"/>
    <w:rsid w:val="007B4BE2"/>
    <w:rsid w:val="007B540E"/>
    <w:rsid w:val="007B5557"/>
    <w:rsid w:val="007B5D1A"/>
    <w:rsid w:val="007B666F"/>
    <w:rsid w:val="007B737A"/>
    <w:rsid w:val="007C0EB7"/>
    <w:rsid w:val="007C44BD"/>
    <w:rsid w:val="007C4A4E"/>
    <w:rsid w:val="007C4A71"/>
    <w:rsid w:val="007C5642"/>
    <w:rsid w:val="007C5E76"/>
    <w:rsid w:val="007C776A"/>
    <w:rsid w:val="007D0CDA"/>
    <w:rsid w:val="007D0CF3"/>
    <w:rsid w:val="007D1B60"/>
    <w:rsid w:val="007D24E7"/>
    <w:rsid w:val="007D3739"/>
    <w:rsid w:val="007D40E9"/>
    <w:rsid w:val="007D4F19"/>
    <w:rsid w:val="007D6129"/>
    <w:rsid w:val="007D7170"/>
    <w:rsid w:val="007D73C6"/>
    <w:rsid w:val="007E3995"/>
    <w:rsid w:val="007E57FA"/>
    <w:rsid w:val="007E5861"/>
    <w:rsid w:val="007E5BF8"/>
    <w:rsid w:val="007E5F6D"/>
    <w:rsid w:val="007E72B3"/>
    <w:rsid w:val="007F04E4"/>
    <w:rsid w:val="007F298F"/>
    <w:rsid w:val="007F481F"/>
    <w:rsid w:val="007F5B41"/>
    <w:rsid w:val="007F6648"/>
    <w:rsid w:val="007F69DC"/>
    <w:rsid w:val="00801984"/>
    <w:rsid w:val="008065A1"/>
    <w:rsid w:val="0080693C"/>
    <w:rsid w:val="0081009E"/>
    <w:rsid w:val="00810EC5"/>
    <w:rsid w:val="00812232"/>
    <w:rsid w:val="0081277A"/>
    <w:rsid w:val="00814E56"/>
    <w:rsid w:val="00816BDA"/>
    <w:rsid w:val="00817C4D"/>
    <w:rsid w:val="008207A1"/>
    <w:rsid w:val="00822C08"/>
    <w:rsid w:val="008231EE"/>
    <w:rsid w:val="00825A28"/>
    <w:rsid w:val="00826858"/>
    <w:rsid w:val="00827EB7"/>
    <w:rsid w:val="00830F2A"/>
    <w:rsid w:val="008310F2"/>
    <w:rsid w:val="00831623"/>
    <w:rsid w:val="00831D25"/>
    <w:rsid w:val="00831FD0"/>
    <w:rsid w:val="00832958"/>
    <w:rsid w:val="00833F24"/>
    <w:rsid w:val="008370D9"/>
    <w:rsid w:val="00840926"/>
    <w:rsid w:val="00841AFF"/>
    <w:rsid w:val="008440CF"/>
    <w:rsid w:val="00844548"/>
    <w:rsid w:val="00845FA3"/>
    <w:rsid w:val="00846C2D"/>
    <w:rsid w:val="0084734B"/>
    <w:rsid w:val="00850E26"/>
    <w:rsid w:val="00851DCD"/>
    <w:rsid w:val="00853A3C"/>
    <w:rsid w:val="00855012"/>
    <w:rsid w:val="0086123B"/>
    <w:rsid w:val="008660E5"/>
    <w:rsid w:val="00870070"/>
    <w:rsid w:val="00875474"/>
    <w:rsid w:val="008759EE"/>
    <w:rsid w:val="00881717"/>
    <w:rsid w:val="00881DC1"/>
    <w:rsid w:val="0088342E"/>
    <w:rsid w:val="00884189"/>
    <w:rsid w:val="00885033"/>
    <w:rsid w:val="0088562B"/>
    <w:rsid w:val="00885F6E"/>
    <w:rsid w:val="00885FD2"/>
    <w:rsid w:val="00887147"/>
    <w:rsid w:val="00887996"/>
    <w:rsid w:val="00887A9B"/>
    <w:rsid w:val="008906EB"/>
    <w:rsid w:val="00893082"/>
    <w:rsid w:val="00893126"/>
    <w:rsid w:val="0089688D"/>
    <w:rsid w:val="008971BC"/>
    <w:rsid w:val="00897A14"/>
    <w:rsid w:val="008A1589"/>
    <w:rsid w:val="008A201B"/>
    <w:rsid w:val="008A461E"/>
    <w:rsid w:val="008A4B26"/>
    <w:rsid w:val="008A6828"/>
    <w:rsid w:val="008A6D2D"/>
    <w:rsid w:val="008B0C60"/>
    <w:rsid w:val="008B0FF6"/>
    <w:rsid w:val="008B3336"/>
    <w:rsid w:val="008C0570"/>
    <w:rsid w:val="008C183E"/>
    <w:rsid w:val="008C3631"/>
    <w:rsid w:val="008C4144"/>
    <w:rsid w:val="008C4C78"/>
    <w:rsid w:val="008C4FE8"/>
    <w:rsid w:val="008C5936"/>
    <w:rsid w:val="008C5CF4"/>
    <w:rsid w:val="008C6223"/>
    <w:rsid w:val="008C79EC"/>
    <w:rsid w:val="008C7B21"/>
    <w:rsid w:val="008D429C"/>
    <w:rsid w:val="008D7042"/>
    <w:rsid w:val="008D7758"/>
    <w:rsid w:val="008E0B77"/>
    <w:rsid w:val="008E214B"/>
    <w:rsid w:val="008E49C5"/>
    <w:rsid w:val="008E4D43"/>
    <w:rsid w:val="008E76D8"/>
    <w:rsid w:val="008F1B4D"/>
    <w:rsid w:val="008F1C2A"/>
    <w:rsid w:val="008F3411"/>
    <w:rsid w:val="008F3454"/>
    <w:rsid w:val="008F753C"/>
    <w:rsid w:val="008F7DCF"/>
    <w:rsid w:val="00900FBF"/>
    <w:rsid w:val="009010E3"/>
    <w:rsid w:val="00901FAD"/>
    <w:rsid w:val="0090225D"/>
    <w:rsid w:val="00902AA3"/>
    <w:rsid w:val="00903771"/>
    <w:rsid w:val="00904130"/>
    <w:rsid w:val="00904340"/>
    <w:rsid w:val="00904ADD"/>
    <w:rsid w:val="00905DEA"/>
    <w:rsid w:val="00907525"/>
    <w:rsid w:val="00907BEF"/>
    <w:rsid w:val="00907E50"/>
    <w:rsid w:val="00911578"/>
    <w:rsid w:val="009147E1"/>
    <w:rsid w:val="009160BA"/>
    <w:rsid w:val="00917824"/>
    <w:rsid w:val="0092083C"/>
    <w:rsid w:val="00922846"/>
    <w:rsid w:val="009228EA"/>
    <w:rsid w:val="00923EF3"/>
    <w:rsid w:val="0092494D"/>
    <w:rsid w:val="00930B63"/>
    <w:rsid w:val="00930B9C"/>
    <w:rsid w:val="009314B7"/>
    <w:rsid w:val="00931DDD"/>
    <w:rsid w:val="00931EA0"/>
    <w:rsid w:val="00932B94"/>
    <w:rsid w:val="00933145"/>
    <w:rsid w:val="00933158"/>
    <w:rsid w:val="0093455A"/>
    <w:rsid w:val="009346E9"/>
    <w:rsid w:val="00935024"/>
    <w:rsid w:val="00936B4B"/>
    <w:rsid w:val="009408E3"/>
    <w:rsid w:val="0094142A"/>
    <w:rsid w:val="00941541"/>
    <w:rsid w:val="00943F97"/>
    <w:rsid w:val="009441C8"/>
    <w:rsid w:val="00944FFF"/>
    <w:rsid w:val="00945602"/>
    <w:rsid w:val="00945693"/>
    <w:rsid w:val="0094783A"/>
    <w:rsid w:val="00947AB8"/>
    <w:rsid w:val="009507DA"/>
    <w:rsid w:val="00952A9F"/>
    <w:rsid w:val="00954B79"/>
    <w:rsid w:val="009576A0"/>
    <w:rsid w:val="00957918"/>
    <w:rsid w:val="009604EC"/>
    <w:rsid w:val="009606A2"/>
    <w:rsid w:val="009617BD"/>
    <w:rsid w:val="0096579C"/>
    <w:rsid w:val="009658C0"/>
    <w:rsid w:val="00966E9E"/>
    <w:rsid w:val="00971122"/>
    <w:rsid w:val="0097274E"/>
    <w:rsid w:val="00972D34"/>
    <w:rsid w:val="00976B98"/>
    <w:rsid w:val="009800EA"/>
    <w:rsid w:val="00980828"/>
    <w:rsid w:val="00982B74"/>
    <w:rsid w:val="00985BD3"/>
    <w:rsid w:val="009861A1"/>
    <w:rsid w:val="00986CB7"/>
    <w:rsid w:val="00987B22"/>
    <w:rsid w:val="00990735"/>
    <w:rsid w:val="00993673"/>
    <w:rsid w:val="00995947"/>
    <w:rsid w:val="009972B9"/>
    <w:rsid w:val="00997CF4"/>
    <w:rsid w:val="009A0B84"/>
    <w:rsid w:val="009A11BC"/>
    <w:rsid w:val="009A2089"/>
    <w:rsid w:val="009A383D"/>
    <w:rsid w:val="009A5BA8"/>
    <w:rsid w:val="009A6A1E"/>
    <w:rsid w:val="009A71B5"/>
    <w:rsid w:val="009A77AF"/>
    <w:rsid w:val="009B1402"/>
    <w:rsid w:val="009B178A"/>
    <w:rsid w:val="009B1F10"/>
    <w:rsid w:val="009B2C4F"/>
    <w:rsid w:val="009B3BBE"/>
    <w:rsid w:val="009C0A17"/>
    <w:rsid w:val="009C1DB3"/>
    <w:rsid w:val="009C2A64"/>
    <w:rsid w:val="009C349B"/>
    <w:rsid w:val="009C3C1C"/>
    <w:rsid w:val="009C43BD"/>
    <w:rsid w:val="009C4FDB"/>
    <w:rsid w:val="009C6B5E"/>
    <w:rsid w:val="009D0CCC"/>
    <w:rsid w:val="009D3386"/>
    <w:rsid w:val="009D47CF"/>
    <w:rsid w:val="009D4E0E"/>
    <w:rsid w:val="009E0285"/>
    <w:rsid w:val="009E12CD"/>
    <w:rsid w:val="009E1385"/>
    <w:rsid w:val="009E2988"/>
    <w:rsid w:val="009E29AC"/>
    <w:rsid w:val="009E38EF"/>
    <w:rsid w:val="009E427B"/>
    <w:rsid w:val="009E5900"/>
    <w:rsid w:val="009E6030"/>
    <w:rsid w:val="009E64FB"/>
    <w:rsid w:val="009F0823"/>
    <w:rsid w:val="009F1C5E"/>
    <w:rsid w:val="009F26A4"/>
    <w:rsid w:val="009F2F95"/>
    <w:rsid w:val="009F40D1"/>
    <w:rsid w:val="009F46BB"/>
    <w:rsid w:val="009F4A94"/>
    <w:rsid w:val="00A00540"/>
    <w:rsid w:val="00A010DD"/>
    <w:rsid w:val="00A012B4"/>
    <w:rsid w:val="00A01BC8"/>
    <w:rsid w:val="00A035E6"/>
    <w:rsid w:val="00A054FE"/>
    <w:rsid w:val="00A05EF6"/>
    <w:rsid w:val="00A07202"/>
    <w:rsid w:val="00A073B8"/>
    <w:rsid w:val="00A07546"/>
    <w:rsid w:val="00A105AE"/>
    <w:rsid w:val="00A10CA7"/>
    <w:rsid w:val="00A10CEE"/>
    <w:rsid w:val="00A1135E"/>
    <w:rsid w:val="00A121A4"/>
    <w:rsid w:val="00A13E40"/>
    <w:rsid w:val="00A14B32"/>
    <w:rsid w:val="00A15C2F"/>
    <w:rsid w:val="00A16045"/>
    <w:rsid w:val="00A176DE"/>
    <w:rsid w:val="00A21FA4"/>
    <w:rsid w:val="00A23808"/>
    <w:rsid w:val="00A23B85"/>
    <w:rsid w:val="00A23D9A"/>
    <w:rsid w:val="00A23E63"/>
    <w:rsid w:val="00A273A9"/>
    <w:rsid w:val="00A30717"/>
    <w:rsid w:val="00A30B4F"/>
    <w:rsid w:val="00A31135"/>
    <w:rsid w:val="00A31A69"/>
    <w:rsid w:val="00A329FB"/>
    <w:rsid w:val="00A32E8B"/>
    <w:rsid w:val="00A347F7"/>
    <w:rsid w:val="00A34996"/>
    <w:rsid w:val="00A34DB8"/>
    <w:rsid w:val="00A3599B"/>
    <w:rsid w:val="00A361C9"/>
    <w:rsid w:val="00A369F8"/>
    <w:rsid w:val="00A43C84"/>
    <w:rsid w:val="00A442D3"/>
    <w:rsid w:val="00A44AC1"/>
    <w:rsid w:val="00A45BF9"/>
    <w:rsid w:val="00A45FB1"/>
    <w:rsid w:val="00A5087B"/>
    <w:rsid w:val="00A510E6"/>
    <w:rsid w:val="00A517DA"/>
    <w:rsid w:val="00A532EA"/>
    <w:rsid w:val="00A53C8C"/>
    <w:rsid w:val="00A53D1E"/>
    <w:rsid w:val="00A54F46"/>
    <w:rsid w:val="00A554F3"/>
    <w:rsid w:val="00A62E8E"/>
    <w:rsid w:val="00A63745"/>
    <w:rsid w:val="00A63B24"/>
    <w:rsid w:val="00A64088"/>
    <w:rsid w:val="00A66A12"/>
    <w:rsid w:val="00A708E0"/>
    <w:rsid w:val="00A71734"/>
    <w:rsid w:val="00A7218B"/>
    <w:rsid w:val="00A72F11"/>
    <w:rsid w:val="00A7343C"/>
    <w:rsid w:val="00A75C0B"/>
    <w:rsid w:val="00A75C5B"/>
    <w:rsid w:val="00A75D88"/>
    <w:rsid w:val="00A75E33"/>
    <w:rsid w:val="00A77B04"/>
    <w:rsid w:val="00A82DA9"/>
    <w:rsid w:val="00A83E3D"/>
    <w:rsid w:val="00A848A6"/>
    <w:rsid w:val="00A84B4A"/>
    <w:rsid w:val="00A91C8E"/>
    <w:rsid w:val="00A959DC"/>
    <w:rsid w:val="00A97813"/>
    <w:rsid w:val="00A97DF2"/>
    <w:rsid w:val="00AA043D"/>
    <w:rsid w:val="00AA0EEA"/>
    <w:rsid w:val="00AA2317"/>
    <w:rsid w:val="00AA2943"/>
    <w:rsid w:val="00AA33EC"/>
    <w:rsid w:val="00AA4430"/>
    <w:rsid w:val="00AA48BE"/>
    <w:rsid w:val="00AA508F"/>
    <w:rsid w:val="00AA52E6"/>
    <w:rsid w:val="00AA5E1B"/>
    <w:rsid w:val="00AA5EA9"/>
    <w:rsid w:val="00AA6A57"/>
    <w:rsid w:val="00AA6AFB"/>
    <w:rsid w:val="00AA6F44"/>
    <w:rsid w:val="00AB0977"/>
    <w:rsid w:val="00AB0EC5"/>
    <w:rsid w:val="00AB36D2"/>
    <w:rsid w:val="00AB3A2B"/>
    <w:rsid w:val="00AB5804"/>
    <w:rsid w:val="00AB5B59"/>
    <w:rsid w:val="00AB7074"/>
    <w:rsid w:val="00AC1DD6"/>
    <w:rsid w:val="00AC43C8"/>
    <w:rsid w:val="00AC6AFC"/>
    <w:rsid w:val="00AD0615"/>
    <w:rsid w:val="00AD1F94"/>
    <w:rsid w:val="00AD2985"/>
    <w:rsid w:val="00AD324F"/>
    <w:rsid w:val="00AD4701"/>
    <w:rsid w:val="00AD4C1E"/>
    <w:rsid w:val="00AD4E3E"/>
    <w:rsid w:val="00AD5746"/>
    <w:rsid w:val="00AD77D9"/>
    <w:rsid w:val="00AE028D"/>
    <w:rsid w:val="00AE1EBB"/>
    <w:rsid w:val="00AE1EBF"/>
    <w:rsid w:val="00AE33D9"/>
    <w:rsid w:val="00AE45FA"/>
    <w:rsid w:val="00AE5F81"/>
    <w:rsid w:val="00AE68E2"/>
    <w:rsid w:val="00AE6AB0"/>
    <w:rsid w:val="00AE7113"/>
    <w:rsid w:val="00AF1F9C"/>
    <w:rsid w:val="00AF4EC5"/>
    <w:rsid w:val="00AF774E"/>
    <w:rsid w:val="00B0064B"/>
    <w:rsid w:val="00B03CBA"/>
    <w:rsid w:val="00B044F7"/>
    <w:rsid w:val="00B04A83"/>
    <w:rsid w:val="00B06C50"/>
    <w:rsid w:val="00B07045"/>
    <w:rsid w:val="00B106E6"/>
    <w:rsid w:val="00B10E6F"/>
    <w:rsid w:val="00B141DD"/>
    <w:rsid w:val="00B1470B"/>
    <w:rsid w:val="00B15101"/>
    <w:rsid w:val="00B1781A"/>
    <w:rsid w:val="00B20182"/>
    <w:rsid w:val="00B20709"/>
    <w:rsid w:val="00B207A4"/>
    <w:rsid w:val="00B20F7B"/>
    <w:rsid w:val="00B219B8"/>
    <w:rsid w:val="00B22112"/>
    <w:rsid w:val="00B22C60"/>
    <w:rsid w:val="00B25384"/>
    <w:rsid w:val="00B276B4"/>
    <w:rsid w:val="00B3029F"/>
    <w:rsid w:val="00B315B7"/>
    <w:rsid w:val="00B321E0"/>
    <w:rsid w:val="00B3504A"/>
    <w:rsid w:val="00B35FEC"/>
    <w:rsid w:val="00B36968"/>
    <w:rsid w:val="00B400D5"/>
    <w:rsid w:val="00B4214D"/>
    <w:rsid w:val="00B4320D"/>
    <w:rsid w:val="00B449BA"/>
    <w:rsid w:val="00B473AD"/>
    <w:rsid w:val="00B47D3F"/>
    <w:rsid w:val="00B47EDB"/>
    <w:rsid w:val="00B5065D"/>
    <w:rsid w:val="00B5392E"/>
    <w:rsid w:val="00B53FBC"/>
    <w:rsid w:val="00B54220"/>
    <w:rsid w:val="00B61AD4"/>
    <w:rsid w:val="00B66059"/>
    <w:rsid w:val="00B67E7E"/>
    <w:rsid w:val="00B701E1"/>
    <w:rsid w:val="00B71513"/>
    <w:rsid w:val="00B74137"/>
    <w:rsid w:val="00B774A2"/>
    <w:rsid w:val="00B77F03"/>
    <w:rsid w:val="00B87ADF"/>
    <w:rsid w:val="00B906DB"/>
    <w:rsid w:val="00B90F0D"/>
    <w:rsid w:val="00B92EE0"/>
    <w:rsid w:val="00B945DF"/>
    <w:rsid w:val="00B94746"/>
    <w:rsid w:val="00B94ECA"/>
    <w:rsid w:val="00B94F83"/>
    <w:rsid w:val="00B96579"/>
    <w:rsid w:val="00B966EC"/>
    <w:rsid w:val="00BA03A9"/>
    <w:rsid w:val="00BA0EB7"/>
    <w:rsid w:val="00BA214D"/>
    <w:rsid w:val="00BA2C3F"/>
    <w:rsid w:val="00BA5865"/>
    <w:rsid w:val="00BB27B4"/>
    <w:rsid w:val="00BB33B9"/>
    <w:rsid w:val="00BB36A6"/>
    <w:rsid w:val="00BB370B"/>
    <w:rsid w:val="00BB6BAE"/>
    <w:rsid w:val="00BB75FA"/>
    <w:rsid w:val="00BC0031"/>
    <w:rsid w:val="00BC16E4"/>
    <w:rsid w:val="00BC5147"/>
    <w:rsid w:val="00BC6401"/>
    <w:rsid w:val="00BD02CC"/>
    <w:rsid w:val="00BD1329"/>
    <w:rsid w:val="00BD25D4"/>
    <w:rsid w:val="00BD344D"/>
    <w:rsid w:val="00BD3975"/>
    <w:rsid w:val="00BD4DD2"/>
    <w:rsid w:val="00BD5B66"/>
    <w:rsid w:val="00BE0381"/>
    <w:rsid w:val="00BE08D7"/>
    <w:rsid w:val="00BE0FF2"/>
    <w:rsid w:val="00BE12E0"/>
    <w:rsid w:val="00BE293E"/>
    <w:rsid w:val="00BE299D"/>
    <w:rsid w:val="00BE2AAB"/>
    <w:rsid w:val="00BE2C0A"/>
    <w:rsid w:val="00BE3323"/>
    <w:rsid w:val="00BE5170"/>
    <w:rsid w:val="00BE76AB"/>
    <w:rsid w:val="00BF035D"/>
    <w:rsid w:val="00BF0F79"/>
    <w:rsid w:val="00BF2361"/>
    <w:rsid w:val="00BF55E5"/>
    <w:rsid w:val="00BF6108"/>
    <w:rsid w:val="00C014C3"/>
    <w:rsid w:val="00C031E9"/>
    <w:rsid w:val="00C04AEE"/>
    <w:rsid w:val="00C05B33"/>
    <w:rsid w:val="00C06293"/>
    <w:rsid w:val="00C06AD6"/>
    <w:rsid w:val="00C06DD3"/>
    <w:rsid w:val="00C11862"/>
    <w:rsid w:val="00C12372"/>
    <w:rsid w:val="00C15279"/>
    <w:rsid w:val="00C1540B"/>
    <w:rsid w:val="00C15A5B"/>
    <w:rsid w:val="00C201CE"/>
    <w:rsid w:val="00C2081F"/>
    <w:rsid w:val="00C20E11"/>
    <w:rsid w:val="00C21046"/>
    <w:rsid w:val="00C21653"/>
    <w:rsid w:val="00C22D78"/>
    <w:rsid w:val="00C252F4"/>
    <w:rsid w:val="00C2563B"/>
    <w:rsid w:val="00C25917"/>
    <w:rsid w:val="00C27855"/>
    <w:rsid w:val="00C30328"/>
    <w:rsid w:val="00C32A2B"/>
    <w:rsid w:val="00C34FE9"/>
    <w:rsid w:val="00C35BA4"/>
    <w:rsid w:val="00C360D8"/>
    <w:rsid w:val="00C41949"/>
    <w:rsid w:val="00C421C8"/>
    <w:rsid w:val="00C4551A"/>
    <w:rsid w:val="00C469C9"/>
    <w:rsid w:val="00C46FE9"/>
    <w:rsid w:val="00C47BB8"/>
    <w:rsid w:val="00C47E4E"/>
    <w:rsid w:val="00C5101F"/>
    <w:rsid w:val="00C51DAF"/>
    <w:rsid w:val="00C52B1D"/>
    <w:rsid w:val="00C52F8A"/>
    <w:rsid w:val="00C57D8E"/>
    <w:rsid w:val="00C62A58"/>
    <w:rsid w:val="00C636EB"/>
    <w:rsid w:val="00C63D24"/>
    <w:rsid w:val="00C6417E"/>
    <w:rsid w:val="00C64514"/>
    <w:rsid w:val="00C65AEC"/>
    <w:rsid w:val="00C66086"/>
    <w:rsid w:val="00C675E4"/>
    <w:rsid w:val="00C67CD8"/>
    <w:rsid w:val="00C67DC8"/>
    <w:rsid w:val="00C73FEC"/>
    <w:rsid w:val="00C74EE8"/>
    <w:rsid w:val="00C75ADF"/>
    <w:rsid w:val="00C75F18"/>
    <w:rsid w:val="00C767AF"/>
    <w:rsid w:val="00C77641"/>
    <w:rsid w:val="00C77D93"/>
    <w:rsid w:val="00C80F88"/>
    <w:rsid w:val="00C81384"/>
    <w:rsid w:val="00C8465C"/>
    <w:rsid w:val="00C84BEF"/>
    <w:rsid w:val="00C84F9E"/>
    <w:rsid w:val="00C85F5C"/>
    <w:rsid w:val="00C861C5"/>
    <w:rsid w:val="00C867BD"/>
    <w:rsid w:val="00C874A3"/>
    <w:rsid w:val="00C916D1"/>
    <w:rsid w:val="00C94680"/>
    <w:rsid w:val="00C95A3A"/>
    <w:rsid w:val="00CA0205"/>
    <w:rsid w:val="00CA3929"/>
    <w:rsid w:val="00CA517D"/>
    <w:rsid w:val="00CA61C1"/>
    <w:rsid w:val="00CA6C36"/>
    <w:rsid w:val="00CA7721"/>
    <w:rsid w:val="00CB1E51"/>
    <w:rsid w:val="00CB2987"/>
    <w:rsid w:val="00CB2E92"/>
    <w:rsid w:val="00CB3132"/>
    <w:rsid w:val="00CB3211"/>
    <w:rsid w:val="00CB33E3"/>
    <w:rsid w:val="00CB359B"/>
    <w:rsid w:val="00CB48EB"/>
    <w:rsid w:val="00CB49E6"/>
    <w:rsid w:val="00CB5C6C"/>
    <w:rsid w:val="00CB785E"/>
    <w:rsid w:val="00CB7AFC"/>
    <w:rsid w:val="00CC0879"/>
    <w:rsid w:val="00CC10AA"/>
    <w:rsid w:val="00CC1CC6"/>
    <w:rsid w:val="00CC2506"/>
    <w:rsid w:val="00CC466E"/>
    <w:rsid w:val="00CC54F6"/>
    <w:rsid w:val="00CC5A47"/>
    <w:rsid w:val="00CC6ACF"/>
    <w:rsid w:val="00CC7706"/>
    <w:rsid w:val="00CD1944"/>
    <w:rsid w:val="00CD3542"/>
    <w:rsid w:val="00CD40B5"/>
    <w:rsid w:val="00CD4F1C"/>
    <w:rsid w:val="00CE025B"/>
    <w:rsid w:val="00CE14FE"/>
    <w:rsid w:val="00CE2116"/>
    <w:rsid w:val="00CE215B"/>
    <w:rsid w:val="00CE2715"/>
    <w:rsid w:val="00CE3E2A"/>
    <w:rsid w:val="00CE432C"/>
    <w:rsid w:val="00CE4723"/>
    <w:rsid w:val="00CE55C7"/>
    <w:rsid w:val="00CE5DE2"/>
    <w:rsid w:val="00CE5FA0"/>
    <w:rsid w:val="00CE66F0"/>
    <w:rsid w:val="00CE7A0C"/>
    <w:rsid w:val="00CE7ADD"/>
    <w:rsid w:val="00CF12F9"/>
    <w:rsid w:val="00CF1BE7"/>
    <w:rsid w:val="00CF2AC5"/>
    <w:rsid w:val="00CF391A"/>
    <w:rsid w:val="00CF4080"/>
    <w:rsid w:val="00CF499E"/>
    <w:rsid w:val="00CF59D6"/>
    <w:rsid w:val="00CF634A"/>
    <w:rsid w:val="00CF7A87"/>
    <w:rsid w:val="00D01BCC"/>
    <w:rsid w:val="00D02CBF"/>
    <w:rsid w:val="00D130C2"/>
    <w:rsid w:val="00D1368F"/>
    <w:rsid w:val="00D16144"/>
    <w:rsid w:val="00D17BF0"/>
    <w:rsid w:val="00D200A9"/>
    <w:rsid w:val="00D20AC5"/>
    <w:rsid w:val="00D21C2C"/>
    <w:rsid w:val="00D22354"/>
    <w:rsid w:val="00D22CE4"/>
    <w:rsid w:val="00D23CD7"/>
    <w:rsid w:val="00D23EB6"/>
    <w:rsid w:val="00D24114"/>
    <w:rsid w:val="00D25F1F"/>
    <w:rsid w:val="00D270D6"/>
    <w:rsid w:val="00D27295"/>
    <w:rsid w:val="00D32DC0"/>
    <w:rsid w:val="00D33E4F"/>
    <w:rsid w:val="00D3519F"/>
    <w:rsid w:val="00D355FF"/>
    <w:rsid w:val="00D35A83"/>
    <w:rsid w:val="00D40F4A"/>
    <w:rsid w:val="00D43045"/>
    <w:rsid w:val="00D44A09"/>
    <w:rsid w:val="00D44EAC"/>
    <w:rsid w:val="00D46C90"/>
    <w:rsid w:val="00D47C83"/>
    <w:rsid w:val="00D50305"/>
    <w:rsid w:val="00D5098C"/>
    <w:rsid w:val="00D516D0"/>
    <w:rsid w:val="00D51980"/>
    <w:rsid w:val="00D5317B"/>
    <w:rsid w:val="00D5380E"/>
    <w:rsid w:val="00D54E54"/>
    <w:rsid w:val="00D569E4"/>
    <w:rsid w:val="00D56AF1"/>
    <w:rsid w:val="00D571DD"/>
    <w:rsid w:val="00D57C7B"/>
    <w:rsid w:val="00D63A23"/>
    <w:rsid w:val="00D6497E"/>
    <w:rsid w:val="00D65931"/>
    <w:rsid w:val="00D6654A"/>
    <w:rsid w:val="00D66DDC"/>
    <w:rsid w:val="00D71064"/>
    <w:rsid w:val="00D73508"/>
    <w:rsid w:val="00D751F5"/>
    <w:rsid w:val="00D755A4"/>
    <w:rsid w:val="00D76078"/>
    <w:rsid w:val="00D7771E"/>
    <w:rsid w:val="00D8111F"/>
    <w:rsid w:val="00D823FC"/>
    <w:rsid w:val="00D82B8B"/>
    <w:rsid w:val="00D8311F"/>
    <w:rsid w:val="00D857B3"/>
    <w:rsid w:val="00D93E2E"/>
    <w:rsid w:val="00D9483F"/>
    <w:rsid w:val="00D95F86"/>
    <w:rsid w:val="00D973ED"/>
    <w:rsid w:val="00D97DF3"/>
    <w:rsid w:val="00DA0B36"/>
    <w:rsid w:val="00DA2EA8"/>
    <w:rsid w:val="00DA3B8D"/>
    <w:rsid w:val="00DA5F60"/>
    <w:rsid w:val="00DA750D"/>
    <w:rsid w:val="00DB14F3"/>
    <w:rsid w:val="00DB5831"/>
    <w:rsid w:val="00DB5EF1"/>
    <w:rsid w:val="00DB7389"/>
    <w:rsid w:val="00DC2617"/>
    <w:rsid w:val="00DC3309"/>
    <w:rsid w:val="00DC4B8F"/>
    <w:rsid w:val="00DD1871"/>
    <w:rsid w:val="00DD3379"/>
    <w:rsid w:val="00DD4D0F"/>
    <w:rsid w:val="00DD5AFF"/>
    <w:rsid w:val="00DD5CD9"/>
    <w:rsid w:val="00DD6457"/>
    <w:rsid w:val="00DD7196"/>
    <w:rsid w:val="00DD775A"/>
    <w:rsid w:val="00DD7EA4"/>
    <w:rsid w:val="00DE00EA"/>
    <w:rsid w:val="00DE21CB"/>
    <w:rsid w:val="00DE47CF"/>
    <w:rsid w:val="00DE55FC"/>
    <w:rsid w:val="00DE6137"/>
    <w:rsid w:val="00DE64C6"/>
    <w:rsid w:val="00DE68BD"/>
    <w:rsid w:val="00DE6E6D"/>
    <w:rsid w:val="00DF09E6"/>
    <w:rsid w:val="00DF0C88"/>
    <w:rsid w:val="00DF0EEA"/>
    <w:rsid w:val="00DF22D1"/>
    <w:rsid w:val="00DF2A1E"/>
    <w:rsid w:val="00DF2E20"/>
    <w:rsid w:val="00DF3BD4"/>
    <w:rsid w:val="00DF68F9"/>
    <w:rsid w:val="00DF72C9"/>
    <w:rsid w:val="00E00489"/>
    <w:rsid w:val="00E00C8D"/>
    <w:rsid w:val="00E0119C"/>
    <w:rsid w:val="00E01C4E"/>
    <w:rsid w:val="00E02534"/>
    <w:rsid w:val="00E03026"/>
    <w:rsid w:val="00E04B3B"/>
    <w:rsid w:val="00E051C4"/>
    <w:rsid w:val="00E05B4B"/>
    <w:rsid w:val="00E069BC"/>
    <w:rsid w:val="00E06ABE"/>
    <w:rsid w:val="00E06BB3"/>
    <w:rsid w:val="00E07F6D"/>
    <w:rsid w:val="00E10371"/>
    <w:rsid w:val="00E10EF2"/>
    <w:rsid w:val="00E10F93"/>
    <w:rsid w:val="00E11E45"/>
    <w:rsid w:val="00E11FC9"/>
    <w:rsid w:val="00E12B7E"/>
    <w:rsid w:val="00E12EAD"/>
    <w:rsid w:val="00E13B1B"/>
    <w:rsid w:val="00E14790"/>
    <w:rsid w:val="00E14BAE"/>
    <w:rsid w:val="00E157D0"/>
    <w:rsid w:val="00E16534"/>
    <w:rsid w:val="00E166E8"/>
    <w:rsid w:val="00E177A3"/>
    <w:rsid w:val="00E177FA"/>
    <w:rsid w:val="00E17B96"/>
    <w:rsid w:val="00E17D3E"/>
    <w:rsid w:val="00E17E87"/>
    <w:rsid w:val="00E22D8A"/>
    <w:rsid w:val="00E24996"/>
    <w:rsid w:val="00E269FF"/>
    <w:rsid w:val="00E27AB8"/>
    <w:rsid w:val="00E305D8"/>
    <w:rsid w:val="00E308C7"/>
    <w:rsid w:val="00E314B5"/>
    <w:rsid w:val="00E36EC8"/>
    <w:rsid w:val="00E40C93"/>
    <w:rsid w:val="00E422B6"/>
    <w:rsid w:val="00E43306"/>
    <w:rsid w:val="00E438D6"/>
    <w:rsid w:val="00E4563F"/>
    <w:rsid w:val="00E50ACE"/>
    <w:rsid w:val="00E55163"/>
    <w:rsid w:val="00E62CA8"/>
    <w:rsid w:val="00E63F64"/>
    <w:rsid w:val="00E6477C"/>
    <w:rsid w:val="00E70AC4"/>
    <w:rsid w:val="00E717C9"/>
    <w:rsid w:val="00E76451"/>
    <w:rsid w:val="00E765FD"/>
    <w:rsid w:val="00E76B17"/>
    <w:rsid w:val="00E7705F"/>
    <w:rsid w:val="00E770FA"/>
    <w:rsid w:val="00E81529"/>
    <w:rsid w:val="00E81655"/>
    <w:rsid w:val="00E81CB0"/>
    <w:rsid w:val="00E822B5"/>
    <w:rsid w:val="00E82A5E"/>
    <w:rsid w:val="00E82C8A"/>
    <w:rsid w:val="00E84118"/>
    <w:rsid w:val="00E867BC"/>
    <w:rsid w:val="00E9086B"/>
    <w:rsid w:val="00E90932"/>
    <w:rsid w:val="00E91409"/>
    <w:rsid w:val="00E92A4F"/>
    <w:rsid w:val="00E938BC"/>
    <w:rsid w:val="00E960DE"/>
    <w:rsid w:val="00EA1698"/>
    <w:rsid w:val="00EA56D8"/>
    <w:rsid w:val="00EA71BD"/>
    <w:rsid w:val="00EB0896"/>
    <w:rsid w:val="00EB0BCF"/>
    <w:rsid w:val="00EB296F"/>
    <w:rsid w:val="00EB4726"/>
    <w:rsid w:val="00EB5B3A"/>
    <w:rsid w:val="00EB75B2"/>
    <w:rsid w:val="00EC05CB"/>
    <w:rsid w:val="00EC3399"/>
    <w:rsid w:val="00EC54C7"/>
    <w:rsid w:val="00EC5A32"/>
    <w:rsid w:val="00EC7825"/>
    <w:rsid w:val="00ED2206"/>
    <w:rsid w:val="00ED289E"/>
    <w:rsid w:val="00ED2BED"/>
    <w:rsid w:val="00ED3570"/>
    <w:rsid w:val="00ED3E17"/>
    <w:rsid w:val="00ED46E9"/>
    <w:rsid w:val="00ED5445"/>
    <w:rsid w:val="00ED599C"/>
    <w:rsid w:val="00ED73EF"/>
    <w:rsid w:val="00EE1921"/>
    <w:rsid w:val="00EE1B31"/>
    <w:rsid w:val="00EE1F7D"/>
    <w:rsid w:val="00EE21DC"/>
    <w:rsid w:val="00EE4B90"/>
    <w:rsid w:val="00EE527B"/>
    <w:rsid w:val="00EE57F5"/>
    <w:rsid w:val="00EE6919"/>
    <w:rsid w:val="00EF1A7D"/>
    <w:rsid w:val="00EF22D2"/>
    <w:rsid w:val="00EF34E9"/>
    <w:rsid w:val="00EF3F99"/>
    <w:rsid w:val="00EF43E1"/>
    <w:rsid w:val="00EF5F27"/>
    <w:rsid w:val="00EF7D52"/>
    <w:rsid w:val="00F004CC"/>
    <w:rsid w:val="00F01F3D"/>
    <w:rsid w:val="00F02D31"/>
    <w:rsid w:val="00F03117"/>
    <w:rsid w:val="00F05755"/>
    <w:rsid w:val="00F05D0A"/>
    <w:rsid w:val="00F05E22"/>
    <w:rsid w:val="00F0775C"/>
    <w:rsid w:val="00F103F9"/>
    <w:rsid w:val="00F1068A"/>
    <w:rsid w:val="00F12D35"/>
    <w:rsid w:val="00F12F57"/>
    <w:rsid w:val="00F13F49"/>
    <w:rsid w:val="00F1430D"/>
    <w:rsid w:val="00F166FC"/>
    <w:rsid w:val="00F16895"/>
    <w:rsid w:val="00F17593"/>
    <w:rsid w:val="00F175F5"/>
    <w:rsid w:val="00F202FB"/>
    <w:rsid w:val="00F2190B"/>
    <w:rsid w:val="00F2230A"/>
    <w:rsid w:val="00F233C4"/>
    <w:rsid w:val="00F23C20"/>
    <w:rsid w:val="00F23F6C"/>
    <w:rsid w:val="00F2460B"/>
    <w:rsid w:val="00F25CEC"/>
    <w:rsid w:val="00F26995"/>
    <w:rsid w:val="00F273D8"/>
    <w:rsid w:val="00F316D9"/>
    <w:rsid w:val="00F32816"/>
    <w:rsid w:val="00F32DD2"/>
    <w:rsid w:val="00F32E9F"/>
    <w:rsid w:val="00F333EF"/>
    <w:rsid w:val="00F33CF7"/>
    <w:rsid w:val="00F33D39"/>
    <w:rsid w:val="00F355C3"/>
    <w:rsid w:val="00F4042B"/>
    <w:rsid w:val="00F43289"/>
    <w:rsid w:val="00F43CE1"/>
    <w:rsid w:val="00F4429F"/>
    <w:rsid w:val="00F460D6"/>
    <w:rsid w:val="00F47216"/>
    <w:rsid w:val="00F50727"/>
    <w:rsid w:val="00F510BA"/>
    <w:rsid w:val="00F52093"/>
    <w:rsid w:val="00F52C3B"/>
    <w:rsid w:val="00F546CB"/>
    <w:rsid w:val="00F55B1F"/>
    <w:rsid w:val="00F57C90"/>
    <w:rsid w:val="00F63F0C"/>
    <w:rsid w:val="00F63FF5"/>
    <w:rsid w:val="00F674EA"/>
    <w:rsid w:val="00F72785"/>
    <w:rsid w:val="00F7436F"/>
    <w:rsid w:val="00F749CD"/>
    <w:rsid w:val="00F75FE4"/>
    <w:rsid w:val="00F81714"/>
    <w:rsid w:val="00F8365F"/>
    <w:rsid w:val="00F852DD"/>
    <w:rsid w:val="00F86BC1"/>
    <w:rsid w:val="00F91CD5"/>
    <w:rsid w:val="00F92669"/>
    <w:rsid w:val="00F9569A"/>
    <w:rsid w:val="00F97C48"/>
    <w:rsid w:val="00FA25F0"/>
    <w:rsid w:val="00FA4A87"/>
    <w:rsid w:val="00FA4F03"/>
    <w:rsid w:val="00FA5C4A"/>
    <w:rsid w:val="00FA615D"/>
    <w:rsid w:val="00FA7AD7"/>
    <w:rsid w:val="00FB0FD3"/>
    <w:rsid w:val="00FB1198"/>
    <w:rsid w:val="00FB1268"/>
    <w:rsid w:val="00FB2C4F"/>
    <w:rsid w:val="00FB32EF"/>
    <w:rsid w:val="00FB36C3"/>
    <w:rsid w:val="00FB3915"/>
    <w:rsid w:val="00FB54A5"/>
    <w:rsid w:val="00FB574D"/>
    <w:rsid w:val="00FB6852"/>
    <w:rsid w:val="00FC1517"/>
    <w:rsid w:val="00FC177E"/>
    <w:rsid w:val="00FC392C"/>
    <w:rsid w:val="00FC48F2"/>
    <w:rsid w:val="00FC5309"/>
    <w:rsid w:val="00FC63C4"/>
    <w:rsid w:val="00FC7AF1"/>
    <w:rsid w:val="00FC7C5B"/>
    <w:rsid w:val="00FD1FA5"/>
    <w:rsid w:val="00FD3106"/>
    <w:rsid w:val="00FD53B9"/>
    <w:rsid w:val="00FD53DC"/>
    <w:rsid w:val="00FD6B62"/>
    <w:rsid w:val="00FE060F"/>
    <w:rsid w:val="00FE189D"/>
    <w:rsid w:val="00FE1A77"/>
    <w:rsid w:val="00FE4A96"/>
    <w:rsid w:val="00FE6CC4"/>
    <w:rsid w:val="00FE6E2F"/>
    <w:rsid w:val="00FE7DE2"/>
    <w:rsid w:val="00FF0D82"/>
    <w:rsid w:val="00FF117A"/>
    <w:rsid w:val="00FF185F"/>
    <w:rsid w:val="00FF32A1"/>
    <w:rsid w:val="00FF3B86"/>
    <w:rsid w:val="00FF3BE0"/>
    <w:rsid w:val="00FF4AF1"/>
    <w:rsid w:val="00FF513F"/>
    <w:rsid w:val="00FF54B7"/>
    <w:rsid w:val="00FF5771"/>
    <w:rsid w:val="00FF62AD"/>
    <w:rsid w:val="00FF680F"/>
    <w:rsid w:val="00FF6D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A4D0F"/>
  <w15:chartTrackingRefBased/>
  <w15:docId w15:val="{65E47990-5FB7-49FA-837C-A553257E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1AA"/>
    <w:pPr>
      <w:spacing w:after="0" w:line="240" w:lineRule="auto"/>
    </w:pPr>
  </w:style>
  <w:style w:type="paragraph" w:styleId="Heading1">
    <w:name w:val="heading 1"/>
    <w:basedOn w:val="Normal"/>
    <w:next w:val="Normal"/>
    <w:link w:val="Heading1Char"/>
    <w:qFormat/>
    <w:rsid w:val="006261AA"/>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link w:val="Heading2Char"/>
    <w:unhideWhenUsed/>
    <w:qFormat/>
    <w:rsid w:val="002C099D"/>
    <w:pPr>
      <w:keepNext/>
      <w:tabs>
        <w:tab w:val="num" w:pos="720"/>
      </w:tabs>
      <w:spacing w:after="240" w:line="246" w:lineRule="atLeast"/>
      <w:ind w:left="720" w:hanging="720"/>
      <w:jc w:val="both"/>
      <w:outlineLvl w:val="1"/>
    </w:pPr>
    <w:rPr>
      <w:rFonts w:eastAsiaTheme="majorEastAsia" w:cs="Times New Roman"/>
      <w:b/>
      <w:bCs/>
      <w:sz w:val="24"/>
      <w:szCs w:val="26"/>
    </w:rPr>
  </w:style>
  <w:style w:type="paragraph" w:styleId="Heading3">
    <w:name w:val="heading 3"/>
    <w:basedOn w:val="Normal"/>
    <w:link w:val="Heading3Char"/>
    <w:unhideWhenUsed/>
    <w:qFormat/>
    <w:rsid w:val="00270D22"/>
    <w:pPr>
      <w:tabs>
        <w:tab w:val="num" w:pos="720"/>
      </w:tabs>
      <w:spacing w:after="240" w:line="246" w:lineRule="atLeast"/>
      <w:ind w:left="720" w:hanging="720"/>
      <w:jc w:val="both"/>
      <w:outlineLvl w:val="2"/>
    </w:pPr>
    <w:rPr>
      <w:rFonts w:eastAsiaTheme="majorEastAsia" w:cs="Times New Roman"/>
      <w:bCs/>
      <w:i/>
      <w:szCs w:val="24"/>
      <w:u w:val="single"/>
    </w:rPr>
  </w:style>
  <w:style w:type="paragraph" w:styleId="Heading4">
    <w:name w:val="heading 4"/>
    <w:basedOn w:val="Normal"/>
    <w:link w:val="Heading4Char"/>
    <w:unhideWhenUsed/>
    <w:qFormat/>
    <w:rsid w:val="006261AA"/>
    <w:pPr>
      <w:tabs>
        <w:tab w:val="num" w:pos="1440"/>
      </w:tabs>
      <w:spacing w:after="240" w:line="246" w:lineRule="atLeast"/>
      <w:ind w:left="1440" w:hanging="720"/>
      <w:jc w:val="both"/>
      <w:outlineLvl w:val="3"/>
    </w:pPr>
    <w:rPr>
      <w:rFonts w:ascii="Times New Roman" w:eastAsiaTheme="majorEastAsia" w:hAnsi="Times New Roman" w:cs="Times New Roman"/>
      <w:bCs/>
      <w:iCs/>
      <w:szCs w:val="24"/>
    </w:rPr>
  </w:style>
  <w:style w:type="paragraph" w:styleId="Heading5">
    <w:name w:val="heading 5"/>
    <w:basedOn w:val="Normal"/>
    <w:link w:val="Heading5Char"/>
    <w:unhideWhenUsed/>
    <w:qFormat/>
    <w:rsid w:val="006261AA"/>
    <w:pPr>
      <w:tabs>
        <w:tab w:val="num" w:pos="2160"/>
      </w:tabs>
      <w:spacing w:after="240" w:line="246" w:lineRule="atLeast"/>
      <w:ind w:left="2160" w:hanging="720"/>
      <w:jc w:val="both"/>
      <w:outlineLvl w:val="4"/>
    </w:pPr>
    <w:rPr>
      <w:rFonts w:ascii="Times New Roman" w:eastAsiaTheme="majorEastAsia" w:hAnsi="Times New Roman" w:cs="Times New Roman"/>
      <w:szCs w:val="24"/>
    </w:rPr>
  </w:style>
  <w:style w:type="paragraph" w:styleId="Heading6">
    <w:name w:val="heading 6"/>
    <w:basedOn w:val="Normal"/>
    <w:link w:val="Heading6Char"/>
    <w:unhideWhenUsed/>
    <w:qFormat/>
    <w:rsid w:val="006261AA"/>
    <w:pPr>
      <w:tabs>
        <w:tab w:val="num" w:pos="2880"/>
      </w:tabs>
      <w:spacing w:after="240" w:line="246" w:lineRule="atLeast"/>
      <w:ind w:left="2880" w:hanging="720"/>
      <w:jc w:val="both"/>
      <w:outlineLvl w:val="5"/>
    </w:pPr>
    <w:rPr>
      <w:rFonts w:ascii="Times New Roman" w:eastAsiaTheme="majorEastAsia" w:hAnsi="Times New Roman" w:cs="Times New Roman"/>
      <w:iCs/>
      <w:szCs w:val="24"/>
    </w:rPr>
  </w:style>
  <w:style w:type="paragraph" w:styleId="Heading7">
    <w:name w:val="heading 7"/>
    <w:basedOn w:val="Normal"/>
    <w:link w:val="Heading7Char"/>
    <w:semiHidden/>
    <w:unhideWhenUsed/>
    <w:qFormat/>
    <w:rsid w:val="006261AA"/>
    <w:pPr>
      <w:tabs>
        <w:tab w:val="num" w:pos="4320"/>
      </w:tabs>
      <w:spacing w:after="240" w:line="246" w:lineRule="atLeast"/>
      <w:ind w:left="4320" w:hanging="720"/>
      <w:jc w:val="both"/>
      <w:outlineLvl w:val="6"/>
    </w:pPr>
    <w:rPr>
      <w:rFonts w:ascii="Times New Roman" w:eastAsiaTheme="majorEastAsia" w:hAnsi="Times New Roman" w:cs="Times New Roman"/>
      <w:iCs/>
      <w:szCs w:val="24"/>
    </w:rPr>
  </w:style>
  <w:style w:type="paragraph" w:styleId="Heading8">
    <w:name w:val="heading 8"/>
    <w:basedOn w:val="Normal"/>
    <w:link w:val="Heading8Char"/>
    <w:semiHidden/>
    <w:unhideWhenUsed/>
    <w:qFormat/>
    <w:rsid w:val="006261AA"/>
    <w:pPr>
      <w:spacing w:after="240" w:line="246" w:lineRule="atLeast"/>
      <w:jc w:val="both"/>
      <w:outlineLvl w:val="7"/>
    </w:pPr>
    <w:rPr>
      <w:rFonts w:ascii="Times New Roman" w:eastAsiaTheme="majorEastAsia" w:hAnsi="Times New Roman" w:cs="Times New Roman"/>
      <w:szCs w:val="20"/>
    </w:rPr>
  </w:style>
  <w:style w:type="paragraph" w:styleId="Heading9">
    <w:name w:val="heading 9"/>
    <w:basedOn w:val="Normal"/>
    <w:link w:val="Heading9Char"/>
    <w:semiHidden/>
    <w:unhideWhenUsed/>
    <w:qFormat/>
    <w:rsid w:val="006261AA"/>
    <w:pPr>
      <w:spacing w:after="240" w:line="246" w:lineRule="atLeast"/>
      <w:jc w:val="both"/>
      <w:outlineLvl w:val="8"/>
    </w:pPr>
    <w:rPr>
      <w:rFonts w:ascii="Times New Roman" w:eastAsiaTheme="majorEastAsia" w:hAnsi="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1AA"/>
    <w:pPr>
      <w:ind w:left="720"/>
      <w:contextualSpacing/>
    </w:pPr>
  </w:style>
  <w:style w:type="paragraph" w:styleId="Header">
    <w:name w:val="header"/>
    <w:basedOn w:val="Normal"/>
    <w:link w:val="HeaderChar"/>
    <w:uiPriority w:val="99"/>
    <w:unhideWhenUsed/>
    <w:rsid w:val="006261AA"/>
    <w:pPr>
      <w:tabs>
        <w:tab w:val="center" w:pos="4513"/>
        <w:tab w:val="right" w:pos="9026"/>
      </w:tabs>
    </w:pPr>
  </w:style>
  <w:style w:type="character" w:customStyle="1" w:styleId="HeaderChar">
    <w:name w:val="Header Char"/>
    <w:basedOn w:val="DefaultParagraphFont"/>
    <w:link w:val="Header"/>
    <w:uiPriority w:val="99"/>
    <w:rsid w:val="006261AA"/>
  </w:style>
  <w:style w:type="paragraph" w:styleId="Footer">
    <w:name w:val="footer"/>
    <w:basedOn w:val="Normal"/>
    <w:link w:val="FooterChar"/>
    <w:uiPriority w:val="99"/>
    <w:unhideWhenUsed/>
    <w:rsid w:val="006261AA"/>
    <w:pPr>
      <w:tabs>
        <w:tab w:val="center" w:pos="4513"/>
        <w:tab w:val="right" w:pos="9026"/>
      </w:tabs>
    </w:pPr>
  </w:style>
  <w:style w:type="character" w:customStyle="1" w:styleId="FooterChar">
    <w:name w:val="Footer Char"/>
    <w:basedOn w:val="DefaultParagraphFont"/>
    <w:link w:val="Footer"/>
    <w:uiPriority w:val="99"/>
    <w:rsid w:val="006261AA"/>
  </w:style>
  <w:style w:type="character" w:customStyle="1" w:styleId="Heading1Char">
    <w:name w:val="Heading 1 Char"/>
    <w:basedOn w:val="DefaultParagraphFont"/>
    <w:link w:val="Heading1"/>
    <w:uiPriority w:val="9"/>
    <w:rsid w:val="006261AA"/>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6261AA"/>
    <w:pPr>
      <w:spacing w:line="259" w:lineRule="auto"/>
      <w:outlineLvl w:val="9"/>
    </w:pPr>
    <w:rPr>
      <w:lang w:val="en-US"/>
    </w:rPr>
  </w:style>
  <w:style w:type="character" w:customStyle="1" w:styleId="Heading2Char">
    <w:name w:val="Heading 2 Char"/>
    <w:basedOn w:val="DefaultParagraphFont"/>
    <w:link w:val="Heading2"/>
    <w:rsid w:val="002C099D"/>
    <w:rPr>
      <w:rFonts w:eastAsiaTheme="majorEastAsia" w:cs="Times New Roman"/>
      <w:b/>
      <w:bCs/>
      <w:sz w:val="24"/>
      <w:szCs w:val="26"/>
    </w:rPr>
  </w:style>
  <w:style w:type="character" w:customStyle="1" w:styleId="Heading3Char">
    <w:name w:val="Heading 3 Char"/>
    <w:basedOn w:val="DefaultParagraphFont"/>
    <w:link w:val="Heading3"/>
    <w:rsid w:val="00270D22"/>
    <w:rPr>
      <w:rFonts w:eastAsiaTheme="majorEastAsia" w:cs="Times New Roman"/>
      <w:bCs/>
      <w:i/>
      <w:szCs w:val="24"/>
      <w:u w:val="single"/>
    </w:rPr>
  </w:style>
  <w:style w:type="character" w:customStyle="1" w:styleId="Heading4Char">
    <w:name w:val="Heading 4 Char"/>
    <w:basedOn w:val="DefaultParagraphFont"/>
    <w:link w:val="Heading4"/>
    <w:rsid w:val="006261AA"/>
    <w:rPr>
      <w:rFonts w:ascii="Times New Roman" w:eastAsiaTheme="majorEastAsia" w:hAnsi="Times New Roman" w:cs="Times New Roman"/>
      <w:bCs/>
      <w:iCs/>
      <w:szCs w:val="24"/>
    </w:rPr>
  </w:style>
  <w:style w:type="character" w:customStyle="1" w:styleId="Heading5Char">
    <w:name w:val="Heading 5 Char"/>
    <w:basedOn w:val="DefaultParagraphFont"/>
    <w:link w:val="Heading5"/>
    <w:rsid w:val="006261AA"/>
    <w:rPr>
      <w:rFonts w:ascii="Times New Roman" w:eastAsiaTheme="majorEastAsia" w:hAnsi="Times New Roman" w:cs="Times New Roman"/>
      <w:szCs w:val="24"/>
    </w:rPr>
  </w:style>
  <w:style w:type="character" w:customStyle="1" w:styleId="Heading6Char">
    <w:name w:val="Heading 6 Char"/>
    <w:basedOn w:val="DefaultParagraphFont"/>
    <w:link w:val="Heading6"/>
    <w:rsid w:val="006261AA"/>
    <w:rPr>
      <w:rFonts w:ascii="Times New Roman" w:eastAsiaTheme="majorEastAsia" w:hAnsi="Times New Roman" w:cs="Times New Roman"/>
      <w:iCs/>
      <w:szCs w:val="24"/>
    </w:rPr>
  </w:style>
  <w:style w:type="character" w:customStyle="1" w:styleId="Heading7Char">
    <w:name w:val="Heading 7 Char"/>
    <w:basedOn w:val="DefaultParagraphFont"/>
    <w:link w:val="Heading7"/>
    <w:semiHidden/>
    <w:rsid w:val="006261AA"/>
    <w:rPr>
      <w:rFonts w:ascii="Times New Roman" w:eastAsiaTheme="majorEastAsia" w:hAnsi="Times New Roman" w:cs="Times New Roman"/>
      <w:iCs/>
      <w:szCs w:val="24"/>
    </w:rPr>
  </w:style>
  <w:style w:type="character" w:customStyle="1" w:styleId="Heading8Char">
    <w:name w:val="Heading 8 Char"/>
    <w:basedOn w:val="DefaultParagraphFont"/>
    <w:link w:val="Heading8"/>
    <w:semiHidden/>
    <w:rsid w:val="006261AA"/>
    <w:rPr>
      <w:rFonts w:ascii="Times New Roman" w:eastAsiaTheme="majorEastAsia" w:hAnsi="Times New Roman" w:cs="Times New Roman"/>
      <w:szCs w:val="20"/>
    </w:rPr>
  </w:style>
  <w:style w:type="character" w:customStyle="1" w:styleId="Heading9Char">
    <w:name w:val="Heading 9 Char"/>
    <w:basedOn w:val="DefaultParagraphFont"/>
    <w:link w:val="Heading9"/>
    <w:semiHidden/>
    <w:rsid w:val="006261AA"/>
    <w:rPr>
      <w:rFonts w:ascii="Times New Roman" w:eastAsiaTheme="majorEastAsia" w:hAnsi="Times New Roman" w:cs="Times New Roman"/>
      <w:iCs/>
      <w:szCs w:val="20"/>
    </w:rPr>
  </w:style>
  <w:style w:type="paragraph" w:customStyle="1" w:styleId="BodyTextNumbered">
    <w:name w:val="Body Text Numbered"/>
    <w:basedOn w:val="Normal"/>
    <w:qFormat/>
    <w:rsid w:val="006261AA"/>
    <w:pPr>
      <w:numPr>
        <w:numId w:val="2"/>
      </w:numPr>
      <w:spacing w:before="100" w:after="240" w:line="276" w:lineRule="auto"/>
      <w:jc w:val="both"/>
    </w:pPr>
    <w:rPr>
      <w:rFonts w:eastAsiaTheme="minorEastAsia" w:cstheme="minorHAnsi"/>
      <w:color w:val="003B5A"/>
      <w:sz w:val="20"/>
      <w:szCs w:val="20"/>
      <w:lang w:val="en-US"/>
    </w:rPr>
  </w:style>
  <w:style w:type="paragraph" w:styleId="TOC1">
    <w:name w:val="toc 1"/>
    <w:basedOn w:val="Normal"/>
    <w:next w:val="Normal"/>
    <w:autoRedefine/>
    <w:uiPriority w:val="39"/>
    <w:unhideWhenUsed/>
    <w:rsid w:val="00624829"/>
    <w:pPr>
      <w:tabs>
        <w:tab w:val="right" w:leader="dot" w:pos="9016"/>
      </w:tabs>
      <w:spacing w:after="100"/>
    </w:pPr>
  </w:style>
  <w:style w:type="character" w:styleId="Hyperlink">
    <w:name w:val="Hyperlink"/>
    <w:basedOn w:val="DefaultParagraphFont"/>
    <w:uiPriority w:val="99"/>
    <w:unhideWhenUsed/>
    <w:rsid w:val="004925EF"/>
    <w:rPr>
      <w:color w:val="0563C1" w:themeColor="hyperlink"/>
      <w:u w:val="single"/>
    </w:rPr>
  </w:style>
  <w:style w:type="paragraph" w:styleId="FootnoteText">
    <w:name w:val="footnote text"/>
    <w:basedOn w:val="Normal"/>
    <w:link w:val="FootnoteTextChar"/>
    <w:uiPriority w:val="99"/>
    <w:unhideWhenUsed/>
    <w:rsid w:val="00156347"/>
    <w:rPr>
      <w:sz w:val="20"/>
      <w:szCs w:val="20"/>
    </w:rPr>
  </w:style>
  <w:style w:type="character" w:customStyle="1" w:styleId="FootnoteTextChar">
    <w:name w:val="Footnote Text Char"/>
    <w:basedOn w:val="DefaultParagraphFont"/>
    <w:link w:val="FootnoteText"/>
    <w:uiPriority w:val="99"/>
    <w:rsid w:val="00156347"/>
    <w:rPr>
      <w:sz w:val="20"/>
      <w:szCs w:val="20"/>
    </w:rPr>
  </w:style>
  <w:style w:type="character" w:styleId="FootnoteReference">
    <w:name w:val="footnote reference"/>
    <w:basedOn w:val="DefaultParagraphFont"/>
    <w:uiPriority w:val="99"/>
    <w:unhideWhenUsed/>
    <w:rsid w:val="00156347"/>
    <w:rPr>
      <w:vertAlign w:val="superscript"/>
    </w:rPr>
  </w:style>
  <w:style w:type="paragraph" w:styleId="TOC2">
    <w:name w:val="toc 2"/>
    <w:basedOn w:val="Normal"/>
    <w:next w:val="Normal"/>
    <w:autoRedefine/>
    <w:uiPriority w:val="39"/>
    <w:unhideWhenUsed/>
    <w:rsid w:val="00156347"/>
    <w:pPr>
      <w:spacing w:after="100"/>
      <w:ind w:left="220"/>
    </w:pPr>
  </w:style>
  <w:style w:type="table" w:customStyle="1" w:styleId="TableGrid1">
    <w:name w:val="Table Grid1"/>
    <w:basedOn w:val="TableNormal"/>
    <w:next w:val="TableGrid"/>
    <w:uiPriority w:val="39"/>
    <w:rsid w:val="001A52F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A5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70D22"/>
    <w:pPr>
      <w:spacing w:after="100"/>
      <w:ind w:left="440"/>
    </w:pPr>
  </w:style>
  <w:style w:type="paragraph" w:styleId="BalloonText">
    <w:name w:val="Balloon Text"/>
    <w:basedOn w:val="Normal"/>
    <w:link w:val="BalloonTextChar"/>
    <w:uiPriority w:val="99"/>
    <w:semiHidden/>
    <w:unhideWhenUsed/>
    <w:rsid w:val="00D355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5FF"/>
    <w:rPr>
      <w:rFonts w:ascii="Segoe UI" w:hAnsi="Segoe UI" w:cs="Segoe UI"/>
      <w:sz w:val="18"/>
      <w:szCs w:val="18"/>
    </w:rPr>
  </w:style>
  <w:style w:type="character" w:styleId="CommentReference">
    <w:name w:val="annotation reference"/>
    <w:basedOn w:val="DefaultParagraphFont"/>
    <w:uiPriority w:val="99"/>
    <w:semiHidden/>
    <w:unhideWhenUsed/>
    <w:rsid w:val="00310A6F"/>
    <w:rPr>
      <w:sz w:val="16"/>
      <w:szCs w:val="16"/>
    </w:rPr>
  </w:style>
  <w:style w:type="paragraph" w:styleId="CommentText">
    <w:name w:val="annotation text"/>
    <w:basedOn w:val="Normal"/>
    <w:link w:val="CommentTextChar"/>
    <w:uiPriority w:val="99"/>
    <w:semiHidden/>
    <w:unhideWhenUsed/>
    <w:rsid w:val="00310A6F"/>
    <w:rPr>
      <w:sz w:val="20"/>
      <w:szCs w:val="20"/>
    </w:rPr>
  </w:style>
  <w:style w:type="character" w:customStyle="1" w:styleId="CommentTextChar">
    <w:name w:val="Comment Text Char"/>
    <w:basedOn w:val="DefaultParagraphFont"/>
    <w:link w:val="CommentText"/>
    <w:uiPriority w:val="99"/>
    <w:semiHidden/>
    <w:rsid w:val="00310A6F"/>
    <w:rPr>
      <w:sz w:val="20"/>
      <w:szCs w:val="20"/>
    </w:rPr>
  </w:style>
  <w:style w:type="paragraph" w:styleId="CommentSubject">
    <w:name w:val="annotation subject"/>
    <w:basedOn w:val="CommentText"/>
    <w:next w:val="CommentText"/>
    <w:link w:val="CommentSubjectChar"/>
    <w:uiPriority w:val="99"/>
    <w:semiHidden/>
    <w:unhideWhenUsed/>
    <w:rsid w:val="00310A6F"/>
    <w:rPr>
      <w:b/>
      <w:bCs/>
    </w:rPr>
  </w:style>
  <w:style w:type="character" w:customStyle="1" w:styleId="CommentSubjectChar">
    <w:name w:val="Comment Subject Char"/>
    <w:basedOn w:val="CommentTextChar"/>
    <w:link w:val="CommentSubject"/>
    <w:uiPriority w:val="99"/>
    <w:semiHidden/>
    <w:rsid w:val="00310A6F"/>
    <w:rPr>
      <w:b/>
      <w:bCs/>
      <w:sz w:val="20"/>
      <w:szCs w:val="20"/>
    </w:rPr>
  </w:style>
  <w:style w:type="paragraph" w:styleId="Revision">
    <w:name w:val="Revision"/>
    <w:hidden/>
    <w:uiPriority w:val="99"/>
    <w:semiHidden/>
    <w:rsid w:val="00FA4A87"/>
    <w:pPr>
      <w:spacing w:after="0" w:line="240" w:lineRule="auto"/>
    </w:pPr>
  </w:style>
  <w:style w:type="character" w:styleId="FollowedHyperlink">
    <w:name w:val="FollowedHyperlink"/>
    <w:basedOn w:val="DefaultParagraphFont"/>
    <w:uiPriority w:val="99"/>
    <w:semiHidden/>
    <w:unhideWhenUsed/>
    <w:rsid w:val="00223A77"/>
    <w:rPr>
      <w:color w:val="954F72" w:themeColor="followedHyperlink"/>
      <w:u w:val="single"/>
    </w:rPr>
  </w:style>
  <w:style w:type="paragraph" w:styleId="NormalWeb">
    <w:name w:val="Normal (Web)"/>
    <w:basedOn w:val="Normal"/>
    <w:uiPriority w:val="99"/>
    <w:semiHidden/>
    <w:unhideWhenUsed/>
    <w:rsid w:val="000C4857"/>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NormalS">
    <w:name w:val="NormalS"/>
    <w:basedOn w:val="Normal"/>
    <w:rsid w:val="00D56AF1"/>
    <w:pPr>
      <w:tabs>
        <w:tab w:val="left" w:pos="425"/>
        <w:tab w:val="left" w:pos="1134"/>
        <w:tab w:val="left" w:pos="1985"/>
        <w:tab w:val="left" w:pos="3119"/>
        <w:tab w:val="left" w:pos="3827"/>
        <w:tab w:val="left" w:pos="4536"/>
        <w:tab w:val="right" w:pos="8789"/>
      </w:tabs>
      <w:jc w:val="both"/>
    </w:pPr>
    <w:rPr>
      <w:rFonts w:ascii="Arial" w:eastAsia="Times New Roman" w:hAnsi="Arial"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29274">
      <w:bodyDiv w:val="1"/>
      <w:marLeft w:val="0"/>
      <w:marRight w:val="0"/>
      <w:marTop w:val="0"/>
      <w:marBottom w:val="0"/>
      <w:divBdr>
        <w:top w:val="none" w:sz="0" w:space="0" w:color="auto"/>
        <w:left w:val="none" w:sz="0" w:space="0" w:color="auto"/>
        <w:bottom w:val="none" w:sz="0" w:space="0" w:color="auto"/>
        <w:right w:val="none" w:sz="0" w:space="0" w:color="auto"/>
      </w:divBdr>
    </w:div>
    <w:div w:id="1147823344">
      <w:bodyDiv w:val="1"/>
      <w:marLeft w:val="0"/>
      <w:marRight w:val="0"/>
      <w:marTop w:val="0"/>
      <w:marBottom w:val="0"/>
      <w:divBdr>
        <w:top w:val="none" w:sz="0" w:space="0" w:color="auto"/>
        <w:left w:val="none" w:sz="0" w:space="0" w:color="auto"/>
        <w:bottom w:val="none" w:sz="0" w:space="0" w:color="auto"/>
        <w:right w:val="none" w:sz="0" w:space="0" w:color="auto"/>
      </w:divBdr>
    </w:div>
    <w:div w:id="1543206800">
      <w:bodyDiv w:val="1"/>
      <w:marLeft w:val="0"/>
      <w:marRight w:val="0"/>
      <w:marTop w:val="0"/>
      <w:marBottom w:val="0"/>
      <w:divBdr>
        <w:top w:val="none" w:sz="0" w:space="0" w:color="auto"/>
        <w:left w:val="none" w:sz="0" w:space="0" w:color="auto"/>
        <w:bottom w:val="none" w:sz="0" w:space="0" w:color="auto"/>
        <w:right w:val="none" w:sz="0" w:space="0" w:color="auto"/>
      </w:divBdr>
    </w:div>
    <w:div w:id="17733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F2476-6351-4B4F-A97E-FABFE647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28</Pages>
  <Words>11377</Words>
  <Characters>64854</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O’Brien</dc:creator>
  <cp:keywords/>
  <dc:description/>
  <cp:lastModifiedBy>Nadra Al Marjeby</cp:lastModifiedBy>
  <cp:revision>19</cp:revision>
  <cp:lastPrinted>2022-09-28T04:20:00Z</cp:lastPrinted>
  <dcterms:created xsi:type="dcterms:W3CDTF">2022-07-04T07:38:00Z</dcterms:created>
  <dcterms:modified xsi:type="dcterms:W3CDTF">2022-09-28T04:22:00Z</dcterms:modified>
</cp:coreProperties>
</file>