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8494C" w14:textId="77777777" w:rsidR="00321FB2" w:rsidRDefault="00321FB2">
      <w:pPr>
        <w:rPr>
          <w:rFonts w:ascii="Arial" w:hAnsi="Arial" w:cs="Arial"/>
          <w:b/>
          <w:sz w:val="22"/>
          <w:szCs w:val="22"/>
          <w:lang w:eastAsia="ja-JP"/>
        </w:rPr>
      </w:pPr>
    </w:p>
    <w:p w14:paraId="63D0D507" w14:textId="77777777" w:rsidR="00F42893" w:rsidRPr="001F77F2" w:rsidRDefault="00F42893" w:rsidP="007037E1">
      <w:pPr>
        <w:pStyle w:val="Body"/>
        <w:spacing w:after="0" w:line="360" w:lineRule="auto"/>
        <w:ind w:hanging="426"/>
        <w:jc w:val="center"/>
        <w:rPr>
          <w:rFonts w:ascii="Arial" w:eastAsiaTheme="minorEastAsia" w:hAnsi="Arial" w:cs="Arial"/>
          <w:b/>
          <w:color w:val="auto"/>
          <w:sz w:val="28"/>
          <w:szCs w:val="28"/>
          <w:bdr w:val="none" w:sz="0" w:space="0" w:color="auto"/>
          <w:lang w:val="en-GB" w:eastAsia="zh-CN"/>
        </w:rPr>
      </w:pPr>
      <w:r>
        <w:rPr>
          <w:rFonts w:ascii="Arial" w:eastAsiaTheme="minorEastAsia" w:hAnsi="Arial" w:cs="Arial"/>
          <w:b/>
          <w:color w:val="auto"/>
          <w:sz w:val="28"/>
          <w:szCs w:val="28"/>
          <w:bdr w:val="none" w:sz="0" w:space="0" w:color="auto"/>
          <w:lang w:val="en-GB" w:eastAsia="zh-CN"/>
        </w:rPr>
        <w:t>Market Rules</w:t>
      </w:r>
      <w:r w:rsidRPr="001F77F2">
        <w:rPr>
          <w:rFonts w:ascii="Arial" w:eastAsiaTheme="minorEastAsia" w:hAnsi="Arial" w:cs="Arial"/>
          <w:b/>
          <w:color w:val="auto"/>
          <w:sz w:val="28"/>
          <w:szCs w:val="28"/>
          <w:bdr w:val="none" w:sz="0" w:space="0" w:color="auto"/>
          <w:lang w:val="en-GB" w:eastAsia="zh-CN"/>
        </w:rPr>
        <w:t xml:space="preserve"> (</w:t>
      </w:r>
      <w:r>
        <w:rPr>
          <w:rFonts w:ascii="Arial" w:eastAsiaTheme="minorEastAsia" w:hAnsi="Arial" w:cs="Arial"/>
          <w:b/>
          <w:color w:val="auto"/>
          <w:sz w:val="28"/>
          <w:szCs w:val="28"/>
          <w:bdr w:val="none" w:sz="0" w:space="0" w:color="auto"/>
          <w:lang w:val="en-GB" w:eastAsia="zh-CN"/>
        </w:rPr>
        <w:t>MKT</w:t>
      </w:r>
      <w:r w:rsidRPr="001F77F2">
        <w:rPr>
          <w:rFonts w:ascii="Arial" w:eastAsiaTheme="minorEastAsia" w:hAnsi="Arial" w:cs="Arial"/>
          <w:b/>
          <w:color w:val="auto"/>
          <w:sz w:val="28"/>
          <w:szCs w:val="28"/>
          <w:bdr w:val="none" w:sz="0" w:space="0" w:color="auto"/>
          <w:lang w:val="en-GB" w:eastAsia="zh-CN"/>
        </w:rPr>
        <w:t>)</w:t>
      </w:r>
    </w:p>
    <w:p w14:paraId="5D896760" w14:textId="0B2ACA33" w:rsidR="00F42893" w:rsidRPr="001F77F2" w:rsidRDefault="00F42893" w:rsidP="007037E1">
      <w:pPr>
        <w:pStyle w:val="Body"/>
        <w:spacing w:after="0" w:line="360" w:lineRule="auto"/>
        <w:ind w:hanging="426"/>
        <w:jc w:val="center"/>
        <w:rPr>
          <w:rFonts w:ascii="Arial" w:eastAsiaTheme="minorEastAsia" w:hAnsi="Arial" w:cs="Arial"/>
          <w:b/>
          <w:color w:val="auto"/>
          <w:sz w:val="28"/>
          <w:szCs w:val="28"/>
          <w:bdr w:val="none" w:sz="0" w:space="0" w:color="auto"/>
          <w:lang w:val="en-GB" w:eastAsia="zh-CN"/>
        </w:rPr>
      </w:pPr>
      <w:r>
        <w:rPr>
          <w:rFonts w:ascii="Arial" w:eastAsiaTheme="minorEastAsia" w:hAnsi="Arial" w:cs="Arial"/>
          <w:b/>
          <w:color w:val="auto"/>
          <w:sz w:val="28"/>
          <w:szCs w:val="28"/>
          <w:bdr w:val="none" w:sz="0" w:space="0" w:color="auto"/>
          <w:lang w:val="en-GB" w:eastAsia="zh-CN"/>
        </w:rPr>
        <w:t>(</w:t>
      </w:r>
      <w:r w:rsidR="00842565">
        <w:rPr>
          <w:rFonts w:ascii="Arial" w:eastAsiaTheme="minorEastAsia" w:hAnsi="Arial" w:cs="Arial"/>
          <w:b/>
          <w:color w:val="auto"/>
          <w:sz w:val="28"/>
          <w:szCs w:val="28"/>
          <w:bdr w:val="none" w:sz="0" w:space="0" w:color="auto"/>
          <w:lang w:val="en-GB" w:eastAsia="zh-CN"/>
        </w:rPr>
        <w:t>VER0</w:t>
      </w:r>
      <w:r w:rsidR="002A216E">
        <w:rPr>
          <w:rFonts w:ascii="Arial" w:eastAsiaTheme="minorEastAsia" w:hAnsi="Arial" w:cs="Arial"/>
          <w:b/>
          <w:color w:val="auto"/>
          <w:sz w:val="28"/>
          <w:szCs w:val="28"/>
          <w:bdr w:val="none" w:sz="0" w:space="0" w:color="auto"/>
          <w:lang w:val="en-GB" w:eastAsia="zh-CN"/>
        </w:rPr>
        <w:t>8</w:t>
      </w:r>
      <w:r w:rsidRPr="001F77F2">
        <w:rPr>
          <w:rFonts w:ascii="Arial" w:eastAsiaTheme="minorEastAsia" w:hAnsi="Arial" w:cs="Arial"/>
          <w:b/>
          <w:color w:val="auto"/>
          <w:sz w:val="28"/>
          <w:szCs w:val="28"/>
          <w:bdr w:val="none" w:sz="0" w:space="0" w:color="auto"/>
          <w:lang w:val="en-GB" w:eastAsia="zh-CN"/>
        </w:rPr>
        <w:t>.</w:t>
      </w:r>
      <w:r w:rsidR="00C6137C">
        <w:rPr>
          <w:rFonts w:ascii="Arial" w:eastAsiaTheme="minorEastAsia" w:hAnsi="Arial" w:cs="Arial"/>
          <w:b/>
          <w:color w:val="auto"/>
          <w:sz w:val="28"/>
          <w:szCs w:val="28"/>
          <w:bdr w:val="none" w:sz="0" w:space="0" w:color="auto"/>
          <w:lang w:val="en-GB" w:eastAsia="zh-CN"/>
        </w:rPr>
        <w:t>18</w:t>
      </w:r>
      <w:r w:rsidR="00D90D96" w:rsidRPr="00D90D96">
        <w:rPr>
          <w:rFonts w:ascii="Arial" w:eastAsiaTheme="minorEastAsia" w:hAnsi="Arial" w:cs="Arial"/>
          <w:b/>
          <w:color w:val="auto"/>
          <w:sz w:val="28"/>
          <w:szCs w:val="28"/>
          <w:bdr w:val="none" w:sz="0" w:space="0" w:color="auto"/>
          <w:lang w:val="en-GB" w:eastAsia="zh-CN"/>
        </w:rPr>
        <w:t>12</w:t>
      </w:r>
      <w:r w:rsidR="00576700" w:rsidRPr="00D90D96">
        <w:rPr>
          <w:rFonts w:ascii="Arial" w:eastAsiaTheme="minorEastAsia" w:hAnsi="Arial" w:cs="Arial"/>
          <w:b/>
          <w:color w:val="auto"/>
          <w:sz w:val="28"/>
          <w:szCs w:val="28"/>
          <w:bdr w:val="none" w:sz="0" w:space="0" w:color="auto"/>
          <w:lang w:val="en-GB" w:eastAsia="zh-CN"/>
        </w:rPr>
        <w:t>23</w:t>
      </w:r>
      <w:r w:rsidRPr="001F77F2">
        <w:rPr>
          <w:rFonts w:ascii="Arial" w:eastAsiaTheme="minorEastAsia" w:hAnsi="Arial" w:cs="Arial"/>
          <w:b/>
          <w:color w:val="auto"/>
          <w:sz w:val="28"/>
          <w:szCs w:val="28"/>
          <w:bdr w:val="none" w:sz="0" w:space="0" w:color="auto"/>
          <w:lang w:val="en-GB" w:eastAsia="zh-CN"/>
        </w:rPr>
        <w:t>)</w:t>
      </w:r>
    </w:p>
    <w:p w14:paraId="7B4FB50C" w14:textId="77777777" w:rsidR="00F42893" w:rsidRPr="001F77F2" w:rsidRDefault="00F42893" w:rsidP="00F42893">
      <w:pPr>
        <w:rPr>
          <w:rFonts w:ascii="Arial" w:hAnsi="Arial" w:cs="Arial"/>
          <w:b/>
          <w:sz w:val="22"/>
          <w:szCs w:val="22"/>
          <w:lang w:eastAsia="ja-JP"/>
        </w:rPr>
      </w:pPr>
    </w:p>
    <w:p w14:paraId="3BE19222" w14:textId="77777777" w:rsidR="00F42893" w:rsidRPr="001F77F2" w:rsidRDefault="00F42893" w:rsidP="00F42893">
      <w:pPr>
        <w:rPr>
          <w:rFonts w:ascii="Arial" w:hAnsi="Arial" w:cs="Arial"/>
          <w:b/>
          <w:sz w:val="22"/>
          <w:szCs w:val="22"/>
          <w:lang w:eastAsia="ja-JP"/>
        </w:rPr>
      </w:pPr>
    </w:p>
    <w:p w14:paraId="57AFF718" w14:textId="77777777" w:rsidR="00F42893" w:rsidRPr="001F77F2" w:rsidRDefault="00F42893" w:rsidP="00F42893">
      <w:pPr>
        <w:rPr>
          <w:rFonts w:ascii="Arial" w:hAnsi="Arial" w:cs="Arial"/>
          <w:b/>
          <w:sz w:val="22"/>
          <w:szCs w:val="22"/>
          <w:lang w:eastAsia="ja-JP"/>
        </w:rPr>
      </w:pPr>
    </w:p>
    <w:p w14:paraId="14A73E45" w14:textId="77777777" w:rsidR="00F42893" w:rsidRPr="001F77F2" w:rsidRDefault="00F42893" w:rsidP="00F42893">
      <w:pPr>
        <w:rPr>
          <w:rFonts w:ascii="Arial" w:hAnsi="Arial" w:cs="Arial"/>
          <w:b/>
          <w:sz w:val="22"/>
          <w:szCs w:val="22"/>
          <w:lang w:eastAsia="ja-JP"/>
        </w:rPr>
      </w:pPr>
    </w:p>
    <w:p w14:paraId="6F0C9BC7" w14:textId="77777777" w:rsidR="00F42893" w:rsidRDefault="00F42893">
      <w:pPr>
        <w:rPr>
          <w:rFonts w:ascii="Arial" w:hAnsi="Arial" w:cs="Arial"/>
          <w:b/>
          <w:sz w:val="22"/>
          <w:szCs w:val="22"/>
          <w:lang w:eastAsia="ja-JP"/>
        </w:rPr>
      </w:pPr>
    </w:p>
    <w:p w14:paraId="51C122C5" w14:textId="77777777" w:rsidR="00F42893" w:rsidRDefault="00F42893">
      <w:pPr>
        <w:rPr>
          <w:rFonts w:ascii="Arial" w:hAnsi="Arial" w:cs="Arial"/>
          <w:b/>
          <w:sz w:val="22"/>
          <w:szCs w:val="22"/>
          <w:lang w:eastAsia="ja-JP"/>
        </w:rPr>
      </w:pPr>
    </w:p>
    <w:p w14:paraId="795FB49B" w14:textId="77777777" w:rsidR="00F42893" w:rsidRDefault="00F42893">
      <w:pPr>
        <w:rPr>
          <w:rFonts w:ascii="Arial" w:hAnsi="Arial" w:cs="Arial"/>
          <w:b/>
          <w:sz w:val="22"/>
          <w:szCs w:val="22"/>
          <w:lang w:eastAsia="ja-JP"/>
        </w:rPr>
      </w:pPr>
    </w:p>
    <w:p w14:paraId="67A0A4BA" w14:textId="77777777" w:rsidR="00F42893" w:rsidRDefault="00F42893">
      <w:pPr>
        <w:rPr>
          <w:rFonts w:ascii="Arial" w:hAnsi="Arial" w:cs="Arial"/>
          <w:b/>
          <w:sz w:val="22"/>
          <w:szCs w:val="22"/>
          <w:lang w:eastAsia="ja-JP"/>
        </w:rPr>
      </w:pPr>
    </w:p>
    <w:p w14:paraId="18DC6EAE" w14:textId="77777777" w:rsidR="00F42893" w:rsidRDefault="00F42893">
      <w:pPr>
        <w:rPr>
          <w:rFonts w:ascii="Arial" w:hAnsi="Arial" w:cs="Arial"/>
          <w:b/>
          <w:sz w:val="22"/>
          <w:szCs w:val="22"/>
          <w:lang w:eastAsia="ja-JP"/>
        </w:rPr>
      </w:pPr>
    </w:p>
    <w:p w14:paraId="5B8ECD65" w14:textId="77777777" w:rsidR="00F42893" w:rsidRPr="00FB2F3D" w:rsidRDefault="00F42893">
      <w:pPr>
        <w:rPr>
          <w:rFonts w:ascii="Arial" w:hAnsi="Arial" w:cs="Arial"/>
          <w:b/>
          <w:sz w:val="22"/>
          <w:szCs w:val="22"/>
          <w:lang w:eastAsia="ja-JP"/>
        </w:rPr>
        <w:sectPr w:rsidR="00F42893" w:rsidRPr="00FB2F3D" w:rsidSect="00013786">
          <w:headerReference w:type="default" r:id="rId8"/>
          <w:footerReference w:type="default" r:id="rId9"/>
          <w:headerReference w:type="first" r:id="rId10"/>
          <w:footerReference w:type="first" r:id="rId11"/>
          <w:pgSz w:w="11909" w:h="16834" w:code="9"/>
          <w:pgMar w:top="1440" w:right="1440" w:bottom="1440" w:left="1440" w:header="567" w:footer="720" w:gutter="0"/>
          <w:cols w:space="720"/>
          <w:vAlign w:val="center"/>
          <w:titlePg/>
          <w:docGrid w:linePitch="360"/>
        </w:sectPr>
      </w:pPr>
    </w:p>
    <w:p w14:paraId="106A80C6" w14:textId="77777777" w:rsidR="002A76C0" w:rsidRPr="00FB2F3D" w:rsidRDefault="002A76C0" w:rsidP="002A76C0">
      <w:pPr>
        <w:pStyle w:val="UK12Block"/>
        <w:jc w:val="center"/>
        <w:rPr>
          <w:rFonts w:ascii="Arial" w:hAnsi="Arial" w:cs="Arial"/>
          <w:b/>
          <w:kern w:val="28"/>
          <w:sz w:val="22"/>
          <w:szCs w:val="22"/>
          <w:lang w:eastAsia="ja-JP"/>
        </w:rPr>
      </w:pPr>
      <w:r w:rsidRPr="00FB2F3D">
        <w:rPr>
          <w:rFonts w:ascii="Arial" w:hAnsi="Arial" w:cs="Arial"/>
          <w:b/>
          <w:sz w:val="22"/>
          <w:szCs w:val="22"/>
          <w:lang w:eastAsia="ja-JP"/>
        </w:rPr>
        <w:lastRenderedPageBreak/>
        <w:t>TABLE OF CONTENTS</w:t>
      </w:r>
    </w:p>
    <w:p w14:paraId="60DAE0AD" w14:textId="77777777" w:rsidR="002A76C0" w:rsidRPr="00396C36" w:rsidRDefault="002A76C0" w:rsidP="00397F1F">
      <w:pPr>
        <w:pStyle w:val="UK12Block"/>
        <w:rPr>
          <w:rFonts w:ascii="Arial" w:hAnsi="Arial" w:cs="Arial"/>
          <w:sz w:val="22"/>
          <w:szCs w:val="22"/>
        </w:rPr>
      </w:pPr>
      <w:r w:rsidRPr="00FB2F3D">
        <w:rPr>
          <w:rFonts w:ascii="Arial" w:hAnsi="Arial" w:cs="Arial"/>
          <w:sz w:val="22"/>
          <w:szCs w:val="22"/>
        </w:rPr>
        <w:t xml:space="preserve">The contents of this </w:t>
      </w:r>
      <w:r w:rsidR="00397F1F" w:rsidRPr="00FB2F3D">
        <w:rPr>
          <w:rFonts w:ascii="Arial" w:hAnsi="Arial" w:cs="Arial"/>
          <w:sz w:val="22"/>
          <w:szCs w:val="22"/>
        </w:rPr>
        <w:t>Rulebook</w:t>
      </w:r>
      <w:r w:rsidRPr="00FB2F3D">
        <w:rPr>
          <w:rFonts w:ascii="Arial" w:hAnsi="Arial" w:cs="Arial"/>
          <w:sz w:val="22"/>
          <w:szCs w:val="22"/>
        </w:rPr>
        <w:t xml:space="preserve"> are divided into the following chapters, sections and </w:t>
      </w:r>
      <w:r w:rsidRPr="00396C36">
        <w:rPr>
          <w:rFonts w:ascii="Arial" w:hAnsi="Arial" w:cs="Arial"/>
          <w:sz w:val="22"/>
          <w:szCs w:val="22"/>
        </w:rPr>
        <w:t>appendices:</w:t>
      </w:r>
    </w:p>
    <w:p w14:paraId="65C6F1B6" w14:textId="2D268D8D" w:rsidR="007921E9" w:rsidRDefault="002A76C0">
      <w:pPr>
        <w:pStyle w:val="TOC1"/>
        <w:rPr>
          <w:rFonts w:asciiTheme="minorHAnsi" w:eastAsiaTheme="minorEastAsia" w:hAnsiTheme="minorHAnsi" w:cstheme="minorBidi"/>
          <w:b w:val="0"/>
          <w:kern w:val="2"/>
          <w:lang w:eastAsia="en-GB"/>
          <w14:ligatures w14:val="standardContextual"/>
        </w:rPr>
      </w:pPr>
      <w:r w:rsidRPr="00986CBA">
        <w:fldChar w:fldCharType="begin"/>
      </w:r>
      <w:r w:rsidRPr="00986CBA">
        <w:instrText xml:space="preserve"> TOC \o "2-2" \h \z \t "Heading 1,1,S2.Heading 1,1" </w:instrText>
      </w:r>
      <w:r w:rsidRPr="00986CBA">
        <w:fldChar w:fldCharType="separate"/>
      </w:r>
      <w:hyperlink w:anchor="_Toc138325641" w:history="1">
        <w:r w:rsidR="007921E9" w:rsidRPr="007A4E7B">
          <w:rPr>
            <w:rStyle w:val="Hyperlink"/>
          </w:rPr>
          <w:t>1.</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INTRODUCTION</w:t>
        </w:r>
        <w:r w:rsidR="007921E9">
          <w:rPr>
            <w:webHidden/>
          </w:rPr>
          <w:tab/>
        </w:r>
        <w:r w:rsidR="007921E9">
          <w:rPr>
            <w:webHidden/>
          </w:rPr>
          <w:fldChar w:fldCharType="begin"/>
        </w:r>
        <w:r w:rsidR="007921E9">
          <w:rPr>
            <w:webHidden/>
          </w:rPr>
          <w:instrText xml:space="preserve"> PAGEREF _Toc138325641 \h </w:instrText>
        </w:r>
        <w:r w:rsidR="007921E9">
          <w:rPr>
            <w:webHidden/>
          </w:rPr>
        </w:r>
        <w:r w:rsidR="007921E9">
          <w:rPr>
            <w:webHidden/>
          </w:rPr>
          <w:fldChar w:fldCharType="separate"/>
        </w:r>
        <w:r w:rsidR="006B2C90">
          <w:rPr>
            <w:webHidden/>
          </w:rPr>
          <w:t>1</w:t>
        </w:r>
        <w:r w:rsidR="007921E9">
          <w:rPr>
            <w:webHidden/>
          </w:rPr>
          <w:fldChar w:fldCharType="end"/>
        </w:r>
      </w:hyperlink>
    </w:p>
    <w:p w14:paraId="1C33C785" w14:textId="1B2D1741"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42" w:history="1">
        <w:r w:rsidR="007921E9" w:rsidRPr="007A4E7B">
          <w:rPr>
            <w:rStyle w:val="Hyperlink"/>
            <w:rFonts w:ascii="Arial" w:hAnsi="Arial" w:cs="Arial"/>
            <w:noProof/>
          </w:rPr>
          <w:t>1.1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Application</w:t>
        </w:r>
        <w:r w:rsidR="007921E9">
          <w:rPr>
            <w:noProof/>
            <w:webHidden/>
          </w:rPr>
          <w:tab/>
        </w:r>
        <w:r w:rsidR="007921E9">
          <w:rPr>
            <w:noProof/>
            <w:webHidden/>
          </w:rPr>
          <w:fldChar w:fldCharType="begin"/>
        </w:r>
        <w:r w:rsidR="007921E9">
          <w:rPr>
            <w:noProof/>
            <w:webHidden/>
          </w:rPr>
          <w:instrText xml:space="preserve"> PAGEREF _Toc138325642 \h </w:instrText>
        </w:r>
        <w:r w:rsidR="007921E9">
          <w:rPr>
            <w:noProof/>
            <w:webHidden/>
          </w:rPr>
        </w:r>
        <w:r w:rsidR="007921E9">
          <w:rPr>
            <w:noProof/>
            <w:webHidden/>
          </w:rPr>
          <w:fldChar w:fldCharType="separate"/>
        </w:r>
        <w:r>
          <w:rPr>
            <w:noProof/>
            <w:webHidden/>
          </w:rPr>
          <w:t>1</w:t>
        </w:r>
        <w:r w:rsidR="007921E9">
          <w:rPr>
            <w:noProof/>
            <w:webHidden/>
          </w:rPr>
          <w:fldChar w:fldCharType="end"/>
        </w:r>
      </w:hyperlink>
    </w:p>
    <w:p w14:paraId="097A06CC" w14:textId="14D76C8F"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43" w:history="1">
        <w:r w:rsidR="007921E9" w:rsidRPr="007A4E7B">
          <w:rPr>
            <w:rStyle w:val="Hyperlink"/>
            <w:rFonts w:ascii="Arial" w:hAnsi="Arial" w:cs="Arial"/>
            <w:noProof/>
          </w:rPr>
          <w:t>1.2</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Overview of the Rulebook</w:t>
        </w:r>
        <w:r w:rsidR="007921E9">
          <w:rPr>
            <w:noProof/>
            <w:webHidden/>
          </w:rPr>
          <w:tab/>
        </w:r>
        <w:r w:rsidR="007921E9">
          <w:rPr>
            <w:noProof/>
            <w:webHidden/>
          </w:rPr>
          <w:fldChar w:fldCharType="begin"/>
        </w:r>
        <w:r w:rsidR="007921E9">
          <w:rPr>
            <w:noProof/>
            <w:webHidden/>
          </w:rPr>
          <w:instrText xml:space="preserve"> PAGEREF _Toc138325643 \h </w:instrText>
        </w:r>
        <w:r w:rsidR="007921E9">
          <w:rPr>
            <w:noProof/>
            <w:webHidden/>
          </w:rPr>
        </w:r>
        <w:r w:rsidR="007921E9">
          <w:rPr>
            <w:noProof/>
            <w:webHidden/>
          </w:rPr>
          <w:fldChar w:fldCharType="separate"/>
        </w:r>
        <w:r>
          <w:rPr>
            <w:noProof/>
            <w:webHidden/>
          </w:rPr>
          <w:t>3</w:t>
        </w:r>
        <w:r w:rsidR="007921E9">
          <w:rPr>
            <w:noProof/>
            <w:webHidden/>
          </w:rPr>
          <w:fldChar w:fldCharType="end"/>
        </w:r>
      </w:hyperlink>
    </w:p>
    <w:p w14:paraId="29636C8B" w14:textId="04A1E0C1"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44" w:history="1">
        <w:r w:rsidR="007921E9" w:rsidRPr="007A4E7B">
          <w:rPr>
            <w:rStyle w:val="Hyperlink"/>
            <w:rFonts w:ascii="Arial" w:hAnsi="Arial" w:cs="Arial"/>
            <w:noProof/>
          </w:rPr>
          <w:t>1.3</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General</w:t>
        </w:r>
        <w:r w:rsidR="007921E9">
          <w:rPr>
            <w:noProof/>
            <w:webHidden/>
          </w:rPr>
          <w:tab/>
        </w:r>
        <w:r w:rsidR="007921E9">
          <w:rPr>
            <w:noProof/>
            <w:webHidden/>
          </w:rPr>
          <w:fldChar w:fldCharType="begin"/>
        </w:r>
        <w:r w:rsidR="007921E9">
          <w:rPr>
            <w:noProof/>
            <w:webHidden/>
          </w:rPr>
          <w:instrText xml:space="preserve"> PAGEREF _Toc138325644 \h </w:instrText>
        </w:r>
        <w:r w:rsidR="007921E9">
          <w:rPr>
            <w:noProof/>
            <w:webHidden/>
          </w:rPr>
        </w:r>
        <w:r w:rsidR="007921E9">
          <w:rPr>
            <w:noProof/>
            <w:webHidden/>
          </w:rPr>
          <w:fldChar w:fldCharType="separate"/>
        </w:r>
        <w:r>
          <w:rPr>
            <w:noProof/>
            <w:webHidden/>
          </w:rPr>
          <w:t>6</w:t>
        </w:r>
        <w:r w:rsidR="007921E9">
          <w:rPr>
            <w:noProof/>
            <w:webHidden/>
          </w:rPr>
          <w:fldChar w:fldCharType="end"/>
        </w:r>
      </w:hyperlink>
    </w:p>
    <w:p w14:paraId="6647DF52" w14:textId="6CE4CF0F"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45" w:history="1">
        <w:r w:rsidR="007921E9" w:rsidRPr="007A4E7B">
          <w:rPr>
            <w:rStyle w:val="Hyperlink"/>
            <w:rFonts w:ascii="Arial" w:hAnsi="Arial" w:cs="Arial"/>
            <w:noProof/>
          </w:rPr>
          <w:t>1.4</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Interpreting the Rulebook</w:t>
        </w:r>
        <w:r w:rsidR="007921E9">
          <w:rPr>
            <w:noProof/>
            <w:webHidden/>
          </w:rPr>
          <w:tab/>
        </w:r>
        <w:r w:rsidR="007921E9">
          <w:rPr>
            <w:noProof/>
            <w:webHidden/>
          </w:rPr>
          <w:fldChar w:fldCharType="begin"/>
        </w:r>
        <w:r w:rsidR="007921E9">
          <w:rPr>
            <w:noProof/>
            <w:webHidden/>
          </w:rPr>
          <w:instrText xml:space="preserve"> PAGEREF _Toc138325645 \h </w:instrText>
        </w:r>
        <w:r w:rsidR="007921E9">
          <w:rPr>
            <w:noProof/>
            <w:webHidden/>
          </w:rPr>
        </w:r>
        <w:r w:rsidR="007921E9">
          <w:rPr>
            <w:noProof/>
            <w:webHidden/>
          </w:rPr>
          <w:fldChar w:fldCharType="separate"/>
        </w:r>
        <w:r>
          <w:rPr>
            <w:noProof/>
            <w:webHidden/>
          </w:rPr>
          <w:t>6</w:t>
        </w:r>
        <w:r w:rsidR="007921E9">
          <w:rPr>
            <w:noProof/>
            <w:webHidden/>
          </w:rPr>
          <w:fldChar w:fldCharType="end"/>
        </w:r>
      </w:hyperlink>
    </w:p>
    <w:p w14:paraId="6E4F29EC" w14:textId="0E4FDBC4"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46" w:history="1">
        <w:r w:rsidR="007921E9" w:rsidRPr="007A4E7B">
          <w:rPr>
            <w:rStyle w:val="Hyperlink"/>
            <w:rFonts w:ascii="Arial" w:hAnsi="Arial" w:cs="Arial"/>
            <w:noProof/>
          </w:rPr>
          <w:t>1.5</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Complaints against the Regulator</w:t>
        </w:r>
        <w:r w:rsidR="007921E9">
          <w:rPr>
            <w:noProof/>
            <w:webHidden/>
          </w:rPr>
          <w:tab/>
        </w:r>
        <w:r w:rsidR="007921E9">
          <w:rPr>
            <w:noProof/>
            <w:webHidden/>
          </w:rPr>
          <w:fldChar w:fldCharType="begin"/>
        </w:r>
        <w:r w:rsidR="007921E9">
          <w:rPr>
            <w:noProof/>
            <w:webHidden/>
          </w:rPr>
          <w:instrText xml:space="preserve"> PAGEREF _Toc138325646 \h </w:instrText>
        </w:r>
        <w:r w:rsidR="007921E9">
          <w:rPr>
            <w:noProof/>
            <w:webHidden/>
          </w:rPr>
        </w:r>
        <w:r w:rsidR="007921E9">
          <w:rPr>
            <w:noProof/>
            <w:webHidden/>
          </w:rPr>
          <w:fldChar w:fldCharType="separate"/>
        </w:r>
        <w:r>
          <w:rPr>
            <w:noProof/>
            <w:webHidden/>
          </w:rPr>
          <w:t>7</w:t>
        </w:r>
        <w:r w:rsidR="007921E9">
          <w:rPr>
            <w:noProof/>
            <w:webHidden/>
          </w:rPr>
          <w:fldChar w:fldCharType="end"/>
        </w:r>
      </w:hyperlink>
    </w:p>
    <w:p w14:paraId="6E083A78" w14:textId="4FC7F302"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647" w:history="1">
        <w:r w:rsidR="007921E9" w:rsidRPr="007A4E7B">
          <w:rPr>
            <w:rStyle w:val="Hyperlink"/>
          </w:rPr>
          <w:t>2.</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THE LISTING RULES</w:t>
        </w:r>
        <w:r w:rsidR="007921E9">
          <w:rPr>
            <w:webHidden/>
          </w:rPr>
          <w:tab/>
        </w:r>
        <w:r w:rsidR="007921E9">
          <w:rPr>
            <w:webHidden/>
          </w:rPr>
          <w:fldChar w:fldCharType="begin"/>
        </w:r>
        <w:r w:rsidR="007921E9">
          <w:rPr>
            <w:webHidden/>
          </w:rPr>
          <w:instrText xml:space="preserve"> PAGEREF _Toc138325647 \h </w:instrText>
        </w:r>
        <w:r w:rsidR="007921E9">
          <w:rPr>
            <w:webHidden/>
          </w:rPr>
        </w:r>
        <w:r w:rsidR="007921E9">
          <w:rPr>
            <w:webHidden/>
          </w:rPr>
          <w:fldChar w:fldCharType="separate"/>
        </w:r>
        <w:r>
          <w:rPr>
            <w:webHidden/>
          </w:rPr>
          <w:t>7</w:t>
        </w:r>
        <w:r w:rsidR="007921E9">
          <w:rPr>
            <w:webHidden/>
          </w:rPr>
          <w:fldChar w:fldCharType="end"/>
        </w:r>
      </w:hyperlink>
    </w:p>
    <w:p w14:paraId="4CB7F19F" w14:textId="75985B50"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48" w:history="1">
        <w:r w:rsidR="007921E9" w:rsidRPr="007A4E7B">
          <w:rPr>
            <w:rStyle w:val="Hyperlink"/>
            <w:rFonts w:ascii="Arial" w:hAnsi="Arial" w:cs="Arial"/>
            <w:noProof/>
          </w:rPr>
          <w:t>2.1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Application</w:t>
        </w:r>
        <w:r w:rsidR="007921E9">
          <w:rPr>
            <w:noProof/>
            <w:webHidden/>
          </w:rPr>
          <w:tab/>
        </w:r>
        <w:r w:rsidR="007921E9">
          <w:rPr>
            <w:noProof/>
            <w:webHidden/>
          </w:rPr>
          <w:fldChar w:fldCharType="begin"/>
        </w:r>
        <w:r w:rsidR="007921E9">
          <w:rPr>
            <w:noProof/>
            <w:webHidden/>
          </w:rPr>
          <w:instrText xml:space="preserve"> PAGEREF _Toc138325648 \h </w:instrText>
        </w:r>
        <w:r w:rsidR="007921E9">
          <w:rPr>
            <w:noProof/>
            <w:webHidden/>
          </w:rPr>
        </w:r>
        <w:r w:rsidR="007921E9">
          <w:rPr>
            <w:noProof/>
            <w:webHidden/>
          </w:rPr>
          <w:fldChar w:fldCharType="separate"/>
        </w:r>
        <w:r>
          <w:rPr>
            <w:noProof/>
            <w:webHidden/>
          </w:rPr>
          <w:t>7</w:t>
        </w:r>
        <w:r w:rsidR="007921E9">
          <w:rPr>
            <w:noProof/>
            <w:webHidden/>
          </w:rPr>
          <w:fldChar w:fldCharType="end"/>
        </w:r>
      </w:hyperlink>
    </w:p>
    <w:p w14:paraId="47BD4D7C" w14:textId="5DF7797B"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49" w:history="1">
        <w:r w:rsidR="007921E9" w:rsidRPr="007A4E7B">
          <w:rPr>
            <w:rStyle w:val="Hyperlink"/>
            <w:rFonts w:ascii="Arial" w:hAnsi="Arial" w:cs="Arial"/>
            <w:noProof/>
          </w:rPr>
          <w:t>2.2</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The Listing Principles</w:t>
        </w:r>
        <w:r w:rsidR="007921E9">
          <w:rPr>
            <w:noProof/>
            <w:webHidden/>
          </w:rPr>
          <w:tab/>
        </w:r>
        <w:r w:rsidR="007921E9">
          <w:rPr>
            <w:noProof/>
            <w:webHidden/>
          </w:rPr>
          <w:fldChar w:fldCharType="begin"/>
        </w:r>
        <w:r w:rsidR="007921E9">
          <w:rPr>
            <w:noProof/>
            <w:webHidden/>
          </w:rPr>
          <w:instrText xml:space="preserve"> PAGEREF _Toc138325649 \h </w:instrText>
        </w:r>
        <w:r w:rsidR="007921E9">
          <w:rPr>
            <w:noProof/>
            <w:webHidden/>
          </w:rPr>
        </w:r>
        <w:r w:rsidR="007921E9">
          <w:rPr>
            <w:noProof/>
            <w:webHidden/>
          </w:rPr>
          <w:fldChar w:fldCharType="separate"/>
        </w:r>
        <w:r>
          <w:rPr>
            <w:noProof/>
            <w:webHidden/>
          </w:rPr>
          <w:t>8</w:t>
        </w:r>
        <w:r w:rsidR="007921E9">
          <w:rPr>
            <w:noProof/>
            <w:webHidden/>
          </w:rPr>
          <w:fldChar w:fldCharType="end"/>
        </w:r>
      </w:hyperlink>
    </w:p>
    <w:p w14:paraId="44525707" w14:textId="5DC2847D"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50" w:history="1">
        <w:r w:rsidR="007921E9" w:rsidRPr="007A4E7B">
          <w:rPr>
            <w:rStyle w:val="Hyperlink"/>
            <w:rFonts w:ascii="Arial" w:hAnsi="Arial" w:cs="Arial"/>
            <w:noProof/>
          </w:rPr>
          <w:t>2.3</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General eligibility requirements</w:t>
        </w:r>
        <w:r w:rsidR="007921E9">
          <w:rPr>
            <w:noProof/>
            <w:webHidden/>
          </w:rPr>
          <w:tab/>
        </w:r>
        <w:r w:rsidR="007921E9">
          <w:rPr>
            <w:noProof/>
            <w:webHidden/>
          </w:rPr>
          <w:fldChar w:fldCharType="begin"/>
        </w:r>
        <w:r w:rsidR="007921E9">
          <w:rPr>
            <w:noProof/>
            <w:webHidden/>
          </w:rPr>
          <w:instrText xml:space="preserve"> PAGEREF _Toc138325650 \h </w:instrText>
        </w:r>
        <w:r w:rsidR="007921E9">
          <w:rPr>
            <w:noProof/>
            <w:webHidden/>
          </w:rPr>
        </w:r>
        <w:r w:rsidR="007921E9">
          <w:rPr>
            <w:noProof/>
            <w:webHidden/>
          </w:rPr>
          <w:fldChar w:fldCharType="separate"/>
        </w:r>
        <w:r>
          <w:rPr>
            <w:noProof/>
            <w:webHidden/>
          </w:rPr>
          <w:t>9</w:t>
        </w:r>
        <w:r w:rsidR="007921E9">
          <w:rPr>
            <w:noProof/>
            <w:webHidden/>
          </w:rPr>
          <w:fldChar w:fldCharType="end"/>
        </w:r>
      </w:hyperlink>
    </w:p>
    <w:p w14:paraId="25E17E3D" w14:textId="5AAD2FFD"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51" w:history="1">
        <w:r w:rsidR="007921E9" w:rsidRPr="007A4E7B">
          <w:rPr>
            <w:rStyle w:val="Hyperlink"/>
            <w:rFonts w:ascii="Arial" w:hAnsi="Arial" w:cs="Arial"/>
            <w:noProof/>
          </w:rPr>
          <w:t>2.4</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Application for admission to the List</w:t>
        </w:r>
        <w:r w:rsidR="007921E9">
          <w:rPr>
            <w:noProof/>
            <w:webHidden/>
          </w:rPr>
          <w:tab/>
        </w:r>
        <w:r w:rsidR="007921E9">
          <w:rPr>
            <w:noProof/>
            <w:webHidden/>
          </w:rPr>
          <w:fldChar w:fldCharType="begin"/>
        </w:r>
        <w:r w:rsidR="007921E9">
          <w:rPr>
            <w:noProof/>
            <w:webHidden/>
          </w:rPr>
          <w:instrText xml:space="preserve"> PAGEREF _Toc138325651 \h </w:instrText>
        </w:r>
        <w:r w:rsidR="007921E9">
          <w:rPr>
            <w:noProof/>
            <w:webHidden/>
          </w:rPr>
        </w:r>
        <w:r w:rsidR="007921E9">
          <w:rPr>
            <w:noProof/>
            <w:webHidden/>
          </w:rPr>
          <w:fldChar w:fldCharType="separate"/>
        </w:r>
        <w:r>
          <w:rPr>
            <w:noProof/>
            <w:webHidden/>
          </w:rPr>
          <w:t>17</w:t>
        </w:r>
        <w:r w:rsidR="007921E9">
          <w:rPr>
            <w:noProof/>
            <w:webHidden/>
          </w:rPr>
          <w:fldChar w:fldCharType="end"/>
        </w:r>
      </w:hyperlink>
    </w:p>
    <w:p w14:paraId="56B4A3B4" w14:textId="2849E69C"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52" w:history="1">
        <w:r w:rsidR="007921E9" w:rsidRPr="007A4E7B">
          <w:rPr>
            <w:rStyle w:val="Hyperlink"/>
            <w:rFonts w:ascii="Arial" w:hAnsi="Arial" w:cs="Arial"/>
            <w:noProof/>
          </w:rPr>
          <w:t>2.5</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Determination of applications and references</w:t>
        </w:r>
        <w:r w:rsidR="007921E9">
          <w:rPr>
            <w:noProof/>
            <w:webHidden/>
          </w:rPr>
          <w:tab/>
        </w:r>
        <w:r w:rsidR="007921E9">
          <w:rPr>
            <w:noProof/>
            <w:webHidden/>
          </w:rPr>
          <w:fldChar w:fldCharType="begin"/>
        </w:r>
        <w:r w:rsidR="007921E9">
          <w:rPr>
            <w:noProof/>
            <w:webHidden/>
          </w:rPr>
          <w:instrText xml:space="preserve"> PAGEREF _Toc138325652 \h </w:instrText>
        </w:r>
        <w:r w:rsidR="007921E9">
          <w:rPr>
            <w:noProof/>
            <w:webHidden/>
          </w:rPr>
        </w:r>
        <w:r w:rsidR="007921E9">
          <w:rPr>
            <w:noProof/>
            <w:webHidden/>
          </w:rPr>
          <w:fldChar w:fldCharType="separate"/>
        </w:r>
        <w:r>
          <w:rPr>
            <w:noProof/>
            <w:webHidden/>
          </w:rPr>
          <w:t>20</w:t>
        </w:r>
        <w:r w:rsidR="007921E9">
          <w:rPr>
            <w:noProof/>
            <w:webHidden/>
          </w:rPr>
          <w:fldChar w:fldCharType="end"/>
        </w:r>
      </w:hyperlink>
    </w:p>
    <w:p w14:paraId="6AF91D69" w14:textId="1D8ED6C1"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53" w:history="1">
        <w:r w:rsidR="007921E9" w:rsidRPr="007A4E7B">
          <w:rPr>
            <w:rStyle w:val="Hyperlink"/>
            <w:rFonts w:ascii="Arial" w:hAnsi="Arial" w:cs="Arial"/>
            <w:noProof/>
          </w:rPr>
          <w:t>2.6</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Suspending, delisting and restoring a listing</w:t>
        </w:r>
        <w:r w:rsidR="007921E9">
          <w:rPr>
            <w:noProof/>
            <w:webHidden/>
          </w:rPr>
          <w:tab/>
        </w:r>
        <w:r w:rsidR="007921E9">
          <w:rPr>
            <w:noProof/>
            <w:webHidden/>
          </w:rPr>
          <w:fldChar w:fldCharType="begin"/>
        </w:r>
        <w:r w:rsidR="007921E9">
          <w:rPr>
            <w:noProof/>
            <w:webHidden/>
          </w:rPr>
          <w:instrText xml:space="preserve"> PAGEREF _Toc138325653 \h </w:instrText>
        </w:r>
        <w:r w:rsidR="007921E9">
          <w:rPr>
            <w:noProof/>
            <w:webHidden/>
          </w:rPr>
        </w:r>
        <w:r w:rsidR="007921E9">
          <w:rPr>
            <w:noProof/>
            <w:webHidden/>
          </w:rPr>
          <w:fldChar w:fldCharType="separate"/>
        </w:r>
        <w:r>
          <w:rPr>
            <w:noProof/>
            <w:webHidden/>
          </w:rPr>
          <w:t>20</w:t>
        </w:r>
        <w:r w:rsidR="007921E9">
          <w:rPr>
            <w:noProof/>
            <w:webHidden/>
          </w:rPr>
          <w:fldChar w:fldCharType="end"/>
        </w:r>
      </w:hyperlink>
    </w:p>
    <w:p w14:paraId="71EA29FF" w14:textId="7C5060E2"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54" w:history="1">
        <w:r w:rsidR="007921E9" w:rsidRPr="007A4E7B">
          <w:rPr>
            <w:rStyle w:val="Hyperlink"/>
            <w:rFonts w:ascii="Arial" w:hAnsi="Arial" w:cs="Arial"/>
            <w:noProof/>
          </w:rPr>
          <w:t>2.7</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Continuing obligations</w:t>
        </w:r>
        <w:r w:rsidR="007921E9">
          <w:rPr>
            <w:noProof/>
            <w:webHidden/>
          </w:rPr>
          <w:tab/>
        </w:r>
        <w:r w:rsidR="007921E9">
          <w:rPr>
            <w:noProof/>
            <w:webHidden/>
          </w:rPr>
          <w:fldChar w:fldCharType="begin"/>
        </w:r>
        <w:r w:rsidR="007921E9">
          <w:rPr>
            <w:noProof/>
            <w:webHidden/>
          </w:rPr>
          <w:instrText xml:space="preserve"> PAGEREF _Toc138325654 \h </w:instrText>
        </w:r>
        <w:r w:rsidR="007921E9">
          <w:rPr>
            <w:noProof/>
            <w:webHidden/>
          </w:rPr>
        </w:r>
        <w:r w:rsidR="007921E9">
          <w:rPr>
            <w:noProof/>
            <w:webHidden/>
          </w:rPr>
          <w:fldChar w:fldCharType="separate"/>
        </w:r>
        <w:r>
          <w:rPr>
            <w:noProof/>
            <w:webHidden/>
          </w:rPr>
          <w:t>22</w:t>
        </w:r>
        <w:r w:rsidR="007921E9">
          <w:rPr>
            <w:noProof/>
            <w:webHidden/>
          </w:rPr>
          <w:fldChar w:fldCharType="end"/>
        </w:r>
      </w:hyperlink>
    </w:p>
    <w:p w14:paraId="3F5A085C" w14:textId="013F9166"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55" w:history="1">
        <w:r w:rsidR="007921E9" w:rsidRPr="007A4E7B">
          <w:rPr>
            <w:rStyle w:val="Hyperlink"/>
            <w:rFonts w:ascii="Arial" w:hAnsi="Arial" w:cs="Arial"/>
            <w:noProof/>
          </w:rPr>
          <w:t>2.8</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Provision of information to the Regulator</w:t>
        </w:r>
        <w:r w:rsidR="007921E9">
          <w:rPr>
            <w:noProof/>
            <w:webHidden/>
          </w:rPr>
          <w:tab/>
        </w:r>
        <w:r w:rsidR="007921E9">
          <w:rPr>
            <w:noProof/>
            <w:webHidden/>
          </w:rPr>
          <w:fldChar w:fldCharType="begin"/>
        </w:r>
        <w:r w:rsidR="007921E9">
          <w:rPr>
            <w:noProof/>
            <w:webHidden/>
          </w:rPr>
          <w:instrText xml:space="preserve"> PAGEREF _Toc138325655 \h </w:instrText>
        </w:r>
        <w:r w:rsidR="007921E9">
          <w:rPr>
            <w:noProof/>
            <w:webHidden/>
          </w:rPr>
        </w:r>
        <w:r w:rsidR="007921E9">
          <w:rPr>
            <w:noProof/>
            <w:webHidden/>
          </w:rPr>
          <w:fldChar w:fldCharType="separate"/>
        </w:r>
        <w:r>
          <w:rPr>
            <w:noProof/>
            <w:webHidden/>
          </w:rPr>
          <w:t>26</w:t>
        </w:r>
        <w:r w:rsidR="007921E9">
          <w:rPr>
            <w:noProof/>
            <w:webHidden/>
          </w:rPr>
          <w:fldChar w:fldCharType="end"/>
        </w:r>
      </w:hyperlink>
    </w:p>
    <w:p w14:paraId="7BFF7A79" w14:textId="331CBE6B"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656" w:history="1">
        <w:r w:rsidR="007921E9" w:rsidRPr="007A4E7B">
          <w:rPr>
            <w:rStyle w:val="Hyperlink"/>
          </w:rPr>
          <w:t>3.</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LISTED FUNDS</w:t>
        </w:r>
        <w:r w:rsidR="007921E9">
          <w:rPr>
            <w:webHidden/>
          </w:rPr>
          <w:tab/>
        </w:r>
        <w:r w:rsidR="007921E9">
          <w:rPr>
            <w:webHidden/>
          </w:rPr>
          <w:fldChar w:fldCharType="begin"/>
        </w:r>
        <w:r w:rsidR="007921E9">
          <w:rPr>
            <w:webHidden/>
          </w:rPr>
          <w:instrText xml:space="preserve"> PAGEREF _Toc138325656 \h </w:instrText>
        </w:r>
        <w:r w:rsidR="007921E9">
          <w:rPr>
            <w:webHidden/>
          </w:rPr>
        </w:r>
        <w:r w:rsidR="007921E9">
          <w:rPr>
            <w:webHidden/>
          </w:rPr>
          <w:fldChar w:fldCharType="separate"/>
        </w:r>
        <w:r>
          <w:rPr>
            <w:webHidden/>
          </w:rPr>
          <w:t>27</w:t>
        </w:r>
        <w:r w:rsidR="007921E9">
          <w:rPr>
            <w:webHidden/>
          </w:rPr>
          <w:fldChar w:fldCharType="end"/>
        </w:r>
      </w:hyperlink>
    </w:p>
    <w:p w14:paraId="130A77FC" w14:textId="5779FD46"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57" w:history="1">
        <w:r w:rsidR="007921E9" w:rsidRPr="007A4E7B">
          <w:rPr>
            <w:rStyle w:val="Hyperlink"/>
            <w:rFonts w:ascii="Arial" w:hAnsi="Arial" w:cs="Arial"/>
            <w:noProof/>
          </w:rPr>
          <w:t>3.1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Application</w:t>
        </w:r>
        <w:r w:rsidR="007921E9">
          <w:rPr>
            <w:noProof/>
            <w:webHidden/>
          </w:rPr>
          <w:tab/>
        </w:r>
        <w:r w:rsidR="007921E9">
          <w:rPr>
            <w:noProof/>
            <w:webHidden/>
          </w:rPr>
          <w:fldChar w:fldCharType="begin"/>
        </w:r>
        <w:r w:rsidR="007921E9">
          <w:rPr>
            <w:noProof/>
            <w:webHidden/>
          </w:rPr>
          <w:instrText xml:space="preserve"> PAGEREF _Toc138325657 \h </w:instrText>
        </w:r>
        <w:r w:rsidR="007921E9">
          <w:rPr>
            <w:noProof/>
            <w:webHidden/>
          </w:rPr>
        </w:r>
        <w:r w:rsidR="007921E9">
          <w:rPr>
            <w:noProof/>
            <w:webHidden/>
          </w:rPr>
          <w:fldChar w:fldCharType="separate"/>
        </w:r>
        <w:r>
          <w:rPr>
            <w:noProof/>
            <w:webHidden/>
          </w:rPr>
          <w:t>27</w:t>
        </w:r>
        <w:r w:rsidR="007921E9">
          <w:rPr>
            <w:noProof/>
            <w:webHidden/>
          </w:rPr>
          <w:fldChar w:fldCharType="end"/>
        </w:r>
      </w:hyperlink>
    </w:p>
    <w:p w14:paraId="13A9B420" w14:textId="6DD548AA"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58" w:history="1">
        <w:r w:rsidR="007921E9" w:rsidRPr="007A4E7B">
          <w:rPr>
            <w:rStyle w:val="Hyperlink"/>
            <w:rFonts w:ascii="Arial" w:hAnsi="Arial" w:cs="Arial"/>
            <w:noProof/>
          </w:rPr>
          <w:t>3.2</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General requirements</w:t>
        </w:r>
        <w:r w:rsidR="007921E9">
          <w:rPr>
            <w:noProof/>
            <w:webHidden/>
          </w:rPr>
          <w:tab/>
        </w:r>
        <w:r w:rsidR="007921E9">
          <w:rPr>
            <w:noProof/>
            <w:webHidden/>
          </w:rPr>
          <w:fldChar w:fldCharType="begin"/>
        </w:r>
        <w:r w:rsidR="007921E9">
          <w:rPr>
            <w:noProof/>
            <w:webHidden/>
          </w:rPr>
          <w:instrText xml:space="preserve"> PAGEREF _Toc138325658 \h </w:instrText>
        </w:r>
        <w:r w:rsidR="007921E9">
          <w:rPr>
            <w:noProof/>
            <w:webHidden/>
          </w:rPr>
        </w:r>
        <w:r w:rsidR="007921E9">
          <w:rPr>
            <w:noProof/>
            <w:webHidden/>
          </w:rPr>
          <w:fldChar w:fldCharType="separate"/>
        </w:r>
        <w:r>
          <w:rPr>
            <w:noProof/>
            <w:webHidden/>
          </w:rPr>
          <w:t>27</w:t>
        </w:r>
        <w:r w:rsidR="007921E9">
          <w:rPr>
            <w:noProof/>
            <w:webHidden/>
          </w:rPr>
          <w:fldChar w:fldCharType="end"/>
        </w:r>
      </w:hyperlink>
    </w:p>
    <w:p w14:paraId="706FDE3A" w14:textId="1504D70E"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59" w:history="1">
        <w:r w:rsidR="007921E9" w:rsidRPr="007A4E7B">
          <w:rPr>
            <w:rStyle w:val="Hyperlink"/>
            <w:rFonts w:ascii="Arial" w:hAnsi="Arial" w:cs="Arial"/>
            <w:noProof/>
          </w:rPr>
          <w:t>3.3</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Prospectus requirements relating to a Listed Fund</w:t>
        </w:r>
        <w:r w:rsidR="007921E9">
          <w:rPr>
            <w:noProof/>
            <w:webHidden/>
          </w:rPr>
          <w:tab/>
        </w:r>
        <w:r w:rsidR="007921E9">
          <w:rPr>
            <w:noProof/>
            <w:webHidden/>
          </w:rPr>
          <w:fldChar w:fldCharType="begin"/>
        </w:r>
        <w:r w:rsidR="007921E9">
          <w:rPr>
            <w:noProof/>
            <w:webHidden/>
          </w:rPr>
          <w:instrText xml:space="preserve"> PAGEREF _Toc138325659 \h </w:instrText>
        </w:r>
        <w:r w:rsidR="007921E9">
          <w:rPr>
            <w:noProof/>
            <w:webHidden/>
          </w:rPr>
        </w:r>
        <w:r w:rsidR="007921E9">
          <w:rPr>
            <w:noProof/>
            <w:webHidden/>
          </w:rPr>
          <w:fldChar w:fldCharType="separate"/>
        </w:r>
        <w:r>
          <w:rPr>
            <w:noProof/>
            <w:webHidden/>
          </w:rPr>
          <w:t>27</w:t>
        </w:r>
        <w:r w:rsidR="007921E9">
          <w:rPr>
            <w:noProof/>
            <w:webHidden/>
          </w:rPr>
          <w:fldChar w:fldCharType="end"/>
        </w:r>
      </w:hyperlink>
    </w:p>
    <w:p w14:paraId="0EAD5687" w14:textId="1D5DFBFB"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60" w:history="1">
        <w:r w:rsidR="007921E9" w:rsidRPr="007A4E7B">
          <w:rPr>
            <w:rStyle w:val="Hyperlink"/>
            <w:rFonts w:ascii="Arial" w:hAnsi="Arial" w:cs="Arial"/>
            <w:noProof/>
          </w:rPr>
          <w:t>3.4</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Governance requirements relating to a Listed Fund</w:t>
        </w:r>
        <w:r w:rsidR="007921E9">
          <w:rPr>
            <w:noProof/>
            <w:webHidden/>
          </w:rPr>
          <w:tab/>
        </w:r>
        <w:r w:rsidR="007921E9">
          <w:rPr>
            <w:noProof/>
            <w:webHidden/>
          </w:rPr>
          <w:fldChar w:fldCharType="begin"/>
        </w:r>
        <w:r w:rsidR="007921E9">
          <w:rPr>
            <w:noProof/>
            <w:webHidden/>
          </w:rPr>
          <w:instrText xml:space="preserve"> PAGEREF _Toc138325660 \h </w:instrText>
        </w:r>
        <w:r w:rsidR="007921E9">
          <w:rPr>
            <w:noProof/>
            <w:webHidden/>
          </w:rPr>
        </w:r>
        <w:r w:rsidR="007921E9">
          <w:rPr>
            <w:noProof/>
            <w:webHidden/>
          </w:rPr>
          <w:fldChar w:fldCharType="separate"/>
        </w:r>
        <w:r>
          <w:rPr>
            <w:noProof/>
            <w:webHidden/>
          </w:rPr>
          <w:t>31</w:t>
        </w:r>
        <w:r w:rsidR="007921E9">
          <w:rPr>
            <w:noProof/>
            <w:webHidden/>
          </w:rPr>
          <w:fldChar w:fldCharType="end"/>
        </w:r>
      </w:hyperlink>
    </w:p>
    <w:p w14:paraId="2ADD2B79" w14:textId="2B18800D"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61" w:history="1">
        <w:r w:rsidR="007921E9" w:rsidRPr="007A4E7B">
          <w:rPr>
            <w:rStyle w:val="Hyperlink"/>
            <w:rFonts w:ascii="Arial" w:hAnsi="Arial" w:cs="Arial"/>
            <w:noProof/>
          </w:rPr>
          <w:t>3.5</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Disclosures relating to a Listed Fund</w:t>
        </w:r>
        <w:r w:rsidR="007921E9">
          <w:rPr>
            <w:noProof/>
            <w:webHidden/>
          </w:rPr>
          <w:tab/>
        </w:r>
        <w:r w:rsidR="007921E9">
          <w:rPr>
            <w:noProof/>
            <w:webHidden/>
          </w:rPr>
          <w:fldChar w:fldCharType="begin"/>
        </w:r>
        <w:r w:rsidR="007921E9">
          <w:rPr>
            <w:noProof/>
            <w:webHidden/>
          </w:rPr>
          <w:instrText xml:space="preserve"> PAGEREF _Toc138325661 \h </w:instrText>
        </w:r>
        <w:r w:rsidR="007921E9">
          <w:rPr>
            <w:noProof/>
            <w:webHidden/>
          </w:rPr>
        </w:r>
        <w:r w:rsidR="007921E9">
          <w:rPr>
            <w:noProof/>
            <w:webHidden/>
          </w:rPr>
          <w:fldChar w:fldCharType="separate"/>
        </w:r>
        <w:r>
          <w:rPr>
            <w:noProof/>
            <w:webHidden/>
          </w:rPr>
          <w:t>32</w:t>
        </w:r>
        <w:r w:rsidR="007921E9">
          <w:rPr>
            <w:noProof/>
            <w:webHidden/>
          </w:rPr>
          <w:fldChar w:fldCharType="end"/>
        </w:r>
      </w:hyperlink>
    </w:p>
    <w:p w14:paraId="01D97DCE" w14:textId="0AAA2E7A"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62" w:history="1">
        <w:r w:rsidR="007921E9" w:rsidRPr="007A4E7B">
          <w:rPr>
            <w:rStyle w:val="Hyperlink"/>
            <w:rFonts w:ascii="Arial" w:hAnsi="Arial" w:cs="Arial"/>
            <w:noProof/>
          </w:rPr>
          <w:t>3.6</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Disclosure of interests by Connected Persons of Listed Funds</w:t>
        </w:r>
        <w:r w:rsidR="007921E9">
          <w:rPr>
            <w:noProof/>
            <w:webHidden/>
          </w:rPr>
          <w:tab/>
        </w:r>
        <w:r w:rsidR="007921E9">
          <w:rPr>
            <w:noProof/>
            <w:webHidden/>
          </w:rPr>
          <w:fldChar w:fldCharType="begin"/>
        </w:r>
        <w:r w:rsidR="007921E9">
          <w:rPr>
            <w:noProof/>
            <w:webHidden/>
          </w:rPr>
          <w:instrText xml:space="preserve"> PAGEREF _Toc138325662 \h </w:instrText>
        </w:r>
        <w:r w:rsidR="007921E9">
          <w:rPr>
            <w:noProof/>
            <w:webHidden/>
          </w:rPr>
        </w:r>
        <w:r w:rsidR="007921E9">
          <w:rPr>
            <w:noProof/>
            <w:webHidden/>
          </w:rPr>
          <w:fldChar w:fldCharType="separate"/>
        </w:r>
        <w:r>
          <w:rPr>
            <w:noProof/>
            <w:webHidden/>
          </w:rPr>
          <w:t>32</w:t>
        </w:r>
        <w:r w:rsidR="007921E9">
          <w:rPr>
            <w:noProof/>
            <w:webHidden/>
          </w:rPr>
          <w:fldChar w:fldCharType="end"/>
        </w:r>
      </w:hyperlink>
    </w:p>
    <w:p w14:paraId="0FBBE7D5" w14:textId="63EC74A9"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63" w:history="1">
        <w:r w:rsidR="007921E9" w:rsidRPr="007A4E7B">
          <w:rPr>
            <w:rStyle w:val="Hyperlink"/>
            <w:rFonts w:ascii="Arial" w:hAnsi="Arial" w:cs="Arial"/>
            <w:noProof/>
          </w:rPr>
          <w:t>3.7</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Disclosure of notifiable interests</w:t>
        </w:r>
        <w:r w:rsidR="007921E9">
          <w:rPr>
            <w:noProof/>
            <w:webHidden/>
          </w:rPr>
          <w:tab/>
        </w:r>
        <w:r w:rsidR="007921E9">
          <w:rPr>
            <w:noProof/>
            <w:webHidden/>
          </w:rPr>
          <w:fldChar w:fldCharType="begin"/>
        </w:r>
        <w:r w:rsidR="007921E9">
          <w:rPr>
            <w:noProof/>
            <w:webHidden/>
          </w:rPr>
          <w:instrText xml:space="preserve"> PAGEREF _Toc138325663 \h </w:instrText>
        </w:r>
        <w:r w:rsidR="007921E9">
          <w:rPr>
            <w:noProof/>
            <w:webHidden/>
          </w:rPr>
        </w:r>
        <w:r w:rsidR="007921E9">
          <w:rPr>
            <w:noProof/>
            <w:webHidden/>
          </w:rPr>
          <w:fldChar w:fldCharType="separate"/>
        </w:r>
        <w:r>
          <w:rPr>
            <w:noProof/>
            <w:webHidden/>
          </w:rPr>
          <w:t>33</w:t>
        </w:r>
        <w:r w:rsidR="007921E9">
          <w:rPr>
            <w:noProof/>
            <w:webHidden/>
          </w:rPr>
          <w:fldChar w:fldCharType="end"/>
        </w:r>
      </w:hyperlink>
    </w:p>
    <w:p w14:paraId="36B99F5D" w14:textId="3623AE81"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64" w:history="1">
        <w:r w:rsidR="007921E9" w:rsidRPr="007A4E7B">
          <w:rPr>
            <w:rStyle w:val="Hyperlink"/>
            <w:rFonts w:ascii="Arial" w:hAnsi="Arial" w:cs="Arial"/>
            <w:noProof/>
          </w:rPr>
          <w:t>3.8</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Other matters that require Disclosure</w:t>
        </w:r>
        <w:r w:rsidR="007921E9">
          <w:rPr>
            <w:noProof/>
            <w:webHidden/>
          </w:rPr>
          <w:tab/>
        </w:r>
        <w:r w:rsidR="007921E9">
          <w:rPr>
            <w:noProof/>
            <w:webHidden/>
          </w:rPr>
          <w:fldChar w:fldCharType="begin"/>
        </w:r>
        <w:r w:rsidR="007921E9">
          <w:rPr>
            <w:noProof/>
            <w:webHidden/>
          </w:rPr>
          <w:instrText xml:space="preserve"> PAGEREF _Toc138325664 \h </w:instrText>
        </w:r>
        <w:r w:rsidR="007921E9">
          <w:rPr>
            <w:noProof/>
            <w:webHidden/>
          </w:rPr>
        </w:r>
        <w:r w:rsidR="007921E9">
          <w:rPr>
            <w:noProof/>
            <w:webHidden/>
          </w:rPr>
          <w:fldChar w:fldCharType="separate"/>
        </w:r>
        <w:r>
          <w:rPr>
            <w:noProof/>
            <w:webHidden/>
          </w:rPr>
          <w:t>34</w:t>
        </w:r>
        <w:r w:rsidR="007921E9">
          <w:rPr>
            <w:noProof/>
            <w:webHidden/>
          </w:rPr>
          <w:fldChar w:fldCharType="end"/>
        </w:r>
      </w:hyperlink>
    </w:p>
    <w:p w14:paraId="0A237A1F" w14:textId="649F9322"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65" w:history="1">
        <w:r w:rsidR="007921E9" w:rsidRPr="007A4E7B">
          <w:rPr>
            <w:rStyle w:val="Hyperlink"/>
            <w:rFonts w:ascii="Arial" w:hAnsi="Arial" w:cs="Arial"/>
            <w:noProof/>
          </w:rPr>
          <w:t>3.9</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Accounting periods and financial reports of Listed Funds</w:t>
        </w:r>
        <w:r w:rsidR="007921E9">
          <w:rPr>
            <w:noProof/>
            <w:webHidden/>
          </w:rPr>
          <w:tab/>
        </w:r>
        <w:r w:rsidR="007921E9">
          <w:rPr>
            <w:noProof/>
            <w:webHidden/>
          </w:rPr>
          <w:fldChar w:fldCharType="begin"/>
        </w:r>
        <w:r w:rsidR="007921E9">
          <w:rPr>
            <w:noProof/>
            <w:webHidden/>
          </w:rPr>
          <w:instrText xml:space="preserve"> PAGEREF _Toc138325665 \h </w:instrText>
        </w:r>
        <w:r w:rsidR="007921E9">
          <w:rPr>
            <w:noProof/>
            <w:webHidden/>
          </w:rPr>
        </w:r>
        <w:r w:rsidR="007921E9">
          <w:rPr>
            <w:noProof/>
            <w:webHidden/>
          </w:rPr>
          <w:fldChar w:fldCharType="separate"/>
        </w:r>
        <w:r>
          <w:rPr>
            <w:noProof/>
            <w:webHidden/>
          </w:rPr>
          <w:t>34</w:t>
        </w:r>
        <w:r w:rsidR="007921E9">
          <w:rPr>
            <w:noProof/>
            <w:webHidden/>
          </w:rPr>
          <w:fldChar w:fldCharType="end"/>
        </w:r>
      </w:hyperlink>
    </w:p>
    <w:p w14:paraId="0E10A7BE" w14:textId="1B44BCB9"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66" w:history="1">
        <w:r w:rsidR="007921E9" w:rsidRPr="007A4E7B">
          <w:rPr>
            <w:rStyle w:val="Hyperlink"/>
            <w:rFonts w:ascii="Arial" w:hAnsi="Arial" w:cs="Arial"/>
            <w:noProof/>
          </w:rPr>
          <w:t>3.10</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Manner of Disclosure</w:t>
        </w:r>
        <w:r w:rsidR="007921E9">
          <w:rPr>
            <w:noProof/>
            <w:webHidden/>
          </w:rPr>
          <w:tab/>
        </w:r>
        <w:r w:rsidR="007921E9">
          <w:rPr>
            <w:noProof/>
            <w:webHidden/>
          </w:rPr>
          <w:fldChar w:fldCharType="begin"/>
        </w:r>
        <w:r w:rsidR="007921E9">
          <w:rPr>
            <w:noProof/>
            <w:webHidden/>
          </w:rPr>
          <w:instrText xml:space="preserve"> PAGEREF _Toc138325666 \h </w:instrText>
        </w:r>
        <w:r w:rsidR="007921E9">
          <w:rPr>
            <w:noProof/>
            <w:webHidden/>
          </w:rPr>
        </w:r>
        <w:r w:rsidR="007921E9">
          <w:rPr>
            <w:noProof/>
            <w:webHidden/>
          </w:rPr>
          <w:fldChar w:fldCharType="separate"/>
        </w:r>
        <w:r>
          <w:rPr>
            <w:noProof/>
            <w:webHidden/>
          </w:rPr>
          <w:t>35</w:t>
        </w:r>
        <w:r w:rsidR="007921E9">
          <w:rPr>
            <w:noProof/>
            <w:webHidden/>
          </w:rPr>
          <w:fldChar w:fldCharType="end"/>
        </w:r>
      </w:hyperlink>
    </w:p>
    <w:p w14:paraId="2FFFEB82" w14:textId="645A067A"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67" w:history="1">
        <w:r w:rsidR="007921E9" w:rsidRPr="007A4E7B">
          <w:rPr>
            <w:rStyle w:val="Hyperlink"/>
            <w:rFonts w:ascii="Arial" w:hAnsi="Arial" w:cs="Arial"/>
            <w:noProof/>
          </w:rPr>
          <w:t>3.11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The Regulator's power to direct Disclosure</w:t>
        </w:r>
        <w:r w:rsidR="007921E9">
          <w:rPr>
            <w:noProof/>
            <w:webHidden/>
          </w:rPr>
          <w:tab/>
        </w:r>
        <w:r w:rsidR="007921E9">
          <w:rPr>
            <w:noProof/>
            <w:webHidden/>
          </w:rPr>
          <w:fldChar w:fldCharType="begin"/>
        </w:r>
        <w:r w:rsidR="007921E9">
          <w:rPr>
            <w:noProof/>
            <w:webHidden/>
          </w:rPr>
          <w:instrText xml:space="preserve"> PAGEREF _Toc138325667 \h </w:instrText>
        </w:r>
        <w:r w:rsidR="007921E9">
          <w:rPr>
            <w:noProof/>
            <w:webHidden/>
          </w:rPr>
        </w:r>
        <w:r w:rsidR="007921E9">
          <w:rPr>
            <w:noProof/>
            <w:webHidden/>
          </w:rPr>
          <w:fldChar w:fldCharType="separate"/>
        </w:r>
        <w:r>
          <w:rPr>
            <w:noProof/>
            <w:webHidden/>
          </w:rPr>
          <w:t>35</w:t>
        </w:r>
        <w:r w:rsidR="007921E9">
          <w:rPr>
            <w:noProof/>
            <w:webHidden/>
          </w:rPr>
          <w:fldChar w:fldCharType="end"/>
        </w:r>
      </w:hyperlink>
    </w:p>
    <w:p w14:paraId="07FA98A5" w14:textId="536AB9F3"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668" w:history="1">
        <w:r w:rsidR="007921E9" w:rsidRPr="007A4E7B">
          <w:rPr>
            <w:rStyle w:val="Hyperlink"/>
          </w:rPr>
          <w:t>4.</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OFFERs OF SECURITIES</w:t>
        </w:r>
        <w:r w:rsidR="007921E9">
          <w:rPr>
            <w:webHidden/>
          </w:rPr>
          <w:tab/>
        </w:r>
        <w:r w:rsidR="007921E9">
          <w:rPr>
            <w:webHidden/>
          </w:rPr>
          <w:fldChar w:fldCharType="begin"/>
        </w:r>
        <w:r w:rsidR="007921E9">
          <w:rPr>
            <w:webHidden/>
          </w:rPr>
          <w:instrText xml:space="preserve"> PAGEREF _Toc138325668 \h </w:instrText>
        </w:r>
        <w:r w:rsidR="007921E9">
          <w:rPr>
            <w:webHidden/>
          </w:rPr>
        </w:r>
        <w:r w:rsidR="007921E9">
          <w:rPr>
            <w:webHidden/>
          </w:rPr>
          <w:fldChar w:fldCharType="separate"/>
        </w:r>
        <w:r>
          <w:rPr>
            <w:webHidden/>
          </w:rPr>
          <w:t>35</w:t>
        </w:r>
        <w:r w:rsidR="007921E9">
          <w:rPr>
            <w:webHidden/>
          </w:rPr>
          <w:fldChar w:fldCharType="end"/>
        </w:r>
      </w:hyperlink>
    </w:p>
    <w:p w14:paraId="33BEB12F" w14:textId="1C07CA3B"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69" w:history="1">
        <w:r w:rsidR="007921E9" w:rsidRPr="007A4E7B">
          <w:rPr>
            <w:rStyle w:val="Hyperlink"/>
            <w:rFonts w:ascii="Arial" w:hAnsi="Arial" w:cs="Arial"/>
            <w:noProof/>
          </w:rPr>
          <w:t>4.1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Application</w:t>
        </w:r>
        <w:r w:rsidR="007921E9">
          <w:rPr>
            <w:noProof/>
            <w:webHidden/>
          </w:rPr>
          <w:tab/>
        </w:r>
        <w:r w:rsidR="007921E9">
          <w:rPr>
            <w:noProof/>
            <w:webHidden/>
          </w:rPr>
          <w:fldChar w:fldCharType="begin"/>
        </w:r>
        <w:r w:rsidR="007921E9">
          <w:rPr>
            <w:noProof/>
            <w:webHidden/>
          </w:rPr>
          <w:instrText xml:space="preserve"> PAGEREF _Toc138325669 \h </w:instrText>
        </w:r>
        <w:r w:rsidR="007921E9">
          <w:rPr>
            <w:noProof/>
            <w:webHidden/>
          </w:rPr>
        </w:r>
        <w:r w:rsidR="007921E9">
          <w:rPr>
            <w:noProof/>
            <w:webHidden/>
          </w:rPr>
          <w:fldChar w:fldCharType="separate"/>
        </w:r>
        <w:r>
          <w:rPr>
            <w:noProof/>
            <w:webHidden/>
          </w:rPr>
          <w:t>35</w:t>
        </w:r>
        <w:r w:rsidR="007921E9">
          <w:rPr>
            <w:noProof/>
            <w:webHidden/>
          </w:rPr>
          <w:fldChar w:fldCharType="end"/>
        </w:r>
      </w:hyperlink>
    </w:p>
    <w:p w14:paraId="35A0173D" w14:textId="1BE9C1E4"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70" w:history="1">
        <w:r w:rsidR="007921E9" w:rsidRPr="007A4E7B">
          <w:rPr>
            <w:rStyle w:val="Hyperlink"/>
            <w:rFonts w:ascii="Arial" w:hAnsi="Arial" w:cs="Arial"/>
            <w:noProof/>
          </w:rPr>
          <w:t>4.2</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Exempt communications</w:t>
        </w:r>
        <w:r w:rsidR="007921E9">
          <w:rPr>
            <w:noProof/>
            <w:webHidden/>
          </w:rPr>
          <w:tab/>
        </w:r>
        <w:r w:rsidR="007921E9">
          <w:rPr>
            <w:noProof/>
            <w:webHidden/>
          </w:rPr>
          <w:fldChar w:fldCharType="begin"/>
        </w:r>
        <w:r w:rsidR="007921E9">
          <w:rPr>
            <w:noProof/>
            <w:webHidden/>
          </w:rPr>
          <w:instrText xml:space="preserve"> PAGEREF _Toc138325670 \h </w:instrText>
        </w:r>
        <w:r w:rsidR="007921E9">
          <w:rPr>
            <w:noProof/>
            <w:webHidden/>
          </w:rPr>
        </w:r>
        <w:r w:rsidR="007921E9">
          <w:rPr>
            <w:noProof/>
            <w:webHidden/>
          </w:rPr>
          <w:fldChar w:fldCharType="separate"/>
        </w:r>
        <w:r>
          <w:rPr>
            <w:noProof/>
            <w:webHidden/>
          </w:rPr>
          <w:t>36</w:t>
        </w:r>
        <w:r w:rsidR="007921E9">
          <w:rPr>
            <w:noProof/>
            <w:webHidden/>
          </w:rPr>
          <w:fldChar w:fldCharType="end"/>
        </w:r>
      </w:hyperlink>
    </w:p>
    <w:p w14:paraId="59A85DB8" w14:textId="6CBCB525"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71" w:history="1">
        <w:r w:rsidR="007921E9" w:rsidRPr="007A4E7B">
          <w:rPr>
            <w:rStyle w:val="Hyperlink"/>
            <w:rFonts w:ascii="Arial" w:hAnsi="Arial" w:cs="Arial"/>
            <w:noProof/>
          </w:rPr>
          <w:t>4.3</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Exempt Offers</w:t>
        </w:r>
        <w:r w:rsidR="007921E9">
          <w:rPr>
            <w:noProof/>
            <w:webHidden/>
          </w:rPr>
          <w:tab/>
        </w:r>
        <w:r w:rsidR="007921E9">
          <w:rPr>
            <w:noProof/>
            <w:webHidden/>
          </w:rPr>
          <w:fldChar w:fldCharType="begin"/>
        </w:r>
        <w:r w:rsidR="007921E9">
          <w:rPr>
            <w:noProof/>
            <w:webHidden/>
          </w:rPr>
          <w:instrText xml:space="preserve"> PAGEREF _Toc138325671 \h </w:instrText>
        </w:r>
        <w:r w:rsidR="007921E9">
          <w:rPr>
            <w:noProof/>
            <w:webHidden/>
          </w:rPr>
        </w:r>
        <w:r w:rsidR="007921E9">
          <w:rPr>
            <w:noProof/>
            <w:webHidden/>
          </w:rPr>
          <w:fldChar w:fldCharType="separate"/>
        </w:r>
        <w:r>
          <w:rPr>
            <w:noProof/>
            <w:webHidden/>
          </w:rPr>
          <w:t>36</w:t>
        </w:r>
        <w:r w:rsidR="007921E9">
          <w:rPr>
            <w:noProof/>
            <w:webHidden/>
          </w:rPr>
          <w:fldChar w:fldCharType="end"/>
        </w:r>
      </w:hyperlink>
    </w:p>
    <w:p w14:paraId="2B203E87" w14:textId="6B07CD73"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72" w:history="1">
        <w:r w:rsidR="007921E9" w:rsidRPr="007A4E7B">
          <w:rPr>
            <w:rStyle w:val="Hyperlink"/>
            <w:rFonts w:ascii="Arial" w:hAnsi="Arial" w:cs="Arial"/>
            <w:noProof/>
          </w:rPr>
          <w:t>4.4</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Exempt Securities</w:t>
        </w:r>
        <w:r w:rsidR="007921E9">
          <w:rPr>
            <w:noProof/>
            <w:webHidden/>
          </w:rPr>
          <w:tab/>
        </w:r>
        <w:r w:rsidR="007921E9">
          <w:rPr>
            <w:noProof/>
            <w:webHidden/>
          </w:rPr>
          <w:fldChar w:fldCharType="begin"/>
        </w:r>
        <w:r w:rsidR="007921E9">
          <w:rPr>
            <w:noProof/>
            <w:webHidden/>
          </w:rPr>
          <w:instrText xml:space="preserve"> PAGEREF _Toc138325672 \h </w:instrText>
        </w:r>
        <w:r w:rsidR="007921E9">
          <w:rPr>
            <w:noProof/>
            <w:webHidden/>
          </w:rPr>
        </w:r>
        <w:r w:rsidR="007921E9">
          <w:rPr>
            <w:noProof/>
            <w:webHidden/>
          </w:rPr>
          <w:fldChar w:fldCharType="separate"/>
        </w:r>
        <w:r>
          <w:rPr>
            <w:noProof/>
            <w:webHidden/>
          </w:rPr>
          <w:t>40</w:t>
        </w:r>
        <w:r w:rsidR="007921E9">
          <w:rPr>
            <w:noProof/>
            <w:webHidden/>
          </w:rPr>
          <w:fldChar w:fldCharType="end"/>
        </w:r>
      </w:hyperlink>
    </w:p>
    <w:p w14:paraId="0F0B7CFD" w14:textId="2DBF91A8"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73" w:history="1">
        <w:r w:rsidR="007921E9" w:rsidRPr="007A4E7B">
          <w:rPr>
            <w:rStyle w:val="Hyperlink"/>
            <w:rFonts w:ascii="Arial" w:hAnsi="Arial" w:cs="Arial"/>
            <w:noProof/>
          </w:rPr>
          <w:t>4.5</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Prospectus structure and content</w:t>
        </w:r>
        <w:r w:rsidR="007921E9">
          <w:rPr>
            <w:noProof/>
            <w:webHidden/>
          </w:rPr>
          <w:tab/>
        </w:r>
        <w:r w:rsidR="007921E9">
          <w:rPr>
            <w:noProof/>
            <w:webHidden/>
          </w:rPr>
          <w:fldChar w:fldCharType="begin"/>
        </w:r>
        <w:r w:rsidR="007921E9">
          <w:rPr>
            <w:noProof/>
            <w:webHidden/>
          </w:rPr>
          <w:instrText xml:space="preserve"> PAGEREF _Toc138325673 \h </w:instrText>
        </w:r>
        <w:r w:rsidR="007921E9">
          <w:rPr>
            <w:noProof/>
            <w:webHidden/>
          </w:rPr>
        </w:r>
        <w:r w:rsidR="007921E9">
          <w:rPr>
            <w:noProof/>
            <w:webHidden/>
          </w:rPr>
          <w:fldChar w:fldCharType="separate"/>
        </w:r>
        <w:r>
          <w:rPr>
            <w:noProof/>
            <w:webHidden/>
          </w:rPr>
          <w:t>42</w:t>
        </w:r>
        <w:r w:rsidR="007921E9">
          <w:rPr>
            <w:noProof/>
            <w:webHidden/>
          </w:rPr>
          <w:fldChar w:fldCharType="end"/>
        </w:r>
      </w:hyperlink>
    </w:p>
    <w:p w14:paraId="46C6B560" w14:textId="2441703B"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74" w:history="1">
        <w:r w:rsidR="007921E9" w:rsidRPr="007A4E7B">
          <w:rPr>
            <w:rStyle w:val="Hyperlink"/>
            <w:rFonts w:ascii="Arial" w:hAnsi="Arial" w:cs="Arial"/>
            <w:noProof/>
          </w:rPr>
          <w:t>4.6</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Approval and publication of a Prospectus</w:t>
        </w:r>
        <w:r w:rsidR="007921E9">
          <w:rPr>
            <w:noProof/>
            <w:webHidden/>
          </w:rPr>
          <w:tab/>
        </w:r>
        <w:r w:rsidR="007921E9">
          <w:rPr>
            <w:noProof/>
            <w:webHidden/>
          </w:rPr>
          <w:fldChar w:fldCharType="begin"/>
        </w:r>
        <w:r w:rsidR="007921E9">
          <w:rPr>
            <w:noProof/>
            <w:webHidden/>
          </w:rPr>
          <w:instrText xml:space="preserve"> PAGEREF _Toc138325674 \h </w:instrText>
        </w:r>
        <w:r w:rsidR="007921E9">
          <w:rPr>
            <w:noProof/>
            <w:webHidden/>
          </w:rPr>
        </w:r>
        <w:r w:rsidR="007921E9">
          <w:rPr>
            <w:noProof/>
            <w:webHidden/>
          </w:rPr>
          <w:fldChar w:fldCharType="separate"/>
        </w:r>
        <w:r>
          <w:rPr>
            <w:noProof/>
            <w:webHidden/>
          </w:rPr>
          <w:t>45</w:t>
        </w:r>
        <w:r w:rsidR="007921E9">
          <w:rPr>
            <w:noProof/>
            <w:webHidden/>
          </w:rPr>
          <w:fldChar w:fldCharType="end"/>
        </w:r>
      </w:hyperlink>
    </w:p>
    <w:p w14:paraId="5028F7F2" w14:textId="7DE89349"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75" w:history="1">
        <w:r w:rsidR="007921E9" w:rsidRPr="007A4E7B">
          <w:rPr>
            <w:rStyle w:val="Hyperlink"/>
            <w:rFonts w:ascii="Arial" w:hAnsi="Arial" w:cs="Arial"/>
            <w:noProof/>
          </w:rPr>
          <w:t>4.7</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Offer documents from other jurisdictions</w:t>
        </w:r>
        <w:r w:rsidR="007921E9">
          <w:rPr>
            <w:noProof/>
            <w:webHidden/>
          </w:rPr>
          <w:tab/>
        </w:r>
        <w:r w:rsidR="007921E9">
          <w:rPr>
            <w:noProof/>
            <w:webHidden/>
          </w:rPr>
          <w:fldChar w:fldCharType="begin"/>
        </w:r>
        <w:r w:rsidR="007921E9">
          <w:rPr>
            <w:noProof/>
            <w:webHidden/>
          </w:rPr>
          <w:instrText xml:space="preserve"> PAGEREF _Toc138325675 \h </w:instrText>
        </w:r>
        <w:r w:rsidR="007921E9">
          <w:rPr>
            <w:noProof/>
            <w:webHidden/>
          </w:rPr>
        </w:r>
        <w:r w:rsidR="007921E9">
          <w:rPr>
            <w:noProof/>
            <w:webHidden/>
          </w:rPr>
          <w:fldChar w:fldCharType="separate"/>
        </w:r>
        <w:r>
          <w:rPr>
            <w:noProof/>
            <w:webHidden/>
          </w:rPr>
          <w:t>48</w:t>
        </w:r>
        <w:r w:rsidR="007921E9">
          <w:rPr>
            <w:noProof/>
            <w:webHidden/>
          </w:rPr>
          <w:fldChar w:fldCharType="end"/>
        </w:r>
      </w:hyperlink>
    </w:p>
    <w:p w14:paraId="4EBCD11C" w14:textId="3AF6C47A"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76" w:history="1">
        <w:r w:rsidR="007921E9" w:rsidRPr="007A4E7B">
          <w:rPr>
            <w:rStyle w:val="Hyperlink"/>
            <w:rFonts w:ascii="Arial" w:hAnsi="Arial" w:cs="Arial"/>
            <w:noProof/>
          </w:rPr>
          <w:t>4.8</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Incorporation by reference</w:t>
        </w:r>
        <w:r w:rsidR="007921E9">
          <w:rPr>
            <w:noProof/>
            <w:webHidden/>
          </w:rPr>
          <w:tab/>
        </w:r>
        <w:r w:rsidR="007921E9">
          <w:rPr>
            <w:noProof/>
            <w:webHidden/>
          </w:rPr>
          <w:fldChar w:fldCharType="begin"/>
        </w:r>
        <w:r w:rsidR="007921E9">
          <w:rPr>
            <w:noProof/>
            <w:webHidden/>
          </w:rPr>
          <w:instrText xml:space="preserve"> PAGEREF _Toc138325676 \h </w:instrText>
        </w:r>
        <w:r w:rsidR="007921E9">
          <w:rPr>
            <w:noProof/>
            <w:webHidden/>
          </w:rPr>
        </w:r>
        <w:r w:rsidR="007921E9">
          <w:rPr>
            <w:noProof/>
            <w:webHidden/>
          </w:rPr>
          <w:fldChar w:fldCharType="separate"/>
        </w:r>
        <w:r>
          <w:rPr>
            <w:noProof/>
            <w:webHidden/>
          </w:rPr>
          <w:t>49</w:t>
        </w:r>
        <w:r w:rsidR="007921E9">
          <w:rPr>
            <w:noProof/>
            <w:webHidden/>
          </w:rPr>
          <w:fldChar w:fldCharType="end"/>
        </w:r>
      </w:hyperlink>
    </w:p>
    <w:p w14:paraId="3CAF02FA" w14:textId="4821F440"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77" w:history="1">
        <w:r w:rsidR="007921E9" w:rsidRPr="007A4E7B">
          <w:rPr>
            <w:rStyle w:val="Hyperlink"/>
            <w:rFonts w:ascii="Arial" w:hAnsi="Arial" w:cs="Arial"/>
            <w:noProof/>
          </w:rPr>
          <w:t>4.9</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Notification of material changes during the currency of the Prospectus</w:t>
        </w:r>
        <w:r w:rsidR="007921E9">
          <w:rPr>
            <w:noProof/>
            <w:webHidden/>
          </w:rPr>
          <w:tab/>
        </w:r>
        <w:r w:rsidR="007921E9">
          <w:rPr>
            <w:noProof/>
            <w:webHidden/>
          </w:rPr>
          <w:fldChar w:fldCharType="begin"/>
        </w:r>
        <w:r w:rsidR="007921E9">
          <w:rPr>
            <w:noProof/>
            <w:webHidden/>
          </w:rPr>
          <w:instrText xml:space="preserve"> PAGEREF _Toc138325677 \h </w:instrText>
        </w:r>
        <w:r w:rsidR="007921E9">
          <w:rPr>
            <w:noProof/>
            <w:webHidden/>
          </w:rPr>
        </w:r>
        <w:r w:rsidR="007921E9">
          <w:rPr>
            <w:noProof/>
            <w:webHidden/>
          </w:rPr>
          <w:fldChar w:fldCharType="separate"/>
        </w:r>
        <w:r>
          <w:rPr>
            <w:noProof/>
            <w:webHidden/>
          </w:rPr>
          <w:t>50</w:t>
        </w:r>
        <w:r w:rsidR="007921E9">
          <w:rPr>
            <w:noProof/>
            <w:webHidden/>
          </w:rPr>
          <w:fldChar w:fldCharType="end"/>
        </w:r>
      </w:hyperlink>
    </w:p>
    <w:p w14:paraId="21120890" w14:textId="088D30BA"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78" w:history="1">
        <w:r w:rsidR="007921E9" w:rsidRPr="007A4E7B">
          <w:rPr>
            <w:rStyle w:val="Hyperlink"/>
            <w:rFonts w:ascii="Arial" w:hAnsi="Arial" w:cs="Arial"/>
            <w:noProof/>
          </w:rPr>
          <w:t>4.10</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Prospectus liability</w:t>
        </w:r>
        <w:r w:rsidR="007921E9">
          <w:rPr>
            <w:noProof/>
            <w:webHidden/>
          </w:rPr>
          <w:tab/>
        </w:r>
        <w:r w:rsidR="007921E9">
          <w:rPr>
            <w:noProof/>
            <w:webHidden/>
          </w:rPr>
          <w:fldChar w:fldCharType="begin"/>
        </w:r>
        <w:r w:rsidR="007921E9">
          <w:rPr>
            <w:noProof/>
            <w:webHidden/>
          </w:rPr>
          <w:instrText xml:space="preserve"> PAGEREF _Toc138325678 \h </w:instrText>
        </w:r>
        <w:r w:rsidR="007921E9">
          <w:rPr>
            <w:noProof/>
            <w:webHidden/>
          </w:rPr>
        </w:r>
        <w:r w:rsidR="007921E9">
          <w:rPr>
            <w:noProof/>
            <w:webHidden/>
          </w:rPr>
          <w:fldChar w:fldCharType="separate"/>
        </w:r>
        <w:r>
          <w:rPr>
            <w:noProof/>
            <w:webHidden/>
          </w:rPr>
          <w:t>51</w:t>
        </w:r>
        <w:r w:rsidR="007921E9">
          <w:rPr>
            <w:noProof/>
            <w:webHidden/>
          </w:rPr>
          <w:fldChar w:fldCharType="end"/>
        </w:r>
      </w:hyperlink>
    </w:p>
    <w:p w14:paraId="4BDF4AB0" w14:textId="429DCCE2"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79" w:history="1">
        <w:r w:rsidR="007921E9" w:rsidRPr="007A4E7B">
          <w:rPr>
            <w:rStyle w:val="Hyperlink"/>
            <w:rFonts w:ascii="Arial" w:hAnsi="Arial" w:cs="Arial"/>
            <w:noProof/>
          </w:rPr>
          <w:t>4.11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Exceptions from liability</w:t>
        </w:r>
        <w:r w:rsidR="007921E9">
          <w:rPr>
            <w:noProof/>
            <w:webHidden/>
          </w:rPr>
          <w:tab/>
        </w:r>
        <w:r w:rsidR="007921E9">
          <w:rPr>
            <w:noProof/>
            <w:webHidden/>
          </w:rPr>
          <w:fldChar w:fldCharType="begin"/>
        </w:r>
        <w:r w:rsidR="007921E9">
          <w:rPr>
            <w:noProof/>
            <w:webHidden/>
          </w:rPr>
          <w:instrText xml:space="preserve"> PAGEREF _Toc138325679 \h </w:instrText>
        </w:r>
        <w:r w:rsidR="007921E9">
          <w:rPr>
            <w:noProof/>
            <w:webHidden/>
          </w:rPr>
        </w:r>
        <w:r w:rsidR="007921E9">
          <w:rPr>
            <w:noProof/>
            <w:webHidden/>
          </w:rPr>
          <w:fldChar w:fldCharType="separate"/>
        </w:r>
        <w:r>
          <w:rPr>
            <w:noProof/>
            <w:webHidden/>
          </w:rPr>
          <w:t>52</w:t>
        </w:r>
        <w:r w:rsidR="007921E9">
          <w:rPr>
            <w:noProof/>
            <w:webHidden/>
          </w:rPr>
          <w:fldChar w:fldCharType="end"/>
        </w:r>
      </w:hyperlink>
    </w:p>
    <w:p w14:paraId="50411BA0" w14:textId="6D19679B"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80" w:history="1">
        <w:r w:rsidR="007921E9" w:rsidRPr="007A4E7B">
          <w:rPr>
            <w:rStyle w:val="Hyperlink"/>
            <w:rFonts w:ascii="Arial" w:hAnsi="Arial" w:cs="Arial"/>
            <w:noProof/>
          </w:rPr>
          <w:t>4.12</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Advertisements</w:t>
        </w:r>
        <w:r w:rsidR="007921E9">
          <w:rPr>
            <w:noProof/>
            <w:webHidden/>
          </w:rPr>
          <w:tab/>
        </w:r>
        <w:r w:rsidR="007921E9">
          <w:rPr>
            <w:noProof/>
            <w:webHidden/>
          </w:rPr>
          <w:fldChar w:fldCharType="begin"/>
        </w:r>
        <w:r w:rsidR="007921E9">
          <w:rPr>
            <w:noProof/>
            <w:webHidden/>
          </w:rPr>
          <w:instrText xml:space="preserve"> PAGEREF _Toc138325680 \h </w:instrText>
        </w:r>
        <w:r w:rsidR="007921E9">
          <w:rPr>
            <w:noProof/>
            <w:webHidden/>
          </w:rPr>
        </w:r>
        <w:r w:rsidR="007921E9">
          <w:rPr>
            <w:noProof/>
            <w:webHidden/>
          </w:rPr>
          <w:fldChar w:fldCharType="separate"/>
        </w:r>
        <w:r>
          <w:rPr>
            <w:noProof/>
            <w:webHidden/>
          </w:rPr>
          <w:t>54</w:t>
        </w:r>
        <w:r w:rsidR="007921E9">
          <w:rPr>
            <w:noProof/>
            <w:webHidden/>
          </w:rPr>
          <w:fldChar w:fldCharType="end"/>
        </w:r>
      </w:hyperlink>
    </w:p>
    <w:p w14:paraId="6CCDB339" w14:textId="1A050E5F"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81" w:history="1">
        <w:r w:rsidR="007921E9" w:rsidRPr="007A4E7B">
          <w:rPr>
            <w:rStyle w:val="Hyperlink"/>
            <w:rFonts w:ascii="Arial" w:hAnsi="Arial" w:cs="Arial"/>
            <w:noProof/>
          </w:rPr>
          <w:t>4.13</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Miscellaneous</w:t>
        </w:r>
        <w:r w:rsidR="007921E9">
          <w:rPr>
            <w:noProof/>
            <w:webHidden/>
          </w:rPr>
          <w:tab/>
        </w:r>
        <w:r w:rsidR="007921E9">
          <w:rPr>
            <w:noProof/>
            <w:webHidden/>
          </w:rPr>
          <w:fldChar w:fldCharType="begin"/>
        </w:r>
        <w:r w:rsidR="007921E9">
          <w:rPr>
            <w:noProof/>
            <w:webHidden/>
          </w:rPr>
          <w:instrText xml:space="preserve"> PAGEREF _Toc138325681 \h </w:instrText>
        </w:r>
        <w:r w:rsidR="007921E9">
          <w:rPr>
            <w:noProof/>
            <w:webHidden/>
          </w:rPr>
        </w:r>
        <w:r w:rsidR="007921E9">
          <w:rPr>
            <w:noProof/>
            <w:webHidden/>
          </w:rPr>
          <w:fldChar w:fldCharType="separate"/>
        </w:r>
        <w:r>
          <w:rPr>
            <w:noProof/>
            <w:webHidden/>
          </w:rPr>
          <w:t>54</w:t>
        </w:r>
        <w:r w:rsidR="007921E9">
          <w:rPr>
            <w:noProof/>
            <w:webHidden/>
          </w:rPr>
          <w:fldChar w:fldCharType="end"/>
        </w:r>
      </w:hyperlink>
    </w:p>
    <w:p w14:paraId="2A617357" w14:textId="12589A55"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82" w:history="1">
        <w:r w:rsidR="007921E9" w:rsidRPr="007A4E7B">
          <w:rPr>
            <w:rStyle w:val="Hyperlink"/>
            <w:rFonts w:ascii="Arial" w:hAnsi="Arial" w:cs="Arial"/>
            <w:noProof/>
          </w:rPr>
          <w:t>4.14</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Retail Debentures or Sukuk</w:t>
        </w:r>
        <w:r w:rsidR="007921E9">
          <w:rPr>
            <w:noProof/>
            <w:webHidden/>
          </w:rPr>
          <w:tab/>
        </w:r>
        <w:r w:rsidR="007921E9">
          <w:rPr>
            <w:noProof/>
            <w:webHidden/>
          </w:rPr>
          <w:fldChar w:fldCharType="begin"/>
        </w:r>
        <w:r w:rsidR="007921E9">
          <w:rPr>
            <w:noProof/>
            <w:webHidden/>
          </w:rPr>
          <w:instrText xml:space="preserve"> PAGEREF _Toc138325682 \h </w:instrText>
        </w:r>
        <w:r w:rsidR="007921E9">
          <w:rPr>
            <w:noProof/>
            <w:webHidden/>
          </w:rPr>
        </w:r>
        <w:r w:rsidR="007921E9">
          <w:rPr>
            <w:noProof/>
            <w:webHidden/>
          </w:rPr>
          <w:fldChar w:fldCharType="separate"/>
        </w:r>
        <w:r>
          <w:rPr>
            <w:noProof/>
            <w:webHidden/>
          </w:rPr>
          <w:t>55</w:t>
        </w:r>
        <w:r w:rsidR="007921E9">
          <w:rPr>
            <w:noProof/>
            <w:webHidden/>
          </w:rPr>
          <w:fldChar w:fldCharType="end"/>
        </w:r>
      </w:hyperlink>
    </w:p>
    <w:p w14:paraId="77929E27" w14:textId="7403EEA8"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83" w:history="1">
        <w:r w:rsidR="007921E9" w:rsidRPr="007A4E7B">
          <w:rPr>
            <w:rStyle w:val="Hyperlink"/>
            <w:rFonts w:ascii="Arial" w:hAnsi="Arial" w:cs="Arial"/>
            <w:noProof/>
          </w:rPr>
          <w:t>4.15</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ADGM Green Debentures and ADGM Sustainability-Linked Debentures</w:t>
        </w:r>
        <w:r w:rsidR="007921E9">
          <w:rPr>
            <w:noProof/>
            <w:webHidden/>
          </w:rPr>
          <w:tab/>
        </w:r>
        <w:r w:rsidR="007921E9">
          <w:rPr>
            <w:noProof/>
            <w:webHidden/>
          </w:rPr>
          <w:fldChar w:fldCharType="begin"/>
        </w:r>
        <w:r w:rsidR="007921E9">
          <w:rPr>
            <w:noProof/>
            <w:webHidden/>
          </w:rPr>
          <w:instrText xml:space="preserve"> PAGEREF _Toc138325683 \h </w:instrText>
        </w:r>
        <w:r w:rsidR="007921E9">
          <w:rPr>
            <w:noProof/>
            <w:webHidden/>
          </w:rPr>
        </w:r>
        <w:r w:rsidR="007921E9">
          <w:rPr>
            <w:noProof/>
            <w:webHidden/>
          </w:rPr>
          <w:fldChar w:fldCharType="separate"/>
        </w:r>
        <w:r>
          <w:rPr>
            <w:noProof/>
            <w:webHidden/>
          </w:rPr>
          <w:t>55</w:t>
        </w:r>
        <w:r w:rsidR="007921E9">
          <w:rPr>
            <w:noProof/>
            <w:webHidden/>
          </w:rPr>
          <w:fldChar w:fldCharType="end"/>
        </w:r>
      </w:hyperlink>
    </w:p>
    <w:p w14:paraId="4ECA3E4B" w14:textId="2EB3B17B"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84" w:history="1">
        <w:r w:rsidR="007921E9" w:rsidRPr="007A4E7B">
          <w:rPr>
            <w:rStyle w:val="Hyperlink"/>
            <w:rFonts w:ascii="Arial" w:hAnsi="Arial" w:cs="Arial"/>
            <w:noProof/>
          </w:rPr>
          <w:t>4.16</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ADGM Green Sukuk and ADGM Sustainability-Linked Sukuk</w:t>
        </w:r>
        <w:r w:rsidR="007921E9">
          <w:rPr>
            <w:noProof/>
            <w:webHidden/>
          </w:rPr>
          <w:tab/>
        </w:r>
        <w:r w:rsidR="007921E9">
          <w:rPr>
            <w:noProof/>
            <w:webHidden/>
          </w:rPr>
          <w:fldChar w:fldCharType="begin"/>
        </w:r>
        <w:r w:rsidR="007921E9">
          <w:rPr>
            <w:noProof/>
            <w:webHidden/>
          </w:rPr>
          <w:instrText xml:space="preserve"> PAGEREF _Toc138325684 \h </w:instrText>
        </w:r>
        <w:r w:rsidR="007921E9">
          <w:rPr>
            <w:noProof/>
            <w:webHidden/>
          </w:rPr>
        </w:r>
        <w:r w:rsidR="007921E9">
          <w:rPr>
            <w:noProof/>
            <w:webHidden/>
          </w:rPr>
          <w:fldChar w:fldCharType="separate"/>
        </w:r>
        <w:r>
          <w:rPr>
            <w:noProof/>
            <w:webHidden/>
          </w:rPr>
          <w:t>59</w:t>
        </w:r>
        <w:r w:rsidR="007921E9">
          <w:rPr>
            <w:noProof/>
            <w:webHidden/>
          </w:rPr>
          <w:fldChar w:fldCharType="end"/>
        </w:r>
      </w:hyperlink>
    </w:p>
    <w:p w14:paraId="3FC4B477" w14:textId="7CFCB257"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685" w:history="1">
        <w:r w:rsidR="007921E9" w:rsidRPr="007A4E7B">
          <w:rPr>
            <w:rStyle w:val="Hyperlink"/>
          </w:rPr>
          <w:t>5.</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SPONSORS AND COMPLIANCE ADVISERS</w:t>
        </w:r>
        <w:r w:rsidR="007921E9">
          <w:rPr>
            <w:webHidden/>
          </w:rPr>
          <w:tab/>
        </w:r>
        <w:r w:rsidR="007921E9">
          <w:rPr>
            <w:webHidden/>
          </w:rPr>
          <w:fldChar w:fldCharType="begin"/>
        </w:r>
        <w:r w:rsidR="007921E9">
          <w:rPr>
            <w:webHidden/>
          </w:rPr>
          <w:instrText xml:space="preserve"> PAGEREF _Toc138325685 \h </w:instrText>
        </w:r>
        <w:r w:rsidR="007921E9">
          <w:rPr>
            <w:webHidden/>
          </w:rPr>
        </w:r>
        <w:r w:rsidR="007921E9">
          <w:rPr>
            <w:webHidden/>
          </w:rPr>
          <w:fldChar w:fldCharType="separate"/>
        </w:r>
        <w:r>
          <w:rPr>
            <w:webHidden/>
          </w:rPr>
          <w:t>59</w:t>
        </w:r>
        <w:r w:rsidR="007921E9">
          <w:rPr>
            <w:webHidden/>
          </w:rPr>
          <w:fldChar w:fldCharType="end"/>
        </w:r>
      </w:hyperlink>
    </w:p>
    <w:p w14:paraId="784BFE50" w14:textId="517835FB"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86" w:history="1">
        <w:r w:rsidR="007921E9" w:rsidRPr="007A4E7B">
          <w:rPr>
            <w:rStyle w:val="Hyperlink"/>
            <w:rFonts w:ascii="Arial" w:hAnsi="Arial" w:cs="Arial"/>
            <w:noProof/>
          </w:rPr>
          <w:t>5.1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Sponsors</w:t>
        </w:r>
        <w:r w:rsidR="007921E9">
          <w:rPr>
            <w:noProof/>
            <w:webHidden/>
          </w:rPr>
          <w:tab/>
        </w:r>
        <w:r w:rsidR="007921E9">
          <w:rPr>
            <w:noProof/>
            <w:webHidden/>
          </w:rPr>
          <w:fldChar w:fldCharType="begin"/>
        </w:r>
        <w:r w:rsidR="007921E9">
          <w:rPr>
            <w:noProof/>
            <w:webHidden/>
          </w:rPr>
          <w:instrText xml:space="preserve"> PAGEREF _Toc138325686 \h </w:instrText>
        </w:r>
        <w:r w:rsidR="007921E9">
          <w:rPr>
            <w:noProof/>
            <w:webHidden/>
          </w:rPr>
        </w:r>
        <w:r w:rsidR="007921E9">
          <w:rPr>
            <w:noProof/>
            <w:webHidden/>
          </w:rPr>
          <w:fldChar w:fldCharType="separate"/>
        </w:r>
        <w:r>
          <w:rPr>
            <w:noProof/>
            <w:webHidden/>
          </w:rPr>
          <w:t>59</w:t>
        </w:r>
        <w:r w:rsidR="007921E9">
          <w:rPr>
            <w:noProof/>
            <w:webHidden/>
          </w:rPr>
          <w:fldChar w:fldCharType="end"/>
        </w:r>
      </w:hyperlink>
    </w:p>
    <w:p w14:paraId="16682F09" w14:textId="3E109303"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87" w:history="1">
        <w:r w:rsidR="007921E9" w:rsidRPr="007A4E7B">
          <w:rPr>
            <w:rStyle w:val="Hyperlink"/>
            <w:rFonts w:ascii="Arial" w:hAnsi="Arial" w:cs="Arial"/>
            <w:noProof/>
          </w:rPr>
          <w:t>5.2</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Compliance advisers</w:t>
        </w:r>
        <w:r w:rsidR="007921E9">
          <w:rPr>
            <w:noProof/>
            <w:webHidden/>
          </w:rPr>
          <w:tab/>
        </w:r>
        <w:r w:rsidR="007921E9">
          <w:rPr>
            <w:noProof/>
            <w:webHidden/>
          </w:rPr>
          <w:fldChar w:fldCharType="begin"/>
        </w:r>
        <w:r w:rsidR="007921E9">
          <w:rPr>
            <w:noProof/>
            <w:webHidden/>
          </w:rPr>
          <w:instrText xml:space="preserve"> PAGEREF _Toc138325687 \h </w:instrText>
        </w:r>
        <w:r w:rsidR="007921E9">
          <w:rPr>
            <w:noProof/>
            <w:webHidden/>
          </w:rPr>
        </w:r>
        <w:r w:rsidR="007921E9">
          <w:rPr>
            <w:noProof/>
            <w:webHidden/>
          </w:rPr>
          <w:fldChar w:fldCharType="separate"/>
        </w:r>
        <w:r>
          <w:rPr>
            <w:noProof/>
            <w:webHidden/>
          </w:rPr>
          <w:t>62</w:t>
        </w:r>
        <w:r w:rsidR="007921E9">
          <w:rPr>
            <w:noProof/>
            <w:webHidden/>
          </w:rPr>
          <w:fldChar w:fldCharType="end"/>
        </w:r>
      </w:hyperlink>
    </w:p>
    <w:p w14:paraId="35E13C5E" w14:textId="0D0860F0"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688" w:history="1">
        <w:r w:rsidR="007921E9" w:rsidRPr="007A4E7B">
          <w:rPr>
            <w:rStyle w:val="Hyperlink"/>
          </w:rPr>
          <w:t>6.</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MARKET ABUSE, PRICE STABILISATION AND BUY-BACK PROGRAMMES</w:t>
        </w:r>
        <w:r w:rsidR="007921E9">
          <w:rPr>
            <w:webHidden/>
          </w:rPr>
          <w:tab/>
        </w:r>
        <w:r w:rsidR="007921E9">
          <w:rPr>
            <w:webHidden/>
          </w:rPr>
          <w:fldChar w:fldCharType="begin"/>
        </w:r>
        <w:r w:rsidR="007921E9">
          <w:rPr>
            <w:webHidden/>
          </w:rPr>
          <w:instrText xml:space="preserve"> PAGEREF _Toc138325688 \h </w:instrText>
        </w:r>
        <w:r w:rsidR="007921E9">
          <w:rPr>
            <w:webHidden/>
          </w:rPr>
        </w:r>
        <w:r w:rsidR="007921E9">
          <w:rPr>
            <w:webHidden/>
          </w:rPr>
          <w:fldChar w:fldCharType="separate"/>
        </w:r>
        <w:r>
          <w:rPr>
            <w:webHidden/>
          </w:rPr>
          <w:t>64</w:t>
        </w:r>
        <w:r w:rsidR="007921E9">
          <w:rPr>
            <w:webHidden/>
          </w:rPr>
          <w:fldChar w:fldCharType="end"/>
        </w:r>
      </w:hyperlink>
    </w:p>
    <w:p w14:paraId="1CD5C2A9" w14:textId="407202B2"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89" w:history="1">
        <w:r w:rsidR="007921E9" w:rsidRPr="007A4E7B">
          <w:rPr>
            <w:rStyle w:val="Hyperlink"/>
            <w:rFonts w:ascii="Arial" w:hAnsi="Arial" w:cs="Arial"/>
            <w:noProof/>
          </w:rPr>
          <w:t>6.1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Market Abuse</w:t>
        </w:r>
        <w:r w:rsidR="007921E9">
          <w:rPr>
            <w:noProof/>
            <w:webHidden/>
          </w:rPr>
          <w:tab/>
        </w:r>
        <w:r w:rsidR="007921E9">
          <w:rPr>
            <w:noProof/>
            <w:webHidden/>
          </w:rPr>
          <w:fldChar w:fldCharType="begin"/>
        </w:r>
        <w:r w:rsidR="007921E9">
          <w:rPr>
            <w:noProof/>
            <w:webHidden/>
          </w:rPr>
          <w:instrText xml:space="preserve"> PAGEREF _Toc138325689 \h </w:instrText>
        </w:r>
        <w:r w:rsidR="007921E9">
          <w:rPr>
            <w:noProof/>
            <w:webHidden/>
          </w:rPr>
        </w:r>
        <w:r w:rsidR="007921E9">
          <w:rPr>
            <w:noProof/>
            <w:webHidden/>
          </w:rPr>
          <w:fldChar w:fldCharType="separate"/>
        </w:r>
        <w:r>
          <w:rPr>
            <w:noProof/>
            <w:webHidden/>
          </w:rPr>
          <w:t>64</w:t>
        </w:r>
        <w:r w:rsidR="007921E9">
          <w:rPr>
            <w:noProof/>
            <w:webHidden/>
          </w:rPr>
          <w:fldChar w:fldCharType="end"/>
        </w:r>
      </w:hyperlink>
    </w:p>
    <w:p w14:paraId="4F997F12" w14:textId="19C7C1C1"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90" w:history="1">
        <w:r w:rsidR="007921E9" w:rsidRPr="007A4E7B">
          <w:rPr>
            <w:rStyle w:val="Hyperlink"/>
            <w:rFonts w:ascii="Arial" w:hAnsi="Arial" w:cs="Arial"/>
            <w:noProof/>
            <w:lang w:eastAsia="ja-JP"/>
          </w:rPr>
          <w:t>6.2</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lang w:eastAsia="ja-JP"/>
          </w:rPr>
          <w:t>Price Stabilisation and Buy-back Programmes</w:t>
        </w:r>
        <w:r w:rsidR="007921E9">
          <w:rPr>
            <w:noProof/>
            <w:webHidden/>
          </w:rPr>
          <w:tab/>
        </w:r>
        <w:r w:rsidR="007921E9">
          <w:rPr>
            <w:noProof/>
            <w:webHidden/>
          </w:rPr>
          <w:fldChar w:fldCharType="begin"/>
        </w:r>
        <w:r w:rsidR="007921E9">
          <w:rPr>
            <w:noProof/>
            <w:webHidden/>
          </w:rPr>
          <w:instrText xml:space="preserve"> PAGEREF _Toc138325690 \h </w:instrText>
        </w:r>
        <w:r w:rsidR="007921E9">
          <w:rPr>
            <w:noProof/>
            <w:webHidden/>
          </w:rPr>
        </w:r>
        <w:r w:rsidR="007921E9">
          <w:rPr>
            <w:noProof/>
            <w:webHidden/>
          </w:rPr>
          <w:fldChar w:fldCharType="separate"/>
        </w:r>
        <w:r>
          <w:rPr>
            <w:noProof/>
            <w:webHidden/>
          </w:rPr>
          <w:t>64</w:t>
        </w:r>
        <w:r w:rsidR="007921E9">
          <w:rPr>
            <w:noProof/>
            <w:webHidden/>
          </w:rPr>
          <w:fldChar w:fldCharType="end"/>
        </w:r>
      </w:hyperlink>
    </w:p>
    <w:p w14:paraId="4EACBFC9" w14:textId="5D46BD7E"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691" w:history="1">
        <w:r w:rsidR="007921E9" w:rsidRPr="007A4E7B">
          <w:rPr>
            <w:rStyle w:val="Hyperlink"/>
          </w:rPr>
          <w:t>7.</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CONTINUOUS DISCLOSURE</w:t>
        </w:r>
        <w:r w:rsidR="007921E9">
          <w:rPr>
            <w:webHidden/>
          </w:rPr>
          <w:tab/>
        </w:r>
        <w:r w:rsidR="007921E9">
          <w:rPr>
            <w:webHidden/>
          </w:rPr>
          <w:fldChar w:fldCharType="begin"/>
        </w:r>
        <w:r w:rsidR="007921E9">
          <w:rPr>
            <w:webHidden/>
          </w:rPr>
          <w:instrText xml:space="preserve"> PAGEREF _Toc138325691 \h </w:instrText>
        </w:r>
        <w:r w:rsidR="007921E9">
          <w:rPr>
            <w:webHidden/>
          </w:rPr>
        </w:r>
        <w:r w:rsidR="007921E9">
          <w:rPr>
            <w:webHidden/>
          </w:rPr>
          <w:fldChar w:fldCharType="separate"/>
        </w:r>
        <w:r>
          <w:rPr>
            <w:webHidden/>
          </w:rPr>
          <w:t>75</w:t>
        </w:r>
        <w:r w:rsidR="007921E9">
          <w:rPr>
            <w:webHidden/>
          </w:rPr>
          <w:fldChar w:fldCharType="end"/>
        </w:r>
      </w:hyperlink>
    </w:p>
    <w:p w14:paraId="54467196" w14:textId="253E642C"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92" w:history="1">
        <w:r w:rsidR="007921E9" w:rsidRPr="007A4E7B">
          <w:rPr>
            <w:rStyle w:val="Hyperlink"/>
            <w:rFonts w:ascii="Arial" w:hAnsi="Arial" w:cs="Arial"/>
            <w:noProof/>
          </w:rPr>
          <w:t>7.1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Application</w:t>
        </w:r>
        <w:r w:rsidR="007921E9">
          <w:rPr>
            <w:noProof/>
            <w:webHidden/>
          </w:rPr>
          <w:tab/>
        </w:r>
        <w:r w:rsidR="007921E9">
          <w:rPr>
            <w:noProof/>
            <w:webHidden/>
          </w:rPr>
          <w:fldChar w:fldCharType="begin"/>
        </w:r>
        <w:r w:rsidR="007921E9">
          <w:rPr>
            <w:noProof/>
            <w:webHidden/>
          </w:rPr>
          <w:instrText xml:space="preserve"> PAGEREF _Toc138325692 \h </w:instrText>
        </w:r>
        <w:r w:rsidR="007921E9">
          <w:rPr>
            <w:noProof/>
            <w:webHidden/>
          </w:rPr>
        </w:r>
        <w:r w:rsidR="007921E9">
          <w:rPr>
            <w:noProof/>
            <w:webHidden/>
          </w:rPr>
          <w:fldChar w:fldCharType="separate"/>
        </w:r>
        <w:r>
          <w:rPr>
            <w:noProof/>
            <w:webHidden/>
          </w:rPr>
          <w:t>75</w:t>
        </w:r>
        <w:r w:rsidR="007921E9">
          <w:rPr>
            <w:noProof/>
            <w:webHidden/>
          </w:rPr>
          <w:fldChar w:fldCharType="end"/>
        </w:r>
      </w:hyperlink>
    </w:p>
    <w:p w14:paraId="2D807317" w14:textId="3D3D880D"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93" w:history="1">
        <w:r w:rsidR="007921E9" w:rsidRPr="007A4E7B">
          <w:rPr>
            <w:rStyle w:val="Hyperlink"/>
            <w:rFonts w:ascii="Arial" w:hAnsi="Arial" w:cs="Arial"/>
            <w:noProof/>
          </w:rPr>
          <w:t>7.2</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Disclosure of Inside Information</w:t>
        </w:r>
        <w:r w:rsidR="007921E9">
          <w:rPr>
            <w:noProof/>
            <w:webHidden/>
          </w:rPr>
          <w:tab/>
        </w:r>
        <w:r w:rsidR="007921E9">
          <w:rPr>
            <w:noProof/>
            <w:webHidden/>
          </w:rPr>
          <w:fldChar w:fldCharType="begin"/>
        </w:r>
        <w:r w:rsidR="007921E9">
          <w:rPr>
            <w:noProof/>
            <w:webHidden/>
          </w:rPr>
          <w:instrText xml:space="preserve"> PAGEREF _Toc138325693 \h </w:instrText>
        </w:r>
        <w:r w:rsidR="007921E9">
          <w:rPr>
            <w:noProof/>
            <w:webHidden/>
          </w:rPr>
        </w:r>
        <w:r w:rsidR="007921E9">
          <w:rPr>
            <w:noProof/>
            <w:webHidden/>
          </w:rPr>
          <w:fldChar w:fldCharType="separate"/>
        </w:r>
        <w:r>
          <w:rPr>
            <w:noProof/>
            <w:webHidden/>
          </w:rPr>
          <w:t>76</w:t>
        </w:r>
        <w:r w:rsidR="007921E9">
          <w:rPr>
            <w:noProof/>
            <w:webHidden/>
          </w:rPr>
          <w:fldChar w:fldCharType="end"/>
        </w:r>
      </w:hyperlink>
    </w:p>
    <w:p w14:paraId="33CC0CE7" w14:textId="1A0FA62E"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94" w:history="1">
        <w:r w:rsidR="007921E9" w:rsidRPr="007A4E7B">
          <w:rPr>
            <w:rStyle w:val="Hyperlink"/>
            <w:rFonts w:ascii="Arial" w:hAnsi="Arial" w:cs="Arial"/>
            <w:noProof/>
          </w:rPr>
          <w:t>7.3</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Disclosure of interests by Connected Persons</w:t>
        </w:r>
        <w:r w:rsidR="007921E9">
          <w:rPr>
            <w:noProof/>
            <w:webHidden/>
          </w:rPr>
          <w:tab/>
        </w:r>
        <w:r w:rsidR="007921E9">
          <w:rPr>
            <w:noProof/>
            <w:webHidden/>
          </w:rPr>
          <w:fldChar w:fldCharType="begin"/>
        </w:r>
        <w:r w:rsidR="007921E9">
          <w:rPr>
            <w:noProof/>
            <w:webHidden/>
          </w:rPr>
          <w:instrText xml:space="preserve"> PAGEREF _Toc138325694 \h </w:instrText>
        </w:r>
        <w:r w:rsidR="007921E9">
          <w:rPr>
            <w:noProof/>
            <w:webHidden/>
          </w:rPr>
        </w:r>
        <w:r w:rsidR="007921E9">
          <w:rPr>
            <w:noProof/>
            <w:webHidden/>
          </w:rPr>
          <w:fldChar w:fldCharType="separate"/>
        </w:r>
        <w:r>
          <w:rPr>
            <w:noProof/>
            <w:webHidden/>
          </w:rPr>
          <w:t>78</w:t>
        </w:r>
        <w:r w:rsidR="007921E9">
          <w:rPr>
            <w:noProof/>
            <w:webHidden/>
          </w:rPr>
          <w:fldChar w:fldCharType="end"/>
        </w:r>
      </w:hyperlink>
    </w:p>
    <w:p w14:paraId="3617C1B3" w14:textId="39EF7636"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95" w:history="1">
        <w:r w:rsidR="007921E9" w:rsidRPr="007A4E7B">
          <w:rPr>
            <w:rStyle w:val="Hyperlink"/>
            <w:rFonts w:ascii="Arial" w:hAnsi="Arial" w:cs="Arial"/>
            <w:noProof/>
          </w:rPr>
          <w:t>7.4</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Disclosure of Directors' notifiable interests</w:t>
        </w:r>
        <w:r w:rsidR="007921E9">
          <w:rPr>
            <w:noProof/>
            <w:webHidden/>
          </w:rPr>
          <w:tab/>
        </w:r>
        <w:r w:rsidR="007921E9">
          <w:rPr>
            <w:noProof/>
            <w:webHidden/>
          </w:rPr>
          <w:fldChar w:fldCharType="begin"/>
        </w:r>
        <w:r w:rsidR="007921E9">
          <w:rPr>
            <w:noProof/>
            <w:webHidden/>
          </w:rPr>
          <w:instrText xml:space="preserve"> PAGEREF _Toc138325695 \h </w:instrText>
        </w:r>
        <w:r w:rsidR="007921E9">
          <w:rPr>
            <w:noProof/>
            <w:webHidden/>
          </w:rPr>
        </w:r>
        <w:r w:rsidR="007921E9">
          <w:rPr>
            <w:noProof/>
            <w:webHidden/>
          </w:rPr>
          <w:fldChar w:fldCharType="separate"/>
        </w:r>
        <w:r>
          <w:rPr>
            <w:noProof/>
            <w:webHidden/>
          </w:rPr>
          <w:t>80</w:t>
        </w:r>
        <w:r w:rsidR="007921E9">
          <w:rPr>
            <w:noProof/>
            <w:webHidden/>
          </w:rPr>
          <w:fldChar w:fldCharType="end"/>
        </w:r>
      </w:hyperlink>
    </w:p>
    <w:p w14:paraId="486ECA51" w14:textId="5C9664B6"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96" w:history="1">
        <w:r w:rsidR="007921E9" w:rsidRPr="007A4E7B">
          <w:rPr>
            <w:rStyle w:val="Hyperlink"/>
            <w:rFonts w:ascii="Arial" w:hAnsi="Arial" w:cs="Arial"/>
            <w:noProof/>
          </w:rPr>
          <w:t>7.5</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Power to direct Disclosure</w:t>
        </w:r>
        <w:r w:rsidR="007921E9">
          <w:rPr>
            <w:noProof/>
            <w:webHidden/>
          </w:rPr>
          <w:tab/>
        </w:r>
        <w:r w:rsidR="007921E9">
          <w:rPr>
            <w:noProof/>
            <w:webHidden/>
          </w:rPr>
          <w:fldChar w:fldCharType="begin"/>
        </w:r>
        <w:r w:rsidR="007921E9">
          <w:rPr>
            <w:noProof/>
            <w:webHidden/>
          </w:rPr>
          <w:instrText xml:space="preserve"> PAGEREF _Toc138325696 \h </w:instrText>
        </w:r>
        <w:r w:rsidR="007921E9">
          <w:rPr>
            <w:noProof/>
            <w:webHidden/>
          </w:rPr>
        </w:r>
        <w:r w:rsidR="007921E9">
          <w:rPr>
            <w:noProof/>
            <w:webHidden/>
          </w:rPr>
          <w:fldChar w:fldCharType="separate"/>
        </w:r>
        <w:r>
          <w:rPr>
            <w:noProof/>
            <w:webHidden/>
          </w:rPr>
          <w:t>81</w:t>
        </w:r>
        <w:r w:rsidR="007921E9">
          <w:rPr>
            <w:noProof/>
            <w:webHidden/>
          </w:rPr>
          <w:fldChar w:fldCharType="end"/>
        </w:r>
      </w:hyperlink>
    </w:p>
    <w:p w14:paraId="5D545A8B" w14:textId="4660ABFB"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97" w:history="1">
        <w:r w:rsidR="007921E9" w:rsidRPr="007A4E7B">
          <w:rPr>
            <w:rStyle w:val="Hyperlink"/>
            <w:rFonts w:ascii="Arial" w:hAnsi="Arial" w:cs="Arial"/>
            <w:noProof/>
          </w:rPr>
          <w:t>7.6</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Other matters that require Disclosure</w:t>
        </w:r>
        <w:r w:rsidR="007921E9">
          <w:rPr>
            <w:noProof/>
            <w:webHidden/>
          </w:rPr>
          <w:tab/>
        </w:r>
        <w:r w:rsidR="007921E9">
          <w:rPr>
            <w:noProof/>
            <w:webHidden/>
          </w:rPr>
          <w:fldChar w:fldCharType="begin"/>
        </w:r>
        <w:r w:rsidR="007921E9">
          <w:rPr>
            <w:noProof/>
            <w:webHidden/>
          </w:rPr>
          <w:instrText xml:space="preserve"> PAGEREF _Toc138325697 \h </w:instrText>
        </w:r>
        <w:r w:rsidR="007921E9">
          <w:rPr>
            <w:noProof/>
            <w:webHidden/>
          </w:rPr>
        </w:r>
        <w:r w:rsidR="007921E9">
          <w:rPr>
            <w:noProof/>
            <w:webHidden/>
          </w:rPr>
          <w:fldChar w:fldCharType="separate"/>
        </w:r>
        <w:r>
          <w:rPr>
            <w:noProof/>
            <w:webHidden/>
          </w:rPr>
          <w:t>82</w:t>
        </w:r>
        <w:r w:rsidR="007921E9">
          <w:rPr>
            <w:noProof/>
            <w:webHidden/>
          </w:rPr>
          <w:fldChar w:fldCharType="end"/>
        </w:r>
      </w:hyperlink>
    </w:p>
    <w:p w14:paraId="08226D87" w14:textId="31265F5A"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98" w:history="1">
        <w:r w:rsidR="007921E9" w:rsidRPr="007A4E7B">
          <w:rPr>
            <w:rStyle w:val="Hyperlink"/>
            <w:rFonts w:ascii="Arial" w:hAnsi="Arial" w:cs="Arial"/>
            <w:noProof/>
          </w:rPr>
          <w:t>7.7</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Manner of Disclosure</w:t>
        </w:r>
        <w:r w:rsidR="007921E9">
          <w:rPr>
            <w:noProof/>
            <w:webHidden/>
          </w:rPr>
          <w:tab/>
        </w:r>
        <w:r w:rsidR="007921E9">
          <w:rPr>
            <w:noProof/>
            <w:webHidden/>
          </w:rPr>
          <w:fldChar w:fldCharType="begin"/>
        </w:r>
        <w:r w:rsidR="007921E9">
          <w:rPr>
            <w:noProof/>
            <w:webHidden/>
          </w:rPr>
          <w:instrText xml:space="preserve"> PAGEREF _Toc138325698 \h </w:instrText>
        </w:r>
        <w:r w:rsidR="007921E9">
          <w:rPr>
            <w:noProof/>
            <w:webHidden/>
          </w:rPr>
        </w:r>
        <w:r w:rsidR="007921E9">
          <w:rPr>
            <w:noProof/>
            <w:webHidden/>
          </w:rPr>
          <w:fldChar w:fldCharType="separate"/>
        </w:r>
        <w:r>
          <w:rPr>
            <w:noProof/>
            <w:webHidden/>
          </w:rPr>
          <w:t>82</w:t>
        </w:r>
        <w:r w:rsidR="007921E9">
          <w:rPr>
            <w:noProof/>
            <w:webHidden/>
          </w:rPr>
          <w:fldChar w:fldCharType="end"/>
        </w:r>
      </w:hyperlink>
    </w:p>
    <w:p w14:paraId="2BD07E27" w14:textId="24AF5D00"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699" w:history="1">
        <w:r w:rsidR="007921E9" w:rsidRPr="007A4E7B">
          <w:rPr>
            <w:rStyle w:val="Hyperlink"/>
            <w:rFonts w:ascii="Arial" w:hAnsi="Arial" w:cs="Arial"/>
            <w:noProof/>
          </w:rPr>
          <w:t>7.8</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Trading Halts</w:t>
        </w:r>
        <w:r w:rsidR="007921E9">
          <w:rPr>
            <w:noProof/>
            <w:webHidden/>
          </w:rPr>
          <w:tab/>
        </w:r>
        <w:r w:rsidR="007921E9">
          <w:rPr>
            <w:noProof/>
            <w:webHidden/>
          </w:rPr>
          <w:fldChar w:fldCharType="begin"/>
        </w:r>
        <w:r w:rsidR="007921E9">
          <w:rPr>
            <w:noProof/>
            <w:webHidden/>
          </w:rPr>
          <w:instrText xml:space="preserve"> PAGEREF _Toc138325699 \h </w:instrText>
        </w:r>
        <w:r w:rsidR="007921E9">
          <w:rPr>
            <w:noProof/>
            <w:webHidden/>
          </w:rPr>
        </w:r>
        <w:r w:rsidR="007921E9">
          <w:rPr>
            <w:noProof/>
            <w:webHidden/>
          </w:rPr>
          <w:fldChar w:fldCharType="separate"/>
        </w:r>
        <w:r>
          <w:rPr>
            <w:noProof/>
            <w:webHidden/>
          </w:rPr>
          <w:t>82</w:t>
        </w:r>
        <w:r w:rsidR="007921E9">
          <w:rPr>
            <w:noProof/>
            <w:webHidden/>
          </w:rPr>
          <w:fldChar w:fldCharType="end"/>
        </w:r>
      </w:hyperlink>
    </w:p>
    <w:p w14:paraId="78847B27" w14:textId="7D72BA47"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700" w:history="1">
        <w:r w:rsidR="007921E9" w:rsidRPr="007A4E7B">
          <w:rPr>
            <w:rStyle w:val="Hyperlink"/>
          </w:rPr>
          <w:t>8.</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SYSTEMS AND CONTROLS</w:t>
        </w:r>
        <w:r w:rsidR="007921E9">
          <w:rPr>
            <w:webHidden/>
          </w:rPr>
          <w:tab/>
        </w:r>
        <w:r w:rsidR="007921E9">
          <w:rPr>
            <w:webHidden/>
          </w:rPr>
          <w:fldChar w:fldCharType="begin"/>
        </w:r>
        <w:r w:rsidR="007921E9">
          <w:rPr>
            <w:webHidden/>
          </w:rPr>
          <w:instrText xml:space="preserve"> PAGEREF _Toc138325700 \h </w:instrText>
        </w:r>
        <w:r w:rsidR="007921E9">
          <w:rPr>
            <w:webHidden/>
          </w:rPr>
        </w:r>
        <w:r w:rsidR="007921E9">
          <w:rPr>
            <w:webHidden/>
          </w:rPr>
          <w:fldChar w:fldCharType="separate"/>
        </w:r>
        <w:r>
          <w:rPr>
            <w:webHidden/>
          </w:rPr>
          <w:t>83</w:t>
        </w:r>
        <w:r w:rsidR="007921E9">
          <w:rPr>
            <w:webHidden/>
          </w:rPr>
          <w:fldChar w:fldCharType="end"/>
        </w:r>
      </w:hyperlink>
    </w:p>
    <w:p w14:paraId="0D7570F8" w14:textId="6B89DE97"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01" w:history="1">
        <w:r w:rsidR="007921E9" w:rsidRPr="007A4E7B">
          <w:rPr>
            <w:rStyle w:val="Hyperlink"/>
            <w:rFonts w:ascii="Arial" w:hAnsi="Arial" w:cs="Arial"/>
            <w:noProof/>
          </w:rPr>
          <w:t>8.1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Application</w:t>
        </w:r>
        <w:r w:rsidR="007921E9">
          <w:rPr>
            <w:noProof/>
            <w:webHidden/>
          </w:rPr>
          <w:tab/>
        </w:r>
        <w:r w:rsidR="007921E9">
          <w:rPr>
            <w:noProof/>
            <w:webHidden/>
          </w:rPr>
          <w:fldChar w:fldCharType="begin"/>
        </w:r>
        <w:r w:rsidR="007921E9">
          <w:rPr>
            <w:noProof/>
            <w:webHidden/>
          </w:rPr>
          <w:instrText xml:space="preserve"> PAGEREF _Toc138325701 \h </w:instrText>
        </w:r>
        <w:r w:rsidR="007921E9">
          <w:rPr>
            <w:noProof/>
            <w:webHidden/>
          </w:rPr>
        </w:r>
        <w:r w:rsidR="007921E9">
          <w:rPr>
            <w:noProof/>
            <w:webHidden/>
          </w:rPr>
          <w:fldChar w:fldCharType="separate"/>
        </w:r>
        <w:r>
          <w:rPr>
            <w:noProof/>
            <w:webHidden/>
          </w:rPr>
          <w:t>83</w:t>
        </w:r>
        <w:r w:rsidR="007921E9">
          <w:rPr>
            <w:noProof/>
            <w:webHidden/>
          </w:rPr>
          <w:fldChar w:fldCharType="end"/>
        </w:r>
      </w:hyperlink>
    </w:p>
    <w:p w14:paraId="6D7B9FD9" w14:textId="19D28A5F"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702" w:history="1">
        <w:r w:rsidR="007921E9" w:rsidRPr="007A4E7B">
          <w:rPr>
            <w:rStyle w:val="Hyperlink"/>
          </w:rPr>
          <w:t>9.</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GOVERNANCE OF REPORTING ENTITIES</w:t>
        </w:r>
        <w:r w:rsidR="007921E9">
          <w:rPr>
            <w:webHidden/>
          </w:rPr>
          <w:tab/>
        </w:r>
        <w:r w:rsidR="007921E9">
          <w:rPr>
            <w:webHidden/>
          </w:rPr>
          <w:fldChar w:fldCharType="begin"/>
        </w:r>
        <w:r w:rsidR="007921E9">
          <w:rPr>
            <w:webHidden/>
          </w:rPr>
          <w:instrText xml:space="preserve"> PAGEREF _Toc138325702 \h </w:instrText>
        </w:r>
        <w:r w:rsidR="007921E9">
          <w:rPr>
            <w:webHidden/>
          </w:rPr>
        </w:r>
        <w:r w:rsidR="007921E9">
          <w:rPr>
            <w:webHidden/>
          </w:rPr>
          <w:fldChar w:fldCharType="separate"/>
        </w:r>
        <w:r>
          <w:rPr>
            <w:webHidden/>
          </w:rPr>
          <w:t>83</w:t>
        </w:r>
        <w:r w:rsidR="007921E9">
          <w:rPr>
            <w:webHidden/>
          </w:rPr>
          <w:fldChar w:fldCharType="end"/>
        </w:r>
      </w:hyperlink>
    </w:p>
    <w:p w14:paraId="3AB04C28" w14:textId="1FFF0493"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03" w:history="1">
        <w:r w:rsidR="007921E9" w:rsidRPr="007A4E7B">
          <w:rPr>
            <w:rStyle w:val="Hyperlink"/>
            <w:rFonts w:ascii="Arial" w:hAnsi="Arial" w:cs="Arial"/>
            <w:noProof/>
          </w:rPr>
          <w:t>9.1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Application</w:t>
        </w:r>
        <w:r w:rsidR="007921E9">
          <w:rPr>
            <w:noProof/>
            <w:webHidden/>
          </w:rPr>
          <w:tab/>
        </w:r>
        <w:r w:rsidR="007921E9">
          <w:rPr>
            <w:noProof/>
            <w:webHidden/>
          </w:rPr>
          <w:fldChar w:fldCharType="begin"/>
        </w:r>
        <w:r w:rsidR="007921E9">
          <w:rPr>
            <w:noProof/>
            <w:webHidden/>
          </w:rPr>
          <w:instrText xml:space="preserve"> PAGEREF _Toc138325703 \h </w:instrText>
        </w:r>
        <w:r w:rsidR="007921E9">
          <w:rPr>
            <w:noProof/>
            <w:webHidden/>
          </w:rPr>
        </w:r>
        <w:r w:rsidR="007921E9">
          <w:rPr>
            <w:noProof/>
            <w:webHidden/>
          </w:rPr>
          <w:fldChar w:fldCharType="separate"/>
        </w:r>
        <w:r>
          <w:rPr>
            <w:noProof/>
            <w:webHidden/>
          </w:rPr>
          <w:t>84</w:t>
        </w:r>
        <w:r w:rsidR="007921E9">
          <w:rPr>
            <w:noProof/>
            <w:webHidden/>
          </w:rPr>
          <w:fldChar w:fldCharType="end"/>
        </w:r>
      </w:hyperlink>
    </w:p>
    <w:p w14:paraId="18666BFB" w14:textId="035EF3D5"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04" w:history="1">
        <w:r w:rsidR="007921E9" w:rsidRPr="007A4E7B">
          <w:rPr>
            <w:rStyle w:val="Hyperlink"/>
            <w:rFonts w:ascii="Arial" w:hAnsi="Arial" w:cs="Arial"/>
            <w:noProof/>
          </w:rPr>
          <w:t>9.2</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Corporate Governance Principles</w:t>
        </w:r>
        <w:r w:rsidR="007921E9">
          <w:rPr>
            <w:noProof/>
            <w:webHidden/>
          </w:rPr>
          <w:tab/>
        </w:r>
        <w:r w:rsidR="007921E9">
          <w:rPr>
            <w:noProof/>
            <w:webHidden/>
          </w:rPr>
          <w:fldChar w:fldCharType="begin"/>
        </w:r>
        <w:r w:rsidR="007921E9">
          <w:rPr>
            <w:noProof/>
            <w:webHidden/>
          </w:rPr>
          <w:instrText xml:space="preserve"> PAGEREF _Toc138325704 \h </w:instrText>
        </w:r>
        <w:r w:rsidR="007921E9">
          <w:rPr>
            <w:noProof/>
            <w:webHidden/>
          </w:rPr>
        </w:r>
        <w:r w:rsidR="007921E9">
          <w:rPr>
            <w:noProof/>
            <w:webHidden/>
          </w:rPr>
          <w:fldChar w:fldCharType="separate"/>
        </w:r>
        <w:r>
          <w:rPr>
            <w:noProof/>
            <w:webHidden/>
          </w:rPr>
          <w:t>84</w:t>
        </w:r>
        <w:r w:rsidR="007921E9">
          <w:rPr>
            <w:noProof/>
            <w:webHidden/>
          </w:rPr>
          <w:fldChar w:fldCharType="end"/>
        </w:r>
      </w:hyperlink>
    </w:p>
    <w:p w14:paraId="2C4940AB" w14:textId="24918254"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05" w:history="1">
        <w:r w:rsidR="007921E9" w:rsidRPr="007A4E7B">
          <w:rPr>
            <w:rStyle w:val="Hyperlink"/>
            <w:rFonts w:ascii="Arial" w:hAnsi="Arial" w:cs="Arial"/>
            <w:noProof/>
          </w:rPr>
          <w:t>9.3</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Directors' duties and fair treatment of Shareholders</w:t>
        </w:r>
        <w:r w:rsidR="007921E9">
          <w:rPr>
            <w:noProof/>
            <w:webHidden/>
          </w:rPr>
          <w:tab/>
        </w:r>
        <w:r w:rsidR="007921E9">
          <w:rPr>
            <w:noProof/>
            <w:webHidden/>
          </w:rPr>
          <w:fldChar w:fldCharType="begin"/>
        </w:r>
        <w:r w:rsidR="007921E9">
          <w:rPr>
            <w:noProof/>
            <w:webHidden/>
          </w:rPr>
          <w:instrText xml:space="preserve"> PAGEREF _Toc138325705 \h </w:instrText>
        </w:r>
        <w:r w:rsidR="007921E9">
          <w:rPr>
            <w:noProof/>
            <w:webHidden/>
          </w:rPr>
        </w:r>
        <w:r w:rsidR="007921E9">
          <w:rPr>
            <w:noProof/>
            <w:webHidden/>
          </w:rPr>
          <w:fldChar w:fldCharType="separate"/>
        </w:r>
        <w:r>
          <w:rPr>
            <w:noProof/>
            <w:webHidden/>
          </w:rPr>
          <w:t>86</w:t>
        </w:r>
        <w:r w:rsidR="007921E9">
          <w:rPr>
            <w:noProof/>
            <w:webHidden/>
          </w:rPr>
          <w:fldChar w:fldCharType="end"/>
        </w:r>
      </w:hyperlink>
    </w:p>
    <w:p w14:paraId="1142BAB6" w14:textId="59768AA5"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06" w:history="1">
        <w:r w:rsidR="007921E9" w:rsidRPr="007A4E7B">
          <w:rPr>
            <w:rStyle w:val="Hyperlink"/>
            <w:rFonts w:ascii="Arial" w:hAnsi="Arial" w:cs="Arial"/>
            <w:noProof/>
          </w:rPr>
          <w:t>9.4</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Dealings by Restricted Persons</w:t>
        </w:r>
        <w:r w:rsidR="007921E9">
          <w:rPr>
            <w:noProof/>
            <w:webHidden/>
          </w:rPr>
          <w:tab/>
        </w:r>
        <w:r w:rsidR="007921E9">
          <w:rPr>
            <w:noProof/>
            <w:webHidden/>
          </w:rPr>
          <w:fldChar w:fldCharType="begin"/>
        </w:r>
        <w:r w:rsidR="007921E9">
          <w:rPr>
            <w:noProof/>
            <w:webHidden/>
          </w:rPr>
          <w:instrText xml:space="preserve"> PAGEREF _Toc138325706 \h </w:instrText>
        </w:r>
        <w:r w:rsidR="007921E9">
          <w:rPr>
            <w:noProof/>
            <w:webHidden/>
          </w:rPr>
        </w:r>
        <w:r w:rsidR="007921E9">
          <w:rPr>
            <w:noProof/>
            <w:webHidden/>
          </w:rPr>
          <w:fldChar w:fldCharType="separate"/>
        </w:r>
        <w:r>
          <w:rPr>
            <w:noProof/>
            <w:webHidden/>
          </w:rPr>
          <w:t>91</w:t>
        </w:r>
        <w:r w:rsidR="007921E9">
          <w:rPr>
            <w:noProof/>
            <w:webHidden/>
          </w:rPr>
          <w:fldChar w:fldCharType="end"/>
        </w:r>
      </w:hyperlink>
    </w:p>
    <w:p w14:paraId="4801A2BF" w14:textId="46A56827"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07" w:history="1">
        <w:r w:rsidR="007921E9" w:rsidRPr="007A4E7B">
          <w:rPr>
            <w:rStyle w:val="Hyperlink"/>
            <w:rFonts w:ascii="Arial" w:hAnsi="Arial" w:cs="Arial"/>
            <w:noProof/>
          </w:rPr>
          <w:t>9.5</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Related Party Transactions</w:t>
        </w:r>
        <w:r w:rsidR="007921E9">
          <w:rPr>
            <w:noProof/>
            <w:webHidden/>
          </w:rPr>
          <w:tab/>
        </w:r>
        <w:r w:rsidR="007921E9">
          <w:rPr>
            <w:noProof/>
            <w:webHidden/>
          </w:rPr>
          <w:fldChar w:fldCharType="begin"/>
        </w:r>
        <w:r w:rsidR="007921E9">
          <w:rPr>
            <w:noProof/>
            <w:webHidden/>
          </w:rPr>
          <w:instrText xml:space="preserve"> PAGEREF _Toc138325707 \h </w:instrText>
        </w:r>
        <w:r w:rsidR="007921E9">
          <w:rPr>
            <w:noProof/>
            <w:webHidden/>
          </w:rPr>
        </w:r>
        <w:r w:rsidR="007921E9">
          <w:rPr>
            <w:noProof/>
            <w:webHidden/>
          </w:rPr>
          <w:fldChar w:fldCharType="separate"/>
        </w:r>
        <w:r>
          <w:rPr>
            <w:noProof/>
            <w:webHidden/>
          </w:rPr>
          <w:t>92</w:t>
        </w:r>
        <w:r w:rsidR="007921E9">
          <w:rPr>
            <w:noProof/>
            <w:webHidden/>
          </w:rPr>
          <w:fldChar w:fldCharType="end"/>
        </w:r>
      </w:hyperlink>
    </w:p>
    <w:p w14:paraId="01CD4FEF" w14:textId="63973FA8"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08" w:history="1">
        <w:r w:rsidR="007921E9" w:rsidRPr="007A4E7B">
          <w:rPr>
            <w:rStyle w:val="Hyperlink"/>
            <w:rFonts w:ascii="Arial" w:hAnsi="Arial" w:cs="Arial"/>
            <w:noProof/>
          </w:rPr>
          <w:t>9.6</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Restricted Securities</w:t>
        </w:r>
        <w:r w:rsidR="007921E9">
          <w:rPr>
            <w:noProof/>
            <w:webHidden/>
          </w:rPr>
          <w:tab/>
        </w:r>
        <w:r w:rsidR="007921E9">
          <w:rPr>
            <w:noProof/>
            <w:webHidden/>
          </w:rPr>
          <w:fldChar w:fldCharType="begin"/>
        </w:r>
        <w:r w:rsidR="007921E9">
          <w:rPr>
            <w:noProof/>
            <w:webHidden/>
          </w:rPr>
          <w:instrText xml:space="preserve"> PAGEREF _Toc138325708 \h </w:instrText>
        </w:r>
        <w:r w:rsidR="007921E9">
          <w:rPr>
            <w:noProof/>
            <w:webHidden/>
          </w:rPr>
        </w:r>
        <w:r w:rsidR="007921E9">
          <w:rPr>
            <w:noProof/>
            <w:webHidden/>
          </w:rPr>
          <w:fldChar w:fldCharType="separate"/>
        </w:r>
        <w:r>
          <w:rPr>
            <w:noProof/>
            <w:webHidden/>
          </w:rPr>
          <w:t>95</w:t>
        </w:r>
        <w:r w:rsidR="007921E9">
          <w:rPr>
            <w:noProof/>
            <w:webHidden/>
          </w:rPr>
          <w:fldChar w:fldCharType="end"/>
        </w:r>
      </w:hyperlink>
    </w:p>
    <w:p w14:paraId="3C802F6F" w14:textId="7CF735B6"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709" w:history="1">
        <w:r w:rsidR="007921E9" w:rsidRPr="007A4E7B">
          <w:rPr>
            <w:rStyle w:val="Hyperlink"/>
          </w:rPr>
          <w:t>10.</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ACCOUNTING PERIODS, FINANCIAL REPORTS AND AUDITING</w:t>
        </w:r>
        <w:r w:rsidR="007921E9">
          <w:rPr>
            <w:webHidden/>
          </w:rPr>
          <w:tab/>
        </w:r>
        <w:r w:rsidR="007921E9">
          <w:rPr>
            <w:webHidden/>
          </w:rPr>
          <w:fldChar w:fldCharType="begin"/>
        </w:r>
        <w:r w:rsidR="007921E9">
          <w:rPr>
            <w:webHidden/>
          </w:rPr>
          <w:instrText xml:space="preserve"> PAGEREF _Toc138325709 \h </w:instrText>
        </w:r>
        <w:r w:rsidR="007921E9">
          <w:rPr>
            <w:webHidden/>
          </w:rPr>
        </w:r>
        <w:r w:rsidR="007921E9">
          <w:rPr>
            <w:webHidden/>
          </w:rPr>
          <w:fldChar w:fldCharType="separate"/>
        </w:r>
        <w:r>
          <w:rPr>
            <w:webHidden/>
          </w:rPr>
          <w:t>104</w:t>
        </w:r>
        <w:r w:rsidR="007921E9">
          <w:rPr>
            <w:webHidden/>
          </w:rPr>
          <w:fldChar w:fldCharType="end"/>
        </w:r>
      </w:hyperlink>
    </w:p>
    <w:p w14:paraId="1CA8843B" w14:textId="1B4489F9"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10" w:history="1">
        <w:r w:rsidR="007921E9" w:rsidRPr="007A4E7B">
          <w:rPr>
            <w:rStyle w:val="Hyperlink"/>
            <w:rFonts w:ascii="Arial" w:hAnsi="Arial" w:cs="Arial"/>
            <w:noProof/>
          </w:rPr>
          <w:t>10.1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Application</w:t>
        </w:r>
        <w:r w:rsidR="007921E9">
          <w:rPr>
            <w:noProof/>
            <w:webHidden/>
          </w:rPr>
          <w:tab/>
        </w:r>
        <w:r w:rsidR="007921E9">
          <w:rPr>
            <w:noProof/>
            <w:webHidden/>
          </w:rPr>
          <w:fldChar w:fldCharType="begin"/>
        </w:r>
        <w:r w:rsidR="007921E9">
          <w:rPr>
            <w:noProof/>
            <w:webHidden/>
          </w:rPr>
          <w:instrText xml:space="preserve"> PAGEREF _Toc138325710 \h </w:instrText>
        </w:r>
        <w:r w:rsidR="007921E9">
          <w:rPr>
            <w:noProof/>
            <w:webHidden/>
          </w:rPr>
        </w:r>
        <w:r w:rsidR="007921E9">
          <w:rPr>
            <w:noProof/>
            <w:webHidden/>
          </w:rPr>
          <w:fldChar w:fldCharType="separate"/>
        </w:r>
        <w:r>
          <w:rPr>
            <w:noProof/>
            <w:webHidden/>
          </w:rPr>
          <w:t>104</w:t>
        </w:r>
        <w:r w:rsidR="007921E9">
          <w:rPr>
            <w:noProof/>
            <w:webHidden/>
          </w:rPr>
          <w:fldChar w:fldCharType="end"/>
        </w:r>
      </w:hyperlink>
    </w:p>
    <w:p w14:paraId="07E579D1" w14:textId="253A8289"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11" w:history="1">
        <w:r w:rsidR="007921E9" w:rsidRPr="007A4E7B">
          <w:rPr>
            <w:rStyle w:val="Hyperlink"/>
            <w:rFonts w:ascii="Arial" w:hAnsi="Arial" w:cs="Arial"/>
            <w:noProof/>
          </w:rPr>
          <w:t>10.2</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Application in respect of a Reporting Entity</w:t>
        </w:r>
        <w:r w:rsidR="007921E9">
          <w:rPr>
            <w:noProof/>
            <w:webHidden/>
          </w:rPr>
          <w:tab/>
        </w:r>
        <w:r w:rsidR="007921E9">
          <w:rPr>
            <w:noProof/>
            <w:webHidden/>
          </w:rPr>
          <w:fldChar w:fldCharType="begin"/>
        </w:r>
        <w:r w:rsidR="007921E9">
          <w:rPr>
            <w:noProof/>
            <w:webHidden/>
          </w:rPr>
          <w:instrText xml:space="preserve"> PAGEREF _Toc138325711 \h </w:instrText>
        </w:r>
        <w:r w:rsidR="007921E9">
          <w:rPr>
            <w:noProof/>
            <w:webHidden/>
          </w:rPr>
        </w:r>
        <w:r w:rsidR="007921E9">
          <w:rPr>
            <w:noProof/>
            <w:webHidden/>
          </w:rPr>
          <w:fldChar w:fldCharType="separate"/>
        </w:r>
        <w:r>
          <w:rPr>
            <w:noProof/>
            <w:webHidden/>
          </w:rPr>
          <w:t>108</w:t>
        </w:r>
        <w:r w:rsidR="007921E9">
          <w:rPr>
            <w:noProof/>
            <w:webHidden/>
          </w:rPr>
          <w:fldChar w:fldCharType="end"/>
        </w:r>
      </w:hyperlink>
    </w:p>
    <w:p w14:paraId="097F0B1D" w14:textId="5466AEEC"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712" w:history="1">
        <w:r w:rsidR="007921E9" w:rsidRPr="007A4E7B">
          <w:rPr>
            <w:rStyle w:val="Hyperlink"/>
          </w:rPr>
          <w:t>11.</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ADDITIONAL OBLIGATIONS FOR MINING REPORTING ENTITIES</w:t>
        </w:r>
        <w:r w:rsidR="007921E9">
          <w:rPr>
            <w:webHidden/>
          </w:rPr>
          <w:tab/>
        </w:r>
        <w:r w:rsidR="007921E9">
          <w:rPr>
            <w:webHidden/>
          </w:rPr>
          <w:fldChar w:fldCharType="begin"/>
        </w:r>
        <w:r w:rsidR="007921E9">
          <w:rPr>
            <w:webHidden/>
          </w:rPr>
          <w:instrText xml:space="preserve"> PAGEREF _Toc138325712 \h </w:instrText>
        </w:r>
        <w:r w:rsidR="007921E9">
          <w:rPr>
            <w:webHidden/>
          </w:rPr>
        </w:r>
        <w:r w:rsidR="007921E9">
          <w:rPr>
            <w:webHidden/>
          </w:rPr>
          <w:fldChar w:fldCharType="separate"/>
        </w:r>
        <w:r>
          <w:rPr>
            <w:webHidden/>
          </w:rPr>
          <w:t>110</w:t>
        </w:r>
        <w:r w:rsidR="007921E9">
          <w:rPr>
            <w:webHidden/>
          </w:rPr>
          <w:fldChar w:fldCharType="end"/>
        </w:r>
      </w:hyperlink>
    </w:p>
    <w:p w14:paraId="69DA163F" w14:textId="0A6F405C"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13" w:history="1">
        <w:r w:rsidR="007921E9" w:rsidRPr="007A4E7B">
          <w:rPr>
            <w:rStyle w:val="Hyperlink"/>
            <w:rFonts w:ascii="Arial" w:hAnsi="Arial" w:cs="Arial"/>
            <w:noProof/>
          </w:rPr>
          <w:t>11.1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Application</w:t>
        </w:r>
        <w:r w:rsidR="007921E9">
          <w:rPr>
            <w:noProof/>
            <w:webHidden/>
          </w:rPr>
          <w:tab/>
        </w:r>
        <w:r w:rsidR="007921E9">
          <w:rPr>
            <w:noProof/>
            <w:webHidden/>
          </w:rPr>
          <w:fldChar w:fldCharType="begin"/>
        </w:r>
        <w:r w:rsidR="007921E9">
          <w:rPr>
            <w:noProof/>
            <w:webHidden/>
          </w:rPr>
          <w:instrText xml:space="preserve"> PAGEREF _Toc138325713 \h </w:instrText>
        </w:r>
        <w:r w:rsidR="007921E9">
          <w:rPr>
            <w:noProof/>
            <w:webHidden/>
          </w:rPr>
        </w:r>
        <w:r w:rsidR="007921E9">
          <w:rPr>
            <w:noProof/>
            <w:webHidden/>
          </w:rPr>
          <w:fldChar w:fldCharType="separate"/>
        </w:r>
        <w:r>
          <w:rPr>
            <w:noProof/>
            <w:webHidden/>
          </w:rPr>
          <w:t>110</w:t>
        </w:r>
        <w:r w:rsidR="007921E9">
          <w:rPr>
            <w:noProof/>
            <w:webHidden/>
          </w:rPr>
          <w:fldChar w:fldCharType="end"/>
        </w:r>
      </w:hyperlink>
    </w:p>
    <w:p w14:paraId="6E94705C" w14:textId="775F3A3E"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14" w:history="1">
        <w:r w:rsidR="007921E9" w:rsidRPr="007A4E7B">
          <w:rPr>
            <w:rStyle w:val="Hyperlink"/>
            <w:rFonts w:ascii="Arial" w:hAnsi="Arial" w:cs="Arial"/>
            <w:noProof/>
          </w:rPr>
          <w:t>11.2</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General rules for mining activity disclosures</w:t>
        </w:r>
        <w:r w:rsidR="007921E9">
          <w:rPr>
            <w:noProof/>
            <w:webHidden/>
          </w:rPr>
          <w:tab/>
        </w:r>
        <w:r w:rsidR="007921E9">
          <w:rPr>
            <w:noProof/>
            <w:webHidden/>
          </w:rPr>
          <w:fldChar w:fldCharType="begin"/>
        </w:r>
        <w:r w:rsidR="007921E9">
          <w:rPr>
            <w:noProof/>
            <w:webHidden/>
          </w:rPr>
          <w:instrText xml:space="preserve"> PAGEREF _Toc138325714 \h </w:instrText>
        </w:r>
        <w:r w:rsidR="007921E9">
          <w:rPr>
            <w:noProof/>
            <w:webHidden/>
          </w:rPr>
        </w:r>
        <w:r w:rsidR="007921E9">
          <w:rPr>
            <w:noProof/>
            <w:webHidden/>
          </w:rPr>
          <w:fldChar w:fldCharType="separate"/>
        </w:r>
        <w:r>
          <w:rPr>
            <w:noProof/>
            <w:webHidden/>
          </w:rPr>
          <w:t>111</w:t>
        </w:r>
        <w:r w:rsidR="007921E9">
          <w:rPr>
            <w:noProof/>
            <w:webHidden/>
          </w:rPr>
          <w:fldChar w:fldCharType="end"/>
        </w:r>
      </w:hyperlink>
    </w:p>
    <w:p w14:paraId="4FA774D4" w14:textId="0B81439A"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15" w:history="1">
        <w:r w:rsidR="007921E9" w:rsidRPr="007A4E7B">
          <w:rPr>
            <w:rStyle w:val="Hyperlink"/>
            <w:rFonts w:ascii="Arial" w:hAnsi="Arial" w:cs="Arial"/>
            <w:noProof/>
          </w:rPr>
          <w:t>11.3</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Prospectus – Mining Disclosures</w:t>
        </w:r>
        <w:r w:rsidR="007921E9">
          <w:rPr>
            <w:noProof/>
            <w:webHidden/>
          </w:rPr>
          <w:tab/>
        </w:r>
        <w:r w:rsidR="007921E9">
          <w:rPr>
            <w:noProof/>
            <w:webHidden/>
          </w:rPr>
          <w:fldChar w:fldCharType="begin"/>
        </w:r>
        <w:r w:rsidR="007921E9">
          <w:rPr>
            <w:noProof/>
            <w:webHidden/>
          </w:rPr>
          <w:instrText xml:space="preserve"> PAGEREF _Toc138325715 \h </w:instrText>
        </w:r>
        <w:r w:rsidR="007921E9">
          <w:rPr>
            <w:noProof/>
            <w:webHidden/>
          </w:rPr>
        </w:r>
        <w:r w:rsidR="007921E9">
          <w:rPr>
            <w:noProof/>
            <w:webHidden/>
          </w:rPr>
          <w:fldChar w:fldCharType="separate"/>
        </w:r>
        <w:r>
          <w:rPr>
            <w:noProof/>
            <w:webHidden/>
          </w:rPr>
          <w:t>111</w:t>
        </w:r>
        <w:r w:rsidR="007921E9">
          <w:rPr>
            <w:noProof/>
            <w:webHidden/>
          </w:rPr>
          <w:fldChar w:fldCharType="end"/>
        </w:r>
      </w:hyperlink>
    </w:p>
    <w:p w14:paraId="6639C926" w14:textId="3A6A091B"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16" w:history="1">
        <w:r w:rsidR="007921E9" w:rsidRPr="007A4E7B">
          <w:rPr>
            <w:rStyle w:val="Hyperlink"/>
            <w:rFonts w:ascii="Arial" w:hAnsi="Arial" w:cs="Arial"/>
            <w:noProof/>
          </w:rPr>
          <w:t>11.4</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Exploration Results</w:t>
        </w:r>
        <w:r w:rsidR="007921E9">
          <w:rPr>
            <w:noProof/>
            <w:webHidden/>
          </w:rPr>
          <w:tab/>
        </w:r>
        <w:r w:rsidR="007921E9">
          <w:rPr>
            <w:noProof/>
            <w:webHidden/>
          </w:rPr>
          <w:fldChar w:fldCharType="begin"/>
        </w:r>
        <w:r w:rsidR="007921E9">
          <w:rPr>
            <w:noProof/>
            <w:webHidden/>
          </w:rPr>
          <w:instrText xml:space="preserve"> PAGEREF _Toc138325716 \h </w:instrText>
        </w:r>
        <w:r w:rsidR="007921E9">
          <w:rPr>
            <w:noProof/>
            <w:webHidden/>
          </w:rPr>
        </w:r>
        <w:r w:rsidR="007921E9">
          <w:rPr>
            <w:noProof/>
            <w:webHidden/>
          </w:rPr>
          <w:fldChar w:fldCharType="separate"/>
        </w:r>
        <w:r>
          <w:rPr>
            <w:noProof/>
            <w:webHidden/>
          </w:rPr>
          <w:t>113</w:t>
        </w:r>
        <w:r w:rsidR="007921E9">
          <w:rPr>
            <w:noProof/>
            <w:webHidden/>
          </w:rPr>
          <w:fldChar w:fldCharType="end"/>
        </w:r>
      </w:hyperlink>
    </w:p>
    <w:p w14:paraId="51E6925E" w14:textId="4E1EC022"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17" w:history="1">
        <w:r w:rsidR="007921E9" w:rsidRPr="007A4E7B">
          <w:rPr>
            <w:rStyle w:val="Hyperlink"/>
            <w:rFonts w:ascii="Arial" w:hAnsi="Arial" w:cs="Arial"/>
            <w:noProof/>
          </w:rPr>
          <w:t>11.5</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Mineral Resources</w:t>
        </w:r>
        <w:r w:rsidR="007921E9">
          <w:rPr>
            <w:noProof/>
            <w:webHidden/>
          </w:rPr>
          <w:tab/>
        </w:r>
        <w:r w:rsidR="007921E9">
          <w:rPr>
            <w:noProof/>
            <w:webHidden/>
          </w:rPr>
          <w:fldChar w:fldCharType="begin"/>
        </w:r>
        <w:r w:rsidR="007921E9">
          <w:rPr>
            <w:noProof/>
            <w:webHidden/>
          </w:rPr>
          <w:instrText xml:space="preserve"> PAGEREF _Toc138325717 \h </w:instrText>
        </w:r>
        <w:r w:rsidR="007921E9">
          <w:rPr>
            <w:noProof/>
            <w:webHidden/>
          </w:rPr>
        </w:r>
        <w:r w:rsidR="007921E9">
          <w:rPr>
            <w:noProof/>
            <w:webHidden/>
          </w:rPr>
          <w:fldChar w:fldCharType="separate"/>
        </w:r>
        <w:r>
          <w:rPr>
            <w:noProof/>
            <w:webHidden/>
          </w:rPr>
          <w:t>113</w:t>
        </w:r>
        <w:r w:rsidR="007921E9">
          <w:rPr>
            <w:noProof/>
            <w:webHidden/>
          </w:rPr>
          <w:fldChar w:fldCharType="end"/>
        </w:r>
      </w:hyperlink>
    </w:p>
    <w:p w14:paraId="1589F8A4" w14:textId="64E84DC8"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18" w:history="1">
        <w:r w:rsidR="007921E9" w:rsidRPr="007A4E7B">
          <w:rPr>
            <w:rStyle w:val="Hyperlink"/>
            <w:rFonts w:ascii="Arial" w:hAnsi="Arial" w:cs="Arial"/>
            <w:noProof/>
          </w:rPr>
          <w:t>11.6</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Ore Reserves</w:t>
        </w:r>
        <w:r w:rsidR="007921E9">
          <w:rPr>
            <w:noProof/>
            <w:webHidden/>
          </w:rPr>
          <w:tab/>
        </w:r>
        <w:r w:rsidR="007921E9">
          <w:rPr>
            <w:noProof/>
            <w:webHidden/>
          </w:rPr>
          <w:fldChar w:fldCharType="begin"/>
        </w:r>
        <w:r w:rsidR="007921E9">
          <w:rPr>
            <w:noProof/>
            <w:webHidden/>
          </w:rPr>
          <w:instrText xml:space="preserve"> PAGEREF _Toc138325718 \h </w:instrText>
        </w:r>
        <w:r w:rsidR="007921E9">
          <w:rPr>
            <w:noProof/>
            <w:webHidden/>
          </w:rPr>
        </w:r>
        <w:r w:rsidR="007921E9">
          <w:rPr>
            <w:noProof/>
            <w:webHidden/>
          </w:rPr>
          <w:fldChar w:fldCharType="separate"/>
        </w:r>
        <w:r>
          <w:rPr>
            <w:noProof/>
            <w:webHidden/>
          </w:rPr>
          <w:t>114</w:t>
        </w:r>
        <w:r w:rsidR="007921E9">
          <w:rPr>
            <w:noProof/>
            <w:webHidden/>
          </w:rPr>
          <w:fldChar w:fldCharType="end"/>
        </w:r>
      </w:hyperlink>
    </w:p>
    <w:p w14:paraId="691472E8" w14:textId="0498C77C"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19" w:history="1">
        <w:r w:rsidR="007921E9" w:rsidRPr="007A4E7B">
          <w:rPr>
            <w:rStyle w:val="Hyperlink"/>
            <w:rFonts w:ascii="Arial" w:hAnsi="Arial" w:cs="Arial"/>
            <w:noProof/>
          </w:rPr>
          <w:t>11.7</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Non-Equivalent Estimates</w:t>
        </w:r>
        <w:r w:rsidR="007921E9">
          <w:rPr>
            <w:noProof/>
            <w:webHidden/>
          </w:rPr>
          <w:tab/>
        </w:r>
        <w:r w:rsidR="007921E9">
          <w:rPr>
            <w:noProof/>
            <w:webHidden/>
          </w:rPr>
          <w:fldChar w:fldCharType="begin"/>
        </w:r>
        <w:r w:rsidR="007921E9">
          <w:rPr>
            <w:noProof/>
            <w:webHidden/>
          </w:rPr>
          <w:instrText xml:space="preserve"> PAGEREF _Toc138325719 \h </w:instrText>
        </w:r>
        <w:r w:rsidR="007921E9">
          <w:rPr>
            <w:noProof/>
            <w:webHidden/>
          </w:rPr>
        </w:r>
        <w:r w:rsidR="007921E9">
          <w:rPr>
            <w:noProof/>
            <w:webHidden/>
          </w:rPr>
          <w:fldChar w:fldCharType="separate"/>
        </w:r>
        <w:r>
          <w:rPr>
            <w:noProof/>
            <w:webHidden/>
          </w:rPr>
          <w:t>115</w:t>
        </w:r>
        <w:r w:rsidR="007921E9">
          <w:rPr>
            <w:noProof/>
            <w:webHidden/>
          </w:rPr>
          <w:fldChar w:fldCharType="end"/>
        </w:r>
      </w:hyperlink>
    </w:p>
    <w:p w14:paraId="50892B7C" w14:textId="77B76840"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20" w:history="1">
        <w:r w:rsidR="007921E9" w:rsidRPr="007A4E7B">
          <w:rPr>
            <w:rStyle w:val="Hyperlink"/>
            <w:rFonts w:ascii="Arial" w:hAnsi="Arial" w:cs="Arial"/>
            <w:noProof/>
          </w:rPr>
          <w:t>11.8</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Production Targets</w:t>
        </w:r>
        <w:r w:rsidR="007921E9">
          <w:rPr>
            <w:noProof/>
            <w:webHidden/>
          </w:rPr>
          <w:tab/>
        </w:r>
        <w:r w:rsidR="007921E9">
          <w:rPr>
            <w:noProof/>
            <w:webHidden/>
          </w:rPr>
          <w:fldChar w:fldCharType="begin"/>
        </w:r>
        <w:r w:rsidR="007921E9">
          <w:rPr>
            <w:noProof/>
            <w:webHidden/>
          </w:rPr>
          <w:instrText xml:space="preserve"> PAGEREF _Toc138325720 \h </w:instrText>
        </w:r>
        <w:r w:rsidR="007921E9">
          <w:rPr>
            <w:noProof/>
            <w:webHidden/>
          </w:rPr>
        </w:r>
        <w:r w:rsidR="007921E9">
          <w:rPr>
            <w:noProof/>
            <w:webHidden/>
          </w:rPr>
          <w:fldChar w:fldCharType="separate"/>
        </w:r>
        <w:r>
          <w:rPr>
            <w:noProof/>
            <w:webHidden/>
          </w:rPr>
          <w:t>118</w:t>
        </w:r>
        <w:r w:rsidR="007921E9">
          <w:rPr>
            <w:noProof/>
            <w:webHidden/>
          </w:rPr>
          <w:fldChar w:fldCharType="end"/>
        </w:r>
      </w:hyperlink>
    </w:p>
    <w:p w14:paraId="395621E4" w14:textId="47B462DC"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21" w:history="1">
        <w:r w:rsidR="007921E9" w:rsidRPr="007A4E7B">
          <w:rPr>
            <w:rStyle w:val="Hyperlink"/>
            <w:rFonts w:ascii="Arial" w:hAnsi="Arial" w:cs="Arial"/>
            <w:noProof/>
          </w:rPr>
          <w:t>11.9</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Forecast financial information</w:t>
        </w:r>
        <w:r w:rsidR="007921E9">
          <w:rPr>
            <w:noProof/>
            <w:webHidden/>
          </w:rPr>
          <w:tab/>
        </w:r>
        <w:r w:rsidR="007921E9">
          <w:rPr>
            <w:noProof/>
            <w:webHidden/>
          </w:rPr>
          <w:fldChar w:fldCharType="begin"/>
        </w:r>
        <w:r w:rsidR="007921E9">
          <w:rPr>
            <w:noProof/>
            <w:webHidden/>
          </w:rPr>
          <w:instrText xml:space="preserve"> PAGEREF _Toc138325721 \h </w:instrText>
        </w:r>
        <w:r w:rsidR="007921E9">
          <w:rPr>
            <w:noProof/>
            <w:webHidden/>
          </w:rPr>
        </w:r>
        <w:r w:rsidR="007921E9">
          <w:rPr>
            <w:noProof/>
            <w:webHidden/>
          </w:rPr>
          <w:fldChar w:fldCharType="separate"/>
        </w:r>
        <w:r>
          <w:rPr>
            <w:noProof/>
            <w:webHidden/>
          </w:rPr>
          <w:t>121</w:t>
        </w:r>
        <w:r w:rsidR="007921E9">
          <w:rPr>
            <w:noProof/>
            <w:webHidden/>
          </w:rPr>
          <w:fldChar w:fldCharType="end"/>
        </w:r>
      </w:hyperlink>
    </w:p>
    <w:p w14:paraId="385F0C9C" w14:textId="5D0C9DD0"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22" w:history="1">
        <w:r w:rsidR="007921E9" w:rsidRPr="007A4E7B">
          <w:rPr>
            <w:rStyle w:val="Hyperlink"/>
            <w:rFonts w:ascii="Arial" w:hAnsi="Arial" w:cs="Arial"/>
            <w:noProof/>
          </w:rPr>
          <w:t>11.10</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Quarterly Reports</w:t>
        </w:r>
        <w:r w:rsidR="007921E9">
          <w:rPr>
            <w:noProof/>
            <w:webHidden/>
          </w:rPr>
          <w:tab/>
        </w:r>
        <w:r w:rsidR="007921E9">
          <w:rPr>
            <w:noProof/>
            <w:webHidden/>
          </w:rPr>
          <w:fldChar w:fldCharType="begin"/>
        </w:r>
        <w:r w:rsidR="007921E9">
          <w:rPr>
            <w:noProof/>
            <w:webHidden/>
          </w:rPr>
          <w:instrText xml:space="preserve"> PAGEREF _Toc138325722 \h </w:instrText>
        </w:r>
        <w:r w:rsidR="007921E9">
          <w:rPr>
            <w:noProof/>
            <w:webHidden/>
          </w:rPr>
        </w:r>
        <w:r w:rsidR="007921E9">
          <w:rPr>
            <w:noProof/>
            <w:webHidden/>
          </w:rPr>
          <w:fldChar w:fldCharType="separate"/>
        </w:r>
        <w:r>
          <w:rPr>
            <w:noProof/>
            <w:webHidden/>
          </w:rPr>
          <w:t>122</w:t>
        </w:r>
        <w:r w:rsidR="007921E9">
          <w:rPr>
            <w:noProof/>
            <w:webHidden/>
          </w:rPr>
          <w:fldChar w:fldCharType="end"/>
        </w:r>
      </w:hyperlink>
    </w:p>
    <w:p w14:paraId="31737BEA" w14:textId="09935E73"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23" w:history="1">
        <w:r w:rsidR="007921E9" w:rsidRPr="007A4E7B">
          <w:rPr>
            <w:rStyle w:val="Hyperlink"/>
            <w:rFonts w:ascii="Arial" w:hAnsi="Arial" w:cs="Arial"/>
            <w:noProof/>
          </w:rPr>
          <w:t>11.11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Summary of Reserves and Resources</w:t>
        </w:r>
        <w:r w:rsidR="007921E9">
          <w:rPr>
            <w:noProof/>
            <w:webHidden/>
          </w:rPr>
          <w:tab/>
        </w:r>
        <w:r w:rsidR="007921E9">
          <w:rPr>
            <w:noProof/>
            <w:webHidden/>
          </w:rPr>
          <w:fldChar w:fldCharType="begin"/>
        </w:r>
        <w:r w:rsidR="007921E9">
          <w:rPr>
            <w:noProof/>
            <w:webHidden/>
          </w:rPr>
          <w:instrText xml:space="preserve"> PAGEREF _Toc138325723 \h </w:instrText>
        </w:r>
        <w:r w:rsidR="007921E9">
          <w:rPr>
            <w:noProof/>
            <w:webHidden/>
          </w:rPr>
        </w:r>
        <w:r w:rsidR="007921E9">
          <w:rPr>
            <w:noProof/>
            <w:webHidden/>
          </w:rPr>
          <w:fldChar w:fldCharType="separate"/>
        </w:r>
        <w:r>
          <w:rPr>
            <w:noProof/>
            <w:webHidden/>
          </w:rPr>
          <w:t>123</w:t>
        </w:r>
        <w:r w:rsidR="007921E9">
          <w:rPr>
            <w:noProof/>
            <w:webHidden/>
          </w:rPr>
          <w:fldChar w:fldCharType="end"/>
        </w:r>
      </w:hyperlink>
    </w:p>
    <w:p w14:paraId="36657F2C" w14:textId="592F346C"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24" w:history="1">
        <w:r w:rsidR="007921E9" w:rsidRPr="007A4E7B">
          <w:rPr>
            <w:rStyle w:val="Hyperlink"/>
            <w:rFonts w:ascii="Arial" w:hAnsi="Arial" w:cs="Arial"/>
            <w:noProof/>
          </w:rPr>
          <w:t>11.12</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Other Requirements</w:t>
        </w:r>
        <w:r w:rsidR="007921E9">
          <w:rPr>
            <w:noProof/>
            <w:webHidden/>
          </w:rPr>
          <w:tab/>
        </w:r>
        <w:r w:rsidR="007921E9">
          <w:rPr>
            <w:noProof/>
            <w:webHidden/>
          </w:rPr>
          <w:fldChar w:fldCharType="begin"/>
        </w:r>
        <w:r w:rsidR="007921E9">
          <w:rPr>
            <w:noProof/>
            <w:webHidden/>
          </w:rPr>
          <w:instrText xml:space="preserve"> PAGEREF _Toc138325724 \h </w:instrText>
        </w:r>
        <w:r w:rsidR="007921E9">
          <w:rPr>
            <w:noProof/>
            <w:webHidden/>
          </w:rPr>
        </w:r>
        <w:r w:rsidR="007921E9">
          <w:rPr>
            <w:noProof/>
            <w:webHidden/>
          </w:rPr>
          <w:fldChar w:fldCharType="separate"/>
        </w:r>
        <w:r>
          <w:rPr>
            <w:noProof/>
            <w:webHidden/>
          </w:rPr>
          <w:t>124</w:t>
        </w:r>
        <w:r w:rsidR="007921E9">
          <w:rPr>
            <w:noProof/>
            <w:webHidden/>
          </w:rPr>
          <w:fldChar w:fldCharType="end"/>
        </w:r>
      </w:hyperlink>
    </w:p>
    <w:p w14:paraId="6ECC998B" w14:textId="71DE271F"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725" w:history="1">
        <w:r w:rsidR="007921E9" w:rsidRPr="007A4E7B">
          <w:rPr>
            <w:rStyle w:val="Hyperlink"/>
          </w:rPr>
          <w:t>12.</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ADDITIONAL OBLIGATIONS FOR PETROLEUM REPORTING ENTITIES</w:t>
        </w:r>
        <w:r w:rsidR="007921E9">
          <w:rPr>
            <w:webHidden/>
          </w:rPr>
          <w:tab/>
        </w:r>
        <w:r w:rsidR="007921E9">
          <w:rPr>
            <w:webHidden/>
          </w:rPr>
          <w:fldChar w:fldCharType="begin"/>
        </w:r>
        <w:r w:rsidR="007921E9">
          <w:rPr>
            <w:webHidden/>
          </w:rPr>
          <w:instrText xml:space="preserve"> PAGEREF _Toc138325725 \h </w:instrText>
        </w:r>
        <w:r w:rsidR="007921E9">
          <w:rPr>
            <w:webHidden/>
          </w:rPr>
        </w:r>
        <w:r w:rsidR="007921E9">
          <w:rPr>
            <w:webHidden/>
          </w:rPr>
          <w:fldChar w:fldCharType="separate"/>
        </w:r>
        <w:r>
          <w:rPr>
            <w:webHidden/>
          </w:rPr>
          <w:t>125</w:t>
        </w:r>
        <w:r w:rsidR="007921E9">
          <w:rPr>
            <w:webHidden/>
          </w:rPr>
          <w:fldChar w:fldCharType="end"/>
        </w:r>
      </w:hyperlink>
    </w:p>
    <w:p w14:paraId="3A2B4C2D" w14:textId="0E88B896"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26" w:history="1">
        <w:r w:rsidR="007921E9" w:rsidRPr="007A4E7B">
          <w:rPr>
            <w:rStyle w:val="Hyperlink"/>
            <w:rFonts w:ascii="Arial" w:hAnsi="Arial" w:cs="Arial"/>
            <w:noProof/>
          </w:rPr>
          <w:t>12.1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Application</w:t>
        </w:r>
        <w:r w:rsidR="007921E9">
          <w:rPr>
            <w:noProof/>
            <w:webHidden/>
          </w:rPr>
          <w:tab/>
        </w:r>
        <w:r w:rsidR="007921E9">
          <w:rPr>
            <w:noProof/>
            <w:webHidden/>
          </w:rPr>
          <w:fldChar w:fldCharType="begin"/>
        </w:r>
        <w:r w:rsidR="007921E9">
          <w:rPr>
            <w:noProof/>
            <w:webHidden/>
          </w:rPr>
          <w:instrText xml:space="preserve"> PAGEREF _Toc138325726 \h </w:instrText>
        </w:r>
        <w:r w:rsidR="007921E9">
          <w:rPr>
            <w:noProof/>
            <w:webHidden/>
          </w:rPr>
        </w:r>
        <w:r w:rsidR="007921E9">
          <w:rPr>
            <w:noProof/>
            <w:webHidden/>
          </w:rPr>
          <w:fldChar w:fldCharType="separate"/>
        </w:r>
        <w:r>
          <w:rPr>
            <w:noProof/>
            <w:webHidden/>
          </w:rPr>
          <w:t>125</w:t>
        </w:r>
        <w:r w:rsidR="007921E9">
          <w:rPr>
            <w:noProof/>
            <w:webHidden/>
          </w:rPr>
          <w:fldChar w:fldCharType="end"/>
        </w:r>
      </w:hyperlink>
    </w:p>
    <w:p w14:paraId="2A163CBB" w14:textId="5202BF51"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27" w:history="1">
        <w:r w:rsidR="007921E9" w:rsidRPr="007A4E7B">
          <w:rPr>
            <w:rStyle w:val="Hyperlink"/>
            <w:rFonts w:ascii="Arial" w:hAnsi="Arial" w:cs="Arial"/>
            <w:noProof/>
          </w:rPr>
          <w:t>12.2</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General rules for Petroleum activity disclosures</w:t>
        </w:r>
        <w:r w:rsidR="007921E9">
          <w:rPr>
            <w:noProof/>
            <w:webHidden/>
          </w:rPr>
          <w:tab/>
        </w:r>
        <w:r w:rsidR="007921E9">
          <w:rPr>
            <w:noProof/>
            <w:webHidden/>
          </w:rPr>
          <w:fldChar w:fldCharType="begin"/>
        </w:r>
        <w:r w:rsidR="007921E9">
          <w:rPr>
            <w:noProof/>
            <w:webHidden/>
          </w:rPr>
          <w:instrText xml:space="preserve"> PAGEREF _Toc138325727 \h </w:instrText>
        </w:r>
        <w:r w:rsidR="007921E9">
          <w:rPr>
            <w:noProof/>
            <w:webHidden/>
          </w:rPr>
        </w:r>
        <w:r w:rsidR="007921E9">
          <w:rPr>
            <w:noProof/>
            <w:webHidden/>
          </w:rPr>
          <w:fldChar w:fldCharType="separate"/>
        </w:r>
        <w:r>
          <w:rPr>
            <w:noProof/>
            <w:webHidden/>
          </w:rPr>
          <w:t>125</w:t>
        </w:r>
        <w:r w:rsidR="007921E9">
          <w:rPr>
            <w:noProof/>
            <w:webHidden/>
          </w:rPr>
          <w:fldChar w:fldCharType="end"/>
        </w:r>
      </w:hyperlink>
    </w:p>
    <w:p w14:paraId="3224985E" w14:textId="13D5AE89"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28" w:history="1">
        <w:r w:rsidR="007921E9" w:rsidRPr="007A4E7B">
          <w:rPr>
            <w:rStyle w:val="Hyperlink"/>
            <w:rFonts w:ascii="Arial" w:hAnsi="Arial" w:cs="Arial"/>
            <w:noProof/>
          </w:rPr>
          <w:t>12.3</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Prospectus – Petroleum disclosures</w:t>
        </w:r>
        <w:r w:rsidR="007921E9">
          <w:rPr>
            <w:noProof/>
            <w:webHidden/>
          </w:rPr>
          <w:tab/>
        </w:r>
        <w:r w:rsidR="007921E9">
          <w:rPr>
            <w:noProof/>
            <w:webHidden/>
          </w:rPr>
          <w:fldChar w:fldCharType="begin"/>
        </w:r>
        <w:r w:rsidR="007921E9">
          <w:rPr>
            <w:noProof/>
            <w:webHidden/>
          </w:rPr>
          <w:instrText xml:space="preserve"> PAGEREF _Toc138325728 \h </w:instrText>
        </w:r>
        <w:r w:rsidR="007921E9">
          <w:rPr>
            <w:noProof/>
            <w:webHidden/>
          </w:rPr>
        </w:r>
        <w:r w:rsidR="007921E9">
          <w:rPr>
            <w:noProof/>
            <w:webHidden/>
          </w:rPr>
          <w:fldChar w:fldCharType="separate"/>
        </w:r>
        <w:r>
          <w:rPr>
            <w:noProof/>
            <w:webHidden/>
          </w:rPr>
          <w:t>127</w:t>
        </w:r>
        <w:r w:rsidR="007921E9">
          <w:rPr>
            <w:noProof/>
            <w:webHidden/>
          </w:rPr>
          <w:fldChar w:fldCharType="end"/>
        </w:r>
      </w:hyperlink>
    </w:p>
    <w:p w14:paraId="40F61E19" w14:textId="0BA4C9DF"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29" w:history="1">
        <w:r w:rsidR="007921E9" w:rsidRPr="007A4E7B">
          <w:rPr>
            <w:rStyle w:val="Hyperlink"/>
            <w:rFonts w:ascii="Arial" w:hAnsi="Arial" w:cs="Arial"/>
            <w:noProof/>
          </w:rPr>
          <w:t>12.4</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Geophysical surveys</w:t>
        </w:r>
        <w:r w:rsidR="007921E9">
          <w:rPr>
            <w:noProof/>
            <w:webHidden/>
          </w:rPr>
          <w:tab/>
        </w:r>
        <w:r w:rsidR="007921E9">
          <w:rPr>
            <w:noProof/>
            <w:webHidden/>
          </w:rPr>
          <w:fldChar w:fldCharType="begin"/>
        </w:r>
        <w:r w:rsidR="007921E9">
          <w:rPr>
            <w:noProof/>
            <w:webHidden/>
          </w:rPr>
          <w:instrText xml:space="preserve"> PAGEREF _Toc138325729 \h </w:instrText>
        </w:r>
        <w:r w:rsidR="007921E9">
          <w:rPr>
            <w:noProof/>
            <w:webHidden/>
          </w:rPr>
        </w:r>
        <w:r w:rsidR="007921E9">
          <w:rPr>
            <w:noProof/>
            <w:webHidden/>
          </w:rPr>
          <w:fldChar w:fldCharType="separate"/>
        </w:r>
        <w:r>
          <w:rPr>
            <w:noProof/>
            <w:webHidden/>
          </w:rPr>
          <w:t>128</w:t>
        </w:r>
        <w:r w:rsidR="007921E9">
          <w:rPr>
            <w:noProof/>
            <w:webHidden/>
          </w:rPr>
          <w:fldChar w:fldCharType="end"/>
        </w:r>
      </w:hyperlink>
    </w:p>
    <w:p w14:paraId="3CED77A7" w14:textId="189C72C1"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30" w:history="1">
        <w:r w:rsidR="007921E9" w:rsidRPr="007A4E7B">
          <w:rPr>
            <w:rStyle w:val="Hyperlink"/>
            <w:rFonts w:ascii="Arial" w:hAnsi="Arial" w:cs="Arial"/>
            <w:noProof/>
          </w:rPr>
          <w:t>12.5</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Exploration and drilling</w:t>
        </w:r>
        <w:r w:rsidR="007921E9">
          <w:rPr>
            <w:noProof/>
            <w:webHidden/>
          </w:rPr>
          <w:tab/>
        </w:r>
        <w:r w:rsidR="007921E9">
          <w:rPr>
            <w:noProof/>
            <w:webHidden/>
          </w:rPr>
          <w:fldChar w:fldCharType="begin"/>
        </w:r>
        <w:r w:rsidR="007921E9">
          <w:rPr>
            <w:noProof/>
            <w:webHidden/>
          </w:rPr>
          <w:instrText xml:space="preserve"> PAGEREF _Toc138325730 \h </w:instrText>
        </w:r>
        <w:r w:rsidR="007921E9">
          <w:rPr>
            <w:noProof/>
            <w:webHidden/>
          </w:rPr>
        </w:r>
        <w:r w:rsidR="007921E9">
          <w:rPr>
            <w:noProof/>
            <w:webHidden/>
          </w:rPr>
          <w:fldChar w:fldCharType="separate"/>
        </w:r>
        <w:r>
          <w:rPr>
            <w:noProof/>
            <w:webHidden/>
          </w:rPr>
          <w:t>128</w:t>
        </w:r>
        <w:r w:rsidR="007921E9">
          <w:rPr>
            <w:noProof/>
            <w:webHidden/>
          </w:rPr>
          <w:fldChar w:fldCharType="end"/>
        </w:r>
      </w:hyperlink>
    </w:p>
    <w:p w14:paraId="7D1421F3" w14:textId="0B459037"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31" w:history="1">
        <w:r w:rsidR="007921E9" w:rsidRPr="007A4E7B">
          <w:rPr>
            <w:rStyle w:val="Hyperlink"/>
            <w:rFonts w:ascii="Arial" w:hAnsi="Arial" w:cs="Arial"/>
            <w:noProof/>
          </w:rPr>
          <w:t>12.6</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Initial disclosure of Petroleum Resources</w:t>
        </w:r>
        <w:r w:rsidR="007921E9">
          <w:rPr>
            <w:noProof/>
            <w:webHidden/>
          </w:rPr>
          <w:tab/>
        </w:r>
        <w:r w:rsidR="007921E9">
          <w:rPr>
            <w:noProof/>
            <w:webHidden/>
          </w:rPr>
          <w:fldChar w:fldCharType="begin"/>
        </w:r>
        <w:r w:rsidR="007921E9">
          <w:rPr>
            <w:noProof/>
            <w:webHidden/>
          </w:rPr>
          <w:instrText xml:space="preserve"> PAGEREF _Toc138325731 \h </w:instrText>
        </w:r>
        <w:r w:rsidR="007921E9">
          <w:rPr>
            <w:noProof/>
            <w:webHidden/>
          </w:rPr>
        </w:r>
        <w:r w:rsidR="007921E9">
          <w:rPr>
            <w:noProof/>
            <w:webHidden/>
          </w:rPr>
          <w:fldChar w:fldCharType="separate"/>
        </w:r>
        <w:r>
          <w:rPr>
            <w:noProof/>
            <w:webHidden/>
          </w:rPr>
          <w:t>129</w:t>
        </w:r>
        <w:r w:rsidR="007921E9">
          <w:rPr>
            <w:noProof/>
            <w:webHidden/>
          </w:rPr>
          <w:fldChar w:fldCharType="end"/>
        </w:r>
      </w:hyperlink>
    </w:p>
    <w:p w14:paraId="086750C8" w14:textId="3456A131"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32" w:history="1">
        <w:r w:rsidR="007921E9" w:rsidRPr="007A4E7B">
          <w:rPr>
            <w:rStyle w:val="Hyperlink"/>
            <w:rFonts w:ascii="Arial" w:hAnsi="Arial" w:cs="Arial"/>
            <w:noProof/>
          </w:rPr>
          <w:t>12.7</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Prospective Resources</w:t>
        </w:r>
        <w:r w:rsidR="007921E9">
          <w:rPr>
            <w:noProof/>
            <w:webHidden/>
          </w:rPr>
          <w:tab/>
        </w:r>
        <w:r w:rsidR="007921E9">
          <w:rPr>
            <w:noProof/>
            <w:webHidden/>
          </w:rPr>
          <w:fldChar w:fldCharType="begin"/>
        </w:r>
        <w:r w:rsidR="007921E9">
          <w:rPr>
            <w:noProof/>
            <w:webHidden/>
          </w:rPr>
          <w:instrText xml:space="preserve"> PAGEREF _Toc138325732 \h </w:instrText>
        </w:r>
        <w:r w:rsidR="007921E9">
          <w:rPr>
            <w:noProof/>
            <w:webHidden/>
          </w:rPr>
        </w:r>
        <w:r w:rsidR="007921E9">
          <w:rPr>
            <w:noProof/>
            <w:webHidden/>
          </w:rPr>
          <w:fldChar w:fldCharType="separate"/>
        </w:r>
        <w:r>
          <w:rPr>
            <w:noProof/>
            <w:webHidden/>
          </w:rPr>
          <w:t>129</w:t>
        </w:r>
        <w:r w:rsidR="007921E9">
          <w:rPr>
            <w:noProof/>
            <w:webHidden/>
          </w:rPr>
          <w:fldChar w:fldCharType="end"/>
        </w:r>
      </w:hyperlink>
    </w:p>
    <w:p w14:paraId="7E92B28A" w14:textId="1B102D5C"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33" w:history="1">
        <w:r w:rsidR="007921E9" w:rsidRPr="007A4E7B">
          <w:rPr>
            <w:rStyle w:val="Hyperlink"/>
            <w:rFonts w:ascii="Arial" w:hAnsi="Arial" w:cs="Arial"/>
            <w:noProof/>
          </w:rPr>
          <w:t>12.8</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Prospective Resources – Material Changes</w:t>
        </w:r>
        <w:r w:rsidR="007921E9">
          <w:rPr>
            <w:noProof/>
            <w:webHidden/>
          </w:rPr>
          <w:tab/>
        </w:r>
        <w:r w:rsidR="007921E9">
          <w:rPr>
            <w:noProof/>
            <w:webHidden/>
          </w:rPr>
          <w:fldChar w:fldCharType="begin"/>
        </w:r>
        <w:r w:rsidR="007921E9">
          <w:rPr>
            <w:noProof/>
            <w:webHidden/>
          </w:rPr>
          <w:instrText xml:space="preserve"> PAGEREF _Toc138325733 \h </w:instrText>
        </w:r>
        <w:r w:rsidR="007921E9">
          <w:rPr>
            <w:noProof/>
            <w:webHidden/>
          </w:rPr>
        </w:r>
        <w:r w:rsidR="007921E9">
          <w:rPr>
            <w:noProof/>
            <w:webHidden/>
          </w:rPr>
          <w:fldChar w:fldCharType="separate"/>
        </w:r>
        <w:r>
          <w:rPr>
            <w:noProof/>
            <w:webHidden/>
          </w:rPr>
          <w:t>130</w:t>
        </w:r>
        <w:r w:rsidR="007921E9">
          <w:rPr>
            <w:noProof/>
            <w:webHidden/>
          </w:rPr>
          <w:fldChar w:fldCharType="end"/>
        </w:r>
      </w:hyperlink>
    </w:p>
    <w:p w14:paraId="5CD84693" w14:textId="2650A829"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34" w:history="1">
        <w:r w:rsidR="007921E9" w:rsidRPr="007A4E7B">
          <w:rPr>
            <w:rStyle w:val="Hyperlink"/>
            <w:rFonts w:ascii="Arial" w:hAnsi="Arial" w:cs="Arial"/>
            <w:noProof/>
          </w:rPr>
          <w:t>12.9</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Contingent Resources</w:t>
        </w:r>
        <w:r w:rsidR="007921E9">
          <w:rPr>
            <w:noProof/>
            <w:webHidden/>
          </w:rPr>
          <w:tab/>
        </w:r>
        <w:r w:rsidR="007921E9">
          <w:rPr>
            <w:noProof/>
            <w:webHidden/>
          </w:rPr>
          <w:fldChar w:fldCharType="begin"/>
        </w:r>
        <w:r w:rsidR="007921E9">
          <w:rPr>
            <w:noProof/>
            <w:webHidden/>
          </w:rPr>
          <w:instrText xml:space="preserve"> PAGEREF _Toc138325734 \h </w:instrText>
        </w:r>
        <w:r w:rsidR="007921E9">
          <w:rPr>
            <w:noProof/>
            <w:webHidden/>
          </w:rPr>
        </w:r>
        <w:r w:rsidR="007921E9">
          <w:rPr>
            <w:noProof/>
            <w:webHidden/>
          </w:rPr>
          <w:fldChar w:fldCharType="separate"/>
        </w:r>
        <w:r>
          <w:rPr>
            <w:noProof/>
            <w:webHidden/>
          </w:rPr>
          <w:t>130</w:t>
        </w:r>
        <w:r w:rsidR="007921E9">
          <w:rPr>
            <w:noProof/>
            <w:webHidden/>
          </w:rPr>
          <w:fldChar w:fldCharType="end"/>
        </w:r>
      </w:hyperlink>
    </w:p>
    <w:p w14:paraId="70186BB6" w14:textId="37EC1C56"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35" w:history="1">
        <w:r w:rsidR="007921E9" w:rsidRPr="007A4E7B">
          <w:rPr>
            <w:rStyle w:val="Hyperlink"/>
            <w:rFonts w:ascii="Arial" w:hAnsi="Arial" w:cs="Arial"/>
            <w:noProof/>
          </w:rPr>
          <w:t>12.10</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Contingent Resources – Material Changes</w:t>
        </w:r>
        <w:r w:rsidR="007921E9">
          <w:rPr>
            <w:noProof/>
            <w:webHidden/>
          </w:rPr>
          <w:tab/>
        </w:r>
        <w:r w:rsidR="007921E9">
          <w:rPr>
            <w:noProof/>
            <w:webHidden/>
          </w:rPr>
          <w:fldChar w:fldCharType="begin"/>
        </w:r>
        <w:r w:rsidR="007921E9">
          <w:rPr>
            <w:noProof/>
            <w:webHidden/>
          </w:rPr>
          <w:instrText xml:space="preserve"> PAGEREF _Toc138325735 \h </w:instrText>
        </w:r>
        <w:r w:rsidR="007921E9">
          <w:rPr>
            <w:noProof/>
            <w:webHidden/>
          </w:rPr>
        </w:r>
        <w:r w:rsidR="007921E9">
          <w:rPr>
            <w:noProof/>
            <w:webHidden/>
          </w:rPr>
          <w:fldChar w:fldCharType="separate"/>
        </w:r>
        <w:r>
          <w:rPr>
            <w:noProof/>
            <w:webHidden/>
          </w:rPr>
          <w:t>131</w:t>
        </w:r>
        <w:r w:rsidR="007921E9">
          <w:rPr>
            <w:noProof/>
            <w:webHidden/>
          </w:rPr>
          <w:fldChar w:fldCharType="end"/>
        </w:r>
      </w:hyperlink>
    </w:p>
    <w:p w14:paraId="73E91E0C" w14:textId="63771170"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36" w:history="1">
        <w:r w:rsidR="007921E9" w:rsidRPr="007A4E7B">
          <w:rPr>
            <w:rStyle w:val="Hyperlink"/>
            <w:rFonts w:ascii="Arial" w:hAnsi="Arial" w:cs="Arial"/>
            <w:noProof/>
          </w:rPr>
          <w:t>12.11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Petroleum Reserves</w:t>
        </w:r>
        <w:r w:rsidR="007921E9">
          <w:rPr>
            <w:noProof/>
            <w:webHidden/>
          </w:rPr>
          <w:tab/>
        </w:r>
        <w:r w:rsidR="007921E9">
          <w:rPr>
            <w:noProof/>
            <w:webHidden/>
          </w:rPr>
          <w:fldChar w:fldCharType="begin"/>
        </w:r>
        <w:r w:rsidR="007921E9">
          <w:rPr>
            <w:noProof/>
            <w:webHidden/>
          </w:rPr>
          <w:instrText xml:space="preserve"> PAGEREF _Toc138325736 \h </w:instrText>
        </w:r>
        <w:r w:rsidR="007921E9">
          <w:rPr>
            <w:noProof/>
            <w:webHidden/>
          </w:rPr>
        </w:r>
        <w:r w:rsidR="007921E9">
          <w:rPr>
            <w:noProof/>
            <w:webHidden/>
          </w:rPr>
          <w:fldChar w:fldCharType="separate"/>
        </w:r>
        <w:r>
          <w:rPr>
            <w:noProof/>
            <w:webHidden/>
          </w:rPr>
          <w:t>132</w:t>
        </w:r>
        <w:r w:rsidR="007921E9">
          <w:rPr>
            <w:noProof/>
            <w:webHidden/>
          </w:rPr>
          <w:fldChar w:fldCharType="end"/>
        </w:r>
      </w:hyperlink>
    </w:p>
    <w:p w14:paraId="5132B928" w14:textId="09CC41CA"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37" w:history="1">
        <w:r w:rsidR="007921E9" w:rsidRPr="007A4E7B">
          <w:rPr>
            <w:rStyle w:val="Hyperlink"/>
            <w:rFonts w:ascii="Arial" w:hAnsi="Arial" w:cs="Arial"/>
            <w:noProof/>
          </w:rPr>
          <w:t>12.12</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Petroleum Reserves – Material Changes</w:t>
        </w:r>
        <w:r w:rsidR="007921E9">
          <w:rPr>
            <w:noProof/>
            <w:webHidden/>
          </w:rPr>
          <w:tab/>
        </w:r>
        <w:r w:rsidR="007921E9">
          <w:rPr>
            <w:noProof/>
            <w:webHidden/>
          </w:rPr>
          <w:fldChar w:fldCharType="begin"/>
        </w:r>
        <w:r w:rsidR="007921E9">
          <w:rPr>
            <w:noProof/>
            <w:webHidden/>
          </w:rPr>
          <w:instrText xml:space="preserve"> PAGEREF _Toc138325737 \h </w:instrText>
        </w:r>
        <w:r w:rsidR="007921E9">
          <w:rPr>
            <w:noProof/>
            <w:webHidden/>
          </w:rPr>
        </w:r>
        <w:r w:rsidR="007921E9">
          <w:rPr>
            <w:noProof/>
            <w:webHidden/>
          </w:rPr>
          <w:fldChar w:fldCharType="separate"/>
        </w:r>
        <w:r>
          <w:rPr>
            <w:noProof/>
            <w:webHidden/>
          </w:rPr>
          <w:t>133</w:t>
        </w:r>
        <w:r w:rsidR="007921E9">
          <w:rPr>
            <w:noProof/>
            <w:webHidden/>
          </w:rPr>
          <w:fldChar w:fldCharType="end"/>
        </w:r>
      </w:hyperlink>
    </w:p>
    <w:p w14:paraId="21F604AE" w14:textId="5546BDFE"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38" w:history="1">
        <w:r w:rsidR="007921E9" w:rsidRPr="007A4E7B">
          <w:rPr>
            <w:rStyle w:val="Hyperlink"/>
            <w:rFonts w:ascii="Arial" w:hAnsi="Arial" w:cs="Arial"/>
            <w:noProof/>
          </w:rPr>
          <w:t>12.13</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Quarterly Reports</w:t>
        </w:r>
        <w:r w:rsidR="007921E9">
          <w:rPr>
            <w:noProof/>
            <w:webHidden/>
          </w:rPr>
          <w:tab/>
        </w:r>
        <w:r w:rsidR="007921E9">
          <w:rPr>
            <w:noProof/>
            <w:webHidden/>
          </w:rPr>
          <w:fldChar w:fldCharType="begin"/>
        </w:r>
        <w:r w:rsidR="007921E9">
          <w:rPr>
            <w:noProof/>
            <w:webHidden/>
          </w:rPr>
          <w:instrText xml:space="preserve"> PAGEREF _Toc138325738 \h </w:instrText>
        </w:r>
        <w:r w:rsidR="007921E9">
          <w:rPr>
            <w:noProof/>
            <w:webHidden/>
          </w:rPr>
        </w:r>
        <w:r w:rsidR="007921E9">
          <w:rPr>
            <w:noProof/>
            <w:webHidden/>
          </w:rPr>
          <w:fldChar w:fldCharType="separate"/>
        </w:r>
        <w:r>
          <w:rPr>
            <w:noProof/>
            <w:webHidden/>
          </w:rPr>
          <w:t>134</w:t>
        </w:r>
        <w:r w:rsidR="007921E9">
          <w:rPr>
            <w:noProof/>
            <w:webHidden/>
          </w:rPr>
          <w:fldChar w:fldCharType="end"/>
        </w:r>
      </w:hyperlink>
    </w:p>
    <w:p w14:paraId="761E562F" w14:textId="3CF50A7C"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39" w:history="1">
        <w:r w:rsidR="007921E9" w:rsidRPr="007A4E7B">
          <w:rPr>
            <w:rStyle w:val="Hyperlink"/>
            <w:rFonts w:ascii="Arial" w:hAnsi="Arial" w:cs="Arial"/>
            <w:noProof/>
          </w:rPr>
          <w:t>12.14</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Summary of Reserves and Resources</w:t>
        </w:r>
        <w:r w:rsidR="007921E9">
          <w:rPr>
            <w:noProof/>
            <w:webHidden/>
          </w:rPr>
          <w:tab/>
        </w:r>
        <w:r w:rsidR="007921E9">
          <w:rPr>
            <w:noProof/>
            <w:webHidden/>
          </w:rPr>
          <w:fldChar w:fldCharType="begin"/>
        </w:r>
        <w:r w:rsidR="007921E9">
          <w:rPr>
            <w:noProof/>
            <w:webHidden/>
          </w:rPr>
          <w:instrText xml:space="preserve"> PAGEREF _Toc138325739 \h </w:instrText>
        </w:r>
        <w:r w:rsidR="007921E9">
          <w:rPr>
            <w:noProof/>
            <w:webHidden/>
          </w:rPr>
        </w:r>
        <w:r w:rsidR="007921E9">
          <w:rPr>
            <w:noProof/>
            <w:webHidden/>
          </w:rPr>
          <w:fldChar w:fldCharType="separate"/>
        </w:r>
        <w:r>
          <w:rPr>
            <w:noProof/>
            <w:webHidden/>
          </w:rPr>
          <w:t>136</w:t>
        </w:r>
        <w:r w:rsidR="007921E9">
          <w:rPr>
            <w:noProof/>
            <w:webHidden/>
          </w:rPr>
          <w:fldChar w:fldCharType="end"/>
        </w:r>
      </w:hyperlink>
    </w:p>
    <w:p w14:paraId="04DD3427" w14:textId="57450DB6"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40" w:history="1">
        <w:r w:rsidR="007921E9" w:rsidRPr="007A4E7B">
          <w:rPr>
            <w:rStyle w:val="Hyperlink"/>
            <w:rFonts w:ascii="Arial" w:hAnsi="Arial" w:cs="Arial"/>
            <w:noProof/>
          </w:rPr>
          <w:t>12.15</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Other Requirements</w:t>
        </w:r>
        <w:r w:rsidR="007921E9">
          <w:rPr>
            <w:noProof/>
            <w:webHidden/>
          </w:rPr>
          <w:tab/>
        </w:r>
        <w:r w:rsidR="007921E9">
          <w:rPr>
            <w:noProof/>
            <w:webHidden/>
          </w:rPr>
          <w:fldChar w:fldCharType="begin"/>
        </w:r>
        <w:r w:rsidR="007921E9">
          <w:rPr>
            <w:noProof/>
            <w:webHidden/>
          </w:rPr>
          <w:instrText xml:space="preserve"> PAGEREF _Toc138325740 \h </w:instrText>
        </w:r>
        <w:r w:rsidR="007921E9">
          <w:rPr>
            <w:noProof/>
            <w:webHidden/>
          </w:rPr>
        </w:r>
        <w:r w:rsidR="007921E9">
          <w:rPr>
            <w:noProof/>
            <w:webHidden/>
          </w:rPr>
          <w:fldChar w:fldCharType="separate"/>
        </w:r>
        <w:r>
          <w:rPr>
            <w:noProof/>
            <w:webHidden/>
          </w:rPr>
          <w:t>136</w:t>
        </w:r>
        <w:r w:rsidR="007921E9">
          <w:rPr>
            <w:noProof/>
            <w:webHidden/>
          </w:rPr>
          <w:fldChar w:fldCharType="end"/>
        </w:r>
      </w:hyperlink>
    </w:p>
    <w:p w14:paraId="35265F03" w14:textId="1F6009FD"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741" w:history="1">
        <w:r w:rsidR="007921E9" w:rsidRPr="007A4E7B">
          <w:rPr>
            <w:rStyle w:val="Hyperlink"/>
          </w:rPr>
          <w:t>APP 1</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CONTENT OF A PROSPECTUS</w:t>
        </w:r>
        <w:r w:rsidR="007921E9">
          <w:rPr>
            <w:webHidden/>
          </w:rPr>
          <w:tab/>
        </w:r>
        <w:r w:rsidR="007921E9">
          <w:rPr>
            <w:webHidden/>
          </w:rPr>
          <w:fldChar w:fldCharType="begin"/>
        </w:r>
        <w:r w:rsidR="007921E9">
          <w:rPr>
            <w:webHidden/>
          </w:rPr>
          <w:instrText xml:space="preserve"> PAGEREF _Toc138325741 \h </w:instrText>
        </w:r>
        <w:r w:rsidR="007921E9">
          <w:rPr>
            <w:webHidden/>
          </w:rPr>
        </w:r>
        <w:r w:rsidR="007921E9">
          <w:rPr>
            <w:webHidden/>
          </w:rPr>
          <w:fldChar w:fldCharType="separate"/>
        </w:r>
        <w:r>
          <w:rPr>
            <w:webHidden/>
          </w:rPr>
          <w:t>138</w:t>
        </w:r>
        <w:r w:rsidR="007921E9">
          <w:rPr>
            <w:webHidden/>
          </w:rPr>
          <w:fldChar w:fldCharType="end"/>
        </w:r>
      </w:hyperlink>
    </w:p>
    <w:p w14:paraId="1C17BB53" w14:textId="440051C9"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42" w:history="1">
        <w:r w:rsidR="007921E9" w:rsidRPr="007A4E7B">
          <w:rPr>
            <w:rStyle w:val="Hyperlink"/>
            <w:rFonts w:ascii="Arial" w:hAnsi="Arial" w:cs="Arial"/>
            <w:b/>
            <w:noProof/>
          </w:rPr>
          <w:t>A1.1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Registration statement</w:t>
        </w:r>
        <w:r w:rsidR="007921E9">
          <w:rPr>
            <w:noProof/>
            <w:webHidden/>
          </w:rPr>
          <w:tab/>
        </w:r>
        <w:r w:rsidR="007921E9">
          <w:rPr>
            <w:noProof/>
            <w:webHidden/>
          </w:rPr>
          <w:fldChar w:fldCharType="begin"/>
        </w:r>
        <w:r w:rsidR="007921E9">
          <w:rPr>
            <w:noProof/>
            <w:webHidden/>
          </w:rPr>
          <w:instrText xml:space="preserve"> PAGEREF _Toc138325742 \h </w:instrText>
        </w:r>
        <w:r w:rsidR="007921E9">
          <w:rPr>
            <w:noProof/>
            <w:webHidden/>
          </w:rPr>
        </w:r>
        <w:r w:rsidR="007921E9">
          <w:rPr>
            <w:noProof/>
            <w:webHidden/>
          </w:rPr>
          <w:fldChar w:fldCharType="separate"/>
        </w:r>
        <w:r>
          <w:rPr>
            <w:noProof/>
            <w:webHidden/>
          </w:rPr>
          <w:t>138</w:t>
        </w:r>
        <w:r w:rsidR="007921E9">
          <w:rPr>
            <w:noProof/>
            <w:webHidden/>
          </w:rPr>
          <w:fldChar w:fldCharType="end"/>
        </w:r>
      </w:hyperlink>
    </w:p>
    <w:p w14:paraId="557A32B2" w14:textId="6B0AEA8E"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43" w:history="1">
        <w:r w:rsidR="007921E9" w:rsidRPr="007A4E7B">
          <w:rPr>
            <w:rStyle w:val="Hyperlink"/>
            <w:rFonts w:ascii="Arial" w:hAnsi="Arial" w:cs="Arial"/>
            <w:b/>
            <w:noProof/>
          </w:rPr>
          <w:t>A1.2</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Securities note</w:t>
        </w:r>
        <w:r w:rsidR="007921E9">
          <w:rPr>
            <w:noProof/>
            <w:webHidden/>
          </w:rPr>
          <w:tab/>
        </w:r>
        <w:r w:rsidR="007921E9">
          <w:rPr>
            <w:noProof/>
            <w:webHidden/>
          </w:rPr>
          <w:fldChar w:fldCharType="begin"/>
        </w:r>
        <w:r w:rsidR="007921E9">
          <w:rPr>
            <w:noProof/>
            <w:webHidden/>
          </w:rPr>
          <w:instrText xml:space="preserve"> PAGEREF _Toc138325743 \h </w:instrText>
        </w:r>
        <w:r w:rsidR="007921E9">
          <w:rPr>
            <w:noProof/>
            <w:webHidden/>
          </w:rPr>
        </w:r>
        <w:r w:rsidR="007921E9">
          <w:rPr>
            <w:noProof/>
            <w:webHidden/>
          </w:rPr>
          <w:fldChar w:fldCharType="separate"/>
        </w:r>
        <w:r>
          <w:rPr>
            <w:noProof/>
            <w:webHidden/>
          </w:rPr>
          <w:t>164</w:t>
        </w:r>
        <w:r w:rsidR="007921E9">
          <w:rPr>
            <w:noProof/>
            <w:webHidden/>
          </w:rPr>
          <w:fldChar w:fldCharType="end"/>
        </w:r>
      </w:hyperlink>
    </w:p>
    <w:p w14:paraId="4BF7C4CF" w14:textId="3B93F21E"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744" w:history="1">
        <w:r w:rsidR="007921E9" w:rsidRPr="007A4E7B">
          <w:rPr>
            <w:rStyle w:val="Hyperlink"/>
          </w:rPr>
          <w:t>APP 2</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CONTINUOUS AND OTHER DISCLOSURES</w:t>
        </w:r>
        <w:r w:rsidR="007921E9">
          <w:rPr>
            <w:webHidden/>
          </w:rPr>
          <w:tab/>
        </w:r>
        <w:r w:rsidR="007921E9">
          <w:rPr>
            <w:webHidden/>
          </w:rPr>
          <w:fldChar w:fldCharType="begin"/>
        </w:r>
        <w:r w:rsidR="007921E9">
          <w:rPr>
            <w:webHidden/>
          </w:rPr>
          <w:instrText xml:space="preserve"> PAGEREF _Toc138325744 \h </w:instrText>
        </w:r>
        <w:r w:rsidR="007921E9">
          <w:rPr>
            <w:webHidden/>
          </w:rPr>
        </w:r>
        <w:r w:rsidR="007921E9">
          <w:rPr>
            <w:webHidden/>
          </w:rPr>
          <w:fldChar w:fldCharType="separate"/>
        </w:r>
        <w:r>
          <w:rPr>
            <w:webHidden/>
          </w:rPr>
          <w:t>185</w:t>
        </w:r>
        <w:r w:rsidR="007921E9">
          <w:rPr>
            <w:webHidden/>
          </w:rPr>
          <w:fldChar w:fldCharType="end"/>
        </w:r>
      </w:hyperlink>
    </w:p>
    <w:p w14:paraId="7B46137C" w14:textId="0F14A3F8"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45" w:history="1">
        <w:r w:rsidR="007921E9" w:rsidRPr="007A4E7B">
          <w:rPr>
            <w:rStyle w:val="Hyperlink"/>
            <w:rFonts w:ascii="Arial" w:hAnsi="Arial" w:cs="Arial"/>
            <w:b/>
            <w:noProof/>
          </w:rPr>
          <w:t>A2.1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This table forms part of Rule 7.6.1.</w:t>
        </w:r>
        <w:r w:rsidR="007921E9">
          <w:rPr>
            <w:noProof/>
            <w:webHidden/>
          </w:rPr>
          <w:tab/>
        </w:r>
        <w:r w:rsidR="007921E9">
          <w:rPr>
            <w:noProof/>
            <w:webHidden/>
          </w:rPr>
          <w:fldChar w:fldCharType="begin"/>
        </w:r>
        <w:r w:rsidR="007921E9">
          <w:rPr>
            <w:noProof/>
            <w:webHidden/>
          </w:rPr>
          <w:instrText xml:space="preserve"> PAGEREF _Toc138325745 \h </w:instrText>
        </w:r>
        <w:r w:rsidR="007921E9">
          <w:rPr>
            <w:noProof/>
            <w:webHidden/>
          </w:rPr>
        </w:r>
        <w:r w:rsidR="007921E9">
          <w:rPr>
            <w:noProof/>
            <w:webHidden/>
          </w:rPr>
          <w:fldChar w:fldCharType="separate"/>
        </w:r>
        <w:r>
          <w:rPr>
            <w:noProof/>
            <w:webHidden/>
          </w:rPr>
          <w:t>185</w:t>
        </w:r>
        <w:r w:rsidR="007921E9">
          <w:rPr>
            <w:noProof/>
            <w:webHidden/>
          </w:rPr>
          <w:fldChar w:fldCharType="end"/>
        </w:r>
      </w:hyperlink>
    </w:p>
    <w:p w14:paraId="4A667787" w14:textId="1506064A"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746" w:history="1">
        <w:r w:rsidR="007921E9" w:rsidRPr="007A4E7B">
          <w:rPr>
            <w:rStyle w:val="Hyperlink"/>
          </w:rPr>
          <w:t>APP 3</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DISCLOSURES RELATING TO LISTED FUNDS</w:t>
        </w:r>
        <w:r w:rsidR="007921E9">
          <w:rPr>
            <w:webHidden/>
          </w:rPr>
          <w:tab/>
        </w:r>
        <w:r w:rsidR="007921E9">
          <w:rPr>
            <w:webHidden/>
          </w:rPr>
          <w:fldChar w:fldCharType="begin"/>
        </w:r>
        <w:r w:rsidR="007921E9">
          <w:rPr>
            <w:webHidden/>
          </w:rPr>
          <w:instrText xml:space="preserve"> PAGEREF _Toc138325746 \h </w:instrText>
        </w:r>
        <w:r w:rsidR="007921E9">
          <w:rPr>
            <w:webHidden/>
          </w:rPr>
        </w:r>
        <w:r w:rsidR="007921E9">
          <w:rPr>
            <w:webHidden/>
          </w:rPr>
          <w:fldChar w:fldCharType="separate"/>
        </w:r>
        <w:r>
          <w:rPr>
            <w:webHidden/>
          </w:rPr>
          <w:t>195</w:t>
        </w:r>
        <w:r w:rsidR="007921E9">
          <w:rPr>
            <w:webHidden/>
          </w:rPr>
          <w:fldChar w:fldCharType="end"/>
        </w:r>
      </w:hyperlink>
    </w:p>
    <w:p w14:paraId="58045D11" w14:textId="6AE07C33"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747" w:history="1">
        <w:r w:rsidR="007921E9" w:rsidRPr="007A4E7B">
          <w:rPr>
            <w:rStyle w:val="Hyperlink"/>
          </w:rPr>
          <w:t>APP 4</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CORPORATE GOVERNANCE BEST PRACTICE STANDARDS</w:t>
        </w:r>
        <w:r w:rsidR="007921E9">
          <w:rPr>
            <w:webHidden/>
          </w:rPr>
          <w:tab/>
        </w:r>
        <w:r w:rsidR="007921E9">
          <w:rPr>
            <w:webHidden/>
          </w:rPr>
          <w:fldChar w:fldCharType="begin"/>
        </w:r>
        <w:r w:rsidR="007921E9">
          <w:rPr>
            <w:webHidden/>
          </w:rPr>
          <w:instrText xml:space="preserve"> PAGEREF _Toc138325747 \h </w:instrText>
        </w:r>
        <w:r w:rsidR="007921E9">
          <w:rPr>
            <w:webHidden/>
          </w:rPr>
        </w:r>
        <w:r w:rsidR="007921E9">
          <w:rPr>
            <w:webHidden/>
          </w:rPr>
          <w:fldChar w:fldCharType="separate"/>
        </w:r>
        <w:r>
          <w:rPr>
            <w:webHidden/>
          </w:rPr>
          <w:t>204</w:t>
        </w:r>
        <w:r w:rsidR="007921E9">
          <w:rPr>
            <w:webHidden/>
          </w:rPr>
          <w:fldChar w:fldCharType="end"/>
        </w:r>
      </w:hyperlink>
    </w:p>
    <w:p w14:paraId="3A734C03" w14:textId="2BA86970"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748" w:history="1">
        <w:r w:rsidR="007921E9" w:rsidRPr="007A4E7B">
          <w:rPr>
            <w:rStyle w:val="Hyperlink"/>
          </w:rPr>
          <w:t>APP 5</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LIST OF EXEMPT OFFERORS</w:t>
        </w:r>
        <w:r w:rsidR="007921E9">
          <w:rPr>
            <w:webHidden/>
          </w:rPr>
          <w:tab/>
        </w:r>
        <w:r w:rsidR="007921E9">
          <w:rPr>
            <w:webHidden/>
          </w:rPr>
          <w:fldChar w:fldCharType="begin"/>
        </w:r>
        <w:r w:rsidR="007921E9">
          <w:rPr>
            <w:webHidden/>
          </w:rPr>
          <w:instrText xml:space="preserve"> PAGEREF _Toc138325748 \h </w:instrText>
        </w:r>
        <w:r w:rsidR="007921E9">
          <w:rPr>
            <w:webHidden/>
          </w:rPr>
        </w:r>
        <w:r w:rsidR="007921E9">
          <w:rPr>
            <w:webHidden/>
          </w:rPr>
          <w:fldChar w:fldCharType="separate"/>
        </w:r>
        <w:r>
          <w:rPr>
            <w:webHidden/>
          </w:rPr>
          <w:t>216</w:t>
        </w:r>
        <w:r w:rsidR="007921E9">
          <w:rPr>
            <w:webHidden/>
          </w:rPr>
          <w:fldChar w:fldCharType="end"/>
        </w:r>
      </w:hyperlink>
    </w:p>
    <w:p w14:paraId="7437EC13" w14:textId="4D3D8866"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49" w:history="1">
        <w:r w:rsidR="007921E9" w:rsidRPr="007A4E7B">
          <w:rPr>
            <w:rStyle w:val="Hyperlink"/>
            <w:rFonts w:ascii="Arial" w:hAnsi="Arial" w:cs="Arial"/>
            <w:b/>
            <w:noProof/>
          </w:rPr>
          <w:t>A5.1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b/>
            <w:noProof/>
          </w:rPr>
          <w:t>List of Exempt Offerors</w:t>
        </w:r>
        <w:r w:rsidR="007921E9">
          <w:rPr>
            <w:noProof/>
            <w:webHidden/>
          </w:rPr>
          <w:tab/>
        </w:r>
        <w:r w:rsidR="007921E9">
          <w:rPr>
            <w:noProof/>
            <w:webHidden/>
          </w:rPr>
          <w:fldChar w:fldCharType="begin"/>
        </w:r>
        <w:r w:rsidR="007921E9">
          <w:rPr>
            <w:noProof/>
            <w:webHidden/>
          </w:rPr>
          <w:instrText xml:space="preserve"> PAGEREF _Toc138325749 \h </w:instrText>
        </w:r>
        <w:r w:rsidR="007921E9">
          <w:rPr>
            <w:noProof/>
            <w:webHidden/>
          </w:rPr>
        </w:r>
        <w:r w:rsidR="007921E9">
          <w:rPr>
            <w:noProof/>
            <w:webHidden/>
          </w:rPr>
          <w:fldChar w:fldCharType="separate"/>
        </w:r>
        <w:r>
          <w:rPr>
            <w:noProof/>
            <w:webHidden/>
          </w:rPr>
          <w:t>216</w:t>
        </w:r>
        <w:r w:rsidR="007921E9">
          <w:rPr>
            <w:noProof/>
            <w:webHidden/>
          </w:rPr>
          <w:fldChar w:fldCharType="end"/>
        </w:r>
      </w:hyperlink>
    </w:p>
    <w:p w14:paraId="20687EB4" w14:textId="2B4B0EF4"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750" w:history="1">
        <w:r w:rsidR="007921E9" w:rsidRPr="007A4E7B">
          <w:rPr>
            <w:rStyle w:val="Hyperlink"/>
          </w:rPr>
          <w:t>APP 6</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CONTINUING OBLIGATIONS – SECURITY SPECIFIC DISCLOSURES</w:t>
        </w:r>
        <w:r w:rsidR="007921E9">
          <w:rPr>
            <w:webHidden/>
          </w:rPr>
          <w:tab/>
        </w:r>
        <w:r w:rsidR="007921E9">
          <w:rPr>
            <w:webHidden/>
          </w:rPr>
          <w:fldChar w:fldCharType="begin"/>
        </w:r>
        <w:r w:rsidR="007921E9">
          <w:rPr>
            <w:webHidden/>
          </w:rPr>
          <w:instrText xml:space="preserve"> PAGEREF _Toc138325750 \h </w:instrText>
        </w:r>
        <w:r w:rsidR="007921E9">
          <w:rPr>
            <w:webHidden/>
          </w:rPr>
        </w:r>
        <w:r w:rsidR="007921E9">
          <w:rPr>
            <w:webHidden/>
          </w:rPr>
          <w:fldChar w:fldCharType="separate"/>
        </w:r>
        <w:r>
          <w:rPr>
            <w:webHidden/>
          </w:rPr>
          <w:t>217</w:t>
        </w:r>
        <w:r w:rsidR="007921E9">
          <w:rPr>
            <w:webHidden/>
          </w:rPr>
          <w:fldChar w:fldCharType="end"/>
        </w:r>
      </w:hyperlink>
    </w:p>
    <w:p w14:paraId="63D18526" w14:textId="276F6A42"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51" w:history="1">
        <w:r w:rsidR="007921E9" w:rsidRPr="007A4E7B">
          <w:rPr>
            <w:rStyle w:val="Hyperlink"/>
            <w:rFonts w:ascii="Arial" w:hAnsi="Arial" w:cs="Arial"/>
            <w:b/>
            <w:noProof/>
          </w:rPr>
          <w:t>A6.1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Continuing obligations – Disclosures for Listed Entities</w:t>
        </w:r>
        <w:r w:rsidR="007921E9">
          <w:rPr>
            <w:noProof/>
            <w:webHidden/>
          </w:rPr>
          <w:tab/>
        </w:r>
        <w:r w:rsidR="007921E9">
          <w:rPr>
            <w:noProof/>
            <w:webHidden/>
          </w:rPr>
          <w:fldChar w:fldCharType="begin"/>
        </w:r>
        <w:r w:rsidR="007921E9">
          <w:rPr>
            <w:noProof/>
            <w:webHidden/>
          </w:rPr>
          <w:instrText xml:space="preserve"> PAGEREF _Toc138325751 \h </w:instrText>
        </w:r>
        <w:r w:rsidR="007921E9">
          <w:rPr>
            <w:noProof/>
            <w:webHidden/>
          </w:rPr>
        </w:r>
        <w:r w:rsidR="007921E9">
          <w:rPr>
            <w:noProof/>
            <w:webHidden/>
          </w:rPr>
          <w:fldChar w:fldCharType="separate"/>
        </w:r>
        <w:r>
          <w:rPr>
            <w:noProof/>
            <w:webHidden/>
          </w:rPr>
          <w:t>217</w:t>
        </w:r>
        <w:r w:rsidR="007921E9">
          <w:rPr>
            <w:noProof/>
            <w:webHidden/>
          </w:rPr>
          <w:fldChar w:fldCharType="end"/>
        </w:r>
      </w:hyperlink>
    </w:p>
    <w:p w14:paraId="77EDE0C3" w14:textId="1F0E140D"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52" w:history="1">
        <w:r w:rsidR="007921E9" w:rsidRPr="007A4E7B">
          <w:rPr>
            <w:rStyle w:val="Hyperlink"/>
            <w:rFonts w:ascii="Arial" w:hAnsi="Arial" w:cs="Arial"/>
            <w:b/>
            <w:noProof/>
          </w:rPr>
          <w:t>A6.2</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Other continuing obligations for Listed Entities</w:t>
        </w:r>
        <w:r w:rsidR="007921E9">
          <w:rPr>
            <w:noProof/>
            <w:webHidden/>
          </w:rPr>
          <w:tab/>
        </w:r>
        <w:r w:rsidR="007921E9">
          <w:rPr>
            <w:noProof/>
            <w:webHidden/>
          </w:rPr>
          <w:fldChar w:fldCharType="begin"/>
        </w:r>
        <w:r w:rsidR="007921E9">
          <w:rPr>
            <w:noProof/>
            <w:webHidden/>
          </w:rPr>
          <w:instrText xml:space="preserve"> PAGEREF _Toc138325752 \h </w:instrText>
        </w:r>
        <w:r w:rsidR="007921E9">
          <w:rPr>
            <w:noProof/>
            <w:webHidden/>
          </w:rPr>
        </w:r>
        <w:r w:rsidR="007921E9">
          <w:rPr>
            <w:noProof/>
            <w:webHidden/>
          </w:rPr>
          <w:fldChar w:fldCharType="separate"/>
        </w:r>
        <w:r>
          <w:rPr>
            <w:noProof/>
            <w:webHidden/>
          </w:rPr>
          <w:t>222</w:t>
        </w:r>
        <w:r w:rsidR="007921E9">
          <w:rPr>
            <w:noProof/>
            <w:webHidden/>
          </w:rPr>
          <w:fldChar w:fldCharType="end"/>
        </w:r>
      </w:hyperlink>
    </w:p>
    <w:p w14:paraId="7BD4907F" w14:textId="4FCDED56"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753" w:history="1">
        <w:r w:rsidR="007921E9" w:rsidRPr="007A4E7B">
          <w:rPr>
            <w:rStyle w:val="Hyperlink"/>
          </w:rPr>
          <w:t>APP 7</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PRODUCT SUMMARY NOTE</w:t>
        </w:r>
        <w:r w:rsidR="007921E9">
          <w:rPr>
            <w:webHidden/>
          </w:rPr>
          <w:tab/>
        </w:r>
        <w:r w:rsidR="007921E9">
          <w:rPr>
            <w:webHidden/>
          </w:rPr>
          <w:fldChar w:fldCharType="begin"/>
        </w:r>
        <w:r w:rsidR="007921E9">
          <w:rPr>
            <w:webHidden/>
          </w:rPr>
          <w:instrText xml:space="preserve"> PAGEREF _Toc138325753 \h </w:instrText>
        </w:r>
        <w:r w:rsidR="007921E9">
          <w:rPr>
            <w:webHidden/>
          </w:rPr>
        </w:r>
        <w:r w:rsidR="007921E9">
          <w:rPr>
            <w:webHidden/>
          </w:rPr>
          <w:fldChar w:fldCharType="separate"/>
        </w:r>
        <w:r>
          <w:rPr>
            <w:webHidden/>
          </w:rPr>
          <w:t>229</w:t>
        </w:r>
        <w:r w:rsidR="007921E9">
          <w:rPr>
            <w:webHidden/>
          </w:rPr>
          <w:fldChar w:fldCharType="end"/>
        </w:r>
      </w:hyperlink>
    </w:p>
    <w:p w14:paraId="24B85B7D" w14:textId="48F1B75F"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54" w:history="1">
        <w:r w:rsidR="007921E9" w:rsidRPr="007A4E7B">
          <w:rPr>
            <w:rStyle w:val="Hyperlink"/>
            <w:rFonts w:ascii="Arial" w:hAnsi="Arial" w:cs="Arial"/>
            <w:b/>
            <w:noProof/>
          </w:rPr>
          <w:t>A7.1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General</w:t>
        </w:r>
        <w:r w:rsidR="007921E9">
          <w:rPr>
            <w:noProof/>
            <w:webHidden/>
          </w:rPr>
          <w:tab/>
        </w:r>
        <w:r w:rsidR="007921E9">
          <w:rPr>
            <w:noProof/>
            <w:webHidden/>
          </w:rPr>
          <w:fldChar w:fldCharType="begin"/>
        </w:r>
        <w:r w:rsidR="007921E9">
          <w:rPr>
            <w:noProof/>
            <w:webHidden/>
          </w:rPr>
          <w:instrText xml:space="preserve"> PAGEREF _Toc138325754 \h </w:instrText>
        </w:r>
        <w:r w:rsidR="007921E9">
          <w:rPr>
            <w:noProof/>
            <w:webHidden/>
          </w:rPr>
        </w:r>
        <w:r w:rsidR="007921E9">
          <w:rPr>
            <w:noProof/>
            <w:webHidden/>
          </w:rPr>
          <w:fldChar w:fldCharType="separate"/>
        </w:r>
        <w:r>
          <w:rPr>
            <w:noProof/>
            <w:webHidden/>
          </w:rPr>
          <w:t>229</w:t>
        </w:r>
        <w:r w:rsidR="007921E9">
          <w:rPr>
            <w:noProof/>
            <w:webHidden/>
          </w:rPr>
          <w:fldChar w:fldCharType="end"/>
        </w:r>
      </w:hyperlink>
    </w:p>
    <w:p w14:paraId="4F9A8DEC" w14:textId="3A69CEC4"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55" w:history="1">
        <w:r w:rsidR="007921E9" w:rsidRPr="007A4E7B">
          <w:rPr>
            <w:rStyle w:val="Hyperlink"/>
            <w:rFonts w:ascii="Arial" w:hAnsi="Arial" w:cs="Arial"/>
            <w:b/>
            <w:noProof/>
          </w:rPr>
          <w:t>A7.2</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noProof/>
          </w:rPr>
          <w:t>Template</w:t>
        </w:r>
        <w:r w:rsidR="007921E9">
          <w:rPr>
            <w:noProof/>
            <w:webHidden/>
          </w:rPr>
          <w:tab/>
        </w:r>
        <w:r w:rsidR="007921E9">
          <w:rPr>
            <w:noProof/>
            <w:webHidden/>
          </w:rPr>
          <w:fldChar w:fldCharType="begin"/>
        </w:r>
        <w:r w:rsidR="007921E9">
          <w:rPr>
            <w:noProof/>
            <w:webHidden/>
          </w:rPr>
          <w:instrText xml:space="preserve"> PAGEREF _Toc138325755 \h </w:instrText>
        </w:r>
        <w:r w:rsidR="007921E9">
          <w:rPr>
            <w:noProof/>
            <w:webHidden/>
          </w:rPr>
        </w:r>
        <w:r w:rsidR="007921E9">
          <w:rPr>
            <w:noProof/>
            <w:webHidden/>
          </w:rPr>
          <w:fldChar w:fldCharType="separate"/>
        </w:r>
        <w:r>
          <w:rPr>
            <w:noProof/>
            <w:webHidden/>
          </w:rPr>
          <w:t>230</w:t>
        </w:r>
        <w:r w:rsidR="007921E9">
          <w:rPr>
            <w:noProof/>
            <w:webHidden/>
          </w:rPr>
          <w:fldChar w:fldCharType="end"/>
        </w:r>
      </w:hyperlink>
    </w:p>
    <w:p w14:paraId="77436375" w14:textId="6A9963F1" w:rsidR="007921E9" w:rsidRDefault="006B2C90">
      <w:pPr>
        <w:pStyle w:val="TOC1"/>
        <w:rPr>
          <w:rFonts w:asciiTheme="minorHAnsi" w:eastAsiaTheme="minorEastAsia" w:hAnsiTheme="minorHAnsi" w:cstheme="minorBidi"/>
          <w:b w:val="0"/>
          <w:kern w:val="2"/>
          <w:lang w:eastAsia="en-GB"/>
          <w14:ligatures w14:val="standardContextual"/>
        </w:rPr>
      </w:pPr>
      <w:hyperlink w:anchor="_Toc138325756" w:history="1">
        <w:r w:rsidR="007921E9" w:rsidRPr="007A4E7B">
          <w:rPr>
            <w:rStyle w:val="Hyperlink"/>
          </w:rPr>
          <w:t>APP 8</w:t>
        </w:r>
        <w:r w:rsidR="007921E9">
          <w:rPr>
            <w:rFonts w:asciiTheme="minorHAnsi" w:eastAsiaTheme="minorEastAsia" w:hAnsiTheme="minorHAnsi" w:cstheme="minorBidi"/>
            <w:b w:val="0"/>
            <w:kern w:val="2"/>
            <w:lang w:eastAsia="en-GB"/>
            <w14:ligatures w14:val="standardContextual"/>
          </w:rPr>
          <w:tab/>
        </w:r>
        <w:r w:rsidR="007921E9" w:rsidRPr="007A4E7B">
          <w:rPr>
            <w:rStyle w:val="Hyperlink"/>
          </w:rPr>
          <w:t>RESTRICTED SECURITIES</w:t>
        </w:r>
        <w:r w:rsidR="007921E9">
          <w:rPr>
            <w:webHidden/>
          </w:rPr>
          <w:tab/>
        </w:r>
        <w:r w:rsidR="007921E9">
          <w:rPr>
            <w:webHidden/>
          </w:rPr>
          <w:fldChar w:fldCharType="begin"/>
        </w:r>
        <w:r w:rsidR="007921E9">
          <w:rPr>
            <w:webHidden/>
          </w:rPr>
          <w:instrText xml:space="preserve"> PAGEREF _Toc138325756 \h </w:instrText>
        </w:r>
        <w:r w:rsidR="007921E9">
          <w:rPr>
            <w:webHidden/>
          </w:rPr>
        </w:r>
        <w:r w:rsidR="007921E9">
          <w:rPr>
            <w:webHidden/>
          </w:rPr>
          <w:fldChar w:fldCharType="separate"/>
        </w:r>
        <w:r>
          <w:rPr>
            <w:webHidden/>
          </w:rPr>
          <w:t>238</w:t>
        </w:r>
        <w:r w:rsidR="007921E9">
          <w:rPr>
            <w:webHidden/>
          </w:rPr>
          <w:fldChar w:fldCharType="end"/>
        </w:r>
      </w:hyperlink>
    </w:p>
    <w:p w14:paraId="6F4B7FB4" w14:textId="1065695D" w:rsidR="007921E9" w:rsidRDefault="006B2C90">
      <w:pPr>
        <w:pStyle w:val="TOC2"/>
        <w:rPr>
          <w:rFonts w:asciiTheme="minorHAnsi" w:eastAsiaTheme="minorEastAsia" w:hAnsiTheme="minorHAnsi" w:cstheme="minorBidi"/>
          <w:noProof/>
          <w:kern w:val="2"/>
          <w:sz w:val="22"/>
          <w:szCs w:val="22"/>
          <w:lang w:eastAsia="en-GB"/>
          <w14:ligatures w14:val="standardContextual"/>
        </w:rPr>
      </w:pPr>
      <w:hyperlink w:anchor="_Toc138325757" w:history="1">
        <w:r w:rsidR="007921E9" w:rsidRPr="007A4E7B">
          <w:rPr>
            <w:rStyle w:val="Hyperlink"/>
            <w:rFonts w:ascii="Arial" w:hAnsi="Arial" w:cs="Arial"/>
            <w:b/>
            <w:noProof/>
          </w:rPr>
          <w:t>A8.1</w:t>
        </w:r>
        <w:r w:rsidR="007921E9">
          <w:rPr>
            <w:rFonts w:asciiTheme="minorHAnsi" w:eastAsiaTheme="minorEastAsia" w:hAnsiTheme="minorHAnsi" w:cstheme="minorBidi"/>
            <w:noProof/>
            <w:kern w:val="2"/>
            <w:sz w:val="22"/>
            <w:szCs w:val="22"/>
            <w:lang w:eastAsia="en-GB"/>
            <w14:ligatures w14:val="standardContextual"/>
          </w:rPr>
          <w:tab/>
        </w:r>
        <w:r w:rsidR="007921E9" w:rsidRPr="007A4E7B">
          <w:rPr>
            <w:rStyle w:val="Hyperlink"/>
            <w:rFonts w:ascii="Arial" w:hAnsi="Arial" w:cs="Arial"/>
            <w:b/>
            <w:noProof/>
          </w:rPr>
          <w:t>Determination of Restricted Securities</w:t>
        </w:r>
        <w:r w:rsidR="007921E9">
          <w:rPr>
            <w:noProof/>
            <w:webHidden/>
          </w:rPr>
          <w:tab/>
        </w:r>
        <w:r w:rsidR="007921E9">
          <w:rPr>
            <w:noProof/>
            <w:webHidden/>
          </w:rPr>
          <w:fldChar w:fldCharType="begin"/>
        </w:r>
        <w:r w:rsidR="007921E9">
          <w:rPr>
            <w:noProof/>
            <w:webHidden/>
          </w:rPr>
          <w:instrText xml:space="preserve"> PAGEREF _Toc138325757 \h </w:instrText>
        </w:r>
        <w:r w:rsidR="007921E9">
          <w:rPr>
            <w:noProof/>
            <w:webHidden/>
          </w:rPr>
        </w:r>
        <w:r w:rsidR="007921E9">
          <w:rPr>
            <w:noProof/>
            <w:webHidden/>
          </w:rPr>
          <w:fldChar w:fldCharType="separate"/>
        </w:r>
        <w:r>
          <w:rPr>
            <w:noProof/>
            <w:webHidden/>
          </w:rPr>
          <w:t>238</w:t>
        </w:r>
        <w:r w:rsidR="007921E9">
          <w:rPr>
            <w:noProof/>
            <w:webHidden/>
          </w:rPr>
          <w:fldChar w:fldCharType="end"/>
        </w:r>
      </w:hyperlink>
    </w:p>
    <w:p w14:paraId="6A381E58" w14:textId="3E6F1480" w:rsidR="002A76C0" w:rsidRPr="00FB2F3D" w:rsidRDefault="002A76C0" w:rsidP="002A76C0">
      <w:pPr>
        <w:pStyle w:val="UK12Block"/>
        <w:rPr>
          <w:rFonts w:ascii="Arial" w:hAnsi="Arial" w:cs="Arial"/>
          <w:sz w:val="22"/>
          <w:szCs w:val="22"/>
        </w:rPr>
      </w:pPr>
      <w:r w:rsidRPr="00986CBA">
        <w:rPr>
          <w:rFonts w:ascii="Arial" w:hAnsi="Arial" w:cs="Arial"/>
          <w:sz w:val="22"/>
          <w:szCs w:val="22"/>
        </w:rPr>
        <w:fldChar w:fldCharType="end"/>
      </w:r>
    </w:p>
    <w:p w14:paraId="05F10B9C" w14:textId="77777777" w:rsidR="00F15B7A" w:rsidRPr="00FB2F3D" w:rsidRDefault="00F15B7A" w:rsidP="00DA0D00">
      <w:pPr>
        <w:pStyle w:val="UK12Block"/>
        <w:rPr>
          <w:rFonts w:ascii="Arial" w:hAnsi="Arial" w:cs="Arial"/>
          <w:sz w:val="22"/>
          <w:szCs w:val="22"/>
        </w:rPr>
      </w:pPr>
    </w:p>
    <w:p w14:paraId="0B5719E5" w14:textId="77777777" w:rsidR="009722D7" w:rsidRPr="00FB2F3D" w:rsidRDefault="009722D7" w:rsidP="009722D7">
      <w:pPr>
        <w:pStyle w:val="UK12Block"/>
        <w:rPr>
          <w:rFonts w:ascii="Arial" w:hAnsi="Arial" w:cs="Arial"/>
          <w:sz w:val="22"/>
          <w:szCs w:val="22"/>
        </w:rPr>
        <w:sectPr w:rsidR="009722D7" w:rsidRPr="00FB2F3D" w:rsidSect="00DE3548">
          <w:footerReference w:type="default" r:id="rId12"/>
          <w:pgSz w:w="11909" w:h="16834" w:code="9"/>
          <w:pgMar w:top="1440" w:right="1440" w:bottom="1440" w:left="1440" w:header="720" w:footer="720" w:gutter="0"/>
          <w:pgNumType w:fmt="lowerRoman" w:start="1"/>
          <w:cols w:space="720"/>
          <w:docGrid w:linePitch="360"/>
        </w:sectPr>
      </w:pPr>
      <w:bookmarkStart w:id="0" w:name="_Toc409521812"/>
      <w:bookmarkStart w:id="1" w:name="_Toc410136209"/>
      <w:bookmarkStart w:id="2" w:name="_Toc410605918"/>
      <w:bookmarkStart w:id="3" w:name="_Toc410658854"/>
      <w:bookmarkStart w:id="4" w:name="_Toc410658981"/>
      <w:bookmarkStart w:id="5" w:name="_Toc410835525"/>
    </w:p>
    <w:p w14:paraId="27891ED7" w14:textId="77777777" w:rsidR="00162E0C" w:rsidRPr="00FB2F3D" w:rsidRDefault="00162E0C" w:rsidP="009722D7">
      <w:pPr>
        <w:pStyle w:val="Heading1"/>
        <w:rPr>
          <w:rFonts w:ascii="Arial" w:hAnsi="Arial" w:cs="Arial"/>
          <w:sz w:val="22"/>
          <w:szCs w:val="22"/>
        </w:rPr>
      </w:pPr>
      <w:bookmarkStart w:id="6" w:name="_Toc138325641"/>
      <w:r w:rsidRPr="00FB2F3D">
        <w:rPr>
          <w:rFonts w:ascii="Arial" w:hAnsi="Arial" w:cs="Arial"/>
          <w:sz w:val="22"/>
          <w:szCs w:val="22"/>
        </w:rPr>
        <w:lastRenderedPageBreak/>
        <w:t>INTRODUCTION</w:t>
      </w:r>
      <w:bookmarkEnd w:id="0"/>
      <w:bookmarkEnd w:id="1"/>
      <w:bookmarkEnd w:id="2"/>
      <w:bookmarkEnd w:id="3"/>
      <w:bookmarkEnd w:id="4"/>
      <w:bookmarkEnd w:id="5"/>
      <w:bookmarkEnd w:id="6"/>
    </w:p>
    <w:p w14:paraId="5270DDDE" w14:textId="77777777" w:rsidR="00162E0C" w:rsidRPr="00FB2F3D" w:rsidRDefault="00162E0C" w:rsidP="0061693E">
      <w:pPr>
        <w:pStyle w:val="Heading2"/>
        <w:rPr>
          <w:rFonts w:ascii="Arial" w:hAnsi="Arial" w:cs="Arial"/>
          <w:sz w:val="22"/>
          <w:szCs w:val="22"/>
        </w:rPr>
      </w:pPr>
      <w:bookmarkStart w:id="7" w:name="_Toc409521813"/>
      <w:bookmarkStart w:id="8" w:name="_Toc410136210"/>
      <w:bookmarkStart w:id="9" w:name="_Toc410605919"/>
      <w:bookmarkStart w:id="10" w:name="_Toc410658855"/>
      <w:bookmarkStart w:id="11" w:name="_Toc410658982"/>
      <w:bookmarkStart w:id="12" w:name="_Toc410835526"/>
      <w:bookmarkStart w:id="13" w:name="_Toc138325642"/>
      <w:r w:rsidRPr="00FB2F3D">
        <w:rPr>
          <w:rFonts w:ascii="Arial" w:hAnsi="Arial" w:cs="Arial"/>
          <w:sz w:val="22"/>
          <w:szCs w:val="22"/>
        </w:rPr>
        <w:t>Application</w:t>
      </w:r>
      <w:bookmarkEnd w:id="7"/>
      <w:bookmarkEnd w:id="8"/>
      <w:bookmarkEnd w:id="9"/>
      <w:bookmarkEnd w:id="10"/>
      <w:bookmarkEnd w:id="11"/>
      <w:bookmarkEnd w:id="12"/>
      <w:bookmarkEnd w:id="13"/>
    </w:p>
    <w:p w14:paraId="4EFC7D97" w14:textId="77777777" w:rsidR="00162E0C" w:rsidRPr="00FB2F3D" w:rsidRDefault="007441BA" w:rsidP="00AB0219">
      <w:pPr>
        <w:pStyle w:val="Heading3"/>
        <w:ind w:left="1440" w:hanging="1440"/>
        <w:rPr>
          <w:rFonts w:ascii="Arial" w:hAnsi="Arial" w:cs="Arial"/>
          <w:sz w:val="22"/>
          <w:szCs w:val="22"/>
        </w:rPr>
      </w:pPr>
      <w:bookmarkStart w:id="14" w:name="_Ref410073947"/>
      <w:r w:rsidRPr="00FB2F3D">
        <w:rPr>
          <w:rFonts w:ascii="Arial" w:hAnsi="Arial" w:cs="Arial"/>
          <w:sz w:val="22"/>
          <w:szCs w:val="22"/>
        </w:rPr>
        <w:t>(1)</w:t>
      </w:r>
      <w:r w:rsidR="00A86BD1" w:rsidRPr="00FB2F3D">
        <w:rPr>
          <w:rFonts w:ascii="Arial" w:hAnsi="Arial" w:cs="Arial"/>
          <w:sz w:val="22"/>
          <w:szCs w:val="22"/>
        </w:rPr>
        <w:tab/>
      </w:r>
      <w:r w:rsidR="00162E0C" w:rsidRPr="00FB2F3D">
        <w:rPr>
          <w:rFonts w:ascii="Arial" w:hAnsi="Arial" w:cs="Arial"/>
          <w:sz w:val="22"/>
          <w:szCs w:val="22"/>
        </w:rPr>
        <w:t xml:space="preserve">The Rules in </w:t>
      </w:r>
      <w:r w:rsidR="009D7FC2" w:rsidRPr="00FB2F3D">
        <w:rPr>
          <w:rFonts w:ascii="Arial" w:hAnsi="Arial" w:cs="Arial"/>
          <w:sz w:val="22"/>
          <w:szCs w:val="22"/>
        </w:rPr>
        <w:t xml:space="preserve">this </w:t>
      </w:r>
      <w:r w:rsidR="00AB0219" w:rsidRPr="00FB2F3D">
        <w:rPr>
          <w:rFonts w:ascii="Arial" w:hAnsi="Arial" w:cs="Arial"/>
          <w:sz w:val="22"/>
          <w:szCs w:val="22"/>
        </w:rPr>
        <w:t>Rulebook</w:t>
      </w:r>
      <w:r w:rsidR="00162E0C" w:rsidRPr="00FB2F3D">
        <w:rPr>
          <w:rFonts w:ascii="Arial" w:hAnsi="Arial" w:cs="Arial"/>
          <w:sz w:val="22"/>
          <w:szCs w:val="22"/>
        </w:rPr>
        <w:t xml:space="preserve"> ("</w:t>
      </w:r>
      <w:r w:rsidR="00162E0C" w:rsidRPr="00FB2F3D">
        <w:rPr>
          <w:rFonts w:ascii="Arial" w:hAnsi="Arial" w:cs="Arial"/>
          <w:b/>
          <w:sz w:val="22"/>
          <w:szCs w:val="22"/>
        </w:rPr>
        <w:t>MKT</w:t>
      </w:r>
      <w:r w:rsidR="00162E0C" w:rsidRPr="00FB2F3D">
        <w:rPr>
          <w:rFonts w:ascii="Arial" w:hAnsi="Arial" w:cs="Arial"/>
          <w:sz w:val="22"/>
          <w:szCs w:val="22"/>
        </w:rPr>
        <w:t>") are made for the purposes of the Financial Services and Markets Regulations 2015 ("</w:t>
      </w:r>
      <w:r w:rsidR="00162E0C" w:rsidRPr="00FB2F3D">
        <w:rPr>
          <w:rFonts w:ascii="Arial" w:hAnsi="Arial" w:cs="Arial"/>
          <w:b/>
          <w:sz w:val="22"/>
          <w:szCs w:val="22"/>
        </w:rPr>
        <w:t>FSMR</w:t>
      </w:r>
      <w:r w:rsidR="00162E0C" w:rsidRPr="00FB2F3D">
        <w:rPr>
          <w:rFonts w:ascii="Arial" w:hAnsi="Arial" w:cs="Arial"/>
          <w:sz w:val="22"/>
          <w:szCs w:val="22"/>
        </w:rPr>
        <w:t>") and apply to every Person to whom that legislation applies</w:t>
      </w:r>
      <w:bookmarkEnd w:id="14"/>
      <w:r w:rsidR="00162E0C" w:rsidRPr="00FB2F3D">
        <w:rPr>
          <w:rFonts w:ascii="Arial" w:hAnsi="Arial" w:cs="Arial"/>
          <w:sz w:val="22"/>
          <w:szCs w:val="22"/>
        </w:rPr>
        <w:t>.</w:t>
      </w:r>
      <w:r w:rsidR="00AB0219" w:rsidRPr="00FB2F3D">
        <w:rPr>
          <w:rFonts w:ascii="Arial" w:hAnsi="Arial" w:cs="Arial"/>
          <w:sz w:val="22"/>
          <w:szCs w:val="22"/>
        </w:rPr>
        <w:t xml:space="preserve"> For the purposes of these Rules the Regulator may refer to itself as the Listing Authority.</w:t>
      </w:r>
    </w:p>
    <w:p w14:paraId="476AF1EE" w14:textId="0E604F5C" w:rsidR="00162E0C" w:rsidRPr="00FB2F3D" w:rsidRDefault="00162E0C" w:rsidP="00755725">
      <w:pPr>
        <w:pStyle w:val="Heading4"/>
        <w:keepNext/>
        <w:numPr>
          <w:ilvl w:val="3"/>
          <w:numId w:val="84"/>
        </w:numPr>
        <w:rPr>
          <w:rFonts w:ascii="Arial" w:hAnsi="Arial" w:cs="Arial"/>
          <w:sz w:val="22"/>
          <w:szCs w:val="22"/>
        </w:rPr>
      </w:pPr>
      <w:r w:rsidRPr="00FB2F3D">
        <w:rPr>
          <w:rFonts w:ascii="Arial" w:hAnsi="Arial" w:cs="Arial"/>
          <w:sz w:val="22"/>
          <w:szCs w:val="22"/>
        </w:rPr>
        <w:t xml:space="preserve">Without limiting the generality of </w:t>
      </w:r>
      <w:r w:rsidR="00693841" w:rsidRPr="00FB2F3D">
        <w:rPr>
          <w:rFonts w:ascii="Arial" w:hAnsi="Arial" w:cs="Arial"/>
          <w:sz w:val="22"/>
          <w:szCs w:val="22"/>
        </w:rPr>
        <w:t>(1)</w:t>
      </w:r>
      <w:r w:rsidRPr="00FB2F3D">
        <w:rPr>
          <w:rFonts w:ascii="Arial" w:hAnsi="Arial" w:cs="Arial"/>
          <w:sz w:val="22"/>
          <w:szCs w:val="22"/>
        </w:rPr>
        <w:t xml:space="preserve">, </w:t>
      </w:r>
      <w:r w:rsidR="009D7FC2" w:rsidRPr="00FB2F3D">
        <w:rPr>
          <w:rFonts w:ascii="Arial" w:hAnsi="Arial" w:cs="Arial"/>
          <w:sz w:val="22"/>
          <w:szCs w:val="22"/>
        </w:rPr>
        <w:t xml:space="preserve">this </w:t>
      </w:r>
      <w:r w:rsidR="00AB0219" w:rsidRPr="00FB2F3D">
        <w:rPr>
          <w:rFonts w:ascii="Arial" w:hAnsi="Arial" w:cs="Arial"/>
          <w:sz w:val="22"/>
          <w:szCs w:val="22"/>
        </w:rPr>
        <w:t xml:space="preserve">Rulebook </w:t>
      </w:r>
      <w:r w:rsidRPr="00FB2F3D">
        <w:rPr>
          <w:rFonts w:ascii="Arial" w:hAnsi="Arial" w:cs="Arial"/>
          <w:sz w:val="22"/>
          <w:szCs w:val="22"/>
        </w:rPr>
        <w:t>applies to</w:t>
      </w:r>
      <w:r w:rsidR="006F7FB6">
        <w:rPr>
          <w:rFonts w:ascii="Arial" w:hAnsi="Arial" w:cs="Arial"/>
          <w:sz w:val="22"/>
          <w:szCs w:val="22"/>
        </w:rPr>
        <w:t xml:space="preserve"> a</w:t>
      </w:r>
      <w:r w:rsidRPr="00FB2F3D">
        <w:rPr>
          <w:rFonts w:ascii="Arial" w:hAnsi="Arial" w:cs="Arial"/>
          <w:sz w:val="22"/>
          <w:szCs w:val="22"/>
        </w:rPr>
        <w:t>:</w:t>
      </w:r>
    </w:p>
    <w:p w14:paraId="6CD01CC3" w14:textId="270D73D4" w:rsidR="00162E0C" w:rsidRPr="00FB2F3D" w:rsidRDefault="00162E0C" w:rsidP="0061693E">
      <w:pPr>
        <w:pStyle w:val="Heading5"/>
        <w:rPr>
          <w:rFonts w:ascii="Arial" w:hAnsi="Arial" w:cs="Arial"/>
          <w:sz w:val="22"/>
          <w:szCs w:val="22"/>
        </w:rPr>
      </w:pPr>
      <w:bookmarkStart w:id="15" w:name="_Ref410635029"/>
      <w:r w:rsidRPr="00FB2F3D">
        <w:rPr>
          <w:rFonts w:ascii="Arial" w:hAnsi="Arial" w:cs="Arial"/>
          <w:sz w:val="22"/>
          <w:szCs w:val="22"/>
        </w:rPr>
        <w:t xml:space="preserve">Person making an Offer of </w:t>
      </w:r>
      <w:r w:rsidR="004B46BD" w:rsidRPr="00FB2F3D">
        <w:rPr>
          <w:rFonts w:ascii="Arial" w:hAnsi="Arial" w:cs="Arial"/>
          <w:sz w:val="22"/>
          <w:szCs w:val="22"/>
        </w:rPr>
        <w:t>Securities</w:t>
      </w:r>
      <w:r w:rsidRPr="00FB2F3D">
        <w:rPr>
          <w:rFonts w:ascii="Arial" w:hAnsi="Arial" w:cs="Arial"/>
          <w:sz w:val="22"/>
          <w:szCs w:val="22"/>
        </w:rPr>
        <w:t xml:space="preserve"> except in relation to Units of a Fund;</w:t>
      </w:r>
      <w:bookmarkEnd w:id="15"/>
    </w:p>
    <w:p w14:paraId="06EC54DD" w14:textId="44DBCACE" w:rsidR="00AB0219" w:rsidRPr="00FB2F3D" w:rsidRDefault="00AB0219" w:rsidP="00AB0219">
      <w:pPr>
        <w:pStyle w:val="Heading5"/>
        <w:tabs>
          <w:tab w:val="clear" w:pos="2160"/>
          <w:tab w:val="num" w:pos="1560"/>
          <w:tab w:val="num" w:pos="2280"/>
        </w:tabs>
        <w:ind w:left="2127"/>
        <w:rPr>
          <w:rFonts w:ascii="Arial" w:hAnsi="Arial" w:cs="Arial"/>
          <w:sz w:val="22"/>
          <w:szCs w:val="22"/>
        </w:rPr>
      </w:pPr>
      <w:bookmarkStart w:id="16" w:name="_Ref410635036"/>
      <w:r w:rsidRPr="00FB2F3D">
        <w:rPr>
          <w:rFonts w:ascii="Arial" w:hAnsi="Arial" w:cs="Arial"/>
          <w:sz w:val="22"/>
          <w:szCs w:val="22"/>
        </w:rPr>
        <w:t xml:space="preserve">Person applying to have Securities admitted to the Official List; </w:t>
      </w:r>
    </w:p>
    <w:p w14:paraId="338044AE" w14:textId="13487BB6" w:rsidR="00162E0C" w:rsidRPr="00FB2F3D" w:rsidRDefault="00162E0C" w:rsidP="00AB0219">
      <w:pPr>
        <w:pStyle w:val="Heading5"/>
        <w:rPr>
          <w:rFonts w:ascii="Arial" w:hAnsi="Arial" w:cs="Arial"/>
          <w:sz w:val="22"/>
          <w:szCs w:val="22"/>
        </w:rPr>
      </w:pPr>
      <w:r w:rsidRPr="00FB2F3D">
        <w:rPr>
          <w:rFonts w:ascii="Arial" w:hAnsi="Arial" w:cs="Arial"/>
          <w:sz w:val="22"/>
          <w:szCs w:val="22"/>
        </w:rPr>
        <w:t xml:space="preserve">Person applying to have </w:t>
      </w:r>
      <w:r w:rsidR="004B46BD" w:rsidRPr="00FB2F3D">
        <w:rPr>
          <w:rFonts w:ascii="Arial" w:hAnsi="Arial" w:cs="Arial"/>
          <w:sz w:val="22"/>
          <w:szCs w:val="22"/>
        </w:rPr>
        <w:t>Securities</w:t>
      </w:r>
      <w:r w:rsidRPr="00FB2F3D">
        <w:rPr>
          <w:rFonts w:ascii="Arial" w:hAnsi="Arial" w:cs="Arial"/>
          <w:sz w:val="22"/>
          <w:szCs w:val="22"/>
        </w:rPr>
        <w:t xml:space="preserve"> admitted to trading on a Recognised</w:t>
      </w:r>
      <w:r w:rsidR="00AB0219" w:rsidRPr="00FB2F3D">
        <w:rPr>
          <w:rFonts w:ascii="Arial" w:hAnsi="Arial" w:cs="Arial"/>
          <w:sz w:val="22"/>
          <w:szCs w:val="22"/>
        </w:rPr>
        <w:t xml:space="preserve"> Investment Exchange</w:t>
      </w:r>
      <w:r w:rsidRPr="00FB2F3D">
        <w:rPr>
          <w:rFonts w:ascii="Arial" w:hAnsi="Arial" w:cs="Arial"/>
          <w:sz w:val="22"/>
          <w:szCs w:val="22"/>
        </w:rPr>
        <w:t>;</w:t>
      </w:r>
      <w:bookmarkEnd w:id="16"/>
    </w:p>
    <w:p w14:paraId="5AD788FF" w14:textId="52AA28A6" w:rsidR="00162E0C" w:rsidRPr="00FB2F3D" w:rsidRDefault="00162E0C" w:rsidP="0061693E">
      <w:pPr>
        <w:pStyle w:val="Heading5"/>
        <w:rPr>
          <w:rFonts w:ascii="Arial" w:hAnsi="Arial" w:cs="Arial"/>
          <w:sz w:val="22"/>
          <w:szCs w:val="22"/>
        </w:rPr>
      </w:pPr>
      <w:r w:rsidRPr="00FB2F3D">
        <w:rPr>
          <w:rFonts w:ascii="Arial" w:hAnsi="Arial" w:cs="Arial"/>
          <w:sz w:val="22"/>
          <w:szCs w:val="22"/>
        </w:rPr>
        <w:t>Person specified in Rule </w:t>
      </w:r>
      <w:r w:rsidR="00693841" w:rsidRPr="00FB2F3D">
        <w:rPr>
          <w:rFonts w:ascii="Arial" w:hAnsi="Arial" w:cs="Arial"/>
          <w:sz w:val="22"/>
          <w:szCs w:val="22"/>
        </w:rPr>
        <w:t>4.10.1</w:t>
      </w:r>
      <w:r w:rsidRPr="00FB2F3D">
        <w:rPr>
          <w:rFonts w:ascii="Arial" w:hAnsi="Arial" w:cs="Arial"/>
          <w:sz w:val="22"/>
          <w:szCs w:val="22"/>
        </w:rPr>
        <w:t xml:space="preserve"> as liable for the content of a</w:t>
      </w:r>
      <w:r w:rsidRPr="00FB2F3D">
        <w:rPr>
          <w:rFonts w:ascii="Arial" w:hAnsi="Arial" w:cs="Arial"/>
          <w:sz w:val="22"/>
          <w:szCs w:val="22"/>
          <w:lang w:eastAsia="ja-JP"/>
        </w:rPr>
        <w:t xml:space="preserve"> </w:t>
      </w:r>
      <w:r w:rsidRPr="00FB2F3D">
        <w:rPr>
          <w:rFonts w:ascii="Arial" w:hAnsi="Arial" w:cs="Arial"/>
          <w:sz w:val="22"/>
          <w:szCs w:val="22"/>
        </w:rPr>
        <w:t>Prospectus;</w:t>
      </w:r>
    </w:p>
    <w:p w14:paraId="600571DC" w14:textId="77777777" w:rsidR="00D14D8B" w:rsidRDefault="00D14D8B" w:rsidP="0061693E">
      <w:pPr>
        <w:pStyle w:val="Heading5"/>
        <w:rPr>
          <w:rFonts w:ascii="Arial" w:hAnsi="Arial" w:cs="Arial"/>
          <w:sz w:val="22"/>
          <w:szCs w:val="22"/>
        </w:rPr>
      </w:pPr>
      <w:r>
        <w:rPr>
          <w:rFonts w:ascii="Arial" w:hAnsi="Arial" w:cs="Arial"/>
          <w:sz w:val="22"/>
          <w:szCs w:val="22"/>
        </w:rPr>
        <w:t>Listed Entity;</w:t>
      </w:r>
    </w:p>
    <w:p w14:paraId="19AF8AE9" w14:textId="587372BC" w:rsidR="00162E0C" w:rsidRPr="00FB2F3D" w:rsidRDefault="0085379D" w:rsidP="0061693E">
      <w:pPr>
        <w:pStyle w:val="Heading5"/>
        <w:rPr>
          <w:rFonts w:ascii="Arial" w:hAnsi="Arial" w:cs="Arial"/>
          <w:sz w:val="22"/>
          <w:szCs w:val="22"/>
        </w:rPr>
      </w:pPr>
      <w:r w:rsidRPr="00FB2F3D">
        <w:rPr>
          <w:rFonts w:ascii="Arial" w:hAnsi="Arial" w:cs="Arial"/>
          <w:sz w:val="22"/>
          <w:szCs w:val="22"/>
        </w:rPr>
        <w:t>Reporting Entity</w:t>
      </w:r>
      <w:r w:rsidR="00162E0C" w:rsidRPr="00FB2F3D">
        <w:rPr>
          <w:rFonts w:ascii="Arial" w:hAnsi="Arial" w:cs="Arial"/>
          <w:sz w:val="22"/>
          <w:szCs w:val="22"/>
        </w:rPr>
        <w:t>;</w:t>
      </w:r>
    </w:p>
    <w:p w14:paraId="7E70D22D" w14:textId="4F05FB69" w:rsidR="00162E0C" w:rsidRPr="00FB2F3D" w:rsidRDefault="00162E0C" w:rsidP="0061693E">
      <w:pPr>
        <w:pStyle w:val="Heading5"/>
        <w:rPr>
          <w:rFonts w:ascii="Arial" w:hAnsi="Arial" w:cs="Arial"/>
          <w:sz w:val="22"/>
          <w:szCs w:val="22"/>
        </w:rPr>
      </w:pPr>
      <w:r w:rsidRPr="00FB2F3D">
        <w:rPr>
          <w:rFonts w:ascii="Arial" w:hAnsi="Arial" w:cs="Arial"/>
          <w:sz w:val="22"/>
          <w:szCs w:val="22"/>
        </w:rPr>
        <w:t>Person who is a Related Party;</w:t>
      </w:r>
    </w:p>
    <w:p w14:paraId="493BF7C4" w14:textId="7034CC60" w:rsidR="00162E0C" w:rsidRPr="00FB2F3D" w:rsidRDefault="00162E0C" w:rsidP="0061693E">
      <w:pPr>
        <w:pStyle w:val="Heading5"/>
        <w:rPr>
          <w:rFonts w:ascii="Arial" w:hAnsi="Arial" w:cs="Arial"/>
          <w:sz w:val="22"/>
          <w:szCs w:val="22"/>
        </w:rPr>
      </w:pPr>
      <w:r w:rsidRPr="00FB2F3D">
        <w:rPr>
          <w:rFonts w:ascii="Arial" w:hAnsi="Arial" w:cs="Arial"/>
          <w:sz w:val="22"/>
          <w:szCs w:val="22"/>
        </w:rPr>
        <w:t>Person who is a Restricted Person;</w:t>
      </w:r>
    </w:p>
    <w:p w14:paraId="1C9CF7F1" w14:textId="4CF5D1BD" w:rsidR="00162E0C" w:rsidRPr="00FB2F3D" w:rsidRDefault="00162E0C" w:rsidP="0061693E">
      <w:pPr>
        <w:pStyle w:val="Heading5"/>
        <w:rPr>
          <w:rFonts w:ascii="Arial" w:hAnsi="Arial" w:cs="Arial"/>
          <w:sz w:val="22"/>
          <w:szCs w:val="22"/>
        </w:rPr>
      </w:pPr>
      <w:r w:rsidRPr="00FB2F3D">
        <w:rPr>
          <w:rFonts w:ascii="Arial" w:hAnsi="Arial" w:cs="Arial"/>
          <w:sz w:val="22"/>
          <w:szCs w:val="22"/>
        </w:rPr>
        <w:t>Perso</w:t>
      </w:r>
      <w:r w:rsidR="00AB0219" w:rsidRPr="00FB2F3D">
        <w:rPr>
          <w:rFonts w:ascii="Arial" w:hAnsi="Arial" w:cs="Arial"/>
          <w:sz w:val="22"/>
          <w:szCs w:val="22"/>
        </w:rPr>
        <w:t>n who is a Connected Person;</w:t>
      </w:r>
    </w:p>
    <w:p w14:paraId="4CE094F1" w14:textId="6DD9AA6F" w:rsidR="00AB0219" w:rsidRPr="00FB2F3D" w:rsidRDefault="00162E0C" w:rsidP="00AB0219">
      <w:pPr>
        <w:pStyle w:val="Heading5"/>
        <w:rPr>
          <w:rFonts w:ascii="Arial" w:hAnsi="Arial" w:cs="Arial"/>
          <w:sz w:val="22"/>
          <w:szCs w:val="22"/>
        </w:rPr>
      </w:pPr>
      <w:r w:rsidRPr="00FB2F3D">
        <w:rPr>
          <w:rFonts w:ascii="Arial" w:hAnsi="Arial" w:cs="Arial"/>
          <w:sz w:val="22"/>
          <w:szCs w:val="22"/>
        </w:rPr>
        <w:t xml:space="preserve">Person </w:t>
      </w:r>
      <w:r w:rsidR="00EE4C51" w:rsidRPr="00FB2F3D">
        <w:rPr>
          <w:rFonts w:ascii="Arial" w:hAnsi="Arial" w:cs="Arial"/>
          <w:sz w:val="22"/>
          <w:szCs w:val="22"/>
        </w:rPr>
        <w:t>appointed</w:t>
      </w:r>
      <w:r w:rsidRPr="00FB2F3D">
        <w:rPr>
          <w:rFonts w:ascii="Arial" w:hAnsi="Arial" w:cs="Arial"/>
          <w:sz w:val="22"/>
          <w:szCs w:val="22"/>
        </w:rPr>
        <w:t xml:space="preserve"> as a </w:t>
      </w:r>
      <w:r w:rsidR="004D6747" w:rsidRPr="00FB2F3D">
        <w:rPr>
          <w:rFonts w:ascii="Arial" w:hAnsi="Arial" w:cs="Arial"/>
          <w:sz w:val="22"/>
          <w:szCs w:val="22"/>
        </w:rPr>
        <w:t>Sponsor</w:t>
      </w:r>
      <w:r w:rsidRPr="00FB2F3D">
        <w:rPr>
          <w:rFonts w:ascii="Arial" w:hAnsi="Arial" w:cs="Arial"/>
          <w:sz w:val="22"/>
          <w:szCs w:val="22"/>
        </w:rPr>
        <w:t xml:space="preserve">, compliance adviser or other expert adviser of </w:t>
      </w:r>
      <w:r w:rsidR="0085379D" w:rsidRPr="00FB2F3D">
        <w:rPr>
          <w:rFonts w:ascii="Arial" w:hAnsi="Arial" w:cs="Arial"/>
          <w:sz w:val="22"/>
          <w:szCs w:val="22"/>
        </w:rPr>
        <w:t>a Reporting Entity</w:t>
      </w:r>
      <w:r w:rsidR="00AB0219" w:rsidRPr="00FB2F3D">
        <w:rPr>
          <w:rFonts w:ascii="Arial" w:hAnsi="Arial" w:cs="Arial"/>
          <w:sz w:val="22"/>
          <w:szCs w:val="22"/>
        </w:rPr>
        <w:t>; and</w:t>
      </w:r>
    </w:p>
    <w:p w14:paraId="5EBECAD3" w14:textId="23C3BBEF" w:rsidR="00AB0219" w:rsidRPr="00FB2F3D" w:rsidRDefault="00AB0219" w:rsidP="00AB0219">
      <w:pPr>
        <w:pStyle w:val="Heading5"/>
        <w:rPr>
          <w:rFonts w:ascii="Arial" w:hAnsi="Arial" w:cs="Arial"/>
          <w:sz w:val="22"/>
          <w:szCs w:val="22"/>
        </w:rPr>
      </w:pPr>
      <w:r w:rsidRPr="00FB2F3D">
        <w:rPr>
          <w:rFonts w:ascii="Arial" w:hAnsi="Arial" w:cs="Arial"/>
          <w:sz w:val="22"/>
          <w:szCs w:val="22"/>
        </w:rPr>
        <w:t>Person appointed under Chapter 6 as a Stabilisation Manager or Stabilisation Agent.</w:t>
      </w:r>
    </w:p>
    <w:p w14:paraId="5877E25C" w14:textId="2DD0833A" w:rsidR="00162E0C" w:rsidRPr="00FB2F3D" w:rsidRDefault="00162E0C" w:rsidP="00222FEC">
      <w:pPr>
        <w:pStyle w:val="Heading3"/>
        <w:rPr>
          <w:rFonts w:ascii="Arial" w:hAnsi="Arial" w:cs="Arial"/>
          <w:sz w:val="22"/>
          <w:szCs w:val="22"/>
        </w:rPr>
      </w:pPr>
      <w:bookmarkStart w:id="17" w:name="_Ref410049004"/>
      <w:r w:rsidRPr="00FB2F3D">
        <w:rPr>
          <w:rFonts w:ascii="Arial" w:hAnsi="Arial" w:cs="Arial"/>
          <w:sz w:val="22"/>
          <w:szCs w:val="22"/>
        </w:rPr>
        <w:t>Where a Rule</w:t>
      </w:r>
      <w:r w:rsidR="004F72F0" w:rsidRPr="00FB2F3D">
        <w:rPr>
          <w:rFonts w:ascii="Arial" w:hAnsi="Arial" w:cs="Arial"/>
          <w:sz w:val="22"/>
          <w:szCs w:val="22"/>
        </w:rPr>
        <w:t xml:space="preserve"> </w:t>
      </w:r>
      <w:r w:rsidRPr="00FB2F3D">
        <w:rPr>
          <w:rFonts w:ascii="Arial" w:hAnsi="Arial" w:cs="Arial"/>
          <w:sz w:val="22"/>
          <w:szCs w:val="22"/>
        </w:rPr>
        <w:t xml:space="preserve">prescribes a requirement on </w:t>
      </w:r>
      <w:r w:rsidR="0085379D" w:rsidRPr="00FB2F3D">
        <w:rPr>
          <w:rFonts w:ascii="Arial" w:hAnsi="Arial" w:cs="Arial"/>
          <w:sz w:val="22"/>
          <w:szCs w:val="22"/>
        </w:rPr>
        <w:t xml:space="preserve">a </w:t>
      </w:r>
      <w:r w:rsidR="00D14D8B">
        <w:rPr>
          <w:rFonts w:ascii="Arial" w:hAnsi="Arial" w:cs="Arial"/>
          <w:sz w:val="22"/>
          <w:szCs w:val="22"/>
        </w:rPr>
        <w:t>Listed</w:t>
      </w:r>
      <w:r w:rsidR="0085379D" w:rsidRPr="00FB2F3D">
        <w:rPr>
          <w:rFonts w:ascii="Arial" w:hAnsi="Arial" w:cs="Arial"/>
          <w:sz w:val="22"/>
          <w:szCs w:val="22"/>
        </w:rPr>
        <w:t xml:space="preserve"> Entity</w:t>
      </w:r>
      <w:r w:rsidRPr="00FB2F3D">
        <w:rPr>
          <w:rFonts w:ascii="Arial" w:hAnsi="Arial" w:cs="Arial"/>
          <w:sz w:val="22"/>
          <w:szCs w:val="22"/>
        </w:rPr>
        <w:t xml:space="preserve"> or an Undertaking, each Director, Partner or other Person charged with the management of that </w:t>
      </w:r>
      <w:r w:rsidR="00D14D8B">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or Undertaking must take all reasonable steps within its control to secure compliance with the requirement by the </w:t>
      </w:r>
      <w:r w:rsidR="00222FEC" w:rsidRPr="00FB2F3D">
        <w:rPr>
          <w:rFonts w:ascii="Arial" w:hAnsi="Arial" w:cs="Arial"/>
          <w:sz w:val="22"/>
          <w:szCs w:val="22"/>
        </w:rPr>
        <w:t xml:space="preserve">Reporting Entity </w:t>
      </w:r>
      <w:r w:rsidRPr="00FB2F3D">
        <w:rPr>
          <w:rFonts w:ascii="Arial" w:hAnsi="Arial" w:cs="Arial"/>
          <w:sz w:val="22"/>
          <w:szCs w:val="22"/>
        </w:rPr>
        <w:t>or Undertaking.</w:t>
      </w:r>
      <w:bookmarkEnd w:id="17"/>
    </w:p>
    <w:p w14:paraId="0A33B7DF" w14:textId="097F94CA" w:rsidR="00162E0C" w:rsidRPr="00FB2F3D" w:rsidRDefault="00162E0C" w:rsidP="00222FEC">
      <w:pPr>
        <w:pStyle w:val="Heading3"/>
        <w:rPr>
          <w:rFonts w:ascii="Arial" w:hAnsi="Arial" w:cs="Arial"/>
          <w:sz w:val="22"/>
          <w:szCs w:val="22"/>
        </w:rPr>
      </w:pPr>
      <w:bookmarkStart w:id="18" w:name="_Ref410049014"/>
      <w:bookmarkStart w:id="19" w:name="_Ref410663568"/>
      <w:r w:rsidRPr="00FB2F3D">
        <w:rPr>
          <w:rFonts w:ascii="Arial" w:hAnsi="Arial" w:cs="Arial"/>
          <w:sz w:val="22"/>
          <w:szCs w:val="22"/>
        </w:rPr>
        <w:t>Where a Rule</w:t>
      </w:r>
      <w:r w:rsidR="004F72F0" w:rsidRPr="00FB2F3D">
        <w:rPr>
          <w:rFonts w:ascii="Arial" w:hAnsi="Arial" w:cs="Arial"/>
          <w:sz w:val="22"/>
          <w:szCs w:val="22"/>
        </w:rPr>
        <w:t xml:space="preserve"> </w:t>
      </w:r>
      <w:r w:rsidRPr="00FB2F3D">
        <w:rPr>
          <w:rFonts w:ascii="Arial" w:hAnsi="Arial" w:cs="Arial"/>
          <w:sz w:val="22"/>
          <w:szCs w:val="22"/>
        </w:rPr>
        <w:t xml:space="preserve">prescribes a requirement relating to a Director, Partner or Employee of a </w:t>
      </w:r>
      <w:r w:rsidR="00D14D8B">
        <w:rPr>
          <w:rFonts w:ascii="Arial" w:hAnsi="Arial" w:cs="Arial"/>
          <w:sz w:val="22"/>
          <w:szCs w:val="22"/>
        </w:rPr>
        <w:t>Listed</w:t>
      </w:r>
      <w:r w:rsidR="00222FEC" w:rsidRPr="00FB2F3D">
        <w:rPr>
          <w:rFonts w:ascii="Arial" w:hAnsi="Arial" w:cs="Arial"/>
          <w:sz w:val="22"/>
          <w:szCs w:val="22"/>
        </w:rPr>
        <w:t xml:space="preserve"> Entity </w:t>
      </w:r>
      <w:r w:rsidRPr="00FB2F3D">
        <w:rPr>
          <w:rFonts w:ascii="Arial" w:hAnsi="Arial" w:cs="Arial"/>
          <w:sz w:val="22"/>
          <w:szCs w:val="22"/>
        </w:rPr>
        <w:t>or an Undertaking</w:t>
      </w:r>
      <w:bookmarkEnd w:id="18"/>
      <w:r w:rsidRPr="00FB2F3D">
        <w:rPr>
          <w:rFonts w:ascii="Arial" w:hAnsi="Arial" w:cs="Arial"/>
          <w:sz w:val="22"/>
          <w:szCs w:val="22"/>
        </w:rPr>
        <w:t>:</w:t>
      </w:r>
      <w:bookmarkEnd w:id="19"/>
    </w:p>
    <w:p w14:paraId="7D218E52" w14:textId="77777777" w:rsidR="00162E0C" w:rsidRPr="00FB2F3D" w:rsidRDefault="00162E0C" w:rsidP="00E9220D">
      <w:pPr>
        <w:pStyle w:val="Heading4"/>
        <w:rPr>
          <w:rFonts w:ascii="Arial" w:hAnsi="Arial" w:cs="Arial"/>
          <w:sz w:val="22"/>
          <w:szCs w:val="22"/>
        </w:rPr>
      </w:pPr>
      <w:r w:rsidRPr="00FB2F3D">
        <w:rPr>
          <w:rFonts w:ascii="Arial" w:hAnsi="Arial" w:cs="Arial"/>
          <w:sz w:val="22"/>
          <w:szCs w:val="22"/>
        </w:rPr>
        <w:t>the Director, Partner or Employee, as the case may be, must take all reasonable steps within his control to secure compliance with the requirement; and</w:t>
      </w:r>
    </w:p>
    <w:p w14:paraId="0B5DD55B" w14:textId="160394CB" w:rsidR="00162E0C" w:rsidRPr="00FB2F3D" w:rsidRDefault="00162E0C" w:rsidP="00E9220D">
      <w:pPr>
        <w:pStyle w:val="Heading4"/>
        <w:rPr>
          <w:rFonts w:ascii="Arial" w:hAnsi="Arial" w:cs="Arial"/>
          <w:sz w:val="22"/>
          <w:szCs w:val="22"/>
        </w:rPr>
      </w:pPr>
      <w:r w:rsidRPr="00FB2F3D">
        <w:rPr>
          <w:rFonts w:ascii="Arial" w:hAnsi="Arial" w:cs="Arial"/>
          <w:sz w:val="22"/>
          <w:szCs w:val="22"/>
        </w:rPr>
        <w:t xml:space="preserve">the </w:t>
      </w:r>
      <w:r w:rsidR="00D14D8B">
        <w:rPr>
          <w:rFonts w:ascii="Arial" w:hAnsi="Arial" w:cs="Arial"/>
          <w:sz w:val="22"/>
          <w:szCs w:val="22"/>
        </w:rPr>
        <w:t>Listed</w:t>
      </w:r>
      <w:r w:rsidR="00222FEC" w:rsidRPr="00FB2F3D">
        <w:rPr>
          <w:rFonts w:ascii="Arial" w:hAnsi="Arial" w:cs="Arial"/>
          <w:sz w:val="22"/>
          <w:szCs w:val="22"/>
        </w:rPr>
        <w:t xml:space="preserve"> Entity </w:t>
      </w:r>
      <w:r w:rsidRPr="00FB2F3D">
        <w:rPr>
          <w:rFonts w:ascii="Arial" w:hAnsi="Arial" w:cs="Arial"/>
          <w:sz w:val="22"/>
          <w:szCs w:val="22"/>
        </w:rPr>
        <w:t>or Undertaking must take all reasonable steps to ensure compliance with the requirement by the Director, Partner or Employee.</w:t>
      </w:r>
    </w:p>
    <w:p w14:paraId="29CEB763"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lastRenderedPageBreak/>
        <w:t>Guidance</w:t>
      </w:r>
    </w:p>
    <w:p w14:paraId="37347720" w14:textId="77777777" w:rsidR="00D14D8B" w:rsidRDefault="00D14D8B" w:rsidP="00D113E8">
      <w:pPr>
        <w:pStyle w:val="TitleL"/>
        <w:rPr>
          <w:rFonts w:ascii="Arial" w:hAnsi="Arial" w:cs="Arial"/>
          <w:sz w:val="22"/>
          <w:szCs w:val="22"/>
        </w:rPr>
      </w:pPr>
      <w:r>
        <w:rPr>
          <w:rFonts w:ascii="Arial" w:hAnsi="Arial" w:cs="Arial"/>
          <w:sz w:val="22"/>
          <w:szCs w:val="22"/>
        </w:rPr>
        <w:t>Listed Entities and Reporting Entities</w:t>
      </w:r>
    </w:p>
    <w:p w14:paraId="072C00C9" w14:textId="34584E85" w:rsidR="00D14D8B" w:rsidRPr="00D14D8B" w:rsidRDefault="00D14D8B" w:rsidP="00D14D8B">
      <w:pPr>
        <w:pStyle w:val="GuidanceNotesnumbering"/>
        <w:rPr>
          <w:rFonts w:ascii="Arial" w:hAnsi="Arial" w:cs="Arial"/>
          <w:sz w:val="22"/>
          <w:szCs w:val="22"/>
        </w:rPr>
      </w:pPr>
      <w:r w:rsidRPr="00D14D8B">
        <w:rPr>
          <w:rFonts w:ascii="Arial" w:hAnsi="Arial" w:cs="Arial"/>
          <w:sz w:val="22"/>
          <w:szCs w:val="22"/>
        </w:rPr>
        <w:t xml:space="preserve">Where Securities (other than Units of a Fund) are admitted to the Official List, the Issuer of such Securities is a Listed Entity. </w:t>
      </w:r>
    </w:p>
    <w:p w14:paraId="3E26CEC0" w14:textId="27A2B906" w:rsidR="00D14D8B" w:rsidRPr="00D14D8B" w:rsidRDefault="00D14D8B" w:rsidP="00D14D8B">
      <w:pPr>
        <w:pStyle w:val="GuidanceNotesnumbering"/>
        <w:rPr>
          <w:rFonts w:ascii="Arial" w:hAnsi="Arial" w:cs="Arial"/>
          <w:sz w:val="22"/>
          <w:szCs w:val="22"/>
        </w:rPr>
      </w:pPr>
      <w:r w:rsidRPr="00D14D8B">
        <w:rPr>
          <w:rFonts w:ascii="Arial" w:hAnsi="Arial" w:cs="Arial"/>
          <w:sz w:val="22"/>
          <w:szCs w:val="22"/>
        </w:rPr>
        <w:t>In the circumstance described in paragraph 1 above, a reference in MKT to the Reporting Entity may either refer to:</w:t>
      </w:r>
    </w:p>
    <w:p w14:paraId="71D66A46" w14:textId="77777777" w:rsidR="00D14D8B" w:rsidRPr="00D14D8B" w:rsidRDefault="00D14D8B" w:rsidP="009F4E09">
      <w:pPr>
        <w:pStyle w:val="GuidanceNotesnumbering"/>
        <w:numPr>
          <w:ilvl w:val="0"/>
          <w:numId w:val="0"/>
        </w:numPr>
        <w:ind w:left="2127" w:hanging="709"/>
        <w:rPr>
          <w:rFonts w:ascii="Arial" w:hAnsi="Arial" w:cs="Arial"/>
          <w:sz w:val="22"/>
          <w:szCs w:val="22"/>
        </w:rPr>
      </w:pPr>
      <w:r w:rsidRPr="00D14D8B">
        <w:rPr>
          <w:rFonts w:ascii="Arial" w:hAnsi="Arial" w:cs="Arial"/>
          <w:sz w:val="22"/>
          <w:szCs w:val="22"/>
        </w:rPr>
        <w:t>a.</w:t>
      </w:r>
      <w:r w:rsidRPr="00D14D8B">
        <w:rPr>
          <w:rFonts w:ascii="Arial" w:hAnsi="Arial" w:cs="Arial"/>
          <w:sz w:val="22"/>
          <w:szCs w:val="22"/>
        </w:rPr>
        <w:tab/>
        <w:t>the Listed Entity itself; or,</w:t>
      </w:r>
    </w:p>
    <w:p w14:paraId="49B7E70E" w14:textId="77777777" w:rsidR="00D14D8B" w:rsidRPr="00D14D8B" w:rsidRDefault="00D14D8B" w:rsidP="009F4E09">
      <w:pPr>
        <w:pStyle w:val="GuidanceNotesnumbering"/>
        <w:numPr>
          <w:ilvl w:val="0"/>
          <w:numId w:val="0"/>
        </w:numPr>
        <w:ind w:left="2127" w:hanging="709"/>
        <w:rPr>
          <w:rFonts w:ascii="Arial" w:hAnsi="Arial" w:cs="Arial"/>
          <w:sz w:val="22"/>
          <w:szCs w:val="22"/>
        </w:rPr>
      </w:pPr>
      <w:r w:rsidRPr="00D14D8B">
        <w:rPr>
          <w:rFonts w:ascii="Arial" w:hAnsi="Arial" w:cs="Arial"/>
          <w:sz w:val="22"/>
          <w:szCs w:val="22"/>
        </w:rPr>
        <w:t>b.</w:t>
      </w:r>
      <w:r w:rsidRPr="00D14D8B">
        <w:rPr>
          <w:rFonts w:ascii="Arial" w:hAnsi="Arial" w:cs="Arial"/>
          <w:sz w:val="22"/>
          <w:szCs w:val="22"/>
        </w:rPr>
        <w:tab/>
        <w:t>whichever entity is designated by the Regulator as the Reporting Entity of that Listed Entity.</w:t>
      </w:r>
    </w:p>
    <w:p w14:paraId="2F27E605" w14:textId="7B5BAB52" w:rsidR="00D14D8B" w:rsidRPr="00D14D8B" w:rsidRDefault="00D14D8B" w:rsidP="00D14D8B">
      <w:pPr>
        <w:pStyle w:val="GuidanceNotesnumbering"/>
        <w:rPr>
          <w:rFonts w:ascii="Arial" w:hAnsi="Arial" w:cs="Arial"/>
          <w:sz w:val="22"/>
          <w:szCs w:val="22"/>
        </w:rPr>
      </w:pPr>
      <w:r w:rsidRPr="00D14D8B">
        <w:rPr>
          <w:rFonts w:ascii="Arial" w:hAnsi="Arial" w:cs="Arial"/>
          <w:sz w:val="22"/>
          <w:szCs w:val="22"/>
        </w:rPr>
        <w:t>An example of where the Regulator may designate an entity other than the Listed Entity to be the Reporting Entity is where “Company A” has issued a Debenture via a subsidiary securitisation vehicle “SPV X”. Whilst the Debentures of SPV X may be admitted to the Official List, making it a Listed Entity, it is unlikely to have the operational capacity to be a Reporting Entity in its own right. In such circumstances the Regulator will designate Company A as the Reporting Entity for the Debentures admitted to the Official List.</w:t>
      </w:r>
    </w:p>
    <w:p w14:paraId="28B010CE" w14:textId="0A593AB2" w:rsidR="00D14D8B" w:rsidRPr="00D14D8B" w:rsidRDefault="00D14D8B" w:rsidP="00D14D8B">
      <w:pPr>
        <w:pStyle w:val="GuidanceNotesnumbering"/>
        <w:rPr>
          <w:rFonts w:ascii="Arial" w:hAnsi="Arial" w:cs="Arial"/>
          <w:sz w:val="22"/>
          <w:szCs w:val="22"/>
        </w:rPr>
      </w:pPr>
      <w:r w:rsidRPr="00D14D8B">
        <w:rPr>
          <w:rFonts w:ascii="Arial" w:hAnsi="Arial" w:cs="Arial"/>
          <w:sz w:val="22"/>
          <w:szCs w:val="22"/>
        </w:rPr>
        <w:t>Therefore, any reference to a Reporting Entity in MKT should be read in the context applicable to a particular Listed Entity and any associated entities.</w:t>
      </w:r>
    </w:p>
    <w:p w14:paraId="7A5E14B2" w14:textId="0B683135" w:rsidR="00162E0C" w:rsidRPr="00FB2F3D" w:rsidRDefault="00162E0C" w:rsidP="00D113E8">
      <w:pPr>
        <w:pStyle w:val="TitleL"/>
        <w:rPr>
          <w:rFonts w:ascii="Arial" w:hAnsi="Arial" w:cs="Arial"/>
          <w:sz w:val="22"/>
          <w:szCs w:val="22"/>
        </w:rPr>
      </w:pPr>
      <w:r w:rsidRPr="00FB2F3D">
        <w:rPr>
          <w:rFonts w:ascii="Arial" w:hAnsi="Arial" w:cs="Arial"/>
          <w:sz w:val="22"/>
          <w:szCs w:val="22"/>
        </w:rPr>
        <w:t xml:space="preserve">Application to </w:t>
      </w:r>
      <w:r w:rsidR="000A19CB" w:rsidRPr="00FB2F3D">
        <w:rPr>
          <w:rFonts w:ascii="Arial" w:hAnsi="Arial" w:cs="Arial"/>
          <w:sz w:val="22"/>
          <w:szCs w:val="22"/>
        </w:rPr>
        <w:t>Listed Fund</w:t>
      </w:r>
      <w:r w:rsidRPr="00FB2F3D">
        <w:rPr>
          <w:rFonts w:ascii="Arial" w:hAnsi="Arial" w:cs="Arial"/>
          <w:sz w:val="22"/>
          <w:szCs w:val="22"/>
        </w:rPr>
        <w:t>s</w:t>
      </w:r>
    </w:p>
    <w:p w14:paraId="064CF8AA" w14:textId="77777777" w:rsidR="00162E0C" w:rsidRPr="00FB2F3D" w:rsidRDefault="00162E0C" w:rsidP="00F62DFC">
      <w:pPr>
        <w:pStyle w:val="GuidanceNotesnumbering"/>
        <w:rPr>
          <w:rFonts w:ascii="Arial" w:hAnsi="Arial" w:cs="Arial"/>
          <w:sz w:val="22"/>
          <w:szCs w:val="22"/>
        </w:rPr>
      </w:pPr>
      <w:r w:rsidRPr="00FB2F3D">
        <w:rPr>
          <w:rFonts w:ascii="Arial" w:hAnsi="Arial" w:cs="Arial"/>
          <w:sz w:val="22"/>
          <w:szCs w:val="22"/>
        </w:rPr>
        <w:t xml:space="preserve">Where Units of a Fund are admitted to </w:t>
      </w:r>
      <w:r w:rsidR="00F62DFC" w:rsidRPr="00FB2F3D">
        <w:rPr>
          <w:rFonts w:ascii="Arial" w:hAnsi="Arial" w:cs="Arial"/>
          <w:sz w:val="22"/>
          <w:szCs w:val="22"/>
        </w:rPr>
        <w:t>the Official List</w:t>
      </w:r>
      <w:r w:rsidRPr="00FB2F3D">
        <w:rPr>
          <w:rFonts w:ascii="Arial" w:hAnsi="Arial" w:cs="Arial"/>
          <w:sz w:val="22"/>
          <w:szCs w:val="22"/>
        </w:rPr>
        <w:t xml:space="preserve">, such a Fund is a Listed Fund. A reference to </w:t>
      </w:r>
      <w:r w:rsidR="00222FEC" w:rsidRPr="00FB2F3D">
        <w:rPr>
          <w:rFonts w:ascii="Arial" w:hAnsi="Arial" w:cs="Arial"/>
          <w:sz w:val="22"/>
          <w:szCs w:val="22"/>
        </w:rPr>
        <w:t>a Reporting Entity</w:t>
      </w:r>
      <w:r w:rsidRPr="00FB2F3D">
        <w:rPr>
          <w:rFonts w:ascii="Arial" w:hAnsi="Arial" w:cs="Arial"/>
          <w:sz w:val="22"/>
          <w:szCs w:val="22"/>
        </w:rPr>
        <w:t xml:space="preserve"> in relation to a Listed Fund is a reference to the Fund Manager of that Fund, unless another person has been declared by the </w:t>
      </w:r>
      <w:r w:rsidR="0035335F" w:rsidRPr="00FB2F3D">
        <w:rPr>
          <w:rFonts w:ascii="Arial" w:hAnsi="Arial" w:cs="Arial"/>
          <w:sz w:val="22"/>
          <w:szCs w:val="22"/>
        </w:rPr>
        <w:t>Regulator</w:t>
      </w:r>
      <w:r w:rsidRPr="00FB2F3D">
        <w:rPr>
          <w:rFonts w:ascii="Arial" w:hAnsi="Arial" w:cs="Arial"/>
          <w:sz w:val="22"/>
          <w:szCs w:val="22"/>
        </w:rPr>
        <w:t xml:space="preserve"> as the </w:t>
      </w:r>
      <w:r w:rsidR="00222FEC" w:rsidRPr="00FB2F3D">
        <w:rPr>
          <w:rFonts w:ascii="Arial" w:hAnsi="Arial" w:cs="Arial"/>
          <w:sz w:val="22"/>
          <w:szCs w:val="22"/>
        </w:rPr>
        <w:t>Reporting Entity</w:t>
      </w:r>
      <w:r w:rsidRPr="00FB2F3D">
        <w:rPr>
          <w:rFonts w:ascii="Arial" w:hAnsi="Arial" w:cs="Arial"/>
          <w:sz w:val="22"/>
          <w:szCs w:val="22"/>
        </w:rPr>
        <w:t xml:space="preserve"> of the Fund.</w:t>
      </w:r>
    </w:p>
    <w:p w14:paraId="51EC38F2" w14:textId="77777777" w:rsidR="00162E0C" w:rsidRPr="00FB2F3D" w:rsidRDefault="00162E0C" w:rsidP="00222FEC">
      <w:pPr>
        <w:pStyle w:val="GuidanceNotesnumbering"/>
        <w:rPr>
          <w:rFonts w:ascii="Arial" w:hAnsi="Arial" w:cs="Arial"/>
          <w:sz w:val="22"/>
          <w:szCs w:val="22"/>
        </w:rPr>
      </w:pPr>
      <w:r w:rsidRPr="00FB2F3D">
        <w:rPr>
          <w:rFonts w:ascii="Arial" w:hAnsi="Arial" w:cs="Arial"/>
          <w:sz w:val="22"/>
          <w:szCs w:val="22"/>
        </w:rPr>
        <w:t xml:space="preserve">Accordingly, any obligations of </w:t>
      </w:r>
      <w:r w:rsidR="00222FEC" w:rsidRPr="00FB2F3D">
        <w:rPr>
          <w:rFonts w:ascii="Arial" w:hAnsi="Arial" w:cs="Arial"/>
          <w:sz w:val="22"/>
          <w:szCs w:val="22"/>
        </w:rPr>
        <w:t>a Reporting Entity</w:t>
      </w:r>
      <w:r w:rsidRPr="00FB2F3D">
        <w:rPr>
          <w:rFonts w:ascii="Arial" w:hAnsi="Arial" w:cs="Arial"/>
          <w:sz w:val="22"/>
          <w:szCs w:val="22"/>
        </w:rPr>
        <w:t xml:space="preserve"> </w:t>
      </w:r>
      <w:r w:rsidR="00222FEC" w:rsidRPr="00FB2F3D">
        <w:rPr>
          <w:rFonts w:ascii="Arial" w:hAnsi="Arial" w:cs="Arial"/>
          <w:sz w:val="22"/>
          <w:szCs w:val="22"/>
        </w:rPr>
        <w:t>of</w:t>
      </w:r>
      <w:r w:rsidRPr="00FB2F3D">
        <w:rPr>
          <w:rFonts w:ascii="Arial" w:hAnsi="Arial" w:cs="Arial"/>
          <w:sz w:val="22"/>
          <w:szCs w:val="22"/>
        </w:rPr>
        <w:t xml:space="preserve"> a Listed Fund are, unless the context requires otherwise, obligations imposed on the </w:t>
      </w:r>
      <w:r w:rsidR="00222FEC" w:rsidRPr="00FB2F3D">
        <w:rPr>
          <w:rFonts w:ascii="Arial" w:hAnsi="Arial" w:cs="Arial"/>
          <w:sz w:val="22"/>
          <w:szCs w:val="22"/>
        </w:rPr>
        <w:t>Reporting Entity</w:t>
      </w:r>
      <w:r w:rsidRPr="00FB2F3D">
        <w:rPr>
          <w:rFonts w:ascii="Arial" w:hAnsi="Arial" w:cs="Arial"/>
          <w:sz w:val="22"/>
          <w:szCs w:val="22"/>
        </w:rPr>
        <w:t xml:space="preserve"> in respect of the Listed Fund. Therefore, the obligations imposed by the FSMR and these Rules apply to the Governing Body of the </w:t>
      </w:r>
      <w:r w:rsidR="00222FEC" w:rsidRPr="00FB2F3D">
        <w:rPr>
          <w:rFonts w:ascii="Arial" w:hAnsi="Arial" w:cs="Arial"/>
          <w:sz w:val="22"/>
          <w:szCs w:val="22"/>
        </w:rPr>
        <w:t>Reporting Entity</w:t>
      </w:r>
      <w:r w:rsidRPr="00FB2F3D">
        <w:rPr>
          <w:rFonts w:ascii="Arial" w:hAnsi="Arial" w:cs="Arial"/>
          <w:sz w:val="22"/>
          <w:szCs w:val="22"/>
        </w:rPr>
        <w:t xml:space="preserve"> and to every member of the Governing Body in the manner specified in Rules</w:t>
      </w:r>
      <w:r w:rsidR="004F72F0" w:rsidRPr="00FB2F3D">
        <w:rPr>
          <w:rFonts w:ascii="Arial" w:hAnsi="Arial" w:cs="Arial"/>
          <w:sz w:val="22"/>
          <w:szCs w:val="22"/>
        </w:rPr>
        <w:t> </w:t>
      </w:r>
      <w:r w:rsidR="00693841" w:rsidRPr="00FB2F3D">
        <w:rPr>
          <w:rFonts w:ascii="Arial" w:hAnsi="Arial" w:cs="Arial"/>
          <w:sz w:val="22"/>
          <w:szCs w:val="22"/>
        </w:rPr>
        <w:t>1.1.2</w:t>
      </w:r>
      <w:r w:rsidRPr="00FB2F3D">
        <w:rPr>
          <w:rFonts w:ascii="Arial" w:hAnsi="Arial" w:cs="Arial"/>
          <w:sz w:val="22"/>
          <w:szCs w:val="22"/>
        </w:rPr>
        <w:t xml:space="preserve"> and </w:t>
      </w:r>
      <w:r w:rsidR="00693841" w:rsidRPr="00FB2F3D">
        <w:rPr>
          <w:rFonts w:ascii="Arial" w:hAnsi="Arial" w:cs="Arial"/>
          <w:sz w:val="22"/>
          <w:szCs w:val="22"/>
        </w:rPr>
        <w:t>1.1.3</w:t>
      </w:r>
      <w:r w:rsidRPr="00FB2F3D">
        <w:rPr>
          <w:rFonts w:ascii="Arial" w:hAnsi="Arial" w:cs="Arial"/>
          <w:sz w:val="22"/>
          <w:szCs w:val="22"/>
        </w:rPr>
        <w:t>.</w:t>
      </w:r>
    </w:p>
    <w:p w14:paraId="6E5175AD" w14:textId="77777777" w:rsidR="00162E0C" w:rsidRPr="00FB2F3D" w:rsidRDefault="00162E0C" w:rsidP="002D0791">
      <w:pPr>
        <w:pStyle w:val="TitleL"/>
        <w:rPr>
          <w:rFonts w:ascii="Arial" w:hAnsi="Arial" w:cs="Arial"/>
          <w:sz w:val="22"/>
          <w:szCs w:val="22"/>
        </w:rPr>
      </w:pPr>
      <w:r w:rsidRPr="00FB2F3D">
        <w:rPr>
          <w:rFonts w:ascii="Arial" w:hAnsi="Arial" w:cs="Arial"/>
          <w:sz w:val="22"/>
          <w:szCs w:val="22"/>
        </w:rPr>
        <w:t>Waivers and modifications</w:t>
      </w:r>
    </w:p>
    <w:p w14:paraId="461C5EEA" w14:textId="6E3385E8" w:rsidR="00162E0C" w:rsidRPr="00FB2F3D" w:rsidRDefault="00162E0C" w:rsidP="00F62DFC">
      <w:pPr>
        <w:pStyle w:val="GuidanceNotesnumbering"/>
        <w:rPr>
          <w:rFonts w:ascii="Arial" w:hAnsi="Arial" w:cs="Arial"/>
          <w:sz w:val="22"/>
          <w:szCs w:val="22"/>
        </w:rPr>
      </w:pPr>
      <w:r w:rsidRPr="00FB2F3D">
        <w:rPr>
          <w:rFonts w:ascii="Arial" w:hAnsi="Arial" w:cs="Arial"/>
          <w:sz w:val="22"/>
          <w:szCs w:val="22"/>
        </w:rPr>
        <w:t xml:space="preserve">The </w:t>
      </w:r>
      <w:r w:rsidR="0035335F" w:rsidRPr="00FB2F3D">
        <w:rPr>
          <w:rFonts w:ascii="Arial" w:hAnsi="Arial" w:cs="Arial"/>
          <w:sz w:val="22"/>
          <w:szCs w:val="22"/>
        </w:rPr>
        <w:t>Regulator</w:t>
      </w:r>
      <w:r w:rsidRPr="00FB2F3D">
        <w:rPr>
          <w:rFonts w:ascii="Arial" w:hAnsi="Arial" w:cs="Arial"/>
          <w:sz w:val="22"/>
          <w:szCs w:val="22"/>
        </w:rPr>
        <w:t xml:space="preserve"> may, pursuant to section </w:t>
      </w:r>
      <w:r w:rsidR="00F62DFC" w:rsidRPr="00FB2F3D">
        <w:rPr>
          <w:rFonts w:ascii="Arial" w:hAnsi="Arial" w:cs="Arial"/>
          <w:sz w:val="22"/>
          <w:szCs w:val="22"/>
        </w:rPr>
        <w:t>58(2)</w:t>
      </w:r>
      <w:r w:rsidRPr="00FB2F3D">
        <w:rPr>
          <w:rFonts w:ascii="Arial" w:hAnsi="Arial" w:cs="Arial"/>
          <w:sz w:val="22"/>
          <w:szCs w:val="22"/>
        </w:rPr>
        <w:t xml:space="preserve"> of FSMR, waive or modify the appli</w:t>
      </w:r>
      <w:r w:rsidR="00F62DFC" w:rsidRPr="00FB2F3D">
        <w:rPr>
          <w:rFonts w:ascii="Arial" w:hAnsi="Arial" w:cs="Arial"/>
          <w:sz w:val="22"/>
          <w:szCs w:val="22"/>
        </w:rPr>
        <w:t xml:space="preserve">cation of the provisions in </w:t>
      </w:r>
      <w:r w:rsidRPr="00FB2F3D">
        <w:rPr>
          <w:rFonts w:ascii="Arial" w:hAnsi="Arial" w:cs="Arial"/>
          <w:sz w:val="22"/>
          <w:szCs w:val="22"/>
        </w:rPr>
        <w:t xml:space="preserve">FSMR </w:t>
      </w:r>
      <w:r w:rsidR="00F62DFC" w:rsidRPr="00FB2F3D">
        <w:rPr>
          <w:rFonts w:ascii="Arial" w:hAnsi="Arial" w:cs="Arial"/>
          <w:sz w:val="22"/>
          <w:szCs w:val="22"/>
        </w:rPr>
        <w:t xml:space="preserve">concerning the admission of Securities to trading on a Recognised Investment Exchange </w:t>
      </w:r>
      <w:r w:rsidRPr="00FB2F3D">
        <w:rPr>
          <w:rFonts w:ascii="Arial" w:hAnsi="Arial" w:cs="Arial"/>
          <w:sz w:val="22"/>
          <w:szCs w:val="22"/>
        </w:rPr>
        <w:t xml:space="preserve">where it considers appropriate or desirable in the interests of the ADGM to do so and, in accordance with the procedures set out in </w:t>
      </w:r>
      <w:r w:rsidR="009F4E09">
        <w:rPr>
          <w:rFonts w:ascii="Arial" w:hAnsi="Arial" w:cs="Arial"/>
          <w:sz w:val="22"/>
          <w:szCs w:val="22"/>
        </w:rPr>
        <w:t>paragraph 8</w:t>
      </w:r>
      <w:r w:rsidRPr="00FB2F3D">
        <w:rPr>
          <w:rFonts w:ascii="Arial" w:hAnsi="Arial" w:cs="Arial"/>
          <w:sz w:val="22"/>
          <w:szCs w:val="22"/>
        </w:rPr>
        <w:t xml:space="preserve"> below.</w:t>
      </w:r>
    </w:p>
    <w:p w14:paraId="49721498" w14:textId="77777777" w:rsidR="00162E0C" w:rsidRPr="00FB2F3D" w:rsidRDefault="00162E0C" w:rsidP="00F62DFC">
      <w:pPr>
        <w:pStyle w:val="GuidanceNotesnumbering"/>
        <w:rPr>
          <w:rFonts w:ascii="Arial" w:hAnsi="Arial" w:cs="Arial"/>
          <w:sz w:val="22"/>
          <w:szCs w:val="22"/>
        </w:rPr>
      </w:pPr>
      <w:bookmarkStart w:id="20" w:name="_Ref416750175"/>
      <w:r w:rsidRPr="00FB2F3D">
        <w:rPr>
          <w:rFonts w:ascii="Arial" w:hAnsi="Arial" w:cs="Arial"/>
          <w:sz w:val="22"/>
          <w:szCs w:val="22"/>
        </w:rPr>
        <w:t xml:space="preserve">Generally, the </w:t>
      </w:r>
      <w:r w:rsidR="0035335F" w:rsidRPr="00FB2F3D">
        <w:rPr>
          <w:rFonts w:ascii="Arial" w:hAnsi="Arial" w:cs="Arial"/>
          <w:sz w:val="22"/>
          <w:szCs w:val="22"/>
        </w:rPr>
        <w:t>Regulator</w:t>
      </w:r>
      <w:r w:rsidRPr="00FB2F3D">
        <w:rPr>
          <w:rFonts w:ascii="Arial" w:hAnsi="Arial" w:cs="Arial"/>
          <w:sz w:val="22"/>
          <w:szCs w:val="22"/>
        </w:rPr>
        <w:t xml:space="preserve"> will exercise the section </w:t>
      </w:r>
      <w:r w:rsidR="00F62DFC" w:rsidRPr="00FB2F3D">
        <w:rPr>
          <w:rFonts w:ascii="Arial" w:hAnsi="Arial" w:cs="Arial"/>
          <w:sz w:val="22"/>
          <w:szCs w:val="22"/>
        </w:rPr>
        <w:t>58(2)</w:t>
      </w:r>
      <w:r w:rsidRPr="00FB2F3D">
        <w:rPr>
          <w:rFonts w:ascii="Arial" w:hAnsi="Arial" w:cs="Arial"/>
          <w:sz w:val="22"/>
          <w:szCs w:val="22"/>
        </w:rPr>
        <w:t xml:space="preserve"> FSMR power sparingly and only in circumstances where there is a clearly demonstrated case for granting a waiver or modification of the FSMR, such as:</w:t>
      </w:r>
      <w:bookmarkEnd w:id="20"/>
    </w:p>
    <w:p w14:paraId="388CE00A" w14:textId="77777777" w:rsidR="00162E0C" w:rsidRPr="00FB2F3D" w:rsidRDefault="00162E0C" w:rsidP="007E31C1">
      <w:pPr>
        <w:pStyle w:val="GuidanceNotesnumbering"/>
        <w:numPr>
          <w:ilvl w:val="1"/>
          <w:numId w:val="30"/>
        </w:numPr>
        <w:rPr>
          <w:rFonts w:ascii="Arial" w:hAnsi="Arial" w:cs="Arial"/>
          <w:sz w:val="22"/>
          <w:szCs w:val="22"/>
        </w:rPr>
      </w:pPr>
      <w:r w:rsidRPr="00FB2F3D">
        <w:rPr>
          <w:rFonts w:ascii="Arial" w:hAnsi="Arial" w:cs="Arial"/>
          <w:sz w:val="22"/>
          <w:szCs w:val="22"/>
        </w:rPr>
        <w:t>to alleviate any undue regulatory burden on a Person in complying with the requirements in the FSMR in circumstances where investor protection intended by the relevant provisions is not reduced; or</w:t>
      </w:r>
    </w:p>
    <w:p w14:paraId="0F7BAACA" w14:textId="77777777" w:rsidR="00162E0C" w:rsidRPr="00FB2F3D" w:rsidRDefault="00162E0C" w:rsidP="007E31C1">
      <w:pPr>
        <w:pStyle w:val="GuidanceNotesnumbering"/>
        <w:numPr>
          <w:ilvl w:val="1"/>
          <w:numId w:val="30"/>
        </w:numPr>
        <w:rPr>
          <w:rFonts w:ascii="Arial" w:hAnsi="Arial" w:cs="Arial"/>
          <w:sz w:val="22"/>
          <w:szCs w:val="22"/>
        </w:rPr>
      </w:pPr>
      <w:r w:rsidRPr="00FB2F3D">
        <w:rPr>
          <w:rFonts w:ascii="Arial" w:hAnsi="Arial" w:cs="Arial"/>
          <w:sz w:val="22"/>
          <w:szCs w:val="22"/>
        </w:rPr>
        <w:lastRenderedPageBreak/>
        <w:t xml:space="preserve">to apply to a Person upon request (i.e. on a consent basis) the provisions of the FSMR which, without a modification, will not apply to that Person. For example, an Exempt Offeror (i.e. a Person such as a government or government instrumentality included in the ADGM's Exempt Offeror List in </w:t>
      </w:r>
      <w:r w:rsidR="00693841" w:rsidRPr="00FB2F3D">
        <w:rPr>
          <w:rFonts w:ascii="Arial" w:hAnsi="Arial" w:cs="Arial"/>
          <w:sz w:val="22"/>
          <w:szCs w:val="22"/>
        </w:rPr>
        <w:t>APP 5</w:t>
      </w:r>
      <w:r w:rsidRPr="00FB2F3D">
        <w:rPr>
          <w:rFonts w:ascii="Arial" w:hAnsi="Arial" w:cs="Arial"/>
          <w:sz w:val="22"/>
          <w:szCs w:val="22"/>
        </w:rPr>
        <w:t xml:space="preserve">) who is not subject to the Prospectus disclosure and the liability regime in the FSMR and these Rules may apply to the </w:t>
      </w:r>
      <w:r w:rsidR="0035335F" w:rsidRPr="00FB2F3D">
        <w:rPr>
          <w:rFonts w:ascii="Arial" w:hAnsi="Arial" w:cs="Arial"/>
          <w:sz w:val="22"/>
          <w:szCs w:val="22"/>
        </w:rPr>
        <w:t>Regulator</w:t>
      </w:r>
      <w:r w:rsidRPr="00FB2F3D">
        <w:rPr>
          <w:rFonts w:ascii="Arial" w:hAnsi="Arial" w:cs="Arial"/>
          <w:sz w:val="22"/>
          <w:szCs w:val="22"/>
        </w:rPr>
        <w:t xml:space="preserve"> for a modification to section </w:t>
      </w:r>
      <w:r w:rsidR="003F74B3" w:rsidRPr="00FB2F3D">
        <w:rPr>
          <w:rFonts w:ascii="Arial" w:hAnsi="Arial" w:cs="Arial"/>
          <w:sz w:val="22"/>
          <w:szCs w:val="22"/>
        </w:rPr>
        <w:t>61</w:t>
      </w:r>
      <w:r w:rsidRPr="00FB2F3D">
        <w:rPr>
          <w:rFonts w:ascii="Arial" w:hAnsi="Arial" w:cs="Arial"/>
          <w:sz w:val="22"/>
          <w:szCs w:val="22"/>
        </w:rPr>
        <w:t xml:space="preserve"> of the FSMR so that it can make a Prospectus Offer of its </w:t>
      </w:r>
      <w:r w:rsidR="004B46BD" w:rsidRPr="00FB2F3D">
        <w:rPr>
          <w:rFonts w:ascii="Arial" w:hAnsi="Arial" w:cs="Arial"/>
          <w:sz w:val="22"/>
          <w:szCs w:val="22"/>
        </w:rPr>
        <w:t>Securities</w:t>
      </w:r>
      <w:r w:rsidRPr="00FB2F3D">
        <w:rPr>
          <w:rFonts w:ascii="Arial" w:hAnsi="Arial" w:cs="Arial"/>
          <w:sz w:val="22"/>
          <w:szCs w:val="22"/>
        </w:rPr>
        <w:t xml:space="preserve"> in accordance with the relevant Prospectus disclosure and liability regime in the FSMR and these Rules.</w:t>
      </w:r>
    </w:p>
    <w:p w14:paraId="1653C1FB" w14:textId="77777777" w:rsidR="00162E0C" w:rsidRPr="00FB2F3D" w:rsidRDefault="00162E0C" w:rsidP="002D0791">
      <w:pPr>
        <w:pStyle w:val="GuidanceNotesnumbering"/>
        <w:rPr>
          <w:rFonts w:ascii="Arial" w:hAnsi="Arial" w:cs="Arial"/>
          <w:sz w:val="22"/>
          <w:szCs w:val="22"/>
        </w:rPr>
      </w:pPr>
      <w:r w:rsidRPr="00FB2F3D">
        <w:rPr>
          <w:rFonts w:ascii="Arial" w:hAnsi="Arial" w:cs="Arial"/>
          <w:sz w:val="22"/>
          <w:szCs w:val="22"/>
        </w:rPr>
        <w:t xml:space="preserve">The </w:t>
      </w:r>
      <w:r w:rsidR="0035335F" w:rsidRPr="00FB2F3D">
        <w:rPr>
          <w:rFonts w:ascii="Arial" w:hAnsi="Arial" w:cs="Arial"/>
          <w:sz w:val="22"/>
          <w:szCs w:val="22"/>
        </w:rPr>
        <w:t>Regulator</w:t>
      </w:r>
      <w:r w:rsidRPr="00FB2F3D">
        <w:rPr>
          <w:rFonts w:ascii="Arial" w:hAnsi="Arial" w:cs="Arial"/>
          <w:sz w:val="22"/>
          <w:szCs w:val="22"/>
        </w:rPr>
        <w:t xml:space="preserve"> also has the power, pursuant to section </w:t>
      </w:r>
      <w:r w:rsidR="0092611E" w:rsidRPr="00FB2F3D">
        <w:rPr>
          <w:rFonts w:ascii="Arial" w:hAnsi="Arial" w:cs="Arial"/>
          <w:sz w:val="22"/>
          <w:szCs w:val="22"/>
        </w:rPr>
        <w:t>9</w:t>
      </w:r>
      <w:r w:rsidRPr="00FB2F3D">
        <w:rPr>
          <w:rFonts w:ascii="Arial" w:hAnsi="Arial" w:cs="Arial"/>
          <w:sz w:val="22"/>
          <w:szCs w:val="22"/>
        </w:rPr>
        <w:t xml:space="preserve"> of the FSMR, to waive or modify these Rules. The </w:t>
      </w:r>
      <w:r w:rsidR="006D5436" w:rsidRPr="00FB2F3D">
        <w:rPr>
          <w:rFonts w:ascii="Arial" w:hAnsi="Arial" w:cs="Arial"/>
          <w:sz w:val="22"/>
          <w:szCs w:val="22"/>
        </w:rPr>
        <w:t>Guidance and Policies Manual (GPM)</w:t>
      </w:r>
      <w:r w:rsidRPr="00FB2F3D">
        <w:rPr>
          <w:rFonts w:ascii="Arial" w:hAnsi="Arial" w:cs="Arial"/>
          <w:sz w:val="22"/>
          <w:szCs w:val="22"/>
        </w:rPr>
        <w:t xml:space="preserve"> gives further information on how to seek a waiver or modification.</w:t>
      </w:r>
    </w:p>
    <w:p w14:paraId="26456F4F" w14:textId="77777777" w:rsidR="00162E0C" w:rsidRPr="00FB2F3D" w:rsidRDefault="00162E0C" w:rsidP="0061693E">
      <w:pPr>
        <w:pStyle w:val="Heading2"/>
        <w:rPr>
          <w:rFonts w:ascii="Arial" w:hAnsi="Arial" w:cs="Arial"/>
          <w:sz w:val="22"/>
          <w:szCs w:val="22"/>
        </w:rPr>
      </w:pPr>
      <w:bookmarkStart w:id="21" w:name="_Toc409521814"/>
      <w:bookmarkStart w:id="22" w:name="_Toc410136211"/>
      <w:bookmarkStart w:id="23" w:name="_Toc410605920"/>
      <w:bookmarkStart w:id="24" w:name="_Toc410658856"/>
      <w:bookmarkStart w:id="25" w:name="_Toc410658983"/>
      <w:bookmarkStart w:id="26" w:name="_Toc410835527"/>
      <w:bookmarkStart w:id="27" w:name="_Toc138325643"/>
      <w:r w:rsidRPr="00FB2F3D">
        <w:rPr>
          <w:rFonts w:ascii="Arial" w:hAnsi="Arial" w:cs="Arial"/>
          <w:sz w:val="22"/>
          <w:szCs w:val="22"/>
        </w:rPr>
        <w:t xml:space="preserve">Overview of the </w:t>
      </w:r>
      <w:bookmarkEnd w:id="21"/>
      <w:bookmarkEnd w:id="22"/>
      <w:bookmarkEnd w:id="23"/>
      <w:bookmarkEnd w:id="24"/>
      <w:bookmarkEnd w:id="25"/>
      <w:bookmarkEnd w:id="26"/>
      <w:r w:rsidR="00F62DFC" w:rsidRPr="00FB2F3D">
        <w:rPr>
          <w:rFonts w:ascii="Arial" w:hAnsi="Arial" w:cs="Arial"/>
          <w:sz w:val="22"/>
          <w:szCs w:val="22"/>
        </w:rPr>
        <w:t>Rulebook</w:t>
      </w:r>
      <w:bookmarkEnd w:id="27"/>
    </w:p>
    <w:p w14:paraId="50CBFB38"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3C718529" w14:textId="77777777" w:rsidR="000C6A95" w:rsidRPr="00FB2F3D" w:rsidRDefault="000C6A95" w:rsidP="000C6A95">
      <w:pPr>
        <w:pStyle w:val="TitleL"/>
        <w:rPr>
          <w:rFonts w:ascii="Arial" w:hAnsi="Arial" w:cs="Arial"/>
          <w:sz w:val="22"/>
          <w:szCs w:val="22"/>
        </w:rPr>
      </w:pPr>
      <w:r w:rsidRPr="00FB2F3D">
        <w:rPr>
          <w:rFonts w:ascii="Arial" w:hAnsi="Arial" w:cs="Arial"/>
          <w:sz w:val="22"/>
          <w:szCs w:val="22"/>
        </w:rPr>
        <w:t>Listing Rules – chapter </w:t>
      </w:r>
      <w:r w:rsidR="00693841" w:rsidRPr="00FB2F3D">
        <w:rPr>
          <w:rFonts w:ascii="Arial" w:hAnsi="Arial" w:cs="Arial"/>
          <w:sz w:val="22"/>
          <w:szCs w:val="22"/>
        </w:rPr>
        <w:t>2</w:t>
      </w:r>
    </w:p>
    <w:p w14:paraId="6A0E4C5C" w14:textId="6BA0759C" w:rsidR="000C6A95" w:rsidRPr="00FB2F3D" w:rsidRDefault="000C6A95" w:rsidP="00755725">
      <w:pPr>
        <w:pStyle w:val="GuidanceNotesnumbering"/>
        <w:numPr>
          <w:ilvl w:val="0"/>
          <w:numId w:val="83"/>
        </w:numPr>
        <w:rPr>
          <w:rFonts w:ascii="Arial" w:hAnsi="Arial" w:cs="Arial"/>
          <w:sz w:val="22"/>
          <w:szCs w:val="22"/>
        </w:rPr>
      </w:pPr>
      <w:r w:rsidRPr="00FB2F3D">
        <w:rPr>
          <w:rFonts w:ascii="Arial" w:hAnsi="Arial" w:cs="Arial"/>
          <w:sz w:val="22"/>
          <w:szCs w:val="22"/>
        </w:rPr>
        <w:t>Chapter </w:t>
      </w:r>
      <w:r w:rsidR="00693841" w:rsidRPr="00FB2F3D">
        <w:rPr>
          <w:rFonts w:ascii="Arial" w:hAnsi="Arial" w:cs="Arial"/>
          <w:sz w:val="22"/>
          <w:szCs w:val="22"/>
        </w:rPr>
        <w:t>2</w:t>
      </w:r>
      <w:r w:rsidRPr="00FB2F3D">
        <w:rPr>
          <w:rFonts w:ascii="Arial" w:hAnsi="Arial" w:cs="Arial"/>
          <w:sz w:val="22"/>
          <w:szCs w:val="22"/>
        </w:rPr>
        <w:t xml:space="preserve"> sets out the Listing Rules</w:t>
      </w:r>
      <w:r w:rsidR="009F4E09">
        <w:rPr>
          <w:rFonts w:ascii="Arial" w:hAnsi="Arial" w:cs="Arial"/>
          <w:sz w:val="22"/>
          <w:szCs w:val="22"/>
        </w:rPr>
        <w:t xml:space="preserve"> of the Regulator</w:t>
      </w:r>
      <w:r w:rsidRPr="00FB2F3D">
        <w:rPr>
          <w:rFonts w:ascii="Arial" w:hAnsi="Arial" w:cs="Arial"/>
          <w:sz w:val="22"/>
          <w:szCs w:val="22"/>
        </w:rPr>
        <w:t>.</w:t>
      </w:r>
    </w:p>
    <w:p w14:paraId="419456CA" w14:textId="77777777" w:rsidR="000C6A95" w:rsidRPr="00FB2F3D" w:rsidRDefault="000C6A95" w:rsidP="000C6A95">
      <w:pPr>
        <w:pStyle w:val="TitleL"/>
        <w:rPr>
          <w:rFonts w:ascii="Arial" w:hAnsi="Arial" w:cs="Arial"/>
          <w:sz w:val="22"/>
          <w:szCs w:val="22"/>
        </w:rPr>
      </w:pPr>
      <w:r w:rsidRPr="00FB2F3D">
        <w:rPr>
          <w:rFonts w:ascii="Arial" w:hAnsi="Arial" w:cs="Arial"/>
          <w:sz w:val="22"/>
          <w:szCs w:val="22"/>
        </w:rPr>
        <w:t>Listed funds – chapter </w:t>
      </w:r>
      <w:r w:rsidR="00693841" w:rsidRPr="00FB2F3D">
        <w:rPr>
          <w:rFonts w:ascii="Arial" w:hAnsi="Arial" w:cs="Arial"/>
          <w:sz w:val="22"/>
          <w:szCs w:val="22"/>
        </w:rPr>
        <w:t>3</w:t>
      </w:r>
    </w:p>
    <w:p w14:paraId="72D25667" w14:textId="4A3A09E8" w:rsidR="000C6A95" w:rsidRPr="00FB2F3D" w:rsidRDefault="000C6A95" w:rsidP="000C6A95">
      <w:pPr>
        <w:pStyle w:val="GuidanceNotesnumbering"/>
        <w:rPr>
          <w:rFonts w:ascii="Arial" w:hAnsi="Arial" w:cs="Arial"/>
          <w:sz w:val="22"/>
          <w:szCs w:val="22"/>
        </w:rPr>
      </w:pPr>
      <w:r w:rsidRPr="00FB2F3D">
        <w:rPr>
          <w:rFonts w:ascii="Arial" w:hAnsi="Arial" w:cs="Arial"/>
          <w:sz w:val="22"/>
          <w:szCs w:val="22"/>
        </w:rPr>
        <w:t>Chapter </w:t>
      </w:r>
      <w:r w:rsidR="00693841" w:rsidRPr="00FB2F3D">
        <w:rPr>
          <w:rFonts w:ascii="Arial" w:hAnsi="Arial" w:cs="Arial"/>
          <w:sz w:val="22"/>
          <w:szCs w:val="22"/>
        </w:rPr>
        <w:t>3</w:t>
      </w:r>
      <w:r w:rsidRPr="00FB2F3D">
        <w:rPr>
          <w:rFonts w:ascii="Arial" w:hAnsi="Arial" w:cs="Arial"/>
          <w:sz w:val="22"/>
          <w:szCs w:val="22"/>
        </w:rPr>
        <w:t xml:space="preserve"> contains, with the exception of the requirements in chapters </w:t>
      </w:r>
      <w:r w:rsidR="00693841" w:rsidRPr="00FB2F3D">
        <w:rPr>
          <w:rFonts w:ascii="Arial" w:hAnsi="Arial" w:cs="Arial"/>
          <w:sz w:val="22"/>
          <w:szCs w:val="22"/>
        </w:rPr>
        <w:t>5</w:t>
      </w:r>
      <w:r w:rsidRPr="00FB2F3D">
        <w:rPr>
          <w:rFonts w:ascii="Arial" w:hAnsi="Arial" w:cs="Arial"/>
          <w:sz w:val="22"/>
          <w:szCs w:val="22"/>
        </w:rPr>
        <w:t xml:space="preserve"> (Sponsors)</w:t>
      </w:r>
      <w:r w:rsidR="00A25D41">
        <w:rPr>
          <w:rFonts w:ascii="Arial" w:hAnsi="Arial" w:cs="Arial"/>
          <w:sz w:val="22"/>
          <w:szCs w:val="22"/>
        </w:rPr>
        <w:t>, 7 (Continuous Disclosure)</w:t>
      </w:r>
      <w:r w:rsidRPr="00FB2F3D">
        <w:rPr>
          <w:rFonts w:ascii="Arial" w:hAnsi="Arial" w:cs="Arial"/>
          <w:sz w:val="22"/>
          <w:szCs w:val="22"/>
        </w:rPr>
        <w:t xml:space="preserve"> and </w:t>
      </w:r>
      <w:r w:rsidR="00693841" w:rsidRPr="00FB2F3D">
        <w:rPr>
          <w:rFonts w:ascii="Arial" w:hAnsi="Arial" w:cs="Arial"/>
          <w:sz w:val="22"/>
          <w:szCs w:val="22"/>
        </w:rPr>
        <w:t>8</w:t>
      </w:r>
      <w:r w:rsidRPr="00FB2F3D">
        <w:rPr>
          <w:rFonts w:ascii="Arial" w:hAnsi="Arial" w:cs="Arial"/>
          <w:sz w:val="22"/>
          <w:szCs w:val="22"/>
        </w:rPr>
        <w:t xml:space="preserve"> (</w:t>
      </w:r>
      <w:r w:rsidR="0001097B" w:rsidRPr="00FB2F3D">
        <w:rPr>
          <w:rFonts w:ascii="Arial" w:hAnsi="Arial" w:cs="Arial"/>
          <w:sz w:val="22"/>
          <w:szCs w:val="22"/>
        </w:rPr>
        <w:t>S</w:t>
      </w:r>
      <w:r w:rsidRPr="00FB2F3D">
        <w:rPr>
          <w:rFonts w:ascii="Arial" w:hAnsi="Arial" w:cs="Arial"/>
          <w:sz w:val="22"/>
          <w:szCs w:val="22"/>
        </w:rPr>
        <w:t xml:space="preserve">ystems and </w:t>
      </w:r>
      <w:r w:rsidR="0001097B" w:rsidRPr="00FB2F3D">
        <w:rPr>
          <w:rFonts w:ascii="Arial" w:hAnsi="Arial" w:cs="Arial"/>
          <w:sz w:val="22"/>
          <w:szCs w:val="22"/>
        </w:rPr>
        <w:t>C</w:t>
      </w:r>
      <w:r w:rsidRPr="00FB2F3D">
        <w:rPr>
          <w:rFonts w:ascii="Arial" w:hAnsi="Arial" w:cs="Arial"/>
          <w:sz w:val="22"/>
          <w:szCs w:val="22"/>
        </w:rPr>
        <w:t>ontrols), all the requirements applicable to a Reporting Entity of a Listed Fund. These requirements, whil</w:t>
      </w:r>
      <w:r w:rsidR="00A25D41">
        <w:rPr>
          <w:rFonts w:ascii="Arial" w:hAnsi="Arial" w:cs="Arial"/>
          <w:sz w:val="22"/>
          <w:szCs w:val="22"/>
        </w:rPr>
        <w:t>st</w:t>
      </w:r>
      <w:r w:rsidRPr="00FB2F3D">
        <w:rPr>
          <w:rFonts w:ascii="Arial" w:hAnsi="Arial" w:cs="Arial"/>
          <w:sz w:val="22"/>
          <w:szCs w:val="22"/>
        </w:rPr>
        <w:t xml:space="preserve"> mirroring</w:t>
      </w:r>
      <w:r w:rsidR="00A25D41">
        <w:rPr>
          <w:rFonts w:ascii="Arial" w:hAnsi="Arial" w:cs="Arial"/>
          <w:sz w:val="22"/>
          <w:szCs w:val="22"/>
        </w:rPr>
        <w:t>, and in many cases referring directly to,</w:t>
      </w:r>
      <w:r w:rsidRPr="00FB2F3D">
        <w:rPr>
          <w:rFonts w:ascii="Arial" w:hAnsi="Arial" w:cs="Arial"/>
          <w:sz w:val="22"/>
          <w:szCs w:val="22"/>
        </w:rPr>
        <w:t xml:space="preserve"> the requirements applicable to other Reporting Entities, have been</w:t>
      </w:r>
      <w:r w:rsidR="00A25D41">
        <w:rPr>
          <w:rFonts w:ascii="Arial" w:hAnsi="Arial" w:cs="Arial"/>
          <w:sz w:val="22"/>
          <w:szCs w:val="22"/>
        </w:rPr>
        <w:t xml:space="preserve"> otherwise</w:t>
      </w:r>
      <w:r w:rsidRPr="00FB2F3D">
        <w:rPr>
          <w:rFonts w:ascii="Arial" w:hAnsi="Arial" w:cs="Arial"/>
          <w:sz w:val="22"/>
          <w:szCs w:val="22"/>
        </w:rPr>
        <w:t xml:space="preserve"> tailored to take account of the characteristics of Funds. These include:</w:t>
      </w:r>
    </w:p>
    <w:p w14:paraId="0A499127" w14:textId="77777777" w:rsidR="000C6A95" w:rsidRPr="00FB2F3D" w:rsidRDefault="000C6A95" w:rsidP="000C6A95">
      <w:pPr>
        <w:pStyle w:val="GuidanceNotesnumbering"/>
        <w:numPr>
          <w:ilvl w:val="1"/>
          <w:numId w:val="30"/>
        </w:numPr>
        <w:rPr>
          <w:rFonts w:ascii="Arial" w:hAnsi="Arial" w:cs="Arial"/>
          <w:sz w:val="22"/>
          <w:szCs w:val="22"/>
        </w:rPr>
      </w:pPr>
      <w:r w:rsidRPr="00FB2F3D">
        <w:rPr>
          <w:rFonts w:ascii="Arial" w:hAnsi="Arial" w:cs="Arial"/>
          <w:sz w:val="22"/>
          <w:szCs w:val="22"/>
        </w:rPr>
        <w:t>general requirements applicable to Listed Funds;</w:t>
      </w:r>
    </w:p>
    <w:p w14:paraId="43522FA7" w14:textId="6ED57A22" w:rsidR="000C6A95" w:rsidRPr="00FB2F3D" w:rsidRDefault="000C6A95" w:rsidP="00F62DFC">
      <w:pPr>
        <w:pStyle w:val="GuidanceNotesnumbering"/>
        <w:numPr>
          <w:ilvl w:val="1"/>
          <w:numId w:val="30"/>
        </w:numPr>
        <w:rPr>
          <w:rFonts w:ascii="Arial" w:hAnsi="Arial" w:cs="Arial"/>
          <w:sz w:val="22"/>
          <w:szCs w:val="22"/>
        </w:rPr>
      </w:pPr>
      <w:r w:rsidRPr="00FB2F3D">
        <w:rPr>
          <w:rFonts w:ascii="Arial" w:hAnsi="Arial" w:cs="Arial"/>
          <w:sz w:val="22"/>
          <w:szCs w:val="22"/>
        </w:rPr>
        <w:t xml:space="preserve">Prospectus requirements for the purposes of having Units of a Fund admitted to trading on a Recognised </w:t>
      </w:r>
      <w:r w:rsidR="00F62DFC" w:rsidRPr="00FB2F3D">
        <w:rPr>
          <w:rFonts w:ascii="Arial" w:hAnsi="Arial" w:cs="Arial"/>
          <w:sz w:val="22"/>
          <w:szCs w:val="22"/>
        </w:rPr>
        <w:t>Investment Exchange</w:t>
      </w:r>
      <w:r w:rsidRPr="00FB2F3D">
        <w:rPr>
          <w:rFonts w:ascii="Arial" w:hAnsi="Arial" w:cs="Arial"/>
          <w:sz w:val="22"/>
          <w:szCs w:val="22"/>
        </w:rPr>
        <w:t>;</w:t>
      </w:r>
      <w:r w:rsidR="00455BEB">
        <w:rPr>
          <w:rFonts w:ascii="Arial" w:hAnsi="Arial" w:cs="Arial"/>
          <w:sz w:val="22"/>
          <w:szCs w:val="22"/>
        </w:rPr>
        <w:t xml:space="preserve"> and</w:t>
      </w:r>
    </w:p>
    <w:p w14:paraId="42FAF322" w14:textId="45AECA05" w:rsidR="000C6A95" w:rsidRPr="00FB2F3D" w:rsidRDefault="000C6A95" w:rsidP="000C6A95">
      <w:pPr>
        <w:pStyle w:val="GuidanceNotesnumbering"/>
        <w:numPr>
          <w:ilvl w:val="1"/>
          <w:numId w:val="30"/>
        </w:numPr>
        <w:rPr>
          <w:rFonts w:ascii="Arial" w:hAnsi="Arial" w:cs="Arial"/>
          <w:sz w:val="22"/>
          <w:szCs w:val="22"/>
        </w:rPr>
      </w:pPr>
      <w:r w:rsidRPr="00FB2F3D">
        <w:rPr>
          <w:rFonts w:ascii="Arial" w:hAnsi="Arial" w:cs="Arial"/>
          <w:sz w:val="22"/>
          <w:szCs w:val="22"/>
        </w:rPr>
        <w:t>governance requirements applicable to Listed Funds</w:t>
      </w:r>
      <w:r w:rsidR="00455BEB">
        <w:rPr>
          <w:rFonts w:ascii="Arial" w:hAnsi="Arial" w:cs="Arial"/>
          <w:sz w:val="22"/>
          <w:szCs w:val="22"/>
        </w:rPr>
        <w:t>.</w:t>
      </w:r>
    </w:p>
    <w:p w14:paraId="6EF9FC1F" w14:textId="77777777" w:rsidR="00162E0C" w:rsidRPr="00FB2F3D" w:rsidRDefault="00162E0C" w:rsidP="002D0791">
      <w:pPr>
        <w:pStyle w:val="TitleL"/>
        <w:rPr>
          <w:rFonts w:ascii="Arial" w:hAnsi="Arial" w:cs="Arial"/>
          <w:sz w:val="22"/>
          <w:szCs w:val="22"/>
        </w:rPr>
      </w:pPr>
      <w:r w:rsidRPr="00FB2F3D">
        <w:rPr>
          <w:rFonts w:ascii="Arial" w:hAnsi="Arial" w:cs="Arial"/>
          <w:sz w:val="22"/>
          <w:szCs w:val="22"/>
        </w:rPr>
        <w:t xml:space="preserve">Offer of </w:t>
      </w:r>
      <w:r w:rsidR="004B46BD" w:rsidRPr="00FB2F3D">
        <w:rPr>
          <w:rFonts w:ascii="Arial" w:hAnsi="Arial" w:cs="Arial"/>
          <w:sz w:val="22"/>
          <w:szCs w:val="22"/>
        </w:rPr>
        <w:t>Securities</w:t>
      </w:r>
      <w:r w:rsidRPr="00FB2F3D">
        <w:rPr>
          <w:rFonts w:ascii="Arial" w:hAnsi="Arial" w:cs="Arial"/>
          <w:sz w:val="22"/>
          <w:szCs w:val="22"/>
        </w:rPr>
        <w:t xml:space="preserve"> – chapter </w:t>
      </w:r>
      <w:r w:rsidR="00693841" w:rsidRPr="00FB2F3D">
        <w:rPr>
          <w:rFonts w:ascii="Arial" w:hAnsi="Arial" w:cs="Arial"/>
          <w:sz w:val="22"/>
          <w:szCs w:val="22"/>
        </w:rPr>
        <w:t>4</w:t>
      </w:r>
    </w:p>
    <w:p w14:paraId="074A34FD" w14:textId="35C008C7" w:rsidR="00162E0C" w:rsidRPr="00FB2F3D" w:rsidRDefault="00162E0C" w:rsidP="000C6A95">
      <w:pPr>
        <w:pStyle w:val="GuidanceNotesnumbering"/>
        <w:rPr>
          <w:rFonts w:ascii="Arial" w:hAnsi="Arial" w:cs="Arial"/>
          <w:sz w:val="22"/>
          <w:szCs w:val="22"/>
        </w:rPr>
      </w:pPr>
      <w:r w:rsidRPr="00FB2F3D">
        <w:rPr>
          <w:rFonts w:ascii="Arial" w:hAnsi="Arial" w:cs="Arial"/>
          <w:sz w:val="22"/>
          <w:szCs w:val="22"/>
        </w:rPr>
        <w:t>Chapter </w:t>
      </w:r>
      <w:r w:rsidR="00693841" w:rsidRPr="00FB2F3D">
        <w:rPr>
          <w:rFonts w:ascii="Arial" w:hAnsi="Arial" w:cs="Arial"/>
          <w:sz w:val="22"/>
          <w:szCs w:val="22"/>
        </w:rPr>
        <w:t>4</w:t>
      </w:r>
      <w:r w:rsidRPr="00FB2F3D">
        <w:rPr>
          <w:rFonts w:ascii="Arial" w:hAnsi="Arial" w:cs="Arial"/>
          <w:sz w:val="22"/>
          <w:szCs w:val="22"/>
        </w:rPr>
        <w:t xml:space="preserve"> contains</w:t>
      </w:r>
      <w:r w:rsidR="00455BEB">
        <w:rPr>
          <w:rFonts w:ascii="Arial" w:hAnsi="Arial" w:cs="Arial"/>
          <w:sz w:val="22"/>
          <w:szCs w:val="22"/>
        </w:rPr>
        <w:t xml:space="preserve"> the</w:t>
      </w:r>
      <w:r w:rsidRPr="00FB2F3D">
        <w:rPr>
          <w:rFonts w:ascii="Arial" w:hAnsi="Arial" w:cs="Arial"/>
          <w:sz w:val="22"/>
          <w:szCs w:val="22"/>
        </w:rPr>
        <w:t>:</w:t>
      </w:r>
    </w:p>
    <w:p w14:paraId="44DF8DF9" w14:textId="231D8479" w:rsidR="00162E0C" w:rsidRPr="00FB2F3D" w:rsidRDefault="00162E0C" w:rsidP="007E31C1">
      <w:pPr>
        <w:pStyle w:val="GuidanceNotesnumbering"/>
        <w:numPr>
          <w:ilvl w:val="1"/>
          <w:numId w:val="30"/>
        </w:numPr>
        <w:rPr>
          <w:rFonts w:ascii="Arial" w:hAnsi="Arial" w:cs="Arial"/>
          <w:sz w:val="22"/>
          <w:szCs w:val="22"/>
        </w:rPr>
      </w:pPr>
      <w:r w:rsidRPr="00FB2F3D">
        <w:rPr>
          <w:rFonts w:ascii="Arial" w:hAnsi="Arial" w:cs="Arial"/>
          <w:sz w:val="22"/>
          <w:szCs w:val="22"/>
        </w:rPr>
        <w:t>requirements applicable to a Person who:</w:t>
      </w:r>
    </w:p>
    <w:p w14:paraId="4F566EE9" w14:textId="3E6FE90E" w:rsidR="00162E0C" w:rsidRPr="00FB2F3D" w:rsidRDefault="00162E0C" w:rsidP="00F771A5">
      <w:pPr>
        <w:pStyle w:val="GuidanceNotesnumbering"/>
        <w:numPr>
          <w:ilvl w:val="2"/>
          <w:numId w:val="30"/>
        </w:numPr>
        <w:rPr>
          <w:rFonts w:ascii="Arial" w:hAnsi="Arial" w:cs="Arial"/>
          <w:sz w:val="22"/>
          <w:szCs w:val="22"/>
        </w:rPr>
      </w:pPr>
      <w:r w:rsidRPr="00FB2F3D">
        <w:rPr>
          <w:rFonts w:ascii="Arial" w:hAnsi="Arial" w:cs="Arial"/>
          <w:sz w:val="22"/>
          <w:szCs w:val="22"/>
        </w:rPr>
        <w:t xml:space="preserve">makes an Offer of </w:t>
      </w:r>
      <w:r w:rsidR="004B46BD" w:rsidRPr="00FB2F3D">
        <w:rPr>
          <w:rFonts w:ascii="Arial" w:hAnsi="Arial" w:cs="Arial"/>
          <w:sz w:val="22"/>
          <w:szCs w:val="22"/>
        </w:rPr>
        <w:t>Securities</w:t>
      </w:r>
      <w:r w:rsidRPr="00FB2F3D">
        <w:rPr>
          <w:rFonts w:ascii="Arial" w:hAnsi="Arial" w:cs="Arial"/>
          <w:sz w:val="22"/>
          <w:szCs w:val="22"/>
        </w:rPr>
        <w:t xml:space="preserve"> (other than in respect of Units, which are covered by the Prospectus and other requirements in the </w:t>
      </w:r>
      <w:r w:rsidR="00701C02" w:rsidRPr="00FB2F3D">
        <w:rPr>
          <w:rFonts w:ascii="Arial" w:hAnsi="Arial" w:cs="Arial"/>
          <w:sz w:val="22"/>
          <w:szCs w:val="22"/>
        </w:rPr>
        <w:t>Fund Rules</w:t>
      </w:r>
      <w:r w:rsidRPr="00FB2F3D">
        <w:rPr>
          <w:rFonts w:ascii="Arial" w:hAnsi="Arial" w:cs="Arial"/>
          <w:sz w:val="22"/>
          <w:szCs w:val="22"/>
        </w:rPr>
        <w:t xml:space="preserve">); </w:t>
      </w:r>
      <w:r w:rsidR="00F771A5" w:rsidRPr="00FB2F3D">
        <w:rPr>
          <w:rFonts w:ascii="Arial" w:hAnsi="Arial" w:cs="Arial"/>
          <w:sz w:val="22"/>
          <w:szCs w:val="22"/>
        </w:rPr>
        <w:t>or</w:t>
      </w:r>
    </w:p>
    <w:p w14:paraId="41E9B83C" w14:textId="77777777" w:rsidR="00162E0C" w:rsidRPr="00FB2F3D" w:rsidRDefault="00162E0C" w:rsidP="00F62DFC">
      <w:pPr>
        <w:pStyle w:val="GuidanceNotesnumbering"/>
        <w:numPr>
          <w:ilvl w:val="2"/>
          <w:numId w:val="30"/>
        </w:numPr>
        <w:rPr>
          <w:rFonts w:ascii="Arial" w:hAnsi="Arial" w:cs="Arial"/>
          <w:sz w:val="22"/>
          <w:szCs w:val="22"/>
        </w:rPr>
      </w:pPr>
      <w:r w:rsidRPr="00FB2F3D">
        <w:rPr>
          <w:rFonts w:ascii="Arial" w:hAnsi="Arial" w:cs="Arial"/>
          <w:sz w:val="22"/>
          <w:szCs w:val="22"/>
        </w:rPr>
        <w:t xml:space="preserve">applies to have </w:t>
      </w:r>
      <w:r w:rsidR="004B46BD" w:rsidRPr="00FB2F3D">
        <w:rPr>
          <w:rFonts w:ascii="Arial" w:hAnsi="Arial" w:cs="Arial"/>
          <w:sz w:val="22"/>
          <w:szCs w:val="22"/>
        </w:rPr>
        <w:t>Securities</w:t>
      </w:r>
      <w:r w:rsidRPr="00FB2F3D">
        <w:rPr>
          <w:rFonts w:ascii="Arial" w:hAnsi="Arial" w:cs="Arial"/>
          <w:sz w:val="22"/>
          <w:szCs w:val="22"/>
        </w:rPr>
        <w:t xml:space="preserve"> admitted to trading on a Recognised </w:t>
      </w:r>
      <w:r w:rsidR="00F62DFC" w:rsidRPr="00FB2F3D">
        <w:rPr>
          <w:rFonts w:ascii="Arial" w:hAnsi="Arial" w:cs="Arial"/>
          <w:sz w:val="22"/>
          <w:szCs w:val="22"/>
        </w:rPr>
        <w:t>Investment Exchange</w:t>
      </w:r>
      <w:r w:rsidRPr="00FB2F3D">
        <w:rPr>
          <w:rFonts w:ascii="Arial" w:hAnsi="Arial" w:cs="Arial"/>
          <w:sz w:val="22"/>
          <w:szCs w:val="22"/>
        </w:rPr>
        <w:t xml:space="preserve"> (other than the admission to trading of Units, which is governed by the requirements in chapter </w:t>
      </w:r>
      <w:r w:rsidR="00693841" w:rsidRPr="00FB2F3D">
        <w:rPr>
          <w:rFonts w:ascii="Arial" w:hAnsi="Arial" w:cs="Arial"/>
          <w:sz w:val="22"/>
          <w:szCs w:val="22"/>
        </w:rPr>
        <w:t>3</w:t>
      </w:r>
      <w:r w:rsidRPr="00FB2F3D">
        <w:rPr>
          <w:rFonts w:ascii="Arial" w:hAnsi="Arial" w:cs="Arial"/>
          <w:sz w:val="22"/>
          <w:szCs w:val="22"/>
        </w:rPr>
        <w:t>);</w:t>
      </w:r>
    </w:p>
    <w:p w14:paraId="3E4DBC99" w14:textId="0E041857" w:rsidR="00162E0C" w:rsidRPr="00FB2F3D" w:rsidRDefault="00162E0C" w:rsidP="00F62DFC">
      <w:pPr>
        <w:pStyle w:val="GuidanceNotesnumbering"/>
        <w:numPr>
          <w:ilvl w:val="1"/>
          <w:numId w:val="30"/>
        </w:numPr>
        <w:rPr>
          <w:rFonts w:ascii="Arial" w:hAnsi="Arial" w:cs="Arial"/>
          <w:sz w:val="22"/>
          <w:szCs w:val="22"/>
        </w:rPr>
      </w:pPr>
      <w:r w:rsidRPr="00FB2F3D">
        <w:rPr>
          <w:rFonts w:ascii="Arial" w:hAnsi="Arial" w:cs="Arial"/>
          <w:sz w:val="22"/>
          <w:szCs w:val="22"/>
        </w:rPr>
        <w:t xml:space="preserve">types of Exempt Offers (i.e. </w:t>
      </w:r>
      <w:r w:rsidR="004B46BD" w:rsidRPr="00FB2F3D">
        <w:rPr>
          <w:rFonts w:ascii="Arial" w:hAnsi="Arial" w:cs="Arial"/>
          <w:sz w:val="22"/>
          <w:szCs w:val="22"/>
        </w:rPr>
        <w:t>Securities</w:t>
      </w:r>
      <w:r w:rsidRPr="00FB2F3D">
        <w:rPr>
          <w:rFonts w:ascii="Arial" w:hAnsi="Arial" w:cs="Arial"/>
          <w:sz w:val="22"/>
          <w:szCs w:val="22"/>
        </w:rPr>
        <w:t xml:space="preserve"> which can be offered without a Prospectus), Exempt </w:t>
      </w:r>
      <w:r w:rsidR="004B46BD" w:rsidRPr="00FB2F3D">
        <w:rPr>
          <w:rFonts w:ascii="Arial" w:hAnsi="Arial" w:cs="Arial"/>
          <w:sz w:val="22"/>
          <w:szCs w:val="22"/>
        </w:rPr>
        <w:t>Securities</w:t>
      </w:r>
      <w:r w:rsidRPr="00FB2F3D">
        <w:rPr>
          <w:rFonts w:ascii="Arial" w:hAnsi="Arial" w:cs="Arial"/>
          <w:sz w:val="22"/>
          <w:szCs w:val="22"/>
        </w:rPr>
        <w:t xml:space="preserve"> (i.e. </w:t>
      </w:r>
      <w:r w:rsidR="004B46BD" w:rsidRPr="00FB2F3D">
        <w:rPr>
          <w:rFonts w:ascii="Arial" w:hAnsi="Arial" w:cs="Arial"/>
          <w:sz w:val="22"/>
          <w:szCs w:val="22"/>
        </w:rPr>
        <w:t>Securities</w:t>
      </w:r>
      <w:r w:rsidRPr="00FB2F3D">
        <w:rPr>
          <w:rFonts w:ascii="Arial" w:hAnsi="Arial" w:cs="Arial"/>
          <w:sz w:val="22"/>
          <w:szCs w:val="22"/>
        </w:rPr>
        <w:t xml:space="preserve"> which can be admitted </w:t>
      </w:r>
      <w:r w:rsidRPr="00FB2F3D">
        <w:rPr>
          <w:rFonts w:ascii="Arial" w:hAnsi="Arial" w:cs="Arial"/>
          <w:sz w:val="22"/>
          <w:szCs w:val="22"/>
        </w:rPr>
        <w:lastRenderedPageBreak/>
        <w:t xml:space="preserve">to trading on a Recognised </w:t>
      </w:r>
      <w:r w:rsidR="00F62DFC" w:rsidRPr="00FB2F3D">
        <w:rPr>
          <w:rFonts w:ascii="Arial" w:hAnsi="Arial" w:cs="Arial"/>
          <w:sz w:val="22"/>
          <w:szCs w:val="22"/>
        </w:rPr>
        <w:t>Investment Exchange</w:t>
      </w:r>
      <w:r w:rsidRPr="00FB2F3D">
        <w:rPr>
          <w:rFonts w:ascii="Arial" w:hAnsi="Arial" w:cs="Arial"/>
          <w:sz w:val="22"/>
          <w:szCs w:val="22"/>
        </w:rPr>
        <w:t xml:space="preserve"> without a Prospectus) and Exempt Communications (i.e. communications relating to </w:t>
      </w:r>
      <w:r w:rsidR="004B46BD" w:rsidRPr="00FB2F3D">
        <w:rPr>
          <w:rFonts w:ascii="Arial" w:hAnsi="Arial" w:cs="Arial"/>
          <w:sz w:val="22"/>
          <w:szCs w:val="22"/>
        </w:rPr>
        <w:t>Securities</w:t>
      </w:r>
      <w:r w:rsidRPr="00FB2F3D">
        <w:rPr>
          <w:rFonts w:ascii="Arial" w:hAnsi="Arial" w:cs="Arial"/>
          <w:sz w:val="22"/>
          <w:szCs w:val="22"/>
        </w:rPr>
        <w:t xml:space="preserve"> which are not treated as a Prospectus);</w:t>
      </w:r>
    </w:p>
    <w:p w14:paraId="47491B83" w14:textId="329C0210" w:rsidR="00162E0C" w:rsidRPr="00FB2F3D" w:rsidRDefault="00162E0C" w:rsidP="007E31C1">
      <w:pPr>
        <w:pStyle w:val="GuidanceNotesnumbering"/>
        <w:numPr>
          <w:ilvl w:val="1"/>
          <w:numId w:val="30"/>
        </w:numPr>
        <w:rPr>
          <w:rFonts w:ascii="Arial" w:hAnsi="Arial" w:cs="Arial"/>
          <w:sz w:val="22"/>
          <w:szCs w:val="22"/>
        </w:rPr>
      </w:pPr>
      <w:r w:rsidRPr="00FB2F3D">
        <w:rPr>
          <w:rFonts w:ascii="Arial" w:hAnsi="Arial" w:cs="Arial"/>
          <w:sz w:val="22"/>
          <w:szCs w:val="22"/>
        </w:rPr>
        <w:t xml:space="preserve">requirements and procedures relating to the approval of a Prospectus by the </w:t>
      </w:r>
      <w:r w:rsidR="0035335F" w:rsidRPr="00FB2F3D">
        <w:rPr>
          <w:rFonts w:ascii="Arial" w:hAnsi="Arial" w:cs="Arial"/>
          <w:sz w:val="22"/>
          <w:szCs w:val="22"/>
        </w:rPr>
        <w:t>Regulator</w:t>
      </w:r>
      <w:r w:rsidRPr="00FB2F3D">
        <w:rPr>
          <w:rFonts w:ascii="Arial" w:hAnsi="Arial" w:cs="Arial"/>
          <w:sz w:val="22"/>
          <w:szCs w:val="22"/>
        </w:rPr>
        <w:t>;</w:t>
      </w:r>
    </w:p>
    <w:p w14:paraId="5AB159F0" w14:textId="336AC948" w:rsidR="00162E0C" w:rsidRPr="00FB2F3D" w:rsidRDefault="00162E0C" w:rsidP="007E31C1">
      <w:pPr>
        <w:pStyle w:val="GuidanceNotesnumbering"/>
        <w:numPr>
          <w:ilvl w:val="1"/>
          <w:numId w:val="30"/>
        </w:numPr>
        <w:rPr>
          <w:rFonts w:ascii="Arial" w:hAnsi="Arial" w:cs="Arial"/>
          <w:sz w:val="22"/>
          <w:szCs w:val="22"/>
        </w:rPr>
      </w:pPr>
      <w:r w:rsidRPr="00FB2F3D">
        <w:rPr>
          <w:rFonts w:ascii="Arial" w:hAnsi="Arial" w:cs="Arial"/>
          <w:sz w:val="22"/>
          <w:szCs w:val="22"/>
        </w:rPr>
        <w:t>requirements and procedures relating to the structure and content of a Prospectus including:</w:t>
      </w:r>
    </w:p>
    <w:p w14:paraId="60D434DC" w14:textId="77777777" w:rsidR="00162E0C" w:rsidRPr="00FB2F3D" w:rsidRDefault="00162E0C" w:rsidP="007E31C1">
      <w:pPr>
        <w:pStyle w:val="GuidanceNotesnumbering"/>
        <w:numPr>
          <w:ilvl w:val="2"/>
          <w:numId w:val="30"/>
        </w:numPr>
        <w:rPr>
          <w:rFonts w:ascii="Arial" w:hAnsi="Arial" w:cs="Arial"/>
          <w:sz w:val="22"/>
          <w:szCs w:val="22"/>
        </w:rPr>
      </w:pPr>
      <w:r w:rsidRPr="00FB2F3D">
        <w:rPr>
          <w:rFonts w:ascii="Arial" w:hAnsi="Arial" w:cs="Arial"/>
          <w:sz w:val="22"/>
          <w:szCs w:val="22"/>
        </w:rPr>
        <w:t>when material may be incorporated into a Prospectus by reference; and</w:t>
      </w:r>
    </w:p>
    <w:p w14:paraId="47FCD29C" w14:textId="7058BC35" w:rsidR="00162E0C" w:rsidRPr="00FB2F3D" w:rsidRDefault="00162E0C" w:rsidP="007E31C1">
      <w:pPr>
        <w:pStyle w:val="GuidanceNotesnumbering"/>
        <w:numPr>
          <w:ilvl w:val="2"/>
          <w:numId w:val="30"/>
        </w:numPr>
        <w:rPr>
          <w:rFonts w:ascii="Arial" w:hAnsi="Arial" w:cs="Arial"/>
          <w:sz w:val="22"/>
          <w:szCs w:val="22"/>
        </w:rPr>
      </w:pPr>
      <w:r w:rsidRPr="00FB2F3D">
        <w:rPr>
          <w:rFonts w:ascii="Arial" w:hAnsi="Arial" w:cs="Arial"/>
          <w:sz w:val="22"/>
          <w:szCs w:val="22"/>
        </w:rPr>
        <w:t>liability for the content of a Prospectus including the liability of Experts and other Persons whose reports or opinions are included in a Prospectus with their consent for such inclusion;</w:t>
      </w:r>
    </w:p>
    <w:p w14:paraId="492879B9" w14:textId="44F1499F" w:rsidR="00162E0C" w:rsidRDefault="00162E0C" w:rsidP="007E31C1">
      <w:pPr>
        <w:pStyle w:val="GuidanceNotesnumbering"/>
        <w:numPr>
          <w:ilvl w:val="1"/>
          <w:numId w:val="30"/>
        </w:numPr>
        <w:rPr>
          <w:rFonts w:ascii="Arial" w:hAnsi="Arial" w:cs="Arial"/>
          <w:sz w:val="22"/>
          <w:szCs w:val="22"/>
        </w:rPr>
      </w:pPr>
      <w:r w:rsidRPr="00FB2F3D">
        <w:rPr>
          <w:rFonts w:ascii="Arial" w:hAnsi="Arial" w:cs="Arial"/>
          <w:sz w:val="22"/>
          <w:szCs w:val="22"/>
        </w:rPr>
        <w:t xml:space="preserve">circumstances in which the </w:t>
      </w:r>
      <w:r w:rsidR="0035335F" w:rsidRPr="00FB2F3D">
        <w:rPr>
          <w:rFonts w:ascii="Arial" w:hAnsi="Arial" w:cs="Arial"/>
          <w:sz w:val="22"/>
          <w:szCs w:val="22"/>
        </w:rPr>
        <w:t>Regulator</w:t>
      </w:r>
      <w:r w:rsidRPr="00FB2F3D">
        <w:rPr>
          <w:rFonts w:ascii="Arial" w:hAnsi="Arial" w:cs="Arial"/>
          <w:sz w:val="22"/>
          <w:szCs w:val="22"/>
        </w:rPr>
        <w:t xml:space="preserve"> may accept an </w:t>
      </w:r>
      <w:r w:rsidR="00FB37F9" w:rsidRPr="00FB2F3D">
        <w:rPr>
          <w:rFonts w:ascii="Arial" w:hAnsi="Arial" w:cs="Arial"/>
          <w:sz w:val="22"/>
          <w:szCs w:val="22"/>
        </w:rPr>
        <w:t>Offer</w:t>
      </w:r>
      <w:r w:rsidRPr="00FB2F3D">
        <w:rPr>
          <w:rFonts w:ascii="Arial" w:hAnsi="Arial" w:cs="Arial"/>
          <w:sz w:val="22"/>
          <w:szCs w:val="22"/>
        </w:rPr>
        <w:t xml:space="preserve"> document prepared in accordance with the legislation applicable in a jurisdiction other than the </w:t>
      </w:r>
      <w:r w:rsidR="000524F9">
        <w:rPr>
          <w:rFonts w:ascii="Arial" w:hAnsi="Arial" w:cs="Arial"/>
          <w:sz w:val="22"/>
          <w:szCs w:val="22"/>
        </w:rPr>
        <w:t xml:space="preserve">ADGM </w:t>
      </w:r>
      <w:r w:rsidRPr="00FB2F3D">
        <w:rPr>
          <w:rFonts w:ascii="Arial" w:hAnsi="Arial" w:cs="Arial"/>
          <w:sz w:val="22"/>
          <w:szCs w:val="22"/>
        </w:rPr>
        <w:t>as sufficient for the purposes of meeting the Prospectus requirements in the FSMR and these Rules</w:t>
      </w:r>
      <w:r w:rsidR="000524F9">
        <w:rPr>
          <w:rFonts w:ascii="Arial" w:hAnsi="Arial" w:cs="Arial"/>
          <w:sz w:val="22"/>
          <w:szCs w:val="22"/>
        </w:rPr>
        <w:t>; and</w:t>
      </w:r>
    </w:p>
    <w:p w14:paraId="77A23FB6" w14:textId="75A261E6" w:rsidR="000524F9" w:rsidRPr="00FB2F3D" w:rsidRDefault="000524F9" w:rsidP="007E31C1">
      <w:pPr>
        <w:pStyle w:val="GuidanceNotesnumbering"/>
        <w:numPr>
          <w:ilvl w:val="1"/>
          <w:numId w:val="30"/>
        </w:numPr>
        <w:rPr>
          <w:rFonts w:ascii="Arial" w:hAnsi="Arial" w:cs="Arial"/>
          <w:sz w:val="22"/>
          <w:szCs w:val="22"/>
        </w:rPr>
      </w:pPr>
      <w:r>
        <w:rPr>
          <w:rFonts w:ascii="Arial" w:hAnsi="Arial" w:cs="Arial"/>
          <w:sz w:val="22"/>
          <w:szCs w:val="22"/>
        </w:rPr>
        <w:t>circumstances in which a Person may make an Offer of Retail Debentures or Sukuk.</w:t>
      </w:r>
    </w:p>
    <w:p w14:paraId="30D279E3" w14:textId="77777777" w:rsidR="000C6A95" w:rsidRPr="00FB2F3D" w:rsidRDefault="000C6A95" w:rsidP="000C6A95">
      <w:pPr>
        <w:pStyle w:val="TitleL"/>
        <w:rPr>
          <w:rFonts w:ascii="Arial" w:hAnsi="Arial" w:cs="Arial"/>
          <w:sz w:val="22"/>
          <w:szCs w:val="22"/>
        </w:rPr>
      </w:pPr>
      <w:r w:rsidRPr="00FB2F3D">
        <w:rPr>
          <w:rFonts w:ascii="Arial" w:hAnsi="Arial" w:cs="Arial"/>
          <w:sz w:val="22"/>
          <w:szCs w:val="22"/>
        </w:rPr>
        <w:t>Sponsors and compliance advisers – chapter </w:t>
      </w:r>
      <w:r w:rsidR="00693841" w:rsidRPr="00FB2F3D">
        <w:rPr>
          <w:rFonts w:ascii="Arial" w:hAnsi="Arial" w:cs="Arial"/>
          <w:sz w:val="22"/>
          <w:szCs w:val="22"/>
        </w:rPr>
        <w:t>5</w:t>
      </w:r>
    </w:p>
    <w:p w14:paraId="159ABE7A" w14:textId="21986ECE" w:rsidR="000C6A95" w:rsidRPr="00FB2F3D" w:rsidRDefault="000C6A95" w:rsidP="000C6A95">
      <w:pPr>
        <w:pStyle w:val="GuidanceNotesnumbering"/>
        <w:rPr>
          <w:rFonts w:ascii="Arial" w:hAnsi="Arial" w:cs="Arial"/>
          <w:sz w:val="22"/>
          <w:szCs w:val="22"/>
        </w:rPr>
      </w:pPr>
      <w:r w:rsidRPr="00FB2F3D">
        <w:rPr>
          <w:rFonts w:ascii="Arial" w:hAnsi="Arial" w:cs="Arial"/>
          <w:sz w:val="22"/>
          <w:szCs w:val="22"/>
        </w:rPr>
        <w:t>The Regulator has the discretion to require the appointment of a Sponsor, compliance adviser or other expert adviser by</w:t>
      </w:r>
      <w:r w:rsidR="00284443">
        <w:rPr>
          <w:rFonts w:ascii="Arial" w:hAnsi="Arial" w:cs="Arial"/>
          <w:sz w:val="22"/>
          <w:szCs w:val="22"/>
        </w:rPr>
        <w:t xml:space="preserve">, as applicable, an Issuer or </w:t>
      </w:r>
      <w:r w:rsidRPr="00FB2F3D">
        <w:rPr>
          <w:rFonts w:ascii="Arial" w:hAnsi="Arial" w:cs="Arial"/>
          <w:sz w:val="22"/>
          <w:szCs w:val="22"/>
        </w:rPr>
        <w:t>Reporting Entity, including that of a Listed Fund. Chapter </w:t>
      </w:r>
      <w:r w:rsidR="00693841" w:rsidRPr="00FB2F3D">
        <w:rPr>
          <w:rFonts w:ascii="Arial" w:hAnsi="Arial" w:cs="Arial"/>
          <w:sz w:val="22"/>
          <w:szCs w:val="22"/>
        </w:rPr>
        <w:t>5</w:t>
      </w:r>
      <w:r w:rsidRPr="00FB2F3D">
        <w:rPr>
          <w:rFonts w:ascii="Arial" w:hAnsi="Arial" w:cs="Arial"/>
          <w:sz w:val="22"/>
          <w:szCs w:val="22"/>
        </w:rPr>
        <w:t xml:space="preserve"> contains the requirements relating to the appointment of such Sponsors, compliance advisers and other expert advisers, and the obligations that apply to such Persons and the</w:t>
      </w:r>
      <w:r w:rsidR="00284443">
        <w:rPr>
          <w:rFonts w:ascii="Arial" w:hAnsi="Arial" w:cs="Arial"/>
          <w:sz w:val="22"/>
          <w:szCs w:val="22"/>
        </w:rPr>
        <w:t xml:space="preserve">, as applicable, Issuer or </w:t>
      </w:r>
      <w:r w:rsidRPr="00FB2F3D">
        <w:rPr>
          <w:rFonts w:ascii="Arial" w:hAnsi="Arial" w:cs="Arial"/>
          <w:sz w:val="22"/>
          <w:szCs w:val="22"/>
        </w:rPr>
        <w:t>Reporting Entity where such Sponsors or compliance advisers are appointed.</w:t>
      </w:r>
    </w:p>
    <w:p w14:paraId="6C8A0CF5" w14:textId="77777777" w:rsidR="000C6A95" w:rsidRPr="00FB2F3D" w:rsidRDefault="000C6A95" w:rsidP="000C6A95">
      <w:pPr>
        <w:pStyle w:val="TitleL"/>
        <w:rPr>
          <w:rFonts w:ascii="Arial" w:hAnsi="Arial" w:cs="Arial"/>
          <w:sz w:val="22"/>
          <w:szCs w:val="22"/>
        </w:rPr>
      </w:pPr>
      <w:r w:rsidRPr="00FB2F3D">
        <w:rPr>
          <w:rFonts w:ascii="Arial" w:hAnsi="Arial" w:cs="Arial"/>
          <w:sz w:val="22"/>
          <w:szCs w:val="22"/>
        </w:rPr>
        <w:t xml:space="preserve">Market Abuse, Price Stabilisation and Buy-back Programmes – chapter </w:t>
      </w:r>
      <w:r w:rsidR="00693841" w:rsidRPr="00FB2F3D">
        <w:rPr>
          <w:rFonts w:ascii="Arial" w:hAnsi="Arial" w:cs="Arial"/>
          <w:sz w:val="22"/>
          <w:szCs w:val="22"/>
        </w:rPr>
        <w:t>6</w:t>
      </w:r>
    </w:p>
    <w:p w14:paraId="07200D84" w14:textId="68C34AC5" w:rsidR="000C6A95" w:rsidRPr="00FB2F3D" w:rsidRDefault="000C6A95" w:rsidP="000C6A95">
      <w:pPr>
        <w:pStyle w:val="GuidanceNotesnumbering"/>
        <w:rPr>
          <w:rFonts w:ascii="Arial" w:hAnsi="Arial" w:cs="Arial"/>
          <w:sz w:val="22"/>
          <w:szCs w:val="22"/>
        </w:rPr>
      </w:pPr>
      <w:r w:rsidRPr="00FB2F3D">
        <w:rPr>
          <w:rFonts w:ascii="Arial" w:hAnsi="Arial" w:cs="Arial"/>
          <w:sz w:val="22"/>
          <w:szCs w:val="22"/>
        </w:rPr>
        <w:t xml:space="preserve">Chapter </w:t>
      </w:r>
      <w:r w:rsidR="00693841" w:rsidRPr="00FB2F3D">
        <w:rPr>
          <w:rFonts w:ascii="Arial" w:hAnsi="Arial" w:cs="Arial"/>
          <w:sz w:val="22"/>
          <w:szCs w:val="22"/>
        </w:rPr>
        <w:t>6</w:t>
      </w:r>
      <w:r w:rsidRPr="00FB2F3D">
        <w:rPr>
          <w:rFonts w:ascii="Arial" w:hAnsi="Arial" w:cs="Arial"/>
          <w:sz w:val="22"/>
          <w:szCs w:val="22"/>
        </w:rPr>
        <w:t xml:space="preserve"> sets out the </w:t>
      </w:r>
      <w:r w:rsidR="00284443">
        <w:rPr>
          <w:rFonts w:ascii="Arial" w:hAnsi="Arial" w:cs="Arial"/>
          <w:sz w:val="22"/>
          <w:szCs w:val="22"/>
        </w:rPr>
        <w:t>Regulator</w:t>
      </w:r>
      <w:r w:rsidRPr="00FB2F3D">
        <w:rPr>
          <w:rFonts w:ascii="Arial" w:hAnsi="Arial" w:cs="Arial"/>
          <w:sz w:val="22"/>
          <w:szCs w:val="22"/>
        </w:rPr>
        <w:t>'s provisions on Market Abuse, as outlined within the FSMR,</w:t>
      </w:r>
      <w:r w:rsidR="00284443">
        <w:rPr>
          <w:rFonts w:ascii="Arial" w:hAnsi="Arial" w:cs="Arial"/>
          <w:sz w:val="22"/>
          <w:szCs w:val="22"/>
        </w:rPr>
        <w:t xml:space="preserve"> the Price Stabilisation Rules</w:t>
      </w:r>
      <w:r w:rsidRPr="00FB2F3D">
        <w:rPr>
          <w:rFonts w:ascii="Arial" w:hAnsi="Arial" w:cs="Arial"/>
          <w:sz w:val="22"/>
          <w:szCs w:val="22"/>
        </w:rPr>
        <w:t xml:space="preserve"> and the procedures for Buy-back Programmes.</w:t>
      </w:r>
    </w:p>
    <w:p w14:paraId="73B333D4" w14:textId="2BEDA7A0" w:rsidR="000C6A95" w:rsidRPr="00FB2F3D" w:rsidRDefault="00284443" w:rsidP="000C6A95">
      <w:pPr>
        <w:pStyle w:val="TitleL"/>
        <w:rPr>
          <w:rFonts w:ascii="Arial" w:hAnsi="Arial" w:cs="Arial"/>
          <w:sz w:val="22"/>
          <w:szCs w:val="22"/>
        </w:rPr>
      </w:pPr>
      <w:r>
        <w:rPr>
          <w:rFonts w:ascii="Arial" w:hAnsi="Arial" w:cs="Arial"/>
          <w:sz w:val="22"/>
          <w:szCs w:val="22"/>
        </w:rPr>
        <w:t>Continuous D</w:t>
      </w:r>
      <w:r w:rsidR="000C6A95" w:rsidRPr="00FB2F3D">
        <w:rPr>
          <w:rFonts w:ascii="Arial" w:hAnsi="Arial" w:cs="Arial"/>
          <w:sz w:val="22"/>
          <w:szCs w:val="22"/>
        </w:rPr>
        <w:t>isclosure – chapter </w:t>
      </w:r>
      <w:r w:rsidR="00693841" w:rsidRPr="00FB2F3D">
        <w:rPr>
          <w:rFonts w:ascii="Arial" w:hAnsi="Arial" w:cs="Arial"/>
          <w:sz w:val="22"/>
          <w:szCs w:val="22"/>
        </w:rPr>
        <w:t>7</w:t>
      </w:r>
    </w:p>
    <w:p w14:paraId="3CD832AB" w14:textId="15F9CD31" w:rsidR="000C6A95" w:rsidRPr="00FB2F3D" w:rsidRDefault="000C6A95" w:rsidP="000C6A95">
      <w:pPr>
        <w:pStyle w:val="GuidanceNotesnumbering"/>
        <w:rPr>
          <w:rFonts w:ascii="Arial" w:hAnsi="Arial" w:cs="Arial"/>
          <w:sz w:val="22"/>
          <w:szCs w:val="22"/>
        </w:rPr>
      </w:pPr>
      <w:r w:rsidRPr="00FB2F3D">
        <w:rPr>
          <w:rFonts w:ascii="Arial" w:hAnsi="Arial" w:cs="Arial"/>
          <w:sz w:val="22"/>
          <w:szCs w:val="22"/>
        </w:rPr>
        <w:t xml:space="preserve">Every Reporting Entity is required to </w:t>
      </w:r>
      <w:r w:rsidR="00284443">
        <w:rPr>
          <w:rFonts w:ascii="Arial" w:hAnsi="Arial" w:cs="Arial"/>
          <w:sz w:val="22"/>
          <w:szCs w:val="22"/>
        </w:rPr>
        <w:t>make Disclosure of</w:t>
      </w:r>
      <w:r w:rsidRPr="00FB2F3D">
        <w:rPr>
          <w:rFonts w:ascii="Arial" w:hAnsi="Arial" w:cs="Arial"/>
          <w:sz w:val="22"/>
          <w:szCs w:val="22"/>
        </w:rPr>
        <w:t xml:space="preserve"> certain types of information either relating to the Securities of </w:t>
      </w:r>
      <w:r w:rsidR="00284443">
        <w:rPr>
          <w:rFonts w:ascii="Arial" w:hAnsi="Arial" w:cs="Arial"/>
          <w:sz w:val="22"/>
          <w:szCs w:val="22"/>
        </w:rPr>
        <w:t>a Listed</w:t>
      </w:r>
      <w:r w:rsidRPr="00FB2F3D">
        <w:rPr>
          <w:rFonts w:ascii="Arial" w:hAnsi="Arial" w:cs="Arial"/>
          <w:sz w:val="22"/>
          <w:szCs w:val="22"/>
        </w:rPr>
        <w:t xml:space="preserve"> Entity or the </w:t>
      </w:r>
      <w:r w:rsidR="00284443">
        <w:rPr>
          <w:rFonts w:ascii="Arial" w:hAnsi="Arial" w:cs="Arial"/>
          <w:sz w:val="22"/>
          <w:szCs w:val="22"/>
        </w:rPr>
        <w:t>Listed</w:t>
      </w:r>
      <w:r w:rsidRPr="00FB2F3D">
        <w:rPr>
          <w:rFonts w:ascii="Arial" w:hAnsi="Arial" w:cs="Arial"/>
          <w:sz w:val="22"/>
          <w:szCs w:val="22"/>
        </w:rPr>
        <w:t xml:space="preserve"> Entity itself. Such</w:t>
      </w:r>
      <w:r w:rsidRPr="00FB2F3D">
        <w:rPr>
          <w:rFonts w:ascii="Arial" w:hAnsi="Arial" w:cs="Arial"/>
          <w:sz w:val="22"/>
          <w:szCs w:val="22"/>
          <w:lang w:eastAsia="ja-JP"/>
        </w:rPr>
        <w:t xml:space="preserve"> </w:t>
      </w:r>
      <w:r w:rsidR="00284443">
        <w:rPr>
          <w:rFonts w:ascii="Arial" w:hAnsi="Arial" w:cs="Arial"/>
          <w:sz w:val="22"/>
          <w:szCs w:val="22"/>
        </w:rPr>
        <w:t>D</w:t>
      </w:r>
      <w:r w:rsidRPr="00FB2F3D">
        <w:rPr>
          <w:rFonts w:ascii="Arial" w:hAnsi="Arial" w:cs="Arial"/>
          <w:sz w:val="22"/>
          <w:szCs w:val="22"/>
        </w:rPr>
        <w:t xml:space="preserve">isclosure is designed to ensure that the markets are continually updated with information that is likely to have an impact on the price of the Securities so that investors can make an informed judgement about those Securities. For this purpose, </w:t>
      </w:r>
      <w:r w:rsidR="00753E86" w:rsidRPr="00FB2F3D">
        <w:rPr>
          <w:rFonts w:ascii="Arial" w:hAnsi="Arial" w:cs="Arial"/>
          <w:sz w:val="22"/>
          <w:szCs w:val="22"/>
        </w:rPr>
        <w:t>c</w:t>
      </w:r>
      <w:r w:rsidRPr="00FB2F3D">
        <w:rPr>
          <w:rFonts w:ascii="Arial" w:hAnsi="Arial" w:cs="Arial"/>
          <w:sz w:val="22"/>
          <w:szCs w:val="22"/>
        </w:rPr>
        <w:t>hapter </w:t>
      </w:r>
      <w:r w:rsidR="00693841" w:rsidRPr="00FB2F3D">
        <w:rPr>
          <w:rFonts w:ascii="Arial" w:hAnsi="Arial" w:cs="Arial"/>
          <w:sz w:val="22"/>
          <w:szCs w:val="22"/>
        </w:rPr>
        <w:t>7</w:t>
      </w:r>
      <w:r w:rsidRPr="00FB2F3D">
        <w:rPr>
          <w:rFonts w:ascii="Arial" w:hAnsi="Arial" w:cs="Arial"/>
          <w:sz w:val="22"/>
          <w:szCs w:val="22"/>
        </w:rPr>
        <w:t xml:space="preserve"> requires </w:t>
      </w:r>
      <w:r w:rsidR="00284443">
        <w:rPr>
          <w:rFonts w:ascii="Arial" w:hAnsi="Arial" w:cs="Arial"/>
          <w:sz w:val="22"/>
          <w:szCs w:val="22"/>
        </w:rPr>
        <w:t>D</w:t>
      </w:r>
      <w:r w:rsidRPr="00FB2F3D">
        <w:rPr>
          <w:rFonts w:ascii="Arial" w:hAnsi="Arial" w:cs="Arial"/>
          <w:sz w:val="22"/>
          <w:szCs w:val="22"/>
        </w:rPr>
        <w:t>isclosure of Inside Information, with carve</w:t>
      </w:r>
      <w:r w:rsidRPr="00FB2F3D">
        <w:rPr>
          <w:rFonts w:ascii="Arial" w:hAnsi="Arial" w:cs="Arial"/>
          <w:sz w:val="22"/>
          <w:szCs w:val="22"/>
        </w:rPr>
        <w:noBreakHyphen/>
        <w:t>outs for non</w:t>
      </w:r>
      <w:r w:rsidRPr="00FB2F3D">
        <w:rPr>
          <w:rFonts w:ascii="Arial" w:hAnsi="Arial" w:cs="Arial"/>
          <w:sz w:val="22"/>
          <w:szCs w:val="22"/>
        </w:rPr>
        <w:noBreakHyphen/>
        <w:t xml:space="preserve">disclosure of commercially sensitive information for a limited period, as well as </w:t>
      </w:r>
      <w:r w:rsidR="00284443">
        <w:rPr>
          <w:rFonts w:ascii="Arial" w:hAnsi="Arial" w:cs="Arial"/>
          <w:sz w:val="22"/>
          <w:szCs w:val="22"/>
        </w:rPr>
        <w:t>D</w:t>
      </w:r>
      <w:r w:rsidRPr="00FB2F3D">
        <w:rPr>
          <w:rFonts w:ascii="Arial" w:hAnsi="Arial" w:cs="Arial"/>
          <w:sz w:val="22"/>
          <w:szCs w:val="22"/>
        </w:rPr>
        <w:t xml:space="preserve">isclosures of interests held by Persons in positions of control or influence relating to a </w:t>
      </w:r>
      <w:r w:rsidR="00284443">
        <w:rPr>
          <w:rFonts w:ascii="Arial" w:hAnsi="Arial" w:cs="Arial"/>
          <w:sz w:val="22"/>
          <w:szCs w:val="22"/>
        </w:rPr>
        <w:t>Listed</w:t>
      </w:r>
      <w:r w:rsidRPr="00FB2F3D">
        <w:rPr>
          <w:rFonts w:ascii="Arial" w:hAnsi="Arial" w:cs="Arial"/>
          <w:sz w:val="22"/>
          <w:szCs w:val="22"/>
        </w:rPr>
        <w:t xml:space="preserve"> Entity (such as Controllers and their associates, called "Connected Persons"), and the </w:t>
      </w:r>
      <w:r w:rsidR="00867C08">
        <w:rPr>
          <w:rFonts w:ascii="Arial" w:hAnsi="Arial" w:cs="Arial"/>
          <w:sz w:val="22"/>
          <w:szCs w:val="22"/>
        </w:rPr>
        <w:t>D</w:t>
      </w:r>
      <w:r w:rsidRPr="00FB2F3D">
        <w:rPr>
          <w:rFonts w:ascii="Arial" w:hAnsi="Arial" w:cs="Arial"/>
          <w:sz w:val="22"/>
          <w:szCs w:val="22"/>
        </w:rPr>
        <w:t xml:space="preserve">isclosure of Directors' notifiable interests in the </w:t>
      </w:r>
      <w:r w:rsidR="00867C08">
        <w:rPr>
          <w:rFonts w:ascii="Arial" w:hAnsi="Arial" w:cs="Arial"/>
          <w:sz w:val="22"/>
          <w:szCs w:val="22"/>
        </w:rPr>
        <w:t>Listed</w:t>
      </w:r>
      <w:r w:rsidRPr="00FB2F3D">
        <w:rPr>
          <w:rFonts w:ascii="Arial" w:hAnsi="Arial" w:cs="Arial"/>
          <w:sz w:val="22"/>
          <w:szCs w:val="22"/>
        </w:rPr>
        <w:t xml:space="preserve"> Entity. The means by which </w:t>
      </w:r>
      <w:r w:rsidR="00867C08">
        <w:rPr>
          <w:rFonts w:ascii="Arial" w:hAnsi="Arial" w:cs="Arial"/>
          <w:sz w:val="22"/>
          <w:szCs w:val="22"/>
        </w:rPr>
        <w:t>D</w:t>
      </w:r>
      <w:r w:rsidRPr="00FB2F3D">
        <w:rPr>
          <w:rFonts w:ascii="Arial" w:hAnsi="Arial" w:cs="Arial"/>
          <w:sz w:val="22"/>
          <w:szCs w:val="22"/>
        </w:rPr>
        <w:t xml:space="preserve">isclosure of the information required to be </w:t>
      </w:r>
      <w:r w:rsidR="00867C08">
        <w:rPr>
          <w:rFonts w:ascii="Arial" w:hAnsi="Arial" w:cs="Arial"/>
          <w:sz w:val="22"/>
          <w:szCs w:val="22"/>
        </w:rPr>
        <w:t>achieved</w:t>
      </w:r>
      <w:r w:rsidRPr="00FB2F3D">
        <w:rPr>
          <w:rFonts w:ascii="Arial" w:hAnsi="Arial" w:cs="Arial"/>
          <w:sz w:val="22"/>
          <w:szCs w:val="22"/>
        </w:rPr>
        <w:t xml:space="preserve"> are also specified </w:t>
      </w:r>
      <w:r w:rsidRPr="00FB2F3D">
        <w:rPr>
          <w:rFonts w:ascii="Arial" w:hAnsi="Arial" w:cs="Arial"/>
          <w:sz w:val="22"/>
          <w:szCs w:val="22"/>
        </w:rPr>
        <w:lastRenderedPageBreak/>
        <w:t>in this chapter.</w:t>
      </w:r>
      <w:r w:rsidR="00867C08">
        <w:rPr>
          <w:rFonts w:ascii="Arial" w:hAnsi="Arial" w:cs="Arial"/>
          <w:sz w:val="22"/>
          <w:szCs w:val="22"/>
        </w:rPr>
        <w:t xml:space="preserve"> Additionally, the conditions enabling a Listed Entity to request a temporary Trading Halt from making a Disclosure of Inside information are covered in this chapter.</w:t>
      </w:r>
    </w:p>
    <w:p w14:paraId="4D1C9E44" w14:textId="77777777" w:rsidR="000C6A95" w:rsidRPr="00FB2F3D" w:rsidRDefault="000C6A95" w:rsidP="000C6A95">
      <w:pPr>
        <w:pStyle w:val="TitleL"/>
        <w:rPr>
          <w:rFonts w:ascii="Arial" w:hAnsi="Arial" w:cs="Arial"/>
          <w:sz w:val="22"/>
          <w:szCs w:val="22"/>
        </w:rPr>
      </w:pPr>
      <w:r w:rsidRPr="00FB2F3D">
        <w:rPr>
          <w:rFonts w:ascii="Arial" w:hAnsi="Arial" w:cs="Arial"/>
          <w:sz w:val="22"/>
          <w:szCs w:val="22"/>
        </w:rPr>
        <w:t>Systems and controls – chapter </w:t>
      </w:r>
      <w:r w:rsidR="00693841" w:rsidRPr="00FB2F3D">
        <w:rPr>
          <w:rFonts w:ascii="Arial" w:hAnsi="Arial" w:cs="Arial"/>
          <w:sz w:val="22"/>
          <w:szCs w:val="22"/>
        </w:rPr>
        <w:t>8</w:t>
      </w:r>
    </w:p>
    <w:p w14:paraId="5DF06FDE" w14:textId="6E56BC0B" w:rsidR="000C6A95" w:rsidRPr="00FB2F3D" w:rsidRDefault="000C6A95" w:rsidP="000C6A95">
      <w:pPr>
        <w:pStyle w:val="GuidanceNotesnumbering"/>
        <w:rPr>
          <w:rFonts w:ascii="Arial" w:hAnsi="Arial" w:cs="Arial"/>
          <w:sz w:val="22"/>
          <w:szCs w:val="22"/>
        </w:rPr>
      </w:pPr>
      <w:r w:rsidRPr="00FB2F3D">
        <w:rPr>
          <w:rFonts w:ascii="Arial" w:hAnsi="Arial" w:cs="Arial"/>
          <w:sz w:val="22"/>
          <w:szCs w:val="22"/>
        </w:rPr>
        <w:t>Chapter </w:t>
      </w:r>
      <w:r w:rsidR="00693841" w:rsidRPr="00FB2F3D">
        <w:rPr>
          <w:rFonts w:ascii="Arial" w:hAnsi="Arial" w:cs="Arial"/>
          <w:sz w:val="22"/>
          <w:szCs w:val="22"/>
        </w:rPr>
        <w:t>8</w:t>
      </w:r>
      <w:r w:rsidRPr="00FB2F3D">
        <w:rPr>
          <w:rFonts w:ascii="Arial" w:hAnsi="Arial" w:cs="Arial"/>
          <w:sz w:val="22"/>
          <w:szCs w:val="22"/>
        </w:rPr>
        <w:t xml:space="preserve"> sets out the systems and controls a Reporting Entity, including </w:t>
      </w:r>
      <w:r w:rsidR="00867C08">
        <w:rPr>
          <w:rFonts w:ascii="Arial" w:hAnsi="Arial" w:cs="Arial"/>
          <w:sz w:val="22"/>
          <w:szCs w:val="22"/>
        </w:rPr>
        <w:t>the</w:t>
      </w:r>
      <w:r w:rsidRPr="00FB2F3D">
        <w:rPr>
          <w:rFonts w:ascii="Arial" w:hAnsi="Arial" w:cs="Arial"/>
          <w:sz w:val="22"/>
          <w:szCs w:val="22"/>
        </w:rPr>
        <w:t xml:space="preserve"> Reporting Entity of a Listed Fund, must have in order to be able to comply with the requirements applicable to that Person.</w:t>
      </w:r>
    </w:p>
    <w:p w14:paraId="6C007754" w14:textId="77777777" w:rsidR="00162E0C" w:rsidRPr="00FB2F3D" w:rsidRDefault="00162E0C" w:rsidP="00222FEC">
      <w:pPr>
        <w:pStyle w:val="TitleL"/>
        <w:rPr>
          <w:rFonts w:ascii="Arial" w:hAnsi="Arial" w:cs="Arial"/>
          <w:sz w:val="22"/>
          <w:szCs w:val="22"/>
        </w:rPr>
      </w:pPr>
      <w:r w:rsidRPr="00FB2F3D">
        <w:rPr>
          <w:rFonts w:ascii="Arial" w:hAnsi="Arial" w:cs="Arial"/>
          <w:sz w:val="22"/>
          <w:szCs w:val="22"/>
        </w:rPr>
        <w:t xml:space="preserve">Governance of </w:t>
      </w:r>
      <w:r w:rsidR="00222FEC" w:rsidRPr="00FB2F3D">
        <w:rPr>
          <w:rFonts w:ascii="Arial" w:hAnsi="Arial" w:cs="Arial"/>
          <w:sz w:val="22"/>
          <w:szCs w:val="22"/>
        </w:rPr>
        <w:t>Reporting Entities</w:t>
      </w:r>
      <w:r w:rsidRPr="00FB2F3D">
        <w:rPr>
          <w:rFonts w:ascii="Arial" w:hAnsi="Arial" w:cs="Arial"/>
          <w:sz w:val="22"/>
          <w:szCs w:val="22"/>
        </w:rPr>
        <w:t xml:space="preserve"> – chapter </w:t>
      </w:r>
      <w:r w:rsidR="00693841" w:rsidRPr="00FB2F3D">
        <w:rPr>
          <w:rFonts w:ascii="Arial" w:hAnsi="Arial" w:cs="Arial"/>
          <w:sz w:val="22"/>
          <w:szCs w:val="22"/>
        </w:rPr>
        <w:t>9</w:t>
      </w:r>
    </w:p>
    <w:p w14:paraId="68EECFFE" w14:textId="77777777" w:rsidR="00162E0C" w:rsidRPr="00FB2F3D" w:rsidRDefault="00162E0C" w:rsidP="00222FEC">
      <w:pPr>
        <w:pStyle w:val="GuidanceNotesnumbering"/>
        <w:rPr>
          <w:rFonts w:ascii="Arial" w:hAnsi="Arial" w:cs="Arial"/>
          <w:sz w:val="22"/>
          <w:szCs w:val="22"/>
        </w:rPr>
      </w:pPr>
      <w:r w:rsidRPr="00FB2F3D">
        <w:rPr>
          <w:rFonts w:ascii="Arial" w:hAnsi="Arial" w:cs="Arial"/>
          <w:sz w:val="22"/>
          <w:szCs w:val="22"/>
        </w:rPr>
        <w:t>Chapter </w:t>
      </w:r>
      <w:r w:rsidR="00693841" w:rsidRPr="00FB2F3D">
        <w:rPr>
          <w:rFonts w:ascii="Arial" w:hAnsi="Arial" w:cs="Arial"/>
          <w:sz w:val="22"/>
          <w:szCs w:val="22"/>
        </w:rPr>
        <w:t>9</w:t>
      </w:r>
      <w:r w:rsidRPr="00FB2F3D">
        <w:rPr>
          <w:rFonts w:ascii="Arial" w:hAnsi="Arial" w:cs="Arial"/>
          <w:sz w:val="22"/>
          <w:szCs w:val="22"/>
        </w:rPr>
        <w:t xml:space="preserve"> covers a wide range of </w:t>
      </w:r>
      <w:r w:rsidR="00A65187" w:rsidRPr="00FB2F3D">
        <w:rPr>
          <w:rFonts w:ascii="Arial" w:hAnsi="Arial" w:cs="Arial"/>
          <w:sz w:val="22"/>
          <w:szCs w:val="22"/>
        </w:rPr>
        <w:t>Corporate Governance</w:t>
      </w:r>
      <w:r w:rsidRPr="00FB2F3D">
        <w:rPr>
          <w:rFonts w:ascii="Arial" w:hAnsi="Arial" w:cs="Arial"/>
          <w:sz w:val="22"/>
          <w:szCs w:val="22"/>
        </w:rPr>
        <w:t xml:space="preserve"> requirements applicable to </w:t>
      </w:r>
      <w:r w:rsidR="00222FEC" w:rsidRPr="00FB2F3D">
        <w:rPr>
          <w:rFonts w:ascii="Arial" w:hAnsi="Arial" w:cs="Arial"/>
          <w:sz w:val="22"/>
          <w:szCs w:val="22"/>
        </w:rPr>
        <w:t>Reporting Entitie</w:t>
      </w:r>
      <w:r w:rsidRPr="00FB2F3D">
        <w:rPr>
          <w:rFonts w:ascii="Arial" w:hAnsi="Arial" w:cs="Arial"/>
          <w:sz w:val="22"/>
          <w:szCs w:val="22"/>
        </w:rPr>
        <w:t>s including:</w:t>
      </w:r>
    </w:p>
    <w:p w14:paraId="2CAE347E" w14:textId="77777777" w:rsidR="00162E0C" w:rsidRPr="00FB2F3D" w:rsidRDefault="00162E0C" w:rsidP="007E31C1">
      <w:pPr>
        <w:pStyle w:val="GuidanceNotesnumbering"/>
        <w:numPr>
          <w:ilvl w:val="1"/>
          <w:numId w:val="30"/>
        </w:numPr>
        <w:rPr>
          <w:rFonts w:ascii="Arial" w:hAnsi="Arial" w:cs="Arial"/>
          <w:sz w:val="22"/>
          <w:szCs w:val="22"/>
        </w:rPr>
      </w:pPr>
      <w:r w:rsidRPr="00FB2F3D">
        <w:rPr>
          <w:rFonts w:ascii="Arial" w:hAnsi="Arial" w:cs="Arial"/>
          <w:sz w:val="22"/>
          <w:szCs w:val="22"/>
        </w:rPr>
        <w:t>seven high</w:t>
      </w:r>
      <w:r w:rsidRPr="00FB2F3D">
        <w:rPr>
          <w:rFonts w:ascii="Arial" w:hAnsi="Arial" w:cs="Arial"/>
          <w:sz w:val="22"/>
          <w:szCs w:val="22"/>
        </w:rPr>
        <w:noBreakHyphen/>
        <w:t xml:space="preserve">level </w:t>
      </w:r>
      <w:r w:rsidR="00A65187" w:rsidRPr="00FB2F3D">
        <w:rPr>
          <w:rFonts w:ascii="Arial" w:hAnsi="Arial" w:cs="Arial"/>
          <w:sz w:val="22"/>
          <w:szCs w:val="22"/>
        </w:rPr>
        <w:t>Corporate Governance</w:t>
      </w:r>
      <w:r w:rsidR="00EE4E6B" w:rsidRPr="00FB2F3D">
        <w:rPr>
          <w:rFonts w:ascii="Arial" w:hAnsi="Arial" w:cs="Arial"/>
          <w:sz w:val="22"/>
          <w:szCs w:val="22"/>
        </w:rPr>
        <w:t xml:space="preserve"> Principles</w:t>
      </w:r>
      <w:r w:rsidRPr="00FB2F3D">
        <w:rPr>
          <w:rFonts w:ascii="Arial" w:hAnsi="Arial" w:cs="Arial"/>
          <w:sz w:val="22"/>
          <w:szCs w:val="22"/>
        </w:rPr>
        <w:t xml:space="preserve">, with best practice standards relating to those principles which apply on a "comply or explain" basis and which are set out in </w:t>
      </w:r>
      <w:r w:rsidR="00693841" w:rsidRPr="00FB2F3D">
        <w:rPr>
          <w:rFonts w:ascii="Arial" w:hAnsi="Arial" w:cs="Arial"/>
          <w:sz w:val="22"/>
          <w:szCs w:val="22"/>
        </w:rPr>
        <w:t>APP 4</w:t>
      </w:r>
      <w:r w:rsidRPr="00FB2F3D">
        <w:rPr>
          <w:rFonts w:ascii="Arial" w:hAnsi="Arial" w:cs="Arial"/>
          <w:sz w:val="22"/>
          <w:szCs w:val="22"/>
        </w:rPr>
        <w:t>;</w:t>
      </w:r>
    </w:p>
    <w:p w14:paraId="32208ADC" w14:textId="77777777" w:rsidR="00162E0C" w:rsidRPr="00FB2F3D" w:rsidRDefault="00162E0C" w:rsidP="007E31C1">
      <w:pPr>
        <w:pStyle w:val="GuidanceNotesnumbering"/>
        <w:numPr>
          <w:ilvl w:val="1"/>
          <w:numId w:val="30"/>
        </w:numPr>
        <w:rPr>
          <w:rFonts w:ascii="Arial" w:hAnsi="Arial" w:cs="Arial"/>
          <w:sz w:val="22"/>
          <w:szCs w:val="22"/>
        </w:rPr>
      </w:pPr>
      <w:r w:rsidRPr="00FB2F3D">
        <w:rPr>
          <w:rFonts w:ascii="Arial" w:hAnsi="Arial" w:cs="Arial"/>
          <w:sz w:val="22"/>
          <w:szCs w:val="22"/>
        </w:rPr>
        <w:t>Directors' duties, including acting in good faith and applying due diligence and care in the discharge of their duties and functions;</w:t>
      </w:r>
    </w:p>
    <w:p w14:paraId="1EA9D8E5" w14:textId="77777777" w:rsidR="00867C08" w:rsidRDefault="00162E0C" w:rsidP="007E31C1">
      <w:pPr>
        <w:pStyle w:val="GuidanceNotesnumbering"/>
        <w:numPr>
          <w:ilvl w:val="1"/>
          <w:numId w:val="30"/>
        </w:numPr>
        <w:rPr>
          <w:rFonts w:ascii="Arial" w:hAnsi="Arial" w:cs="Arial"/>
          <w:sz w:val="22"/>
          <w:szCs w:val="22"/>
        </w:rPr>
      </w:pPr>
      <w:r w:rsidRPr="00FB2F3D">
        <w:rPr>
          <w:rFonts w:ascii="Arial" w:hAnsi="Arial" w:cs="Arial"/>
          <w:sz w:val="22"/>
          <w:szCs w:val="22"/>
        </w:rPr>
        <w:t xml:space="preserve">provisions to ensure fair treatment of </w:t>
      </w:r>
      <w:r w:rsidR="00B46F00" w:rsidRPr="00FB2F3D">
        <w:rPr>
          <w:rFonts w:ascii="Arial" w:hAnsi="Arial" w:cs="Arial"/>
          <w:sz w:val="22"/>
          <w:szCs w:val="22"/>
        </w:rPr>
        <w:t>Shareholder</w:t>
      </w:r>
      <w:r w:rsidRPr="00FB2F3D">
        <w:rPr>
          <w:rFonts w:ascii="Arial" w:hAnsi="Arial" w:cs="Arial"/>
          <w:sz w:val="22"/>
          <w:szCs w:val="22"/>
        </w:rPr>
        <w:t xml:space="preserve">s in the conduct of affairs of the </w:t>
      </w:r>
      <w:r w:rsidR="00EE4C51" w:rsidRPr="00FB2F3D">
        <w:rPr>
          <w:rFonts w:ascii="Arial" w:hAnsi="Arial" w:cs="Arial"/>
          <w:sz w:val="22"/>
          <w:szCs w:val="22"/>
        </w:rPr>
        <w:t>Company</w:t>
      </w:r>
      <w:r w:rsidRPr="00FB2F3D">
        <w:rPr>
          <w:rFonts w:ascii="Arial" w:hAnsi="Arial" w:cs="Arial"/>
          <w:sz w:val="22"/>
          <w:szCs w:val="22"/>
        </w:rPr>
        <w:t xml:space="preserve">, such as provisions relating to communication with </w:t>
      </w:r>
      <w:r w:rsidR="00B46F00" w:rsidRPr="00FB2F3D">
        <w:rPr>
          <w:rFonts w:ascii="Arial" w:hAnsi="Arial" w:cs="Arial"/>
          <w:sz w:val="22"/>
          <w:szCs w:val="22"/>
        </w:rPr>
        <w:t>Shareholder</w:t>
      </w:r>
      <w:r w:rsidRPr="00FB2F3D">
        <w:rPr>
          <w:rFonts w:ascii="Arial" w:hAnsi="Arial" w:cs="Arial"/>
          <w:sz w:val="22"/>
          <w:szCs w:val="22"/>
        </w:rPr>
        <w:t>s</w:t>
      </w:r>
      <w:r w:rsidR="00867C08">
        <w:rPr>
          <w:rFonts w:ascii="Arial" w:hAnsi="Arial" w:cs="Arial"/>
          <w:sz w:val="22"/>
          <w:szCs w:val="22"/>
        </w:rPr>
        <w:t>;</w:t>
      </w:r>
    </w:p>
    <w:p w14:paraId="257BDF88" w14:textId="61481036" w:rsidR="00162E0C" w:rsidRPr="00FB2F3D" w:rsidRDefault="00867C08" w:rsidP="007E31C1">
      <w:pPr>
        <w:pStyle w:val="GuidanceNotesnumbering"/>
        <w:numPr>
          <w:ilvl w:val="1"/>
          <w:numId w:val="30"/>
        </w:numPr>
        <w:rPr>
          <w:rFonts w:ascii="Arial" w:hAnsi="Arial" w:cs="Arial"/>
          <w:sz w:val="22"/>
          <w:szCs w:val="22"/>
        </w:rPr>
      </w:pPr>
      <w:r>
        <w:rPr>
          <w:rFonts w:ascii="Arial" w:hAnsi="Arial" w:cs="Arial"/>
          <w:sz w:val="22"/>
          <w:szCs w:val="22"/>
        </w:rPr>
        <w:t xml:space="preserve">provisions relating to new issues of Equity Securities, Restricted Securities, the </w:t>
      </w:r>
      <w:r w:rsidR="00162E0C" w:rsidRPr="00FB2F3D">
        <w:rPr>
          <w:rFonts w:ascii="Arial" w:hAnsi="Arial" w:cs="Arial"/>
          <w:sz w:val="22"/>
          <w:szCs w:val="22"/>
        </w:rPr>
        <w:t xml:space="preserve">reduction of </w:t>
      </w:r>
      <w:r w:rsidR="00CA15B4" w:rsidRPr="00FB2F3D">
        <w:rPr>
          <w:rFonts w:ascii="Arial" w:hAnsi="Arial" w:cs="Arial"/>
          <w:sz w:val="22"/>
          <w:szCs w:val="22"/>
        </w:rPr>
        <w:t>Share</w:t>
      </w:r>
      <w:r w:rsidR="00162E0C" w:rsidRPr="00FB2F3D">
        <w:rPr>
          <w:rFonts w:ascii="Arial" w:hAnsi="Arial" w:cs="Arial"/>
          <w:sz w:val="22"/>
          <w:szCs w:val="22"/>
        </w:rPr>
        <w:t xml:space="preserve"> capital and a list of matters that require approval by a majority of </w:t>
      </w:r>
      <w:r w:rsidR="00B46F00" w:rsidRPr="00FB2F3D">
        <w:rPr>
          <w:rFonts w:ascii="Arial" w:hAnsi="Arial" w:cs="Arial"/>
          <w:sz w:val="22"/>
          <w:szCs w:val="22"/>
        </w:rPr>
        <w:t>Shareholder</w:t>
      </w:r>
      <w:r w:rsidR="00162E0C" w:rsidRPr="00FB2F3D">
        <w:rPr>
          <w:rFonts w:ascii="Arial" w:hAnsi="Arial" w:cs="Arial"/>
          <w:sz w:val="22"/>
          <w:szCs w:val="22"/>
        </w:rPr>
        <w:t>s voting; and</w:t>
      </w:r>
    </w:p>
    <w:p w14:paraId="1C3B346F" w14:textId="567B5514" w:rsidR="00162E0C" w:rsidRPr="00FB2F3D" w:rsidRDefault="00162E0C" w:rsidP="00222FEC">
      <w:pPr>
        <w:pStyle w:val="GuidanceNotesnumbering"/>
        <w:numPr>
          <w:ilvl w:val="1"/>
          <w:numId w:val="30"/>
        </w:numPr>
        <w:rPr>
          <w:rFonts w:ascii="Arial" w:hAnsi="Arial" w:cs="Arial"/>
          <w:sz w:val="22"/>
          <w:szCs w:val="22"/>
        </w:rPr>
      </w:pPr>
      <w:r w:rsidRPr="00FB2F3D">
        <w:rPr>
          <w:rFonts w:ascii="Arial" w:hAnsi="Arial" w:cs="Arial"/>
          <w:sz w:val="22"/>
          <w:szCs w:val="22"/>
        </w:rPr>
        <w:t xml:space="preserve">provisions to address conflicts of interest. For example individuals involved in the </w:t>
      </w:r>
      <w:r w:rsidR="00E061DA" w:rsidRPr="00FB2F3D">
        <w:rPr>
          <w:rFonts w:ascii="Arial" w:hAnsi="Arial" w:cs="Arial"/>
          <w:sz w:val="22"/>
          <w:szCs w:val="22"/>
        </w:rPr>
        <w:t>Senior Management</w:t>
      </w:r>
      <w:r w:rsidRPr="00FB2F3D">
        <w:rPr>
          <w:rFonts w:ascii="Arial" w:hAnsi="Arial" w:cs="Arial"/>
          <w:sz w:val="22"/>
          <w:szCs w:val="22"/>
        </w:rPr>
        <w:t xml:space="preserve"> of the </w:t>
      </w:r>
      <w:r w:rsidR="00222FEC" w:rsidRPr="00FB2F3D">
        <w:rPr>
          <w:rFonts w:ascii="Arial" w:hAnsi="Arial" w:cs="Arial"/>
          <w:sz w:val="22"/>
          <w:szCs w:val="22"/>
        </w:rPr>
        <w:t>Reporting Entity</w:t>
      </w:r>
      <w:r w:rsidRPr="00FB2F3D">
        <w:rPr>
          <w:rFonts w:ascii="Arial" w:hAnsi="Arial" w:cs="Arial"/>
          <w:sz w:val="22"/>
          <w:szCs w:val="22"/>
        </w:rPr>
        <w:t xml:space="preserve"> (such as executive Directors and other senior executives, called "Restricted Persons"), are prohibited from dealing in the </w:t>
      </w:r>
      <w:r w:rsidR="004B46BD" w:rsidRPr="00FB2F3D">
        <w:rPr>
          <w:rFonts w:ascii="Arial" w:hAnsi="Arial" w:cs="Arial"/>
          <w:sz w:val="22"/>
          <w:szCs w:val="22"/>
        </w:rPr>
        <w:t>Securities</w:t>
      </w:r>
      <w:r w:rsidRPr="00FB2F3D">
        <w:rPr>
          <w:rFonts w:ascii="Arial" w:hAnsi="Arial" w:cs="Arial"/>
          <w:sz w:val="22"/>
          <w:szCs w:val="22"/>
        </w:rPr>
        <w:t xml:space="preserve"> of the </w:t>
      </w:r>
      <w:r w:rsidR="00222FEC" w:rsidRPr="00FB2F3D">
        <w:rPr>
          <w:rFonts w:ascii="Arial" w:hAnsi="Arial" w:cs="Arial"/>
          <w:sz w:val="22"/>
          <w:szCs w:val="22"/>
        </w:rPr>
        <w:t>Reporting Entity</w:t>
      </w:r>
      <w:r w:rsidRPr="00FB2F3D">
        <w:rPr>
          <w:rFonts w:ascii="Arial" w:hAnsi="Arial" w:cs="Arial"/>
          <w:sz w:val="22"/>
          <w:szCs w:val="22"/>
        </w:rPr>
        <w:t xml:space="preserve"> during "</w:t>
      </w:r>
      <w:r w:rsidR="00867C08">
        <w:rPr>
          <w:rFonts w:ascii="Arial" w:hAnsi="Arial" w:cs="Arial"/>
          <w:sz w:val="22"/>
          <w:szCs w:val="22"/>
        </w:rPr>
        <w:t>C</w:t>
      </w:r>
      <w:r w:rsidRPr="00FB2F3D">
        <w:rPr>
          <w:rFonts w:ascii="Arial" w:hAnsi="Arial" w:cs="Arial"/>
          <w:sz w:val="22"/>
          <w:szCs w:val="22"/>
        </w:rPr>
        <w:t xml:space="preserve">lose </w:t>
      </w:r>
      <w:r w:rsidR="00867C08">
        <w:rPr>
          <w:rFonts w:ascii="Arial" w:hAnsi="Arial" w:cs="Arial"/>
          <w:sz w:val="22"/>
          <w:szCs w:val="22"/>
        </w:rPr>
        <w:t>P</w:t>
      </w:r>
      <w:r w:rsidRPr="00FB2F3D">
        <w:rPr>
          <w:rFonts w:ascii="Arial" w:hAnsi="Arial" w:cs="Arial"/>
          <w:sz w:val="22"/>
          <w:szCs w:val="22"/>
        </w:rPr>
        <w:t xml:space="preserve">eriods", unless prior clearance for those dealings is obtained. Similarly, Persons who qualify as Related Parties of the </w:t>
      </w:r>
      <w:r w:rsidR="00222FEC" w:rsidRPr="00FB2F3D">
        <w:rPr>
          <w:rFonts w:ascii="Arial" w:hAnsi="Arial" w:cs="Arial"/>
          <w:sz w:val="22"/>
          <w:szCs w:val="22"/>
        </w:rPr>
        <w:t>Reporting Entity</w:t>
      </w:r>
      <w:r w:rsidRPr="00FB2F3D">
        <w:rPr>
          <w:rFonts w:ascii="Arial" w:hAnsi="Arial" w:cs="Arial"/>
          <w:sz w:val="22"/>
          <w:szCs w:val="22"/>
        </w:rPr>
        <w:t xml:space="preserve"> are prohibited from entering into commercial transactions with the </w:t>
      </w:r>
      <w:r w:rsidR="00222FEC" w:rsidRPr="00FB2F3D">
        <w:rPr>
          <w:rFonts w:ascii="Arial" w:hAnsi="Arial" w:cs="Arial"/>
          <w:sz w:val="22"/>
          <w:szCs w:val="22"/>
        </w:rPr>
        <w:t>Reporting Entity</w:t>
      </w:r>
      <w:r w:rsidRPr="00FB2F3D">
        <w:rPr>
          <w:rFonts w:ascii="Arial" w:hAnsi="Arial" w:cs="Arial"/>
          <w:sz w:val="22"/>
          <w:szCs w:val="22"/>
        </w:rPr>
        <w:t xml:space="preserve"> unless certain requirements are followed.</w:t>
      </w:r>
    </w:p>
    <w:p w14:paraId="26573981" w14:textId="77777777" w:rsidR="00162E0C" w:rsidRPr="00FB2F3D" w:rsidRDefault="00162E0C" w:rsidP="002D0791">
      <w:pPr>
        <w:pStyle w:val="TitleL"/>
        <w:rPr>
          <w:rFonts w:ascii="Arial" w:hAnsi="Arial" w:cs="Arial"/>
          <w:sz w:val="22"/>
          <w:szCs w:val="22"/>
        </w:rPr>
      </w:pPr>
      <w:r w:rsidRPr="00FB2F3D">
        <w:rPr>
          <w:rFonts w:ascii="Arial" w:hAnsi="Arial" w:cs="Arial"/>
          <w:sz w:val="22"/>
          <w:szCs w:val="22"/>
        </w:rPr>
        <w:t>Accounting periods, financial reports and auditing – chapter </w:t>
      </w:r>
      <w:r w:rsidR="00693841" w:rsidRPr="00FB2F3D">
        <w:rPr>
          <w:rFonts w:ascii="Arial" w:hAnsi="Arial" w:cs="Arial"/>
          <w:sz w:val="22"/>
          <w:szCs w:val="22"/>
        </w:rPr>
        <w:t>10</w:t>
      </w:r>
    </w:p>
    <w:p w14:paraId="7B45BFA9" w14:textId="4B107D3A" w:rsidR="00162E0C" w:rsidRDefault="00162E0C" w:rsidP="00222FEC">
      <w:pPr>
        <w:pStyle w:val="GuidanceNotesnumbering"/>
        <w:rPr>
          <w:rFonts w:ascii="Arial" w:hAnsi="Arial" w:cs="Arial"/>
          <w:sz w:val="22"/>
          <w:szCs w:val="22"/>
          <w:lang w:eastAsia="ja-JP"/>
        </w:rPr>
      </w:pPr>
      <w:r w:rsidRPr="00FB2F3D">
        <w:rPr>
          <w:rFonts w:ascii="Arial" w:hAnsi="Arial" w:cs="Arial"/>
          <w:sz w:val="22"/>
          <w:szCs w:val="22"/>
        </w:rPr>
        <w:t xml:space="preserve">Every </w:t>
      </w:r>
      <w:r w:rsidR="00222FEC" w:rsidRPr="00FB2F3D">
        <w:rPr>
          <w:rFonts w:ascii="Arial" w:hAnsi="Arial" w:cs="Arial"/>
          <w:sz w:val="22"/>
          <w:szCs w:val="22"/>
        </w:rPr>
        <w:t>Reporting Entity</w:t>
      </w:r>
      <w:r w:rsidRPr="00FB2F3D">
        <w:rPr>
          <w:rFonts w:ascii="Arial" w:hAnsi="Arial" w:cs="Arial"/>
          <w:sz w:val="22"/>
          <w:szCs w:val="22"/>
        </w:rPr>
        <w:t xml:space="preserve"> is required to prepare and file certain annual, semi</w:t>
      </w:r>
      <w:r w:rsidRPr="00FB2F3D">
        <w:rPr>
          <w:rFonts w:ascii="Arial" w:hAnsi="Arial" w:cs="Arial"/>
          <w:sz w:val="22"/>
          <w:szCs w:val="22"/>
        </w:rPr>
        <w:noBreakHyphen/>
        <w:t xml:space="preserve">annual and other periodic financial reports relating to the financial position of the </w:t>
      </w:r>
      <w:r w:rsidR="00B4792F">
        <w:rPr>
          <w:rFonts w:ascii="Arial" w:hAnsi="Arial" w:cs="Arial"/>
          <w:sz w:val="22"/>
          <w:szCs w:val="22"/>
        </w:rPr>
        <w:t>relevant Listed</w:t>
      </w:r>
      <w:r w:rsidR="00222FEC" w:rsidRPr="00FB2F3D">
        <w:rPr>
          <w:rFonts w:ascii="Arial" w:hAnsi="Arial" w:cs="Arial"/>
          <w:sz w:val="22"/>
          <w:szCs w:val="22"/>
        </w:rPr>
        <w:t xml:space="preserve"> Entity</w:t>
      </w:r>
      <w:r w:rsidRPr="00FB2F3D">
        <w:rPr>
          <w:rFonts w:ascii="Arial" w:hAnsi="Arial" w:cs="Arial"/>
          <w:sz w:val="22"/>
          <w:szCs w:val="22"/>
        </w:rPr>
        <w:t>. Such reports are required to be prepared in accordance with the specified internationally accepted accounting standards and, in the case of annual financial reports, required to be audited. The</w:t>
      </w:r>
      <w:r w:rsidRPr="00FB2F3D">
        <w:rPr>
          <w:rFonts w:ascii="Arial" w:hAnsi="Arial" w:cs="Arial"/>
          <w:sz w:val="22"/>
          <w:szCs w:val="22"/>
          <w:lang w:eastAsia="ja-JP"/>
        </w:rPr>
        <w:t xml:space="preserve"> </w:t>
      </w:r>
      <w:r w:rsidRPr="00FB2F3D">
        <w:rPr>
          <w:rFonts w:ascii="Arial" w:hAnsi="Arial" w:cs="Arial"/>
          <w:sz w:val="22"/>
          <w:szCs w:val="22"/>
        </w:rPr>
        <w:t xml:space="preserve">requirements relating to the preparation and audit of the financial statements and the </w:t>
      </w:r>
      <w:r w:rsidR="00B4792F">
        <w:rPr>
          <w:rFonts w:ascii="Arial" w:hAnsi="Arial" w:cs="Arial"/>
          <w:sz w:val="22"/>
          <w:szCs w:val="22"/>
        </w:rPr>
        <w:t>D</w:t>
      </w:r>
      <w:r w:rsidRPr="00FB2F3D">
        <w:rPr>
          <w:rFonts w:ascii="Arial" w:hAnsi="Arial" w:cs="Arial"/>
          <w:sz w:val="22"/>
          <w:szCs w:val="22"/>
        </w:rPr>
        <w:t xml:space="preserve">isclosure of such reports within specified periods are set out in </w:t>
      </w:r>
      <w:r w:rsidR="00753E86" w:rsidRPr="00FB2F3D">
        <w:rPr>
          <w:rFonts w:ascii="Arial" w:hAnsi="Arial" w:cs="Arial"/>
          <w:sz w:val="22"/>
          <w:szCs w:val="22"/>
        </w:rPr>
        <w:t>c</w:t>
      </w:r>
      <w:r w:rsidRPr="00FB2F3D">
        <w:rPr>
          <w:rFonts w:ascii="Arial" w:hAnsi="Arial" w:cs="Arial"/>
          <w:sz w:val="22"/>
          <w:szCs w:val="22"/>
        </w:rPr>
        <w:t>hapter </w:t>
      </w:r>
      <w:r w:rsidR="00693841" w:rsidRPr="00FB2F3D">
        <w:rPr>
          <w:rFonts w:ascii="Arial" w:hAnsi="Arial" w:cs="Arial"/>
          <w:sz w:val="22"/>
          <w:szCs w:val="22"/>
        </w:rPr>
        <w:t>10</w:t>
      </w:r>
      <w:r w:rsidRPr="00FB2F3D">
        <w:rPr>
          <w:rFonts w:ascii="Arial" w:hAnsi="Arial" w:cs="Arial"/>
          <w:sz w:val="22"/>
          <w:szCs w:val="22"/>
        </w:rPr>
        <w:t>.</w:t>
      </w:r>
    </w:p>
    <w:p w14:paraId="52A10332" w14:textId="0DFDBD95" w:rsidR="00A648D1" w:rsidRDefault="00A648D1" w:rsidP="00A648D1">
      <w:pPr>
        <w:pStyle w:val="TitleL"/>
        <w:rPr>
          <w:rFonts w:ascii="Arial" w:hAnsi="Arial" w:cs="Arial"/>
          <w:sz w:val="22"/>
          <w:szCs w:val="22"/>
        </w:rPr>
      </w:pPr>
      <w:r>
        <w:rPr>
          <w:rFonts w:ascii="Arial" w:hAnsi="Arial" w:cs="Arial"/>
          <w:sz w:val="22"/>
          <w:szCs w:val="22"/>
        </w:rPr>
        <w:t>Mining and Petroleum Reporting Entities – chapters 11 and 12</w:t>
      </w:r>
    </w:p>
    <w:p w14:paraId="5A5EAA29" w14:textId="6E5B8F79" w:rsidR="00A648D1" w:rsidRPr="00FB2F3D" w:rsidRDefault="00A648D1" w:rsidP="00A648D1">
      <w:pPr>
        <w:pStyle w:val="GuidanceNotesnumbering"/>
        <w:rPr>
          <w:rFonts w:ascii="Arial" w:hAnsi="Arial" w:cs="Arial"/>
          <w:sz w:val="22"/>
          <w:szCs w:val="22"/>
        </w:rPr>
      </w:pPr>
      <w:r>
        <w:rPr>
          <w:rFonts w:ascii="Arial" w:hAnsi="Arial" w:cs="Arial"/>
          <w:sz w:val="22"/>
          <w:szCs w:val="22"/>
        </w:rPr>
        <w:t xml:space="preserve">Chapters </w:t>
      </w:r>
      <w:r w:rsidRPr="00A648D1">
        <w:rPr>
          <w:rFonts w:ascii="Arial" w:hAnsi="Arial" w:cs="Arial"/>
          <w:sz w:val="22"/>
          <w:szCs w:val="22"/>
        </w:rPr>
        <w:t xml:space="preserve">and 12 set out the additional Disclosure requirements relevant to Mining Exploration Reporting Entities, Mining Production Reporting Entities, </w:t>
      </w:r>
      <w:r w:rsidRPr="00A648D1">
        <w:rPr>
          <w:rFonts w:ascii="Arial" w:hAnsi="Arial" w:cs="Arial"/>
          <w:sz w:val="22"/>
          <w:szCs w:val="22"/>
        </w:rPr>
        <w:lastRenderedPageBreak/>
        <w:t>Petroleum Exploration Reporting Entities and Petroleum Production Reporting Entities.</w:t>
      </w:r>
    </w:p>
    <w:p w14:paraId="3DD6A045" w14:textId="77777777" w:rsidR="00162E0C" w:rsidRPr="00FB2F3D" w:rsidRDefault="00162E0C" w:rsidP="0061693E">
      <w:pPr>
        <w:pStyle w:val="Heading2"/>
        <w:rPr>
          <w:rFonts w:ascii="Arial" w:hAnsi="Arial" w:cs="Arial"/>
          <w:sz w:val="22"/>
          <w:szCs w:val="22"/>
        </w:rPr>
      </w:pPr>
      <w:bookmarkStart w:id="28" w:name="_Toc409521815"/>
      <w:bookmarkStart w:id="29" w:name="_Toc410136212"/>
      <w:bookmarkStart w:id="30" w:name="_Toc410605921"/>
      <w:bookmarkStart w:id="31" w:name="_Toc410658857"/>
      <w:bookmarkStart w:id="32" w:name="_Toc410658984"/>
      <w:bookmarkStart w:id="33" w:name="_Toc410835528"/>
      <w:bookmarkStart w:id="34" w:name="_Toc138325644"/>
      <w:r w:rsidRPr="00FB2F3D">
        <w:rPr>
          <w:rFonts w:ascii="Arial" w:hAnsi="Arial" w:cs="Arial"/>
          <w:sz w:val="22"/>
          <w:szCs w:val="22"/>
        </w:rPr>
        <w:t>General</w:t>
      </w:r>
      <w:bookmarkEnd w:id="28"/>
      <w:bookmarkEnd w:id="29"/>
      <w:bookmarkEnd w:id="30"/>
      <w:bookmarkEnd w:id="31"/>
      <w:bookmarkEnd w:id="32"/>
      <w:bookmarkEnd w:id="33"/>
      <w:bookmarkEnd w:id="34"/>
    </w:p>
    <w:p w14:paraId="6DCF43DE" w14:textId="77777777" w:rsidR="00162E0C" w:rsidRPr="00FB2F3D" w:rsidRDefault="00F62DFC" w:rsidP="00F62DFC">
      <w:pPr>
        <w:pStyle w:val="Heading3"/>
        <w:keepNext/>
        <w:rPr>
          <w:rFonts w:ascii="Arial" w:hAnsi="Arial" w:cs="Arial"/>
          <w:sz w:val="22"/>
          <w:szCs w:val="22"/>
        </w:rPr>
      </w:pPr>
      <w:r w:rsidRPr="00FB2F3D">
        <w:rPr>
          <w:rFonts w:ascii="Arial" w:hAnsi="Arial" w:cs="Arial"/>
          <w:sz w:val="22"/>
          <w:szCs w:val="22"/>
        </w:rPr>
        <w:t>A reference in this Rulebook</w:t>
      </w:r>
      <w:r w:rsidR="00162E0C" w:rsidRPr="00FB2F3D">
        <w:rPr>
          <w:rFonts w:ascii="Arial" w:hAnsi="Arial" w:cs="Arial"/>
          <w:sz w:val="22"/>
          <w:szCs w:val="22"/>
        </w:rPr>
        <w:t xml:space="preserve"> to:</w:t>
      </w:r>
    </w:p>
    <w:p w14:paraId="436B7C75" w14:textId="77777777" w:rsidR="00162E0C" w:rsidRPr="00FB2F3D" w:rsidRDefault="00162E0C" w:rsidP="00F62DFC">
      <w:pPr>
        <w:pStyle w:val="Heading4"/>
        <w:rPr>
          <w:rFonts w:ascii="Arial" w:hAnsi="Arial" w:cs="Arial"/>
          <w:sz w:val="22"/>
          <w:szCs w:val="22"/>
        </w:rPr>
      </w:pPr>
      <w:r w:rsidRPr="00FB2F3D">
        <w:rPr>
          <w:rFonts w:ascii="Arial" w:hAnsi="Arial" w:cs="Arial"/>
          <w:sz w:val="22"/>
          <w:szCs w:val="22"/>
        </w:rPr>
        <w:t>"</w:t>
      </w:r>
      <w:r w:rsidR="009D7FC2" w:rsidRPr="00FB2F3D">
        <w:rPr>
          <w:rFonts w:ascii="Arial" w:hAnsi="Arial" w:cs="Arial"/>
          <w:sz w:val="22"/>
          <w:szCs w:val="22"/>
        </w:rPr>
        <w:t xml:space="preserve">this </w:t>
      </w:r>
      <w:r w:rsidR="00F62DFC" w:rsidRPr="00FB2F3D">
        <w:rPr>
          <w:rFonts w:ascii="Arial" w:hAnsi="Arial" w:cs="Arial"/>
          <w:sz w:val="22"/>
          <w:szCs w:val="22"/>
        </w:rPr>
        <w:t>Rulebook</w:t>
      </w:r>
      <w:r w:rsidRPr="00FB2F3D">
        <w:rPr>
          <w:rFonts w:ascii="Arial" w:hAnsi="Arial" w:cs="Arial"/>
          <w:sz w:val="22"/>
          <w:szCs w:val="22"/>
        </w:rPr>
        <w:t xml:space="preserve">", is a reference to this MKT </w:t>
      </w:r>
      <w:r w:rsidR="00F62DFC" w:rsidRPr="00FB2F3D">
        <w:rPr>
          <w:rFonts w:ascii="Arial" w:hAnsi="Arial" w:cs="Arial"/>
          <w:sz w:val="22"/>
          <w:szCs w:val="22"/>
        </w:rPr>
        <w:t>Rulebook</w:t>
      </w:r>
      <w:r w:rsidRPr="00FB2F3D">
        <w:rPr>
          <w:rFonts w:ascii="Arial" w:hAnsi="Arial" w:cs="Arial"/>
          <w:sz w:val="22"/>
          <w:szCs w:val="22"/>
        </w:rPr>
        <w:t>; and</w:t>
      </w:r>
    </w:p>
    <w:p w14:paraId="0D92620F" w14:textId="77777777" w:rsidR="00162E0C" w:rsidRPr="00FB2F3D" w:rsidRDefault="00F62DFC" w:rsidP="00F62DFC">
      <w:pPr>
        <w:pStyle w:val="Heading4"/>
        <w:rPr>
          <w:rFonts w:ascii="Arial" w:hAnsi="Arial" w:cs="Arial"/>
          <w:sz w:val="22"/>
          <w:szCs w:val="22"/>
        </w:rPr>
      </w:pPr>
      <w:r w:rsidRPr="00FB2F3D">
        <w:rPr>
          <w:rFonts w:ascii="Arial" w:hAnsi="Arial" w:cs="Arial"/>
          <w:sz w:val="22"/>
          <w:szCs w:val="22"/>
        </w:rPr>
        <w:t>"Rules",</w:t>
      </w:r>
      <w:r w:rsidR="00162E0C" w:rsidRPr="00FB2F3D">
        <w:rPr>
          <w:rFonts w:ascii="Arial" w:hAnsi="Arial" w:cs="Arial"/>
          <w:sz w:val="22"/>
          <w:szCs w:val="22"/>
        </w:rPr>
        <w:t xml:space="preserve"> except where otherwise p</w:t>
      </w:r>
      <w:r w:rsidR="00F86FDC" w:rsidRPr="00FB2F3D">
        <w:rPr>
          <w:rFonts w:ascii="Arial" w:hAnsi="Arial" w:cs="Arial"/>
          <w:sz w:val="22"/>
          <w:szCs w:val="22"/>
        </w:rPr>
        <w:t xml:space="preserve">rovided, is a reference to the </w:t>
      </w:r>
      <w:r w:rsidRPr="00FB2F3D">
        <w:rPr>
          <w:rFonts w:ascii="Arial" w:hAnsi="Arial" w:cs="Arial"/>
          <w:sz w:val="22"/>
          <w:szCs w:val="22"/>
        </w:rPr>
        <w:t>R</w:t>
      </w:r>
      <w:r w:rsidR="00162E0C" w:rsidRPr="00FB2F3D">
        <w:rPr>
          <w:rFonts w:ascii="Arial" w:hAnsi="Arial" w:cs="Arial"/>
          <w:sz w:val="22"/>
          <w:szCs w:val="22"/>
        </w:rPr>
        <w:t xml:space="preserve">ules in </w:t>
      </w:r>
      <w:r w:rsidR="009D7FC2" w:rsidRPr="00FB2F3D">
        <w:rPr>
          <w:rFonts w:ascii="Arial" w:hAnsi="Arial" w:cs="Arial"/>
          <w:sz w:val="22"/>
          <w:szCs w:val="22"/>
        </w:rPr>
        <w:t xml:space="preserve">this </w:t>
      </w:r>
      <w:r w:rsidRPr="00FB2F3D">
        <w:rPr>
          <w:rFonts w:ascii="Arial" w:hAnsi="Arial" w:cs="Arial"/>
          <w:sz w:val="22"/>
          <w:szCs w:val="22"/>
        </w:rPr>
        <w:t>Rulebook</w:t>
      </w:r>
      <w:r w:rsidR="00162E0C" w:rsidRPr="00FB2F3D">
        <w:rPr>
          <w:rFonts w:ascii="Arial" w:hAnsi="Arial" w:cs="Arial"/>
          <w:sz w:val="22"/>
          <w:szCs w:val="22"/>
        </w:rPr>
        <w:t>.</w:t>
      </w:r>
    </w:p>
    <w:p w14:paraId="43C88CDA" w14:textId="1002C122" w:rsidR="00162E0C" w:rsidRPr="00FB2F3D" w:rsidRDefault="00162E0C" w:rsidP="00F62DFC">
      <w:pPr>
        <w:pStyle w:val="Heading3"/>
        <w:rPr>
          <w:rFonts w:ascii="Arial" w:hAnsi="Arial" w:cs="Arial"/>
          <w:sz w:val="22"/>
          <w:szCs w:val="22"/>
        </w:rPr>
      </w:pPr>
      <w:r w:rsidRPr="00FB2F3D">
        <w:rPr>
          <w:rFonts w:ascii="Arial" w:hAnsi="Arial" w:cs="Arial"/>
          <w:sz w:val="22"/>
          <w:szCs w:val="22"/>
        </w:rPr>
        <w:t>Where a</w:t>
      </w:r>
      <w:r w:rsidR="00222FEC" w:rsidRPr="00FB2F3D">
        <w:rPr>
          <w:rFonts w:ascii="Arial" w:hAnsi="Arial" w:cs="Arial"/>
          <w:sz w:val="22"/>
          <w:szCs w:val="22"/>
        </w:rPr>
        <w:t xml:space="preserve"> Reporting Entity</w:t>
      </w:r>
      <w:r w:rsidRPr="00FB2F3D">
        <w:rPr>
          <w:rFonts w:ascii="Arial" w:hAnsi="Arial" w:cs="Arial"/>
          <w:sz w:val="22"/>
          <w:szCs w:val="22"/>
        </w:rPr>
        <w:t xml:space="preserve"> is referred to in </w:t>
      </w:r>
      <w:r w:rsidR="009D7FC2" w:rsidRPr="00FB2F3D">
        <w:rPr>
          <w:rFonts w:ascii="Arial" w:hAnsi="Arial" w:cs="Arial"/>
          <w:sz w:val="22"/>
          <w:szCs w:val="22"/>
        </w:rPr>
        <w:t xml:space="preserve">this </w:t>
      </w:r>
      <w:r w:rsidR="00F62DFC" w:rsidRPr="00FB2F3D">
        <w:rPr>
          <w:rFonts w:ascii="Arial" w:hAnsi="Arial" w:cs="Arial"/>
          <w:sz w:val="22"/>
          <w:szCs w:val="22"/>
        </w:rPr>
        <w:t>Rulebook</w:t>
      </w:r>
      <w:r w:rsidRPr="00FB2F3D">
        <w:rPr>
          <w:rFonts w:ascii="Arial" w:hAnsi="Arial" w:cs="Arial"/>
          <w:sz w:val="22"/>
          <w:szCs w:val="22"/>
        </w:rPr>
        <w:t xml:space="preserve"> as a </w:t>
      </w:r>
      <w:r w:rsidR="00222FEC" w:rsidRPr="00FB2F3D">
        <w:rPr>
          <w:rFonts w:ascii="Arial" w:hAnsi="Arial" w:cs="Arial"/>
          <w:sz w:val="22"/>
          <w:szCs w:val="22"/>
        </w:rPr>
        <w:t xml:space="preserve">Reporting Entity </w:t>
      </w:r>
      <w:r w:rsidRPr="00FB2F3D">
        <w:rPr>
          <w:rFonts w:ascii="Arial" w:hAnsi="Arial" w:cs="Arial"/>
          <w:sz w:val="22"/>
          <w:szCs w:val="22"/>
        </w:rPr>
        <w:t xml:space="preserve">in respect of a specified class of </w:t>
      </w:r>
      <w:r w:rsidR="004B46BD" w:rsidRPr="00FB2F3D">
        <w:rPr>
          <w:rFonts w:ascii="Arial" w:hAnsi="Arial" w:cs="Arial"/>
          <w:sz w:val="22"/>
          <w:szCs w:val="22"/>
        </w:rPr>
        <w:t>Securities</w:t>
      </w:r>
      <w:r w:rsidRPr="00FB2F3D">
        <w:rPr>
          <w:rFonts w:ascii="Arial" w:hAnsi="Arial" w:cs="Arial"/>
          <w:sz w:val="22"/>
          <w:szCs w:val="22"/>
        </w:rPr>
        <w:t xml:space="preserve">, it is a reference to a Person </w:t>
      </w:r>
      <w:r w:rsidR="00A648D1">
        <w:rPr>
          <w:rFonts w:ascii="Arial" w:hAnsi="Arial" w:cs="Arial"/>
          <w:sz w:val="22"/>
          <w:szCs w:val="22"/>
        </w:rPr>
        <w:t>that</w:t>
      </w:r>
      <w:r w:rsidRPr="00FB2F3D">
        <w:rPr>
          <w:rFonts w:ascii="Arial" w:hAnsi="Arial" w:cs="Arial"/>
          <w:sz w:val="22"/>
          <w:szCs w:val="22"/>
        </w:rPr>
        <w:t xml:space="preserve"> has become a</w:t>
      </w:r>
      <w:r w:rsidR="00222FEC" w:rsidRPr="00FB2F3D">
        <w:rPr>
          <w:rFonts w:ascii="Arial" w:hAnsi="Arial" w:cs="Arial"/>
          <w:sz w:val="22"/>
          <w:szCs w:val="22"/>
        </w:rPr>
        <w:t xml:space="preserve"> Reporting Entity</w:t>
      </w:r>
      <w:r w:rsidRPr="00FB2F3D">
        <w:rPr>
          <w:rFonts w:ascii="Arial" w:hAnsi="Arial" w:cs="Arial"/>
          <w:sz w:val="22"/>
          <w:szCs w:val="22"/>
        </w:rPr>
        <w:t xml:space="preserve"> by</w:t>
      </w:r>
      <w:r w:rsidR="00A648D1">
        <w:rPr>
          <w:rFonts w:ascii="Arial" w:hAnsi="Arial" w:cs="Arial"/>
          <w:sz w:val="22"/>
          <w:szCs w:val="22"/>
        </w:rPr>
        <w:t xml:space="preserve"> way of such Person as an Issuer or a Listed Entity</w:t>
      </w:r>
      <w:r w:rsidRPr="00FB2F3D">
        <w:rPr>
          <w:rFonts w:ascii="Arial" w:hAnsi="Arial" w:cs="Arial"/>
          <w:sz w:val="22"/>
          <w:szCs w:val="22"/>
        </w:rPr>
        <w:t>:</w:t>
      </w:r>
    </w:p>
    <w:p w14:paraId="7FD051E5" w14:textId="54B7FC88" w:rsidR="00162E0C" w:rsidRPr="00FB2F3D" w:rsidRDefault="00162E0C" w:rsidP="00E9220D">
      <w:pPr>
        <w:pStyle w:val="Heading4"/>
        <w:rPr>
          <w:rFonts w:ascii="Arial" w:hAnsi="Arial" w:cs="Arial"/>
          <w:sz w:val="22"/>
          <w:szCs w:val="22"/>
        </w:rPr>
      </w:pPr>
      <w:r w:rsidRPr="00FB2F3D">
        <w:rPr>
          <w:rFonts w:ascii="Arial" w:hAnsi="Arial" w:cs="Arial"/>
          <w:sz w:val="22"/>
          <w:szCs w:val="22"/>
        </w:rPr>
        <w:t xml:space="preserve">making an Offer of </w:t>
      </w:r>
      <w:r w:rsidR="004B46BD" w:rsidRPr="00FB2F3D">
        <w:rPr>
          <w:rFonts w:ascii="Arial" w:hAnsi="Arial" w:cs="Arial"/>
          <w:sz w:val="22"/>
          <w:szCs w:val="22"/>
        </w:rPr>
        <w:t>Securities</w:t>
      </w:r>
      <w:r w:rsidR="00F62DFC" w:rsidRPr="00FB2F3D">
        <w:rPr>
          <w:rFonts w:ascii="Arial" w:hAnsi="Arial" w:cs="Arial"/>
          <w:sz w:val="22"/>
          <w:szCs w:val="22"/>
        </w:rPr>
        <w:t>;</w:t>
      </w:r>
    </w:p>
    <w:p w14:paraId="75E2C210" w14:textId="75919078" w:rsidR="00F62DFC" w:rsidRPr="00FB2F3D" w:rsidRDefault="00A648D1" w:rsidP="00E9220D">
      <w:pPr>
        <w:pStyle w:val="Heading4"/>
        <w:rPr>
          <w:rFonts w:ascii="Arial" w:hAnsi="Arial" w:cs="Arial"/>
          <w:sz w:val="22"/>
          <w:szCs w:val="22"/>
        </w:rPr>
      </w:pPr>
      <w:r>
        <w:rPr>
          <w:rFonts w:ascii="Arial" w:hAnsi="Arial" w:cs="Arial"/>
          <w:sz w:val="22"/>
          <w:szCs w:val="22"/>
        </w:rPr>
        <w:t xml:space="preserve">having </w:t>
      </w:r>
      <w:r w:rsidR="00F62DFC" w:rsidRPr="00FB2F3D">
        <w:rPr>
          <w:rFonts w:ascii="Arial" w:hAnsi="Arial" w:cs="Arial"/>
          <w:sz w:val="22"/>
          <w:szCs w:val="22"/>
        </w:rPr>
        <w:t>Securities admitted to the Official List; or</w:t>
      </w:r>
    </w:p>
    <w:p w14:paraId="173BD407" w14:textId="77777777" w:rsidR="00162E0C" w:rsidRPr="00FB2F3D" w:rsidRDefault="00162E0C" w:rsidP="00F62DFC">
      <w:pPr>
        <w:pStyle w:val="Heading4"/>
        <w:rPr>
          <w:rFonts w:ascii="Arial" w:hAnsi="Arial" w:cs="Arial"/>
          <w:sz w:val="22"/>
          <w:szCs w:val="22"/>
        </w:rPr>
      </w:pPr>
      <w:r w:rsidRPr="00FB2F3D">
        <w:rPr>
          <w:rFonts w:ascii="Arial" w:hAnsi="Arial" w:cs="Arial"/>
          <w:sz w:val="22"/>
          <w:szCs w:val="22"/>
        </w:rPr>
        <w:t xml:space="preserve">having </w:t>
      </w:r>
      <w:r w:rsidR="004B46BD" w:rsidRPr="00FB2F3D">
        <w:rPr>
          <w:rFonts w:ascii="Arial" w:hAnsi="Arial" w:cs="Arial"/>
          <w:sz w:val="22"/>
          <w:szCs w:val="22"/>
        </w:rPr>
        <w:t>Securities</w:t>
      </w:r>
      <w:r w:rsidRPr="00FB2F3D">
        <w:rPr>
          <w:rFonts w:ascii="Arial" w:hAnsi="Arial" w:cs="Arial"/>
          <w:sz w:val="22"/>
          <w:szCs w:val="22"/>
        </w:rPr>
        <w:t xml:space="preserve"> admitted to trading on a Recognised </w:t>
      </w:r>
      <w:r w:rsidR="00F62DFC" w:rsidRPr="00FB2F3D">
        <w:rPr>
          <w:rFonts w:ascii="Arial" w:hAnsi="Arial" w:cs="Arial"/>
          <w:sz w:val="22"/>
          <w:szCs w:val="22"/>
        </w:rPr>
        <w:t>Investment Exchange;</w:t>
      </w:r>
    </w:p>
    <w:p w14:paraId="6D41DFE4" w14:textId="77777777" w:rsidR="00F62DFC" w:rsidRPr="00FB2F3D" w:rsidRDefault="00F62DFC" w:rsidP="00F62DFC">
      <w:pPr>
        <w:pStyle w:val="Heading4"/>
        <w:numPr>
          <w:ilvl w:val="0"/>
          <w:numId w:val="0"/>
        </w:numPr>
        <w:ind w:left="720"/>
        <w:rPr>
          <w:rFonts w:ascii="Arial" w:hAnsi="Arial" w:cs="Arial"/>
          <w:sz w:val="22"/>
          <w:szCs w:val="22"/>
        </w:rPr>
      </w:pPr>
      <w:r w:rsidRPr="00FB2F3D">
        <w:rPr>
          <w:rFonts w:ascii="Arial" w:hAnsi="Arial" w:cs="Arial"/>
          <w:sz w:val="22"/>
          <w:szCs w:val="22"/>
        </w:rPr>
        <w:t>of that particular specified class of Securities.</w:t>
      </w:r>
    </w:p>
    <w:p w14:paraId="13371562" w14:textId="77777777" w:rsidR="00162E0C" w:rsidRPr="00FB2F3D" w:rsidRDefault="00162E0C" w:rsidP="0061693E">
      <w:pPr>
        <w:pStyle w:val="Heading2"/>
        <w:rPr>
          <w:rFonts w:ascii="Arial" w:hAnsi="Arial" w:cs="Arial"/>
          <w:sz w:val="22"/>
          <w:szCs w:val="22"/>
        </w:rPr>
      </w:pPr>
      <w:bookmarkStart w:id="35" w:name="_Toc409521816"/>
      <w:bookmarkStart w:id="36" w:name="_Toc410136213"/>
      <w:bookmarkStart w:id="37" w:name="_Toc410605922"/>
      <w:bookmarkStart w:id="38" w:name="_Toc410658858"/>
      <w:bookmarkStart w:id="39" w:name="_Toc410658985"/>
      <w:bookmarkStart w:id="40" w:name="_Toc410835529"/>
      <w:bookmarkStart w:id="41" w:name="_Toc138325645"/>
      <w:r w:rsidRPr="00FB2F3D">
        <w:rPr>
          <w:rFonts w:ascii="Arial" w:hAnsi="Arial" w:cs="Arial"/>
          <w:sz w:val="22"/>
          <w:szCs w:val="22"/>
        </w:rPr>
        <w:t xml:space="preserve">Interpreting the </w:t>
      </w:r>
      <w:r w:rsidR="003B2598" w:rsidRPr="00FB2F3D">
        <w:rPr>
          <w:rFonts w:ascii="Arial" w:hAnsi="Arial" w:cs="Arial"/>
          <w:sz w:val="22"/>
          <w:szCs w:val="22"/>
        </w:rPr>
        <w:t>R</w:t>
      </w:r>
      <w:r w:rsidRPr="00FB2F3D">
        <w:rPr>
          <w:rFonts w:ascii="Arial" w:hAnsi="Arial" w:cs="Arial"/>
          <w:sz w:val="22"/>
          <w:szCs w:val="22"/>
        </w:rPr>
        <w:t>ulebook</w:t>
      </w:r>
      <w:bookmarkEnd w:id="35"/>
      <w:bookmarkEnd w:id="36"/>
      <w:bookmarkEnd w:id="37"/>
      <w:bookmarkEnd w:id="38"/>
      <w:bookmarkEnd w:id="39"/>
      <w:bookmarkEnd w:id="40"/>
      <w:bookmarkEnd w:id="41"/>
    </w:p>
    <w:p w14:paraId="433C0547"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70A342DE"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Interpretation</w:t>
      </w:r>
    </w:p>
    <w:p w14:paraId="424922D4" w14:textId="77777777" w:rsidR="00162E0C" w:rsidRPr="00FB2F3D" w:rsidRDefault="00162E0C" w:rsidP="00DB61C9">
      <w:pPr>
        <w:pStyle w:val="GuidanceNotesnumbering"/>
        <w:numPr>
          <w:ilvl w:val="0"/>
          <w:numId w:val="31"/>
        </w:numPr>
        <w:rPr>
          <w:rFonts w:ascii="Arial" w:hAnsi="Arial" w:cs="Arial"/>
          <w:sz w:val="22"/>
          <w:szCs w:val="22"/>
        </w:rPr>
      </w:pPr>
      <w:r w:rsidRPr="00FB2F3D">
        <w:rPr>
          <w:rFonts w:ascii="Arial" w:hAnsi="Arial" w:cs="Arial"/>
          <w:sz w:val="22"/>
          <w:szCs w:val="22"/>
        </w:rPr>
        <w:t>Every provision in the Rulebook must be interpreted in the light of its purpose. The purpose of any provision is to be gathered first and foremost from the text of the provision in question and its context among other relevant provisions.</w:t>
      </w:r>
    </w:p>
    <w:p w14:paraId="0AC9F350" w14:textId="77777777" w:rsidR="00162E0C" w:rsidRPr="00FB2F3D" w:rsidRDefault="00162E0C" w:rsidP="002D0791">
      <w:pPr>
        <w:pStyle w:val="GuidanceNotesnumbering"/>
        <w:rPr>
          <w:rFonts w:ascii="Arial" w:hAnsi="Arial" w:cs="Arial"/>
          <w:sz w:val="22"/>
          <w:szCs w:val="22"/>
        </w:rPr>
      </w:pPr>
      <w:r w:rsidRPr="00FB2F3D">
        <w:rPr>
          <w:rFonts w:ascii="Arial" w:hAnsi="Arial" w:cs="Arial"/>
          <w:sz w:val="22"/>
          <w:szCs w:val="22"/>
        </w:rPr>
        <w:t>When this section refers to a provision, this means every type of provision, including Rules and Guidance.</w:t>
      </w:r>
    </w:p>
    <w:p w14:paraId="008804CE" w14:textId="77777777" w:rsidR="00162E0C" w:rsidRPr="00FB2F3D" w:rsidRDefault="00162E0C" w:rsidP="002D0791">
      <w:pPr>
        <w:pStyle w:val="GuidanceNotesnumbering"/>
        <w:rPr>
          <w:rFonts w:ascii="Arial" w:hAnsi="Arial" w:cs="Arial"/>
          <w:sz w:val="22"/>
          <w:szCs w:val="22"/>
        </w:rPr>
      </w:pPr>
      <w:r w:rsidRPr="00FB2F3D">
        <w:rPr>
          <w:rFonts w:ascii="Arial" w:hAnsi="Arial" w:cs="Arial"/>
          <w:sz w:val="22"/>
          <w:szCs w:val="22"/>
        </w:rPr>
        <w:t>Where reference is made in the Rulebook to another provision of the Rulebook or other ADGM</w:t>
      </w:r>
      <w:r w:rsidRPr="00FB2F3D">
        <w:rPr>
          <w:rFonts w:ascii="Arial" w:hAnsi="Arial" w:cs="Arial"/>
          <w:sz w:val="22"/>
          <w:szCs w:val="22"/>
          <w:lang w:eastAsia="ja-JP"/>
        </w:rPr>
        <w:t xml:space="preserve"> </w:t>
      </w:r>
      <w:r w:rsidRPr="00FB2F3D">
        <w:rPr>
          <w:rFonts w:ascii="Arial" w:hAnsi="Arial" w:cs="Arial"/>
          <w:sz w:val="22"/>
          <w:szCs w:val="22"/>
        </w:rPr>
        <w:t>legislation, it is a reference to that provision as amended from time to time.</w:t>
      </w:r>
    </w:p>
    <w:p w14:paraId="7D2D03E9" w14:textId="77777777" w:rsidR="00162E0C" w:rsidRPr="00FB2F3D" w:rsidRDefault="00162E0C" w:rsidP="002D0791">
      <w:pPr>
        <w:pStyle w:val="GuidanceNotesnumbering"/>
        <w:rPr>
          <w:rFonts w:ascii="Arial" w:hAnsi="Arial" w:cs="Arial"/>
          <w:sz w:val="22"/>
          <w:szCs w:val="22"/>
        </w:rPr>
      </w:pPr>
      <w:r w:rsidRPr="00FB2F3D">
        <w:rPr>
          <w:rFonts w:ascii="Arial" w:hAnsi="Arial" w:cs="Arial"/>
          <w:sz w:val="22"/>
          <w:szCs w:val="22"/>
        </w:rPr>
        <w:t>Unless the contrary intention appears:</w:t>
      </w:r>
    </w:p>
    <w:p w14:paraId="42FC00E0" w14:textId="77777777" w:rsidR="00162E0C" w:rsidRPr="00FB2F3D" w:rsidRDefault="00162E0C" w:rsidP="007E31C1">
      <w:pPr>
        <w:pStyle w:val="GuidanceNotesnumbering"/>
        <w:numPr>
          <w:ilvl w:val="1"/>
          <w:numId w:val="30"/>
        </w:numPr>
        <w:rPr>
          <w:rFonts w:ascii="Arial" w:hAnsi="Arial" w:cs="Arial"/>
          <w:sz w:val="22"/>
          <w:szCs w:val="22"/>
        </w:rPr>
      </w:pPr>
      <w:r w:rsidRPr="00FB2F3D">
        <w:rPr>
          <w:rFonts w:ascii="Arial" w:hAnsi="Arial" w:cs="Arial"/>
          <w:sz w:val="22"/>
          <w:szCs w:val="22"/>
        </w:rPr>
        <w:t>words in the Rulebook importing the masculine gender include the feminine gender and words importing the feminine gender include the masculine; and</w:t>
      </w:r>
    </w:p>
    <w:p w14:paraId="58BA60B9" w14:textId="77777777" w:rsidR="00162E0C" w:rsidRPr="00FB2F3D" w:rsidRDefault="00162E0C" w:rsidP="007E31C1">
      <w:pPr>
        <w:pStyle w:val="GuidanceNotesnumbering"/>
        <w:numPr>
          <w:ilvl w:val="1"/>
          <w:numId w:val="30"/>
        </w:numPr>
        <w:rPr>
          <w:rFonts w:ascii="Arial" w:hAnsi="Arial" w:cs="Arial"/>
          <w:sz w:val="22"/>
          <w:szCs w:val="22"/>
        </w:rPr>
      </w:pPr>
      <w:r w:rsidRPr="00FB2F3D">
        <w:rPr>
          <w:rFonts w:ascii="Arial" w:hAnsi="Arial" w:cs="Arial"/>
          <w:sz w:val="22"/>
          <w:szCs w:val="22"/>
        </w:rPr>
        <w:t>words in the Rulebook in the singular include the plural and words in the plural include the singular.</w:t>
      </w:r>
    </w:p>
    <w:p w14:paraId="011D80C3" w14:textId="77777777" w:rsidR="00162E0C" w:rsidRPr="00FB2F3D" w:rsidRDefault="00162E0C" w:rsidP="002D0791">
      <w:pPr>
        <w:pStyle w:val="GuidanceNotesnumbering"/>
        <w:rPr>
          <w:rFonts w:ascii="Arial" w:hAnsi="Arial" w:cs="Arial"/>
          <w:sz w:val="22"/>
          <w:szCs w:val="22"/>
        </w:rPr>
      </w:pPr>
      <w:r w:rsidRPr="00FB2F3D">
        <w:rPr>
          <w:rFonts w:ascii="Arial" w:hAnsi="Arial" w:cs="Arial"/>
          <w:sz w:val="22"/>
          <w:szCs w:val="22"/>
        </w:rPr>
        <w:t>If a provision in the Rulebook refers to a communication, notice, agreement, or other document "in writing" then, unless the contrary intention appears, it means in legible form and capable of being reproduced on paper, irrespective of the medium used. Expressions related to writing must be interpreted accordingly.</w:t>
      </w:r>
    </w:p>
    <w:p w14:paraId="63E16D5D" w14:textId="77777777" w:rsidR="00162E0C" w:rsidRPr="00FB2F3D" w:rsidRDefault="00162E0C" w:rsidP="002D0791">
      <w:pPr>
        <w:pStyle w:val="GuidanceNotesnumbering"/>
        <w:rPr>
          <w:rFonts w:ascii="Arial" w:hAnsi="Arial" w:cs="Arial"/>
          <w:sz w:val="22"/>
          <w:szCs w:val="22"/>
        </w:rPr>
      </w:pPr>
      <w:r w:rsidRPr="00FB2F3D">
        <w:rPr>
          <w:rFonts w:ascii="Arial" w:hAnsi="Arial" w:cs="Arial"/>
          <w:sz w:val="22"/>
          <w:szCs w:val="22"/>
        </w:rPr>
        <w:lastRenderedPageBreak/>
        <w:t>Any reference to "dollars" or "$" is a reference to United States Dollars unless the contrary intention appears.</w:t>
      </w:r>
    </w:p>
    <w:p w14:paraId="5A2D6F49" w14:textId="77777777" w:rsidR="00162E0C" w:rsidRPr="00FB2F3D" w:rsidRDefault="00162E0C" w:rsidP="002D0791">
      <w:pPr>
        <w:pStyle w:val="GuidanceNotesnumbering"/>
        <w:rPr>
          <w:rFonts w:ascii="Arial" w:hAnsi="Arial" w:cs="Arial"/>
          <w:sz w:val="22"/>
          <w:szCs w:val="22"/>
        </w:rPr>
      </w:pPr>
      <w:r w:rsidRPr="00FB2F3D">
        <w:rPr>
          <w:rFonts w:ascii="Arial" w:hAnsi="Arial" w:cs="Arial"/>
          <w:sz w:val="22"/>
          <w:szCs w:val="22"/>
        </w:rPr>
        <w:t xml:space="preserve">Unless stated otherwise, a day means a calendar day. If an obligation falls on a calendar day which is either a Friday or Saturday or an official State holiday in the ADGM, the obligation must take place on the next calendar day which is a </w:t>
      </w:r>
      <w:r w:rsidR="00936C69" w:rsidRPr="00FB2F3D">
        <w:rPr>
          <w:rFonts w:ascii="Arial" w:hAnsi="Arial" w:cs="Arial"/>
          <w:sz w:val="22"/>
          <w:szCs w:val="22"/>
        </w:rPr>
        <w:t>Business Day</w:t>
      </w:r>
      <w:r w:rsidRPr="00FB2F3D">
        <w:rPr>
          <w:rFonts w:ascii="Arial" w:hAnsi="Arial" w:cs="Arial"/>
          <w:sz w:val="22"/>
          <w:szCs w:val="22"/>
        </w:rPr>
        <w:t>.</w:t>
      </w:r>
    </w:p>
    <w:p w14:paraId="1C133B68"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Defined terms</w:t>
      </w:r>
    </w:p>
    <w:p w14:paraId="28DAD03C" w14:textId="6C60456D" w:rsidR="00162E0C" w:rsidRDefault="00162E0C" w:rsidP="002D0791">
      <w:pPr>
        <w:pStyle w:val="GuidanceNotesnumbering"/>
        <w:rPr>
          <w:rFonts w:ascii="Arial" w:hAnsi="Arial" w:cs="Arial"/>
          <w:sz w:val="22"/>
          <w:szCs w:val="22"/>
        </w:rPr>
      </w:pPr>
      <w:r w:rsidRPr="00FB2F3D">
        <w:rPr>
          <w:rFonts w:ascii="Arial" w:hAnsi="Arial" w:cs="Arial"/>
          <w:sz w:val="22"/>
          <w:szCs w:val="22"/>
        </w:rPr>
        <w:t>Defined terms are identified throughout the Rulebook by the capitalisation of the initial letter of a word or of each word in a phrase and are defined in the Glossary ("</w:t>
      </w:r>
      <w:r w:rsidRPr="00FB2F3D">
        <w:rPr>
          <w:rFonts w:ascii="Arial" w:hAnsi="Arial" w:cs="Arial"/>
          <w:b/>
          <w:sz w:val="22"/>
          <w:szCs w:val="22"/>
        </w:rPr>
        <w:t>GLO</w:t>
      </w:r>
      <w:r w:rsidRPr="00FB2F3D">
        <w:rPr>
          <w:rFonts w:ascii="Arial" w:hAnsi="Arial" w:cs="Arial"/>
          <w:sz w:val="22"/>
          <w:szCs w:val="22"/>
        </w:rPr>
        <w:t>"). Unless the context otherwise requires, where capitalisation of the initial letter is not used, an expression has its natural meaning.</w:t>
      </w:r>
    </w:p>
    <w:p w14:paraId="44544DED" w14:textId="4F350404" w:rsidR="00A648D1" w:rsidRPr="00FB2F3D" w:rsidRDefault="00A648D1" w:rsidP="002D0791">
      <w:pPr>
        <w:pStyle w:val="GuidanceNotesnumbering"/>
        <w:rPr>
          <w:rFonts w:ascii="Arial" w:hAnsi="Arial" w:cs="Arial"/>
          <w:sz w:val="22"/>
          <w:szCs w:val="22"/>
        </w:rPr>
      </w:pPr>
      <w:r w:rsidRPr="00A648D1">
        <w:rPr>
          <w:rFonts w:ascii="Arial" w:hAnsi="Arial" w:cs="Arial"/>
          <w:sz w:val="22"/>
          <w:szCs w:val="22"/>
        </w:rPr>
        <w:t>Where reference to Disclosure is made throughout the Rulebook, that is to the term as defined in GLO.  As this Rulebook prescribes how the Regulator has set out the information and circumstances by which a Disclosure is to be made, where there is reference to the capitalised term Disclose throughout this Rulebook, this refers to the requirement and/or mechanism to disclose the Disclosure.</w:t>
      </w:r>
    </w:p>
    <w:p w14:paraId="6D736443" w14:textId="77777777" w:rsidR="007B224F" w:rsidRPr="00FB2F3D" w:rsidRDefault="00162E0C" w:rsidP="007B224F">
      <w:pPr>
        <w:pStyle w:val="Heading2"/>
        <w:rPr>
          <w:rFonts w:ascii="Arial" w:hAnsi="Arial" w:cs="Arial"/>
          <w:sz w:val="22"/>
          <w:szCs w:val="22"/>
        </w:rPr>
      </w:pPr>
      <w:bookmarkStart w:id="42" w:name="_Toc409521817"/>
      <w:bookmarkStart w:id="43" w:name="_Toc410136214"/>
      <w:bookmarkStart w:id="44" w:name="_Toc410605923"/>
      <w:bookmarkStart w:id="45" w:name="_Toc410658859"/>
      <w:bookmarkStart w:id="46" w:name="_Toc410658986"/>
      <w:bookmarkStart w:id="47" w:name="_Toc410835530"/>
      <w:bookmarkStart w:id="48" w:name="_Toc138325646"/>
      <w:r w:rsidRPr="00FB2F3D">
        <w:rPr>
          <w:rFonts w:ascii="Arial" w:hAnsi="Arial" w:cs="Arial"/>
          <w:sz w:val="22"/>
          <w:szCs w:val="22"/>
        </w:rPr>
        <w:t xml:space="preserve">Complaints against the </w:t>
      </w:r>
      <w:bookmarkEnd w:id="42"/>
      <w:bookmarkEnd w:id="43"/>
      <w:bookmarkEnd w:id="44"/>
      <w:bookmarkEnd w:id="45"/>
      <w:bookmarkEnd w:id="46"/>
      <w:bookmarkEnd w:id="47"/>
      <w:r w:rsidR="0035335F" w:rsidRPr="00FB2F3D">
        <w:rPr>
          <w:rFonts w:ascii="Arial" w:hAnsi="Arial" w:cs="Arial"/>
          <w:sz w:val="22"/>
          <w:szCs w:val="22"/>
        </w:rPr>
        <w:t>Regulator</w:t>
      </w:r>
      <w:bookmarkEnd w:id="48"/>
    </w:p>
    <w:p w14:paraId="7EDA4FB4" w14:textId="77777777" w:rsidR="007B224F" w:rsidRPr="00FB2F3D" w:rsidRDefault="00162E0C" w:rsidP="00F62DFC">
      <w:pPr>
        <w:pStyle w:val="Heading3"/>
        <w:rPr>
          <w:rFonts w:ascii="Arial" w:hAnsi="Arial" w:cs="Arial"/>
          <w:sz w:val="22"/>
          <w:szCs w:val="22"/>
        </w:rPr>
      </w:pPr>
      <w:r w:rsidRPr="00FB2F3D">
        <w:rPr>
          <w:rFonts w:ascii="Arial" w:hAnsi="Arial" w:cs="Arial"/>
          <w:sz w:val="22"/>
          <w:szCs w:val="22"/>
        </w:rPr>
        <w:t xml:space="preserve">A Person who feels he has been adversely affected by the manner in which the </w:t>
      </w:r>
      <w:r w:rsidR="0035335F" w:rsidRPr="00FB2F3D">
        <w:rPr>
          <w:rFonts w:ascii="Arial" w:hAnsi="Arial" w:cs="Arial"/>
          <w:sz w:val="22"/>
          <w:szCs w:val="22"/>
        </w:rPr>
        <w:t>Regulator</w:t>
      </w:r>
      <w:r w:rsidRPr="00FB2F3D">
        <w:rPr>
          <w:rFonts w:ascii="Arial" w:hAnsi="Arial" w:cs="Arial"/>
          <w:sz w:val="22"/>
          <w:szCs w:val="22"/>
        </w:rPr>
        <w:t xml:space="preserve"> has carried out its functions may make a complaint to the </w:t>
      </w:r>
      <w:r w:rsidR="00F62DFC" w:rsidRPr="00FB2F3D">
        <w:rPr>
          <w:rFonts w:ascii="Arial" w:hAnsi="Arial" w:cs="Arial"/>
          <w:sz w:val="22"/>
          <w:szCs w:val="22"/>
        </w:rPr>
        <w:t xml:space="preserve">Regulator </w:t>
      </w:r>
      <w:r w:rsidRPr="00FB2F3D">
        <w:rPr>
          <w:rFonts w:ascii="Arial" w:hAnsi="Arial" w:cs="Arial"/>
          <w:sz w:val="22"/>
          <w:szCs w:val="22"/>
        </w:rPr>
        <w:t>about its conduct or the conduct of its Employees.</w:t>
      </w:r>
    </w:p>
    <w:p w14:paraId="1830A5DA" w14:textId="77777777" w:rsidR="00162E0C" w:rsidRPr="00FB2F3D" w:rsidRDefault="00162E0C" w:rsidP="00F62DFC">
      <w:pPr>
        <w:pStyle w:val="Heading3"/>
        <w:rPr>
          <w:rFonts w:ascii="Arial" w:hAnsi="Arial" w:cs="Arial"/>
          <w:sz w:val="22"/>
          <w:szCs w:val="22"/>
        </w:rPr>
      </w:pPr>
      <w:r w:rsidRPr="00FB2F3D">
        <w:rPr>
          <w:rFonts w:ascii="Arial" w:hAnsi="Arial" w:cs="Arial"/>
          <w:sz w:val="22"/>
          <w:szCs w:val="22"/>
        </w:rPr>
        <w:t xml:space="preserve">A complaint must be in writing and should be addressed to the </w:t>
      </w:r>
      <w:r w:rsidR="00F62DFC" w:rsidRPr="00FB2F3D">
        <w:rPr>
          <w:rFonts w:ascii="Arial" w:hAnsi="Arial" w:cs="Arial"/>
          <w:sz w:val="22"/>
          <w:szCs w:val="22"/>
        </w:rPr>
        <w:t>Chief Executive</w:t>
      </w:r>
      <w:r w:rsidR="007B224F" w:rsidRPr="00FB2F3D">
        <w:rPr>
          <w:rFonts w:ascii="Arial" w:hAnsi="Arial" w:cs="Arial"/>
          <w:sz w:val="22"/>
          <w:szCs w:val="22"/>
        </w:rPr>
        <w:t xml:space="preserve"> of the </w:t>
      </w:r>
      <w:r w:rsidR="00F62DFC" w:rsidRPr="00FB2F3D">
        <w:rPr>
          <w:rFonts w:ascii="Arial" w:hAnsi="Arial" w:cs="Arial"/>
          <w:sz w:val="22"/>
          <w:szCs w:val="22"/>
        </w:rPr>
        <w:t>Regulator</w:t>
      </w:r>
      <w:r w:rsidRPr="00FB2F3D">
        <w:rPr>
          <w:rFonts w:ascii="Arial" w:hAnsi="Arial" w:cs="Arial"/>
          <w:sz w:val="22"/>
          <w:szCs w:val="22"/>
        </w:rPr>
        <w:t>. The complaint will be dealt with by the</w:t>
      </w:r>
      <w:r w:rsidR="007B224F" w:rsidRPr="00FB2F3D">
        <w:rPr>
          <w:rFonts w:ascii="Arial" w:hAnsi="Arial" w:cs="Arial"/>
          <w:sz w:val="22"/>
          <w:szCs w:val="22"/>
        </w:rPr>
        <w:t xml:space="preserve"> </w:t>
      </w:r>
      <w:r w:rsidR="00F62DFC" w:rsidRPr="00FB2F3D">
        <w:rPr>
          <w:rFonts w:ascii="Arial" w:hAnsi="Arial" w:cs="Arial"/>
          <w:sz w:val="22"/>
          <w:szCs w:val="22"/>
        </w:rPr>
        <w:t>Regulator</w:t>
      </w:r>
      <w:r w:rsidRPr="00FB2F3D">
        <w:rPr>
          <w:rFonts w:ascii="Arial" w:hAnsi="Arial" w:cs="Arial"/>
          <w:sz w:val="22"/>
          <w:szCs w:val="22"/>
        </w:rPr>
        <w:t xml:space="preserve"> in a timely manner.</w:t>
      </w:r>
    </w:p>
    <w:p w14:paraId="1D57609B" w14:textId="77777777" w:rsidR="00892AFD" w:rsidRPr="00FB2F3D" w:rsidRDefault="00892AFD" w:rsidP="00892AFD">
      <w:pPr>
        <w:pStyle w:val="Heading1"/>
        <w:rPr>
          <w:rFonts w:ascii="Arial" w:hAnsi="Arial" w:cs="Arial"/>
          <w:sz w:val="22"/>
          <w:szCs w:val="22"/>
        </w:rPr>
      </w:pPr>
      <w:bookmarkStart w:id="49" w:name="_Toc409521866"/>
      <w:bookmarkStart w:id="50" w:name="_Ref410049152"/>
      <w:bookmarkStart w:id="51" w:name="_Ref410075305"/>
      <w:bookmarkStart w:id="52" w:name="_Toc410136263"/>
      <w:bookmarkStart w:id="53" w:name="_Toc410605972"/>
      <w:bookmarkStart w:id="54" w:name="_Toc410658908"/>
      <w:bookmarkStart w:id="55" w:name="_Toc410659035"/>
      <w:bookmarkStart w:id="56" w:name="_Ref410664840"/>
      <w:bookmarkStart w:id="57" w:name="_Toc410835582"/>
      <w:bookmarkStart w:id="58" w:name="_Ref416750639"/>
      <w:bookmarkStart w:id="59" w:name="_Toc138325647"/>
      <w:bookmarkStart w:id="60" w:name="_Toc409521818"/>
      <w:bookmarkStart w:id="61" w:name="_Ref410049125"/>
      <w:bookmarkStart w:id="62" w:name="_Ref410074210"/>
      <w:bookmarkStart w:id="63" w:name="_Ref410075202"/>
      <w:bookmarkStart w:id="64" w:name="_Ref410075440"/>
      <w:bookmarkStart w:id="65" w:name="_Toc410136215"/>
      <w:bookmarkStart w:id="66" w:name="_Toc410605924"/>
      <w:bookmarkStart w:id="67" w:name="_Toc410658860"/>
      <w:bookmarkStart w:id="68" w:name="_Toc410658987"/>
      <w:bookmarkStart w:id="69" w:name="_Ref410664631"/>
      <w:bookmarkStart w:id="70" w:name="_Ref410668563"/>
      <w:bookmarkStart w:id="71" w:name="_Ref410670837"/>
      <w:bookmarkStart w:id="72" w:name="_Ref410670845"/>
      <w:bookmarkStart w:id="73" w:name="_Toc410835531"/>
      <w:bookmarkStart w:id="74" w:name="_Ref416750319"/>
      <w:bookmarkStart w:id="75" w:name="_Ref416751323"/>
      <w:bookmarkStart w:id="76" w:name="_Ref416751417"/>
      <w:r w:rsidRPr="00FB2F3D">
        <w:rPr>
          <w:rFonts w:ascii="Arial" w:hAnsi="Arial" w:cs="Arial"/>
          <w:sz w:val="22"/>
          <w:szCs w:val="22"/>
        </w:rPr>
        <w:t>THE LISTING RULES</w:t>
      </w:r>
      <w:bookmarkEnd w:id="49"/>
      <w:bookmarkEnd w:id="50"/>
      <w:bookmarkEnd w:id="51"/>
      <w:bookmarkEnd w:id="52"/>
      <w:bookmarkEnd w:id="53"/>
      <w:bookmarkEnd w:id="54"/>
      <w:bookmarkEnd w:id="55"/>
      <w:bookmarkEnd w:id="56"/>
      <w:bookmarkEnd w:id="57"/>
      <w:bookmarkEnd w:id="58"/>
      <w:bookmarkEnd w:id="59"/>
    </w:p>
    <w:p w14:paraId="3C21EDEE" w14:textId="77777777" w:rsidR="00892AFD" w:rsidRPr="00FB2F3D" w:rsidRDefault="00892AFD" w:rsidP="00892AFD">
      <w:pPr>
        <w:pStyle w:val="Heading2"/>
        <w:rPr>
          <w:rFonts w:ascii="Arial" w:hAnsi="Arial" w:cs="Arial"/>
          <w:sz w:val="22"/>
          <w:szCs w:val="22"/>
        </w:rPr>
      </w:pPr>
      <w:bookmarkStart w:id="77" w:name="_Toc409521867"/>
      <w:bookmarkStart w:id="78" w:name="_Toc410136264"/>
      <w:bookmarkStart w:id="79" w:name="_Toc410605973"/>
      <w:bookmarkStart w:id="80" w:name="_Toc410658909"/>
      <w:bookmarkStart w:id="81" w:name="_Toc410659036"/>
      <w:bookmarkStart w:id="82" w:name="_Toc410835583"/>
      <w:bookmarkStart w:id="83" w:name="_Toc138325648"/>
      <w:r w:rsidRPr="00FB2F3D">
        <w:rPr>
          <w:rFonts w:ascii="Arial" w:hAnsi="Arial" w:cs="Arial"/>
          <w:sz w:val="22"/>
          <w:szCs w:val="22"/>
        </w:rPr>
        <w:t>Application</w:t>
      </w:r>
      <w:bookmarkEnd w:id="77"/>
      <w:bookmarkEnd w:id="78"/>
      <w:bookmarkEnd w:id="79"/>
      <w:bookmarkEnd w:id="80"/>
      <w:bookmarkEnd w:id="81"/>
      <w:bookmarkEnd w:id="82"/>
      <w:bookmarkEnd w:id="83"/>
    </w:p>
    <w:p w14:paraId="7CB19235" w14:textId="77777777" w:rsidR="00892AFD" w:rsidRPr="00FB2F3D" w:rsidRDefault="00892AFD" w:rsidP="00892AFD">
      <w:pPr>
        <w:pStyle w:val="Heading3"/>
        <w:keepNext/>
        <w:ind w:left="1440" w:hanging="1440"/>
        <w:rPr>
          <w:rFonts w:ascii="Arial" w:hAnsi="Arial" w:cs="Arial"/>
          <w:sz w:val="22"/>
          <w:szCs w:val="22"/>
        </w:rPr>
      </w:pPr>
      <w:r w:rsidRPr="00FB2F3D">
        <w:rPr>
          <w:rFonts w:ascii="Arial" w:hAnsi="Arial" w:cs="Arial"/>
          <w:sz w:val="22"/>
          <w:szCs w:val="22"/>
        </w:rPr>
        <w:t>This chapter applies to every:</w:t>
      </w:r>
    </w:p>
    <w:p w14:paraId="4342F7C9" w14:textId="77777777" w:rsidR="00892AFD" w:rsidRPr="00FB2F3D" w:rsidRDefault="00892AFD" w:rsidP="00F62DFC">
      <w:pPr>
        <w:pStyle w:val="Heading5"/>
        <w:tabs>
          <w:tab w:val="clear" w:pos="2160"/>
          <w:tab w:val="num" w:pos="1440"/>
        </w:tabs>
        <w:ind w:left="1440"/>
        <w:rPr>
          <w:rFonts w:ascii="Arial" w:hAnsi="Arial" w:cs="Arial"/>
          <w:sz w:val="22"/>
          <w:szCs w:val="22"/>
        </w:rPr>
      </w:pPr>
      <w:r w:rsidRPr="00FB2F3D">
        <w:rPr>
          <w:rFonts w:ascii="Arial" w:hAnsi="Arial" w:cs="Arial"/>
          <w:sz w:val="22"/>
          <w:szCs w:val="22"/>
        </w:rPr>
        <w:t>Listed Entity; and</w:t>
      </w:r>
    </w:p>
    <w:p w14:paraId="7B28AFA9" w14:textId="100595B7" w:rsidR="00892AFD" w:rsidRPr="00FB2F3D" w:rsidRDefault="00892AFD" w:rsidP="00F62DFC">
      <w:pPr>
        <w:pStyle w:val="Heading5"/>
        <w:tabs>
          <w:tab w:val="clear" w:pos="2160"/>
          <w:tab w:val="num" w:pos="1440"/>
        </w:tabs>
        <w:ind w:left="1440"/>
        <w:rPr>
          <w:rFonts w:ascii="Arial" w:hAnsi="Arial" w:cs="Arial"/>
          <w:sz w:val="22"/>
          <w:szCs w:val="22"/>
          <w:lang w:eastAsia="ja-JP"/>
        </w:rPr>
      </w:pPr>
      <w:r w:rsidRPr="00FB2F3D">
        <w:rPr>
          <w:rFonts w:ascii="Arial" w:hAnsi="Arial" w:cs="Arial"/>
          <w:sz w:val="22"/>
          <w:szCs w:val="22"/>
        </w:rPr>
        <w:t>Applicant for admission of Securities to the Official List.</w:t>
      </w:r>
    </w:p>
    <w:p w14:paraId="62E7D7D6"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735006E1" w14:textId="77777777" w:rsidR="00892AFD" w:rsidRPr="00FB2F3D" w:rsidRDefault="00892AFD" w:rsidP="00755725">
      <w:pPr>
        <w:pStyle w:val="GuidanceNotesnumbering"/>
        <w:numPr>
          <w:ilvl w:val="0"/>
          <w:numId w:val="47"/>
        </w:numPr>
        <w:rPr>
          <w:rFonts w:ascii="Arial" w:hAnsi="Arial" w:cs="Arial"/>
          <w:sz w:val="22"/>
          <w:szCs w:val="22"/>
        </w:rPr>
      </w:pPr>
      <w:r w:rsidRPr="00FB2F3D">
        <w:rPr>
          <w:rFonts w:ascii="Arial" w:hAnsi="Arial" w:cs="Arial"/>
          <w:sz w:val="22"/>
          <w:szCs w:val="22"/>
        </w:rPr>
        <w:t>Listed Entities should note that some of the Listing Rules are Security</w:t>
      </w:r>
      <w:r w:rsidRPr="00FB2F3D">
        <w:rPr>
          <w:rFonts w:ascii="Arial" w:hAnsi="Arial" w:cs="Arial"/>
          <w:sz w:val="22"/>
          <w:szCs w:val="22"/>
        </w:rPr>
        <w:noBreakHyphen/>
        <w:t>specific and many apply exclusively to Issuers of Shares.</w:t>
      </w:r>
    </w:p>
    <w:p w14:paraId="6024D348" w14:textId="1C999E7B"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 xml:space="preserve">The Regulator may waive or modify one or more requirements of this chapter for Issuers of </w:t>
      </w:r>
      <w:r w:rsidR="00BB4557">
        <w:rPr>
          <w:rFonts w:ascii="Arial" w:hAnsi="Arial" w:cs="Arial"/>
          <w:sz w:val="22"/>
          <w:szCs w:val="22"/>
        </w:rPr>
        <w:t>Debenture</w:t>
      </w:r>
      <w:r w:rsidRPr="00FB2F3D">
        <w:rPr>
          <w:rFonts w:ascii="Arial" w:hAnsi="Arial" w:cs="Arial"/>
          <w:sz w:val="22"/>
          <w:szCs w:val="22"/>
        </w:rPr>
        <w:t xml:space="preserve"> or </w:t>
      </w:r>
      <w:r w:rsidR="00BB4557">
        <w:rPr>
          <w:rFonts w:ascii="Arial" w:hAnsi="Arial" w:cs="Arial"/>
          <w:sz w:val="22"/>
          <w:szCs w:val="22"/>
        </w:rPr>
        <w:t>E</w:t>
      </w:r>
      <w:r w:rsidRPr="00FB2F3D">
        <w:rPr>
          <w:rFonts w:ascii="Arial" w:hAnsi="Arial" w:cs="Arial"/>
          <w:sz w:val="22"/>
          <w:szCs w:val="22"/>
        </w:rPr>
        <w:t>quity Securities where appropriate</w:t>
      </w:r>
      <w:r w:rsidR="00BB4557">
        <w:rPr>
          <w:rFonts w:ascii="Arial" w:hAnsi="Arial" w:cs="Arial"/>
          <w:sz w:val="22"/>
          <w:szCs w:val="22"/>
        </w:rPr>
        <w:t>,</w:t>
      </w:r>
      <w:r w:rsidRPr="00FB2F3D">
        <w:rPr>
          <w:rFonts w:ascii="Arial" w:hAnsi="Arial" w:cs="Arial"/>
          <w:sz w:val="22"/>
          <w:szCs w:val="22"/>
        </w:rPr>
        <w:t xml:space="preserve"> provided such waiver or modification would not unduly prejudice holders of the Issuer's Securities.</w:t>
      </w:r>
    </w:p>
    <w:p w14:paraId="7FCA6092" w14:textId="77777777" w:rsidR="00892AFD" w:rsidRPr="00FB2F3D" w:rsidRDefault="00892AFD" w:rsidP="00F62DFC">
      <w:pPr>
        <w:pStyle w:val="GuidanceNotesnumbering"/>
        <w:rPr>
          <w:rFonts w:ascii="Arial" w:hAnsi="Arial" w:cs="Arial"/>
          <w:sz w:val="22"/>
          <w:szCs w:val="22"/>
        </w:rPr>
      </w:pPr>
      <w:r w:rsidRPr="00FB2F3D">
        <w:rPr>
          <w:rFonts w:ascii="Arial" w:hAnsi="Arial" w:cs="Arial"/>
          <w:sz w:val="22"/>
          <w:szCs w:val="22"/>
        </w:rPr>
        <w:t xml:space="preserve">The Regulator may waive or modify one or more requirements of </w:t>
      </w:r>
      <w:r w:rsidR="00F62DFC" w:rsidRPr="00FB2F3D">
        <w:rPr>
          <w:rFonts w:ascii="Arial" w:hAnsi="Arial" w:cs="Arial"/>
          <w:sz w:val="22"/>
          <w:szCs w:val="22"/>
        </w:rPr>
        <w:t xml:space="preserve">this chapter for an Issuer of </w:t>
      </w:r>
      <w:r w:rsidRPr="00FB2F3D">
        <w:rPr>
          <w:rFonts w:ascii="Arial" w:hAnsi="Arial" w:cs="Arial"/>
          <w:sz w:val="22"/>
          <w:szCs w:val="22"/>
        </w:rPr>
        <w:t xml:space="preserve">secondary </w:t>
      </w:r>
      <w:r w:rsidR="00F62DFC" w:rsidRPr="00FB2F3D">
        <w:rPr>
          <w:rFonts w:ascii="Arial" w:hAnsi="Arial" w:cs="Arial"/>
          <w:sz w:val="22"/>
          <w:szCs w:val="22"/>
        </w:rPr>
        <w:t>Listed Securities</w:t>
      </w:r>
      <w:r w:rsidRPr="00FB2F3D">
        <w:rPr>
          <w:rFonts w:ascii="Arial" w:hAnsi="Arial" w:cs="Arial"/>
          <w:sz w:val="22"/>
          <w:szCs w:val="22"/>
        </w:rPr>
        <w:t xml:space="preserve"> if:</w:t>
      </w:r>
    </w:p>
    <w:p w14:paraId="11E7C511" w14:textId="0FABD370" w:rsidR="00892AFD" w:rsidRPr="00FB2F3D" w:rsidRDefault="00892AFD" w:rsidP="00892AFD">
      <w:pPr>
        <w:pStyle w:val="GuidanceNotesnumbering"/>
        <w:numPr>
          <w:ilvl w:val="1"/>
          <w:numId w:val="30"/>
        </w:numPr>
        <w:rPr>
          <w:rFonts w:ascii="Arial" w:hAnsi="Arial" w:cs="Arial"/>
          <w:sz w:val="22"/>
          <w:szCs w:val="22"/>
        </w:rPr>
      </w:pPr>
      <w:r w:rsidRPr="00FB2F3D">
        <w:rPr>
          <w:rFonts w:ascii="Arial" w:hAnsi="Arial" w:cs="Arial"/>
          <w:sz w:val="22"/>
          <w:szCs w:val="22"/>
        </w:rPr>
        <w:lastRenderedPageBreak/>
        <w:t>the Issuer is from a jurisdiction acceptable to the Regulator</w:t>
      </w:r>
      <w:r w:rsidR="00BB4557">
        <w:rPr>
          <w:rFonts w:ascii="Arial" w:hAnsi="Arial" w:cs="Arial"/>
          <w:sz w:val="22"/>
          <w:szCs w:val="22"/>
        </w:rPr>
        <w:t xml:space="preserve">, due to </w:t>
      </w:r>
      <w:r w:rsidRPr="00FB2F3D">
        <w:rPr>
          <w:rFonts w:ascii="Arial" w:hAnsi="Arial" w:cs="Arial"/>
          <w:sz w:val="22"/>
          <w:szCs w:val="22"/>
        </w:rPr>
        <w:t>the regulatory regime</w:t>
      </w:r>
      <w:r w:rsidR="00BB4557">
        <w:rPr>
          <w:rFonts w:ascii="Arial" w:hAnsi="Arial" w:cs="Arial"/>
          <w:sz w:val="22"/>
          <w:szCs w:val="22"/>
        </w:rPr>
        <w:t>,</w:t>
      </w:r>
      <w:r w:rsidRPr="00FB2F3D">
        <w:rPr>
          <w:rFonts w:ascii="Arial" w:hAnsi="Arial" w:cs="Arial"/>
          <w:sz w:val="22"/>
          <w:szCs w:val="22"/>
        </w:rPr>
        <w:t xml:space="preserve"> as it applies to </w:t>
      </w:r>
      <w:r w:rsidR="00BB4557">
        <w:rPr>
          <w:rFonts w:ascii="Arial" w:hAnsi="Arial" w:cs="Arial"/>
          <w:sz w:val="22"/>
          <w:szCs w:val="22"/>
        </w:rPr>
        <w:t xml:space="preserve">its primary </w:t>
      </w:r>
      <w:r w:rsidRPr="00FB2F3D">
        <w:rPr>
          <w:rFonts w:ascii="Arial" w:hAnsi="Arial" w:cs="Arial"/>
          <w:sz w:val="22"/>
          <w:szCs w:val="22"/>
        </w:rPr>
        <w:t xml:space="preserve">listing </w:t>
      </w:r>
      <w:r w:rsidR="00BB4557">
        <w:rPr>
          <w:rFonts w:ascii="Arial" w:hAnsi="Arial" w:cs="Arial"/>
          <w:sz w:val="22"/>
          <w:szCs w:val="22"/>
        </w:rPr>
        <w:t>being</w:t>
      </w:r>
      <w:r w:rsidRPr="00FB2F3D">
        <w:rPr>
          <w:rFonts w:ascii="Arial" w:hAnsi="Arial" w:cs="Arial"/>
          <w:sz w:val="22"/>
          <w:szCs w:val="22"/>
        </w:rPr>
        <w:t xml:space="preserve"> broadly equivalent to the regulatory regime</w:t>
      </w:r>
      <w:r w:rsidR="00BB4557">
        <w:rPr>
          <w:rFonts w:ascii="Arial" w:hAnsi="Arial" w:cs="Arial"/>
          <w:sz w:val="22"/>
          <w:szCs w:val="22"/>
        </w:rPr>
        <w:t xml:space="preserve"> applying in ADGM</w:t>
      </w:r>
      <w:r w:rsidRPr="00FB2F3D">
        <w:rPr>
          <w:rFonts w:ascii="Arial" w:hAnsi="Arial" w:cs="Arial"/>
          <w:sz w:val="22"/>
          <w:szCs w:val="22"/>
        </w:rPr>
        <w:t>;</w:t>
      </w:r>
    </w:p>
    <w:p w14:paraId="037FD2C1" w14:textId="77777777" w:rsidR="00892AFD" w:rsidRPr="00FB2F3D" w:rsidRDefault="00892AFD" w:rsidP="00F62DFC">
      <w:pPr>
        <w:pStyle w:val="GuidanceNotesnumbering"/>
        <w:numPr>
          <w:ilvl w:val="1"/>
          <w:numId w:val="30"/>
        </w:numPr>
        <w:rPr>
          <w:rFonts w:ascii="Arial" w:hAnsi="Arial" w:cs="Arial"/>
          <w:sz w:val="22"/>
          <w:szCs w:val="22"/>
        </w:rPr>
      </w:pPr>
      <w:r w:rsidRPr="00FB2F3D">
        <w:rPr>
          <w:rFonts w:ascii="Arial" w:hAnsi="Arial" w:cs="Arial"/>
          <w:sz w:val="22"/>
          <w:szCs w:val="22"/>
        </w:rPr>
        <w:t>adequate arrangements exist, or will exist, for co</w:t>
      </w:r>
      <w:r w:rsidRPr="00FB2F3D">
        <w:rPr>
          <w:rFonts w:ascii="Arial" w:hAnsi="Arial" w:cs="Arial"/>
          <w:sz w:val="22"/>
          <w:szCs w:val="22"/>
        </w:rPr>
        <w:noBreakHyphen/>
        <w:t xml:space="preserve">operation between the Regulator and </w:t>
      </w:r>
      <w:r w:rsidR="00F62DFC" w:rsidRPr="00FB2F3D">
        <w:rPr>
          <w:rFonts w:ascii="Arial" w:hAnsi="Arial" w:cs="Arial"/>
          <w:sz w:val="22"/>
          <w:szCs w:val="22"/>
        </w:rPr>
        <w:t xml:space="preserve">the </w:t>
      </w:r>
      <w:r w:rsidRPr="00FB2F3D">
        <w:rPr>
          <w:rFonts w:ascii="Arial" w:hAnsi="Arial" w:cs="Arial"/>
          <w:sz w:val="22"/>
          <w:szCs w:val="22"/>
        </w:rPr>
        <w:t xml:space="preserve">other Person responsible for regulating the Regulated Exchange on which the Securities are listed on a primary listing basis or for regulating listed </w:t>
      </w:r>
      <w:r w:rsidR="00F62DFC" w:rsidRPr="00FB2F3D">
        <w:rPr>
          <w:rFonts w:ascii="Arial" w:hAnsi="Arial" w:cs="Arial"/>
          <w:sz w:val="22"/>
          <w:szCs w:val="22"/>
        </w:rPr>
        <w:t>entities</w:t>
      </w:r>
      <w:r w:rsidRPr="00FB2F3D">
        <w:rPr>
          <w:rFonts w:ascii="Arial" w:hAnsi="Arial" w:cs="Arial"/>
          <w:sz w:val="22"/>
          <w:szCs w:val="22"/>
        </w:rPr>
        <w:t xml:space="preserve"> in the jurisdiction where the Securities are listed on a primary listing basis; and</w:t>
      </w:r>
    </w:p>
    <w:p w14:paraId="59C4E4B8" w14:textId="77777777" w:rsidR="00892AFD" w:rsidRPr="00FB2F3D" w:rsidRDefault="00892AFD" w:rsidP="00892AFD">
      <w:pPr>
        <w:pStyle w:val="GuidanceNotesnumbering"/>
        <w:numPr>
          <w:ilvl w:val="1"/>
          <w:numId w:val="30"/>
        </w:numPr>
        <w:rPr>
          <w:rFonts w:ascii="Arial" w:hAnsi="Arial" w:cs="Arial"/>
          <w:sz w:val="22"/>
          <w:szCs w:val="22"/>
        </w:rPr>
      </w:pPr>
      <w:r w:rsidRPr="00FB2F3D">
        <w:rPr>
          <w:rFonts w:ascii="Arial" w:hAnsi="Arial" w:cs="Arial"/>
          <w:sz w:val="22"/>
          <w:szCs w:val="22"/>
        </w:rPr>
        <w:t>holders of the Issuer's Shares would not be unduly prejudiced by the waiver or modification.</w:t>
      </w:r>
    </w:p>
    <w:p w14:paraId="71873FEE" w14:textId="77777777" w:rsidR="00892AFD" w:rsidRPr="00FB2F3D" w:rsidRDefault="00892AFD" w:rsidP="00F62DFC">
      <w:pPr>
        <w:pStyle w:val="GuidanceNotesnumbering"/>
        <w:rPr>
          <w:rFonts w:ascii="Arial" w:hAnsi="Arial" w:cs="Arial"/>
          <w:sz w:val="22"/>
          <w:szCs w:val="22"/>
        </w:rPr>
      </w:pPr>
      <w:r w:rsidRPr="00FB2F3D">
        <w:rPr>
          <w:rFonts w:ascii="Arial" w:hAnsi="Arial" w:cs="Arial"/>
          <w:sz w:val="22"/>
          <w:szCs w:val="22"/>
        </w:rPr>
        <w:t xml:space="preserve">The Regulator may also modify one or more requirements of this chapter for an Exempt Offeror who wishes to voluntarily comply with the Listing Rules in order to include its Securities on the Official List and thereby seek admission to trading on a Recognised </w:t>
      </w:r>
      <w:r w:rsidR="00F62DFC" w:rsidRPr="00FB2F3D">
        <w:rPr>
          <w:rFonts w:ascii="Arial" w:hAnsi="Arial" w:cs="Arial"/>
          <w:sz w:val="22"/>
          <w:szCs w:val="22"/>
        </w:rPr>
        <w:t>Investment Exchange</w:t>
      </w:r>
      <w:r w:rsidRPr="00FB2F3D">
        <w:rPr>
          <w:rFonts w:ascii="Arial" w:hAnsi="Arial" w:cs="Arial"/>
          <w:sz w:val="22"/>
          <w:szCs w:val="22"/>
        </w:rPr>
        <w:t xml:space="preserve">. Without such a modification an Exempt Offeror cannot have its Securities included in the Official List. This is because section 50(3) of the FSMR requires that a Recognised </w:t>
      </w:r>
      <w:r w:rsidR="00F62DFC" w:rsidRPr="00FB2F3D">
        <w:rPr>
          <w:rFonts w:ascii="Arial" w:hAnsi="Arial" w:cs="Arial"/>
          <w:sz w:val="22"/>
          <w:szCs w:val="22"/>
        </w:rPr>
        <w:t>Investment Exchange</w:t>
      </w:r>
      <w:r w:rsidRPr="00FB2F3D">
        <w:rPr>
          <w:rFonts w:ascii="Arial" w:hAnsi="Arial" w:cs="Arial"/>
          <w:sz w:val="22"/>
          <w:szCs w:val="22"/>
        </w:rPr>
        <w:t xml:space="preserve"> shall not permit trading of Securities on its facilities unless those Securities are admitted to, and not suspended from, the Official List.</w:t>
      </w:r>
    </w:p>
    <w:p w14:paraId="6CAC8C89" w14:textId="658AFF57" w:rsidR="00892AFD" w:rsidRPr="00FB2F3D" w:rsidRDefault="00892AFD" w:rsidP="00F62DFC">
      <w:pPr>
        <w:pStyle w:val="GuidanceNotesnumbering"/>
        <w:rPr>
          <w:rFonts w:ascii="Arial" w:hAnsi="Arial" w:cs="Arial"/>
          <w:sz w:val="22"/>
          <w:szCs w:val="22"/>
        </w:rPr>
      </w:pPr>
      <w:r w:rsidRPr="00FB2F3D">
        <w:rPr>
          <w:rFonts w:ascii="Arial" w:hAnsi="Arial" w:cs="Arial"/>
          <w:sz w:val="22"/>
          <w:szCs w:val="22"/>
        </w:rPr>
        <w:t>The Regulator is aware that the timing of admittance to trading may not always coincide with the</w:t>
      </w:r>
      <w:r w:rsidRPr="00FB2F3D">
        <w:rPr>
          <w:rFonts w:ascii="Arial" w:hAnsi="Arial" w:cs="Arial"/>
          <w:sz w:val="22"/>
          <w:szCs w:val="22"/>
          <w:lang w:eastAsia="ja-JP"/>
        </w:rPr>
        <w:t xml:space="preserve"> </w:t>
      </w:r>
      <w:r w:rsidRPr="00FB2F3D">
        <w:rPr>
          <w:rFonts w:ascii="Arial" w:hAnsi="Arial" w:cs="Arial"/>
          <w:sz w:val="22"/>
          <w:szCs w:val="22"/>
        </w:rPr>
        <w:t>process</w:t>
      </w:r>
      <w:r w:rsidR="00BB4557">
        <w:rPr>
          <w:rFonts w:ascii="Arial" w:hAnsi="Arial" w:cs="Arial"/>
          <w:sz w:val="22"/>
          <w:szCs w:val="22"/>
        </w:rPr>
        <w:t xml:space="preserve"> for admission of Securities to the Official List</w:t>
      </w:r>
      <w:r w:rsidRPr="00FB2F3D">
        <w:rPr>
          <w:rFonts w:ascii="Arial" w:hAnsi="Arial" w:cs="Arial"/>
          <w:sz w:val="22"/>
          <w:szCs w:val="22"/>
        </w:rPr>
        <w:t>. However, in practice, the Regulator will generally provide the</w:t>
      </w:r>
      <w:r w:rsidRPr="00FB2F3D">
        <w:rPr>
          <w:rFonts w:ascii="Arial" w:hAnsi="Arial" w:cs="Arial"/>
          <w:sz w:val="22"/>
          <w:szCs w:val="22"/>
          <w:lang w:eastAsia="ja-JP"/>
        </w:rPr>
        <w:t xml:space="preserve"> </w:t>
      </w:r>
      <w:r w:rsidRPr="00FB2F3D">
        <w:rPr>
          <w:rFonts w:ascii="Arial" w:hAnsi="Arial" w:cs="Arial"/>
          <w:sz w:val="22"/>
          <w:szCs w:val="22"/>
        </w:rPr>
        <w:t>Applicant with a notice of admi</w:t>
      </w:r>
      <w:r w:rsidR="00BB4557">
        <w:rPr>
          <w:rFonts w:ascii="Arial" w:hAnsi="Arial" w:cs="Arial"/>
          <w:sz w:val="22"/>
          <w:szCs w:val="22"/>
        </w:rPr>
        <w:t>ssion</w:t>
      </w:r>
      <w:r w:rsidRPr="00FB2F3D">
        <w:rPr>
          <w:rFonts w:ascii="Arial" w:hAnsi="Arial" w:cs="Arial"/>
          <w:sz w:val="22"/>
          <w:szCs w:val="22"/>
        </w:rPr>
        <w:t xml:space="preserve"> to the </w:t>
      </w:r>
      <w:r w:rsidR="00F62DFC" w:rsidRPr="00FB2F3D">
        <w:rPr>
          <w:rFonts w:ascii="Arial" w:hAnsi="Arial" w:cs="Arial"/>
          <w:sz w:val="22"/>
          <w:szCs w:val="22"/>
        </w:rPr>
        <w:t xml:space="preserve">Official </w:t>
      </w:r>
      <w:r w:rsidRPr="00FB2F3D">
        <w:rPr>
          <w:rFonts w:ascii="Arial" w:hAnsi="Arial" w:cs="Arial"/>
          <w:sz w:val="22"/>
          <w:szCs w:val="22"/>
        </w:rPr>
        <w:t>List on condition of a successful admi</w:t>
      </w:r>
      <w:r w:rsidR="00BB4557">
        <w:rPr>
          <w:rFonts w:ascii="Arial" w:hAnsi="Arial" w:cs="Arial"/>
          <w:sz w:val="22"/>
          <w:szCs w:val="22"/>
        </w:rPr>
        <w:t xml:space="preserve">ssion </w:t>
      </w:r>
      <w:r w:rsidRPr="00FB2F3D">
        <w:rPr>
          <w:rFonts w:ascii="Arial" w:hAnsi="Arial" w:cs="Arial"/>
          <w:sz w:val="22"/>
          <w:szCs w:val="22"/>
        </w:rPr>
        <w:t xml:space="preserve">to trading on a Recognised </w:t>
      </w:r>
      <w:r w:rsidR="00F62DFC" w:rsidRPr="00FB2F3D">
        <w:rPr>
          <w:rFonts w:ascii="Arial" w:hAnsi="Arial" w:cs="Arial"/>
          <w:sz w:val="22"/>
          <w:szCs w:val="22"/>
        </w:rPr>
        <w:t>Investment Exchange</w:t>
      </w:r>
      <w:r w:rsidRPr="00FB2F3D">
        <w:rPr>
          <w:rFonts w:ascii="Arial" w:hAnsi="Arial" w:cs="Arial"/>
          <w:sz w:val="22"/>
          <w:szCs w:val="22"/>
        </w:rPr>
        <w:t xml:space="preserve"> within a specified period. This notice of adm</w:t>
      </w:r>
      <w:r w:rsidR="00BB4557">
        <w:rPr>
          <w:rFonts w:ascii="Arial" w:hAnsi="Arial" w:cs="Arial"/>
          <w:sz w:val="22"/>
          <w:szCs w:val="22"/>
        </w:rPr>
        <w:t>ission</w:t>
      </w:r>
      <w:r w:rsidRPr="00FB2F3D">
        <w:rPr>
          <w:rFonts w:ascii="Arial" w:hAnsi="Arial" w:cs="Arial"/>
          <w:sz w:val="22"/>
          <w:szCs w:val="22"/>
        </w:rPr>
        <w:t xml:space="preserve"> can be provided to the relevant Recognised </w:t>
      </w:r>
      <w:r w:rsidR="00F62DFC" w:rsidRPr="00FB2F3D">
        <w:rPr>
          <w:rFonts w:ascii="Arial" w:hAnsi="Arial" w:cs="Arial"/>
          <w:sz w:val="22"/>
          <w:szCs w:val="22"/>
        </w:rPr>
        <w:t>Investment Exchange</w:t>
      </w:r>
      <w:r w:rsidRPr="00FB2F3D">
        <w:rPr>
          <w:rFonts w:ascii="Arial" w:hAnsi="Arial" w:cs="Arial"/>
          <w:sz w:val="22"/>
          <w:szCs w:val="22"/>
        </w:rPr>
        <w:t xml:space="preserve"> when seeking admission to trading on </w:t>
      </w:r>
      <w:r w:rsidR="00BB4557">
        <w:rPr>
          <w:rFonts w:ascii="Arial" w:hAnsi="Arial" w:cs="Arial"/>
          <w:sz w:val="22"/>
          <w:szCs w:val="22"/>
        </w:rPr>
        <w:t>the</w:t>
      </w:r>
      <w:r w:rsidRPr="00FB2F3D">
        <w:rPr>
          <w:rFonts w:ascii="Arial" w:hAnsi="Arial" w:cs="Arial"/>
          <w:sz w:val="22"/>
          <w:szCs w:val="22"/>
        </w:rPr>
        <w:t xml:space="preserve"> Recognised </w:t>
      </w:r>
      <w:r w:rsidR="00BB4557">
        <w:rPr>
          <w:rFonts w:ascii="Arial" w:hAnsi="Arial" w:cs="Arial"/>
          <w:sz w:val="22"/>
          <w:szCs w:val="22"/>
        </w:rPr>
        <w:t>Investment Exchange</w:t>
      </w:r>
      <w:r w:rsidRPr="00FB2F3D">
        <w:rPr>
          <w:rFonts w:ascii="Arial" w:hAnsi="Arial" w:cs="Arial"/>
          <w:sz w:val="22"/>
          <w:szCs w:val="22"/>
        </w:rPr>
        <w:t xml:space="preserve">. At all relevant times the Regulator expects to be in contact with the relevant Recognised </w:t>
      </w:r>
      <w:r w:rsidR="00BB4557">
        <w:rPr>
          <w:rFonts w:ascii="Arial" w:hAnsi="Arial" w:cs="Arial"/>
          <w:sz w:val="22"/>
          <w:szCs w:val="22"/>
        </w:rPr>
        <w:t>Investment Exchange</w:t>
      </w:r>
      <w:r w:rsidRPr="00FB2F3D">
        <w:rPr>
          <w:rFonts w:ascii="Arial" w:hAnsi="Arial" w:cs="Arial"/>
          <w:sz w:val="22"/>
          <w:szCs w:val="22"/>
        </w:rPr>
        <w:t xml:space="preserve"> on which the Securities are to be admitted to trading.</w:t>
      </w:r>
    </w:p>
    <w:p w14:paraId="3298665F" w14:textId="3ED696C4"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 xml:space="preserve">The </w:t>
      </w:r>
      <w:r w:rsidR="00BB4557">
        <w:rPr>
          <w:rFonts w:ascii="Arial" w:hAnsi="Arial" w:cs="Arial"/>
          <w:sz w:val="22"/>
          <w:szCs w:val="22"/>
        </w:rPr>
        <w:t>Regulator</w:t>
      </w:r>
      <w:r w:rsidRPr="00FB2F3D">
        <w:rPr>
          <w:rFonts w:ascii="Arial" w:hAnsi="Arial" w:cs="Arial"/>
          <w:sz w:val="22"/>
          <w:szCs w:val="22"/>
        </w:rPr>
        <w:t xml:space="preserve"> will maintain the Official List on the ADGM website.</w:t>
      </w:r>
    </w:p>
    <w:p w14:paraId="1B9C1511" w14:textId="77777777"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A Person who wishes to make a complaint about a Listed Entity should use the complaints portal on the ADGM website.</w:t>
      </w:r>
    </w:p>
    <w:p w14:paraId="4DE0FCC0" w14:textId="77777777" w:rsidR="00892AFD" w:rsidRPr="00FB2F3D" w:rsidRDefault="00892AFD" w:rsidP="00892AFD">
      <w:pPr>
        <w:pStyle w:val="Heading2"/>
        <w:rPr>
          <w:rFonts w:ascii="Arial" w:hAnsi="Arial" w:cs="Arial"/>
          <w:sz w:val="22"/>
          <w:szCs w:val="22"/>
        </w:rPr>
      </w:pPr>
      <w:bookmarkStart w:id="84" w:name="_Toc409521868"/>
      <w:bookmarkStart w:id="85" w:name="_Toc410136265"/>
      <w:bookmarkStart w:id="86" w:name="_Toc410605974"/>
      <w:bookmarkStart w:id="87" w:name="_Toc410658910"/>
      <w:bookmarkStart w:id="88" w:name="_Toc410659037"/>
      <w:bookmarkStart w:id="89" w:name="_Toc410835584"/>
      <w:bookmarkStart w:id="90" w:name="_Toc138325649"/>
      <w:r w:rsidRPr="00FB2F3D">
        <w:rPr>
          <w:rFonts w:ascii="Arial" w:hAnsi="Arial" w:cs="Arial"/>
          <w:sz w:val="22"/>
          <w:szCs w:val="22"/>
        </w:rPr>
        <w:t>The Listing Principles</w:t>
      </w:r>
      <w:bookmarkEnd w:id="84"/>
      <w:bookmarkEnd w:id="85"/>
      <w:bookmarkEnd w:id="86"/>
      <w:bookmarkEnd w:id="87"/>
      <w:bookmarkEnd w:id="88"/>
      <w:bookmarkEnd w:id="89"/>
      <w:bookmarkEnd w:id="90"/>
    </w:p>
    <w:p w14:paraId="4B4D27D8"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1501C23A" w14:textId="690715E6" w:rsidR="0047455B" w:rsidRDefault="00892AFD" w:rsidP="00755725">
      <w:pPr>
        <w:pStyle w:val="GuidanceNotesnumbering"/>
        <w:numPr>
          <w:ilvl w:val="0"/>
          <w:numId w:val="48"/>
        </w:numPr>
        <w:rPr>
          <w:rFonts w:ascii="Arial" w:hAnsi="Arial" w:cs="Arial"/>
          <w:sz w:val="22"/>
          <w:szCs w:val="22"/>
        </w:rPr>
      </w:pPr>
      <w:r w:rsidRPr="00FB2F3D">
        <w:rPr>
          <w:rFonts w:ascii="Arial" w:hAnsi="Arial" w:cs="Arial"/>
          <w:sz w:val="22"/>
          <w:szCs w:val="22"/>
        </w:rPr>
        <w:t>The purpose of the Listing Principles is to ensure that Listed Entities pay due regard to the fundamental role played by them in maintaining market confidence and ensuring a fair</w:t>
      </w:r>
      <w:r w:rsidR="00B96774">
        <w:rPr>
          <w:rFonts w:ascii="Arial" w:hAnsi="Arial" w:cs="Arial"/>
          <w:sz w:val="22"/>
          <w:szCs w:val="22"/>
        </w:rPr>
        <w:t>, informed</w:t>
      </w:r>
      <w:r w:rsidRPr="00FB2F3D">
        <w:rPr>
          <w:rFonts w:ascii="Arial" w:hAnsi="Arial" w:cs="Arial"/>
          <w:sz w:val="22"/>
          <w:szCs w:val="22"/>
        </w:rPr>
        <w:t xml:space="preserve"> and orderly market.</w:t>
      </w:r>
    </w:p>
    <w:p w14:paraId="69FE57FE" w14:textId="7F84F22C" w:rsidR="00892AFD" w:rsidRPr="00FB2F3D" w:rsidRDefault="00892AFD" w:rsidP="00755725">
      <w:pPr>
        <w:pStyle w:val="GuidanceNotesnumbering"/>
        <w:numPr>
          <w:ilvl w:val="0"/>
          <w:numId w:val="48"/>
        </w:numPr>
        <w:rPr>
          <w:rFonts w:ascii="Arial" w:hAnsi="Arial" w:cs="Arial"/>
          <w:sz w:val="22"/>
          <w:szCs w:val="22"/>
        </w:rPr>
      </w:pPr>
      <w:r w:rsidRPr="00FB2F3D">
        <w:rPr>
          <w:rFonts w:ascii="Arial" w:hAnsi="Arial" w:cs="Arial"/>
          <w:sz w:val="22"/>
          <w:szCs w:val="22"/>
        </w:rPr>
        <w:t>The Listing Principles are designed to assist Listed Entities in identifying their obligations and responsibilities under the Listing Rules.</w:t>
      </w:r>
    </w:p>
    <w:p w14:paraId="5D8292E6" w14:textId="4FDFF9A9" w:rsidR="00892AFD" w:rsidRDefault="00892AFD" w:rsidP="00892AFD">
      <w:pPr>
        <w:pStyle w:val="GuidanceNotesnumbering"/>
        <w:rPr>
          <w:rFonts w:ascii="Arial" w:hAnsi="Arial" w:cs="Arial"/>
          <w:sz w:val="22"/>
          <w:szCs w:val="22"/>
        </w:rPr>
      </w:pPr>
      <w:r w:rsidRPr="00FB2F3D">
        <w:rPr>
          <w:rFonts w:ascii="Arial" w:hAnsi="Arial" w:cs="Arial"/>
          <w:sz w:val="22"/>
          <w:szCs w:val="22"/>
        </w:rPr>
        <w:t>The Listing Principles apply in addition to the Corporate Governance Principles</w:t>
      </w:r>
      <w:r w:rsidR="00753E86" w:rsidRPr="00FB2F3D">
        <w:rPr>
          <w:rFonts w:ascii="Arial" w:hAnsi="Arial" w:cs="Arial"/>
          <w:sz w:val="22"/>
          <w:szCs w:val="22"/>
        </w:rPr>
        <w:t xml:space="preserve"> in c</w:t>
      </w:r>
      <w:r w:rsidRPr="00FB2F3D">
        <w:rPr>
          <w:rFonts w:ascii="Arial" w:hAnsi="Arial" w:cs="Arial"/>
          <w:sz w:val="22"/>
          <w:szCs w:val="22"/>
        </w:rPr>
        <w:t>hapter </w:t>
      </w:r>
      <w:r w:rsidR="00693841" w:rsidRPr="00FB2F3D">
        <w:rPr>
          <w:rFonts w:ascii="Arial" w:hAnsi="Arial" w:cs="Arial"/>
          <w:sz w:val="22"/>
          <w:szCs w:val="22"/>
        </w:rPr>
        <w:t>9</w:t>
      </w:r>
      <w:r w:rsidRPr="00FB2F3D">
        <w:rPr>
          <w:rFonts w:ascii="Arial" w:hAnsi="Arial" w:cs="Arial"/>
          <w:sz w:val="22"/>
          <w:szCs w:val="22"/>
        </w:rPr>
        <w:t xml:space="preserve"> which apply to all Reporting Entities.</w:t>
      </w:r>
    </w:p>
    <w:p w14:paraId="5E79B1D1" w14:textId="528FEEC3" w:rsidR="00B96774" w:rsidRPr="00FB2F3D" w:rsidRDefault="00B96774" w:rsidP="00892AFD">
      <w:pPr>
        <w:pStyle w:val="GuidanceNotesnumbering"/>
        <w:rPr>
          <w:rFonts w:ascii="Arial" w:hAnsi="Arial" w:cs="Arial"/>
          <w:sz w:val="22"/>
          <w:szCs w:val="22"/>
        </w:rPr>
      </w:pPr>
      <w:r>
        <w:rPr>
          <w:rFonts w:ascii="Arial" w:hAnsi="Arial" w:cs="Arial"/>
          <w:sz w:val="22"/>
          <w:szCs w:val="22"/>
        </w:rPr>
        <w:t>These Listing Principles apply to Listed Entities and/or Reporting Entities as applicable.</w:t>
      </w:r>
    </w:p>
    <w:p w14:paraId="754A6368"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lastRenderedPageBreak/>
        <w:t>Principle 1</w:t>
      </w:r>
    </w:p>
    <w:p w14:paraId="41D49587"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A Listed Entity must take reasonable steps to ensure that its Senior Management and any other relevant Employees understand and comply with their responsibilities and obligations under the Listing Rules.</w:t>
      </w:r>
    </w:p>
    <w:p w14:paraId="1379228E"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Principle 2</w:t>
      </w:r>
    </w:p>
    <w:p w14:paraId="292F5224"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A Listed Entity must take reasonable steps to establish and maintain adequate policies, procedures, systems and controls to enable it to comply with its obligations under the Listing Rules.</w:t>
      </w:r>
    </w:p>
    <w:p w14:paraId="176EFD88"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Principle 3</w:t>
      </w:r>
    </w:p>
    <w:p w14:paraId="180104B4"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A Listed Entity must act with integrity towards holders and potential holders of its</w:t>
      </w:r>
      <w:r w:rsidRPr="00FB2F3D">
        <w:rPr>
          <w:rFonts w:ascii="Arial" w:hAnsi="Arial" w:cs="Arial"/>
          <w:sz w:val="22"/>
          <w:szCs w:val="22"/>
          <w:lang w:eastAsia="ja-JP"/>
        </w:rPr>
        <w:t xml:space="preserve"> </w:t>
      </w:r>
      <w:r w:rsidRPr="00FB2F3D">
        <w:rPr>
          <w:rFonts w:ascii="Arial" w:hAnsi="Arial" w:cs="Arial"/>
          <w:sz w:val="22"/>
          <w:szCs w:val="22"/>
        </w:rPr>
        <w:t>Listed Securities.</w:t>
      </w:r>
    </w:p>
    <w:p w14:paraId="7A1E2D00"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Principle 4</w:t>
      </w:r>
    </w:p>
    <w:p w14:paraId="72B1615E"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A Listed Entity must communicate information to holders and potential holders of its Listed Securities in such a way as to avoid the creation or continuation of a false market in such Listed Securities.</w:t>
      </w:r>
    </w:p>
    <w:p w14:paraId="19F14378"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Principle 5</w:t>
      </w:r>
    </w:p>
    <w:p w14:paraId="57B610DC"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A Listed Entity must deal with the Regulator in an open and co</w:t>
      </w:r>
      <w:r w:rsidRPr="00FB2F3D">
        <w:rPr>
          <w:rFonts w:ascii="Arial" w:hAnsi="Arial" w:cs="Arial"/>
          <w:sz w:val="22"/>
          <w:szCs w:val="22"/>
        </w:rPr>
        <w:noBreakHyphen/>
        <w:t>operative manner.</w:t>
      </w:r>
    </w:p>
    <w:p w14:paraId="7EB19F96"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Principle 6</w:t>
      </w:r>
    </w:p>
    <w:p w14:paraId="7F442B42" w14:textId="7AC4832F" w:rsidR="00892AFD" w:rsidRDefault="00892AFD" w:rsidP="00892AFD">
      <w:pPr>
        <w:pStyle w:val="Heading3"/>
        <w:rPr>
          <w:rFonts w:ascii="Arial" w:hAnsi="Arial" w:cs="Arial"/>
          <w:sz w:val="22"/>
          <w:szCs w:val="22"/>
        </w:rPr>
      </w:pPr>
      <w:r w:rsidRPr="00FB2F3D">
        <w:rPr>
          <w:rFonts w:ascii="Arial" w:hAnsi="Arial" w:cs="Arial"/>
          <w:sz w:val="22"/>
          <w:szCs w:val="22"/>
        </w:rPr>
        <w:t>A Listed Entity must ensure that it treats all holders of the same class of its Listed</w:t>
      </w:r>
      <w:r w:rsidRPr="00FB2F3D">
        <w:rPr>
          <w:rFonts w:ascii="Arial" w:hAnsi="Arial" w:cs="Arial"/>
          <w:sz w:val="22"/>
          <w:szCs w:val="22"/>
          <w:lang w:eastAsia="ja-JP"/>
        </w:rPr>
        <w:t xml:space="preserve"> </w:t>
      </w:r>
      <w:r w:rsidRPr="00FB2F3D">
        <w:rPr>
          <w:rFonts w:ascii="Arial" w:hAnsi="Arial" w:cs="Arial"/>
          <w:sz w:val="22"/>
          <w:szCs w:val="22"/>
        </w:rPr>
        <w:t>Securities equally in respect of the rights attaching to such Listed Securities.</w:t>
      </w:r>
    </w:p>
    <w:p w14:paraId="5FE9AE0A" w14:textId="175E86D2" w:rsidR="00B96774" w:rsidRDefault="00B96774" w:rsidP="00B96774">
      <w:pPr>
        <w:pStyle w:val="TitleL"/>
        <w:rPr>
          <w:rFonts w:ascii="Arial" w:hAnsi="Arial" w:cs="Arial"/>
          <w:sz w:val="22"/>
          <w:szCs w:val="22"/>
        </w:rPr>
      </w:pPr>
      <w:r>
        <w:rPr>
          <w:rFonts w:ascii="Arial" w:hAnsi="Arial" w:cs="Arial"/>
          <w:sz w:val="22"/>
          <w:szCs w:val="22"/>
        </w:rPr>
        <w:t>Principle 7</w:t>
      </w:r>
    </w:p>
    <w:p w14:paraId="63C43F7D" w14:textId="7D41EB19" w:rsidR="00B96774" w:rsidRDefault="00B96774" w:rsidP="00892AFD">
      <w:pPr>
        <w:pStyle w:val="Heading3"/>
        <w:rPr>
          <w:rFonts w:ascii="Arial" w:hAnsi="Arial" w:cs="Arial"/>
          <w:sz w:val="22"/>
          <w:szCs w:val="22"/>
        </w:rPr>
      </w:pPr>
      <w:r>
        <w:rPr>
          <w:rFonts w:ascii="Arial" w:hAnsi="Arial" w:cs="Arial"/>
          <w:sz w:val="22"/>
          <w:szCs w:val="22"/>
        </w:rPr>
        <w:t>The structure and operations of a Listed Entity must be appropriate for it.</w:t>
      </w:r>
    </w:p>
    <w:p w14:paraId="64E50688" w14:textId="796B7E9C" w:rsidR="00B96774" w:rsidRDefault="00B96774" w:rsidP="00B96774">
      <w:pPr>
        <w:pStyle w:val="TitleL"/>
        <w:rPr>
          <w:rFonts w:ascii="Arial" w:hAnsi="Arial" w:cs="Arial"/>
          <w:sz w:val="22"/>
          <w:szCs w:val="22"/>
        </w:rPr>
      </w:pPr>
      <w:r>
        <w:rPr>
          <w:rFonts w:ascii="Arial" w:hAnsi="Arial" w:cs="Arial"/>
          <w:sz w:val="22"/>
          <w:szCs w:val="22"/>
        </w:rPr>
        <w:t>Principle 8</w:t>
      </w:r>
    </w:p>
    <w:p w14:paraId="2BE51844" w14:textId="5E415706" w:rsidR="00B96774" w:rsidRPr="00FB2F3D" w:rsidRDefault="00B96774" w:rsidP="00B96774">
      <w:pPr>
        <w:pStyle w:val="Heading3"/>
        <w:numPr>
          <w:ilvl w:val="0"/>
          <w:numId w:val="0"/>
        </w:numPr>
        <w:ind w:left="720" w:hanging="720"/>
        <w:rPr>
          <w:rFonts w:ascii="Arial" w:hAnsi="Arial" w:cs="Arial"/>
          <w:sz w:val="22"/>
          <w:szCs w:val="22"/>
        </w:rPr>
      </w:pPr>
      <w:r w:rsidRPr="00B96774">
        <w:rPr>
          <w:rFonts w:ascii="Arial" w:hAnsi="Arial" w:cs="Arial"/>
          <w:b/>
          <w:bCs w:val="0"/>
          <w:sz w:val="22"/>
          <w:szCs w:val="22"/>
        </w:rPr>
        <w:t>2.2.8</w:t>
      </w:r>
      <w:r w:rsidRPr="00B96774">
        <w:rPr>
          <w:rFonts w:ascii="Arial" w:hAnsi="Arial" w:cs="Arial"/>
          <w:sz w:val="22"/>
          <w:szCs w:val="22"/>
        </w:rPr>
        <w:tab/>
        <w:t>A Listed Entity must ensure that the terms that apply to each class of Securities are appropriate and fair, taking into account voting and other rights.</w:t>
      </w:r>
    </w:p>
    <w:p w14:paraId="753C8739" w14:textId="77777777" w:rsidR="00892AFD" w:rsidRPr="00FB2F3D" w:rsidRDefault="00892AFD" w:rsidP="00892AFD">
      <w:pPr>
        <w:pStyle w:val="Heading2"/>
        <w:rPr>
          <w:rFonts w:ascii="Arial" w:hAnsi="Arial" w:cs="Arial"/>
          <w:sz w:val="22"/>
          <w:szCs w:val="22"/>
        </w:rPr>
      </w:pPr>
      <w:bookmarkStart w:id="91" w:name="_Toc409521869"/>
      <w:bookmarkStart w:id="92" w:name="_Toc410136266"/>
      <w:bookmarkStart w:id="93" w:name="_Toc410605975"/>
      <w:bookmarkStart w:id="94" w:name="_Toc410658911"/>
      <w:bookmarkStart w:id="95" w:name="_Toc410659038"/>
      <w:bookmarkStart w:id="96" w:name="_Toc410835585"/>
      <w:bookmarkStart w:id="97" w:name="_Toc138325650"/>
      <w:r w:rsidRPr="00FB2F3D">
        <w:rPr>
          <w:rFonts w:ascii="Arial" w:hAnsi="Arial" w:cs="Arial"/>
          <w:sz w:val="22"/>
          <w:szCs w:val="22"/>
        </w:rPr>
        <w:t>General eligibility requirements</w:t>
      </w:r>
      <w:bookmarkEnd w:id="91"/>
      <w:bookmarkEnd w:id="92"/>
      <w:bookmarkEnd w:id="93"/>
      <w:bookmarkEnd w:id="94"/>
      <w:bookmarkEnd w:id="95"/>
      <w:bookmarkEnd w:id="96"/>
      <w:bookmarkEnd w:id="97"/>
    </w:p>
    <w:p w14:paraId="2E1C867A"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Incorporation</w:t>
      </w:r>
    </w:p>
    <w:p w14:paraId="175FB809"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An Applicant must be duly incorporated or otherwise validly established according to the relevant laws of its place of incorporation or establishment and be operating in conformity with its constitution.</w:t>
      </w:r>
    </w:p>
    <w:p w14:paraId="4E23F035"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Audited financial statements</w:t>
      </w:r>
    </w:p>
    <w:p w14:paraId="53C31145" w14:textId="77777777" w:rsidR="00892AFD" w:rsidRPr="00FB2F3D" w:rsidRDefault="00892AFD" w:rsidP="00892AFD">
      <w:pPr>
        <w:pStyle w:val="Heading3"/>
        <w:keepNext/>
        <w:rPr>
          <w:rFonts w:ascii="Arial" w:hAnsi="Arial" w:cs="Arial"/>
          <w:sz w:val="22"/>
          <w:szCs w:val="22"/>
        </w:rPr>
      </w:pPr>
      <w:bookmarkStart w:id="98" w:name="_Ref410060012"/>
      <w:r w:rsidRPr="00FB2F3D">
        <w:rPr>
          <w:rFonts w:ascii="Arial" w:hAnsi="Arial" w:cs="Arial"/>
          <w:sz w:val="22"/>
          <w:szCs w:val="22"/>
        </w:rPr>
        <w:t>An Applicant must have published or filed audited accounts which:</w:t>
      </w:r>
      <w:bookmarkEnd w:id="98"/>
    </w:p>
    <w:p w14:paraId="7D7A731B" w14:textId="3CE9CF9A" w:rsidR="00892AFD" w:rsidRPr="00FB2F3D" w:rsidRDefault="00892AFD" w:rsidP="00E9220D">
      <w:pPr>
        <w:pStyle w:val="Heading4"/>
        <w:rPr>
          <w:rFonts w:ascii="Arial" w:hAnsi="Arial" w:cs="Arial"/>
          <w:sz w:val="22"/>
          <w:szCs w:val="22"/>
        </w:rPr>
      </w:pPr>
      <w:r w:rsidRPr="00FB2F3D">
        <w:rPr>
          <w:rFonts w:ascii="Arial" w:hAnsi="Arial" w:cs="Arial"/>
          <w:sz w:val="22"/>
          <w:szCs w:val="22"/>
        </w:rPr>
        <w:t>cover a prior period of three years or any other</w:t>
      </w:r>
      <w:r w:rsidR="00E42828">
        <w:rPr>
          <w:rFonts w:ascii="Arial" w:hAnsi="Arial" w:cs="Arial"/>
          <w:sz w:val="22"/>
          <w:szCs w:val="22"/>
        </w:rPr>
        <w:t>,</w:t>
      </w:r>
      <w:r w:rsidRPr="00FB2F3D">
        <w:rPr>
          <w:rFonts w:ascii="Arial" w:hAnsi="Arial" w:cs="Arial"/>
          <w:sz w:val="22"/>
          <w:szCs w:val="22"/>
        </w:rPr>
        <w:t xml:space="preserve"> shorter period acceptable to the Regulator;</w:t>
      </w:r>
    </w:p>
    <w:p w14:paraId="5D9EDA5A" w14:textId="77777777" w:rsidR="00892AFD" w:rsidRPr="00FB2F3D" w:rsidRDefault="00892AFD" w:rsidP="00E9220D">
      <w:pPr>
        <w:pStyle w:val="Heading4"/>
        <w:rPr>
          <w:rFonts w:ascii="Arial" w:hAnsi="Arial" w:cs="Arial"/>
          <w:sz w:val="22"/>
          <w:szCs w:val="22"/>
        </w:rPr>
      </w:pPr>
      <w:r w:rsidRPr="00FB2F3D">
        <w:rPr>
          <w:rFonts w:ascii="Arial" w:hAnsi="Arial" w:cs="Arial"/>
          <w:sz w:val="22"/>
          <w:szCs w:val="22"/>
        </w:rPr>
        <w:lastRenderedPageBreak/>
        <w:t>are consolidated fo</w:t>
      </w:r>
      <w:r w:rsidR="003B4A96" w:rsidRPr="00FB2F3D">
        <w:rPr>
          <w:rFonts w:ascii="Arial" w:hAnsi="Arial" w:cs="Arial"/>
          <w:sz w:val="22"/>
          <w:szCs w:val="22"/>
        </w:rPr>
        <w:t>r the Applicant and any of its s</w:t>
      </w:r>
      <w:r w:rsidRPr="00FB2F3D">
        <w:rPr>
          <w:rFonts w:ascii="Arial" w:hAnsi="Arial" w:cs="Arial"/>
          <w:sz w:val="22"/>
          <w:szCs w:val="22"/>
        </w:rPr>
        <w:t>ubsidiary undertakings;</w:t>
      </w:r>
    </w:p>
    <w:p w14:paraId="322B9F2A" w14:textId="77777777" w:rsidR="00892AFD" w:rsidRPr="00FB2F3D" w:rsidRDefault="00892AFD" w:rsidP="00E9220D">
      <w:pPr>
        <w:pStyle w:val="Heading4"/>
        <w:rPr>
          <w:rFonts w:ascii="Arial" w:hAnsi="Arial" w:cs="Arial"/>
          <w:sz w:val="22"/>
          <w:szCs w:val="22"/>
        </w:rPr>
      </w:pPr>
      <w:r w:rsidRPr="00FB2F3D">
        <w:rPr>
          <w:rFonts w:ascii="Arial" w:hAnsi="Arial" w:cs="Arial"/>
          <w:sz w:val="22"/>
          <w:szCs w:val="22"/>
        </w:rPr>
        <w:t>have been prepared in accordance with IFRS or other standards acceptable to the Regulator; and</w:t>
      </w:r>
    </w:p>
    <w:p w14:paraId="4E85DA62" w14:textId="77777777" w:rsidR="00892AFD" w:rsidRPr="00FB2F3D" w:rsidRDefault="00892AFD" w:rsidP="00E9220D">
      <w:pPr>
        <w:pStyle w:val="Heading4"/>
        <w:rPr>
          <w:rFonts w:ascii="Arial" w:hAnsi="Arial" w:cs="Arial"/>
          <w:sz w:val="22"/>
          <w:szCs w:val="22"/>
        </w:rPr>
      </w:pPr>
      <w:r w:rsidRPr="00FB2F3D">
        <w:rPr>
          <w:rFonts w:ascii="Arial" w:hAnsi="Arial" w:cs="Arial"/>
          <w:sz w:val="22"/>
          <w:szCs w:val="22"/>
        </w:rPr>
        <w:t>have been audited and reported on by auditors in accordance with auditing standards of the International Auditing and Assurance Standards Board (IAASB) or other standards acceptable to the Regulator.</w:t>
      </w:r>
    </w:p>
    <w:p w14:paraId="0017D06D"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2CA38B83" w14:textId="1FA5BE01" w:rsidR="00892AFD" w:rsidRPr="00FB2F3D" w:rsidRDefault="00892AFD" w:rsidP="00755725">
      <w:pPr>
        <w:pStyle w:val="GuidanceNotesnumbering"/>
        <w:numPr>
          <w:ilvl w:val="0"/>
          <w:numId w:val="49"/>
        </w:numPr>
        <w:rPr>
          <w:rFonts w:ascii="Arial" w:hAnsi="Arial" w:cs="Arial"/>
          <w:sz w:val="22"/>
          <w:szCs w:val="22"/>
        </w:rPr>
      </w:pPr>
      <w:r w:rsidRPr="00FB2F3D">
        <w:rPr>
          <w:rFonts w:ascii="Arial" w:hAnsi="Arial" w:cs="Arial"/>
          <w:sz w:val="22"/>
          <w:szCs w:val="22"/>
        </w:rPr>
        <w:t>The Regulator may modify or waive Rule </w:t>
      </w:r>
      <w:r w:rsidR="00693841" w:rsidRPr="00FB2F3D">
        <w:rPr>
          <w:rFonts w:ascii="Arial" w:hAnsi="Arial" w:cs="Arial"/>
          <w:sz w:val="22"/>
          <w:szCs w:val="22"/>
        </w:rPr>
        <w:t>2.3.2</w:t>
      </w:r>
      <w:r w:rsidRPr="00FB2F3D">
        <w:rPr>
          <w:rFonts w:ascii="Arial" w:hAnsi="Arial" w:cs="Arial"/>
          <w:sz w:val="22"/>
          <w:szCs w:val="22"/>
        </w:rPr>
        <w:t xml:space="preserve"> if it is satisfied that is desirable in the interests of investors and that investors have the necessary information available to arrive at an informed judgement about the Issuer and the Shares for which a</w:t>
      </w:r>
      <w:r w:rsidR="003B4A96" w:rsidRPr="00FB2F3D">
        <w:rPr>
          <w:rFonts w:ascii="Arial" w:hAnsi="Arial" w:cs="Arial"/>
          <w:sz w:val="22"/>
          <w:szCs w:val="22"/>
        </w:rPr>
        <w:t>n admission to the Official L</w:t>
      </w:r>
      <w:r w:rsidR="00D039B6">
        <w:rPr>
          <w:rFonts w:ascii="Arial" w:hAnsi="Arial" w:cs="Arial"/>
          <w:sz w:val="22"/>
          <w:szCs w:val="22"/>
        </w:rPr>
        <w:t>ist</w:t>
      </w:r>
      <w:r w:rsidRPr="00FB2F3D">
        <w:rPr>
          <w:rFonts w:ascii="Arial" w:hAnsi="Arial" w:cs="Arial"/>
          <w:sz w:val="22"/>
          <w:szCs w:val="22"/>
        </w:rPr>
        <w:t xml:space="preserve"> is sought.</w:t>
      </w:r>
    </w:p>
    <w:p w14:paraId="192BF6FC" w14:textId="2BE9C554"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The Regulator would accept a shorter period than three years depending on the nature of the Applicant's business and any other material considerations, for example, where the Issuer has been in operation for less than three years</w:t>
      </w:r>
      <w:r w:rsidR="00D039B6" w:rsidRPr="00D039B6">
        <w:rPr>
          <w:rFonts w:ascii="Arial" w:hAnsi="Arial" w:cs="Arial"/>
          <w:sz w:val="22"/>
          <w:szCs w:val="22"/>
        </w:rPr>
        <w:t>, or where the Applicant is a Mining Exploration Reporting Entity or Petroleum Exploration Reporting Entity and is seeking admission under Rule 2.3.16 (assets eligibility test)</w:t>
      </w:r>
      <w:r w:rsidRPr="00D039B6">
        <w:rPr>
          <w:rFonts w:ascii="Arial" w:hAnsi="Arial" w:cs="Arial"/>
          <w:sz w:val="22"/>
          <w:szCs w:val="22"/>
        </w:rPr>
        <w:t>.</w:t>
      </w:r>
    </w:p>
    <w:p w14:paraId="46AEF338"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Working capital</w:t>
      </w:r>
    </w:p>
    <w:p w14:paraId="40B584BC" w14:textId="77777777" w:rsidR="00892AFD" w:rsidRPr="00FB2F3D" w:rsidRDefault="00892AFD" w:rsidP="00892AFD">
      <w:pPr>
        <w:pStyle w:val="Heading3"/>
        <w:rPr>
          <w:rFonts w:ascii="Arial" w:hAnsi="Arial" w:cs="Arial"/>
          <w:sz w:val="22"/>
          <w:szCs w:val="22"/>
        </w:rPr>
      </w:pPr>
      <w:bookmarkStart w:id="99" w:name="_Ref410060026"/>
      <w:r w:rsidRPr="00FB2F3D">
        <w:rPr>
          <w:rFonts w:ascii="Arial" w:hAnsi="Arial" w:cs="Arial"/>
          <w:sz w:val="22"/>
          <w:szCs w:val="22"/>
        </w:rPr>
        <w:t xml:space="preserve">An Applicant seeking admission of Shares to the </w:t>
      </w:r>
      <w:r w:rsidR="003B4A96" w:rsidRPr="00FB2F3D">
        <w:rPr>
          <w:rFonts w:ascii="Arial" w:hAnsi="Arial" w:cs="Arial"/>
          <w:sz w:val="22"/>
          <w:szCs w:val="22"/>
        </w:rPr>
        <w:t xml:space="preserve">Official </w:t>
      </w:r>
      <w:r w:rsidRPr="00FB2F3D">
        <w:rPr>
          <w:rFonts w:ascii="Arial" w:hAnsi="Arial" w:cs="Arial"/>
          <w:sz w:val="22"/>
          <w:szCs w:val="22"/>
        </w:rPr>
        <w:t>List must satisfy the Regulator that it and any Subsidiaries have sufficient working capital available for its present requirements or, if not, how it proposes to provide the additional working capital needed.</w:t>
      </w:r>
      <w:bookmarkEnd w:id="99"/>
    </w:p>
    <w:p w14:paraId="0EB1EE86"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5B18566E" w14:textId="63A35A72" w:rsidR="00892AFD" w:rsidRPr="00FB2F3D" w:rsidRDefault="00892AFD" w:rsidP="00755725">
      <w:pPr>
        <w:pStyle w:val="GuidanceNotesnumbering"/>
        <w:numPr>
          <w:ilvl w:val="0"/>
          <w:numId w:val="50"/>
        </w:numPr>
        <w:rPr>
          <w:rFonts w:ascii="Arial" w:hAnsi="Arial" w:cs="Arial"/>
          <w:sz w:val="22"/>
          <w:szCs w:val="22"/>
        </w:rPr>
      </w:pPr>
      <w:r w:rsidRPr="00FB2F3D">
        <w:rPr>
          <w:rFonts w:ascii="Arial" w:hAnsi="Arial" w:cs="Arial"/>
          <w:sz w:val="22"/>
          <w:szCs w:val="22"/>
        </w:rPr>
        <w:t>For the purposes of Rule </w:t>
      </w:r>
      <w:r w:rsidR="00693841" w:rsidRPr="00FB2F3D">
        <w:rPr>
          <w:rFonts w:ascii="Arial" w:hAnsi="Arial" w:cs="Arial"/>
          <w:sz w:val="22"/>
          <w:szCs w:val="22"/>
        </w:rPr>
        <w:t>2.3.3</w:t>
      </w:r>
      <w:r w:rsidRPr="00FB2F3D">
        <w:rPr>
          <w:rFonts w:ascii="Arial" w:hAnsi="Arial" w:cs="Arial"/>
          <w:sz w:val="22"/>
          <w:szCs w:val="22"/>
        </w:rPr>
        <w:t xml:space="preserve">, the Regulator considers "present requirements" to be </w:t>
      </w:r>
      <w:r w:rsidR="00D039B6">
        <w:rPr>
          <w:rFonts w:ascii="Arial" w:hAnsi="Arial" w:cs="Arial"/>
          <w:sz w:val="22"/>
          <w:szCs w:val="22"/>
        </w:rPr>
        <w:t>sufficient for projected normal operations for a</w:t>
      </w:r>
      <w:r w:rsidRPr="00FB2F3D">
        <w:rPr>
          <w:rFonts w:ascii="Arial" w:hAnsi="Arial" w:cs="Arial"/>
          <w:sz w:val="22"/>
          <w:szCs w:val="22"/>
        </w:rPr>
        <w:t xml:space="preserve"> period of 12 months from</w:t>
      </w:r>
      <w:r w:rsidR="003B4A96" w:rsidRPr="00FB2F3D">
        <w:rPr>
          <w:rFonts w:ascii="Arial" w:hAnsi="Arial" w:cs="Arial"/>
          <w:sz w:val="22"/>
          <w:szCs w:val="22"/>
        </w:rPr>
        <w:t xml:space="preserve"> the</w:t>
      </w:r>
      <w:r w:rsidRPr="00FB2F3D">
        <w:rPr>
          <w:rFonts w:ascii="Arial" w:hAnsi="Arial" w:cs="Arial"/>
          <w:sz w:val="22"/>
          <w:szCs w:val="22"/>
        </w:rPr>
        <w:t xml:space="preserve"> date of</w:t>
      </w:r>
      <w:r w:rsidR="003B4A96" w:rsidRPr="00FB2F3D">
        <w:rPr>
          <w:rFonts w:ascii="Arial" w:hAnsi="Arial" w:cs="Arial"/>
          <w:sz w:val="22"/>
          <w:szCs w:val="22"/>
        </w:rPr>
        <w:t xml:space="preserve"> admission to the Official List</w:t>
      </w:r>
      <w:r w:rsidRPr="00FB2F3D">
        <w:rPr>
          <w:rFonts w:ascii="Arial" w:hAnsi="Arial" w:cs="Arial"/>
          <w:sz w:val="22"/>
          <w:szCs w:val="22"/>
        </w:rPr>
        <w:t>.</w:t>
      </w:r>
    </w:p>
    <w:p w14:paraId="072773AC" w14:textId="77777777" w:rsidR="00D039B6" w:rsidRPr="00D039B6" w:rsidRDefault="00D039B6" w:rsidP="00755725">
      <w:pPr>
        <w:pStyle w:val="GuidanceNotesnumbering"/>
        <w:numPr>
          <w:ilvl w:val="0"/>
          <w:numId w:val="50"/>
        </w:numPr>
        <w:rPr>
          <w:rFonts w:ascii="Arial" w:hAnsi="Arial" w:cs="Arial"/>
          <w:sz w:val="22"/>
          <w:szCs w:val="22"/>
        </w:rPr>
      </w:pPr>
      <w:r w:rsidRPr="00D039B6">
        <w:rPr>
          <w:rFonts w:ascii="Arial" w:hAnsi="Arial" w:cs="Arial"/>
          <w:sz w:val="22"/>
          <w:szCs w:val="22"/>
        </w:rPr>
        <w:t>Furthermore, the Regulator considers that for the purpose of this Rule, the working capital amount should be net of:</w:t>
      </w:r>
    </w:p>
    <w:p w14:paraId="0F8D53C5" w14:textId="77777777" w:rsidR="00D039B6" w:rsidRPr="00D039B6" w:rsidRDefault="00D039B6" w:rsidP="00D039B6">
      <w:pPr>
        <w:pStyle w:val="GuidanceNotesnumbering"/>
        <w:numPr>
          <w:ilvl w:val="0"/>
          <w:numId w:val="0"/>
        </w:numPr>
        <w:ind w:left="2127" w:hanging="709"/>
        <w:rPr>
          <w:rFonts w:ascii="Arial" w:hAnsi="Arial" w:cs="Arial"/>
          <w:sz w:val="22"/>
          <w:szCs w:val="22"/>
        </w:rPr>
      </w:pPr>
      <w:r w:rsidRPr="00D039B6">
        <w:rPr>
          <w:rFonts w:ascii="Arial" w:hAnsi="Arial" w:cs="Arial"/>
          <w:sz w:val="22"/>
          <w:szCs w:val="22"/>
        </w:rPr>
        <w:t>a.</w:t>
      </w:r>
      <w:r w:rsidRPr="00D039B6">
        <w:rPr>
          <w:rFonts w:ascii="Arial" w:hAnsi="Arial" w:cs="Arial"/>
          <w:sz w:val="22"/>
          <w:szCs w:val="22"/>
        </w:rPr>
        <w:tab/>
        <w:t>the costs of any capital raising; and</w:t>
      </w:r>
    </w:p>
    <w:p w14:paraId="3BD36E94" w14:textId="77777777" w:rsidR="00D039B6" w:rsidRPr="00D039B6" w:rsidRDefault="00D039B6" w:rsidP="00D039B6">
      <w:pPr>
        <w:pStyle w:val="GuidanceNotesnumbering"/>
        <w:numPr>
          <w:ilvl w:val="0"/>
          <w:numId w:val="0"/>
        </w:numPr>
        <w:ind w:left="2127" w:hanging="709"/>
        <w:rPr>
          <w:rFonts w:ascii="Arial" w:hAnsi="Arial" w:cs="Arial"/>
          <w:sz w:val="22"/>
          <w:szCs w:val="22"/>
        </w:rPr>
      </w:pPr>
      <w:r w:rsidRPr="00D039B6">
        <w:rPr>
          <w:rFonts w:ascii="Arial" w:hAnsi="Arial" w:cs="Arial"/>
          <w:sz w:val="22"/>
          <w:szCs w:val="22"/>
        </w:rPr>
        <w:t>b.</w:t>
      </w:r>
      <w:r w:rsidRPr="00D039B6">
        <w:rPr>
          <w:rFonts w:ascii="Arial" w:hAnsi="Arial" w:cs="Arial"/>
          <w:sz w:val="22"/>
          <w:szCs w:val="22"/>
        </w:rPr>
        <w:tab/>
        <w:t>in the case of Mining Exploration Reporting Entities and Petroleum Exploration Reporting Entities, the first full year’s budgeted</w:t>
      </w:r>
    </w:p>
    <w:p w14:paraId="3945FE94" w14:textId="77777777" w:rsidR="00D039B6" w:rsidRPr="00D039B6" w:rsidRDefault="00D039B6" w:rsidP="00D039B6">
      <w:pPr>
        <w:pStyle w:val="GuidanceNotesnumbering"/>
        <w:numPr>
          <w:ilvl w:val="0"/>
          <w:numId w:val="0"/>
        </w:numPr>
        <w:ind w:left="2835" w:hanging="708"/>
        <w:rPr>
          <w:rFonts w:ascii="Arial" w:hAnsi="Arial" w:cs="Arial"/>
          <w:sz w:val="22"/>
          <w:szCs w:val="22"/>
        </w:rPr>
      </w:pPr>
      <w:r w:rsidRPr="00D039B6">
        <w:rPr>
          <w:rFonts w:ascii="Arial" w:hAnsi="Arial" w:cs="Arial"/>
          <w:sz w:val="22"/>
          <w:szCs w:val="22"/>
        </w:rPr>
        <w:t>i.</w:t>
      </w:r>
      <w:r w:rsidRPr="00D039B6">
        <w:rPr>
          <w:rFonts w:ascii="Arial" w:hAnsi="Arial" w:cs="Arial"/>
          <w:sz w:val="22"/>
          <w:szCs w:val="22"/>
        </w:rPr>
        <w:tab/>
        <w:t>administration costs;</w:t>
      </w:r>
    </w:p>
    <w:p w14:paraId="4D44534C" w14:textId="02A36724" w:rsidR="00D039B6" w:rsidRPr="00D039B6" w:rsidRDefault="00D039B6" w:rsidP="00D039B6">
      <w:pPr>
        <w:pStyle w:val="GuidanceNotesnumbering"/>
        <w:numPr>
          <w:ilvl w:val="0"/>
          <w:numId w:val="0"/>
        </w:numPr>
        <w:ind w:left="2835" w:hanging="708"/>
        <w:rPr>
          <w:rFonts w:ascii="Arial" w:hAnsi="Arial" w:cs="Arial"/>
          <w:sz w:val="22"/>
          <w:szCs w:val="22"/>
        </w:rPr>
      </w:pPr>
      <w:r w:rsidRPr="00D039B6">
        <w:rPr>
          <w:rFonts w:ascii="Arial" w:hAnsi="Arial" w:cs="Arial"/>
          <w:sz w:val="22"/>
          <w:szCs w:val="22"/>
        </w:rPr>
        <w:t>ii.</w:t>
      </w:r>
      <w:r w:rsidRPr="00D039B6">
        <w:rPr>
          <w:rFonts w:ascii="Arial" w:hAnsi="Arial" w:cs="Arial"/>
          <w:sz w:val="22"/>
          <w:szCs w:val="22"/>
        </w:rPr>
        <w:tab/>
        <w:t>Directors’ fees; and</w:t>
      </w:r>
    </w:p>
    <w:p w14:paraId="513C7B27" w14:textId="5BD71CAC" w:rsidR="00D039B6" w:rsidRPr="00D039B6" w:rsidRDefault="00D039B6" w:rsidP="00D039B6">
      <w:pPr>
        <w:pStyle w:val="GuidanceNotesnumbering"/>
        <w:numPr>
          <w:ilvl w:val="0"/>
          <w:numId w:val="0"/>
        </w:numPr>
        <w:ind w:left="2835" w:hanging="708"/>
        <w:rPr>
          <w:rFonts w:ascii="Arial" w:hAnsi="Arial" w:cs="Arial"/>
          <w:sz w:val="22"/>
          <w:szCs w:val="22"/>
        </w:rPr>
      </w:pPr>
      <w:r w:rsidRPr="00D039B6">
        <w:rPr>
          <w:rFonts w:ascii="Arial" w:hAnsi="Arial" w:cs="Arial"/>
          <w:sz w:val="22"/>
          <w:szCs w:val="22"/>
        </w:rPr>
        <w:t>iii.</w:t>
      </w:r>
      <w:r w:rsidRPr="00D039B6">
        <w:rPr>
          <w:rFonts w:ascii="Arial" w:hAnsi="Arial" w:cs="Arial"/>
          <w:sz w:val="22"/>
          <w:szCs w:val="22"/>
        </w:rPr>
        <w:tab/>
        <w:t>costs of acquiring plant, equipment, Mining Tenements and/or Petroleum Tenements, or an option over relevant Mining Tenements or Petroleum Tenements.</w:t>
      </w:r>
    </w:p>
    <w:p w14:paraId="4FB8AC4D" w14:textId="77777777"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Rule </w:t>
      </w:r>
      <w:r w:rsidR="00693841" w:rsidRPr="00FB2F3D">
        <w:rPr>
          <w:rFonts w:ascii="Arial" w:hAnsi="Arial" w:cs="Arial"/>
          <w:sz w:val="22"/>
          <w:szCs w:val="22"/>
        </w:rPr>
        <w:t>1.4</w:t>
      </w:r>
      <w:r w:rsidRPr="00FB2F3D">
        <w:rPr>
          <w:rFonts w:ascii="Arial" w:hAnsi="Arial" w:cs="Arial"/>
          <w:sz w:val="22"/>
          <w:szCs w:val="22"/>
        </w:rPr>
        <w:t xml:space="preserve"> of </w:t>
      </w:r>
      <w:r w:rsidR="00693841" w:rsidRPr="00FB2F3D">
        <w:rPr>
          <w:rFonts w:ascii="Arial" w:hAnsi="Arial" w:cs="Arial"/>
          <w:sz w:val="22"/>
          <w:szCs w:val="22"/>
        </w:rPr>
        <w:t>A1.2.2</w:t>
      </w:r>
      <w:r w:rsidRPr="00FB2F3D">
        <w:rPr>
          <w:rFonts w:ascii="Arial" w:hAnsi="Arial" w:cs="Arial"/>
          <w:sz w:val="22"/>
          <w:szCs w:val="22"/>
        </w:rPr>
        <w:t xml:space="preserve"> requires the Directors of an Issuer in its Prospectus to make a statement that it has sufficient working capital for its present requirements </w:t>
      </w:r>
      <w:r w:rsidR="00572030" w:rsidRPr="00FB2F3D">
        <w:rPr>
          <w:rFonts w:ascii="Arial" w:hAnsi="Arial" w:cs="Arial"/>
          <w:sz w:val="22"/>
          <w:szCs w:val="22"/>
        </w:rPr>
        <w:t>(</w:t>
      </w:r>
      <w:r w:rsidRPr="00FB2F3D">
        <w:rPr>
          <w:rFonts w:ascii="Arial" w:hAnsi="Arial" w:cs="Arial"/>
          <w:sz w:val="22"/>
          <w:szCs w:val="22"/>
        </w:rPr>
        <w:t>i.e. a "clean" working capital statement</w:t>
      </w:r>
      <w:r w:rsidR="00572030" w:rsidRPr="00FB2F3D">
        <w:rPr>
          <w:rFonts w:ascii="Arial" w:hAnsi="Arial" w:cs="Arial"/>
          <w:sz w:val="22"/>
          <w:szCs w:val="22"/>
        </w:rPr>
        <w:t>)</w:t>
      </w:r>
      <w:r w:rsidRPr="00FB2F3D">
        <w:rPr>
          <w:rFonts w:ascii="Arial" w:hAnsi="Arial" w:cs="Arial"/>
          <w:sz w:val="22"/>
          <w:szCs w:val="22"/>
        </w:rPr>
        <w:t xml:space="preserve">. If an Applicant is unable to make a </w:t>
      </w:r>
      <w:r w:rsidRPr="00FB2F3D">
        <w:rPr>
          <w:rFonts w:ascii="Arial" w:hAnsi="Arial" w:cs="Arial"/>
          <w:sz w:val="22"/>
          <w:szCs w:val="22"/>
        </w:rPr>
        <w:lastRenderedPageBreak/>
        <w:t>clean working capital statement, the Applicant would need to make a statement that it does not have sufficient working capital and explain how additional working capital will be provided.</w:t>
      </w:r>
    </w:p>
    <w:p w14:paraId="7AB6E6DA"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General suitability</w:t>
      </w:r>
    </w:p>
    <w:p w14:paraId="55C33414" w14:textId="77777777" w:rsidR="00892AFD" w:rsidRPr="00FB2F3D" w:rsidRDefault="007441BA" w:rsidP="003B4A96">
      <w:pPr>
        <w:pStyle w:val="Heading3"/>
        <w:ind w:left="1440" w:hanging="1440"/>
        <w:rPr>
          <w:rFonts w:ascii="Arial" w:hAnsi="Arial" w:cs="Arial"/>
          <w:sz w:val="22"/>
          <w:szCs w:val="22"/>
        </w:rPr>
      </w:pPr>
      <w:bookmarkStart w:id="100" w:name="_Ref410073525"/>
      <w:r w:rsidRPr="00FB2F3D">
        <w:rPr>
          <w:rFonts w:ascii="Arial" w:hAnsi="Arial" w:cs="Arial"/>
          <w:sz w:val="22"/>
          <w:szCs w:val="22"/>
        </w:rPr>
        <w:t>(1)</w:t>
      </w:r>
      <w:r w:rsidR="00892AFD" w:rsidRPr="00FB2F3D">
        <w:rPr>
          <w:rFonts w:ascii="Arial" w:hAnsi="Arial" w:cs="Arial"/>
          <w:sz w:val="22"/>
          <w:szCs w:val="22"/>
        </w:rPr>
        <w:tab/>
        <w:t xml:space="preserve">An Applicant must demonstrate to the Regulator's satisfaction that it and its business are suitable for </w:t>
      </w:r>
      <w:r w:rsidR="003B4A96" w:rsidRPr="00FB2F3D">
        <w:rPr>
          <w:rFonts w:ascii="Arial" w:hAnsi="Arial" w:cs="Arial"/>
          <w:sz w:val="22"/>
          <w:szCs w:val="22"/>
        </w:rPr>
        <w:t>admission to the Official List</w:t>
      </w:r>
      <w:r w:rsidR="00892AFD" w:rsidRPr="00FB2F3D">
        <w:rPr>
          <w:rFonts w:ascii="Arial" w:hAnsi="Arial" w:cs="Arial"/>
          <w:sz w:val="22"/>
          <w:szCs w:val="22"/>
        </w:rPr>
        <w:t>.</w:t>
      </w:r>
      <w:bookmarkEnd w:id="100"/>
    </w:p>
    <w:p w14:paraId="3CB1B8E9" w14:textId="77777777" w:rsidR="00892AFD" w:rsidRPr="00FB2F3D" w:rsidRDefault="003B4A96" w:rsidP="003B4A96">
      <w:pPr>
        <w:pStyle w:val="Heading4"/>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892AFD" w:rsidRPr="00FB2F3D">
        <w:rPr>
          <w:rFonts w:ascii="Arial" w:hAnsi="Arial" w:cs="Arial"/>
          <w:sz w:val="22"/>
          <w:szCs w:val="22"/>
        </w:rPr>
        <w:t xml:space="preserve">In satisfying itself that an Applicant and its business are suitable for </w:t>
      </w:r>
      <w:r w:rsidRPr="00FB2F3D">
        <w:rPr>
          <w:rFonts w:ascii="Arial" w:hAnsi="Arial" w:cs="Arial"/>
          <w:sz w:val="22"/>
          <w:szCs w:val="22"/>
        </w:rPr>
        <w:t>admission to the Official List</w:t>
      </w:r>
      <w:r w:rsidR="00892AFD" w:rsidRPr="00FB2F3D">
        <w:rPr>
          <w:rFonts w:ascii="Arial" w:hAnsi="Arial" w:cs="Arial"/>
          <w:sz w:val="22"/>
          <w:szCs w:val="22"/>
        </w:rPr>
        <w:t>, the</w:t>
      </w:r>
      <w:r w:rsidR="00892AFD" w:rsidRPr="00FB2F3D">
        <w:rPr>
          <w:rFonts w:ascii="Arial" w:hAnsi="Arial" w:cs="Arial"/>
          <w:sz w:val="22"/>
          <w:szCs w:val="22"/>
          <w:lang w:eastAsia="ja-JP"/>
        </w:rPr>
        <w:t xml:space="preserve"> </w:t>
      </w:r>
      <w:r w:rsidR="00892AFD" w:rsidRPr="00FB2F3D">
        <w:rPr>
          <w:rFonts w:ascii="Arial" w:hAnsi="Arial" w:cs="Arial"/>
          <w:sz w:val="22"/>
          <w:szCs w:val="22"/>
        </w:rPr>
        <w:t>Regulator will consider:</w:t>
      </w:r>
    </w:p>
    <w:p w14:paraId="090F8DBA"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the Applicant's connection with its controlling Shareholders or any other Person;</w:t>
      </w:r>
    </w:p>
    <w:p w14:paraId="34BCCC32"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whether in the Regulator's reasonable opinion the Applicant is ready and able to comply with its obligations under the FSMR and these Rules;</w:t>
      </w:r>
    </w:p>
    <w:p w14:paraId="49F279C6" w14:textId="77777777" w:rsidR="00892AFD" w:rsidRPr="00FB2F3D" w:rsidRDefault="00892AFD" w:rsidP="003B4A96">
      <w:pPr>
        <w:pStyle w:val="Heading5"/>
        <w:rPr>
          <w:rFonts w:ascii="Arial" w:hAnsi="Arial" w:cs="Arial"/>
          <w:sz w:val="22"/>
          <w:szCs w:val="22"/>
        </w:rPr>
      </w:pPr>
      <w:r w:rsidRPr="00FB2F3D">
        <w:rPr>
          <w:rFonts w:ascii="Arial" w:hAnsi="Arial" w:cs="Arial"/>
          <w:sz w:val="22"/>
          <w:szCs w:val="22"/>
        </w:rPr>
        <w:t>any matter in relation to the Applicant, its business or Securities which may harm the integrity or the reputation of the ADGM</w:t>
      </w:r>
      <w:r w:rsidR="003B4A96" w:rsidRPr="00FB2F3D">
        <w:rPr>
          <w:rFonts w:ascii="Arial" w:hAnsi="Arial" w:cs="Arial"/>
          <w:sz w:val="22"/>
          <w:szCs w:val="22"/>
        </w:rPr>
        <w:t xml:space="preserve"> Financial System</w:t>
      </w:r>
      <w:r w:rsidRPr="00FB2F3D">
        <w:rPr>
          <w:rFonts w:ascii="Arial" w:hAnsi="Arial" w:cs="Arial"/>
          <w:sz w:val="22"/>
          <w:szCs w:val="22"/>
        </w:rPr>
        <w:t xml:space="preserve"> or which may pose a risk to the Regulator's objectives described under section 2 of the FSMR; and</w:t>
      </w:r>
    </w:p>
    <w:p w14:paraId="76367213"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any other matters relevant to the Applicant's suitability.</w:t>
      </w:r>
    </w:p>
    <w:p w14:paraId="21C3383E"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59516762" w14:textId="77777777" w:rsidR="00892AFD" w:rsidRPr="00FB2F3D" w:rsidRDefault="00892AFD" w:rsidP="00892AFD">
      <w:pPr>
        <w:pStyle w:val="UK12Block05"/>
        <w:rPr>
          <w:rFonts w:ascii="Arial" w:hAnsi="Arial" w:cs="Arial"/>
          <w:sz w:val="22"/>
          <w:szCs w:val="22"/>
        </w:rPr>
      </w:pPr>
      <w:r w:rsidRPr="00FB2F3D">
        <w:rPr>
          <w:rFonts w:ascii="Arial" w:hAnsi="Arial" w:cs="Arial"/>
          <w:sz w:val="22"/>
          <w:szCs w:val="22"/>
        </w:rPr>
        <w:t xml:space="preserve">The Regulator would generally not admit to the </w:t>
      </w:r>
      <w:r w:rsidR="00C95481" w:rsidRPr="00FB2F3D">
        <w:rPr>
          <w:rFonts w:ascii="Arial" w:hAnsi="Arial" w:cs="Arial"/>
          <w:sz w:val="22"/>
          <w:szCs w:val="22"/>
        </w:rPr>
        <w:t xml:space="preserve">Official </w:t>
      </w:r>
      <w:r w:rsidRPr="00FB2F3D">
        <w:rPr>
          <w:rFonts w:ascii="Arial" w:hAnsi="Arial" w:cs="Arial"/>
          <w:sz w:val="22"/>
          <w:szCs w:val="22"/>
        </w:rPr>
        <w:t>List a cash shell.</w:t>
      </w:r>
    </w:p>
    <w:p w14:paraId="22F7F1AC"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Management experience and expertise</w:t>
      </w:r>
    </w:p>
    <w:p w14:paraId="1CFF0983"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An Applicant must demonstrate to the Regulator's satisfaction that its Directors have appropriate experience and expertise in the business operations of the Applicant.</w:t>
      </w:r>
    </w:p>
    <w:p w14:paraId="7F1C98A3"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Controlling Shareholder</w:t>
      </w:r>
    </w:p>
    <w:p w14:paraId="0718B24F" w14:textId="77777777" w:rsidR="00892AFD" w:rsidRPr="00FB2F3D" w:rsidRDefault="007441BA" w:rsidP="00892AFD">
      <w:pPr>
        <w:pStyle w:val="Heading3"/>
        <w:ind w:left="1440" w:hanging="1440"/>
        <w:rPr>
          <w:rFonts w:ascii="Arial" w:hAnsi="Arial" w:cs="Arial"/>
          <w:sz w:val="22"/>
          <w:szCs w:val="22"/>
        </w:rPr>
      </w:pPr>
      <w:bookmarkStart w:id="101" w:name="_Ref410073531"/>
      <w:r w:rsidRPr="00FB2F3D">
        <w:rPr>
          <w:rFonts w:ascii="Arial" w:hAnsi="Arial" w:cs="Arial"/>
          <w:iCs/>
          <w:sz w:val="22"/>
          <w:szCs w:val="22"/>
        </w:rPr>
        <w:t>(1)</w:t>
      </w:r>
      <w:r w:rsidR="00892AFD" w:rsidRPr="00FB2F3D">
        <w:rPr>
          <w:rFonts w:ascii="Arial" w:hAnsi="Arial" w:cs="Arial"/>
          <w:sz w:val="22"/>
          <w:szCs w:val="22"/>
        </w:rPr>
        <w:tab/>
        <w:t xml:space="preserve">Subject to </w:t>
      </w:r>
      <w:r w:rsidR="00693841" w:rsidRPr="00FB2F3D">
        <w:rPr>
          <w:rFonts w:ascii="Arial" w:hAnsi="Arial" w:cs="Arial"/>
          <w:sz w:val="22"/>
          <w:szCs w:val="22"/>
        </w:rPr>
        <w:t>(2)</w:t>
      </w:r>
      <w:r w:rsidR="00892AFD" w:rsidRPr="00FB2F3D">
        <w:rPr>
          <w:rFonts w:ascii="Arial" w:hAnsi="Arial" w:cs="Arial"/>
          <w:sz w:val="22"/>
          <w:szCs w:val="22"/>
        </w:rPr>
        <w:t xml:space="preserve">, to be admitted to the </w:t>
      </w:r>
      <w:r w:rsidR="00C95481" w:rsidRPr="00FB2F3D">
        <w:rPr>
          <w:rFonts w:ascii="Arial" w:hAnsi="Arial" w:cs="Arial"/>
          <w:sz w:val="22"/>
          <w:szCs w:val="22"/>
        </w:rPr>
        <w:t xml:space="preserve">Official </w:t>
      </w:r>
      <w:r w:rsidR="00892AFD" w:rsidRPr="00FB2F3D">
        <w:rPr>
          <w:rFonts w:ascii="Arial" w:hAnsi="Arial" w:cs="Arial"/>
          <w:sz w:val="22"/>
          <w:szCs w:val="22"/>
        </w:rPr>
        <w:t>List, an Applicant which has one or more controlling Shareholders must be able to demonstrate to the Regulator that it can operate its business independently of such controlling Shareholder and any Associate thereof.</w:t>
      </w:r>
      <w:bookmarkEnd w:id="101"/>
    </w:p>
    <w:p w14:paraId="597D355F" w14:textId="77777777" w:rsidR="00892AFD" w:rsidRPr="00FB2F3D" w:rsidRDefault="003B4A96" w:rsidP="003B4A96">
      <w:pPr>
        <w:pStyle w:val="Heading4"/>
        <w:numPr>
          <w:ilvl w:val="0"/>
          <w:numId w:val="0"/>
        </w:numPr>
        <w:ind w:left="1440" w:hanging="720"/>
        <w:rPr>
          <w:rFonts w:ascii="Arial" w:hAnsi="Arial" w:cs="Arial"/>
          <w:sz w:val="22"/>
          <w:szCs w:val="22"/>
        </w:rPr>
      </w:pPr>
      <w:bookmarkStart w:id="102" w:name="_Ref410669629"/>
      <w:r w:rsidRPr="00FB2F3D">
        <w:rPr>
          <w:rFonts w:ascii="Arial" w:hAnsi="Arial" w:cs="Arial"/>
          <w:sz w:val="22"/>
          <w:szCs w:val="22"/>
        </w:rPr>
        <w:t>(2)</w:t>
      </w:r>
      <w:r w:rsidRPr="00FB2F3D">
        <w:rPr>
          <w:rFonts w:ascii="Arial" w:hAnsi="Arial" w:cs="Arial"/>
          <w:sz w:val="22"/>
          <w:szCs w:val="22"/>
        </w:rPr>
        <w:tab/>
      </w:r>
      <w:r w:rsidR="00892AFD" w:rsidRPr="00FB2F3D">
        <w:rPr>
          <w:rFonts w:ascii="Arial" w:hAnsi="Arial" w:cs="Arial"/>
          <w:sz w:val="22"/>
          <w:szCs w:val="22"/>
        </w:rPr>
        <w:t xml:space="preserve">The requirement in </w:t>
      </w:r>
      <w:r w:rsidR="00693841" w:rsidRPr="00FB2F3D">
        <w:rPr>
          <w:rFonts w:ascii="Arial" w:hAnsi="Arial" w:cs="Arial"/>
          <w:sz w:val="22"/>
          <w:szCs w:val="22"/>
        </w:rPr>
        <w:t>(1)</w:t>
      </w:r>
      <w:r w:rsidR="00892AFD" w:rsidRPr="00FB2F3D">
        <w:rPr>
          <w:rFonts w:ascii="Arial" w:hAnsi="Arial" w:cs="Arial"/>
          <w:sz w:val="22"/>
          <w:szCs w:val="22"/>
        </w:rPr>
        <w:t xml:space="preserve"> does not apply if an Applicant can demonstrate to the Regulator's satisfaction that holders of the Issuer's Shares would have no appreciable risk of prejudice by the involvement in the relevant business of a controlling Shareholder.</w:t>
      </w:r>
      <w:bookmarkEnd w:id="102"/>
    </w:p>
    <w:p w14:paraId="337571F4" w14:textId="77777777" w:rsidR="00892AFD" w:rsidRPr="00FB2F3D" w:rsidRDefault="003B4A96" w:rsidP="003B4A96">
      <w:pPr>
        <w:pStyle w:val="Heading4"/>
        <w:numPr>
          <w:ilvl w:val="0"/>
          <w:numId w:val="0"/>
        </w:numPr>
        <w:ind w:left="1440" w:hanging="720"/>
        <w:rPr>
          <w:rFonts w:ascii="Arial" w:hAnsi="Arial" w:cs="Arial"/>
          <w:sz w:val="22"/>
          <w:szCs w:val="22"/>
        </w:rPr>
      </w:pPr>
      <w:bookmarkStart w:id="103" w:name="_Ref410634753"/>
      <w:r w:rsidRPr="00FB2F3D">
        <w:rPr>
          <w:rFonts w:ascii="Arial" w:hAnsi="Arial" w:cs="Arial"/>
          <w:sz w:val="22"/>
          <w:szCs w:val="22"/>
        </w:rPr>
        <w:t>(3)</w:t>
      </w:r>
      <w:r w:rsidRPr="00FB2F3D">
        <w:rPr>
          <w:rFonts w:ascii="Arial" w:hAnsi="Arial" w:cs="Arial"/>
          <w:sz w:val="22"/>
          <w:szCs w:val="22"/>
        </w:rPr>
        <w:tab/>
      </w:r>
      <w:r w:rsidR="00892AFD" w:rsidRPr="00FB2F3D">
        <w:rPr>
          <w:rFonts w:ascii="Arial" w:hAnsi="Arial" w:cs="Arial"/>
          <w:sz w:val="22"/>
          <w:szCs w:val="22"/>
        </w:rPr>
        <w:t>For the purposes of this chapter, a controlling Shareholder is any Person, or</w:t>
      </w:r>
      <w:r w:rsidR="00892AFD" w:rsidRPr="00FB2F3D">
        <w:rPr>
          <w:rFonts w:ascii="Arial" w:hAnsi="Arial" w:cs="Arial"/>
          <w:sz w:val="22"/>
          <w:szCs w:val="22"/>
          <w:lang w:eastAsia="ja-JP"/>
        </w:rPr>
        <w:t xml:space="preserve"> </w:t>
      </w:r>
      <w:r w:rsidR="00892AFD" w:rsidRPr="00FB2F3D">
        <w:rPr>
          <w:rFonts w:ascii="Arial" w:hAnsi="Arial" w:cs="Arial"/>
          <w:sz w:val="22"/>
          <w:szCs w:val="22"/>
        </w:rPr>
        <w:t>Persons acting jointly by agreement, whether formal or otherwise, who is:</w:t>
      </w:r>
      <w:bookmarkEnd w:id="103"/>
    </w:p>
    <w:p w14:paraId="3BA15B75"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entitled to exercise, or control the exercise of, 30% or more of the voting rights at a general meeting of the Applicant; or</w:t>
      </w:r>
    </w:p>
    <w:p w14:paraId="383E6BB9"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able to control the appointment of one or more Directors who are able to exercise a majority of the votes at Board meetings of the Applicant.</w:t>
      </w:r>
    </w:p>
    <w:p w14:paraId="4DB77857"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lastRenderedPageBreak/>
        <w:t>Guidance</w:t>
      </w:r>
    </w:p>
    <w:p w14:paraId="12907D2C" w14:textId="77777777" w:rsidR="00892AFD" w:rsidRPr="00FB2F3D" w:rsidRDefault="00892AFD" w:rsidP="00892AFD">
      <w:pPr>
        <w:pStyle w:val="UK12Block05"/>
        <w:rPr>
          <w:rFonts w:ascii="Arial" w:hAnsi="Arial" w:cs="Arial"/>
          <w:sz w:val="22"/>
          <w:szCs w:val="22"/>
        </w:rPr>
      </w:pPr>
      <w:r w:rsidRPr="00FB2F3D">
        <w:rPr>
          <w:rFonts w:ascii="Arial" w:hAnsi="Arial" w:cs="Arial"/>
          <w:sz w:val="22"/>
          <w:szCs w:val="22"/>
        </w:rPr>
        <w:t>The Regulator considers that for an Applicant to operate its business independently of a controlling Shareholder all transactions and relationships between the Listed Entity and any controlling Shareholder (or Associate) must be at arm's length and on normal commercial terms.</w:t>
      </w:r>
    </w:p>
    <w:p w14:paraId="4C1EB31C"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Conflicts of interest</w:t>
      </w:r>
    </w:p>
    <w:p w14:paraId="50CA26DE" w14:textId="5102AD93" w:rsidR="00892AFD" w:rsidRPr="00FB2F3D" w:rsidRDefault="007441BA" w:rsidP="003B4A96">
      <w:pPr>
        <w:pStyle w:val="Heading3"/>
        <w:ind w:left="1440" w:hanging="1440"/>
        <w:rPr>
          <w:rFonts w:ascii="Arial" w:hAnsi="Arial" w:cs="Arial"/>
          <w:sz w:val="22"/>
          <w:szCs w:val="22"/>
        </w:rPr>
      </w:pPr>
      <w:r w:rsidRPr="00FB2F3D">
        <w:rPr>
          <w:rFonts w:ascii="Arial" w:hAnsi="Arial" w:cs="Arial"/>
          <w:sz w:val="22"/>
          <w:szCs w:val="22"/>
        </w:rPr>
        <w:t>(1)</w:t>
      </w:r>
      <w:r w:rsidR="00892AFD" w:rsidRPr="00FB2F3D">
        <w:rPr>
          <w:rFonts w:ascii="Arial" w:hAnsi="Arial" w:cs="Arial"/>
          <w:sz w:val="22"/>
          <w:szCs w:val="22"/>
        </w:rPr>
        <w:tab/>
        <w:t xml:space="preserve">An Applicant must, subject to </w:t>
      </w:r>
      <w:r w:rsidR="00693841" w:rsidRPr="00FB2F3D">
        <w:rPr>
          <w:rFonts w:ascii="Arial" w:hAnsi="Arial" w:cs="Arial"/>
          <w:sz w:val="22"/>
          <w:szCs w:val="22"/>
        </w:rPr>
        <w:t>(2)</w:t>
      </w:r>
      <w:r w:rsidR="001E087D">
        <w:rPr>
          <w:rFonts w:ascii="Arial" w:hAnsi="Arial" w:cs="Arial"/>
          <w:sz w:val="22"/>
          <w:szCs w:val="22"/>
        </w:rPr>
        <w:t xml:space="preserve"> and</w:t>
      </w:r>
      <w:r w:rsidR="00892AFD" w:rsidRPr="00FB2F3D">
        <w:rPr>
          <w:rFonts w:ascii="Arial" w:hAnsi="Arial" w:cs="Arial"/>
          <w:sz w:val="22"/>
          <w:szCs w:val="22"/>
        </w:rPr>
        <w:t xml:space="preserve"> prior to </w:t>
      </w:r>
      <w:r w:rsidR="003B4A96" w:rsidRPr="00FB2F3D">
        <w:rPr>
          <w:rFonts w:ascii="Arial" w:hAnsi="Arial" w:cs="Arial"/>
          <w:sz w:val="22"/>
          <w:szCs w:val="22"/>
        </w:rPr>
        <w:t>admission to the Official List</w:t>
      </w:r>
      <w:r w:rsidR="001E087D">
        <w:rPr>
          <w:rFonts w:ascii="Arial" w:hAnsi="Arial" w:cs="Arial"/>
          <w:sz w:val="22"/>
          <w:szCs w:val="22"/>
        </w:rPr>
        <w:t>, ensure</w:t>
      </w:r>
      <w:r w:rsidR="00892AFD" w:rsidRPr="00FB2F3D">
        <w:rPr>
          <w:rFonts w:ascii="Arial" w:hAnsi="Arial" w:cs="Arial"/>
          <w:sz w:val="22"/>
          <w:szCs w:val="22"/>
        </w:rPr>
        <w:t xml:space="preserve"> that it has adequate systems and controls to eliminate or manage material conflicts of interest in its business.</w:t>
      </w:r>
    </w:p>
    <w:p w14:paraId="7641E97D" w14:textId="77777777" w:rsidR="00892AFD" w:rsidRPr="00FB2F3D" w:rsidRDefault="003B4A96" w:rsidP="003B4A96">
      <w:pPr>
        <w:pStyle w:val="Heading4"/>
        <w:numPr>
          <w:ilvl w:val="0"/>
          <w:numId w:val="0"/>
        </w:numPr>
        <w:ind w:left="1440" w:hanging="630"/>
        <w:rPr>
          <w:rFonts w:ascii="Arial" w:hAnsi="Arial" w:cs="Arial"/>
          <w:sz w:val="22"/>
          <w:szCs w:val="22"/>
        </w:rPr>
      </w:pPr>
      <w:bookmarkStart w:id="104" w:name="_Ref410669650"/>
      <w:r w:rsidRPr="00FB2F3D">
        <w:rPr>
          <w:rFonts w:ascii="Arial" w:hAnsi="Arial" w:cs="Arial"/>
          <w:sz w:val="22"/>
          <w:szCs w:val="22"/>
        </w:rPr>
        <w:t>(2)</w:t>
      </w:r>
      <w:r w:rsidRPr="00FB2F3D">
        <w:rPr>
          <w:rFonts w:ascii="Arial" w:hAnsi="Arial" w:cs="Arial"/>
          <w:sz w:val="22"/>
          <w:szCs w:val="22"/>
        </w:rPr>
        <w:tab/>
      </w:r>
      <w:r w:rsidR="00892AFD" w:rsidRPr="00FB2F3D">
        <w:rPr>
          <w:rFonts w:ascii="Arial" w:hAnsi="Arial" w:cs="Arial"/>
          <w:sz w:val="22"/>
          <w:szCs w:val="22"/>
        </w:rPr>
        <w:t xml:space="preserve">The Regulator may accept a proposal from an Applicant to eliminate or manage conflicts of interest within a reasonable period after </w:t>
      </w:r>
      <w:r w:rsidRPr="00FB2F3D">
        <w:rPr>
          <w:rFonts w:ascii="Arial" w:hAnsi="Arial" w:cs="Arial"/>
          <w:sz w:val="22"/>
          <w:szCs w:val="22"/>
        </w:rPr>
        <w:t>admission to the Official List</w:t>
      </w:r>
      <w:r w:rsidR="00892AFD" w:rsidRPr="00FB2F3D">
        <w:rPr>
          <w:rFonts w:ascii="Arial" w:hAnsi="Arial" w:cs="Arial"/>
          <w:sz w:val="22"/>
          <w:szCs w:val="22"/>
        </w:rPr>
        <w:t xml:space="preserve"> if the Applicant can demonstrate to the Regulator's satisfaction that holders of the Issuer's Shares would not be unduly prejudiced by the arrangements.</w:t>
      </w:r>
      <w:bookmarkEnd w:id="104"/>
    </w:p>
    <w:p w14:paraId="59A74E41"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0271F88C" w14:textId="77777777" w:rsidR="00892AFD" w:rsidRPr="00FB2F3D" w:rsidRDefault="00892AFD" w:rsidP="00892AFD">
      <w:pPr>
        <w:pStyle w:val="UK12Block05"/>
        <w:rPr>
          <w:rFonts w:ascii="Arial" w:hAnsi="Arial" w:cs="Arial"/>
          <w:sz w:val="22"/>
          <w:szCs w:val="22"/>
        </w:rPr>
      </w:pPr>
      <w:r w:rsidRPr="00FB2F3D">
        <w:rPr>
          <w:rFonts w:ascii="Arial" w:hAnsi="Arial" w:cs="Arial"/>
          <w:sz w:val="22"/>
          <w:szCs w:val="22"/>
        </w:rPr>
        <w:t>Examples of material conflicts of interest may include Related Party Transactions in Rule </w:t>
      </w:r>
      <w:r w:rsidR="00693841" w:rsidRPr="00FB2F3D">
        <w:rPr>
          <w:rFonts w:ascii="Arial" w:hAnsi="Arial" w:cs="Arial"/>
          <w:sz w:val="22"/>
          <w:szCs w:val="22"/>
        </w:rPr>
        <w:t>9.5</w:t>
      </w:r>
      <w:r w:rsidRPr="00FB2F3D">
        <w:rPr>
          <w:rFonts w:ascii="Arial" w:hAnsi="Arial" w:cs="Arial"/>
          <w:sz w:val="22"/>
          <w:szCs w:val="22"/>
        </w:rPr>
        <w:t xml:space="preserve"> and situations in which interested Persons:</w:t>
      </w:r>
    </w:p>
    <w:p w14:paraId="6958B9AC" w14:textId="77777777" w:rsidR="00892AFD" w:rsidRPr="00FB2F3D" w:rsidRDefault="00892AFD" w:rsidP="003B4A96">
      <w:pPr>
        <w:pStyle w:val="GuidanceNotesnumbering"/>
        <w:numPr>
          <w:ilvl w:val="1"/>
          <w:numId w:val="30"/>
        </w:numPr>
        <w:spacing w:line="240" w:lineRule="auto"/>
        <w:ind w:left="1440"/>
        <w:rPr>
          <w:rFonts w:ascii="Arial" w:hAnsi="Arial" w:cs="Arial"/>
          <w:sz w:val="22"/>
          <w:szCs w:val="22"/>
        </w:rPr>
      </w:pPr>
      <w:r w:rsidRPr="00FB2F3D">
        <w:rPr>
          <w:rFonts w:ascii="Arial" w:hAnsi="Arial" w:cs="Arial"/>
          <w:sz w:val="22"/>
          <w:szCs w:val="22"/>
        </w:rPr>
        <w:t>lend to or borrow from the Issuer or its Group;</w:t>
      </w:r>
    </w:p>
    <w:p w14:paraId="0BD7D8C7" w14:textId="77777777" w:rsidR="00892AFD" w:rsidRPr="00FB2F3D" w:rsidRDefault="00892AFD" w:rsidP="003B4A96">
      <w:pPr>
        <w:pStyle w:val="GuidanceNotesnumbering"/>
        <w:numPr>
          <w:ilvl w:val="1"/>
          <w:numId w:val="30"/>
        </w:numPr>
        <w:spacing w:line="240" w:lineRule="auto"/>
        <w:ind w:left="1440"/>
        <w:rPr>
          <w:rFonts w:ascii="Arial" w:hAnsi="Arial" w:cs="Arial"/>
          <w:sz w:val="22"/>
          <w:szCs w:val="22"/>
        </w:rPr>
      </w:pPr>
      <w:r w:rsidRPr="00FB2F3D">
        <w:rPr>
          <w:rFonts w:ascii="Arial" w:hAnsi="Arial" w:cs="Arial"/>
          <w:sz w:val="22"/>
          <w:szCs w:val="22"/>
        </w:rPr>
        <w:t>lease property to or from the Issuer or its Group; or</w:t>
      </w:r>
    </w:p>
    <w:p w14:paraId="72A3F3E0" w14:textId="77777777" w:rsidR="00892AFD" w:rsidRPr="00FB2F3D" w:rsidRDefault="00892AFD" w:rsidP="003B4A96">
      <w:pPr>
        <w:pStyle w:val="GuidanceNotesnumbering"/>
        <w:numPr>
          <w:ilvl w:val="1"/>
          <w:numId w:val="30"/>
        </w:numPr>
        <w:spacing w:line="240" w:lineRule="auto"/>
        <w:ind w:left="1440"/>
        <w:rPr>
          <w:rFonts w:ascii="Arial" w:hAnsi="Arial" w:cs="Arial"/>
          <w:sz w:val="22"/>
          <w:szCs w:val="22"/>
        </w:rPr>
      </w:pPr>
      <w:r w:rsidRPr="00FB2F3D">
        <w:rPr>
          <w:rFonts w:ascii="Arial" w:hAnsi="Arial" w:cs="Arial"/>
          <w:sz w:val="22"/>
          <w:szCs w:val="22"/>
        </w:rPr>
        <w:t>have an interest in businesses that are competitors, suppliers or Customers of the Issuer or its</w:t>
      </w:r>
      <w:r w:rsidRPr="00FB2F3D">
        <w:rPr>
          <w:rFonts w:ascii="Arial" w:hAnsi="Arial" w:cs="Arial"/>
          <w:sz w:val="22"/>
          <w:szCs w:val="22"/>
          <w:lang w:eastAsia="ja-JP"/>
        </w:rPr>
        <w:t xml:space="preserve"> </w:t>
      </w:r>
      <w:r w:rsidRPr="00FB2F3D">
        <w:rPr>
          <w:rFonts w:ascii="Arial" w:hAnsi="Arial" w:cs="Arial"/>
          <w:sz w:val="22"/>
          <w:szCs w:val="22"/>
        </w:rPr>
        <w:t>Group.</w:t>
      </w:r>
    </w:p>
    <w:p w14:paraId="16CFD150"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Validity and transferability</w:t>
      </w:r>
    </w:p>
    <w:p w14:paraId="3D9DA422" w14:textId="77777777" w:rsidR="00892AFD" w:rsidRPr="00FB2F3D" w:rsidRDefault="00892AFD" w:rsidP="00892AFD">
      <w:pPr>
        <w:pStyle w:val="Heading3"/>
        <w:keepNext/>
        <w:rPr>
          <w:rFonts w:ascii="Arial" w:hAnsi="Arial" w:cs="Arial"/>
          <w:sz w:val="22"/>
          <w:szCs w:val="22"/>
        </w:rPr>
      </w:pPr>
      <w:bookmarkStart w:id="105" w:name="_Ref410073357"/>
      <w:bookmarkStart w:id="106" w:name="_Ref410634391"/>
      <w:r w:rsidRPr="00FB2F3D">
        <w:rPr>
          <w:rFonts w:ascii="Arial" w:hAnsi="Arial" w:cs="Arial"/>
          <w:sz w:val="22"/>
          <w:szCs w:val="22"/>
        </w:rPr>
        <w:t xml:space="preserve">To be admitted to the </w:t>
      </w:r>
      <w:r w:rsidR="00C95481" w:rsidRPr="00FB2F3D">
        <w:rPr>
          <w:rFonts w:ascii="Arial" w:hAnsi="Arial" w:cs="Arial"/>
          <w:sz w:val="22"/>
          <w:szCs w:val="22"/>
        </w:rPr>
        <w:t xml:space="preserve">Official </w:t>
      </w:r>
      <w:r w:rsidRPr="00FB2F3D">
        <w:rPr>
          <w:rFonts w:ascii="Arial" w:hAnsi="Arial" w:cs="Arial"/>
          <w:sz w:val="22"/>
          <w:szCs w:val="22"/>
        </w:rPr>
        <w:t>List, an Applicant's Securities must</w:t>
      </w:r>
      <w:bookmarkEnd w:id="105"/>
      <w:r w:rsidRPr="00FB2F3D">
        <w:rPr>
          <w:rFonts w:ascii="Arial" w:hAnsi="Arial" w:cs="Arial"/>
          <w:sz w:val="22"/>
          <w:szCs w:val="22"/>
        </w:rPr>
        <w:t>:</w:t>
      </w:r>
      <w:bookmarkEnd w:id="106"/>
    </w:p>
    <w:p w14:paraId="63AE7D6C" w14:textId="77777777" w:rsidR="00892AFD" w:rsidRPr="00FB2F3D" w:rsidRDefault="00892AFD" w:rsidP="00E9220D">
      <w:pPr>
        <w:pStyle w:val="Heading4"/>
        <w:rPr>
          <w:rFonts w:ascii="Arial" w:hAnsi="Arial" w:cs="Arial"/>
          <w:sz w:val="22"/>
          <w:szCs w:val="22"/>
        </w:rPr>
      </w:pPr>
      <w:r w:rsidRPr="00FB2F3D">
        <w:rPr>
          <w:rFonts w:ascii="Arial" w:hAnsi="Arial" w:cs="Arial"/>
          <w:sz w:val="22"/>
          <w:szCs w:val="22"/>
        </w:rPr>
        <w:t>be duly authorised according to the requirements of the Applicant's constitution;</w:t>
      </w:r>
    </w:p>
    <w:p w14:paraId="380E869B" w14:textId="77777777" w:rsidR="00892AFD" w:rsidRPr="00FB2F3D" w:rsidRDefault="00892AFD" w:rsidP="00E9220D">
      <w:pPr>
        <w:pStyle w:val="Heading4"/>
        <w:rPr>
          <w:rFonts w:ascii="Arial" w:hAnsi="Arial" w:cs="Arial"/>
          <w:sz w:val="22"/>
          <w:szCs w:val="22"/>
          <w:lang w:eastAsia="ja-JP"/>
        </w:rPr>
      </w:pPr>
      <w:r w:rsidRPr="00FB2F3D">
        <w:rPr>
          <w:rFonts w:ascii="Arial" w:hAnsi="Arial" w:cs="Arial"/>
          <w:sz w:val="22"/>
          <w:szCs w:val="22"/>
        </w:rPr>
        <w:t>have any necessary statutory or other consents;</w:t>
      </w:r>
    </w:p>
    <w:p w14:paraId="204EB124" w14:textId="77777777" w:rsidR="00892AFD" w:rsidRPr="00FB2F3D" w:rsidRDefault="00892AFD" w:rsidP="00E9220D">
      <w:pPr>
        <w:pStyle w:val="Heading4"/>
        <w:rPr>
          <w:rFonts w:ascii="Arial" w:hAnsi="Arial" w:cs="Arial"/>
          <w:sz w:val="22"/>
          <w:szCs w:val="22"/>
        </w:rPr>
      </w:pPr>
      <w:r w:rsidRPr="00FB2F3D">
        <w:rPr>
          <w:rFonts w:ascii="Arial" w:hAnsi="Arial" w:cs="Arial"/>
          <w:sz w:val="22"/>
          <w:szCs w:val="22"/>
        </w:rPr>
        <w:t>be freely transferable; and</w:t>
      </w:r>
    </w:p>
    <w:p w14:paraId="05EE7AD6" w14:textId="77777777" w:rsidR="00892AFD" w:rsidRPr="00FB2F3D" w:rsidRDefault="00892AFD" w:rsidP="00E9220D">
      <w:pPr>
        <w:pStyle w:val="Heading4"/>
        <w:rPr>
          <w:rFonts w:ascii="Arial" w:hAnsi="Arial" w:cs="Arial"/>
          <w:sz w:val="22"/>
          <w:szCs w:val="22"/>
        </w:rPr>
      </w:pPr>
      <w:r w:rsidRPr="00FB2F3D">
        <w:rPr>
          <w:rFonts w:ascii="Arial" w:hAnsi="Arial" w:cs="Arial"/>
          <w:sz w:val="22"/>
          <w:szCs w:val="22"/>
        </w:rPr>
        <w:t>in the case of Shares, be fully paid and free from any liens and from any restrictions on the right of transfer.</w:t>
      </w:r>
    </w:p>
    <w:p w14:paraId="28EB2588"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600B9850" w14:textId="77777777" w:rsidR="00892AFD" w:rsidRPr="00FB2F3D" w:rsidRDefault="00892AFD" w:rsidP="00892AFD">
      <w:pPr>
        <w:pStyle w:val="UK12Block05"/>
        <w:rPr>
          <w:rFonts w:ascii="Arial" w:hAnsi="Arial" w:cs="Arial"/>
          <w:sz w:val="22"/>
          <w:szCs w:val="22"/>
        </w:rPr>
      </w:pPr>
      <w:r w:rsidRPr="00FB2F3D">
        <w:rPr>
          <w:rFonts w:ascii="Arial" w:hAnsi="Arial" w:cs="Arial"/>
          <w:sz w:val="22"/>
          <w:szCs w:val="22"/>
        </w:rPr>
        <w:t>The Regulator may, in exceptional circumstances, waive or modify Rule </w:t>
      </w:r>
      <w:r w:rsidR="00693841" w:rsidRPr="00FB2F3D">
        <w:rPr>
          <w:rFonts w:ascii="Arial" w:hAnsi="Arial" w:cs="Arial"/>
          <w:sz w:val="22"/>
          <w:szCs w:val="22"/>
        </w:rPr>
        <w:t>2.3.8</w:t>
      </w:r>
      <w:r w:rsidRPr="00FB2F3D">
        <w:rPr>
          <w:rFonts w:ascii="Arial" w:hAnsi="Arial" w:cs="Arial"/>
          <w:sz w:val="22"/>
          <w:szCs w:val="22"/>
        </w:rPr>
        <w:t xml:space="preserve"> where the Applicant has the power to disapprove the transfer of Shares, if the Regulator is satisfied that this power would not disturb the market in those Shares.</w:t>
      </w:r>
    </w:p>
    <w:p w14:paraId="37DF20F6"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Market capitalisation</w:t>
      </w:r>
    </w:p>
    <w:p w14:paraId="4252A4C7" w14:textId="77777777" w:rsidR="00535142" w:rsidRDefault="00892AFD" w:rsidP="003B4A96">
      <w:pPr>
        <w:pStyle w:val="Heading3"/>
        <w:rPr>
          <w:rFonts w:ascii="Arial" w:hAnsi="Arial" w:cs="Arial"/>
          <w:sz w:val="22"/>
          <w:szCs w:val="22"/>
        </w:rPr>
      </w:pPr>
      <w:r w:rsidRPr="00FB2F3D">
        <w:rPr>
          <w:rFonts w:ascii="Arial" w:hAnsi="Arial" w:cs="Arial"/>
          <w:sz w:val="22"/>
          <w:szCs w:val="22"/>
        </w:rPr>
        <w:t xml:space="preserve">An Applicant must ensure that </w:t>
      </w:r>
      <w:r w:rsidR="001E087D">
        <w:rPr>
          <w:rFonts w:ascii="Arial" w:hAnsi="Arial" w:cs="Arial"/>
          <w:sz w:val="22"/>
          <w:szCs w:val="22"/>
        </w:rPr>
        <w:t xml:space="preserve">it, and </w:t>
      </w:r>
      <w:r w:rsidRPr="00FB2F3D">
        <w:rPr>
          <w:rFonts w:ascii="Arial" w:hAnsi="Arial" w:cs="Arial"/>
          <w:sz w:val="22"/>
          <w:szCs w:val="22"/>
        </w:rPr>
        <w:t>the Securities which it seeks to</w:t>
      </w:r>
      <w:r w:rsidR="003B4A96" w:rsidRPr="00FB2F3D">
        <w:rPr>
          <w:rFonts w:ascii="Arial" w:hAnsi="Arial" w:cs="Arial"/>
          <w:sz w:val="22"/>
          <w:szCs w:val="22"/>
        </w:rPr>
        <w:t xml:space="preserve"> admit to the Official L</w:t>
      </w:r>
      <w:r w:rsidRPr="00FB2F3D">
        <w:rPr>
          <w:rFonts w:ascii="Arial" w:hAnsi="Arial" w:cs="Arial"/>
          <w:sz w:val="22"/>
          <w:szCs w:val="22"/>
        </w:rPr>
        <w:t>ist</w:t>
      </w:r>
      <w:r w:rsidR="00535142">
        <w:rPr>
          <w:rFonts w:ascii="Arial" w:hAnsi="Arial" w:cs="Arial"/>
          <w:sz w:val="22"/>
          <w:szCs w:val="22"/>
        </w:rPr>
        <w:t>:</w:t>
      </w:r>
    </w:p>
    <w:p w14:paraId="5B8DCDCD" w14:textId="77777777" w:rsidR="00535142" w:rsidRDefault="00535142" w:rsidP="00535142">
      <w:pPr>
        <w:pStyle w:val="Heading3"/>
        <w:numPr>
          <w:ilvl w:val="0"/>
          <w:numId w:val="0"/>
        </w:numPr>
        <w:ind w:left="1418" w:hanging="709"/>
        <w:rPr>
          <w:rFonts w:ascii="Arial" w:hAnsi="Arial" w:cs="Arial"/>
          <w:sz w:val="22"/>
          <w:szCs w:val="22"/>
        </w:rPr>
      </w:pPr>
      <w:r>
        <w:rPr>
          <w:rFonts w:ascii="Arial" w:hAnsi="Arial" w:cs="Arial"/>
          <w:sz w:val="22"/>
          <w:szCs w:val="22"/>
        </w:rPr>
        <w:t>(1)</w:t>
      </w:r>
      <w:r>
        <w:rPr>
          <w:rFonts w:ascii="Arial" w:hAnsi="Arial" w:cs="Arial"/>
          <w:sz w:val="22"/>
          <w:szCs w:val="22"/>
        </w:rPr>
        <w:tab/>
        <w:t>where the application relates to Shares, satisfy either the profits eligibility test in Rule 2.3.15 or the assets eligibility test in Rule 2.3.16; or</w:t>
      </w:r>
    </w:p>
    <w:p w14:paraId="68697EFA" w14:textId="0BCE4751" w:rsidR="00AE0EB1" w:rsidRPr="00FB2F3D" w:rsidRDefault="00535142" w:rsidP="00535142">
      <w:pPr>
        <w:pStyle w:val="Heading3"/>
        <w:numPr>
          <w:ilvl w:val="0"/>
          <w:numId w:val="0"/>
        </w:numPr>
        <w:ind w:left="1418" w:hanging="709"/>
        <w:rPr>
          <w:rFonts w:ascii="Arial" w:hAnsi="Arial" w:cs="Arial"/>
          <w:sz w:val="22"/>
          <w:szCs w:val="22"/>
        </w:rPr>
      </w:pPr>
      <w:r>
        <w:rPr>
          <w:rFonts w:ascii="Arial" w:hAnsi="Arial" w:cs="Arial"/>
          <w:sz w:val="22"/>
          <w:szCs w:val="22"/>
        </w:rPr>
        <w:lastRenderedPageBreak/>
        <w:t>(2)</w:t>
      </w:r>
      <w:r>
        <w:rPr>
          <w:rFonts w:ascii="Arial" w:hAnsi="Arial" w:cs="Arial"/>
          <w:sz w:val="22"/>
          <w:szCs w:val="22"/>
        </w:rPr>
        <w:tab/>
        <w:t>where the application relates to Debentures,</w:t>
      </w:r>
      <w:r w:rsidR="00892AFD" w:rsidRPr="00FB2F3D">
        <w:rPr>
          <w:rFonts w:ascii="Arial" w:hAnsi="Arial" w:cs="Arial"/>
          <w:sz w:val="22"/>
          <w:szCs w:val="22"/>
        </w:rPr>
        <w:t xml:space="preserve"> have </w:t>
      </w:r>
      <w:r>
        <w:rPr>
          <w:rFonts w:ascii="Arial" w:hAnsi="Arial" w:cs="Arial"/>
          <w:sz w:val="22"/>
          <w:szCs w:val="22"/>
        </w:rPr>
        <w:t xml:space="preserve">a Market Capitalisation </w:t>
      </w:r>
      <w:r w:rsidR="00892AFD" w:rsidRPr="00FB2F3D">
        <w:rPr>
          <w:rFonts w:ascii="Arial" w:hAnsi="Arial" w:cs="Arial"/>
          <w:sz w:val="22"/>
          <w:szCs w:val="22"/>
        </w:rPr>
        <w:t>of at least</w:t>
      </w:r>
      <w:r>
        <w:rPr>
          <w:rFonts w:ascii="Arial" w:hAnsi="Arial" w:cs="Arial"/>
          <w:sz w:val="22"/>
          <w:szCs w:val="22"/>
        </w:rPr>
        <w:t xml:space="preserve"> </w:t>
      </w:r>
      <w:r w:rsidR="00892AFD" w:rsidRPr="00FB2F3D">
        <w:rPr>
          <w:rFonts w:ascii="Arial" w:hAnsi="Arial" w:cs="Arial"/>
          <w:sz w:val="22"/>
          <w:szCs w:val="22"/>
        </w:rPr>
        <w:t>$2 million.</w:t>
      </w:r>
    </w:p>
    <w:p w14:paraId="32392A37"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Shares in public hands</w:t>
      </w:r>
    </w:p>
    <w:p w14:paraId="56156150" w14:textId="77777777" w:rsidR="00892AFD" w:rsidRPr="00FB2F3D" w:rsidRDefault="007441BA" w:rsidP="00892AFD">
      <w:pPr>
        <w:pStyle w:val="Heading3"/>
        <w:ind w:left="1440" w:hanging="1440"/>
        <w:rPr>
          <w:rFonts w:ascii="Arial" w:hAnsi="Arial" w:cs="Arial"/>
          <w:sz w:val="22"/>
          <w:szCs w:val="22"/>
        </w:rPr>
      </w:pPr>
      <w:bookmarkStart w:id="107" w:name="_Ref410060422"/>
      <w:r w:rsidRPr="00FB2F3D">
        <w:rPr>
          <w:rFonts w:ascii="Arial" w:hAnsi="Arial" w:cs="Arial"/>
          <w:sz w:val="22"/>
          <w:szCs w:val="22"/>
        </w:rPr>
        <w:t>(1)</w:t>
      </w:r>
      <w:r w:rsidR="00892AFD" w:rsidRPr="00FB2F3D">
        <w:rPr>
          <w:rFonts w:ascii="Arial" w:hAnsi="Arial" w:cs="Arial"/>
          <w:sz w:val="22"/>
          <w:szCs w:val="22"/>
        </w:rPr>
        <w:tab/>
        <w:t xml:space="preserve">If an application is made for the admission of a class of Shares, a sufficient number of Shares of that class must, no later than the time of admission, be </w:t>
      </w:r>
      <w:bookmarkEnd w:id="107"/>
      <w:r w:rsidR="000079BE" w:rsidRPr="00FB2F3D">
        <w:rPr>
          <w:rFonts w:ascii="Arial" w:hAnsi="Arial" w:cs="Arial"/>
          <w:sz w:val="22"/>
          <w:szCs w:val="22"/>
        </w:rPr>
        <w:t>in public hands.</w:t>
      </w:r>
    </w:p>
    <w:p w14:paraId="0D431208" w14:textId="4944C6F7" w:rsidR="00AE0EB1" w:rsidRPr="00FB2F3D" w:rsidRDefault="003B4A96" w:rsidP="003B4A96">
      <w:pPr>
        <w:pStyle w:val="Heading4"/>
        <w:numPr>
          <w:ilvl w:val="0"/>
          <w:numId w:val="0"/>
        </w:numPr>
        <w:ind w:left="1440" w:hanging="720"/>
        <w:rPr>
          <w:rFonts w:ascii="Arial" w:hAnsi="Arial" w:cs="Arial"/>
          <w:sz w:val="22"/>
          <w:szCs w:val="22"/>
        </w:rPr>
      </w:pPr>
      <w:bookmarkStart w:id="108" w:name="_Ref430782593"/>
      <w:bookmarkStart w:id="109" w:name="_Ref410634415"/>
      <w:r w:rsidRPr="00FB2F3D">
        <w:rPr>
          <w:rFonts w:ascii="Arial" w:hAnsi="Arial" w:cs="Arial"/>
          <w:sz w:val="22"/>
          <w:szCs w:val="22"/>
        </w:rPr>
        <w:t>(2)</w:t>
      </w:r>
      <w:r w:rsidRPr="00FB2F3D">
        <w:rPr>
          <w:rFonts w:ascii="Arial" w:hAnsi="Arial" w:cs="Arial"/>
          <w:sz w:val="22"/>
          <w:szCs w:val="22"/>
        </w:rPr>
        <w:tab/>
      </w:r>
      <w:r w:rsidR="00892AFD" w:rsidRPr="00FB2F3D">
        <w:rPr>
          <w:rFonts w:ascii="Arial" w:hAnsi="Arial" w:cs="Arial"/>
          <w:sz w:val="22"/>
          <w:szCs w:val="22"/>
        </w:rPr>
        <w:t xml:space="preserve">For the purposes of </w:t>
      </w:r>
      <w:r w:rsidR="00693841" w:rsidRPr="00FB2F3D">
        <w:rPr>
          <w:rFonts w:ascii="Arial" w:hAnsi="Arial" w:cs="Arial"/>
          <w:sz w:val="22"/>
          <w:szCs w:val="22"/>
        </w:rPr>
        <w:t>(1)</w:t>
      </w:r>
      <w:r w:rsidR="00892AFD" w:rsidRPr="00FB2F3D">
        <w:rPr>
          <w:rFonts w:ascii="Arial" w:hAnsi="Arial" w:cs="Arial"/>
          <w:sz w:val="22"/>
          <w:szCs w:val="22"/>
        </w:rPr>
        <w:t xml:space="preserve">, a sufficient number of Shares will be taken to have been distributed to the public </w:t>
      </w:r>
      <w:r w:rsidR="00AE0EB1" w:rsidRPr="00FB2F3D">
        <w:rPr>
          <w:rFonts w:ascii="Arial" w:hAnsi="Arial" w:cs="Arial"/>
          <w:sz w:val="22"/>
          <w:szCs w:val="22"/>
        </w:rPr>
        <w:t>according to the following thresholds:</w:t>
      </w:r>
      <w:bookmarkEnd w:id="108"/>
    </w:p>
    <w:p w14:paraId="611779D2" w14:textId="7DAF6D60" w:rsidR="00AE0EB1" w:rsidRPr="00FB2F3D" w:rsidRDefault="00AE0EB1" w:rsidP="00AE0EB1">
      <w:pPr>
        <w:pStyle w:val="Heading5"/>
        <w:rPr>
          <w:rFonts w:ascii="Arial" w:hAnsi="Arial" w:cs="Arial"/>
          <w:sz w:val="22"/>
          <w:szCs w:val="22"/>
        </w:rPr>
      </w:pPr>
      <w:r w:rsidRPr="00FB2F3D">
        <w:rPr>
          <w:rFonts w:ascii="Arial" w:hAnsi="Arial" w:cs="Arial"/>
          <w:sz w:val="22"/>
          <w:szCs w:val="22"/>
        </w:rPr>
        <w:t xml:space="preserve">In the case of a </w:t>
      </w:r>
      <w:r w:rsidR="009835EF">
        <w:rPr>
          <w:rFonts w:ascii="Arial" w:hAnsi="Arial" w:cs="Arial"/>
          <w:sz w:val="22"/>
          <w:szCs w:val="22"/>
        </w:rPr>
        <w:t>M</w:t>
      </w:r>
      <w:r w:rsidRPr="00FB2F3D">
        <w:rPr>
          <w:rFonts w:ascii="Arial" w:hAnsi="Arial" w:cs="Arial"/>
          <w:sz w:val="22"/>
          <w:szCs w:val="22"/>
        </w:rPr>
        <w:t xml:space="preserve">arket </w:t>
      </w:r>
      <w:r w:rsidR="009835EF">
        <w:rPr>
          <w:rFonts w:ascii="Arial" w:hAnsi="Arial" w:cs="Arial"/>
          <w:sz w:val="22"/>
          <w:szCs w:val="22"/>
        </w:rPr>
        <w:t>C</w:t>
      </w:r>
      <w:r w:rsidRPr="00FB2F3D">
        <w:rPr>
          <w:rFonts w:ascii="Arial" w:hAnsi="Arial" w:cs="Arial"/>
          <w:sz w:val="22"/>
          <w:szCs w:val="22"/>
        </w:rPr>
        <w:t>apitalisation of the Issuer of under $500 million, when 20% of the Shares for which application for admission has been made are in public hands;</w:t>
      </w:r>
    </w:p>
    <w:p w14:paraId="5CA960FA" w14:textId="08548955" w:rsidR="00AE0EB1" w:rsidRPr="00FB2F3D" w:rsidRDefault="00AE0EB1" w:rsidP="00AE0EB1">
      <w:pPr>
        <w:pStyle w:val="Heading5"/>
        <w:rPr>
          <w:rFonts w:ascii="Arial" w:hAnsi="Arial" w:cs="Arial"/>
          <w:sz w:val="22"/>
          <w:szCs w:val="22"/>
        </w:rPr>
      </w:pPr>
      <w:r w:rsidRPr="00FB2F3D">
        <w:rPr>
          <w:rFonts w:ascii="Arial" w:hAnsi="Arial" w:cs="Arial"/>
          <w:sz w:val="22"/>
          <w:szCs w:val="22"/>
        </w:rPr>
        <w:t xml:space="preserve">In the case of a </w:t>
      </w:r>
      <w:r w:rsidR="009835EF">
        <w:rPr>
          <w:rFonts w:ascii="Arial" w:hAnsi="Arial" w:cs="Arial"/>
          <w:sz w:val="22"/>
          <w:szCs w:val="22"/>
        </w:rPr>
        <w:t>M</w:t>
      </w:r>
      <w:r w:rsidRPr="00FB2F3D">
        <w:rPr>
          <w:rFonts w:ascii="Arial" w:hAnsi="Arial" w:cs="Arial"/>
          <w:sz w:val="22"/>
          <w:szCs w:val="22"/>
        </w:rPr>
        <w:t xml:space="preserve">arket </w:t>
      </w:r>
      <w:r w:rsidR="009835EF">
        <w:rPr>
          <w:rFonts w:ascii="Arial" w:hAnsi="Arial" w:cs="Arial"/>
          <w:sz w:val="22"/>
          <w:szCs w:val="22"/>
        </w:rPr>
        <w:t>C</w:t>
      </w:r>
      <w:r w:rsidRPr="00FB2F3D">
        <w:rPr>
          <w:rFonts w:ascii="Arial" w:hAnsi="Arial" w:cs="Arial"/>
          <w:sz w:val="22"/>
          <w:szCs w:val="22"/>
        </w:rPr>
        <w:t>apitalisation of the Issuer of $500 million or more and under $1 billion, when 15% of the Shares for which application for admission has been made are in public hands; and</w:t>
      </w:r>
    </w:p>
    <w:p w14:paraId="68FA420A" w14:textId="0FE3AE95" w:rsidR="00AE0EB1" w:rsidRPr="00FB2F3D" w:rsidRDefault="00AE0EB1" w:rsidP="00AE0EB1">
      <w:pPr>
        <w:pStyle w:val="Heading5"/>
        <w:rPr>
          <w:rFonts w:ascii="Arial" w:hAnsi="Arial" w:cs="Arial"/>
          <w:sz w:val="22"/>
          <w:szCs w:val="22"/>
        </w:rPr>
      </w:pPr>
      <w:r w:rsidRPr="00FB2F3D">
        <w:rPr>
          <w:rFonts w:ascii="Arial" w:hAnsi="Arial" w:cs="Arial"/>
          <w:sz w:val="22"/>
          <w:szCs w:val="22"/>
        </w:rPr>
        <w:t xml:space="preserve">In the case of a </w:t>
      </w:r>
      <w:r w:rsidR="009835EF">
        <w:rPr>
          <w:rFonts w:ascii="Arial" w:hAnsi="Arial" w:cs="Arial"/>
          <w:sz w:val="22"/>
          <w:szCs w:val="22"/>
        </w:rPr>
        <w:t>M</w:t>
      </w:r>
      <w:r w:rsidRPr="00FB2F3D">
        <w:rPr>
          <w:rFonts w:ascii="Arial" w:hAnsi="Arial" w:cs="Arial"/>
          <w:sz w:val="22"/>
          <w:szCs w:val="22"/>
        </w:rPr>
        <w:t xml:space="preserve">arket </w:t>
      </w:r>
      <w:r w:rsidR="009835EF">
        <w:rPr>
          <w:rFonts w:ascii="Arial" w:hAnsi="Arial" w:cs="Arial"/>
          <w:sz w:val="22"/>
          <w:szCs w:val="22"/>
        </w:rPr>
        <w:t>C</w:t>
      </w:r>
      <w:r w:rsidRPr="00FB2F3D">
        <w:rPr>
          <w:rFonts w:ascii="Arial" w:hAnsi="Arial" w:cs="Arial"/>
          <w:sz w:val="22"/>
          <w:szCs w:val="22"/>
        </w:rPr>
        <w:t>apitalisation of the Issuer of $1 billion or more, when 12% of the Shares for which application for admission has been made are in public hands.</w:t>
      </w:r>
    </w:p>
    <w:p w14:paraId="63C47710" w14:textId="2CAD525C" w:rsidR="00892AFD" w:rsidRPr="00FB2F3D" w:rsidRDefault="003B4A96" w:rsidP="003B4A96">
      <w:pPr>
        <w:pStyle w:val="Heading4"/>
        <w:numPr>
          <w:ilvl w:val="0"/>
          <w:numId w:val="0"/>
        </w:numPr>
        <w:ind w:left="1440" w:hanging="720"/>
        <w:rPr>
          <w:rFonts w:ascii="Arial" w:hAnsi="Arial" w:cs="Arial"/>
          <w:sz w:val="22"/>
          <w:szCs w:val="22"/>
        </w:rPr>
      </w:pPr>
      <w:bookmarkStart w:id="110" w:name="_Ref410634688"/>
      <w:bookmarkEnd w:id="109"/>
      <w:r w:rsidRPr="00FB2F3D">
        <w:rPr>
          <w:rFonts w:ascii="Arial" w:hAnsi="Arial" w:cs="Arial"/>
          <w:sz w:val="22"/>
          <w:szCs w:val="22"/>
        </w:rPr>
        <w:t>(3)</w:t>
      </w:r>
      <w:r w:rsidRPr="00FB2F3D">
        <w:rPr>
          <w:rFonts w:ascii="Arial" w:hAnsi="Arial" w:cs="Arial"/>
          <w:sz w:val="22"/>
          <w:szCs w:val="22"/>
        </w:rPr>
        <w:tab/>
      </w:r>
      <w:r w:rsidR="00892AFD" w:rsidRPr="00FB2F3D">
        <w:rPr>
          <w:rFonts w:ascii="Arial" w:hAnsi="Arial" w:cs="Arial"/>
          <w:sz w:val="22"/>
          <w:szCs w:val="22"/>
        </w:rPr>
        <w:t xml:space="preserve">For the purposes of </w:t>
      </w:r>
      <w:r w:rsidR="00693841" w:rsidRPr="00FB2F3D">
        <w:rPr>
          <w:rFonts w:ascii="Arial" w:hAnsi="Arial" w:cs="Arial"/>
          <w:sz w:val="22"/>
          <w:szCs w:val="22"/>
        </w:rPr>
        <w:t>(1)</w:t>
      </w:r>
      <w:r w:rsidR="00892AFD" w:rsidRPr="00FB2F3D">
        <w:rPr>
          <w:rFonts w:ascii="Arial" w:hAnsi="Arial" w:cs="Arial"/>
          <w:sz w:val="22"/>
          <w:szCs w:val="22"/>
        </w:rPr>
        <w:t xml:space="preserve"> and </w:t>
      </w:r>
      <w:r w:rsidR="00693841" w:rsidRPr="00FB2F3D">
        <w:rPr>
          <w:rFonts w:ascii="Arial" w:hAnsi="Arial" w:cs="Arial"/>
          <w:sz w:val="22"/>
          <w:szCs w:val="22"/>
        </w:rPr>
        <w:t>(2)</w:t>
      </w:r>
      <w:r w:rsidR="00892AFD" w:rsidRPr="00FB2F3D">
        <w:rPr>
          <w:rFonts w:ascii="Arial" w:hAnsi="Arial" w:cs="Arial"/>
          <w:sz w:val="22"/>
          <w:szCs w:val="22"/>
        </w:rPr>
        <w:t>, Shares are not held in public hands if they are held, directly or indirectly by:</w:t>
      </w:r>
      <w:bookmarkEnd w:id="110"/>
    </w:p>
    <w:p w14:paraId="03187D34" w14:textId="77777777" w:rsidR="00892AFD" w:rsidRPr="00FB2F3D" w:rsidRDefault="00892AFD" w:rsidP="00755725">
      <w:pPr>
        <w:pStyle w:val="Heading5"/>
        <w:numPr>
          <w:ilvl w:val="4"/>
          <w:numId w:val="85"/>
        </w:numPr>
        <w:rPr>
          <w:rFonts w:ascii="Arial" w:hAnsi="Arial" w:cs="Arial"/>
          <w:sz w:val="22"/>
          <w:szCs w:val="22"/>
        </w:rPr>
      </w:pPr>
      <w:r w:rsidRPr="00FB2F3D">
        <w:rPr>
          <w:rFonts w:ascii="Arial" w:hAnsi="Arial" w:cs="Arial"/>
          <w:sz w:val="22"/>
          <w:szCs w:val="22"/>
        </w:rPr>
        <w:t xml:space="preserve">a Director of </w:t>
      </w:r>
      <w:r w:rsidR="003B4A96" w:rsidRPr="00FB2F3D">
        <w:rPr>
          <w:rFonts w:ascii="Arial" w:hAnsi="Arial" w:cs="Arial"/>
          <w:sz w:val="22"/>
          <w:szCs w:val="22"/>
        </w:rPr>
        <w:t>the Applicant or of any of its subsidiary u</w:t>
      </w:r>
      <w:r w:rsidRPr="00FB2F3D">
        <w:rPr>
          <w:rFonts w:ascii="Arial" w:hAnsi="Arial" w:cs="Arial"/>
          <w:sz w:val="22"/>
          <w:szCs w:val="22"/>
        </w:rPr>
        <w:t>ndertakings;</w:t>
      </w:r>
    </w:p>
    <w:p w14:paraId="5D87E5F1"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a Person connected with a Director of the Applicant or any of its</w:t>
      </w:r>
      <w:r w:rsidRPr="00FB2F3D">
        <w:rPr>
          <w:rFonts w:ascii="Arial" w:hAnsi="Arial" w:cs="Arial"/>
          <w:sz w:val="22"/>
          <w:szCs w:val="22"/>
          <w:lang w:eastAsia="ja-JP"/>
        </w:rPr>
        <w:t xml:space="preserve"> </w:t>
      </w:r>
      <w:r w:rsidR="003B4A96" w:rsidRPr="00FB2F3D">
        <w:rPr>
          <w:rFonts w:ascii="Arial" w:hAnsi="Arial" w:cs="Arial"/>
          <w:sz w:val="22"/>
          <w:szCs w:val="22"/>
        </w:rPr>
        <w:t>subsidiary u</w:t>
      </w:r>
      <w:r w:rsidRPr="00FB2F3D">
        <w:rPr>
          <w:rFonts w:ascii="Arial" w:hAnsi="Arial" w:cs="Arial"/>
          <w:sz w:val="22"/>
          <w:szCs w:val="22"/>
        </w:rPr>
        <w:t>ndertakings;</w:t>
      </w:r>
    </w:p>
    <w:p w14:paraId="418D3548"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the trustees of an Employee Share scheme or pension fund established for the benefit of any Directors or Empl</w:t>
      </w:r>
      <w:r w:rsidR="003B4A96" w:rsidRPr="00FB2F3D">
        <w:rPr>
          <w:rFonts w:ascii="Arial" w:hAnsi="Arial" w:cs="Arial"/>
          <w:sz w:val="22"/>
          <w:szCs w:val="22"/>
        </w:rPr>
        <w:t>oyees of the Applicant and its subsidiary u</w:t>
      </w:r>
      <w:r w:rsidRPr="00FB2F3D">
        <w:rPr>
          <w:rFonts w:ascii="Arial" w:hAnsi="Arial" w:cs="Arial"/>
          <w:sz w:val="22"/>
          <w:szCs w:val="22"/>
        </w:rPr>
        <w:t>ndertakings;</w:t>
      </w:r>
    </w:p>
    <w:p w14:paraId="6141D6C2" w14:textId="103D7129" w:rsidR="00892AFD" w:rsidRPr="00FB2F3D" w:rsidRDefault="00892AFD" w:rsidP="00892AFD">
      <w:pPr>
        <w:pStyle w:val="Heading5"/>
        <w:rPr>
          <w:rFonts w:ascii="Arial" w:hAnsi="Arial" w:cs="Arial"/>
          <w:sz w:val="22"/>
          <w:szCs w:val="22"/>
        </w:rPr>
      </w:pPr>
      <w:r w:rsidRPr="00FB2F3D">
        <w:rPr>
          <w:rFonts w:ascii="Arial" w:hAnsi="Arial" w:cs="Arial"/>
          <w:sz w:val="22"/>
          <w:szCs w:val="22"/>
        </w:rPr>
        <w:t>any Person who under any agreement has a right to nominate a</w:t>
      </w:r>
      <w:r w:rsidRPr="00FB2F3D">
        <w:rPr>
          <w:rFonts w:ascii="Arial" w:hAnsi="Arial" w:cs="Arial"/>
          <w:sz w:val="22"/>
          <w:szCs w:val="22"/>
          <w:lang w:eastAsia="ja-JP"/>
        </w:rPr>
        <w:t xml:space="preserve"> </w:t>
      </w:r>
      <w:r w:rsidRPr="00FB2F3D">
        <w:rPr>
          <w:rFonts w:ascii="Arial" w:hAnsi="Arial" w:cs="Arial"/>
          <w:sz w:val="22"/>
          <w:szCs w:val="22"/>
        </w:rPr>
        <w:t xml:space="preserve">Person to the board of Directors of the Applicant; </w:t>
      </w:r>
    </w:p>
    <w:p w14:paraId="35D8B4E2" w14:textId="529F42D0" w:rsidR="00892AFD" w:rsidRDefault="00892AFD" w:rsidP="00892AFD">
      <w:pPr>
        <w:pStyle w:val="Heading5"/>
        <w:rPr>
          <w:rFonts w:ascii="Arial" w:hAnsi="Arial" w:cs="Arial"/>
          <w:sz w:val="22"/>
          <w:szCs w:val="22"/>
        </w:rPr>
      </w:pPr>
      <w:r w:rsidRPr="00FB2F3D">
        <w:rPr>
          <w:rFonts w:ascii="Arial" w:hAnsi="Arial" w:cs="Arial"/>
          <w:sz w:val="22"/>
          <w:szCs w:val="22"/>
        </w:rPr>
        <w:t>any Person or Persons in the same Group or Persons acting in concert who have an interest in 5% or more of the Shares of the relevant class</w:t>
      </w:r>
      <w:r w:rsidR="009835EF">
        <w:rPr>
          <w:rFonts w:ascii="Arial" w:hAnsi="Arial" w:cs="Arial"/>
          <w:sz w:val="22"/>
          <w:szCs w:val="22"/>
        </w:rPr>
        <w:t>; or</w:t>
      </w:r>
    </w:p>
    <w:p w14:paraId="42D30D57" w14:textId="652465C0" w:rsidR="009835EF" w:rsidRDefault="009835EF" w:rsidP="00892AFD">
      <w:pPr>
        <w:pStyle w:val="Heading5"/>
        <w:rPr>
          <w:rFonts w:ascii="Arial" w:hAnsi="Arial" w:cs="Arial"/>
          <w:sz w:val="22"/>
          <w:szCs w:val="22"/>
        </w:rPr>
      </w:pPr>
      <w:r>
        <w:rPr>
          <w:rFonts w:ascii="Arial" w:hAnsi="Arial" w:cs="Arial"/>
          <w:sz w:val="22"/>
          <w:szCs w:val="22"/>
        </w:rPr>
        <w:t>holders of Restricted Securities.</w:t>
      </w:r>
    </w:p>
    <w:p w14:paraId="40605310" w14:textId="6C0CD108" w:rsidR="009835EF" w:rsidRDefault="009835EF" w:rsidP="009835EF">
      <w:pPr>
        <w:pStyle w:val="TitleL"/>
        <w:rPr>
          <w:rFonts w:ascii="Arial" w:hAnsi="Arial" w:cs="Arial"/>
          <w:sz w:val="22"/>
          <w:szCs w:val="22"/>
        </w:rPr>
      </w:pPr>
      <w:r>
        <w:rPr>
          <w:rFonts w:ascii="Arial" w:hAnsi="Arial" w:cs="Arial"/>
          <w:sz w:val="22"/>
          <w:szCs w:val="22"/>
        </w:rPr>
        <w:t>Guidance</w:t>
      </w:r>
    </w:p>
    <w:p w14:paraId="0CFE691E" w14:textId="3E522652" w:rsidR="009835EF" w:rsidRPr="009835EF" w:rsidRDefault="009835EF" w:rsidP="009835EF">
      <w:pPr>
        <w:pStyle w:val="UK12Block05"/>
        <w:rPr>
          <w:rFonts w:ascii="Arial" w:hAnsi="Arial" w:cs="Arial"/>
          <w:sz w:val="22"/>
          <w:szCs w:val="22"/>
        </w:rPr>
      </w:pPr>
      <w:r w:rsidRPr="009835EF">
        <w:rPr>
          <w:rFonts w:ascii="Arial" w:hAnsi="Arial" w:cs="Arial"/>
          <w:sz w:val="22"/>
          <w:szCs w:val="22"/>
        </w:rPr>
        <w:t>Sufficient Shares being held in public hands (free float) is fundamental to the orderly trading and liquidity of Shares once they are admitted to trading, and therefore a key consideration of whether new Shares are appropriate to be admitted to the Official List.</w:t>
      </w:r>
    </w:p>
    <w:p w14:paraId="42BC0A01" w14:textId="77777777" w:rsidR="009835EF" w:rsidRPr="00FB2F3D" w:rsidRDefault="009835EF" w:rsidP="009835EF">
      <w:pPr>
        <w:pStyle w:val="Heading5"/>
        <w:numPr>
          <w:ilvl w:val="0"/>
          <w:numId w:val="0"/>
        </w:numPr>
        <w:rPr>
          <w:rFonts w:ascii="Arial" w:hAnsi="Arial" w:cs="Arial"/>
          <w:sz w:val="22"/>
          <w:szCs w:val="22"/>
        </w:rPr>
      </w:pPr>
    </w:p>
    <w:p w14:paraId="55A004DD"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lastRenderedPageBreak/>
        <w:t>Whole class to be listed</w:t>
      </w:r>
    </w:p>
    <w:p w14:paraId="76E7660D" w14:textId="77777777" w:rsidR="00892AFD" w:rsidRPr="00FB2F3D" w:rsidRDefault="00892AFD" w:rsidP="00892AFD">
      <w:pPr>
        <w:pStyle w:val="Heading3"/>
        <w:keepNext/>
        <w:rPr>
          <w:rFonts w:ascii="Arial" w:hAnsi="Arial" w:cs="Arial"/>
          <w:sz w:val="22"/>
          <w:szCs w:val="22"/>
        </w:rPr>
      </w:pPr>
      <w:r w:rsidRPr="00FB2F3D">
        <w:rPr>
          <w:rFonts w:ascii="Arial" w:hAnsi="Arial" w:cs="Arial"/>
          <w:sz w:val="22"/>
          <w:szCs w:val="22"/>
        </w:rPr>
        <w:t>An application for a class of Securities to be admitted to the</w:t>
      </w:r>
      <w:r w:rsidR="003B4A96" w:rsidRPr="00FB2F3D">
        <w:rPr>
          <w:rFonts w:ascii="Arial" w:hAnsi="Arial" w:cs="Arial"/>
          <w:sz w:val="22"/>
          <w:szCs w:val="22"/>
        </w:rPr>
        <w:t xml:space="preserve"> Official</w:t>
      </w:r>
      <w:r w:rsidRPr="00FB2F3D">
        <w:rPr>
          <w:rFonts w:ascii="Arial" w:hAnsi="Arial" w:cs="Arial"/>
          <w:sz w:val="22"/>
          <w:szCs w:val="22"/>
        </w:rPr>
        <w:t xml:space="preserve"> List must:</w:t>
      </w:r>
    </w:p>
    <w:p w14:paraId="264303C6" w14:textId="77777777" w:rsidR="00892AFD" w:rsidRPr="00FB2F3D" w:rsidRDefault="00892AFD" w:rsidP="00E9220D">
      <w:pPr>
        <w:pStyle w:val="Heading4"/>
        <w:rPr>
          <w:rFonts w:ascii="Arial" w:hAnsi="Arial" w:cs="Arial"/>
          <w:sz w:val="22"/>
          <w:szCs w:val="22"/>
        </w:rPr>
      </w:pPr>
      <w:r w:rsidRPr="00FB2F3D">
        <w:rPr>
          <w:rFonts w:ascii="Arial" w:hAnsi="Arial" w:cs="Arial"/>
          <w:sz w:val="22"/>
          <w:szCs w:val="22"/>
        </w:rPr>
        <w:t xml:space="preserve">if no Securities of that class are already admitted to the </w:t>
      </w:r>
      <w:r w:rsidR="003B4A96" w:rsidRPr="00FB2F3D">
        <w:rPr>
          <w:rFonts w:ascii="Arial" w:hAnsi="Arial" w:cs="Arial"/>
          <w:sz w:val="22"/>
          <w:szCs w:val="22"/>
        </w:rPr>
        <w:t xml:space="preserve">Official </w:t>
      </w:r>
      <w:r w:rsidRPr="00FB2F3D">
        <w:rPr>
          <w:rFonts w:ascii="Arial" w:hAnsi="Arial" w:cs="Arial"/>
          <w:sz w:val="22"/>
          <w:szCs w:val="22"/>
        </w:rPr>
        <w:t>List, relate to all</w:t>
      </w:r>
      <w:r w:rsidRPr="00FB2F3D">
        <w:rPr>
          <w:rFonts w:ascii="Arial" w:hAnsi="Arial" w:cs="Arial"/>
          <w:sz w:val="22"/>
          <w:szCs w:val="22"/>
          <w:lang w:eastAsia="ja-JP"/>
        </w:rPr>
        <w:t xml:space="preserve"> </w:t>
      </w:r>
      <w:r w:rsidRPr="00FB2F3D">
        <w:rPr>
          <w:rFonts w:ascii="Arial" w:hAnsi="Arial" w:cs="Arial"/>
          <w:sz w:val="22"/>
          <w:szCs w:val="22"/>
        </w:rPr>
        <w:t>Securities of that class, issued or proposed to be issued; or</w:t>
      </w:r>
    </w:p>
    <w:p w14:paraId="73F490ED" w14:textId="77777777" w:rsidR="00892AFD" w:rsidRPr="00FB2F3D" w:rsidRDefault="00892AFD" w:rsidP="00E9220D">
      <w:pPr>
        <w:pStyle w:val="Heading4"/>
        <w:rPr>
          <w:rFonts w:ascii="Arial" w:hAnsi="Arial" w:cs="Arial"/>
          <w:sz w:val="22"/>
          <w:szCs w:val="22"/>
        </w:rPr>
      </w:pPr>
      <w:r w:rsidRPr="00FB2F3D">
        <w:rPr>
          <w:rFonts w:ascii="Arial" w:hAnsi="Arial" w:cs="Arial"/>
          <w:sz w:val="22"/>
          <w:szCs w:val="22"/>
        </w:rPr>
        <w:t xml:space="preserve">if Securities of that class are already admitted to the </w:t>
      </w:r>
      <w:r w:rsidR="003B4A96" w:rsidRPr="00FB2F3D">
        <w:rPr>
          <w:rFonts w:ascii="Arial" w:hAnsi="Arial" w:cs="Arial"/>
          <w:sz w:val="22"/>
          <w:szCs w:val="22"/>
        </w:rPr>
        <w:t xml:space="preserve">Official </w:t>
      </w:r>
      <w:r w:rsidRPr="00FB2F3D">
        <w:rPr>
          <w:rFonts w:ascii="Arial" w:hAnsi="Arial" w:cs="Arial"/>
          <w:sz w:val="22"/>
          <w:szCs w:val="22"/>
        </w:rPr>
        <w:t>List, relate to all further</w:t>
      </w:r>
      <w:r w:rsidRPr="00FB2F3D">
        <w:rPr>
          <w:rFonts w:ascii="Arial" w:hAnsi="Arial" w:cs="Arial"/>
          <w:sz w:val="22"/>
          <w:szCs w:val="22"/>
          <w:lang w:eastAsia="ja-JP"/>
        </w:rPr>
        <w:t xml:space="preserve"> </w:t>
      </w:r>
      <w:r w:rsidRPr="00FB2F3D">
        <w:rPr>
          <w:rFonts w:ascii="Arial" w:hAnsi="Arial" w:cs="Arial"/>
          <w:sz w:val="22"/>
          <w:szCs w:val="22"/>
        </w:rPr>
        <w:t>Securities of that class, issued or proposed to be issued.</w:t>
      </w:r>
    </w:p>
    <w:p w14:paraId="0868D7AD" w14:textId="77777777" w:rsidR="00892AFD" w:rsidRPr="00FB2F3D" w:rsidRDefault="003B4A96" w:rsidP="00892AFD">
      <w:pPr>
        <w:pStyle w:val="TitleL"/>
        <w:rPr>
          <w:rFonts w:ascii="Arial" w:hAnsi="Arial" w:cs="Arial"/>
          <w:sz w:val="22"/>
          <w:szCs w:val="22"/>
        </w:rPr>
      </w:pPr>
      <w:r w:rsidRPr="00FB2F3D">
        <w:rPr>
          <w:rFonts w:ascii="Arial" w:hAnsi="Arial" w:cs="Arial"/>
          <w:sz w:val="22"/>
          <w:szCs w:val="22"/>
        </w:rPr>
        <w:t xml:space="preserve">Clearing and </w:t>
      </w:r>
      <w:r w:rsidR="00892AFD" w:rsidRPr="00FB2F3D">
        <w:rPr>
          <w:rFonts w:ascii="Arial" w:hAnsi="Arial" w:cs="Arial"/>
          <w:sz w:val="22"/>
          <w:szCs w:val="22"/>
        </w:rPr>
        <w:t>Settlement</w:t>
      </w:r>
    </w:p>
    <w:p w14:paraId="3926B9D3" w14:textId="77777777" w:rsidR="00892AFD" w:rsidRPr="00FB2F3D" w:rsidRDefault="00892AFD" w:rsidP="00892AFD">
      <w:pPr>
        <w:pStyle w:val="Heading3"/>
        <w:keepNext/>
        <w:rPr>
          <w:rFonts w:ascii="Arial" w:hAnsi="Arial" w:cs="Arial"/>
          <w:sz w:val="22"/>
          <w:szCs w:val="22"/>
        </w:rPr>
      </w:pPr>
      <w:r w:rsidRPr="00FB2F3D">
        <w:rPr>
          <w:rFonts w:ascii="Arial" w:hAnsi="Arial" w:cs="Arial"/>
          <w:sz w:val="22"/>
          <w:szCs w:val="22"/>
        </w:rPr>
        <w:t xml:space="preserve">To be admitted to the </w:t>
      </w:r>
      <w:r w:rsidR="003B4A96" w:rsidRPr="00FB2F3D">
        <w:rPr>
          <w:rFonts w:ascii="Arial" w:hAnsi="Arial" w:cs="Arial"/>
          <w:sz w:val="22"/>
          <w:szCs w:val="22"/>
        </w:rPr>
        <w:t xml:space="preserve">Official </w:t>
      </w:r>
      <w:r w:rsidRPr="00FB2F3D">
        <w:rPr>
          <w:rFonts w:ascii="Arial" w:hAnsi="Arial" w:cs="Arial"/>
          <w:sz w:val="22"/>
          <w:szCs w:val="22"/>
        </w:rPr>
        <w:t>List:</w:t>
      </w:r>
    </w:p>
    <w:p w14:paraId="1DB3B36A" w14:textId="77777777" w:rsidR="00892AFD" w:rsidRPr="00FB2F3D" w:rsidRDefault="00892AFD" w:rsidP="00E9220D">
      <w:pPr>
        <w:pStyle w:val="Heading4"/>
        <w:rPr>
          <w:rFonts w:ascii="Arial" w:hAnsi="Arial" w:cs="Arial"/>
          <w:sz w:val="22"/>
          <w:szCs w:val="22"/>
        </w:rPr>
      </w:pPr>
      <w:r w:rsidRPr="00FB2F3D">
        <w:rPr>
          <w:rFonts w:ascii="Arial" w:hAnsi="Arial" w:cs="Arial"/>
          <w:sz w:val="22"/>
          <w:szCs w:val="22"/>
        </w:rPr>
        <w:t>an Applicant's Securities must be eligible for electronic settlement; and</w:t>
      </w:r>
    </w:p>
    <w:p w14:paraId="11F6A23B" w14:textId="77777777" w:rsidR="00892AFD" w:rsidRPr="00FB2F3D" w:rsidRDefault="00892AFD" w:rsidP="003B4A96">
      <w:pPr>
        <w:pStyle w:val="Heading4"/>
        <w:rPr>
          <w:rFonts w:ascii="Arial" w:hAnsi="Arial" w:cs="Arial"/>
          <w:sz w:val="22"/>
          <w:szCs w:val="22"/>
        </w:rPr>
      </w:pPr>
      <w:r w:rsidRPr="00FB2F3D">
        <w:rPr>
          <w:rFonts w:ascii="Arial" w:hAnsi="Arial" w:cs="Arial"/>
          <w:sz w:val="22"/>
          <w:szCs w:val="22"/>
        </w:rPr>
        <w:t xml:space="preserve">the arrangements for </w:t>
      </w:r>
      <w:r w:rsidR="003B4A96" w:rsidRPr="00FB2F3D">
        <w:rPr>
          <w:rFonts w:ascii="Arial" w:hAnsi="Arial" w:cs="Arial"/>
          <w:sz w:val="22"/>
          <w:szCs w:val="22"/>
        </w:rPr>
        <w:t xml:space="preserve">the clearing and </w:t>
      </w:r>
      <w:r w:rsidRPr="00FB2F3D">
        <w:rPr>
          <w:rFonts w:ascii="Arial" w:hAnsi="Arial" w:cs="Arial"/>
          <w:sz w:val="22"/>
          <w:szCs w:val="22"/>
        </w:rPr>
        <w:t>settlement of trading in such Securities must be acceptable to the Regulator.</w:t>
      </w:r>
    </w:p>
    <w:p w14:paraId="3DBA782B"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Warrants</w:t>
      </w:r>
    </w:p>
    <w:p w14:paraId="35A0CF15" w14:textId="77777777" w:rsidR="00892AFD" w:rsidRPr="00FB2F3D" w:rsidRDefault="007441BA" w:rsidP="00892AFD">
      <w:pPr>
        <w:pStyle w:val="Heading3"/>
        <w:ind w:left="1440" w:hanging="1440"/>
        <w:rPr>
          <w:rFonts w:ascii="Arial" w:hAnsi="Arial" w:cs="Arial"/>
          <w:sz w:val="22"/>
          <w:szCs w:val="22"/>
        </w:rPr>
      </w:pPr>
      <w:r w:rsidRPr="00FB2F3D">
        <w:rPr>
          <w:rFonts w:ascii="Arial" w:hAnsi="Arial" w:cs="Arial"/>
          <w:sz w:val="22"/>
          <w:szCs w:val="22"/>
        </w:rPr>
        <w:t>(1)</w:t>
      </w:r>
      <w:r w:rsidR="00892AFD" w:rsidRPr="00FB2F3D">
        <w:rPr>
          <w:rFonts w:ascii="Arial" w:hAnsi="Arial" w:cs="Arial"/>
          <w:sz w:val="22"/>
          <w:szCs w:val="22"/>
        </w:rPr>
        <w:tab/>
        <w:t xml:space="preserve">To be admitted to the </w:t>
      </w:r>
      <w:r w:rsidR="00241B80" w:rsidRPr="00FB2F3D">
        <w:rPr>
          <w:rFonts w:ascii="Arial" w:hAnsi="Arial" w:cs="Arial"/>
          <w:sz w:val="22"/>
          <w:szCs w:val="22"/>
        </w:rPr>
        <w:t xml:space="preserve">Official </w:t>
      </w:r>
      <w:r w:rsidR="00892AFD" w:rsidRPr="00FB2F3D">
        <w:rPr>
          <w:rFonts w:ascii="Arial" w:hAnsi="Arial" w:cs="Arial"/>
          <w:sz w:val="22"/>
          <w:szCs w:val="22"/>
        </w:rPr>
        <w:t xml:space="preserve">List, the total of all issued Warrants to subscribe for Shares must not, subject to </w:t>
      </w:r>
      <w:r w:rsidR="00693841" w:rsidRPr="00FB2F3D">
        <w:rPr>
          <w:rFonts w:ascii="Arial" w:hAnsi="Arial" w:cs="Arial"/>
          <w:sz w:val="22"/>
          <w:szCs w:val="22"/>
        </w:rPr>
        <w:t>(2)</w:t>
      </w:r>
      <w:r w:rsidR="00892AFD" w:rsidRPr="00FB2F3D">
        <w:rPr>
          <w:rFonts w:ascii="Arial" w:hAnsi="Arial" w:cs="Arial"/>
          <w:sz w:val="22"/>
          <w:szCs w:val="22"/>
        </w:rPr>
        <w:t>, exceed 20% of the issued Share capital of the Applicant as at the time of issue of the Warrants.</w:t>
      </w:r>
    </w:p>
    <w:p w14:paraId="75351AB6" w14:textId="77777777" w:rsidR="00892AFD" w:rsidRPr="00FB2F3D" w:rsidRDefault="00241B80" w:rsidP="00241B80">
      <w:pPr>
        <w:pStyle w:val="Heading4"/>
        <w:numPr>
          <w:ilvl w:val="0"/>
          <w:numId w:val="0"/>
        </w:numPr>
        <w:ind w:left="1440" w:hanging="720"/>
        <w:rPr>
          <w:rFonts w:ascii="Arial" w:hAnsi="Arial" w:cs="Arial"/>
          <w:sz w:val="22"/>
          <w:szCs w:val="22"/>
        </w:rPr>
      </w:pPr>
      <w:bookmarkStart w:id="111" w:name="_Ref410669750"/>
      <w:r w:rsidRPr="00FB2F3D">
        <w:rPr>
          <w:rFonts w:ascii="Arial" w:hAnsi="Arial" w:cs="Arial"/>
          <w:sz w:val="22"/>
          <w:szCs w:val="22"/>
        </w:rPr>
        <w:t>(2)</w:t>
      </w:r>
      <w:r w:rsidRPr="00FB2F3D">
        <w:rPr>
          <w:rFonts w:ascii="Arial" w:hAnsi="Arial" w:cs="Arial"/>
          <w:sz w:val="22"/>
          <w:szCs w:val="22"/>
        </w:rPr>
        <w:tab/>
      </w:r>
      <w:r w:rsidR="00892AFD" w:rsidRPr="00FB2F3D">
        <w:rPr>
          <w:rFonts w:ascii="Arial" w:hAnsi="Arial" w:cs="Arial"/>
          <w:sz w:val="22"/>
          <w:szCs w:val="22"/>
        </w:rPr>
        <w:t xml:space="preserve">Any rights under an Employee Share scheme are excluded from the 20% calculation in </w:t>
      </w:r>
      <w:r w:rsidR="00693841" w:rsidRPr="00FB2F3D">
        <w:rPr>
          <w:rFonts w:ascii="Arial" w:hAnsi="Arial" w:cs="Arial"/>
          <w:sz w:val="22"/>
          <w:szCs w:val="22"/>
        </w:rPr>
        <w:t>(1)</w:t>
      </w:r>
      <w:r w:rsidR="00892AFD" w:rsidRPr="00FB2F3D">
        <w:rPr>
          <w:rFonts w:ascii="Arial" w:hAnsi="Arial" w:cs="Arial"/>
          <w:sz w:val="22"/>
          <w:szCs w:val="22"/>
        </w:rPr>
        <w:t>.</w:t>
      </w:r>
      <w:bookmarkEnd w:id="111"/>
    </w:p>
    <w:p w14:paraId="114EC044" w14:textId="77777777" w:rsidR="00892AFD" w:rsidRPr="00FB2F3D" w:rsidRDefault="00892AFD" w:rsidP="00892AFD">
      <w:pPr>
        <w:pStyle w:val="TitleL"/>
        <w:rPr>
          <w:rFonts w:ascii="Arial" w:hAnsi="Arial" w:cs="Arial"/>
          <w:sz w:val="22"/>
          <w:szCs w:val="22"/>
          <w:lang w:eastAsia="ja-JP"/>
        </w:rPr>
      </w:pPr>
      <w:r w:rsidRPr="00FB2F3D">
        <w:rPr>
          <w:rFonts w:ascii="Arial" w:hAnsi="Arial" w:cs="Arial"/>
          <w:sz w:val="22"/>
          <w:szCs w:val="22"/>
        </w:rPr>
        <w:t>Depository receipts</w:t>
      </w:r>
    </w:p>
    <w:p w14:paraId="1532A5D5" w14:textId="77777777" w:rsidR="00892AFD" w:rsidRPr="00FB2F3D" w:rsidRDefault="00892AFD" w:rsidP="00892AFD">
      <w:pPr>
        <w:pStyle w:val="Heading3"/>
        <w:keepNext/>
        <w:rPr>
          <w:rFonts w:ascii="Arial" w:hAnsi="Arial" w:cs="Arial"/>
          <w:sz w:val="22"/>
          <w:szCs w:val="22"/>
        </w:rPr>
      </w:pPr>
      <w:r w:rsidRPr="00FB2F3D">
        <w:rPr>
          <w:rFonts w:ascii="Arial" w:hAnsi="Arial" w:cs="Arial"/>
          <w:sz w:val="22"/>
          <w:szCs w:val="22"/>
        </w:rPr>
        <w:t>A Listed Entity in respect of Certificates which are depository receipts must ensure that:</w:t>
      </w:r>
    </w:p>
    <w:p w14:paraId="53108789" w14:textId="77777777" w:rsidR="00892AFD" w:rsidRPr="00FB2F3D" w:rsidRDefault="00892AFD" w:rsidP="00E9220D">
      <w:pPr>
        <w:pStyle w:val="Heading4"/>
        <w:rPr>
          <w:rFonts w:ascii="Arial" w:hAnsi="Arial" w:cs="Arial"/>
          <w:sz w:val="22"/>
          <w:szCs w:val="22"/>
        </w:rPr>
      </w:pPr>
      <w:r w:rsidRPr="00FB2F3D">
        <w:rPr>
          <w:rFonts w:ascii="Arial" w:hAnsi="Arial" w:cs="Arial"/>
          <w:sz w:val="22"/>
          <w:szCs w:val="22"/>
        </w:rPr>
        <w:t>at the time of issue of such Certificates the payments received from the issue of the depository receipts are sufficient to meet the payments required for the issuance of the underlying Securities; and</w:t>
      </w:r>
    </w:p>
    <w:p w14:paraId="3C2C8496" w14:textId="7094E974" w:rsidR="00892AFD" w:rsidRDefault="00892AFD" w:rsidP="00E9220D">
      <w:pPr>
        <w:pStyle w:val="Heading4"/>
        <w:rPr>
          <w:rFonts w:ascii="Arial" w:hAnsi="Arial" w:cs="Arial"/>
          <w:sz w:val="22"/>
          <w:szCs w:val="22"/>
        </w:rPr>
      </w:pPr>
      <w:r w:rsidRPr="00FB2F3D">
        <w:rPr>
          <w:rFonts w:ascii="Arial" w:hAnsi="Arial" w:cs="Arial"/>
          <w:sz w:val="22"/>
          <w:szCs w:val="22"/>
        </w:rPr>
        <w:t>the underlying Securities or any rights, monies or benefits related to the underlying Securities are not treated as assets or liabilities of the Issuer of the Certificates under the law, whether for the purposes of insolvency or otherwise.</w:t>
      </w:r>
    </w:p>
    <w:p w14:paraId="0151B324" w14:textId="77777777" w:rsidR="009835EF" w:rsidRPr="009835EF" w:rsidRDefault="009835EF" w:rsidP="009835EF">
      <w:pPr>
        <w:pStyle w:val="TitleL"/>
        <w:rPr>
          <w:rFonts w:ascii="Arial" w:hAnsi="Arial" w:cs="Arial"/>
          <w:sz w:val="22"/>
          <w:szCs w:val="22"/>
        </w:rPr>
      </w:pPr>
      <w:r w:rsidRPr="009835EF">
        <w:rPr>
          <w:rFonts w:ascii="Arial" w:hAnsi="Arial" w:cs="Arial"/>
          <w:sz w:val="22"/>
          <w:szCs w:val="22"/>
        </w:rPr>
        <w:t>Profits eligibility test</w:t>
      </w:r>
    </w:p>
    <w:p w14:paraId="36521152" w14:textId="77777777" w:rsidR="009835EF" w:rsidRPr="00BB076C" w:rsidRDefault="009835EF" w:rsidP="009835EF">
      <w:pPr>
        <w:pStyle w:val="Heading4"/>
        <w:numPr>
          <w:ilvl w:val="0"/>
          <w:numId w:val="0"/>
        </w:numPr>
        <w:ind w:left="709" w:hanging="709"/>
        <w:rPr>
          <w:rFonts w:ascii="Arial" w:hAnsi="Arial" w:cs="Arial"/>
          <w:sz w:val="22"/>
          <w:szCs w:val="22"/>
          <w:u w:val="single"/>
        </w:rPr>
      </w:pPr>
      <w:r w:rsidRPr="00626EAF">
        <w:rPr>
          <w:rFonts w:ascii="Arial" w:hAnsi="Arial" w:cs="Arial"/>
          <w:b/>
          <w:bCs w:val="0"/>
          <w:sz w:val="22"/>
          <w:szCs w:val="22"/>
        </w:rPr>
        <w:t>2.3.15</w:t>
      </w:r>
      <w:r w:rsidRPr="00626EAF">
        <w:rPr>
          <w:rFonts w:ascii="Arial" w:hAnsi="Arial" w:cs="Arial"/>
          <w:b/>
          <w:bCs w:val="0"/>
          <w:sz w:val="22"/>
          <w:szCs w:val="22"/>
        </w:rPr>
        <w:tab/>
      </w:r>
      <w:r w:rsidRPr="004B38F3">
        <w:rPr>
          <w:rFonts w:ascii="Arial" w:hAnsi="Arial" w:cs="Arial"/>
          <w:iCs w:val="0"/>
          <w:sz w:val="22"/>
          <w:szCs w:val="22"/>
        </w:rPr>
        <w:t>In order to meet the profits eligibility test, an Applicant must satisfy the following requirements.</w:t>
      </w:r>
    </w:p>
    <w:p w14:paraId="056F34D6" w14:textId="729CCD1E" w:rsidR="009835EF" w:rsidRPr="00626EAF" w:rsidRDefault="009835EF" w:rsidP="00755725">
      <w:pPr>
        <w:pStyle w:val="Heading4"/>
        <w:numPr>
          <w:ilvl w:val="3"/>
          <w:numId w:val="101"/>
        </w:numPr>
        <w:rPr>
          <w:rFonts w:ascii="Arial" w:hAnsi="Arial" w:cs="Arial"/>
          <w:sz w:val="22"/>
          <w:szCs w:val="22"/>
        </w:rPr>
      </w:pPr>
      <w:r w:rsidRPr="00626EAF">
        <w:rPr>
          <w:rFonts w:ascii="Arial" w:hAnsi="Arial" w:cs="Arial"/>
          <w:sz w:val="22"/>
          <w:szCs w:val="22"/>
        </w:rPr>
        <w:t>The Applicant, or its immediate successor, must be a going concern.</w:t>
      </w:r>
    </w:p>
    <w:p w14:paraId="164A9D9B" w14:textId="5121333F" w:rsidR="009835EF" w:rsidRPr="00626EAF" w:rsidRDefault="009835EF" w:rsidP="00626EAF">
      <w:pPr>
        <w:pStyle w:val="Heading4"/>
        <w:rPr>
          <w:rFonts w:ascii="Arial" w:hAnsi="Arial" w:cs="Arial"/>
          <w:sz w:val="22"/>
          <w:szCs w:val="22"/>
        </w:rPr>
      </w:pPr>
      <w:r w:rsidRPr="00626EAF">
        <w:rPr>
          <w:rFonts w:ascii="Arial" w:hAnsi="Arial" w:cs="Arial"/>
          <w:sz w:val="22"/>
          <w:szCs w:val="22"/>
        </w:rPr>
        <w:t xml:space="preserve">The Applicant’s main business activity at the date of its Application must be the same as it was during its last </w:t>
      </w:r>
      <w:r w:rsidR="00F75F77">
        <w:rPr>
          <w:rFonts w:ascii="Arial" w:hAnsi="Arial" w:cs="Arial"/>
          <w:sz w:val="22"/>
          <w:szCs w:val="22"/>
        </w:rPr>
        <w:t>three</w:t>
      </w:r>
      <w:r w:rsidRPr="00626EAF">
        <w:rPr>
          <w:rFonts w:ascii="Arial" w:hAnsi="Arial" w:cs="Arial"/>
          <w:sz w:val="22"/>
          <w:szCs w:val="22"/>
        </w:rPr>
        <w:t xml:space="preserve"> full financial years.</w:t>
      </w:r>
    </w:p>
    <w:p w14:paraId="478D0F10" w14:textId="6EB493EE" w:rsidR="009835EF" w:rsidRPr="00626EAF" w:rsidRDefault="009835EF" w:rsidP="00626EAF">
      <w:pPr>
        <w:pStyle w:val="Heading4"/>
        <w:rPr>
          <w:rFonts w:ascii="Arial" w:hAnsi="Arial" w:cs="Arial"/>
          <w:sz w:val="22"/>
          <w:szCs w:val="22"/>
        </w:rPr>
      </w:pPr>
      <w:r w:rsidRPr="00626EAF">
        <w:rPr>
          <w:rFonts w:ascii="Arial" w:hAnsi="Arial" w:cs="Arial"/>
          <w:sz w:val="22"/>
          <w:szCs w:val="22"/>
        </w:rPr>
        <w:t>The Applicant’s:</w:t>
      </w:r>
    </w:p>
    <w:p w14:paraId="0987A4CB" w14:textId="4624EBD0" w:rsidR="009835EF" w:rsidRPr="00626EAF" w:rsidRDefault="009835EF" w:rsidP="00626EAF">
      <w:pPr>
        <w:pStyle w:val="Heading5"/>
        <w:rPr>
          <w:rFonts w:ascii="Arial" w:hAnsi="Arial" w:cs="Arial"/>
          <w:sz w:val="22"/>
          <w:szCs w:val="22"/>
        </w:rPr>
      </w:pPr>
      <w:r w:rsidRPr="00626EAF">
        <w:rPr>
          <w:rFonts w:ascii="Arial" w:hAnsi="Arial" w:cs="Arial"/>
          <w:sz w:val="22"/>
          <w:szCs w:val="22"/>
        </w:rPr>
        <w:t xml:space="preserve">aggregated Profit From Continuing Operations for the last </w:t>
      </w:r>
      <w:r w:rsidR="00C54D02">
        <w:rPr>
          <w:rFonts w:ascii="Arial" w:hAnsi="Arial" w:cs="Arial"/>
          <w:sz w:val="22"/>
          <w:szCs w:val="22"/>
        </w:rPr>
        <w:t>three</w:t>
      </w:r>
      <w:r w:rsidRPr="00626EAF">
        <w:rPr>
          <w:rFonts w:ascii="Arial" w:hAnsi="Arial" w:cs="Arial"/>
          <w:sz w:val="22"/>
          <w:szCs w:val="22"/>
        </w:rPr>
        <w:t xml:space="preserve"> full financial years was at least $1 million; and </w:t>
      </w:r>
    </w:p>
    <w:p w14:paraId="33C9BA44" w14:textId="00AE61C9" w:rsidR="009835EF" w:rsidRPr="00626EAF" w:rsidRDefault="009835EF" w:rsidP="00626EAF">
      <w:pPr>
        <w:pStyle w:val="Heading5"/>
        <w:rPr>
          <w:rFonts w:ascii="Arial" w:hAnsi="Arial" w:cs="Arial"/>
          <w:sz w:val="22"/>
          <w:szCs w:val="22"/>
        </w:rPr>
      </w:pPr>
      <w:r w:rsidRPr="00626EAF">
        <w:rPr>
          <w:rFonts w:ascii="Arial" w:hAnsi="Arial" w:cs="Arial"/>
          <w:sz w:val="22"/>
          <w:szCs w:val="22"/>
        </w:rPr>
        <w:lastRenderedPageBreak/>
        <w:t xml:space="preserve">consolidated Profit From Continuing Operations for the </w:t>
      </w:r>
      <w:r w:rsidR="00C54D02">
        <w:rPr>
          <w:rFonts w:ascii="Arial" w:hAnsi="Arial" w:cs="Arial"/>
          <w:sz w:val="22"/>
          <w:szCs w:val="22"/>
        </w:rPr>
        <w:t>twelve</w:t>
      </w:r>
      <w:r w:rsidRPr="00626EAF">
        <w:rPr>
          <w:rFonts w:ascii="Arial" w:hAnsi="Arial" w:cs="Arial"/>
          <w:sz w:val="22"/>
          <w:szCs w:val="22"/>
        </w:rPr>
        <w:t xml:space="preserve"> months to a date, no more than</w:t>
      </w:r>
      <w:r w:rsidR="00C54D02">
        <w:rPr>
          <w:rFonts w:ascii="Arial" w:hAnsi="Arial" w:cs="Arial"/>
          <w:sz w:val="22"/>
          <w:szCs w:val="22"/>
        </w:rPr>
        <w:t xml:space="preserve"> two</w:t>
      </w:r>
      <w:r w:rsidRPr="00626EAF">
        <w:rPr>
          <w:rFonts w:ascii="Arial" w:hAnsi="Arial" w:cs="Arial"/>
          <w:sz w:val="22"/>
          <w:szCs w:val="22"/>
        </w:rPr>
        <w:t xml:space="preserve"> months before the date of Application, was at least $500,000. </w:t>
      </w:r>
    </w:p>
    <w:p w14:paraId="5CFB9739" w14:textId="610E17C1" w:rsidR="009835EF" w:rsidRPr="00626EAF" w:rsidRDefault="009835EF" w:rsidP="00626EAF">
      <w:pPr>
        <w:pStyle w:val="Heading4"/>
        <w:rPr>
          <w:rFonts w:ascii="Arial" w:hAnsi="Arial" w:cs="Arial"/>
          <w:sz w:val="22"/>
          <w:szCs w:val="22"/>
        </w:rPr>
      </w:pPr>
      <w:r w:rsidRPr="00626EAF">
        <w:rPr>
          <w:rFonts w:ascii="Arial" w:hAnsi="Arial" w:cs="Arial"/>
          <w:sz w:val="22"/>
          <w:szCs w:val="22"/>
        </w:rPr>
        <w:t>The Applicant must submit to the Regulator the following records, as applicable:</w:t>
      </w:r>
    </w:p>
    <w:p w14:paraId="3AE53B5A" w14:textId="1400F125" w:rsidR="009835EF" w:rsidRPr="00626EAF" w:rsidRDefault="009835EF" w:rsidP="00755725">
      <w:pPr>
        <w:pStyle w:val="Heading5"/>
        <w:numPr>
          <w:ilvl w:val="4"/>
          <w:numId w:val="102"/>
        </w:numPr>
        <w:rPr>
          <w:rFonts w:ascii="Arial" w:hAnsi="Arial" w:cs="Arial"/>
          <w:sz w:val="22"/>
          <w:szCs w:val="22"/>
        </w:rPr>
      </w:pPr>
      <w:r w:rsidRPr="00626EAF">
        <w:rPr>
          <w:rFonts w:ascii="Arial" w:hAnsi="Arial" w:cs="Arial"/>
          <w:sz w:val="22"/>
          <w:szCs w:val="22"/>
        </w:rPr>
        <w:t xml:space="preserve">Audited accounts, for the purposes of this Rule and Rule 2.3.2(1), for the last </w:t>
      </w:r>
      <w:r w:rsidR="00F75F77">
        <w:rPr>
          <w:rFonts w:ascii="Arial" w:hAnsi="Arial" w:cs="Arial"/>
          <w:sz w:val="22"/>
          <w:szCs w:val="22"/>
        </w:rPr>
        <w:t>three</w:t>
      </w:r>
      <w:r w:rsidRPr="00626EAF">
        <w:rPr>
          <w:rFonts w:ascii="Arial" w:hAnsi="Arial" w:cs="Arial"/>
          <w:sz w:val="22"/>
          <w:szCs w:val="22"/>
        </w:rPr>
        <w:t xml:space="preserve"> full financial years, noting that:  </w:t>
      </w:r>
    </w:p>
    <w:p w14:paraId="0722B6C7" w14:textId="762C7AAE" w:rsidR="009835EF" w:rsidRPr="008D2DAF" w:rsidRDefault="009835EF" w:rsidP="009835EF">
      <w:pPr>
        <w:pStyle w:val="Heading4"/>
        <w:numPr>
          <w:ilvl w:val="0"/>
          <w:numId w:val="0"/>
        </w:numPr>
        <w:ind w:left="2880" w:hanging="753"/>
        <w:rPr>
          <w:rFonts w:ascii="Arial" w:hAnsi="Arial" w:cs="Arial"/>
          <w:sz w:val="22"/>
          <w:szCs w:val="22"/>
        </w:rPr>
      </w:pPr>
      <w:r w:rsidRPr="008D2DAF">
        <w:rPr>
          <w:rFonts w:ascii="Arial" w:hAnsi="Arial" w:cs="Arial"/>
          <w:sz w:val="22"/>
          <w:szCs w:val="22"/>
        </w:rPr>
        <w:t>(i)</w:t>
      </w:r>
      <w:r w:rsidRPr="008D2DAF">
        <w:rPr>
          <w:rFonts w:ascii="Arial" w:hAnsi="Arial" w:cs="Arial"/>
          <w:sz w:val="22"/>
          <w:szCs w:val="22"/>
        </w:rPr>
        <w:tab/>
        <w:t xml:space="preserve">if the Applicant applies for admission less than </w:t>
      </w:r>
      <w:r w:rsidR="00C54D02">
        <w:rPr>
          <w:rFonts w:ascii="Arial" w:hAnsi="Arial" w:cs="Arial"/>
          <w:sz w:val="22"/>
          <w:szCs w:val="22"/>
        </w:rPr>
        <w:t>ninety</w:t>
      </w:r>
      <w:r w:rsidRPr="008D2DAF">
        <w:rPr>
          <w:rFonts w:ascii="Arial" w:hAnsi="Arial" w:cs="Arial"/>
          <w:sz w:val="22"/>
          <w:szCs w:val="22"/>
        </w:rPr>
        <w:t xml:space="preserve"> days after the end of its last financial year, unless the Applicant has audited accounts for its latest full financial year, the accounts may be for the </w:t>
      </w:r>
      <w:r w:rsidR="00C54D02">
        <w:rPr>
          <w:rFonts w:ascii="Arial" w:hAnsi="Arial" w:cs="Arial"/>
          <w:sz w:val="22"/>
          <w:szCs w:val="22"/>
        </w:rPr>
        <w:t>three</w:t>
      </w:r>
      <w:r w:rsidRPr="008D2DAF">
        <w:rPr>
          <w:rFonts w:ascii="Arial" w:hAnsi="Arial" w:cs="Arial"/>
          <w:sz w:val="22"/>
          <w:szCs w:val="22"/>
        </w:rPr>
        <w:t xml:space="preserve"> years to the end of the previous financial year, but must also include audited or reviewed accounts for its most recent semi-annual financial reporting period; and   </w:t>
      </w:r>
    </w:p>
    <w:p w14:paraId="59CAA3EB" w14:textId="5806712D" w:rsidR="009835EF" w:rsidRPr="008D2DAF" w:rsidRDefault="009835EF" w:rsidP="009835EF">
      <w:pPr>
        <w:pStyle w:val="Heading4"/>
        <w:numPr>
          <w:ilvl w:val="0"/>
          <w:numId w:val="0"/>
        </w:numPr>
        <w:ind w:left="2880" w:hanging="753"/>
        <w:rPr>
          <w:rFonts w:ascii="Arial" w:hAnsi="Arial" w:cs="Arial"/>
          <w:sz w:val="22"/>
          <w:szCs w:val="22"/>
        </w:rPr>
      </w:pPr>
      <w:r w:rsidRPr="008D2DAF">
        <w:rPr>
          <w:rFonts w:ascii="Arial" w:hAnsi="Arial" w:cs="Arial"/>
          <w:sz w:val="22"/>
          <w:szCs w:val="22"/>
        </w:rPr>
        <w:t>(ii)</w:t>
      </w:r>
      <w:r w:rsidRPr="008D2DAF">
        <w:rPr>
          <w:rFonts w:ascii="Arial" w:hAnsi="Arial" w:cs="Arial"/>
          <w:sz w:val="22"/>
          <w:szCs w:val="22"/>
        </w:rPr>
        <w:tab/>
        <w:t xml:space="preserve">if the Applicant applies for admission more than </w:t>
      </w:r>
      <w:r w:rsidR="00C54D02">
        <w:rPr>
          <w:rFonts w:ascii="Arial" w:hAnsi="Arial" w:cs="Arial"/>
          <w:sz w:val="22"/>
          <w:szCs w:val="22"/>
        </w:rPr>
        <w:t>six</w:t>
      </w:r>
      <w:r w:rsidRPr="008D2DAF">
        <w:rPr>
          <w:rFonts w:ascii="Arial" w:hAnsi="Arial" w:cs="Arial"/>
          <w:sz w:val="22"/>
          <w:szCs w:val="22"/>
        </w:rPr>
        <w:t xml:space="preserve"> months and </w:t>
      </w:r>
      <w:r w:rsidR="00C54D02">
        <w:rPr>
          <w:rFonts w:ascii="Arial" w:hAnsi="Arial" w:cs="Arial"/>
          <w:sz w:val="22"/>
          <w:szCs w:val="22"/>
        </w:rPr>
        <w:t>seventy-five</w:t>
      </w:r>
      <w:r w:rsidRPr="008D2DAF">
        <w:rPr>
          <w:rFonts w:ascii="Arial" w:hAnsi="Arial" w:cs="Arial"/>
          <w:sz w:val="22"/>
          <w:szCs w:val="22"/>
        </w:rPr>
        <w:t xml:space="preserve"> days after the end of its last financial year, audited or reviewed accounts for its most recent semi-annual financial reporting period (or longer period if available).</w:t>
      </w:r>
    </w:p>
    <w:p w14:paraId="4DFF4DFB" w14:textId="6AF800F6" w:rsidR="009835EF" w:rsidRPr="00626EAF" w:rsidRDefault="009835EF" w:rsidP="00755725">
      <w:pPr>
        <w:pStyle w:val="Heading5"/>
        <w:numPr>
          <w:ilvl w:val="4"/>
          <w:numId w:val="102"/>
        </w:numPr>
        <w:rPr>
          <w:rFonts w:ascii="Arial" w:hAnsi="Arial" w:cs="Arial"/>
          <w:sz w:val="22"/>
          <w:szCs w:val="22"/>
        </w:rPr>
      </w:pPr>
      <w:r w:rsidRPr="00626EAF">
        <w:rPr>
          <w:rFonts w:ascii="Arial" w:hAnsi="Arial" w:cs="Arial"/>
          <w:sz w:val="22"/>
          <w:szCs w:val="22"/>
        </w:rPr>
        <w:t xml:space="preserve">Unless the Regulator agrees it is not needed, a reviewed pro forma statement of financial position. The review must be conducted by an accredited professional auditor of the company or an independent accountant. </w:t>
      </w:r>
    </w:p>
    <w:p w14:paraId="565F6754" w14:textId="086EFA39" w:rsidR="009835EF" w:rsidRPr="00626EAF" w:rsidRDefault="009835EF" w:rsidP="00626EAF">
      <w:pPr>
        <w:pStyle w:val="Heading4"/>
        <w:rPr>
          <w:rFonts w:ascii="Arial" w:hAnsi="Arial" w:cs="Arial"/>
          <w:sz w:val="22"/>
          <w:szCs w:val="22"/>
        </w:rPr>
      </w:pPr>
      <w:r w:rsidRPr="00626EAF">
        <w:rPr>
          <w:rFonts w:ascii="Arial" w:hAnsi="Arial" w:cs="Arial"/>
          <w:sz w:val="22"/>
          <w:szCs w:val="22"/>
        </w:rPr>
        <w:t xml:space="preserve">If its Prospectus, or equivalent offer document, if the Applicant is not making an Offer within ADGM, does not contain a statement confirming that the Directors have made enquiries and nothing has come to their attention to suggest that the Applicant is not continuing to earn Profit From Continuing Operations up to the date of the Prospectus, the Applicant must submit such a statement to the Regulator signed by all of its Directors. </w:t>
      </w:r>
    </w:p>
    <w:p w14:paraId="250BF6DB" w14:textId="15DE20E8" w:rsidR="009835EF" w:rsidRPr="009835EF" w:rsidRDefault="009835EF" w:rsidP="009835EF">
      <w:pPr>
        <w:pStyle w:val="TitleL"/>
        <w:rPr>
          <w:rFonts w:ascii="Arial" w:hAnsi="Arial" w:cs="Arial"/>
          <w:sz w:val="22"/>
          <w:szCs w:val="22"/>
        </w:rPr>
      </w:pPr>
      <w:r w:rsidRPr="009835EF">
        <w:rPr>
          <w:rFonts w:ascii="Arial" w:hAnsi="Arial" w:cs="Arial"/>
          <w:sz w:val="22"/>
          <w:szCs w:val="22"/>
        </w:rPr>
        <w:t xml:space="preserve">Asset eligibility </w:t>
      </w:r>
      <w:r>
        <w:rPr>
          <w:rFonts w:ascii="Arial" w:hAnsi="Arial" w:cs="Arial"/>
          <w:sz w:val="22"/>
          <w:szCs w:val="22"/>
        </w:rPr>
        <w:t>t</w:t>
      </w:r>
      <w:r w:rsidRPr="009835EF">
        <w:rPr>
          <w:rFonts w:ascii="Arial" w:hAnsi="Arial" w:cs="Arial"/>
          <w:sz w:val="22"/>
          <w:szCs w:val="22"/>
        </w:rPr>
        <w:t>est</w:t>
      </w:r>
    </w:p>
    <w:p w14:paraId="5709F444" w14:textId="77777777" w:rsidR="009835EF" w:rsidRPr="00BB076C" w:rsidRDefault="009835EF" w:rsidP="009835EF">
      <w:pPr>
        <w:pStyle w:val="Heading4"/>
        <w:numPr>
          <w:ilvl w:val="0"/>
          <w:numId w:val="0"/>
        </w:numPr>
        <w:ind w:left="709" w:hanging="709"/>
        <w:rPr>
          <w:rFonts w:ascii="Arial" w:hAnsi="Arial" w:cs="Arial"/>
          <w:sz w:val="22"/>
          <w:szCs w:val="22"/>
          <w:u w:val="single"/>
        </w:rPr>
      </w:pPr>
      <w:r w:rsidRPr="00637843">
        <w:rPr>
          <w:rFonts w:ascii="Arial" w:hAnsi="Arial" w:cs="Arial"/>
          <w:b/>
          <w:bCs w:val="0"/>
          <w:sz w:val="22"/>
          <w:szCs w:val="22"/>
        </w:rPr>
        <w:t>2.3.16</w:t>
      </w:r>
      <w:r w:rsidRPr="00637843">
        <w:rPr>
          <w:rFonts w:ascii="Arial" w:hAnsi="Arial" w:cs="Arial"/>
          <w:b/>
          <w:bCs w:val="0"/>
          <w:sz w:val="22"/>
          <w:szCs w:val="22"/>
        </w:rPr>
        <w:tab/>
      </w:r>
      <w:r w:rsidRPr="00637843">
        <w:rPr>
          <w:rFonts w:ascii="Arial" w:hAnsi="Arial" w:cs="Arial"/>
          <w:iCs w:val="0"/>
          <w:sz w:val="22"/>
          <w:szCs w:val="22"/>
        </w:rPr>
        <w:t>In order to meet the assets eligibility test, an Applicant must satisfy the following requirements.</w:t>
      </w:r>
    </w:p>
    <w:p w14:paraId="33ECC433" w14:textId="0E575D54" w:rsidR="009835EF" w:rsidRPr="00637843" w:rsidRDefault="009835EF" w:rsidP="00755725">
      <w:pPr>
        <w:pStyle w:val="Heading4"/>
        <w:numPr>
          <w:ilvl w:val="3"/>
          <w:numId w:val="103"/>
        </w:numPr>
        <w:rPr>
          <w:rFonts w:ascii="Arial" w:hAnsi="Arial" w:cs="Arial"/>
          <w:sz w:val="22"/>
          <w:szCs w:val="22"/>
        </w:rPr>
      </w:pPr>
      <w:r w:rsidRPr="00637843">
        <w:rPr>
          <w:rFonts w:ascii="Arial" w:hAnsi="Arial" w:cs="Arial"/>
          <w:sz w:val="22"/>
          <w:szCs w:val="22"/>
        </w:rPr>
        <w:t>At the time of admission, the Applicant must have:</w:t>
      </w:r>
    </w:p>
    <w:p w14:paraId="1D2F96CC" w14:textId="23513FE7" w:rsidR="009835EF" w:rsidRPr="00637843" w:rsidRDefault="009835EF" w:rsidP="00755725">
      <w:pPr>
        <w:pStyle w:val="Heading5"/>
        <w:numPr>
          <w:ilvl w:val="4"/>
          <w:numId w:val="102"/>
        </w:numPr>
        <w:rPr>
          <w:rFonts w:ascii="Arial" w:hAnsi="Arial" w:cs="Arial"/>
          <w:sz w:val="22"/>
          <w:szCs w:val="22"/>
        </w:rPr>
      </w:pPr>
      <w:r w:rsidRPr="00637843">
        <w:rPr>
          <w:rFonts w:ascii="Arial" w:hAnsi="Arial" w:cs="Arial"/>
          <w:sz w:val="22"/>
          <w:szCs w:val="22"/>
        </w:rPr>
        <w:t>net tangible assets of at least $3 million, after deducting the costs of capital raising; or</w:t>
      </w:r>
    </w:p>
    <w:p w14:paraId="45B8C16A" w14:textId="6B10E624" w:rsidR="009835EF" w:rsidRPr="00637843" w:rsidRDefault="009835EF" w:rsidP="00755725">
      <w:pPr>
        <w:pStyle w:val="Heading5"/>
        <w:numPr>
          <w:ilvl w:val="4"/>
          <w:numId w:val="102"/>
        </w:numPr>
        <w:rPr>
          <w:rFonts w:ascii="Arial" w:hAnsi="Arial" w:cs="Arial"/>
          <w:sz w:val="22"/>
          <w:szCs w:val="22"/>
        </w:rPr>
      </w:pPr>
      <w:r w:rsidRPr="00637843">
        <w:rPr>
          <w:rFonts w:ascii="Arial" w:hAnsi="Arial" w:cs="Arial"/>
          <w:sz w:val="22"/>
          <w:szCs w:val="22"/>
        </w:rPr>
        <w:t xml:space="preserve">a Market Capitalisation of at least $10 million (after any capital raising). </w:t>
      </w:r>
    </w:p>
    <w:p w14:paraId="5BE0C6EA" w14:textId="77C0FC3E" w:rsidR="009835EF" w:rsidRPr="00637843" w:rsidRDefault="009835EF" w:rsidP="00755725">
      <w:pPr>
        <w:pStyle w:val="Heading4"/>
        <w:numPr>
          <w:ilvl w:val="3"/>
          <w:numId w:val="103"/>
        </w:numPr>
        <w:rPr>
          <w:rFonts w:ascii="Arial" w:hAnsi="Arial" w:cs="Arial"/>
          <w:sz w:val="22"/>
          <w:szCs w:val="22"/>
        </w:rPr>
      </w:pPr>
      <w:r w:rsidRPr="00637843">
        <w:rPr>
          <w:rFonts w:ascii="Arial" w:hAnsi="Arial" w:cs="Arial"/>
          <w:sz w:val="22"/>
          <w:szCs w:val="22"/>
        </w:rPr>
        <w:t>The Applicant must have:</w:t>
      </w:r>
    </w:p>
    <w:p w14:paraId="593BDCD1" w14:textId="58BFB821" w:rsidR="009835EF" w:rsidRPr="00F17DB8" w:rsidRDefault="009835EF" w:rsidP="00755725">
      <w:pPr>
        <w:pStyle w:val="Heading5"/>
        <w:numPr>
          <w:ilvl w:val="4"/>
          <w:numId w:val="102"/>
        </w:numPr>
        <w:rPr>
          <w:rFonts w:ascii="Arial" w:hAnsi="Arial" w:cs="Arial"/>
          <w:sz w:val="22"/>
          <w:szCs w:val="22"/>
        </w:rPr>
      </w:pPr>
      <w:r w:rsidRPr="00F17DB8">
        <w:rPr>
          <w:rFonts w:ascii="Arial" w:hAnsi="Arial" w:cs="Arial"/>
          <w:sz w:val="22"/>
          <w:szCs w:val="22"/>
        </w:rPr>
        <w:t>less than half of its total tangible assets (after any capital raising) in cash, or in a form readily convertible to cash; or</w:t>
      </w:r>
    </w:p>
    <w:p w14:paraId="689327A6" w14:textId="32BFC446" w:rsidR="009835EF" w:rsidRPr="00F17DB8" w:rsidRDefault="009835EF" w:rsidP="00755725">
      <w:pPr>
        <w:pStyle w:val="Heading5"/>
        <w:numPr>
          <w:ilvl w:val="4"/>
          <w:numId w:val="102"/>
        </w:numPr>
        <w:rPr>
          <w:rFonts w:ascii="Arial" w:hAnsi="Arial" w:cs="Arial"/>
          <w:sz w:val="22"/>
          <w:szCs w:val="22"/>
        </w:rPr>
      </w:pPr>
      <w:r w:rsidRPr="00F17DB8">
        <w:rPr>
          <w:rFonts w:ascii="Arial" w:hAnsi="Arial" w:cs="Arial"/>
          <w:sz w:val="22"/>
          <w:szCs w:val="22"/>
        </w:rPr>
        <w:t xml:space="preserve">commitments to spend at least half of its cash and / or assets in a form readily convertible to cash, consistent with the objectives stated pursuant to Rule 2.3.16(3)(a). The Applicant’s Prospectus (or equivalent offer document, if the Applicant is not making an Offer within </w:t>
      </w:r>
      <w:r w:rsidRPr="00F17DB8">
        <w:rPr>
          <w:rFonts w:ascii="Arial" w:hAnsi="Arial" w:cs="Arial"/>
          <w:sz w:val="22"/>
          <w:szCs w:val="22"/>
        </w:rPr>
        <w:lastRenderedPageBreak/>
        <w:t xml:space="preserve">ADGM) must include an expenditure program clearly setting out its commitments. </w:t>
      </w:r>
    </w:p>
    <w:p w14:paraId="7064F075" w14:textId="77777777" w:rsidR="009835EF" w:rsidRPr="00F17DB8" w:rsidRDefault="009835EF" w:rsidP="00F17DB8">
      <w:pPr>
        <w:pStyle w:val="TitleL"/>
        <w:rPr>
          <w:rFonts w:ascii="Arial" w:hAnsi="Arial" w:cs="Arial"/>
          <w:sz w:val="22"/>
          <w:szCs w:val="22"/>
        </w:rPr>
      </w:pPr>
      <w:r w:rsidRPr="00F17DB8">
        <w:rPr>
          <w:rFonts w:ascii="Arial" w:hAnsi="Arial" w:cs="Arial"/>
          <w:sz w:val="22"/>
          <w:szCs w:val="22"/>
        </w:rPr>
        <w:t>Guidance</w:t>
      </w:r>
    </w:p>
    <w:p w14:paraId="6B699A95" w14:textId="77777777" w:rsidR="009835EF" w:rsidRPr="00F17DB8" w:rsidRDefault="009835EF" w:rsidP="00F17DB8">
      <w:pPr>
        <w:pStyle w:val="UK12Block05"/>
        <w:rPr>
          <w:rFonts w:ascii="Arial" w:hAnsi="Arial" w:cs="Arial"/>
          <w:sz w:val="22"/>
          <w:szCs w:val="22"/>
        </w:rPr>
      </w:pPr>
      <w:r w:rsidRPr="00F17DB8">
        <w:rPr>
          <w:rFonts w:ascii="Arial" w:hAnsi="Arial" w:cs="Arial"/>
          <w:sz w:val="22"/>
          <w:szCs w:val="22"/>
        </w:rPr>
        <w:t>When deciding if an Applicant’s total tangible assets are in a form readily convertible to cash, the Regulator would not normally consider inventories or receivables as being readily convertible to cash.</w:t>
      </w:r>
    </w:p>
    <w:p w14:paraId="4D5C3D7D" w14:textId="494F45A7" w:rsidR="009835EF" w:rsidRPr="00F17DB8" w:rsidRDefault="009835EF" w:rsidP="00755725">
      <w:pPr>
        <w:pStyle w:val="Heading4"/>
        <w:numPr>
          <w:ilvl w:val="3"/>
          <w:numId w:val="103"/>
        </w:numPr>
        <w:rPr>
          <w:rFonts w:ascii="Arial" w:hAnsi="Arial" w:cs="Arial"/>
          <w:sz w:val="22"/>
          <w:szCs w:val="22"/>
        </w:rPr>
      </w:pPr>
      <w:r w:rsidRPr="00F17DB8">
        <w:rPr>
          <w:rFonts w:ascii="Arial" w:hAnsi="Arial" w:cs="Arial"/>
          <w:sz w:val="22"/>
          <w:szCs w:val="22"/>
        </w:rPr>
        <w:t>The Applicant must:</w:t>
      </w:r>
    </w:p>
    <w:p w14:paraId="66AFCBE2" w14:textId="66125FA3" w:rsidR="009835EF" w:rsidRPr="00F17DB8" w:rsidRDefault="009835EF" w:rsidP="00755725">
      <w:pPr>
        <w:pStyle w:val="Heading5"/>
        <w:numPr>
          <w:ilvl w:val="4"/>
          <w:numId w:val="102"/>
        </w:numPr>
        <w:rPr>
          <w:rFonts w:ascii="Arial" w:hAnsi="Arial" w:cs="Arial"/>
          <w:sz w:val="22"/>
          <w:szCs w:val="22"/>
        </w:rPr>
      </w:pPr>
      <w:r w:rsidRPr="00F17DB8">
        <w:rPr>
          <w:rFonts w:ascii="Arial" w:hAnsi="Arial" w:cs="Arial"/>
          <w:sz w:val="22"/>
          <w:szCs w:val="22"/>
        </w:rPr>
        <w:t>within its Prospectus (or equivalent offer document, if the Applicant is not making an Offer within ADGM), state the objectives it is seeking to achieve from the admission of its Securities to the Official List, and any capital raising undertaken in connection with the admission; and</w:t>
      </w:r>
    </w:p>
    <w:p w14:paraId="012D9764" w14:textId="0B2AF96F" w:rsidR="009835EF" w:rsidRPr="00F17DB8" w:rsidRDefault="009835EF" w:rsidP="00755725">
      <w:pPr>
        <w:pStyle w:val="Heading5"/>
        <w:numPr>
          <w:ilvl w:val="4"/>
          <w:numId w:val="102"/>
        </w:numPr>
        <w:rPr>
          <w:rFonts w:ascii="Arial" w:hAnsi="Arial" w:cs="Arial"/>
          <w:sz w:val="22"/>
          <w:szCs w:val="22"/>
        </w:rPr>
      </w:pPr>
      <w:r w:rsidRPr="00F17DB8">
        <w:rPr>
          <w:rFonts w:ascii="Arial" w:hAnsi="Arial" w:cs="Arial"/>
          <w:sz w:val="22"/>
          <w:szCs w:val="22"/>
        </w:rPr>
        <w:t xml:space="preserve">have working capital of at least $1.5 million, as shown in its reviewed pro forma statement of financial position under Rule 2.3.16(4)(c). </w:t>
      </w:r>
    </w:p>
    <w:p w14:paraId="4D157539" w14:textId="3B557F16" w:rsidR="009835EF" w:rsidRPr="00F17DB8" w:rsidRDefault="009835EF" w:rsidP="00755725">
      <w:pPr>
        <w:pStyle w:val="Heading4"/>
        <w:numPr>
          <w:ilvl w:val="3"/>
          <w:numId w:val="103"/>
        </w:numPr>
        <w:rPr>
          <w:rFonts w:ascii="Arial" w:hAnsi="Arial" w:cs="Arial"/>
          <w:sz w:val="22"/>
          <w:szCs w:val="22"/>
        </w:rPr>
      </w:pPr>
      <w:r w:rsidRPr="00F17DB8">
        <w:rPr>
          <w:rFonts w:ascii="Arial" w:hAnsi="Arial" w:cs="Arial"/>
          <w:sz w:val="22"/>
          <w:szCs w:val="22"/>
        </w:rPr>
        <w:t>Unless the Regulator directs otherwise, the Applicant must submit the following.</w:t>
      </w:r>
    </w:p>
    <w:p w14:paraId="4B3EF7C1" w14:textId="4449DC9B" w:rsidR="009835EF" w:rsidRPr="00F17DB8" w:rsidRDefault="009835EF" w:rsidP="00755725">
      <w:pPr>
        <w:pStyle w:val="Heading5"/>
        <w:numPr>
          <w:ilvl w:val="4"/>
          <w:numId w:val="102"/>
        </w:numPr>
        <w:rPr>
          <w:rFonts w:ascii="Arial" w:hAnsi="Arial" w:cs="Arial"/>
          <w:sz w:val="22"/>
          <w:szCs w:val="22"/>
        </w:rPr>
      </w:pPr>
      <w:r w:rsidRPr="00F17DB8">
        <w:rPr>
          <w:rFonts w:ascii="Arial" w:hAnsi="Arial" w:cs="Arial"/>
          <w:sz w:val="22"/>
          <w:szCs w:val="22"/>
        </w:rPr>
        <w:t>Audited accounts, for the purposes of this Rule and Rule 2.3.2(1), for the last two full financial years.</w:t>
      </w:r>
    </w:p>
    <w:p w14:paraId="49B38992" w14:textId="2F28AE91" w:rsidR="009835EF" w:rsidRPr="00F17DB8" w:rsidRDefault="009835EF" w:rsidP="009835EF">
      <w:pPr>
        <w:pStyle w:val="Heading4"/>
        <w:numPr>
          <w:ilvl w:val="0"/>
          <w:numId w:val="0"/>
        </w:numPr>
        <w:ind w:left="2880" w:hanging="753"/>
        <w:rPr>
          <w:rFonts w:ascii="Arial" w:hAnsi="Arial" w:cs="Arial"/>
          <w:sz w:val="22"/>
          <w:szCs w:val="22"/>
        </w:rPr>
      </w:pPr>
      <w:r w:rsidRPr="00F17DB8">
        <w:rPr>
          <w:rFonts w:ascii="Arial" w:hAnsi="Arial" w:cs="Arial"/>
          <w:sz w:val="22"/>
          <w:szCs w:val="22"/>
        </w:rPr>
        <w:t>(i)</w:t>
      </w:r>
      <w:r w:rsidRPr="00F17DB8">
        <w:rPr>
          <w:rFonts w:ascii="Arial" w:hAnsi="Arial" w:cs="Arial"/>
          <w:sz w:val="22"/>
          <w:szCs w:val="22"/>
        </w:rPr>
        <w:tab/>
        <w:t xml:space="preserve">If the Applicant applies for admission less than </w:t>
      </w:r>
      <w:r w:rsidR="00C54D02">
        <w:rPr>
          <w:rFonts w:ascii="Arial" w:hAnsi="Arial" w:cs="Arial"/>
          <w:sz w:val="22"/>
          <w:szCs w:val="22"/>
        </w:rPr>
        <w:t>ninety</w:t>
      </w:r>
      <w:r w:rsidRPr="00F17DB8">
        <w:rPr>
          <w:rFonts w:ascii="Arial" w:hAnsi="Arial" w:cs="Arial"/>
          <w:sz w:val="22"/>
          <w:szCs w:val="22"/>
        </w:rPr>
        <w:t xml:space="preserve"> days after the end of its last financial year, unless the Applicant has audited accounts for its latest full financial year, the accounts may be for the two years to the end of the previous financial year, but must also include audited or reviewed accounts for its most recent semi-annual financial reporting period as well.   </w:t>
      </w:r>
    </w:p>
    <w:p w14:paraId="07B17372" w14:textId="6D6A1896" w:rsidR="009835EF" w:rsidRPr="00F17DB8" w:rsidRDefault="009835EF" w:rsidP="00F17DB8">
      <w:pPr>
        <w:pStyle w:val="Heading4"/>
        <w:numPr>
          <w:ilvl w:val="0"/>
          <w:numId w:val="0"/>
        </w:numPr>
        <w:ind w:left="2880" w:hanging="753"/>
        <w:rPr>
          <w:rFonts w:ascii="Arial" w:hAnsi="Arial" w:cs="Arial"/>
          <w:sz w:val="22"/>
          <w:szCs w:val="22"/>
        </w:rPr>
      </w:pPr>
      <w:r w:rsidRPr="00F17DB8">
        <w:rPr>
          <w:rFonts w:ascii="Arial" w:hAnsi="Arial" w:cs="Arial"/>
          <w:sz w:val="22"/>
          <w:szCs w:val="22"/>
        </w:rPr>
        <w:t>(ii)</w:t>
      </w:r>
      <w:r w:rsidRPr="00F17DB8">
        <w:rPr>
          <w:rFonts w:ascii="Arial" w:hAnsi="Arial" w:cs="Arial"/>
          <w:sz w:val="22"/>
          <w:szCs w:val="22"/>
        </w:rPr>
        <w:tab/>
        <w:t xml:space="preserve">If the Applicant applies for admission more than six months and </w:t>
      </w:r>
      <w:r w:rsidR="00C54D02">
        <w:rPr>
          <w:rFonts w:ascii="Arial" w:hAnsi="Arial" w:cs="Arial"/>
          <w:sz w:val="22"/>
          <w:szCs w:val="22"/>
        </w:rPr>
        <w:t>seventy-five</w:t>
      </w:r>
      <w:r w:rsidRPr="00F17DB8">
        <w:rPr>
          <w:rFonts w:ascii="Arial" w:hAnsi="Arial" w:cs="Arial"/>
          <w:sz w:val="22"/>
          <w:szCs w:val="22"/>
        </w:rPr>
        <w:t xml:space="preserve"> days after the end of its last financial year, audited or reviewed accounts for its most recent semi-annual financial reporting period (or longer period if available).</w:t>
      </w:r>
    </w:p>
    <w:p w14:paraId="3DA681E1" w14:textId="5F5EA63E" w:rsidR="009835EF" w:rsidRPr="00F17DB8" w:rsidRDefault="009835EF" w:rsidP="00755725">
      <w:pPr>
        <w:pStyle w:val="Heading5"/>
        <w:numPr>
          <w:ilvl w:val="4"/>
          <w:numId w:val="102"/>
        </w:numPr>
        <w:rPr>
          <w:rFonts w:ascii="Arial" w:hAnsi="Arial" w:cs="Arial"/>
          <w:sz w:val="22"/>
          <w:szCs w:val="22"/>
        </w:rPr>
      </w:pPr>
      <w:r w:rsidRPr="00F17DB8">
        <w:rPr>
          <w:rFonts w:ascii="Arial" w:hAnsi="Arial" w:cs="Arial"/>
          <w:sz w:val="22"/>
          <w:szCs w:val="22"/>
        </w:rPr>
        <w:t>If the Applicant has in the twelve months prior to applying for admission acquired, or is proposing in connection with its application for admission to acquire, another entity or business that is significant in the context of the Applicant:</w:t>
      </w:r>
    </w:p>
    <w:p w14:paraId="37D167AF" w14:textId="298B489E" w:rsidR="009835EF" w:rsidRPr="00F17DB8" w:rsidRDefault="009835EF" w:rsidP="009835EF">
      <w:pPr>
        <w:pStyle w:val="Heading4"/>
        <w:numPr>
          <w:ilvl w:val="0"/>
          <w:numId w:val="0"/>
        </w:numPr>
        <w:ind w:left="2880" w:hanging="753"/>
        <w:rPr>
          <w:rFonts w:ascii="Arial" w:hAnsi="Arial" w:cs="Arial"/>
          <w:sz w:val="22"/>
          <w:szCs w:val="22"/>
        </w:rPr>
      </w:pPr>
      <w:r w:rsidRPr="00F17DB8">
        <w:rPr>
          <w:rFonts w:ascii="Arial" w:hAnsi="Arial" w:cs="Arial"/>
          <w:sz w:val="22"/>
          <w:szCs w:val="22"/>
        </w:rPr>
        <w:t>(i)</w:t>
      </w:r>
      <w:r w:rsidRPr="00F17DB8">
        <w:rPr>
          <w:rFonts w:ascii="Arial" w:hAnsi="Arial" w:cs="Arial"/>
          <w:sz w:val="22"/>
          <w:szCs w:val="22"/>
        </w:rPr>
        <w:tab/>
        <w:t>audited accounts for the last two full financial years for that other entity or business. The submission of the other entity’s or business’ audited accounts must also comply with Rules 2.3.16(4)(a)(i) and (ii) above.</w:t>
      </w:r>
    </w:p>
    <w:p w14:paraId="77838155" w14:textId="1D99A645" w:rsidR="009835EF" w:rsidRPr="00F17DB8" w:rsidRDefault="009835EF" w:rsidP="00755725">
      <w:pPr>
        <w:pStyle w:val="Heading5"/>
        <w:numPr>
          <w:ilvl w:val="4"/>
          <w:numId w:val="102"/>
        </w:numPr>
        <w:rPr>
          <w:rFonts w:ascii="Arial" w:hAnsi="Arial" w:cs="Arial"/>
          <w:sz w:val="22"/>
          <w:szCs w:val="22"/>
        </w:rPr>
      </w:pPr>
      <w:r w:rsidRPr="00F17DB8">
        <w:rPr>
          <w:rFonts w:ascii="Arial" w:hAnsi="Arial" w:cs="Arial"/>
          <w:sz w:val="22"/>
          <w:szCs w:val="22"/>
        </w:rPr>
        <w:t xml:space="preserve">A reviewed pro forma statement of financial position.  The review must be conducted by a registered company auditor or an independent accountant. </w:t>
      </w:r>
    </w:p>
    <w:p w14:paraId="0B059524" w14:textId="4F697612" w:rsidR="009835EF" w:rsidRPr="00F17DB8" w:rsidRDefault="009835EF" w:rsidP="00755725">
      <w:pPr>
        <w:pStyle w:val="Heading4"/>
        <w:numPr>
          <w:ilvl w:val="3"/>
          <w:numId w:val="103"/>
        </w:numPr>
        <w:rPr>
          <w:rFonts w:ascii="Arial" w:hAnsi="Arial" w:cs="Arial"/>
          <w:sz w:val="22"/>
          <w:szCs w:val="22"/>
        </w:rPr>
      </w:pPr>
      <w:r w:rsidRPr="00F17DB8">
        <w:rPr>
          <w:rFonts w:ascii="Arial" w:hAnsi="Arial" w:cs="Arial"/>
          <w:sz w:val="22"/>
          <w:szCs w:val="22"/>
        </w:rPr>
        <w:t xml:space="preserve">In each case set out in (4) above, the Applicant must submit the audit report or review, and the audit report or review must not contain a modified opinion, emphasis of matter or other matter paragraph that the Regulator considers unacceptable. </w:t>
      </w:r>
    </w:p>
    <w:p w14:paraId="703731E9" w14:textId="362F867B" w:rsidR="009835EF" w:rsidRPr="00F17DB8" w:rsidRDefault="009835EF" w:rsidP="00755725">
      <w:pPr>
        <w:pStyle w:val="Heading4"/>
        <w:numPr>
          <w:ilvl w:val="3"/>
          <w:numId w:val="103"/>
        </w:numPr>
        <w:rPr>
          <w:rFonts w:ascii="Arial" w:hAnsi="Arial" w:cs="Arial"/>
          <w:sz w:val="22"/>
          <w:szCs w:val="22"/>
        </w:rPr>
      </w:pPr>
      <w:r w:rsidRPr="00F17DB8">
        <w:rPr>
          <w:rFonts w:ascii="Arial" w:hAnsi="Arial" w:cs="Arial"/>
          <w:sz w:val="22"/>
          <w:szCs w:val="22"/>
        </w:rPr>
        <w:lastRenderedPageBreak/>
        <w:t>If the Applicant has issued, or proposes to issue, Securities that under these Rules are, or are required to be, Restricted Securities, it must comply with Rule 9.6 and APP 7.</w:t>
      </w:r>
    </w:p>
    <w:p w14:paraId="10829B74" w14:textId="139D75C0" w:rsidR="009835EF" w:rsidRPr="00F17DB8" w:rsidRDefault="009835EF" w:rsidP="00755725">
      <w:pPr>
        <w:pStyle w:val="Heading4"/>
        <w:numPr>
          <w:ilvl w:val="3"/>
          <w:numId w:val="103"/>
        </w:numPr>
        <w:rPr>
          <w:rFonts w:ascii="Arial" w:hAnsi="Arial" w:cs="Arial"/>
          <w:sz w:val="22"/>
          <w:szCs w:val="22"/>
        </w:rPr>
      </w:pPr>
      <w:r w:rsidRPr="00F17DB8">
        <w:rPr>
          <w:rFonts w:ascii="Arial" w:hAnsi="Arial" w:cs="Arial"/>
          <w:sz w:val="22"/>
          <w:szCs w:val="22"/>
        </w:rPr>
        <w:t>If in the:</w:t>
      </w:r>
    </w:p>
    <w:p w14:paraId="7D926284" w14:textId="7A0FCCF5" w:rsidR="009835EF" w:rsidRPr="00F17DB8" w:rsidRDefault="009835EF" w:rsidP="00755725">
      <w:pPr>
        <w:pStyle w:val="Heading5"/>
        <w:numPr>
          <w:ilvl w:val="4"/>
          <w:numId w:val="102"/>
        </w:numPr>
        <w:rPr>
          <w:rFonts w:ascii="Arial" w:hAnsi="Arial" w:cs="Arial"/>
          <w:sz w:val="22"/>
          <w:szCs w:val="22"/>
        </w:rPr>
      </w:pPr>
      <w:r w:rsidRPr="00F17DB8">
        <w:rPr>
          <w:rFonts w:ascii="Arial" w:hAnsi="Arial" w:cs="Arial"/>
          <w:sz w:val="22"/>
          <w:szCs w:val="22"/>
        </w:rPr>
        <w:t>two years prior to the date of its application, the Applicant has acquired, or in connection with its admission is proposing to acquire, an Unproven Asset from a Related Party or Promoter, or an Associate of a Related Party or Promoter, the consideration for the acquisition must have been, or be, Restricted Securities in the form of Shares, or Warrants over the Applicant’s Shares, issued by the Applicant; or</w:t>
      </w:r>
    </w:p>
    <w:p w14:paraId="73DA56B0" w14:textId="69890CE4" w:rsidR="009835EF" w:rsidRPr="00F17DB8" w:rsidRDefault="009835EF" w:rsidP="00755725">
      <w:pPr>
        <w:pStyle w:val="Heading5"/>
        <w:numPr>
          <w:ilvl w:val="4"/>
          <w:numId w:val="102"/>
        </w:numPr>
        <w:rPr>
          <w:rFonts w:ascii="Arial" w:hAnsi="Arial" w:cs="Arial"/>
          <w:sz w:val="22"/>
          <w:szCs w:val="22"/>
        </w:rPr>
      </w:pPr>
      <w:r w:rsidRPr="00F17DB8">
        <w:rPr>
          <w:rFonts w:ascii="Arial" w:hAnsi="Arial" w:cs="Arial"/>
          <w:sz w:val="22"/>
          <w:szCs w:val="22"/>
        </w:rPr>
        <w:t xml:space="preserve">twelve months prior to the admission of its Securities to the Official List the Applicant has acquired, or in connection with its admission is proposing to acquire, an Unproven Asset from a Person who is not a Related Party or Promoter, or an Associate of a Related Party or a Promoter, any part or all of the consideration for the acquisition that was, or will be, Securities in a class that is subject of an application for admission to trading on a Recognised Investment Exchange, must be Restricted Securities. </w:t>
      </w:r>
    </w:p>
    <w:p w14:paraId="1A3C9E24" w14:textId="77777777" w:rsidR="009835EF" w:rsidRPr="00F17DB8" w:rsidRDefault="009835EF" w:rsidP="00F17DB8">
      <w:pPr>
        <w:pStyle w:val="TitleL"/>
        <w:rPr>
          <w:rFonts w:ascii="Arial" w:hAnsi="Arial" w:cs="Arial"/>
          <w:sz w:val="22"/>
          <w:szCs w:val="22"/>
        </w:rPr>
      </w:pPr>
      <w:r w:rsidRPr="00F17DB8">
        <w:rPr>
          <w:rFonts w:ascii="Arial" w:hAnsi="Arial" w:cs="Arial"/>
          <w:sz w:val="22"/>
          <w:szCs w:val="22"/>
        </w:rPr>
        <w:t>Guidance</w:t>
      </w:r>
    </w:p>
    <w:p w14:paraId="228B9CD4" w14:textId="5B3D7039" w:rsidR="009835EF" w:rsidRPr="00F17DB8" w:rsidRDefault="009835EF" w:rsidP="00755725">
      <w:pPr>
        <w:pStyle w:val="GuidanceNotesnumbering"/>
        <w:numPr>
          <w:ilvl w:val="0"/>
          <w:numId w:val="51"/>
        </w:numPr>
        <w:rPr>
          <w:rFonts w:ascii="Arial" w:hAnsi="Arial" w:cs="Arial"/>
          <w:sz w:val="22"/>
          <w:szCs w:val="22"/>
        </w:rPr>
      </w:pPr>
      <w:r w:rsidRPr="00F17DB8">
        <w:rPr>
          <w:rFonts w:ascii="Arial" w:hAnsi="Arial" w:cs="Arial"/>
          <w:sz w:val="22"/>
          <w:szCs w:val="22"/>
        </w:rPr>
        <w:t xml:space="preserve">Rules 2.3.16(7)(a) and (b) do not apply if under Rule 9.6.2 the Applicant is not required to apply the restrictions in APP 7.  </w:t>
      </w:r>
    </w:p>
    <w:p w14:paraId="610C2B02" w14:textId="4CD5BCD7" w:rsidR="009835EF" w:rsidRPr="00F17DB8" w:rsidRDefault="009835EF" w:rsidP="00755725">
      <w:pPr>
        <w:pStyle w:val="GuidanceNotesnumbering"/>
        <w:numPr>
          <w:ilvl w:val="0"/>
          <w:numId w:val="51"/>
        </w:numPr>
        <w:rPr>
          <w:rFonts w:ascii="Arial" w:hAnsi="Arial" w:cs="Arial"/>
          <w:sz w:val="22"/>
          <w:szCs w:val="22"/>
        </w:rPr>
      </w:pPr>
      <w:r w:rsidRPr="00F17DB8">
        <w:rPr>
          <w:rFonts w:ascii="Arial" w:hAnsi="Arial" w:cs="Arial"/>
          <w:sz w:val="22"/>
          <w:szCs w:val="22"/>
        </w:rPr>
        <w:t>Rule 2.3.16(7)(a) does not apply if, and to the extent that, the consideration was, or will be, reimbursement of expenditure incurred by the Related Party, Promoter or Associate in developing the Unproven Asset.</w:t>
      </w:r>
    </w:p>
    <w:p w14:paraId="2ADADC32" w14:textId="16611F14" w:rsidR="009835EF" w:rsidRPr="00F17DB8" w:rsidRDefault="009835EF" w:rsidP="00755725">
      <w:pPr>
        <w:pStyle w:val="GuidanceNotesnumbering"/>
        <w:numPr>
          <w:ilvl w:val="0"/>
          <w:numId w:val="51"/>
        </w:numPr>
        <w:rPr>
          <w:rFonts w:ascii="Arial" w:hAnsi="Arial" w:cs="Arial"/>
          <w:sz w:val="22"/>
          <w:szCs w:val="22"/>
        </w:rPr>
      </w:pPr>
      <w:r w:rsidRPr="00F17DB8">
        <w:rPr>
          <w:rFonts w:ascii="Arial" w:hAnsi="Arial" w:cs="Arial"/>
          <w:sz w:val="22"/>
          <w:szCs w:val="22"/>
        </w:rPr>
        <w:t>Note that the requirement in Rule 2.3.16(7) that the Securities in question must be Restricted Securities means that Rule 2.3.16(6) above also applies.</w:t>
      </w:r>
    </w:p>
    <w:p w14:paraId="12E744F6" w14:textId="77777777" w:rsidR="00892AFD" w:rsidRPr="00FB2F3D" w:rsidRDefault="00892AFD" w:rsidP="00892AFD">
      <w:pPr>
        <w:pStyle w:val="Heading2"/>
        <w:rPr>
          <w:rFonts w:ascii="Arial" w:hAnsi="Arial" w:cs="Arial"/>
          <w:sz w:val="22"/>
          <w:szCs w:val="22"/>
        </w:rPr>
      </w:pPr>
      <w:bookmarkStart w:id="112" w:name="_Toc409521870"/>
      <w:bookmarkStart w:id="113" w:name="_Toc410136267"/>
      <w:bookmarkStart w:id="114" w:name="_Toc410605976"/>
      <w:bookmarkStart w:id="115" w:name="_Toc410658912"/>
      <w:bookmarkStart w:id="116" w:name="_Toc410659039"/>
      <w:bookmarkStart w:id="117" w:name="_Toc410835586"/>
      <w:bookmarkStart w:id="118" w:name="_Toc138325651"/>
      <w:r w:rsidRPr="00FB2F3D">
        <w:rPr>
          <w:rFonts w:ascii="Arial" w:hAnsi="Arial" w:cs="Arial"/>
          <w:sz w:val="22"/>
          <w:szCs w:val="22"/>
        </w:rPr>
        <w:t>Application for admission to the List</w:t>
      </w:r>
      <w:bookmarkEnd w:id="112"/>
      <w:bookmarkEnd w:id="113"/>
      <w:bookmarkEnd w:id="114"/>
      <w:bookmarkEnd w:id="115"/>
      <w:bookmarkEnd w:id="116"/>
      <w:bookmarkEnd w:id="117"/>
      <w:bookmarkEnd w:id="118"/>
    </w:p>
    <w:p w14:paraId="4D4D5C5F"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Listing application</w:t>
      </w:r>
    </w:p>
    <w:p w14:paraId="2BDD7B89" w14:textId="77777777" w:rsidR="00892AFD" w:rsidRPr="00FB2F3D" w:rsidRDefault="00892AFD" w:rsidP="00892AFD">
      <w:pPr>
        <w:pStyle w:val="Heading3"/>
        <w:keepNext/>
        <w:rPr>
          <w:rFonts w:ascii="Arial" w:hAnsi="Arial" w:cs="Arial"/>
          <w:sz w:val="22"/>
          <w:szCs w:val="22"/>
        </w:rPr>
      </w:pPr>
      <w:bookmarkStart w:id="119" w:name="_Ref410070308"/>
      <w:bookmarkStart w:id="120" w:name="_Ref410634441"/>
      <w:r w:rsidRPr="00FB2F3D">
        <w:rPr>
          <w:rFonts w:ascii="Arial" w:hAnsi="Arial" w:cs="Arial"/>
          <w:sz w:val="22"/>
          <w:szCs w:val="22"/>
        </w:rPr>
        <w:t>An Applicant must apply to the Regulator by</w:t>
      </w:r>
      <w:bookmarkEnd w:id="119"/>
      <w:r w:rsidRPr="00FB2F3D">
        <w:rPr>
          <w:rFonts w:ascii="Arial" w:hAnsi="Arial" w:cs="Arial"/>
          <w:sz w:val="22"/>
          <w:szCs w:val="22"/>
        </w:rPr>
        <w:t>:</w:t>
      </w:r>
      <w:bookmarkEnd w:id="120"/>
    </w:p>
    <w:p w14:paraId="6AD8F422"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 xml:space="preserve">submitting in final form the relevant documents in </w:t>
      </w:r>
      <w:r w:rsidR="0029125A" w:rsidRPr="00FB2F3D">
        <w:rPr>
          <w:rFonts w:ascii="Arial" w:hAnsi="Arial" w:cs="Arial"/>
          <w:sz w:val="22"/>
          <w:szCs w:val="22"/>
        </w:rPr>
        <w:t>such form as the Regulator shall prescribe</w:t>
      </w:r>
      <w:r w:rsidRPr="00FB2F3D">
        <w:rPr>
          <w:rFonts w:ascii="Arial" w:hAnsi="Arial" w:cs="Arial"/>
          <w:sz w:val="22"/>
          <w:szCs w:val="22"/>
        </w:rPr>
        <w:t>;</w:t>
      </w:r>
    </w:p>
    <w:p w14:paraId="201AB37D" w14:textId="72E78B83" w:rsidR="00892AFD" w:rsidRPr="00FB2F3D" w:rsidRDefault="00892AFD" w:rsidP="00424270">
      <w:pPr>
        <w:pStyle w:val="Heading4"/>
        <w:rPr>
          <w:rFonts w:ascii="Arial" w:hAnsi="Arial" w:cs="Arial"/>
          <w:sz w:val="22"/>
          <w:szCs w:val="22"/>
        </w:rPr>
      </w:pPr>
      <w:r w:rsidRPr="00FB2F3D">
        <w:rPr>
          <w:rFonts w:ascii="Arial" w:hAnsi="Arial" w:cs="Arial"/>
          <w:sz w:val="22"/>
          <w:szCs w:val="22"/>
        </w:rPr>
        <w:t>pa</w:t>
      </w:r>
      <w:r w:rsidR="00E26D07" w:rsidRPr="00FB2F3D">
        <w:rPr>
          <w:rFonts w:ascii="Arial" w:hAnsi="Arial" w:cs="Arial"/>
          <w:sz w:val="22"/>
          <w:szCs w:val="22"/>
        </w:rPr>
        <w:t xml:space="preserve">ying the fee set out in </w:t>
      </w:r>
      <w:r w:rsidR="009E36AD">
        <w:rPr>
          <w:rFonts w:ascii="Arial" w:hAnsi="Arial" w:cs="Arial"/>
          <w:sz w:val="22"/>
          <w:szCs w:val="22"/>
        </w:rPr>
        <w:t xml:space="preserve">the </w:t>
      </w:r>
      <w:r w:rsidR="00E26D07" w:rsidRPr="00FB2F3D">
        <w:rPr>
          <w:rFonts w:ascii="Arial" w:hAnsi="Arial" w:cs="Arial"/>
          <w:sz w:val="22"/>
          <w:szCs w:val="22"/>
        </w:rPr>
        <w:t xml:space="preserve">FEES </w:t>
      </w:r>
      <w:r w:rsidR="009E36AD">
        <w:rPr>
          <w:rFonts w:ascii="Arial" w:hAnsi="Arial" w:cs="Arial"/>
          <w:sz w:val="22"/>
          <w:szCs w:val="22"/>
        </w:rPr>
        <w:t>Rulebook</w:t>
      </w:r>
      <w:r w:rsidRPr="00FB2F3D">
        <w:rPr>
          <w:rFonts w:ascii="Arial" w:hAnsi="Arial" w:cs="Arial"/>
          <w:sz w:val="22"/>
          <w:szCs w:val="22"/>
        </w:rPr>
        <w:t xml:space="preserve"> at the time of submission of the completed application form;</w:t>
      </w:r>
    </w:p>
    <w:p w14:paraId="3B64950F"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 xml:space="preserve">submitting all additional documents, explanations and information as may be required by the Regulator, including the documents specified in Rules </w:t>
      </w:r>
      <w:r w:rsidR="00693841" w:rsidRPr="00FB2F3D">
        <w:rPr>
          <w:rFonts w:ascii="Arial" w:hAnsi="Arial" w:cs="Arial"/>
          <w:sz w:val="22"/>
          <w:szCs w:val="22"/>
        </w:rPr>
        <w:t>2.4.4</w:t>
      </w:r>
      <w:r w:rsidRPr="00FB2F3D">
        <w:rPr>
          <w:rFonts w:ascii="Arial" w:hAnsi="Arial" w:cs="Arial"/>
          <w:sz w:val="22"/>
          <w:szCs w:val="22"/>
        </w:rPr>
        <w:t xml:space="preserve"> and</w:t>
      </w:r>
      <w:r w:rsidRPr="00FB2F3D">
        <w:rPr>
          <w:rFonts w:ascii="Arial" w:hAnsi="Arial" w:cs="Arial"/>
          <w:sz w:val="22"/>
          <w:szCs w:val="22"/>
          <w:lang w:eastAsia="ja-JP"/>
        </w:rPr>
        <w:t xml:space="preserve"> </w:t>
      </w:r>
      <w:r w:rsidR="00693841" w:rsidRPr="00FB2F3D">
        <w:rPr>
          <w:rFonts w:ascii="Arial" w:hAnsi="Arial" w:cs="Arial"/>
          <w:sz w:val="22"/>
          <w:szCs w:val="22"/>
          <w:lang w:eastAsia="ja-JP"/>
        </w:rPr>
        <w:t>2.4.5</w:t>
      </w:r>
      <w:r w:rsidRPr="00FB2F3D">
        <w:rPr>
          <w:rFonts w:ascii="Arial" w:hAnsi="Arial" w:cs="Arial"/>
          <w:sz w:val="22"/>
          <w:szCs w:val="22"/>
        </w:rPr>
        <w:t>; and</w:t>
      </w:r>
    </w:p>
    <w:p w14:paraId="1CB72157"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submitting verification of any information in such manner as the Regulator may specify.</w:t>
      </w:r>
    </w:p>
    <w:p w14:paraId="3886C59F"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All the documents in Rule </w:t>
      </w:r>
      <w:r w:rsidR="00693841" w:rsidRPr="00FB2F3D">
        <w:rPr>
          <w:rFonts w:ascii="Arial" w:hAnsi="Arial" w:cs="Arial"/>
          <w:sz w:val="22"/>
          <w:szCs w:val="22"/>
        </w:rPr>
        <w:t>2.4.1</w:t>
      </w:r>
      <w:r w:rsidRPr="00FB2F3D">
        <w:rPr>
          <w:rFonts w:ascii="Arial" w:hAnsi="Arial" w:cs="Arial"/>
          <w:sz w:val="22"/>
          <w:szCs w:val="22"/>
        </w:rPr>
        <w:t xml:space="preserve"> must be submitted to the Regulator at the Regulator's address.</w:t>
      </w:r>
    </w:p>
    <w:p w14:paraId="25583563"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lastRenderedPageBreak/>
        <w:t>Guidance</w:t>
      </w:r>
    </w:p>
    <w:p w14:paraId="4404DB86" w14:textId="77777777" w:rsidR="00892AFD" w:rsidRPr="001A3F89" w:rsidRDefault="00892AFD" w:rsidP="00755725">
      <w:pPr>
        <w:pStyle w:val="GuidanceNotesnumbering"/>
        <w:numPr>
          <w:ilvl w:val="0"/>
          <w:numId w:val="104"/>
        </w:numPr>
        <w:rPr>
          <w:rFonts w:ascii="Arial" w:hAnsi="Arial" w:cs="Arial"/>
          <w:sz w:val="22"/>
          <w:szCs w:val="22"/>
        </w:rPr>
      </w:pPr>
      <w:r w:rsidRPr="001A3F89">
        <w:rPr>
          <w:rFonts w:ascii="Arial" w:hAnsi="Arial" w:cs="Arial"/>
          <w:sz w:val="22"/>
          <w:szCs w:val="22"/>
        </w:rPr>
        <w:t>Before submitting the documents referred to in Rule </w:t>
      </w:r>
      <w:r w:rsidR="00693841" w:rsidRPr="001A3F89">
        <w:rPr>
          <w:rFonts w:ascii="Arial" w:hAnsi="Arial" w:cs="Arial"/>
          <w:sz w:val="22"/>
          <w:szCs w:val="22"/>
        </w:rPr>
        <w:t>2.4.1</w:t>
      </w:r>
      <w:r w:rsidRPr="001A3F89">
        <w:rPr>
          <w:rFonts w:ascii="Arial" w:hAnsi="Arial" w:cs="Arial"/>
          <w:sz w:val="22"/>
          <w:szCs w:val="22"/>
        </w:rPr>
        <w:t>, an Applicant should contact the Regulator to agree the date on which the Regulator will consider the application.</w:t>
      </w:r>
    </w:p>
    <w:p w14:paraId="0966853D" w14:textId="77777777"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 xml:space="preserve">When considering an application for admission of Securities to the </w:t>
      </w:r>
      <w:r w:rsidR="00241B80" w:rsidRPr="00FB2F3D">
        <w:rPr>
          <w:rFonts w:ascii="Arial" w:hAnsi="Arial" w:cs="Arial"/>
          <w:sz w:val="22"/>
          <w:szCs w:val="22"/>
        </w:rPr>
        <w:t xml:space="preserve">Official </w:t>
      </w:r>
      <w:r w:rsidRPr="00FB2F3D">
        <w:rPr>
          <w:rFonts w:ascii="Arial" w:hAnsi="Arial" w:cs="Arial"/>
          <w:sz w:val="22"/>
          <w:szCs w:val="22"/>
        </w:rPr>
        <w:t>List, the Regulator may:</w:t>
      </w:r>
    </w:p>
    <w:p w14:paraId="3D123BAB" w14:textId="77777777" w:rsidR="00892AFD" w:rsidRPr="00FB2F3D" w:rsidRDefault="00892AFD" w:rsidP="00892AFD">
      <w:pPr>
        <w:pStyle w:val="GuidanceNotesnumbering"/>
        <w:numPr>
          <w:ilvl w:val="1"/>
          <w:numId w:val="30"/>
        </w:numPr>
        <w:rPr>
          <w:rFonts w:ascii="Arial" w:hAnsi="Arial" w:cs="Arial"/>
          <w:sz w:val="22"/>
          <w:szCs w:val="22"/>
        </w:rPr>
      </w:pPr>
      <w:r w:rsidRPr="00FB2F3D">
        <w:rPr>
          <w:rFonts w:ascii="Arial" w:hAnsi="Arial" w:cs="Arial"/>
          <w:sz w:val="22"/>
          <w:szCs w:val="22"/>
        </w:rPr>
        <w:t>carry out any enquiries and request any further information which it considers appropriate, including consulting with other regulators or exchanges;</w:t>
      </w:r>
    </w:p>
    <w:p w14:paraId="7F87E609" w14:textId="77777777" w:rsidR="00892AFD" w:rsidRPr="00FB2F3D" w:rsidRDefault="00892AFD" w:rsidP="00241B80">
      <w:pPr>
        <w:pStyle w:val="GuidanceNotesnumbering"/>
        <w:numPr>
          <w:ilvl w:val="1"/>
          <w:numId w:val="30"/>
        </w:numPr>
        <w:rPr>
          <w:rFonts w:ascii="Arial" w:hAnsi="Arial" w:cs="Arial"/>
          <w:sz w:val="22"/>
          <w:szCs w:val="22"/>
        </w:rPr>
      </w:pPr>
      <w:r w:rsidRPr="00FB2F3D">
        <w:rPr>
          <w:rFonts w:ascii="Arial" w:hAnsi="Arial" w:cs="Arial"/>
          <w:sz w:val="22"/>
          <w:szCs w:val="22"/>
        </w:rPr>
        <w:t>request that an Applicant answer questions and explain any matter the Regulator considers relevant to the application for</w:t>
      </w:r>
      <w:r w:rsidR="00241B80" w:rsidRPr="00FB2F3D">
        <w:rPr>
          <w:rFonts w:ascii="Arial" w:hAnsi="Arial" w:cs="Arial"/>
          <w:sz w:val="22"/>
          <w:szCs w:val="22"/>
        </w:rPr>
        <w:t xml:space="preserve"> admission to the Official L</w:t>
      </w:r>
      <w:r w:rsidRPr="00FB2F3D">
        <w:rPr>
          <w:rFonts w:ascii="Arial" w:hAnsi="Arial" w:cs="Arial"/>
          <w:sz w:val="22"/>
          <w:szCs w:val="22"/>
        </w:rPr>
        <w:t>ist;</w:t>
      </w:r>
    </w:p>
    <w:p w14:paraId="1B90DC16" w14:textId="77777777" w:rsidR="00892AFD" w:rsidRPr="00FB2F3D" w:rsidRDefault="00892AFD" w:rsidP="00241B80">
      <w:pPr>
        <w:pStyle w:val="GuidanceNotesnumbering"/>
        <w:numPr>
          <w:ilvl w:val="1"/>
          <w:numId w:val="30"/>
        </w:numPr>
        <w:rPr>
          <w:rFonts w:ascii="Arial" w:hAnsi="Arial" w:cs="Arial"/>
          <w:sz w:val="22"/>
          <w:szCs w:val="22"/>
        </w:rPr>
      </w:pPr>
      <w:r w:rsidRPr="00FB2F3D">
        <w:rPr>
          <w:rFonts w:ascii="Arial" w:hAnsi="Arial" w:cs="Arial"/>
          <w:sz w:val="22"/>
          <w:szCs w:val="22"/>
        </w:rPr>
        <w:t xml:space="preserve">take into account any information which it considers appropriate in relation to the application for </w:t>
      </w:r>
      <w:r w:rsidR="00241B80" w:rsidRPr="00FB2F3D">
        <w:rPr>
          <w:rFonts w:ascii="Arial" w:hAnsi="Arial" w:cs="Arial"/>
          <w:sz w:val="22"/>
          <w:szCs w:val="22"/>
        </w:rPr>
        <w:t>admission to the Official List</w:t>
      </w:r>
      <w:r w:rsidRPr="00FB2F3D">
        <w:rPr>
          <w:rFonts w:ascii="Arial" w:hAnsi="Arial" w:cs="Arial"/>
          <w:sz w:val="22"/>
          <w:szCs w:val="22"/>
        </w:rPr>
        <w:t>;</w:t>
      </w:r>
    </w:p>
    <w:p w14:paraId="1F57F25D" w14:textId="77777777" w:rsidR="00892AFD" w:rsidRPr="00FB2F3D" w:rsidRDefault="00892AFD" w:rsidP="00892AFD">
      <w:pPr>
        <w:pStyle w:val="GuidanceNotesnumbering"/>
        <w:numPr>
          <w:ilvl w:val="1"/>
          <w:numId w:val="30"/>
        </w:numPr>
        <w:rPr>
          <w:rFonts w:ascii="Arial" w:hAnsi="Arial" w:cs="Arial"/>
          <w:sz w:val="22"/>
          <w:szCs w:val="22"/>
        </w:rPr>
      </w:pPr>
      <w:r w:rsidRPr="00FB2F3D">
        <w:rPr>
          <w:rFonts w:ascii="Arial" w:hAnsi="Arial" w:cs="Arial"/>
          <w:sz w:val="22"/>
          <w:szCs w:val="22"/>
        </w:rPr>
        <w:t>request that any further information provided by the Applicant be verified in such manner as the Regulator may specify; and</w:t>
      </w:r>
    </w:p>
    <w:p w14:paraId="0BF9A05F" w14:textId="77777777" w:rsidR="00892AFD" w:rsidRPr="00FB2F3D" w:rsidRDefault="00892AFD" w:rsidP="00892AFD">
      <w:pPr>
        <w:pStyle w:val="GuidanceNotesnumbering"/>
        <w:numPr>
          <w:ilvl w:val="1"/>
          <w:numId w:val="30"/>
        </w:numPr>
        <w:rPr>
          <w:rFonts w:ascii="Arial" w:hAnsi="Arial" w:cs="Arial"/>
          <w:sz w:val="22"/>
          <w:szCs w:val="22"/>
        </w:rPr>
      </w:pPr>
      <w:r w:rsidRPr="00FB2F3D">
        <w:rPr>
          <w:rFonts w:ascii="Arial" w:hAnsi="Arial" w:cs="Arial"/>
          <w:sz w:val="22"/>
          <w:szCs w:val="22"/>
        </w:rPr>
        <w:t>impose any additional conditions on the Applicant as the Regulator considers appropriate.</w:t>
      </w:r>
    </w:p>
    <w:p w14:paraId="028A140A" w14:textId="26F20434" w:rsidR="00892AFD" w:rsidRPr="00FB2F3D" w:rsidRDefault="00892AFD" w:rsidP="00892AFD">
      <w:pPr>
        <w:pStyle w:val="Heading3"/>
        <w:rPr>
          <w:rFonts w:ascii="Arial" w:hAnsi="Arial" w:cs="Arial"/>
          <w:sz w:val="22"/>
          <w:szCs w:val="22"/>
        </w:rPr>
      </w:pPr>
      <w:r w:rsidRPr="00FB2F3D">
        <w:rPr>
          <w:rFonts w:ascii="Arial" w:hAnsi="Arial" w:cs="Arial"/>
          <w:sz w:val="22"/>
          <w:szCs w:val="22"/>
        </w:rPr>
        <w:t xml:space="preserve">An admission of Securities to the </w:t>
      </w:r>
      <w:r w:rsidR="00241B80" w:rsidRPr="00FB2F3D">
        <w:rPr>
          <w:rFonts w:ascii="Arial" w:hAnsi="Arial" w:cs="Arial"/>
          <w:sz w:val="22"/>
          <w:szCs w:val="22"/>
        </w:rPr>
        <w:t xml:space="preserve">Official </w:t>
      </w:r>
      <w:r w:rsidRPr="00FB2F3D">
        <w:rPr>
          <w:rFonts w:ascii="Arial" w:hAnsi="Arial" w:cs="Arial"/>
          <w:sz w:val="22"/>
          <w:szCs w:val="22"/>
        </w:rPr>
        <w:t>List becomes effective only when the Regulator has published the admission by adding such Securities to the Official List on the ADGM website.</w:t>
      </w:r>
    </w:p>
    <w:p w14:paraId="062F679A" w14:textId="65F5298D" w:rsidR="00892AFD" w:rsidRPr="00FB2F3D" w:rsidRDefault="00892AFD" w:rsidP="00892AFD">
      <w:pPr>
        <w:pStyle w:val="TitleL"/>
        <w:rPr>
          <w:rFonts w:ascii="Arial" w:hAnsi="Arial" w:cs="Arial"/>
          <w:sz w:val="22"/>
          <w:szCs w:val="22"/>
        </w:rPr>
      </w:pPr>
      <w:r w:rsidRPr="00FB2F3D">
        <w:rPr>
          <w:rFonts w:ascii="Arial" w:hAnsi="Arial" w:cs="Arial"/>
          <w:sz w:val="22"/>
          <w:szCs w:val="22"/>
        </w:rPr>
        <w:t>Documents to be provided in advance</w:t>
      </w:r>
    </w:p>
    <w:p w14:paraId="63A6399D" w14:textId="73AEC2C8" w:rsidR="00892AFD" w:rsidRPr="00FB2F3D" w:rsidRDefault="00892AFD" w:rsidP="00892AFD">
      <w:pPr>
        <w:pStyle w:val="Heading3"/>
        <w:rPr>
          <w:rFonts w:ascii="Arial" w:hAnsi="Arial" w:cs="Arial"/>
          <w:sz w:val="22"/>
          <w:szCs w:val="22"/>
        </w:rPr>
      </w:pPr>
      <w:bookmarkStart w:id="121" w:name="_Ref410060522"/>
      <w:bookmarkStart w:id="122" w:name="_Ref410669767"/>
      <w:r w:rsidRPr="00FB2F3D">
        <w:rPr>
          <w:rFonts w:ascii="Arial" w:hAnsi="Arial" w:cs="Arial"/>
          <w:sz w:val="22"/>
          <w:szCs w:val="22"/>
        </w:rPr>
        <w:t xml:space="preserve">The following documents must be submitted by the Applicant, in final form, to the Regulator by </w:t>
      </w:r>
      <w:r w:rsidR="00B53984" w:rsidRPr="00FB2F3D">
        <w:rPr>
          <w:rFonts w:ascii="Arial" w:hAnsi="Arial" w:cs="Arial"/>
          <w:sz w:val="22"/>
          <w:szCs w:val="22"/>
        </w:rPr>
        <w:t>12:00 noon</w:t>
      </w:r>
      <w:r w:rsidRPr="00FB2F3D">
        <w:rPr>
          <w:rFonts w:ascii="Arial" w:hAnsi="Arial" w:cs="Arial"/>
          <w:sz w:val="22"/>
          <w:szCs w:val="22"/>
        </w:rPr>
        <w:t xml:space="preserve"> two Business Days before the </w:t>
      </w:r>
      <w:r w:rsidR="001A3F89">
        <w:rPr>
          <w:rFonts w:ascii="Arial" w:hAnsi="Arial" w:cs="Arial"/>
          <w:sz w:val="22"/>
          <w:szCs w:val="22"/>
        </w:rPr>
        <w:t xml:space="preserve">Business Day that the </w:t>
      </w:r>
      <w:r w:rsidRPr="00FB2F3D">
        <w:rPr>
          <w:rFonts w:ascii="Arial" w:hAnsi="Arial" w:cs="Arial"/>
          <w:sz w:val="22"/>
          <w:szCs w:val="22"/>
        </w:rPr>
        <w:t xml:space="preserve">Regulator is </w:t>
      </w:r>
      <w:r w:rsidR="001A3F89">
        <w:rPr>
          <w:rFonts w:ascii="Arial" w:hAnsi="Arial" w:cs="Arial"/>
          <w:sz w:val="22"/>
          <w:szCs w:val="22"/>
        </w:rPr>
        <w:t xml:space="preserve">due </w:t>
      </w:r>
      <w:r w:rsidRPr="00FB2F3D">
        <w:rPr>
          <w:rFonts w:ascii="Arial" w:hAnsi="Arial" w:cs="Arial"/>
          <w:sz w:val="22"/>
          <w:szCs w:val="22"/>
        </w:rPr>
        <w:t>to consider the application</w:t>
      </w:r>
      <w:bookmarkEnd w:id="121"/>
      <w:r w:rsidRPr="00FB2F3D">
        <w:rPr>
          <w:rFonts w:ascii="Arial" w:hAnsi="Arial" w:cs="Arial"/>
          <w:sz w:val="22"/>
          <w:szCs w:val="22"/>
        </w:rPr>
        <w:t>:</w:t>
      </w:r>
      <w:bookmarkEnd w:id="122"/>
    </w:p>
    <w:p w14:paraId="7AFD357B"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a completed application form;</w:t>
      </w:r>
    </w:p>
    <w:p w14:paraId="5EF9B175"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the Approved Prospectus, and if applicable, any Approved Supplementary</w:t>
      </w:r>
      <w:r w:rsidRPr="00FB2F3D">
        <w:rPr>
          <w:rFonts w:ascii="Arial" w:hAnsi="Arial" w:cs="Arial"/>
          <w:sz w:val="22"/>
          <w:szCs w:val="22"/>
          <w:lang w:eastAsia="ja-JP"/>
        </w:rPr>
        <w:t xml:space="preserve"> </w:t>
      </w:r>
      <w:r w:rsidRPr="00FB2F3D">
        <w:rPr>
          <w:rFonts w:ascii="Arial" w:hAnsi="Arial" w:cs="Arial"/>
          <w:sz w:val="22"/>
          <w:szCs w:val="22"/>
        </w:rPr>
        <w:t>Prospectus in respect of the Securities;</w:t>
      </w:r>
    </w:p>
    <w:p w14:paraId="2C19C66C"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in respect of Securities which are Shares, written confirmation of the number of Shares to be allotted in the Offer; and</w:t>
      </w:r>
    </w:p>
    <w:p w14:paraId="73DDECCE" w14:textId="37F196DB" w:rsidR="00892AFD" w:rsidRPr="00FB2F3D" w:rsidRDefault="00892AFD" w:rsidP="00424270">
      <w:pPr>
        <w:pStyle w:val="Heading4"/>
        <w:rPr>
          <w:rFonts w:ascii="Arial" w:hAnsi="Arial" w:cs="Arial"/>
          <w:sz w:val="22"/>
          <w:szCs w:val="22"/>
        </w:rPr>
      </w:pPr>
      <w:r w:rsidRPr="00FB2F3D">
        <w:rPr>
          <w:rFonts w:ascii="Arial" w:hAnsi="Arial" w:cs="Arial"/>
          <w:sz w:val="22"/>
          <w:szCs w:val="22"/>
        </w:rPr>
        <w:t xml:space="preserve">if a Prospectus has not been produced, a </w:t>
      </w:r>
      <w:r w:rsidR="001A3F89">
        <w:rPr>
          <w:rFonts w:ascii="Arial" w:hAnsi="Arial" w:cs="Arial"/>
          <w:sz w:val="22"/>
          <w:szCs w:val="22"/>
        </w:rPr>
        <w:t>document</w:t>
      </w:r>
      <w:r w:rsidRPr="00FB2F3D">
        <w:rPr>
          <w:rFonts w:ascii="Arial" w:hAnsi="Arial" w:cs="Arial"/>
          <w:sz w:val="22"/>
          <w:szCs w:val="22"/>
        </w:rPr>
        <w:t xml:space="preserve"> detailing the number and type of Securities that are subject to the application and the circumstances of their issue.</w:t>
      </w:r>
    </w:p>
    <w:p w14:paraId="23D2974B"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6102E6D8" w14:textId="77777777" w:rsidR="00892AFD" w:rsidRPr="00FB2F3D" w:rsidRDefault="00892AFD" w:rsidP="00241B80">
      <w:pPr>
        <w:pStyle w:val="UK12Block05"/>
        <w:rPr>
          <w:rFonts w:ascii="Arial" w:hAnsi="Arial" w:cs="Arial"/>
          <w:sz w:val="22"/>
          <w:szCs w:val="22"/>
        </w:rPr>
      </w:pPr>
      <w:r w:rsidRPr="00FB2F3D">
        <w:rPr>
          <w:rFonts w:ascii="Arial" w:hAnsi="Arial" w:cs="Arial"/>
          <w:sz w:val="22"/>
          <w:szCs w:val="22"/>
        </w:rPr>
        <w:t>There are additional documents required if the Securities are held out as being in accordance with</w:t>
      </w:r>
      <w:r w:rsidRPr="00FB2F3D">
        <w:rPr>
          <w:rFonts w:ascii="Arial" w:hAnsi="Arial" w:cs="Arial"/>
          <w:sz w:val="22"/>
          <w:szCs w:val="22"/>
          <w:lang w:eastAsia="ja-JP"/>
        </w:rPr>
        <w:t xml:space="preserve"> </w:t>
      </w:r>
      <w:r w:rsidRPr="00FB2F3D">
        <w:rPr>
          <w:rFonts w:ascii="Arial" w:hAnsi="Arial" w:cs="Arial"/>
          <w:sz w:val="22"/>
          <w:szCs w:val="22"/>
        </w:rPr>
        <w:t xml:space="preserve">Shari'a; these are specified in the IFR </w:t>
      </w:r>
      <w:r w:rsidR="00241B80" w:rsidRPr="00FB2F3D">
        <w:rPr>
          <w:rFonts w:ascii="Arial" w:hAnsi="Arial" w:cs="Arial"/>
          <w:sz w:val="22"/>
          <w:szCs w:val="22"/>
        </w:rPr>
        <w:t>Rulebook</w:t>
      </w:r>
      <w:r w:rsidRPr="00FB2F3D">
        <w:rPr>
          <w:rFonts w:ascii="Arial" w:hAnsi="Arial" w:cs="Arial"/>
          <w:sz w:val="22"/>
          <w:szCs w:val="22"/>
        </w:rPr>
        <w:t>.</w:t>
      </w:r>
    </w:p>
    <w:p w14:paraId="475EDB10"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lastRenderedPageBreak/>
        <w:t>Documents to be provided on the day</w:t>
      </w:r>
    </w:p>
    <w:p w14:paraId="1D06D28D" w14:textId="77777777" w:rsidR="00892AFD" w:rsidRPr="00FB2F3D" w:rsidRDefault="00892AFD" w:rsidP="00892AFD">
      <w:pPr>
        <w:pStyle w:val="Heading3"/>
        <w:rPr>
          <w:rFonts w:ascii="Arial" w:hAnsi="Arial" w:cs="Arial"/>
          <w:sz w:val="22"/>
          <w:szCs w:val="22"/>
        </w:rPr>
      </w:pPr>
      <w:bookmarkStart w:id="123" w:name="_Ref410060529"/>
      <w:bookmarkStart w:id="124" w:name="_Ref410634577"/>
      <w:r w:rsidRPr="00FB2F3D">
        <w:rPr>
          <w:rFonts w:ascii="Arial" w:hAnsi="Arial" w:cs="Arial"/>
          <w:sz w:val="22"/>
          <w:szCs w:val="22"/>
        </w:rPr>
        <w:t>The following documents must be submitted, in final form, to the Regulator by the</w:t>
      </w:r>
      <w:r w:rsidRPr="00FB2F3D">
        <w:rPr>
          <w:rFonts w:ascii="Arial" w:hAnsi="Arial" w:cs="Arial"/>
          <w:sz w:val="22"/>
          <w:szCs w:val="22"/>
          <w:lang w:eastAsia="ja-JP"/>
        </w:rPr>
        <w:t xml:space="preserve"> </w:t>
      </w:r>
      <w:r w:rsidRPr="00FB2F3D">
        <w:rPr>
          <w:rFonts w:ascii="Arial" w:hAnsi="Arial" w:cs="Arial"/>
          <w:sz w:val="22"/>
          <w:szCs w:val="22"/>
        </w:rPr>
        <w:t>Applicant before 9</w:t>
      </w:r>
      <w:r w:rsidR="00424270" w:rsidRPr="00FB2F3D">
        <w:rPr>
          <w:rFonts w:ascii="Arial" w:hAnsi="Arial" w:cs="Arial"/>
          <w:sz w:val="22"/>
          <w:szCs w:val="22"/>
        </w:rPr>
        <w:t>:00</w:t>
      </w:r>
      <w:r w:rsidR="002B484E" w:rsidRPr="00FB2F3D">
        <w:rPr>
          <w:rFonts w:ascii="Arial" w:hAnsi="Arial" w:cs="Arial"/>
          <w:sz w:val="22"/>
          <w:szCs w:val="22"/>
        </w:rPr>
        <w:t>am</w:t>
      </w:r>
      <w:r w:rsidR="00424270" w:rsidRPr="00FB2F3D">
        <w:rPr>
          <w:rFonts w:ascii="Arial" w:hAnsi="Arial" w:cs="Arial"/>
          <w:sz w:val="22"/>
          <w:szCs w:val="22"/>
        </w:rPr>
        <w:t xml:space="preserve"> </w:t>
      </w:r>
      <w:r w:rsidRPr="00FB2F3D">
        <w:rPr>
          <w:rFonts w:ascii="Arial" w:hAnsi="Arial" w:cs="Arial"/>
          <w:sz w:val="22"/>
          <w:szCs w:val="22"/>
        </w:rPr>
        <w:t>on the day the Regulator is to consider the application</w:t>
      </w:r>
      <w:bookmarkEnd w:id="123"/>
      <w:r w:rsidRPr="00FB2F3D">
        <w:rPr>
          <w:rFonts w:ascii="Arial" w:hAnsi="Arial" w:cs="Arial"/>
          <w:sz w:val="22"/>
          <w:szCs w:val="22"/>
        </w:rPr>
        <w:t>:</w:t>
      </w:r>
      <w:bookmarkEnd w:id="124"/>
    </w:p>
    <w:p w14:paraId="29C8279E"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a completed Shareholder statement; and</w:t>
      </w:r>
    </w:p>
    <w:p w14:paraId="7EA49B4E"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a completed pricing statement, in the case of a placing, open Offer or Offer for subscription.</w:t>
      </w:r>
    </w:p>
    <w:p w14:paraId="0BE70769"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An Applicant must ensure that the documents required by Rule </w:t>
      </w:r>
      <w:r w:rsidR="00693841" w:rsidRPr="00FB2F3D">
        <w:rPr>
          <w:rFonts w:ascii="Arial" w:hAnsi="Arial" w:cs="Arial"/>
          <w:sz w:val="22"/>
          <w:szCs w:val="22"/>
        </w:rPr>
        <w:t>2.4.5</w:t>
      </w:r>
      <w:r w:rsidRPr="00FB2F3D">
        <w:rPr>
          <w:rFonts w:ascii="Arial" w:hAnsi="Arial" w:cs="Arial"/>
          <w:sz w:val="22"/>
          <w:szCs w:val="22"/>
        </w:rPr>
        <w:t xml:space="preserve"> are signed by, if appointed, its Sponsor or a duly authorised officer of the Applicant.</w:t>
      </w:r>
    </w:p>
    <w:p w14:paraId="3913F53A"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Documents to be kept</w:t>
      </w:r>
    </w:p>
    <w:p w14:paraId="4DB380BF" w14:textId="77777777" w:rsidR="00892AFD" w:rsidRPr="00FB2F3D" w:rsidRDefault="00892AFD" w:rsidP="00892AFD">
      <w:pPr>
        <w:pStyle w:val="Heading3"/>
        <w:rPr>
          <w:rFonts w:ascii="Arial" w:hAnsi="Arial" w:cs="Arial"/>
          <w:sz w:val="22"/>
          <w:szCs w:val="22"/>
        </w:rPr>
      </w:pPr>
      <w:bookmarkStart w:id="125" w:name="_Ref410060567"/>
      <w:bookmarkStart w:id="126" w:name="_Ref410634589"/>
      <w:r w:rsidRPr="00FB2F3D">
        <w:rPr>
          <w:rFonts w:ascii="Arial" w:hAnsi="Arial" w:cs="Arial"/>
          <w:sz w:val="22"/>
          <w:szCs w:val="22"/>
        </w:rPr>
        <w:t xml:space="preserve">An Applicant must keep copies of the following documents for six years after the admission to the </w:t>
      </w:r>
      <w:r w:rsidR="00241B80" w:rsidRPr="00FB2F3D">
        <w:rPr>
          <w:rFonts w:ascii="Arial" w:hAnsi="Arial" w:cs="Arial"/>
          <w:sz w:val="22"/>
          <w:szCs w:val="22"/>
        </w:rPr>
        <w:t xml:space="preserve">Official </w:t>
      </w:r>
      <w:r w:rsidRPr="00FB2F3D">
        <w:rPr>
          <w:rFonts w:ascii="Arial" w:hAnsi="Arial" w:cs="Arial"/>
          <w:sz w:val="22"/>
          <w:szCs w:val="22"/>
        </w:rPr>
        <w:t>List</w:t>
      </w:r>
      <w:bookmarkEnd w:id="125"/>
      <w:r w:rsidRPr="00FB2F3D">
        <w:rPr>
          <w:rFonts w:ascii="Arial" w:hAnsi="Arial" w:cs="Arial"/>
          <w:sz w:val="22"/>
          <w:szCs w:val="22"/>
        </w:rPr>
        <w:t>:</w:t>
      </w:r>
      <w:bookmarkEnd w:id="126"/>
    </w:p>
    <w:p w14:paraId="7A5EEE95"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any agreement to acquire any assets, business or Securities in consideration for or in relation to which the Listed Entity's Shares are being issued;</w:t>
      </w:r>
    </w:p>
    <w:p w14:paraId="26F3CA1C"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any letter, report, valuation, contract or other documents referred to in the</w:t>
      </w:r>
      <w:r w:rsidRPr="00FB2F3D">
        <w:rPr>
          <w:rFonts w:ascii="Arial" w:hAnsi="Arial" w:cs="Arial"/>
          <w:sz w:val="22"/>
          <w:szCs w:val="22"/>
          <w:lang w:eastAsia="ja-JP"/>
        </w:rPr>
        <w:t xml:space="preserve"> </w:t>
      </w:r>
      <w:r w:rsidRPr="00FB2F3D">
        <w:rPr>
          <w:rFonts w:ascii="Arial" w:hAnsi="Arial" w:cs="Arial"/>
          <w:sz w:val="22"/>
          <w:szCs w:val="22"/>
        </w:rPr>
        <w:t>Prospectus or other document issued in connection with those Securities;</w:t>
      </w:r>
    </w:p>
    <w:p w14:paraId="719D50F0"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the Applicant's constitution as at the date of admission;</w:t>
      </w:r>
    </w:p>
    <w:p w14:paraId="3B36ECF1"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the annual report and accounts of the Applicant and of any guarantor, for each of the periods which form part of the Applicant's financial record contained in the Prospectus;</w:t>
      </w:r>
    </w:p>
    <w:p w14:paraId="452CA6CD"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any interim financial statements which were made up prior to the date of admission;</w:t>
      </w:r>
    </w:p>
    <w:p w14:paraId="5D07EABA"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any temporary and definitive documents of title;</w:t>
      </w:r>
    </w:p>
    <w:p w14:paraId="13C4BCC3"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in the case of an application in respect of Securities issued pursuant to an Employee Share scheme, the scheme document; and</w:t>
      </w:r>
    </w:p>
    <w:p w14:paraId="7D8A3A7C"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copies of Board resolutions of the Applicant allotting or issuing the Shares.</w:t>
      </w:r>
    </w:p>
    <w:p w14:paraId="3AF2A959"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An Applicant must provide to the Regulator the documents set out in Rule </w:t>
      </w:r>
      <w:r w:rsidR="00693841" w:rsidRPr="00FB2F3D">
        <w:rPr>
          <w:rFonts w:ascii="Arial" w:hAnsi="Arial" w:cs="Arial"/>
          <w:sz w:val="22"/>
          <w:szCs w:val="22"/>
        </w:rPr>
        <w:t>2.4.7</w:t>
      </w:r>
      <w:r w:rsidRPr="00FB2F3D">
        <w:rPr>
          <w:rFonts w:ascii="Arial" w:hAnsi="Arial" w:cs="Arial"/>
          <w:sz w:val="22"/>
          <w:szCs w:val="22"/>
        </w:rPr>
        <w:t>, if requested to do so.</w:t>
      </w:r>
    </w:p>
    <w:p w14:paraId="0A579061"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5C4A92EF" w14:textId="77777777" w:rsidR="00892AFD" w:rsidRPr="00FB2F3D" w:rsidRDefault="00892AFD" w:rsidP="00892AFD">
      <w:pPr>
        <w:pStyle w:val="UK12Block05"/>
        <w:rPr>
          <w:rFonts w:ascii="Arial" w:hAnsi="Arial" w:cs="Arial"/>
          <w:sz w:val="22"/>
          <w:szCs w:val="22"/>
        </w:rPr>
      </w:pPr>
      <w:r w:rsidRPr="00FB2F3D">
        <w:rPr>
          <w:rFonts w:ascii="Arial" w:hAnsi="Arial" w:cs="Arial"/>
          <w:sz w:val="22"/>
          <w:szCs w:val="22"/>
        </w:rPr>
        <w:t xml:space="preserve">Provided that all the documents required by Rules </w:t>
      </w:r>
      <w:r w:rsidR="00693841" w:rsidRPr="00FB2F3D">
        <w:rPr>
          <w:rFonts w:ascii="Arial" w:hAnsi="Arial" w:cs="Arial"/>
          <w:sz w:val="22"/>
          <w:szCs w:val="22"/>
        </w:rPr>
        <w:t>2.4.4</w:t>
      </w:r>
      <w:r w:rsidRPr="00FB2F3D">
        <w:rPr>
          <w:rFonts w:ascii="Arial" w:hAnsi="Arial" w:cs="Arial"/>
          <w:sz w:val="22"/>
          <w:szCs w:val="22"/>
        </w:rPr>
        <w:t xml:space="preserve"> and </w:t>
      </w:r>
      <w:r w:rsidR="00693841" w:rsidRPr="00FB2F3D">
        <w:rPr>
          <w:rFonts w:ascii="Arial" w:hAnsi="Arial" w:cs="Arial"/>
          <w:sz w:val="22"/>
          <w:szCs w:val="22"/>
        </w:rPr>
        <w:t>2.4.5</w:t>
      </w:r>
      <w:r w:rsidRPr="00FB2F3D">
        <w:rPr>
          <w:rFonts w:ascii="Arial" w:hAnsi="Arial" w:cs="Arial"/>
          <w:sz w:val="22"/>
          <w:szCs w:val="22"/>
        </w:rPr>
        <w:t xml:space="preserve"> are complete and received on time, the Regulator would generally expect to process an application for admittance to the </w:t>
      </w:r>
      <w:r w:rsidR="00241B80" w:rsidRPr="00FB2F3D">
        <w:rPr>
          <w:rFonts w:ascii="Arial" w:hAnsi="Arial" w:cs="Arial"/>
          <w:sz w:val="22"/>
          <w:szCs w:val="22"/>
        </w:rPr>
        <w:t xml:space="preserve">Official </w:t>
      </w:r>
      <w:r w:rsidRPr="00FB2F3D">
        <w:rPr>
          <w:rFonts w:ascii="Arial" w:hAnsi="Arial" w:cs="Arial"/>
          <w:sz w:val="22"/>
          <w:szCs w:val="22"/>
        </w:rPr>
        <w:t>List within two days, and in the case of non</w:t>
      </w:r>
      <w:r w:rsidRPr="00FB2F3D">
        <w:rPr>
          <w:rFonts w:ascii="Arial" w:hAnsi="Arial" w:cs="Arial"/>
          <w:sz w:val="22"/>
          <w:szCs w:val="22"/>
        </w:rPr>
        <w:noBreakHyphen/>
        <w:t>equity Securities, one day.</w:t>
      </w:r>
    </w:p>
    <w:p w14:paraId="33F3AF6B" w14:textId="77777777" w:rsidR="00892AFD" w:rsidRPr="00FB2F3D" w:rsidRDefault="00892AFD" w:rsidP="00892AFD">
      <w:pPr>
        <w:pStyle w:val="Heading2"/>
        <w:rPr>
          <w:rFonts w:ascii="Arial" w:hAnsi="Arial" w:cs="Arial"/>
          <w:sz w:val="22"/>
          <w:szCs w:val="22"/>
        </w:rPr>
      </w:pPr>
      <w:bookmarkStart w:id="127" w:name="_Toc409521871"/>
      <w:bookmarkStart w:id="128" w:name="_Toc410136268"/>
      <w:bookmarkStart w:id="129" w:name="_Toc410605977"/>
      <w:bookmarkStart w:id="130" w:name="_Toc410658913"/>
      <w:bookmarkStart w:id="131" w:name="_Toc410659040"/>
      <w:bookmarkStart w:id="132" w:name="_Toc410835587"/>
      <w:bookmarkStart w:id="133" w:name="_Toc138325652"/>
      <w:r w:rsidRPr="00FB2F3D">
        <w:rPr>
          <w:rFonts w:ascii="Arial" w:hAnsi="Arial" w:cs="Arial"/>
          <w:sz w:val="22"/>
          <w:szCs w:val="22"/>
        </w:rPr>
        <w:lastRenderedPageBreak/>
        <w:t>Determination of applications and references</w:t>
      </w:r>
      <w:bookmarkEnd w:id="127"/>
      <w:bookmarkEnd w:id="128"/>
      <w:bookmarkEnd w:id="129"/>
      <w:bookmarkEnd w:id="130"/>
      <w:bookmarkEnd w:id="131"/>
      <w:bookmarkEnd w:id="132"/>
      <w:bookmarkEnd w:id="133"/>
    </w:p>
    <w:p w14:paraId="269D787C"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0223F402"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Determination of applications</w:t>
      </w:r>
    </w:p>
    <w:p w14:paraId="3854A4BA" w14:textId="4DC9C4BE" w:rsidR="00892AFD" w:rsidRPr="00FB2F3D" w:rsidRDefault="00892AFD" w:rsidP="00755725">
      <w:pPr>
        <w:pStyle w:val="GuidanceNotesnumbering"/>
        <w:numPr>
          <w:ilvl w:val="0"/>
          <w:numId w:val="52"/>
        </w:numPr>
        <w:rPr>
          <w:rFonts w:ascii="Arial" w:hAnsi="Arial" w:cs="Arial"/>
          <w:sz w:val="22"/>
          <w:szCs w:val="22"/>
        </w:rPr>
      </w:pPr>
      <w:r w:rsidRPr="00FB2F3D">
        <w:rPr>
          <w:rFonts w:ascii="Arial" w:hAnsi="Arial" w:cs="Arial"/>
          <w:sz w:val="22"/>
          <w:szCs w:val="22"/>
        </w:rPr>
        <w:t xml:space="preserve">Under section 50(2) of the FSMR, the Regulator may only grant admission of Securities to an Official List maintained by it, in accordance with the requirements in the FSMR and </w:t>
      </w:r>
      <w:r w:rsidR="00241B80" w:rsidRPr="00FB2F3D">
        <w:rPr>
          <w:rFonts w:ascii="Arial" w:hAnsi="Arial" w:cs="Arial"/>
          <w:sz w:val="22"/>
          <w:szCs w:val="22"/>
        </w:rPr>
        <w:t>this Rulebook</w:t>
      </w:r>
      <w:r w:rsidRPr="00FB2F3D">
        <w:rPr>
          <w:rFonts w:ascii="Arial" w:hAnsi="Arial" w:cs="Arial"/>
          <w:sz w:val="22"/>
          <w:szCs w:val="22"/>
        </w:rPr>
        <w:t>.</w:t>
      </w:r>
    </w:p>
    <w:p w14:paraId="22404FA9" w14:textId="508D7913"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Under section 52(1)(b) of the FSMR, the Regulator may impose conditions or restrictions in respect of the admission of Securities to the Official List, or vary or withdraw such conditions or restrictions.</w:t>
      </w:r>
    </w:p>
    <w:p w14:paraId="183CD9F1" w14:textId="13A7883B" w:rsidR="00892AFD" w:rsidRPr="00FB2F3D" w:rsidRDefault="00892AFD" w:rsidP="00241B80">
      <w:pPr>
        <w:pStyle w:val="GuidanceNotesnumbering"/>
        <w:rPr>
          <w:rFonts w:ascii="Arial" w:hAnsi="Arial" w:cs="Arial"/>
          <w:sz w:val="22"/>
          <w:szCs w:val="22"/>
        </w:rPr>
      </w:pPr>
      <w:r w:rsidRPr="00FB2F3D">
        <w:rPr>
          <w:rFonts w:ascii="Arial" w:hAnsi="Arial" w:cs="Arial"/>
          <w:sz w:val="22"/>
          <w:szCs w:val="22"/>
        </w:rPr>
        <w:t>Under section 52(3) of the FSMR, the Regulator</w:t>
      </w:r>
      <w:r w:rsidR="00241B80" w:rsidRPr="00FB2F3D">
        <w:rPr>
          <w:rFonts w:ascii="Arial" w:hAnsi="Arial" w:cs="Arial"/>
          <w:sz w:val="22"/>
          <w:szCs w:val="22"/>
        </w:rPr>
        <w:t xml:space="preserve"> </w:t>
      </w:r>
      <w:r w:rsidRPr="00FB2F3D">
        <w:rPr>
          <w:rFonts w:ascii="Arial" w:hAnsi="Arial" w:cs="Arial"/>
          <w:sz w:val="22"/>
          <w:szCs w:val="22"/>
        </w:rPr>
        <w:t>will notify the Applicant in writing of its decision in relation to the application for admission of Securities to the Official List.</w:t>
      </w:r>
    </w:p>
    <w:p w14:paraId="7181BA54" w14:textId="2DDED5D4"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 xml:space="preserve">Where the Regulator grants admission of Securities to an Official List, it will include </w:t>
      </w:r>
      <w:r w:rsidR="00AC3253">
        <w:rPr>
          <w:rFonts w:ascii="Arial" w:hAnsi="Arial" w:cs="Arial"/>
          <w:sz w:val="22"/>
          <w:szCs w:val="22"/>
        </w:rPr>
        <w:t>details of the Securities, the Issuer and Reporting Entity</w:t>
      </w:r>
      <w:r w:rsidRPr="00FB2F3D">
        <w:rPr>
          <w:rFonts w:ascii="Arial" w:hAnsi="Arial" w:cs="Arial"/>
          <w:sz w:val="22"/>
          <w:szCs w:val="22"/>
        </w:rPr>
        <w:t xml:space="preserve"> in </w:t>
      </w:r>
      <w:r w:rsidR="00AC3253">
        <w:rPr>
          <w:rFonts w:ascii="Arial" w:hAnsi="Arial" w:cs="Arial"/>
          <w:sz w:val="22"/>
          <w:szCs w:val="22"/>
        </w:rPr>
        <w:t>the</w:t>
      </w:r>
      <w:r w:rsidRPr="00FB2F3D">
        <w:rPr>
          <w:rFonts w:ascii="Arial" w:hAnsi="Arial" w:cs="Arial"/>
          <w:sz w:val="22"/>
          <w:szCs w:val="22"/>
        </w:rPr>
        <w:t xml:space="preserve"> Official List published on the ADGM website.</w:t>
      </w:r>
    </w:p>
    <w:p w14:paraId="18D6292C" w14:textId="77777777" w:rsidR="00892AFD" w:rsidRPr="00FB2F3D" w:rsidRDefault="00892AFD" w:rsidP="00892AFD">
      <w:pPr>
        <w:pStyle w:val="Heading2"/>
        <w:rPr>
          <w:rFonts w:ascii="Arial" w:hAnsi="Arial" w:cs="Arial"/>
          <w:sz w:val="22"/>
          <w:szCs w:val="22"/>
        </w:rPr>
      </w:pPr>
      <w:bookmarkStart w:id="134" w:name="_Toc409521872"/>
      <w:bookmarkStart w:id="135" w:name="_Toc410136269"/>
      <w:bookmarkStart w:id="136" w:name="_Toc410605978"/>
      <w:bookmarkStart w:id="137" w:name="_Toc410658914"/>
      <w:bookmarkStart w:id="138" w:name="_Toc410659041"/>
      <w:bookmarkStart w:id="139" w:name="_Toc410835588"/>
      <w:bookmarkStart w:id="140" w:name="_Toc138325653"/>
      <w:r w:rsidRPr="00FB2F3D">
        <w:rPr>
          <w:rFonts w:ascii="Arial" w:hAnsi="Arial" w:cs="Arial"/>
          <w:sz w:val="22"/>
          <w:szCs w:val="22"/>
        </w:rPr>
        <w:t xml:space="preserve">Suspending, delisting and restoring a </w:t>
      </w:r>
      <w:r w:rsidR="00525347" w:rsidRPr="00FB2F3D">
        <w:rPr>
          <w:rFonts w:ascii="Arial" w:hAnsi="Arial" w:cs="Arial"/>
          <w:sz w:val="22"/>
          <w:szCs w:val="22"/>
        </w:rPr>
        <w:t>listing</w:t>
      </w:r>
      <w:bookmarkEnd w:id="134"/>
      <w:bookmarkEnd w:id="135"/>
      <w:bookmarkEnd w:id="136"/>
      <w:bookmarkEnd w:id="137"/>
      <w:bookmarkEnd w:id="138"/>
      <w:bookmarkEnd w:id="139"/>
      <w:bookmarkEnd w:id="140"/>
    </w:p>
    <w:p w14:paraId="6AF62BD0"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00FBB890" w14:textId="67AF3C8C" w:rsidR="00892AFD" w:rsidRPr="00FB2F3D" w:rsidRDefault="00892AFD" w:rsidP="00241B80">
      <w:pPr>
        <w:pStyle w:val="UK12Block05"/>
        <w:rPr>
          <w:rFonts w:ascii="Arial" w:hAnsi="Arial" w:cs="Arial"/>
          <w:sz w:val="22"/>
          <w:szCs w:val="22"/>
        </w:rPr>
      </w:pPr>
      <w:r w:rsidRPr="00FB2F3D">
        <w:rPr>
          <w:rFonts w:ascii="Arial" w:hAnsi="Arial" w:cs="Arial"/>
          <w:sz w:val="22"/>
          <w:szCs w:val="22"/>
        </w:rPr>
        <w:t xml:space="preserve">Under section 53 of the FSMR, the Regulator may, suspend or delist Securities from </w:t>
      </w:r>
      <w:r w:rsidR="00AC3253">
        <w:rPr>
          <w:rFonts w:ascii="Arial" w:hAnsi="Arial" w:cs="Arial"/>
          <w:sz w:val="22"/>
          <w:szCs w:val="22"/>
        </w:rPr>
        <w:t>the</w:t>
      </w:r>
      <w:r w:rsidR="00241B80" w:rsidRPr="00FB2F3D">
        <w:rPr>
          <w:rFonts w:ascii="Arial" w:hAnsi="Arial" w:cs="Arial"/>
          <w:sz w:val="22"/>
          <w:szCs w:val="22"/>
        </w:rPr>
        <w:t xml:space="preserve"> </w:t>
      </w:r>
      <w:r w:rsidRPr="00FB2F3D">
        <w:rPr>
          <w:rFonts w:ascii="Arial" w:hAnsi="Arial" w:cs="Arial"/>
          <w:sz w:val="22"/>
          <w:szCs w:val="22"/>
        </w:rPr>
        <w:t>Official List with immediate effect or from such date and time as may be specified where it is satisfied that there are circumstances that warrant such action or it is in the interests of the ADGM</w:t>
      </w:r>
      <w:r w:rsidR="00241B80" w:rsidRPr="00FB2F3D">
        <w:rPr>
          <w:rFonts w:ascii="Arial" w:hAnsi="Arial" w:cs="Arial"/>
          <w:sz w:val="22"/>
          <w:szCs w:val="22"/>
        </w:rPr>
        <w:t xml:space="preserve"> Financial System</w:t>
      </w:r>
      <w:r w:rsidRPr="00FB2F3D">
        <w:rPr>
          <w:rFonts w:ascii="Arial" w:hAnsi="Arial" w:cs="Arial"/>
          <w:sz w:val="22"/>
          <w:szCs w:val="22"/>
        </w:rPr>
        <w:t>, including the interests of its investors, potential investors or markets.</w:t>
      </w:r>
    </w:p>
    <w:p w14:paraId="53E4124D" w14:textId="08C5D974" w:rsidR="00892AFD" w:rsidRPr="00FB2F3D" w:rsidRDefault="00892AFD" w:rsidP="00892AFD">
      <w:pPr>
        <w:pStyle w:val="TitleL"/>
        <w:rPr>
          <w:rFonts w:ascii="Arial" w:hAnsi="Arial" w:cs="Arial"/>
          <w:sz w:val="22"/>
          <w:szCs w:val="22"/>
        </w:rPr>
      </w:pPr>
      <w:r w:rsidRPr="00FB2F3D">
        <w:rPr>
          <w:rFonts w:ascii="Arial" w:hAnsi="Arial" w:cs="Arial"/>
          <w:sz w:val="22"/>
          <w:szCs w:val="22"/>
        </w:rPr>
        <w:t>Suspending Securities from the Official List</w:t>
      </w:r>
    </w:p>
    <w:p w14:paraId="6F9EF155" w14:textId="2933DCE8" w:rsidR="00892AFD" w:rsidRPr="00FB2F3D" w:rsidRDefault="00241B80" w:rsidP="00241B80">
      <w:pPr>
        <w:pStyle w:val="UK12Block05"/>
        <w:rPr>
          <w:rFonts w:ascii="Arial" w:hAnsi="Arial" w:cs="Arial"/>
          <w:sz w:val="22"/>
          <w:szCs w:val="22"/>
        </w:rPr>
      </w:pPr>
      <w:r w:rsidRPr="00FB2F3D">
        <w:rPr>
          <w:rFonts w:ascii="Arial" w:hAnsi="Arial" w:cs="Arial"/>
          <w:sz w:val="22"/>
          <w:szCs w:val="22"/>
        </w:rPr>
        <w:t xml:space="preserve">Examples of </w:t>
      </w:r>
      <w:r w:rsidR="00892AFD" w:rsidRPr="00FB2F3D">
        <w:rPr>
          <w:rFonts w:ascii="Arial" w:hAnsi="Arial" w:cs="Arial"/>
          <w:sz w:val="22"/>
          <w:szCs w:val="22"/>
        </w:rPr>
        <w:t>circumstances that warrant the suspension by the Regulator of Securities from the Official List include:</w:t>
      </w:r>
    </w:p>
    <w:p w14:paraId="3F9D3B9F" w14:textId="77777777" w:rsidR="00892AFD" w:rsidRPr="00FB2F3D" w:rsidRDefault="00892AFD" w:rsidP="00755725">
      <w:pPr>
        <w:pStyle w:val="GuidanceNotesnumbering"/>
        <w:numPr>
          <w:ilvl w:val="0"/>
          <w:numId w:val="53"/>
        </w:numPr>
        <w:rPr>
          <w:rFonts w:ascii="Arial" w:hAnsi="Arial" w:cs="Arial"/>
          <w:sz w:val="22"/>
          <w:szCs w:val="22"/>
        </w:rPr>
      </w:pPr>
      <w:r w:rsidRPr="00FB2F3D">
        <w:rPr>
          <w:rFonts w:ascii="Arial" w:hAnsi="Arial" w:cs="Arial"/>
          <w:sz w:val="22"/>
          <w:szCs w:val="22"/>
        </w:rPr>
        <w:t xml:space="preserve">the Listed Entity has failed to meet its continuing obligations for </w:t>
      </w:r>
      <w:r w:rsidR="00241B80" w:rsidRPr="00FB2F3D">
        <w:rPr>
          <w:rFonts w:ascii="Arial" w:hAnsi="Arial" w:cs="Arial"/>
          <w:sz w:val="22"/>
          <w:szCs w:val="22"/>
        </w:rPr>
        <w:t>admission to the Official List</w:t>
      </w:r>
      <w:r w:rsidRPr="00FB2F3D">
        <w:rPr>
          <w:rFonts w:ascii="Arial" w:hAnsi="Arial" w:cs="Arial"/>
          <w:sz w:val="22"/>
          <w:szCs w:val="22"/>
        </w:rPr>
        <w:t>;</w:t>
      </w:r>
    </w:p>
    <w:p w14:paraId="0E05126A" w14:textId="507943BC"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 xml:space="preserve">the Listed Entity has failed to </w:t>
      </w:r>
      <w:r w:rsidR="00AC3253">
        <w:rPr>
          <w:rFonts w:ascii="Arial" w:hAnsi="Arial" w:cs="Arial"/>
          <w:sz w:val="22"/>
          <w:szCs w:val="22"/>
        </w:rPr>
        <w:t>Disclose</w:t>
      </w:r>
      <w:r w:rsidRPr="00FB2F3D">
        <w:rPr>
          <w:rFonts w:ascii="Arial" w:hAnsi="Arial" w:cs="Arial"/>
          <w:sz w:val="22"/>
          <w:szCs w:val="22"/>
        </w:rPr>
        <w:t xml:space="preserve"> financial information in accordance with </w:t>
      </w:r>
      <w:r w:rsidR="00ED299A" w:rsidRPr="00FB2F3D">
        <w:rPr>
          <w:rFonts w:ascii="Arial" w:hAnsi="Arial" w:cs="Arial"/>
          <w:sz w:val="22"/>
          <w:szCs w:val="22"/>
        </w:rPr>
        <w:t>these Rules</w:t>
      </w:r>
      <w:r w:rsidRPr="00FB2F3D">
        <w:rPr>
          <w:rFonts w:ascii="Arial" w:hAnsi="Arial" w:cs="Arial"/>
          <w:sz w:val="22"/>
          <w:szCs w:val="22"/>
        </w:rPr>
        <w:t>;</w:t>
      </w:r>
    </w:p>
    <w:p w14:paraId="73A02334" w14:textId="77777777"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the Listed Entity is unable to assess accurately its financial position and inform the market accordingly;</w:t>
      </w:r>
    </w:p>
    <w:p w14:paraId="617372A8" w14:textId="77777777"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there is insufficient publicly</w:t>
      </w:r>
      <w:r w:rsidRPr="00FB2F3D">
        <w:rPr>
          <w:rFonts w:ascii="Arial" w:hAnsi="Arial" w:cs="Arial"/>
          <w:sz w:val="22"/>
          <w:szCs w:val="22"/>
        </w:rPr>
        <w:noBreakHyphen/>
        <w:t>available information in the market about a proposed transaction which involves the Listed Entity or the Relevant Securities;</w:t>
      </w:r>
    </w:p>
    <w:p w14:paraId="25027F1C" w14:textId="77777777"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the Listed Entity's Securities have been suspended elsewhere;</w:t>
      </w:r>
    </w:p>
    <w:p w14:paraId="6BD3141C" w14:textId="77777777"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the Listed Entity has appointed Administrators or receivers, or is an Investment Trust or Fund and is winding up;</w:t>
      </w:r>
    </w:p>
    <w:p w14:paraId="1BB76631" w14:textId="77777777"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lastRenderedPageBreak/>
        <w:t>the Relevant Securities are a securitised Derivative and any underlying Instrument is suspended; or</w:t>
      </w:r>
    </w:p>
    <w:p w14:paraId="65D82E8E" w14:textId="77777777"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 xml:space="preserve">for a Derivative which carries a right to buy or subscribe for another Security, the Security over which the Derivative carries a right to buy or subscribe has been suspended.  </w:t>
      </w:r>
    </w:p>
    <w:p w14:paraId="317EE5BD" w14:textId="77777777" w:rsidR="00892AFD" w:rsidRPr="00FB2F3D" w:rsidRDefault="00892AFD" w:rsidP="00E26A72">
      <w:pPr>
        <w:pStyle w:val="Heading3"/>
        <w:rPr>
          <w:rFonts w:ascii="Arial" w:hAnsi="Arial" w:cs="Arial"/>
          <w:sz w:val="22"/>
          <w:szCs w:val="22"/>
        </w:rPr>
      </w:pPr>
      <w:r w:rsidRPr="00FB2F3D">
        <w:rPr>
          <w:rFonts w:ascii="Arial" w:hAnsi="Arial" w:cs="Arial"/>
          <w:sz w:val="22"/>
          <w:szCs w:val="22"/>
        </w:rPr>
        <w:t xml:space="preserve">A Listed Entity which has had the </w:t>
      </w:r>
      <w:r w:rsidR="00E26A72" w:rsidRPr="00FB2F3D">
        <w:rPr>
          <w:rFonts w:ascii="Arial" w:hAnsi="Arial" w:cs="Arial"/>
          <w:sz w:val="22"/>
          <w:szCs w:val="22"/>
        </w:rPr>
        <w:t>admission to the Official List</w:t>
      </w:r>
      <w:r w:rsidRPr="00FB2F3D">
        <w:rPr>
          <w:rFonts w:ascii="Arial" w:hAnsi="Arial" w:cs="Arial"/>
          <w:sz w:val="22"/>
          <w:szCs w:val="22"/>
        </w:rPr>
        <w:t xml:space="preserve"> of any of its Securities suspended must continue to comply with all relevant Listing Rules applicable to it.</w:t>
      </w:r>
    </w:p>
    <w:p w14:paraId="6C404991" w14:textId="77777777" w:rsidR="00892AFD" w:rsidRPr="00FB2F3D" w:rsidRDefault="00892AFD" w:rsidP="00E26A72">
      <w:pPr>
        <w:pStyle w:val="Heading3"/>
        <w:rPr>
          <w:rFonts w:ascii="Arial" w:hAnsi="Arial" w:cs="Arial"/>
          <w:sz w:val="22"/>
          <w:szCs w:val="22"/>
        </w:rPr>
      </w:pPr>
      <w:bookmarkStart w:id="141" w:name="_Ref430782633"/>
      <w:r w:rsidRPr="00FB2F3D">
        <w:rPr>
          <w:rFonts w:ascii="Arial" w:hAnsi="Arial" w:cs="Arial"/>
          <w:sz w:val="22"/>
          <w:szCs w:val="22"/>
        </w:rPr>
        <w:t xml:space="preserve">If the Regulator suspends the </w:t>
      </w:r>
      <w:r w:rsidR="00E26A72" w:rsidRPr="00FB2F3D">
        <w:rPr>
          <w:rFonts w:ascii="Arial" w:hAnsi="Arial" w:cs="Arial"/>
          <w:sz w:val="22"/>
          <w:szCs w:val="22"/>
        </w:rPr>
        <w:t>admission to the Official List</w:t>
      </w:r>
      <w:r w:rsidRPr="00FB2F3D">
        <w:rPr>
          <w:rFonts w:ascii="Arial" w:hAnsi="Arial" w:cs="Arial"/>
          <w:sz w:val="22"/>
          <w:szCs w:val="22"/>
        </w:rPr>
        <w:t xml:space="preserve"> of any Securities, it may impose such requirements on the procedure for lifting the suspension as it considers appropriate.</w:t>
      </w:r>
      <w:bookmarkEnd w:id="141"/>
    </w:p>
    <w:p w14:paraId="79532B92"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Suspension or delisting at the Listed Entity's request</w:t>
      </w:r>
    </w:p>
    <w:p w14:paraId="06BB6F76" w14:textId="77777777" w:rsidR="00892AFD" w:rsidRPr="00FB2F3D" w:rsidRDefault="007441BA" w:rsidP="00892AFD">
      <w:pPr>
        <w:pStyle w:val="Heading3"/>
        <w:ind w:left="1440" w:hanging="1440"/>
        <w:rPr>
          <w:rFonts w:ascii="Arial" w:hAnsi="Arial" w:cs="Arial"/>
          <w:sz w:val="22"/>
          <w:szCs w:val="22"/>
        </w:rPr>
      </w:pPr>
      <w:bookmarkStart w:id="142" w:name="_Ref410060638"/>
      <w:bookmarkStart w:id="143" w:name="_Ref416796381"/>
      <w:r w:rsidRPr="00FB2F3D">
        <w:rPr>
          <w:rFonts w:ascii="Arial" w:hAnsi="Arial" w:cs="Arial"/>
          <w:sz w:val="22"/>
          <w:szCs w:val="22"/>
        </w:rPr>
        <w:t>(1)</w:t>
      </w:r>
      <w:r w:rsidR="00892AFD" w:rsidRPr="00FB2F3D">
        <w:rPr>
          <w:rFonts w:ascii="Arial" w:hAnsi="Arial" w:cs="Arial"/>
          <w:sz w:val="22"/>
          <w:szCs w:val="22"/>
        </w:rPr>
        <w:tab/>
        <w:t xml:space="preserve">If a Listed Entity wishes to have its Listed Securities suspended or delisted from the </w:t>
      </w:r>
      <w:r w:rsidR="00E26A72" w:rsidRPr="00FB2F3D">
        <w:rPr>
          <w:rFonts w:ascii="Arial" w:hAnsi="Arial" w:cs="Arial"/>
          <w:sz w:val="22"/>
          <w:szCs w:val="22"/>
        </w:rPr>
        <w:t xml:space="preserve">Official </w:t>
      </w:r>
      <w:r w:rsidR="00892AFD" w:rsidRPr="00FB2F3D">
        <w:rPr>
          <w:rFonts w:ascii="Arial" w:hAnsi="Arial" w:cs="Arial"/>
          <w:sz w:val="22"/>
          <w:szCs w:val="22"/>
        </w:rPr>
        <w:t>List, it must submit a request in writing to the Regulator and include</w:t>
      </w:r>
      <w:bookmarkEnd w:id="142"/>
      <w:r w:rsidR="00892AFD" w:rsidRPr="00FB2F3D">
        <w:rPr>
          <w:rFonts w:ascii="Arial" w:hAnsi="Arial" w:cs="Arial"/>
          <w:sz w:val="22"/>
          <w:szCs w:val="22"/>
        </w:rPr>
        <w:t>:</w:t>
      </w:r>
      <w:bookmarkEnd w:id="143"/>
    </w:p>
    <w:p w14:paraId="5FAFB93D"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the reasons for the request;</w:t>
      </w:r>
    </w:p>
    <w:p w14:paraId="73623BEA"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the date and time on which the suspension or delisting is to take place; and</w:t>
      </w:r>
    </w:p>
    <w:p w14:paraId="1AA16949" w14:textId="77777777" w:rsidR="00892AFD" w:rsidRPr="00FB2F3D" w:rsidRDefault="00892AFD" w:rsidP="00892AFD">
      <w:pPr>
        <w:pStyle w:val="Heading5"/>
        <w:rPr>
          <w:rFonts w:ascii="Arial" w:hAnsi="Arial" w:cs="Arial"/>
          <w:sz w:val="22"/>
          <w:szCs w:val="22"/>
        </w:rPr>
      </w:pPr>
      <w:bookmarkStart w:id="144" w:name="_Ref410634609"/>
      <w:r w:rsidRPr="00FB2F3D">
        <w:rPr>
          <w:rFonts w:ascii="Arial" w:hAnsi="Arial" w:cs="Arial"/>
          <w:sz w:val="22"/>
          <w:szCs w:val="22"/>
        </w:rPr>
        <w:t>any other information regarding the Securities or the circumstances of the suspension or delisting which the Regulator requires.</w:t>
      </w:r>
      <w:bookmarkEnd w:id="144"/>
    </w:p>
    <w:p w14:paraId="3D50D0F0" w14:textId="77777777" w:rsidR="00892AFD" w:rsidRPr="00FB2F3D" w:rsidRDefault="00892AFD" w:rsidP="00892AFD">
      <w:pPr>
        <w:pStyle w:val="Heading4"/>
        <w:rPr>
          <w:rFonts w:ascii="Arial" w:hAnsi="Arial" w:cs="Arial"/>
          <w:sz w:val="22"/>
          <w:szCs w:val="22"/>
        </w:rPr>
      </w:pPr>
      <w:bookmarkStart w:id="145" w:name="_Ref410634623"/>
      <w:r w:rsidRPr="00FB2F3D">
        <w:rPr>
          <w:rFonts w:ascii="Arial" w:hAnsi="Arial" w:cs="Arial"/>
          <w:sz w:val="22"/>
          <w:szCs w:val="22"/>
        </w:rPr>
        <w:t xml:space="preserve">The Regulator may impose such conditions or requirements as it considers appropriate on the suspension or delisting in </w:t>
      </w:r>
      <w:r w:rsidR="00693841" w:rsidRPr="00FB2F3D">
        <w:rPr>
          <w:rFonts w:ascii="Arial" w:hAnsi="Arial" w:cs="Arial"/>
          <w:sz w:val="22"/>
          <w:szCs w:val="22"/>
        </w:rPr>
        <w:t>(1)</w:t>
      </w:r>
      <w:r w:rsidRPr="00FB2F3D">
        <w:rPr>
          <w:rFonts w:ascii="Arial" w:hAnsi="Arial" w:cs="Arial"/>
          <w:sz w:val="22"/>
          <w:szCs w:val="22"/>
        </w:rPr>
        <w:t>.</w:t>
      </w:r>
      <w:bookmarkEnd w:id="145"/>
    </w:p>
    <w:p w14:paraId="606C6299"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390F7880" w14:textId="77777777" w:rsidR="00892AFD" w:rsidRPr="00FB2F3D" w:rsidRDefault="00892AFD" w:rsidP="00755725">
      <w:pPr>
        <w:pStyle w:val="GuidanceNotesnumbering"/>
        <w:numPr>
          <w:ilvl w:val="0"/>
          <w:numId w:val="54"/>
        </w:numPr>
        <w:rPr>
          <w:rFonts w:ascii="Arial" w:hAnsi="Arial" w:cs="Arial"/>
          <w:sz w:val="22"/>
          <w:szCs w:val="22"/>
        </w:rPr>
      </w:pPr>
      <w:r w:rsidRPr="00FB2F3D">
        <w:rPr>
          <w:rFonts w:ascii="Arial" w:hAnsi="Arial" w:cs="Arial"/>
          <w:sz w:val="22"/>
          <w:szCs w:val="22"/>
        </w:rPr>
        <w:t>A Listed Entity requesting delisting should submit such request in reasonable time for the Regulator to consider the request and satisfy the Regulator that a delisting would be appropriate.</w:t>
      </w:r>
    </w:p>
    <w:p w14:paraId="218E9613" w14:textId="60D9F917" w:rsidR="00E26A72" w:rsidRPr="00FB2F3D" w:rsidRDefault="00E26A72" w:rsidP="00E26A72">
      <w:pPr>
        <w:pStyle w:val="GuidanceNotesnumbering"/>
        <w:rPr>
          <w:rFonts w:ascii="Arial" w:hAnsi="Arial" w:cs="Arial"/>
          <w:sz w:val="22"/>
          <w:szCs w:val="22"/>
        </w:rPr>
      </w:pPr>
      <w:r w:rsidRPr="00FB2F3D">
        <w:rPr>
          <w:rFonts w:ascii="Arial" w:hAnsi="Arial" w:cs="Arial"/>
          <w:sz w:val="22"/>
          <w:szCs w:val="22"/>
        </w:rPr>
        <w:t xml:space="preserve">Examples of other information which the Regulator may require pursuant to Rule 2.6.3(1)(c) include a proof of shareholder resolution, evidence of any </w:t>
      </w:r>
      <w:r w:rsidR="00EA6B2B">
        <w:rPr>
          <w:rFonts w:ascii="Arial" w:hAnsi="Arial" w:cs="Arial"/>
          <w:sz w:val="22"/>
          <w:szCs w:val="22"/>
        </w:rPr>
        <w:t>Disclosure</w:t>
      </w:r>
      <w:r w:rsidRPr="00FB2F3D">
        <w:rPr>
          <w:rFonts w:ascii="Arial" w:hAnsi="Arial" w:cs="Arial"/>
          <w:sz w:val="22"/>
          <w:szCs w:val="22"/>
        </w:rPr>
        <w:t xml:space="preserve">, circular or other document which the Listed Entity is relying on as part of its request to suspend or delist its admission to the Official List. </w:t>
      </w:r>
    </w:p>
    <w:p w14:paraId="76202CFE" w14:textId="77777777" w:rsidR="00892AFD" w:rsidRPr="00FB2F3D" w:rsidRDefault="00892AFD" w:rsidP="00E26A72">
      <w:pPr>
        <w:pStyle w:val="GuidanceNotesnumbering"/>
        <w:rPr>
          <w:rFonts w:ascii="Arial" w:hAnsi="Arial" w:cs="Arial"/>
          <w:sz w:val="22"/>
          <w:szCs w:val="22"/>
        </w:rPr>
      </w:pPr>
      <w:r w:rsidRPr="00FB2F3D">
        <w:rPr>
          <w:rFonts w:ascii="Arial" w:hAnsi="Arial" w:cs="Arial"/>
          <w:sz w:val="22"/>
          <w:szCs w:val="22"/>
        </w:rPr>
        <w:t xml:space="preserve">A Listed Entity requesting cancellation of its </w:t>
      </w:r>
      <w:r w:rsidR="00E26A72" w:rsidRPr="00FB2F3D">
        <w:rPr>
          <w:rFonts w:ascii="Arial" w:hAnsi="Arial" w:cs="Arial"/>
          <w:sz w:val="22"/>
          <w:szCs w:val="22"/>
        </w:rPr>
        <w:t>admission to the Official List</w:t>
      </w:r>
      <w:r w:rsidRPr="00FB2F3D">
        <w:rPr>
          <w:rFonts w:ascii="Arial" w:hAnsi="Arial" w:cs="Arial"/>
          <w:sz w:val="22"/>
          <w:szCs w:val="22"/>
        </w:rPr>
        <w:t xml:space="preserve"> should provide existing security holders with sufficient notice prior to the cancellation date</w:t>
      </w:r>
      <w:r w:rsidR="00E26A72" w:rsidRPr="00FB2F3D">
        <w:rPr>
          <w:rFonts w:ascii="Arial" w:hAnsi="Arial" w:cs="Arial"/>
          <w:sz w:val="22"/>
          <w:szCs w:val="22"/>
        </w:rPr>
        <w:t xml:space="preserve"> in order to provide them with an opportunity to sell their Securities</w:t>
      </w:r>
      <w:r w:rsidRPr="00FB2F3D">
        <w:rPr>
          <w:rFonts w:ascii="Arial" w:hAnsi="Arial" w:cs="Arial"/>
          <w:sz w:val="22"/>
          <w:szCs w:val="22"/>
        </w:rPr>
        <w:t>.</w:t>
      </w:r>
    </w:p>
    <w:p w14:paraId="4B6B0129" w14:textId="77777777"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An example of the type of condition the Regulator may impose pursuant to Rule </w:t>
      </w:r>
      <w:r w:rsidR="00693841" w:rsidRPr="00FB2F3D">
        <w:rPr>
          <w:rFonts w:ascii="Arial" w:hAnsi="Arial" w:cs="Arial"/>
          <w:sz w:val="22"/>
          <w:szCs w:val="22"/>
        </w:rPr>
        <w:t>2.6.3(2)</w:t>
      </w:r>
      <w:r w:rsidRPr="00FB2F3D">
        <w:rPr>
          <w:rFonts w:ascii="Arial" w:hAnsi="Arial" w:cs="Arial"/>
          <w:sz w:val="22"/>
          <w:szCs w:val="22"/>
        </w:rPr>
        <w:t xml:space="preserve"> is the imposition of a time limit for the suspension.</w:t>
      </w:r>
    </w:p>
    <w:p w14:paraId="63186985"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Restoration of a listing</w:t>
      </w:r>
    </w:p>
    <w:p w14:paraId="3A94F52C" w14:textId="77777777" w:rsidR="00892AFD" w:rsidRPr="00FB2F3D" w:rsidRDefault="00892AFD" w:rsidP="00E26A72">
      <w:pPr>
        <w:pStyle w:val="Heading3"/>
        <w:rPr>
          <w:rFonts w:ascii="Arial" w:hAnsi="Arial" w:cs="Arial"/>
          <w:sz w:val="22"/>
          <w:szCs w:val="22"/>
        </w:rPr>
      </w:pPr>
      <w:r w:rsidRPr="00FB2F3D">
        <w:rPr>
          <w:rFonts w:ascii="Arial" w:hAnsi="Arial" w:cs="Arial"/>
          <w:sz w:val="22"/>
          <w:szCs w:val="22"/>
        </w:rPr>
        <w:t xml:space="preserve">The Regulator may restore the </w:t>
      </w:r>
      <w:r w:rsidR="00E26A72" w:rsidRPr="00FB2F3D">
        <w:rPr>
          <w:rFonts w:ascii="Arial" w:hAnsi="Arial" w:cs="Arial"/>
          <w:sz w:val="22"/>
          <w:szCs w:val="22"/>
        </w:rPr>
        <w:t>admission to the Official List</w:t>
      </w:r>
      <w:r w:rsidRPr="00FB2F3D">
        <w:rPr>
          <w:rFonts w:ascii="Arial" w:hAnsi="Arial" w:cs="Arial"/>
          <w:sz w:val="22"/>
          <w:szCs w:val="22"/>
        </w:rPr>
        <w:t xml:space="preserve"> of any Securities which have been suspended if it considers that:</w:t>
      </w:r>
    </w:p>
    <w:p w14:paraId="7F8E7B5D" w14:textId="77777777" w:rsidR="00892AFD" w:rsidRPr="00FB2F3D" w:rsidRDefault="00892AFD" w:rsidP="00E9220D">
      <w:pPr>
        <w:pStyle w:val="Heading4"/>
        <w:rPr>
          <w:rFonts w:ascii="Arial" w:hAnsi="Arial" w:cs="Arial"/>
          <w:sz w:val="22"/>
          <w:szCs w:val="22"/>
        </w:rPr>
      </w:pPr>
      <w:r w:rsidRPr="00FB2F3D">
        <w:rPr>
          <w:rFonts w:ascii="Arial" w:hAnsi="Arial" w:cs="Arial"/>
          <w:sz w:val="22"/>
          <w:szCs w:val="22"/>
        </w:rPr>
        <w:t>the smooth operation of the market is no longer jeopardised; or</w:t>
      </w:r>
    </w:p>
    <w:p w14:paraId="181F8B95" w14:textId="77777777" w:rsidR="00892AFD" w:rsidRPr="00FB2F3D" w:rsidRDefault="00892AFD" w:rsidP="00E9220D">
      <w:pPr>
        <w:pStyle w:val="Heading4"/>
        <w:rPr>
          <w:rFonts w:ascii="Arial" w:hAnsi="Arial" w:cs="Arial"/>
          <w:sz w:val="22"/>
          <w:szCs w:val="22"/>
        </w:rPr>
      </w:pPr>
      <w:r w:rsidRPr="00FB2F3D">
        <w:rPr>
          <w:rFonts w:ascii="Arial" w:hAnsi="Arial" w:cs="Arial"/>
          <w:sz w:val="22"/>
          <w:szCs w:val="22"/>
        </w:rPr>
        <w:lastRenderedPageBreak/>
        <w:t>where relevant, the suspension is no longer required to protect investors.</w:t>
      </w:r>
    </w:p>
    <w:p w14:paraId="0D3AA315" w14:textId="77777777" w:rsidR="00892AFD" w:rsidRPr="00FB2F3D" w:rsidRDefault="00892AFD" w:rsidP="00E26A72">
      <w:pPr>
        <w:pStyle w:val="Heading3"/>
        <w:rPr>
          <w:rFonts w:ascii="Arial" w:hAnsi="Arial" w:cs="Arial"/>
          <w:sz w:val="22"/>
          <w:szCs w:val="22"/>
        </w:rPr>
      </w:pPr>
      <w:r w:rsidRPr="00FB2F3D">
        <w:rPr>
          <w:rFonts w:ascii="Arial" w:hAnsi="Arial" w:cs="Arial"/>
          <w:sz w:val="22"/>
          <w:szCs w:val="22"/>
        </w:rPr>
        <w:t xml:space="preserve">The Regulator may restore the </w:t>
      </w:r>
      <w:r w:rsidR="00E26A72" w:rsidRPr="00FB2F3D">
        <w:rPr>
          <w:rFonts w:ascii="Arial" w:hAnsi="Arial" w:cs="Arial"/>
          <w:sz w:val="22"/>
          <w:szCs w:val="22"/>
        </w:rPr>
        <w:t>admission to the Official List</w:t>
      </w:r>
      <w:r w:rsidRPr="00FB2F3D">
        <w:rPr>
          <w:rFonts w:ascii="Arial" w:hAnsi="Arial" w:cs="Arial"/>
          <w:sz w:val="22"/>
          <w:szCs w:val="22"/>
        </w:rPr>
        <w:t xml:space="preserve"> of any Securities which have been suspended whether the restoration was requested by the relevant Listed Entity or at the Regulator's own initiative.</w:t>
      </w:r>
    </w:p>
    <w:p w14:paraId="1D8F08D7" w14:textId="2535C6F7" w:rsidR="00892AFD" w:rsidRPr="00FB2F3D" w:rsidRDefault="00892AFD" w:rsidP="00892AFD">
      <w:pPr>
        <w:pStyle w:val="TitleL"/>
        <w:rPr>
          <w:rFonts w:ascii="Arial" w:hAnsi="Arial" w:cs="Arial"/>
          <w:sz w:val="22"/>
          <w:szCs w:val="22"/>
        </w:rPr>
      </w:pPr>
      <w:r w:rsidRPr="00FB2F3D">
        <w:rPr>
          <w:rFonts w:ascii="Arial" w:hAnsi="Arial" w:cs="Arial"/>
          <w:sz w:val="22"/>
          <w:szCs w:val="22"/>
        </w:rPr>
        <w:t xml:space="preserve">Delisting Securities from the Official List </w:t>
      </w:r>
    </w:p>
    <w:p w14:paraId="1352DA07" w14:textId="77777777" w:rsidR="00892AFD" w:rsidRPr="00FB2F3D" w:rsidRDefault="00892AFD" w:rsidP="00892AFD">
      <w:pPr>
        <w:pStyle w:val="Heading3"/>
        <w:rPr>
          <w:rFonts w:ascii="Arial" w:hAnsi="Arial" w:cs="Arial"/>
          <w:sz w:val="22"/>
          <w:szCs w:val="22"/>
        </w:rPr>
      </w:pPr>
      <w:bookmarkStart w:id="146" w:name="_Ref410064407"/>
      <w:bookmarkStart w:id="147" w:name="_Ref416796422"/>
      <w:r w:rsidRPr="00FB2F3D">
        <w:rPr>
          <w:rFonts w:ascii="Arial" w:hAnsi="Arial" w:cs="Arial"/>
          <w:sz w:val="22"/>
          <w:szCs w:val="22"/>
        </w:rPr>
        <w:t>For the purposes of section 53 of the FSMR, the circumstances which may warrant the delisting of Securities by the Regulator include,</w:t>
      </w:r>
      <w:r w:rsidR="00BD765C" w:rsidRPr="00FB2F3D">
        <w:rPr>
          <w:rFonts w:ascii="Arial" w:hAnsi="Arial" w:cs="Arial"/>
          <w:sz w:val="22"/>
          <w:szCs w:val="22"/>
        </w:rPr>
        <w:t xml:space="preserve"> </w:t>
      </w:r>
      <w:r w:rsidRPr="00FB2F3D">
        <w:rPr>
          <w:rFonts w:ascii="Arial" w:hAnsi="Arial" w:cs="Arial"/>
          <w:sz w:val="22"/>
          <w:szCs w:val="22"/>
        </w:rPr>
        <w:t>but are not limited to, where</w:t>
      </w:r>
      <w:bookmarkEnd w:id="146"/>
      <w:r w:rsidRPr="00FB2F3D">
        <w:rPr>
          <w:rFonts w:ascii="Arial" w:hAnsi="Arial" w:cs="Arial"/>
          <w:sz w:val="22"/>
          <w:szCs w:val="22"/>
        </w:rPr>
        <w:t>:</w:t>
      </w:r>
      <w:bookmarkEnd w:id="147"/>
    </w:p>
    <w:p w14:paraId="6C8301AD" w14:textId="77777777" w:rsidR="00892AFD" w:rsidRPr="00FB2F3D" w:rsidRDefault="00892AFD" w:rsidP="00E9220D">
      <w:pPr>
        <w:pStyle w:val="Heading4"/>
        <w:rPr>
          <w:rFonts w:ascii="Arial" w:hAnsi="Arial" w:cs="Arial"/>
          <w:sz w:val="22"/>
          <w:szCs w:val="22"/>
        </w:rPr>
      </w:pPr>
      <w:r w:rsidRPr="00FB2F3D">
        <w:rPr>
          <w:rFonts w:ascii="Arial" w:hAnsi="Arial" w:cs="Arial"/>
          <w:sz w:val="22"/>
          <w:szCs w:val="22"/>
        </w:rPr>
        <w:t>the Securities are no longer admitted to trading as required by these Rules and the FSMR;</w:t>
      </w:r>
    </w:p>
    <w:p w14:paraId="78E44075" w14:textId="77777777" w:rsidR="00892AFD" w:rsidRPr="00FB2F3D" w:rsidRDefault="00892AFD" w:rsidP="00E26A72">
      <w:pPr>
        <w:pStyle w:val="Heading4"/>
        <w:rPr>
          <w:rFonts w:ascii="Arial" w:hAnsi="Arial" w:cs="Arial"/>
          <w:sz w:val="22"/>
          <w:szCs w:val="22"/>
        </w:rPr>
      </w:pPr>
      <w:bookmarkStart w:id="148" w:name="_Ref410634640"/>
      <w:r w:rsidRPr="00FB2F3D">
        <w:rPr>
          <w:rFonts w:ascii="Arial" w:hAnsi="Arial" w:cs="Arial"/>
          <w:sz w:val="22"/>
          <w:szCs w:val="22"/>
        </w:rPr>
        <w:t>the Listed Entity no longer satisfies on</w:t>
      </w:r>
      <w:r w:rsidR="00525347" w:rsidRPr="00FB2F3D">
        <w:rPr>
          <w:rFonts w:ascii="Arial" w:hAnsi="Arial" w:cs="Arial"/>
          <w:sz w:val="22"/>
          <w:szCs w:val="22"/>
        </w:rPr>
        <w:t>e</w:t>
      </w:r>
      <w:r w:rsidRPr="00FB2F3D">
        <w:rPr>
          <w:rFonts w:ascii="Arial" w:hAnsi="Arial" w:cs="Arial"/>
          <w:sz w:val="22"/>
          <w:szCs w:val="22"/>
        </w:rPr>
        <w:t xml:space="preserve"> or more of its continuing obligations for</w:t>
      </w:r>
      <w:r w:rsidRPr="00FB2F3D">
        <w:rPr>
          <w:rFonts w:ascii="Arial" w:hAnsi="Arial" w:cs="Arial"/>
          <w:sz w:val="22"/>
          <w:szCs w:val="22"/>
          <w:lang w:eastAsia="ja-JP"/>
        </w:rPr>
        <w:t xml:space="preserve"> </w:t>
      </w:r>
      <w:r w:rsidR="00E26A72" w:rsidRPr="00FB2F3D">
        <w:rPr>
          <w:rFonts w:ascii="Arial" w:hAnsi="Arial" w:cs="Arial"/>
          <w:sz w:val="22"/>
          <w:szCs w:val="22"/>
          <w:lang w:eastAsia="ja-JP"/>
        </w:rPr>
        <w:t>admission to the Official List</w:t>
      </w:r>
      <w:r w:rsidRPr="00FB2F3D">
        <w:rPr>
          <w:rFonts w:ascii="Arial" w:hAnsi="Arial" w:cs="Arial"/>
          <w:sz w:val="22"/>
          <w:szCs w:val="22"/>
        </w:rPr>
        <w:t>;</w:t>
      </w:r>
      <w:bookmarkEnd w:id="148"/>
    </w:p>
    <w:p w14:paraId="6789B705" w14:textId="77777777" w:rsidR="00892AFD" w:rsidRPr="00FB2F3D" w:rsidRDefault="00892AFD" w:rsidP="00E9220D">
      <w:pPr>
        <w:pStyle w:val="Heading4"/>
        <w:rPr>
          <w:rFonts w:ascii="Arial" w:hAnsi="Arial" w:cs="Arial"/>
          <w:sz w:val="22"/>
          <w:szCs w:val="22"/>
        </w:rPr>
      </w:pPr>
      <w:r w:rsidRPr="00FB2F3D">
        <w:rPr>
          <w:rFonts w:ascii="Arial" w:hAnsi="Arial" w:cs="Arial"/>
          <w:sz w:val="22"/>
          <w:szCs w:val="22"/>
        </w:rPr>
        <w:t>the Securities have been suspended from the Official List for more than six months;</w:t>
      </w:r>
    </w:p>
    <w:p w14:paraId="293F3806" w14:textId="062700B7" w:rsidR="00892AFD" w:rsidRPr="00FB2F3D" w:rsidRDefault="00892AFD" w:rsidP="00E9220D">
      <w:pPr>
        <w:pStyle w:val="Heading4"/>
        <w:rPr>
          <w:rFonts w:ascii="Arial" w:hAnsi="Arial" w:cs="Arial"/>
          <w:sz w:val="22"/>
          <w:szCs w:val="22"/>
        </w:rPr>
      </w:pPr>
      <w:r w:rsidRPr="00FB2F3D">
        <w:rPr>
          <w:rFonts w:ascii="Arial" w:hAnsi="Arial" w:cs="Arial"/>
          <w:sz w:val="22"/>
          <w:szCs w:val="22"/>
        </w:rPr>
        <w:t xml:space="preserve">it is necessary because the Securities have been subject to a merger, Takeover or </w:t>
      </w:r>
      <w:r w:rsidR="00EA6B2B">
        <w:rPr>
          <w:rFonts w:ascii="Arial" w:hAnsi="Arial" w:cs="Arial"/>
          <w:sz w:val="22"/>
          <w:szCs w:val="22"/>
        </w:rPr>
        <w:t>R</w:t>
      </w:r>
      <w:r w:rsidRPr="00FB2F3D">
        <w:rPr>
          <w:rFonts w:ascii="Arial" w:hAnsi="Arial" w:cs="Arial"/>
          <w:sz w:val="22"/>
          <w:szCs w:val="22"/>
        </w:rPr>
        <w:t>everse Takeover;</w:t>
      </w:r>
    </w:p>
    <w:p w14:paraId="795505A8" w14:textId="77777777" w:rsidR="00892AFD" w:rsidRPr="00FB2F3D" w:rsidRDefault="00892AFD" w:rsidP="00E26A72">
      <w:pPr>
        <w:pStyle w:val="Heading4"/>
        <w:rPr>
          <w:rFonts w:ascii="Arial" w:hAnsi="Arial" w:cs="Arial"/>
          <w:sz w:val="22"/>
          <w:szCs w:val="22"/>
        </w:rPr>
      </w:pPr>
      <w:r w:rsidRPr="00FB2F3D">
        <w:rPr>
          <w:rFonts w:ascii="Arial" w:hAnsi="Arial" w:cs="Arial"/>
          <w:sz w:val="22"/>
          <w:szCs w:val="22"/>
        </w:rPr>
        <w:t>the</w:t>
      </w:r>
      <w:r w:rsidR="00E26A72" w:rsidRPr="00FB2F3D">
        <w:rPr>
          <w:rFonts w:ascii="Arial" w:hAnsi="Arial" w:cs="Arial"/>
          <w:sz w:val="22"/>
          <w:szCs w:val="22"/>
        </w:rPr>
        <w:t xml:space="preserve"> admission to the Official List</w:t>
      </w:r>
      <w:r w:rsidRPr="00FB2F3D">
        <w:rPr>
          <w:rFonts w:ascii="Arial" w:hAnsi="Arial" w:cs="Arial"/>
          <w:sz w:val="22"/>
          <w:szCs w:val="22"/>
        </w:rPr>
        <w:t xml:space="preserve"> is a secondary </w:t>
      </w:r>
      <w:r w:rsidR="00525347" w:rsidRPr="00FB2F3D">
        <w:rPr>
          <w:rFonts w:ascii="Arial" w:hAnsi="Arial" w:cs="Arial"/>
          <w:sz w:val="22"/>
          <w:szCs w:val="22"/>
        </w:rPr>
        <w:t>listing</w:t>
      </w:r>
      <w:r w:rsidRPr="00FB2F3D">
        <w:rPr>
          <w:rFonts w:ascii="Arial" w:hAnsi="Arial" w:cs="Arial"/>
          <w:sz w:val="22"/>
          <w:szCs w:val="22"/>
        </w:rPr>
        <w:t xml:space="preserve"> and the Securities have been cancelled on their primary listing or are no longer admitted to trading for such primary listing;</w:t>
      </w:r>
    </w:p>
    <w:p w14:paraId="4DC7092C" w14:textId="77777777" w:rsidR="00892AFD" w:rsidRPr="00FB2F3D" w:rsidRDefault="00892AFD" w:rsidP="00E26A72">
      <w:pPr>
        <w:pStyle w:val="Heading4"/>
        <w:rPr>
          <w:rFonts w:ascii="Arial" w:hAnsi="Arial" w:cs="Arial"/>
          <w:sz w:val="22"/>
          <w:szCs w:val="22"/>
        </w:rPr>
      </w:pPr>
      <w:r w:rsidRPr="00FB2F3D">
        <w:rPr>
          <w:rFonts w:ascii="Arial" w:hAnsi="Arial" w:cs="Arial"/>
          <w:sz w:val="22"/>
          <w:szCs w:val="22"/>
        </w:rPr>
        <w:t>it is in the interests of the ADGM, including the interests of investors, potential investors or t</w:t>
      </w:r>
      <w:r w:rsidR="00E26A72" w:rsidRPr="00FB2F3D">
        <w:rPr>
          <w:rFonts w:ascii="Arial" w:hAnsi="Arial" w:cs="Arial"/>
          <w:sz w:val="22"/>
          <w:szCs w:val="22"/>
        </w:rPr>
        <w:t xml:space="preserve">he ADGM </w:t>
      </w:r>
      <w:r w:rsidRPr="00FB2F3D">
        <w:rPr>
          <w:rFonts w:ascii="Arial" w:hAnsi="Arial" w:cs="Arial"/>
          <w:sz w:val="22"/>
          <w:szCs w:val="22"/>
        </w:rPr>
        <w:t>markets; or</w:t>
      </w:r>
    </w:p>
    <w:p w14:paraId="67B7C2A9" w14:textId="77777777" w:rsidR="00892AFD" w:rsidRPr="00FB2F3D" w:rsidRDefault="00892AFD" w:rsidP="00E9220D">
      <w:pPr>
        <w:pStyle w:val="Heading4"/>
        <w:rPr>
          <w:rFonts w:ascii="Arial" w:hAnsi="Arial" w:cs="Arial"/>
          <w:sz w:val="22"/>
          <w:szCs w:val="22"/>
        </w:rPr>
      </w:pPr>
      <w:r w:rsidRPr="00FB2F3D">
        <w:rPr>
          <w:rFonts w:ascii="Arial" w:hAnsi="Arial" w:cs="Arial"/>
          <w:sz w:val="22"/>
          <w:szCs w:val="22"/>
        </w:rPr>
        <w:t>the Securities have been redeemed or cease to exist for any other reason.</w:t>
      </w:r>
    </w:p>
    <w:p w14:paraId="0FB3B9E5"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7CEF3A43" w14:textId="77777777" w:rsidR="00892AFD" w:rsidRPr="00FB2F3D" w:rsidRDefault="00AD7A04" w:rsidP="00AD7A04">
      <w:pPr>
        <w:pStyle w:val="UK12Block05"/>
        <w:rPr>
          <w:rFonts w:ascii="Arial" w:hAnsi="Arial" w:cs="Arial"/>
          <w:sz w:val="22"/>
          <w:szCs w:val="22"/>
        </w:rPr>
      </w:pPr>
      <w:r w:rsidRPr="00FB2F3D">
        <w:rPr>
          <w:rFonts w:ascii="Arial" w:hAnsi="Arial" w:cs="Arial"/>
          <w:sz w:val="22"/>
          <w:szCs w:val="22"/>
        </w:rPr>
        <w:t xml:space="preserve">For the purposes of Rule 2.6.6(2) </w:t>
      </w:r>
      <w:r w:rsidR="00892AFD" w:rsidRPr="00FB2F3D">
        <w:rPr>
          <w:rFonts w:ascii="Arial" w:hAnsi="Arial" w:cs="Arial"/>
          <w:sz w:val="22"/>
          <w:szCs w:val="22"/>
        </w:rPr>
        <w:t>an example of a breach of the continuing obligations which may warrant a delisting by the Regulator would be where the percentage of Shares in public hands falls below</w:t>
      </w:r>
      <w:r w:rsidR="00E9220D" w:rsidRPr="00FB2F3D">
        <w:rPr>
          <w:rFonts w:ascii="Arial" w:hAnsi="Arial" w:cs="Arial"/>
          <w:sz w:val="22"/>
          <w:szCs w:val="22"/>
        </w:rPr>
        <w:t xml:space="preserve"> the applicable thresholds set out in</w:t>
      </w:r>
      <w:r w:rsidR="00CC12C5" w:rsidRPr="00FB2F3D">
        <w:rPr>
          <w:rFonts w:ascii="Arial" w:hAnsi="Arial" w:cs="Arial"/>
          <w:sz w:val="22"/>
          <w:szCs w:val="22"/>
        </w:rPr>
        <w:t xml:space="preserve"> Rule</w:t>
      </w:r>
      <w:r w:rsidR="00E9220D" w:rsidRPr="00FB2F3D">
        <w:rPr>
          <w:rFonts w:ascii="Arial" w:hAnsi="Arial" w:cs="Arial"/>
          <w:sz w:val="22"/>
          <w:szCs w:val="22"/>
        </w:rPr>
        <w:t xml:space="preserve"> </w:t>
      </w:r>
      <w:r w:rsidR="00693841" w:rsidRPr="00FB2F3D">
        <w:rPr>
          <w:rFonts w:ascii="Arial" w:hAnsi="Arial" w:cs="Arial"/>
          <w:sz w:val="22"/>
          <w:szCs w:val="22"/>
        </w:rPr>
        <w:t>2.3.10(2)</w:t>
      </w:r>
      <w:r w:rsidR="00E9220D" w:rsidRPr="00FB2F3D">
        <w:rPr>
          <w:rFonts w:ascii="Arial" w:hAnsi="Arial" w:cs="Arial"/>
          <w:sz w:val="22"/>
          <w:szCs w:val="22"/>
        </w:rPr>
        <w:t xml:space="preserve">. </w:t>
      </w:r>
      <w:r w:rsidR="00892AFD" w:rsidRPr="00FB2F3D">
        <w:rPr>
          <w:rFonts w:ascii="Arial" w:hAnsi="Arial" w:cs="Arial"/>
          <w:sz w:val="22"/>
          <w:szCs w:val="22"/>
        </w:rPr>
        <w:t>The Regulator may, however, allow a reasonable time to restore the percentage unless this is precluded by the need to maintain the smooth operation of the market or to protect investors.</w:t>
      </w:r>
    </w:p>
    <w:p w14:paraId="009B25C3" w14:textId="77777777" w:rsidR="00892AFD" w:rsidRPr="00FB2F3D" w:rsidRDefault="00892AFD" w:rsidP="00892AFD">
      <w:pPr>
        <w:pStyle w:val="Heading2"/>
        <w:rPr>
          <w:rFonts w:ascii="Arial" w:hAnsi="Arial" w:cs="Arial"/>
          <w:sz w:val="22"/>
          <w:szCs w:val="22"/>
        </w:rPr>
      </w:pPr>
      <w:bookmarkStart w:id="149" w:name="_Toc409521873"/>
      <w:bookmarkStart w:id="150" w:name="_Toc410136270"/>
      <w:bookmarkStart w:id="151" w:name="_Toc410605979"/>
      <w:bookmarkStart w:id="152" w:name="_Toc410658915"/>
      <w:bookmarkStart w:id="153" w:name="_Toc410659042"/>
      <w:bookmarkStart w:id="154" w:name="_Toc410835589"/>
      <w:bookmarkStart w:id="155" w:name="_Toc138325654"/>
      <w:r w:rsidRPr="00FB2F3D">
        <w:rPr>
          <w:rFonts w:ascii="Arial" w:hAnsi="Arial" w:cs="Arial"/>
          <w:sz w:val="22"/>
          <w:szCs w:val="22"/>
        </w:rPr>
        <w:t>Continuing obligations</w:t>
      </w:r>
      <w:bookmarkEnd w:id="149"/>
      <w:bookmarkEnd w:id="150"/>
      <w:bookmarkEnd w:id="151"/>
      <w:bookmarkEnd w:id="152"/>
      <w:bookmarkEnd w:id="153"/>
      <w:bookmarkEnd w:id="154"/>
      <w:bookmarkEnd w:id="155"/>
    </w:p>
    <w:p w14:paraId="5B046269"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5240354E" w14:textId="77777777" w:rsidR="00892AFD" w:rsidRPr="00FB2F3D" w:rsidRDefault="00892AFD" w:rsidP="00AD7A04">
      <w:pPr>
        <w:pStyle w:val="UK12Block05"/>
        <w:rPr>
          <w:rFonts w:ascii="Arial" w:hAnsi="Arial" w:cs="Arial"/>
          <w:sz w:val="22"/>
          <w:szCs w:val="22"/>
        </w:rPr>
      </w:pPr>
      <w:r w:rsidRPr="00FB2F3D">
        <w:rPr>
          <w:rFonts w:ascii="Arial" w:hAnsi="Arial" w:cs="Arial"/>
          <w:sz w:val="22"/>
          <w:szCs w:val="22"/>
        </w:rPr>
        <w:t xml:space="preserve">A Listed Entity should consider its obligations under other chapters of </w:t>
      </w:r>
      <w:r w:rsidR="00E24478" w:rsidRPr="00FB2F3D">
        <w:rPr>
          <w:rFonts w:ascii="Arial" w:hAnsi="Arial" w:cs="Arial"/>
          <w:sz w:val="22"/>
          <w:szCs w:val="22"/>
        </w:rPr>
        <w:t xml:space="preserve">this </w:t>
      </w:r>
      <w:r w:rsidR="00AD7A04" w:rsidRPr="00FB2F3D">
        <w:rPr>
          <w:rFonts w:ascii="Arial" w:hAnsi="Arial" w:cs="Arial"/>
          <w:sz w:val="22"/>
          <w:szCs w:val="22"/>
        </w:rPr>
        <w:t>Rulebook</w:t>
      </w:r>
      <w:r w:rsidRPr="00FB2F3D">
        <w:rPr>
          <w:rFonts w:ascii="Arial" w:hAnsi="Arial" w:cs="Arial"/>
          <w:sz w:val="22"/>
          <w:szCs w:val="22"/>
        </w:rPr>
        <w:t>, in addition to the requirements in these Rules.</w:t>
      </w:r>
    </w:p>
    <w:p w14:paraId="0449CA81"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Information and facilities for Shareholders</w:t>
      </w:r>
    </w:p>
    <w:p w14:paraId="1DEA7030" w14:textId="77777777" w:rsidR="00892AFD" w:rsidRPr="00FB2F3D" w:rsidRDefault="007441BA" w:rsidP="00892AFD">
      <w:pPr>
        <w:pStyle w:val="Heading3"/>
        <w:ind w:left="1440" w:hanging="1440"/>
        <w:rPr>
          <w:rFonts w:ascii="Arial" w:hAnsi="Arial" w:cs="Arial"/>
          <w:sz w:val="22"/>
          <w:szCs w:val="22"/>
        </w:rPr>
      </w:pPr>
      <w:r w:rsidRPr="00FB2F3D">
        <w:rPr>
          <w:rFonts w:ascii="Arial" w:hAnsi="Arial" w:cs="Arial"/>
          <w:sz w:val="22"/>
          <w:szCs w:val="22"/>
        </w:rPr>
        <w:t>(1)</w:t>
      </w:r>
      <w:r w:rsidR="00892AFD" w:rsidRPr="00FB2F3D">
        <w:rPr>
          <w:rFonts w:ascii="Arial" w:hAnsi="Arial" w:cs="Arial"/>
          <w:sz w:val="22"/>
          <w:szCs w:val="22"/>
        </w:rPr>
        <w:tab/>
        <w:t>The Board of a Listed Entity must ensure that all the necessary information and facilities are available to its Shareholders to enable them to exercise the rights attaching to their Securities on a well-informed basis.</w:t>
      </w:r>
    </w:p>
    <w:p w14:paraId="45DE9331" w14:textId="77777777" w:rsidR="00892AFD" w:rsidRPr="00FB2F3D" w:rsidRDefault="00AD7A04" w:rsidP="00AD7A04">
      <w:pPr>
        <w:pStyle w:val="Heading4"/>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892AFD" w:rsidRPr="00FB2F3D">
        <w:rPr>
          <w:rFonts w:ascii="Arial" w:hAnsi="Arial" w:cs="Arial"/>
          <w:sz w:val="22"/>
          <w:szCs w:val="22"/>
        </w:rPr>
        <w:t xml:space="preserve">Without limiting the generality of the obligation in </w:t>
      </w:r>
      <w:r w:rsidR="00693841" w:rsidRPr="00FB2F3D">
        <w:rPr>
          <w:rFonts w:ascii="Arial" w:hAnsi="Arial" w:cs="Arial"/>
          <w:sz w:val="22"/>
          <w:szCs w:val="22"/>
        </w:rPr>
        <w:t>(1)</w:t>
      </w:r>
      <w:r w:rsidR="00892AFD" w:rsidRPr="00FB2F3D">
        <w:rPr>
          <w:rFonts w:ascii="Arial" w:hAnsi="Arial" w:cs="Arial"/>
          <w:sz w:val="22"/>
          <w:szCs w:val="22"/>
        </w:rPr>
        <w:t>, the Board of a Listed</w:t>
      </w:r>
      <w:r w:rsidR="00892AFD" w:rsidRPr="00FB2F3D">
        <w:rPr>
          <w:rFonts w:ascii="Arial" w:hAnsi="Arial" w:cs="Arial"/>
          <w:sz w:val="22"/>
          <w:szCs w:val="22"/>
          <w:lang w:eastAsia="ja-JP"/>
        </w:rPr>
        <w:t xml:space="preserve"> </w:t>
      </w:r>
      <w:r w:rsidR="00892AFD" w:rsidRPr="00FB2F3D">
        <w:rPr>
          <w:rFonts w:ascii="Arial" w:hAnsi="Arial" w:cs="Arial"/>
          <w:sz w:val="22"/>
          <w:szCs w:val="22"/>
        </w:rPr>
        <w:t>Entity must ensure that the Shareholders:</w:t>
      </w:r>
    </w:p>
    <w:p w14:paraId="06C189A8"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lastRenderedPageBreak/>
        <w:t>are provided with the necessary information relating to the matters to be determined at meetings to enable them to exercise their voting rights, including the proxy forms and notice of meetings; and</w:t>
      </w:r>
    </w:p>
    <w:p w14:paraId="49CAB71D"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have access to any relevant notices or circulars giving information in relation to the rights attaching to the Securities.</w:t>
      </w:r>
    </w:p>
    <w:p w14:paraId="00DFBF83"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Shares in public hands</w:t>
      </w:r>
    </w:p>
    <w:p w14:paraId="22C2AE41" w14:textId="77777777" w:rsidR="00892AFD" w:rsidRPr="00FB2F3D" w:rsidRDefault="007441BA" w:rsidP="00892AFD">
      <w:pPr>
        <w:pStyle w:val="Heading3"/>
        <w:ind w:left="1440" w:hanging="1440"/>
        <w:rPr>
          <w:rFonts w:ascii="Arial" w:hAnsi="Arial" w:cs="Arial"/>
          <w:sz w:val="22"/>
          <w:szCs w:val="22"/>
        </w:rPr>
      </w:pPr>
      <w:r w:rsidRPr="00FB2F3D">
        <w:rPr>
          <w:rFonts w:ascii="Arial" w:hAnsi="Arial" w:cs="Arial"/>
          <w:sz w:val="22"/>
          <w:szCs w:val="22"/>
        </w:rPr>
        <w:t>(1)</w:t>
      </w:r>
      <w:r w:rsidR="00892AFD" w:rsidRPr="00FB2F3D">
        <w:rPr>
          <w:rFonts w:ascii="Arial" w:hAnsi="Arial" w:cs="Arial"/>
          <w:sz w:val="22"/>
          <w:szCs w:val="22"/>
        </w:rPr>
        <w:tab/>
        <w:t>A Listed Entity must ensure that a sufficient number of its Shares are</w:t>
      </w:r>
      <w:r w:rsidR="00892AFD" w:rsidRPr="00FB2F3D">
        <w:rPr>
          <w:rFonts w:ascii="Arial" w:hAnsi="Arial" w:cs="Arial"/>
          <w:sz w:val="22"/>
          <w:szCs w:val="22"/>
          <w:lang w:eastAsia="ja-JP"/>
        </w:rPr>
        <w:t xml:space="preserve"> </w:t>
      </w:r>
      <w:r w:rsidR="00892AFD" w:rsidRPr="00FB2F3D">
        <w:rPr>
          <w:rFonts w:ascii="Arial" w:hAnsi="Arial" w:cs="Arial"/>
          <w:sz w:val="22"/>
          <w:szCs w:val="22"/>
        </w:rPr>
        <w:t>distributed to the public at all times.</w:t>
      </w:r>
    </w:p>
    <w:p w14:paraId="21A3A6CB" w14:textId="77777777" w:rsidR="00892AFD" w:rsidRPr="00FB2F3D" w:rsidRDefault="00AD7A04" w:rsidP="00AD7A04">
      <w:pPr>
        <w:pStyle w:val="Heading4"/>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892AFD" w:rsidRPr="00FB2F3D">
        <w:rPr>
          <w:rFonts w:ascii="Arial" w:hAnsi="Arial" w:cs="Arial"/>
          <w:sz w:val="22"/>
          <w:szCs w:val="22"/>
        </w:rPr>
        <w:t xml:space="preserve">A Listed Entity which no longer complies with </w:t>
      </w:r>
      <w:r w:rsidR="00693841" w:rsidRPr="00FB2F3D">
        <w:rPr>
          <w:rFonts w:ascii="Arial" w:hAnsi="Arial" w:cs="Arial"/>
          <w:sz w:val="22"/>
          <w:szCs w:val="22"/>
        </w:rPr>
        <w:t>(1)</w:t>
      </w:r>
      <w:r w:rsidR="00892AFD" w:rsidRPr="00FB2F3D">
        <w:rPr>
          <w:rFonts w:ascii="Arial" w:hAnsi="Arial" w:cs="Arial"/>
          <w:sz w:val="22"/>
          <w:szCs w:val="22"/>
        </w:rPr>
        <w:t xml:space="preserve"> must notify the Regulator as soon as possible after it first becomes aware of its non</w:t>
      </w:r>
      <w:r w:rsidR="00892AFD" w:rsidRPr="00FB2F3D">
        <w:rPr>
          <w:rFonts w:ascii="Arial" w:hAnsi="Arial" w:cs="Arial"/>
          <w:sz w:val="22"/>
          <w:szCs w:val="22"/>
        </w:rPr>
        <w:noBreakHyphen/>
        <w:t>compliance.</w:t>
      </w:r>
    </w:p>
    <w:p w14:paraId="1E427B0C"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77774D84" w14:textId="77777777" w:rsidR="00892AFD" w:rsidRPr="00FB2F3D" w:rsidRDefault="00892AFD" w:rsidP="00892AFD">
      <w:pPr>
        <w:pStyle w:val="UK12Block05"/>
        <w:rPr>
          <w:rFonts w:ascii="Arial" w:hAnsi="Arial" w:cs="Arial"/>
          <w:sz w:val="22"/>
          <w:szCs w:val="22"/>
        </w:rPr>
      </w:pPr>
      <w:r w:rsidRPr="00FB2F3D">
        <w:rPr>
          <w:rFonts w:ascii="Arial" w:hAnsi="Arial" w:cs="Arial"/>
          <w:sz w:val="22"/>
          <w:szCs w:val="22"/>
        </w:rPr>
        <w:t>Rules </w:t>
      </w:r>
      <w:r w:rsidR="00693841" w:rsidRPr="00FB2F3D">
        <w:rPr>
          <w:rFonts w:ascii="Arial" w:hAnsi="Arial" w:cs="Arial"/>
          <w:sz w:val="22"/>
          <w:szCs w:val="22"/>
        </w:rPr>
        <w:t>2.3.10(2)</w:t>
      </w:r>
      <w:r w:rsidRPr="00FB2F3D">
        <w:rPr>
          <w:rFonts w:ascii="Arial" w:hAnsi="Arial" w:cs="Arial"/>
          <w:sz w:val="22"/>
          <w:szCs w:val="22"/>
        </w:rPr>
        <w:t xml:space="preserve"> and </w:t>
      </w:r>
      <w:r w:rsidR="00693841" w:rsidRPr="00FB2F3D">
        <w:rPr>
          <w:rFonts w:ascii="Arial" w:hAnsi="Arial" w:cs="Arial"/>
          <w:sz w:val="22"/>
          <w:szCs w:val="22"/>
        </w:rPr>
        <w:t>(3)</w:t>
      </w:r>
      <w:r w:rsidRPr="00FB2F3D">
        <w:rPr>
          <w:rFonts w:ascii="Arial" w:hAnsi="Arial" w:cs="Arial"/>
          <w:sz w:val="22"/>
          <w:szCs w:val="22"/>
        </w:rPr>
        <w:t xml:space="preserve"> describe the circumstances which a firm must meet for a sufficient number of its</w:t>
      </w:r>
      <w:r w:rsidRPr="00FB2F3D">
        <w:rPr>
          <w:rFonts w:ascii="Arial" w:hAnsi="Arial" w:cs="Arial"/>
          <w:sz w:val="22"/>
          <w:szCs w:val="22"/>
          <w:lang w:eastAsia="ja-JP"/>
        </w:rPr>
        <w:t xml:space="preserve"> </w:t>
      </w:r>
      <w:r w:rsidRPr="00FB2F3D">
        <w:rPr>
          <w:rFonts w:ascii="Arial" w:hAnsi="Arial" w:cs="Arial"/>
          <w:sz w:val="22"/>
          <w:szCs w:val="22"/>
        </w:rPr>
        <w:t>Shares to be distributed to the public.</w:t>
      </w:r>
    </w:p>
    <w:p w14:paraId="36E5B475"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Admission to trading</w:t>
      </w:r>
    </w:p>
    <w:p w14:paraId="2548B32A"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710E10BF" w14:textId="77777777" w:rsidR="00892AFD" w:rsidRPr="00FB2F3D" w:rsidRDefault="00AD7A04" w:rsidP="00892AFD">
      <w:pPr>
        <w:pStyle w:val="UK12Block05"/>
        <w:rPr>
          <w:rFonts w:ascii="Arial" w:hAnsi="Arial" w:cs="Arial"/>
          <w:sz w:val="22"/>
          <w:szCs w:val="22"/>
        </w:rPr>
      </w:pPr>
      <w:r w:rsidRPr="00FB2F3D">
        <w:rPr>
          <w:rFonts w:ascii="Arial" w:hAnsi="Arial" w:cs="Arial"/>
          <w:sz w:val="22"/>
          <w:szCs w:val="22"/>
        </w:rPr>
        <w:t>Pursuant to section 52(5</w:t>
      </w:r>
      <w:r w:rsidR="00892AFD" w:rsidRPr="00FB2F3D">
        <w:rPr>
          <w:rFonts w:ascii="Arial" w:hAnsi="Arial" w:cs="Arial"/>
          <w:sz w:val="22"/>
          <w:szCs w:val="22"/>
        </w:rPr>
        <w:t xml:space="preserve">) of the FSMR, to be admitted to the </w:t>
      </w:r>
      <w:r w:rsidRPr="00FB2F3D">
        <w:rPr>
          <w:rFonts w:ascii="Arial" w:hAnsi="Arial" w:cs="Arial"/>
          <w:sz w:val="22"/>
          <w:szCs w:val="22"/>
        </w:rPr>
        <w:t xml:space="preserve">Official </w:t>
      </w:r>
      <w:r w:rsidR="00892AFD" w:rsidRPr="00FB2F3D">
        <w:rPr>
          <w:rFonts w:ascii="Arial" w:hAnsi="Arial" w:cs="Arial"/>
          <w:sz w:val="22"/>
          <w:szCs w:val="22"/>
        </w:rPr>
        <w:t>List a Listed Entity's Securities must be admitted to trading on a Recognised Investment Exchange.</w:t>
      </w:r>
    </w:p>
    <w:p w14:paraId="43A55BF5"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A Listed Entity must inform the Regulator in writing as soon as possible if it has:</w:t>
      </w:r>
    </w:p>
    <w:p w14:paraId="39C5A77C" w14:textId="77777777" w:rsidR="00892AFD" w:rsidRPr="00FB2F3D" w:rsidRDefault="00892AFD" w:rsidP="00AD7A04">
      <w:pPr>
        <w:pStyle w:val="Heading4"/>
        <w:rPr>
          <w:rFonts w:ascii="Arial" w:hAnsi="Arial" w:cs="Arial"/>
          <w:sz w:val="22"/>
          <w:szCs w:val="22"/>
        </w:rPr>
      </w:pPr>
      <w:r w:rsidRPr="00FB2F3D">
        <w:rPr>
          <w:rFonts w:ascii="Arial" w:hAnsi="Arial" w:cs="Arial"/>
          <w:sz w:val="22"/>
          <w:szCs w:val="22"/>
        </w:rPr>
        <w:t xml:space="preserve">requested a </w:t>
      </w:r>
      <w:r w:rsidR="00AD7A04" w:rsidRPr="00FB2F3D">
        <w:rPr>
          <w:rFonts w:ascii="Arial" w:hAnsi="Arial" w:cs="Arial"/>
          <w:sz w:val="22"/>
          <w:szCs w:val="22"/>
        </w:rPr>
        <w:t>Recognised Investment</w:t>
      </w:r>
      <w:r w:rsidRPr="00FB2F3D">
        <w:rPr>
          <w:rFonts w:ascii="Arial" w:hAnsi="Arial" w:cs="Arial"/>
          <w:sz w:val="22"/>
          <w:szCs w:val="22"/>
        </w:rPr>
        <w:t xml:space="preserve"> Exchange to admit new Securities of the same class to trading;</w:t>
      </w:r>
    </w:p>
    <w:p w14:paraId="6EB725F2"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requested the re</w:t>
      </w:r>
      <w:r w:rsidRPr="00FB2F3D">
        <w:rPr>
          <w:rFonts w:ascii="Arial" w:hAnsi="Arial" w:cs="Arial"/>
          <w:sz w:val="22"/>
          <w:szCs w:val="22"/>
        </w:rPr>
        <w:noBreakHyphen/>
        <w:t xml:space="preserve">admittance </w:t>
      </w:r>
      <w:r w:rsidR="00AD7A04" w:rsidRPr="00FB2F3D">
        <w:rPr>
          <w:rFonts w:ascii="Arial" w:hAnsi="Arial" w:cs="Arial"/>
          <w:sz w:val="22"/>
          <w:szCs w:val="22"/>
        </w:rPr>
        <w:t xml:space="preserve">of </w:t>
      </w:r>
      <w:r w:rsidRPr="00FB2F3D">
        <w:rPr>
          <w:rFonts w:ascii="Arial" w:hAnsi="Arial" w:cs="Arial"/>
          <w:sz w:val="22"/>
          <w:szCs w:val="22"/>
        </w:rPr>
        <w:t>any of its Listed Securities to trading following a trading suspension;</w:t>
      </w:r>
    </w:p>
    <w:p w14:paraId="0337B652" w14:textId="77777777" w:rsidR="00892AFD" w:rsidRPr="00FB2F3D" w:rsidRDefault="00892AFD" w:rsidP="00AD7A04">
      <w:pPr>
        <w:pStyle w:val="Heading4"/>
        <w:rPr>
          <w:rFonts w:ascii="Arial" w:hAnsi="Arial" w:cs="Arial"/>
          <w:sz w:val="22"/>
          <w:szCs w:val="22"/>
        </w:rPr>
      </w:pPr>
      <w:r w:rsidRPr="00FB2F3D">
        <w:rPr>
          <w:rFonts w:ascii="Arial" w:hAnsi="Arial" w:cs="Arial"/>
          <w:sz w:val="22"/>
          <w:szCs w:val="22"/>
        </w:rPr>
        <w:t xml:space="preserve">requested a </w:t>
      </w:r>
      <w:r w:rsidR="00AD7A04" w:rsidRPr="00FB2F3D">
        <w:rPr>
          <w:rFonts w:ascii="Arial" w:hAnsi="Arial" w:cs="Arial"/>
          <w:sz w:val="22"/>
          <w:szCs w:val="22"/>
        </w:rPr>
        <w:t>Recognised Investment</w:t>
      </w:r>
      <w:r w:rsidRPr="00FB2F3D">
        <w:rPr>
          <w:rFonts w:ascii="Arial" w:hAnsi="Arial" w:cs="Arial"/>
          <w:sz w:val="22"/>
          <w:szCs w:val="22"/>
        </w:rPr>
        <w:t xml:space="preserve"> Exchange to delist or suspend trading of any of its Listed Securities;</w:t>
      </w:r>
      <w:r w:rsidRPr="00FB2F3D">
        <w:rPr>
          <w:rFonts w:ascii="Arial" w:hAnsi="Arial" w:cs="Arial"/>
          <w:sz w:val="22"/>
          <w:szCs w:val="22"/>
          <w:lang w:eastAsia="ja-JP"/>
        </w:rPr>
        <w:t xml:space="preserve"> </w:t>
      </w:r>
      <w:r w:rsidRPr="00FB2F3D">
        <w:rPr>
          <w:rFonts w:ascii="Arial" w:hAnsi="Arial" w:cs="Arial"/>
          <w:sz w:val="22"/>
          <w:szCs w:val="22"/>
        </w:rPr>
        <w:t>or</w:t>
      </w:r>
    </w:p>
    <w:p w14:paraId="0B5A0F94" w14:textId="79BBF74D" w:rsidR="00892AFD" w:rsidRPr="00FB2F3D" w:rsidRDefault="00892AFD" w:rsidP="00AD7A04">
      <w:pPr>
        <w:pStyle w:val="Heading4"/>
        <w:rPr>
          <w:rFonts w:ascii="Arial" w:hAnsi="Arial" w:cs="Arial"/>
          <w:sz w:val="22"/>
          <w:szCs w:val="22"/>
        </w:rPr>
      </w:pPr>
      <w:r w:rsidRPr="00FB2F3D">
        <w:rPr>
          <w:rFonts w:ascii="Arial" w:hAnsi="Arial" w:cs="Arial"/>
          <w:sz w:val="22"/>
          <w:szCs w:val="22"/>
        </w:rPr>
        <w:t xml:space="preserve">been </w:t>
      </w:r>
      <w:r w:rsidR="00EA6B2B">
        <w:rPr>
          <w:rFonts w:ascii="Arial" w:hAnsi="Arial" w:cs="Arial"/>
          <w:sz w:val="22"/>
          <w:szCs w:val="22"/>
        </w:rPr>
        <w:t>notified</w:t>
      </w:r>
      <w:r w:rsidRPr="00FB2F3D">
        <w:rPr>
          <w:rFonts w:ascii="Arial" w:hAnsi="Arial" w:cs="Arial"/>
          <w:sz w:val="22"/>
          <w:szCs w:val="22"/>
        </w:rPr>
        <w:t xml:space="preserve"> by a </w:t>
      </w:r>
      <w:r w:rsidR="00AD7A04" w:rsidRPr="00FB2F3D">
        <w:rPr>
          <w:rFonts w:ascii="Arial" w:hAnsi="Arial" w:cs="Arial"/>
          <w:sz w:val="22"/>
          <w:szCs w:val="22"/>
        </w:rPr>
        <w:t>Recognised Investment</w:t>
      </w:r>
      <w:r w:rsidRPr="00FB2F3D">
        <w:rPr>
          <w:rFonts w:ascii="Arial" w:hAnsi="Arial" w:cs="Arial"/>
          <w:sz w:val="22"/>
          <w:szCs w:val="22"/>
        </w:rPr>
        <w:t xml:space="preserve"> Exchange that any of its Listed Securities will be delisted or suspended from trading.</w:t>
      </w:r>
    </w:p>
    <w:p w14:paraId="1914658E"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Purchase of own Shares</w:t>
      </w:r>
    </w:p>
    <w:p w14:paraId="3E88B951"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1E3A209F" w14:textId="77777777" w:rsidR="00892AFD" w:rsidRPr="00FB2F3D" w:rsidRDefault="00892AFD" w:rsidP="00892AFD">
      <w:pPr>
        <w:pStyle w:val="UK12Block05"/>
        <w:rPr>
          <w:rFonts w:ascii="Arial" w:hAnsi="Arial" w:cs="Arial"/>
          <w:sz w:val="22"/>
          <w:szCs w:val="22"/>
        </w:rPr>
      </w:pPr>
      <w:r w:rsidRPr="00FB2F3D">
        <w:rPr>
          <w:rFonts w:ascii="Arial" w:hAnsi="Arial" w:cs="Arial"/>
          <w:sz w:val="22"/>
          <w:szCs w:val="22"/>
        </w:rPr>
        <w:t xml:space="preserve">The Rules in this section may operate as a safe harbour from the Market Abuse provisions in section </w:t>
      </w:r>
      <w:r w:rsidR="003F74B3" w:rsidRPr="00FB2F3D">
        <w:rPr>
          <w:rFonts w:ascii="Arial" w:hAnsi="Arial" w:cs="Arial"/>
          <w:sz w:val="22"/>
          <w:szCs w:val="22"/>
        </w:rPr>
        <w:t>92</w:t>
      </w:r>
      <w:r w:rsidRPr="00FB2F3D">
        <w:rPr>
          <w:rFonts w:ascii="Arial" w:hAnsi="Arial" w:cs="Arial"/>
          <w:sz w:val="22"/>
          <w:szCs w:val="22"/>
        </w:rPr>
        <w:t xml:space="preserve"> of the FSMR and are in addition to Rule </w:t>
      </w:r>
      <w:r w:rsidR="00693841" w:rsidRPr="00FB2F3D">
        <w:rPr>
          <w:rFonts w:ascii="Arial" w:hAnsi="Arial" w:cs="Arial"/>
          <w:sz w:val="22"/>
          <w:szCs w:val="22"/>
        </w:rPr>
        <w:t>9.3.4</w:t>
      </w:r>
      <w:r w:rsidR="00AD7A04" w:rsidRPr="00FB2F3D">
        <w:rPr>
          <w:rFonts w:ascii="Arial" w:hAnsi="Arial" w:cs="Arial"/>
          <w:sz w:val="22"/>
          <w:szCs w:val="22"/>
        </w:rPr>
        <w:t xml:space="preserve"> (Reduction in Share Capital) and Rule 6.2.3 (Buy-back Programmes)</w:t>
      </w:r>
      <w:r w:rsidRPr="00FB2F3D">
        <w:rPr>
          <w:rFonts w:ascii="Arial" w:hAnsi="Arial" w:cs="Arial"/>
          <w:sz w:val="22"/>
          <w:szCs w:val="22"/>
        </w:rPr>
        <w:t>.</w:t>
      </w:r>
    </w:p>
    <w:p w14:paraId="37023ACB" w14:textId="77777777" w:rsidR="00892AFD" w:rsidRPr="00FB2F3D" w:rsidRDefault="007441BA" w:rsidP="00892AFD">
      <w:pPr>
        <w:pStyle w:val="Heading3"/>
        <w:ind w:left="1440" w:hanging="1440"/>
        <w:rPr>
          <w:rFonts w:ascii="Arial" w:hAnsi="Arial" w:cs="Arial"/>
          <w:sz w:val="22"/>
          <w:szCs w:val="22"/>
        </w:rPr>
      </w:pPr>
      <w:bookmarkStart w:id="156" w:name="_Ref410073700"/>
      <w:r w:rsidRPr="00FB2F3D">
        <w:rPr>
          <w:rFonts w:ascii="Arial" w:hAnsi="Arial" w:cs="Arial"/>
          <w:sz w:val="22"/>
          <w:szCs w:val="22"/>
        </w:rPr>
        <w:t>(1)</w:t>
      </w:r>
      <w:r w:rsidR="00892AFD" w:rsidRPr="00FB2F3D">
        <w:rPr>
          <w:rFonts w:ascii="Arial" w:hAnsi="Arial" w:cs="Arial"/>
          <w:sz w:val="22"/>
          <w:szCs w:val="22"/>
        </w:rPr>
        <w:tab/>
        <w:t>A Listed Entity must not purchase its own Shares without the prior written approval of the Regulator.</w:t>
      </w:r>
      <w:bookmarkEnd w:id="156"/>
    </w:p>
    <w:p w14:paraId="6B965F13" w14:textId="77777777" w:rsidR="00892AFD" w:rsidRPr="00FB2F3D" w:rsidRDefault="00AD7A04" w:rsidP="00AD7A04">
      <w:pPr>
        <w:pStyle w:val="Heading4"/>
        <w:numPr>
          <w:ilvl w:val="0"/>
          <w:numId w:val="0"/>
        </w:numPr>
        <w:ind w:left="1440" w:hanging="720"/>
        <w:rPr>
          <w:rFonts w:ascii="Arial" w:hAnsi="Arial" w:cs="Arial"/>
          <w:sz w:val="22"/>
          <w:szCs w:val="22"/>
        </w:rPr>
      </w:pPr>
      <w:bookmarkStart w:id="157" w:name="_Ref410669890"/>
      <w:r w:rsidRPr="00FB2F3D">
        <w:rPr>
          <w:rFonts w:ascii="Arial" w:hAnsi="Arial" w:cs="Arial"/>
          <w:sz w:val="22"/>
          <w:szCs w:val="22"/>
        </w:rPr>
        <w:t>(2)</w:t>
      </w:r>
      <w:r w:rsidRPr="00FB2F3D">
        <w:rPr>
          <w:rFonts w:ascii="Arial" w:hAnsi="Arial" w:cs="Arial"/>
          <w:sz w:val="22"/>
          <w:szCs w:val="22"/>
        </w:rPr>
        <w:tab/>
      </w:r>
      <w:r w:rsidR="00892AFD" w:rsidRPr="00FB2F3D">
        <w:rPr>
          <w:rFonts w:ascii="Arial" w:hAnsi="Arial" w:cs="Arial"/>
          <w:sz w:val="22"/>
          <w:szCs w:val="22"/>
        </w:rPr>
        <w:t>The Regulator may make its approval of a proposal by a Listed Entity to purchase its own Shares subject to conditions or restrictions.</w:t>
      </w:r>
      <w:bookmarkEnd w:id="157"/>
    </w:p>
    <w:p w14:paraId="02CA5A3C" w14:textId="77777777" w:rsidR="00AD7A04" w:rsidRPr="00FB2F3D" w:rsidRDefault="00AD7A04" w:rsidP="00AD7A04">
      <w:pPr>
        <w:pStyle w:val="Heading4"/>
        <w:numPr>
          <w:ilvl w:val="0"/>
          <w:numId w:val="0"/>
        </w:numPr>
        <w:ind w:left="1440" w:hanging="720"/>
        <w:rPr>
          <w:rFonts w:ascii="Arial" w:hAnsi="Arial" w:cs="Arial"/>
          <w:sz w:val="22"/>
          <w:szCs w:val="22"/>
        </w:rPr>
      </w:pPr>
      <w:r w:rsidRPr="00FB2F3D">
        <w:rPr>
          <w:rFonts w:ascii="Arial" w:hAnsi="Arial" w:cs="Arial"/>
          <w:sz w:val="22"/>
          <w:szCs w:val="22"/>
        </w:rPr>
        <w:lastRenderedPageBreak/>
        <w:t>(3)</w:t>
      </w:r>
      <w:r w:rsidRPr="00FB2F3D">
        <w:rPr>
          <w:rFonts w:ascii="Arial" w:hAnsi="Arial" w:cs="Arial"/>
          <w:sz w:val="22"/>
          <w:szCs w:val="22"/>
        </w:rPr>
        <w:tab/>
        <w:t>A Listed Entity which proposes to purchase up to 15% of and class of its Shares may do so from specific investors by way of a Share Buy-back Programme in MKT Chapter 6.</w:t>
      </w:r>
    </w:p>
    <w:p w14:paraId="27F46CDD" w14:textId="77777777" w:rsidR="00892AFD" w:rsidRPr="00FB2F3D" w:rsidRDefault="00AD7A04" w:rsidP="00AD7A04">
      <w:pPr>
        <w:pStyle w:val="Heading4"/>
        <w:numPr>
          <w:ilvl w:val="0"/>
          <w:numId w:val="0"/>
        </w:numPr>
        <w:ind w:left="1440" w:hanging="720"/>
        <w:rPr>
          <w:rFonts w:ascii="Arial" w:hAnsi="Arial" w:cs="Arial"/>
          <w:sz w:val="22"/>
          <w:szCs w:val="22"/>
        </w:rPr>
      </w:pPr>
      <w:r w:rsidRPr="00FB2F3D">
        <w:rPr>
          <w:rFonts w:ascii="Arial" w:hAnsi="Arial" w:cs="Arial"/>
          <w:sz w:val="22"/>
          <w:szCs w:val="22"/>
        </w:rPr>
        <w:t>(4)</w:t>
      </w:r>
      <w:r w:rsidRPr="00FB2F3D">
        <w:rPr>
          <w:rFonts w:ascii="Arial" w:hAnsi="Arial" w:cs="Arial"/>
          <w:sz w:val="22"/>
          <w:szCs w:val="22"/>
        </w:rPr>
        <w:tab/>
      </w:r>
      <w:r w:rsidR="00892AFD" w:rsidRPr="00FB2F3D">
        <w:rPr>
          <w:rFonts w:ascii="Arial" w:hAnsi="Arial" w:cs="Arial"/>
          <w:sz w:val="22"/>
          <w:szCs w:val="22"/>
        </w:rPr>
        <w:t>A Listed Entity which proposes to purchase more than 15% of any class of its</w:t>
      </w:r>
      <w:r w:rsidR="00892AFD" w:rsidRPr="00FB2F3D">
        <w:rPr>
          <w:rFonts w:ascii="Arial" w:hAnsi="Arial" w:cs="Arial"/>
          <w:sz w:val="22"/>
          <w:szCs w:val="22"/>
          <w:lang w:eastAsia="ja-JP"/>
        </w:rPr>
        <w:t xml:space="preserve"> </w:t>
      </w:r>
      <w:r w:rsidR="00892AFD" w:rsidRPr="00FB2F3D">
        <w:rPr>
          <w:rFonts w:ascii="Arial" w:hAnsi="Arial" w:cs="Arial"/>
          <w:sz w:val="22"/>
          <w:szCs w:val="22"/>
        </w:rPr>
        <w:t>Shares must do so only by way of a tender Offer to all Shareholders of that</w:t>
      </w:r>
      <w:r w:rsidR="00892AFD" w:rsidRPr="00FB2F3D">
        <w:rPr>
          <w:rFonts w:ascii="Arial" w:hAnsi="Arial" w:cs="Arial"/>
          <w:sz w:val="22"/>
          <w:szCs w:val="22"/>
          <w:lang w:eastAsia="ja-JP"/>
        </w:rPr>
        <w:t xml:space="preserve"> </w:t>
      </w:r>
      <w:r w:rsidR="00892AFD" w:rsidRPr="00FB2F3D">
        <w:rPr>
          <w:rFonts w:ascii="Arial" w:hAnsi="Arial" w:cs="Arial"/>
          <w:sz w:val="22"/>
          <w:szCs w:val="22"/>
        </w:rPr>
        <w:t>class.</w:t>
      </w:r>
    </w:p>
    <w:p w14:paraId="6701358C" w14:textId="77777777" w:rsidR="00892AFD" w:rsidRPr="00FB2F3D" w:rsidRDefault="00AD7A04" w:rsidP="00AD7A04">
      <w:pPr>
        <w:pStyle w:val="Heading4"/>
        <w:numPr>
          <w:ilvl w:val="0"/>
          <w:numId w:val="0"/>
        </w:numPr>
        <w:ind w:left="1440" w:hanging="720"/>
        <w:rPr>
          <w:rFonts w:ascii="Arial" w:hAnsi="Arial" w:cs="Arial"/>
          <w:sz w:val="22"/>
          <w:szCs w:val="22"/>
        </w:rPr>
      </w:pPr>
      <w:r w:rsidRPr="00FB2F3D">
        <w:rPr>
          <w:rFonts w:ascii="Arial" w:hAnsi="Arial" w:cs="Arial"/>
          <w:sz w:val="22"/>
          <w:szCs w:val="22"/>
        </w:rPr>
        <w:t>(5)</w:t>
      </w:r>
      <w:r w:rsidRPr="00FB2F3D">
        <w:rPr>
          <w:rFonts w:ascii="Arial" w:hAnsi="Arial" w:cs="Arial"/>
          <w:sz w:val="22"/>
          <w:szCs w:val="22"/>
        </w:rPr>
        <w:tab/>
      </w:r>
      <w:r w:rsidR="00892AFD" w:rsidRPr="00FB2F3D">
        <w:rPr>
          <w:rFonts w:ascii="Arial" w:hAnsi="Arial" w:cs="Arial"/>
          <w:sz w:val="22"/>
          <w:szCs w:val="22"/>
        </w:rPr>
        <w:t xml:space="preserve">The procedures in the FSMR apply to a decision of the Regulator under </w:t>
      </w:r>
      <w:r w:rsidR="00693841" w:rsidRPr="00FB2F3D">
        <w:rPr>
          <w:rFonts w:ascii="Arial" w:hAnsi="Arial" w:cs="Arial"/>
          <w:sz w:val="22"/>
          <w:szCs w:val="22"/>
        </w:rPr>
        <w:t>(1)</w:t>
      </w:r>
      <w:r w:rsidR="00892AFD" w:rsidRPr="00FB2F3D">
        <w:rPr>
          <w:rFonts w:ascii="Arial" w:hAnsi="Arial" w:cs="Arial"/>
          <w:sz w:val="22"/>
          <w:szCs w:val="22"/>
        </w:rPr>
        <w:t xml:space="preserve"> not to approve a purchase of Shares and under </w:t>
      </w:r>
      <w:r w:rsidR="00693841" w:rsidRPr="00FB2F3D">
        <w:rPr>
          <w:rFonts w:ascii="Arial" w:hAnsi="Arial" w:cs="Arial"/>
          <w:sz w:val="22"/>
          <w:szCs w:val="22"/>
        </w:rPr>
        <w:t>(2)</w:t>
      </w:r>
      <w:r w:rsidR="00892AFD" w:rsidRPr="00FB2F3D">
        <w:rPr>
          <w:rFonts w:ascii="Arial" w:hAnsi="Arial" w:cs="Arial"/>
          <w:sz w:val="22"/>
          <w:szCs w:val="22"/>
        </w:rPr>
        <w:t xml:space="preserve"> to approve a proposal subject to conditions or restrictions.</w:t>
      </w:r>
    </w:p>
    <w:p w14:paraId="347035D8"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4FCE6E38" w14:textId="28D3FD1A" w:rsidR="00892AFD" w:rsidRPr="00FB2F3D" w:rsidRDefault="00892AFD" w:rsidP="00755725">
      <w:pPr>
        <w:pStyle w:val="GuidanceNotesnumbering"/>
        <w:numPr>
          <w:ilvl w:val="0"/>
          <w:numId w:val="55"/>
        </w:numPr>
        <w:rPr>
          <w:rFonts w:ascii="Arial" w:hAnsi="Arial" w:cs="Arial"/>
          <w:sz w:val="22"/>
          <w:szCs w:val="22"/>
        </w:rPr>
      </w:pPr>
      <w:r w:rsidRPr="00FB2F3D">
        <w:rPr>
          <w:rFonts w:ascii="Arial" w:hAnsi="Arial" w:cs="Arial"/>
          <w:sz w:val="22"/>
          <w:szCs w:val="22"/>
        </w:rPr>
        <w:t xml:space="preserve">A Listed Entity should provide the Regulator with at least </w:t>
      </w:r>
      <w:r w:rsidR="000A4AC6">
        <w:rPr>
          <w:rFonts w:ascii="Arial" w:hAnsi="Arial" w:cs="Arial"/>
          <w:sz w:val="22"/>
          <w:szCs w:val="22"/>
        </w:rPr>
        <w:t>ten Business Days</w:t>
      </w:r>
      <w:r w:rsidRPr="00FB2F3D">
        <w:rPr>
          <w:rFonts w:ascii="Arial" w:hAnsi="Arial" w:cs="Arial"/>
          <w:sz w:val="22"/>
          <w:szCs w:val="22"/>
        </w:rPr>
        <w:t xml:space="preserve"> in which to review a proposal for the purchase of its own Shares. The more complex a proposal, the more time that will be required by the Regulator to review and approve the proposal.</w:t>
      </w:r>
    </w:p>
    <w:p w14:paraId="3D673083" w14:textId="77777777"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A Listed Entity which proposes to purchase up to 15% of any class of its Shares may do so from specific investors or by way of a Share repurchase programme.</w:t>
      </w:r>
    </w:p>
    <w:p w14:paraId="3ABCE715" w14:textId="77777777"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Conditions and restrictions which the Regulator may impose on a Listed Entity which proposes to purchase its own Shares include:</w:t>
      </w:r>
    </w:p>
    <w:p w14:paraId="7BF9F421" w14:textId="6C25084B" w:rsidR="00892AFD" w:rsidRPr="00FB2F3D" w:rsidRDefault="000A4AC6" w:rsidP="00AD7A04">
      <w:pPr>
        <w:pStyle w:val="GuidanceNotesnumbering"/>
        <w:numPr>
          <w:ilvl w:val="1"/>
          <w:numId w:val="30"/>
        </w:numPr>
        <w:rPr>
          <w:rFonts w:ascii="Arial" w:hAnsi="Arial" w:cs="Arial"/>
          <w:sz w:val="22"/>
          <w:szCs w:val="22"/>
        </w:rPr>
      </w:pPr>
      <w:r>
        <w:rPr>
          <w:rFonts w:ascii="Arial" w:hAnsi="Arial" w:cs="Arial"/>
          <w:sz w:val="22"/>
          <w:szCs w:val="22"/>
        </w:rPr>
        <w:t>Disclosure</w:t>
      </w:r>
      <w:r w:rsidR="00892AFD" w:rsidRPr="00FB2F3D">
        <w:rPr>
          <w:rFonts w:ascii="Arial" w:hAnsi="Arial" w:cs="Arial"/>
          <w:sz w:val="22"/>
          <w:szCs w:val="22"/>
        </w:rPr>
        <w:t xml:space="preserve"> of the details of a Share </w:t>
      </w:r>
      <w:r w:rsidR="00AD7A04" w:rsidRPr="00FB2F3D">
        <w:rPr>
          <w:rFonts w:ascii="Arial" w:hAnsi="Arial" w:cs="Arial"/>
          <w:sz w:val="22"/>
          <w:szCs w:val="22"/>
        </w:rPr>
        <w:t>Buy-back P</w:t>
      </w:r>
      <w:r w:rsidR="00892AFD" w:rsidRPr="00FB2F3D">
        <w:rPr>
          <w:rFonts w:ascii="Arial" w:hAnsi="Arial" w:cs="Arial"/>
          <w:sz w:val="22"/>
          <w:szCs w:val="22"/>
        </w:rPr>
        <w:t xml:space="preserve">rogramme including, where the dates and quantities of Shares to be purchased during the relevant period are fixed, </w:t>
      </w:r>
      <w:r>
        <w:rPr>
          <w:rFonts w:ascii="Arial" w:hAnsi="Arial" w:cs="Arial"/>
          <w:sz w:val="22"/>
          <w:szCs w:val="22"/>
        </w:rPr>
        <w:t>D</w:t>
      </w:r>
      <w:r w:rsidR="00892AFD" w:rsidRPr="00FB2F3D">
        <w:rPr>
          <w:rFonts w:ascii="Arial" w:hAnsi="Arial" w:cs="Arial"/>
          <w:sz w:val="22"/>
          <w:szCs w:val="22"/>
        </w:rPr>
        <w:t>isclosure of such dates and quantities;</w:t>
      </w:r>
    </w:p>
    <w:p w14:paraId="3F179E95" w14:textId="77777777" w:rsidR="00892AFD" w:rsidRPr="00FB2F3D" w:rsidRDefault="00892AFD" w:rsidP="00892AFD">
      <w:pPr>
        <w:pStyle w:val="GuidanceNotesnumbering"/>
        <w:numPr>
          <w:ilvl w:val="1"/>
          <w:numId w:val="30"/>
        </w:numPr>
        <w:rPr>
          <w:rFonts w:ascii="Arial" w:hAnsi="Arial" w:cs="Arial"/>
          <w:sz w:val="22"/>
          <w:szCs w:val="22"/>
        </w:rPr>
      </w:pPr>
      <w:r w:rsidRPr="00FB2F3D">
        <w:rPr>
          <w:rFonts w:ascii="Arial" w:hAnsi="Arial" w:cs="Arial"/>
          <w:sz w:val="22"/>
          <w:szCs w:val="22"/>
        </w:rPr>
        <w:t>restrictions on the number of Shares which may be purchased in any given period;</w:t>
      </w:r>
    </w:p>
    <w:p w14:paraId="082B9911" w14:textId="77777777" w:rsidR="00892AFD" w:rsidRPr="00FB2F3D" w:rsidRDefault="00892AFD" w:rsidP="00892AFD">
      <w:pPr>
        <w:pStyle w:val="GuidanceNotesnumbering"/>
        <w:numPr>
          <w:ilvl w:val="1"/>
          <w:numId w:val="30"/>
        </w:numPr>
        <w:rPr>
          <w:rFonts w:ascii="Arial" w:hAnsi="Arial" w:cs="Arial"/>
          <w:sz w:val="22"/>
          <w:szCs w:val="22"/>
        </w:rPr>
      </w:pPr>
      <w:r w:rsidRPr="00FB2F3D">
        <w:rPr>
          <w:rFonts w:ascii="Arial" w:hAnsi="Arial" w:cs="Arial"/>
          <w:sz w:val="22"/>
          <w:szCs w:val="22"/>
        </w:rPr>
        <w:t>in the case of a tender Offer, limiting the top of the price range to be offered to sellers to a volume</w:t>
      </w:r>
      <w:r w:rsidRPr="00FB2F3D">
        <w:rPr>
          <w:rFonts w:ascii="Arial" w:hAnsi="Arial" w:cs="Arial"/>
          <w:sz w:val="22"/>
          <w:szCs w:val="22"/>
        </w:rPr>
        <w:noBreakHyphen/>
        <w:t>weighted average price for a period preceding the commencement of the Share repurchase programme;</w:t>
      </w:r>
    </w:p>
    <w:p w14:paraId="0B9BD9FA" w14:textId="77777777" w:rsidR="00892AFD" w:rsidRPr="00FB2F3D" w:rsidRDefault="00892AFD" w:rsidP="00AD7A04">
      <w:pPr>
        <w:pStyle w:val="GuidanceNotesnumbering"/>
        <w:numPr>
          <w:ilvl w:val="1"/>
          <w:numId w:val="30"/>
        </w:numPr>
        <w:rPr>
          <w:rFonts w:ascii="Arial" w:hAnsi="Arial" w:cs="Arial"/>
          <w:sz w:val="22"/>
          <w:szCs w:val="22"/>
        </w:rPr>
      </w:pPr>
      <w:r w:rsidRPr="00FB2F3D">
        <w:rPr>
          <w:rFonts w:ascii="Arial" w:hAnsi="Arial" w:cs="Arial"/>
          <w:sz w:val="22"/>
          <w:szCs w:val="22"/>
        </w:rPr>
        <w:t xml:space="preserve">in the case of a tender Offer, restricting any Director or his Associate from undertaking any Share transactions during the course of the Share </w:t>
      </w:r>
      <w:r w:rsidR="00AD7A04" w:rsidRPr="00FB2F3D">
        <w:rPr>
          <w:rFonts w:ascii="Arial" w:hAnsi="Arial" w:cs="Arial"/>
          <w:sz w:val="22"/>
          <w:szCs w:val="22"/>
        </w:rPr>
        <w:t>Buy-back Pro</w:t>
      </w:r>
      <w:r w:rsidRPr="00FB2F3D">
        <w:rPr>
          <w:rFonts w:ascii="Arial" w:hAnsi="Arial" w:cs="Arial"/>
          <w:sz w:val="22"/>
          <w:szCs w:val="22"/>
        </w:rPr>
        <w:t>gramme; and</w:t>
      </w:r>
    </w:p>
    <w:p w14:paraId="7505F328" w14:textId="230CC605" w:rsidR="00892AFD" w:rsidRPr="00FB2F3D" w:rsidRDefault="00892AFD" w:rsidP="00892AFD">
      <w:pPr>
        <w:pStyle w:val="GuidanceNotesnumbering"/>
        <w:numPr>
          <w:ilvl w:val="1"/>
          <w:numId w:val="30"/>
        </w:numPr>
        <w:rPr>
          <w:rFonts w:ascii="Arial" w:hAnsi="Arial" w:cs="Arial"/>
          <w:sz w:val="22"/>
          <w:szCs w:val="22"/>
        </w:rPr>
      </w:pPr>
      <w:r w:rsidRPr="00FB2F3D">
        <w:rPr>
          <w:rFonts w:ascii="Arial" w:hAnsi="Arial" w:cs="Arial"/>
          <w:sz w:val="22"/>
          <w:szCs w:val="22"/>
        </w:rPr>
        <w:t>unless a fixed schedule of Share Buy-backs</w:t>
      </w:r>
      <w:r w:rsidR="00C95481" w:rsidRPr="00FB2F3D">
        <w:rPr>
          <w:rFonts w:ascii="Arial" w:hAnsi="Arial" w:cs="Arial"/>
          <w:sz w:val="22"/>
          <w:szCs w:val="22"/>
        </w:rPr>
        <w:t xml:space="preserve"> Programmes</w:t>
      </w:r>
      <w:r w:rsidRPr="00FB2F3D">
        <w:rPr>
          <w:rFonts w:ascii="Arial" w:hAnsi="Arial" w:cs="Arial"/>
          <w:sz w:val="22"/>
          <w:szCs w:val="22"/>
        </w:rPr>
        <w:t xml:space="preserve"> ha</w:t>
      </w:r>
      <w:r w:rsidR="00C95481" w:rsidRPr="00FB2F3D">
        <w:rPr>
          <w:rFonts w:ascii="Arial" w:hAnsi="Arial" w:cs="Arial"/>
          <w:sz w:val="22"/>
          <w:szCs w:val="22"/>
        </w:rPr>
        <w:t>s</w:t>
      </w:r>
      <w:r w:rsidRPr="00FB2F3D">
        <w:rPr>
          <w:rFonts w:ascii="Arial" w:hAnsi="Arial" w:cs="Arial"/>
          <w:sz w:val="22"/>
          <w:szCs w:val="22"/>
        </w:rPr>
        <w:t xml:space="preserve"> been </w:t>
      </w:r>
      <w:r w:rsidR="000A4AC6">
        <w:rPr>
          <w:rFonts w:ascii="Arial" w:hAnsi="Arial" w:cs="Arial"/>
          <w:sz w:val="22"/>
          <w:szCs w:val="22"/>
        </w:rPr>
        <w:t>Disclos</w:t>
      </w:r>
      <w:r w:rsidRPr="00FB2F3D">
        <w:rPr>
          <w:rFonts w:ascii="Arial" w:hAnsi="Arial" w:cs="Arial"/>
          <w:sz w:val="22"/>
          <w:szCs w:val="22"/>
        </w:rPr>
        <w:t>ed, restricting Share repurchases during any period when the Listed Entity has un</w:t>
      </w:r>
      <w:r w:rsidR="000A4AC6">
        <w:rPr>
          <w:rFonts w:ascii="Arial" w:hAnsi="Arial" w:cs="Arial"/>
          <w:sz w:val="22"/>
          <w:szCs w:val="22"/>
        </w:rPr>
        <w:t>disclosed</w:t>
      </w:r>
      <w:r w:rsidRPr="00FB2F3D">
        <w:rPr>
          <w:rFonts w:ascii="Arial" w:hAnsi="Arial" w:cs="Arial"/>
          <w:sz w:val="22"/>
          <w:szCs w:val="22"/>
        </w:rPr>
        <w:t xml:space="preserve"> Inside Information.</w:t>
      </w:r>
    </w:p>
    <w:p w14:paraId="004E2D3C" w14:textId="37D6E1BE" w:rsidR="00892AFD" w:rsidRPr="00FB2F3D" w:rsidRDefault="007441BA" w:rsidP="00892AFD">
      <w:pPr>
        <w:pStyle w:val="Heading3"/>
        <w:ind w:left="1440" w:hanging="1440"/>
        <w:rPr>
          <w:rFonts w:ascii="Arial" w:hAnsi="Arial" w:cs="Arial"/>
          <w:sz w:val="22"/>
          <w:szCs w:val="22"/>
        </w:rPr>
      </w:pPr>
      <w:bookmarkStart w:id="158" w:name="_Ref422414567"/>
      <w:r w:rsidRPr="00FB2F3D">
        <w:rPr>
          <w:rFonts w:ascii="Arial" w:hAnsi="Arial" w:cs="Arial"/>
          <w:sz w:val="22"/>
          <w:szCs w:val="22"/>
        </w:rPr>
        <w:t>(1)</w:t>
      </w:r>
      <w:r w:rsidR="00892AFD" w:rsidRPr="00FB2F3D">
        <w:rPr>
          <w:rFonts w:ascii="Arial" w:hAnsi="Arial" w:cs="Arial"/>
          <w:sz w:val="22"/>
          <w:szCs w:val="22"/>
        </w:rPr>
        <w:tab/>
        <w:t xml:space="preserve">The decision by the Board of a Listed Entity to obtain prior approval from its Shareholders for the Listed Entity to purchase its own Securities must be </w:t>
      </w:r>
      <w:r w:rsidR="000A4AC6">
        <w:rPr>
          <w:rFonts w:ascii="Arial" w:hAnsi="Arial" w:cs="Arial"/>
          <w:sz w:val="22"/>
          <w:szCs w:val="22"/>
        </w:rPr>
        <w:t>Disclosed</w:t>
      </w:r>
      <w:r w:rsidR="00892AFD" w:rsidRPr="00FB2F3D">
        <w:rPr>
          <w:rFonts w:ascii="Arial" w:hAnsi="Arial" w:cs="Arial"/>
          <w:sz w:val="22"/>
          <w:szCs w:val="22"/>
        </w:rPr>
        <w:t xml:space="preserve"> as soon as possible after such decision is made.</w:t>
      </w:r>
      <w:bookmarkEnd w:id="158"/>
    </w:p>
    <w:p w14:paraId="522A1942" w14:textId="1FD72F0B" w:rsidR="00892AFD" w:rsidRPr="00FB2F3D" w:rsidRDefault="00FE2AAF" w:rsidP="00FE2AAF">
      <w:pPr>
        <w:pStyle w:val="Heading4"/>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892AFD" w:rsidRPr="00FB2F3D">
        <w:rPr>
          <w:rFonts w:ascii="Arial" w:hAnsi="Arial" w:cs="Arial"/>
          <w:sz w:val="22"/>
          <w:szCs w:val="22"/>
        </w:rPr>
        <w:t xml:space="preserve">The </w:t>
      </w:r>
      <w:r w:rsidR="000A4AC6">
        <w:rPr>
          <w:rFonts w:ascii="Arial" w:hAnsi="Arial" w:cs="Arial"/>
          <w:sz w:val="22"/>
          <w:szCs w:val="22"/>
        </w:rPr>
        <w:t xml:space="preserve">Disclosure </w:t>
      </w:r>
      <w:r w:rsidR="00892AFD" w:rsidRPr="00FB2F3D">
        <w:rPr>
          <w:rFonts w:ascii="Arial" w:hAnsi="Arial" w:cs="Arial"/>
          <w:sz w:val="22"/>
          <w:szCs w:val="22"/>
        </w:rPr>
        <w:t xml:space="preserve">in </w:t>
      </w:r>
      <w:r w:rsidR="00693841" w:rsidRPr="00FB2F3D">
        <w:rPr>
          <w:rFonts w:ascii="Arial" w:hAnsi="Arial" w:cs="Arial"/>
          <w:sz w:val="22"/>
          <w:szCs w:val="22"/>
        </w:rPr>
        <w:t>(1)</w:t>
      </w:r>
      <w:r w:rsidR="00892AFD" w:rsidRPr="00FB2F3D">
        <w:rPr>
          <w:rFonts w:ascii="Arial" w:hAnsi="Arial" w:cs="Arial"/>
          <w:sz w:val="22"/>
          <w:szCs w:val="22"/>
        </w:rPr>
        <w:t xml:space="preserve"> must set out whether the proposal relates to:</w:t>
      </w:r>
    </w:p>
    <w:p w14:paraId="3417D73D"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specific purchases and if so, names of the Persons from whom the purchases are to be made; or</w:t>
      </w:r>
    </w:p>
    <w:p w14:paraId="11A9145B"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a general authorisation to make the purchases.</w:t>
      </w:r>
    </w:p>
    <w:p w14:paraId="1E7EAEB1" w14:textId="7CE9D4A5" w:rsidR="00892AFD" w:rsidRPr="00FB2F3D" w:rsidRDefault="00FE2AAF" w:rsidP="00FE2AAF">
      <w:pPr>
        <w:pStyle w:val="Heading4"/>
        <w:numPr>
          <w:ilvl w:val="0"/>
          <w:numId w:val="0"/>
        </w:numPr>
        <w:ind w:left="1440" w:hanging="720"/>
        <w:rPr>
          <w:rFonts w:ascii="Arial" w:hAnsi="Arial" w:cs="Arial"/>
          <w:sz w:val="22"/>
          <w:szCs w:val="22"/>
        </w:rPr>
      </w:pPr>
      <w:r w:rsidRPr="00FB2F3D">
        <w:rPr>
          <w:rFonts w:ascii="Arial" w:hAnsi="Arial" w:cs="Arial"/>
          <w:sz w:val="22"/>
          <w:szCs w:val="22"/>
        </w:rPr>
        <w:lastRenderedPageBreak/>
        <w:t>(3)</w:t>
      </w:r>
      <w:r w:rsidRPr="00FB2F3D">
        <w:rPr>
          <w:rFonts w:ascii="Arial" w:hAnsi="Arial" w:cs="Arial"/>
          <w:sz w:val="22"/>
          <w:szCs w:val="22"/>
        </w:rPr>
        <w:tab/>
      </w:r>
      <w:r w:rsidR="00892AFD" w:rsidRPr="00FB2F3D">
        <w:rPr>
          <w:rFonts w:ascii="Arial" w:hAnsi="Arial" w:cs="Arial"/>
          <w:sz w:val="22"/>
          <w:szCs w:val="22"/>
        </w:rPr>
        <w:t xml:space="preserve">A Listed Entity must </w:t>
      </w:r>
      <w:r w:rsidR="000A4AC6">
        <w:rPr>
          <w:rFonts w:ascii="Arial" w:hAnsi="Arial" w:cs="Arial"/>
          <w:sz w:val="22"/>
          <w:szCs w:val="22"/>
        </w:rPr>
        <w:t>Disclose</w:t>
      </w:r>
      <w:r w:rsidR="00892AFD" w:rsidRPr="00FB2F3D">
        <w:rPr>
          <w:rFonts w:ascii="Arial" w:hAnsi="Arial" w:cs="Arial"/>
          <w:sz w:val="22"/>
          <w:szCs w:val="22"/>
        </w:rPr>
        <w:t xml:space="preserve"> as soon as possible the outcome of the Shareholders' meeting to decide the proposal in </w:t>
      </w:r>
      <w:r w:rsidR="00693841" w:rsidRPr="00FB2F3D">
        <w:rPr>
          <w:rFonts w:ascii="Arial" w:hAnsi="Arial" w:cs="Arial"/>
          <w:sz w:val="22"/>
          <w:szCs w:val="22"/>
        </w:rPr>
        <w:t>(1)</w:t>
      </w:r>
      <w:r w:rsidR="00892AFD" w:rsidRPr="00FB2F3D">
        <w:rPr>
          <w:rFonts w:ascii="Arial" w:hAnsi="Arial" w:cs="Arial"/>
          <w:sz w:val="22"/>
          <w:szCs w:val="22"/>
        </w:rPr>
        <w:t>.</w:t>
      </w:r>
    </w:p>
    <w:p w14:paraId="7D0088A6" w14:textId="5FF1669C" w:rsidR="00892AFD" w:rsidRPr="00FB2F3D" w:rsidRDefault="007441BA" w:rsidP="00892AFD">
      <w:pPr>
        <w:pStyle w:val="Heading3"/>
        <w:ind w:left="1440" w:hanging="1440"/>
        <w:rPr>
          <w:rFonts w:ascii="Arial" w:hAnsi="Arial" w:cs="Arial"/>
          <w:sz w:val="22"/>
          <w:szCs w:val="22"/>
        </w:rPr>
      </w:pPr>
      <w:bookmarkStart w:id="159" w:name="_Ref410073705"/>
      <w:r w:rsidRPr="00FB2F3D">
        <w:rPr>
          <w:rFonts w:ascii="Arial" w:hAnsi="Arial" w:cs="Arial"/>
          <w:sz w:val="22"/>
          <w:szCs w:val="22"/>
        </w:rPr>
        <w:t>(1)</w:t>
      </w:r>
      <w:r w:rsidR="00892AFD" w:rsidRPr="00FB2F3D">
        <w:rPr>
          <w:rFonts w:ascii="Arial" w:hAnsi="Arial" w:cs="Arial"/>
          <w:sz w:val="22"/>
          <w:szCs w:val="22"/>
        </w:rPr>
        <w:tab/>
        <w:t>A</w:t>
      </w:r>
      <w:r w:rsidR="000A4AC6">
        <w:rPr>
          <w:rFonts w:ascii="Arial" w:hAnsi="Arial" w:cs="Arial"/>
          <w:sz w:val="22"/>
          <w:szCs w:val="22"/>
        </w:rPr>
        <w:t>ll</w:t>
      </w:r>
      <w:r w:rsidR="00892AFD" w:rsidRPr="00FB2F3D">
        <w:rPr>
          <w:rFonts w:ascii="Arial" w:hAnsi="Arial" w:cs="Arial"/>
          <w:sz w:val="22"/>
          <w:szCs w:val="22"/>
        </w:rPr>
        <w:t xml:space="preserve"> purchase</w:t>
      </w:r>
      <w:r w:rsidR="000A4AC6">
        <w:rPr>
          <w:rFonts w:ascii="Arial" w:hAnsi="Arial" w:cs="Arial"/>
          <w:sz w:val="22"/>
          <w:szCs w:val="22"/>
        </w:rPr>
        <w:t>s</w:t>
      </w:r>
      <w:r w:rsidR="00892AFD" w:rsidRPr="00FB2F3D">
        <w:rPr>
          <w:rFonts w:ascii="Arial" w:hAnsi="Arial" w:cs="Arial"/>
          <w:sz w:val="22"/>
          <w:szCs w:val="22"/>
        </w:rPr>
        <w:t xml:space="preserve"> of a Listed Entity's own Shares by or on behalf of the Listed Entity or any other member of its Group must be </w:t>
      </w:r>
      <w:r w:rsidR="008D2C54">
        <w:rPr>
          <w:rFonts w:ascii="Arial" w:hAnsi="Arial" w:cs="Arial"/>
          <w:sz w:val="22"/>
          <w:szCs w:val="22"/>
        </w:rPr>
        <w:t>Disclosed</w:t>
      </w:r>
      <w:r w:rsidR="00892AFD" w:rsidRPr="00FB2F3D">
        <w:rPr>
          <w:rFonts w:ascii="Arial" w:hAnsi="Arial" w:cs="Arial"/>
          <w:sz w:val="22"/>
          <w:szCs w:val="22"/>
        </w:rPr>
        <w:t xml:space="preserve"> as soon as possible.</w:t>
      </w:r>
      <w:bookmarkEnd w:id="159"/>
    </w:p>
    <w:p w14:paraId="18874C08" w14:textId="7E3A99BC" w:rsidR="00892AFD" w:rsidRPr="00FB2F3D" w:rsidRDefault="00FE2AAF" w:rsidP="00FE2AAF">
      <w:pPr>
        <w:pStyle w:val="Heading4"/>
        <w:keepNext/>
        <w:numPr>
          <w:ilvl w:val="0"/>
          <w:numId w:val="0"/>
        </w:numPr>
        <w:ind w:left="1440" w:hanging="720"/>
        <w:rPr>
          <w:rFonts w:ascii="Arial" w:hAnsi="Arial" w:cs="Arial"/>
          <w:sz w:val="22"/>
          <w:szCs w:val="22"/>
        </w:rPr>
      </w:pPr>
      <w:bookmarkStart w:id="160" w:name="_Ref410669950"/>
      <w:r w:rsidRPr="00FB2F3D">
        <w:rPr>
          <w:rFonts w:ascii="Arial" w:hAnsi="Arial" w:cs="Arial"/>
          <w:sz w:val="22"/>
          <w:szCs w:val="22"/>
        </w:rPr>
        <w:t>(2)</w:t>
      </w:r>
      <w:r w:rsidRPr="00FB2F3D">
        <w:rPr>
          <w:rFonts w:ascii="Arial" w:hAnsi="Arial" w:cs="Arial"/>
          <w:sz w:val="22"/>
          <w:szCs w:val="22"/>
        </w:rPr>
        <w:tab/>
      </w:r>
      <w:r w:rsidR="00892AFD" w:rsidRPr="00FB2F3D">
        <w:rPr>
          <w:rFonts w:ascii="Arial" w:hAnsi="Arial" w:cs="Arial"/>
          <w:sz w:val="22"/>
          <w:szCs w:val="22"/>
        </w:rPr>
        <w:t xml:space="preserve">The </w:t>
      </w:r>
      <w:r w:rsidR="008D2C54">
        <w:rPr>
          <w:rFonts w:ascii="Arial" w:hAnsi="Arial" w:cs="Arial"/>
          <w:sz w:val="22"/>
          <w:szCs w:val="22"/>
        </w:rPr>
        <w:t>D</w:t>
      </w:r>
      <w:r w:rsidR="00892AFD" w:rsidRPr="00FB2F3D">
        <w:rPr>
          <w:rFonts w:ascii="Arial" w:hAnsi="Arial" w:cs="Arial"/>
          <w:sz w:val="22"/>
          <w:szCs w:val="22"/>
        </w:rPr>
        <w:t xml:space="preserve">isclosure in </w:t>
      </w:r>
      <w:r w:rsidR="00693841" w:rsidRPr="00FB2F3D">
        <w:rPr>
          <w:rFonts w:ascii="Arial" w:hAnsi="Arial" w:cs="Arial"/>
          <w:sz w:val="22"/>
          <w:szCs w:val="22"/>
        </w:rPr>
        <w:t>(1)</w:t>
      </w:r>
      <w:r w:rsidR="00892AFD" w:rsidRPr="00FB2F3D">
        <w:rPr>
          <w:rFonts w:ascii="Arial" w:hAnsi="Arial" w:cs="Arial"/>
          <w:sz w:val="22"/>
          <w:szCs w:val="22"/>
        </w:rPr>
        <w:t xml:space="preserve"> must include:</w:t>
      </w:r>
      <w:bookmarkEnd w:id="160"/>
    </w:p>
    <w:p w14:paraId="197C8EF9"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the date of purchase;</w:t>
      </w:r>
    </w:p>
    <w:p w14:paraId="5A85A58C" w14:textId="77777777" w:rsidR="00892AFD" w:rsidRPr="00FB2F3D" w:rsidRDefault="00892AFD" w:rsidP="00892AFD">
      <w:pPr>
        <w:pStyle w:val="Heading5"/>
        <w:rPr>
          <w:rFonts w:ascii="Arial" w:hAnsi="Arial" w:cs="Arial"/>
          <w:sz w:val="22"/>
          <w:szCs w:val="22"/>
        </w:rPr>
      </w:pPr>
      <w:bookmarkStart w:id="161" w:name="_Ref410669960"/>
      <w:r w:rsidRPr="00FB2F3D">
        <w:rPr>
          <w:rFonts w:ascii="Arial" w:hAnsi="Arial" w:cs="Arial"/>
          <w:sz w:val="22"/>
          <w:szCs w:val="22"/>
        </w:rPr>
        <w:t>the number of Shares purchased;</w:t>
      </w:r>
      <w:bookmarkEnd w:id="161"/>
    </w:p>
    <w:p w14:paraId="542CC373"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where relevant, the highest and lowest purchase prices paid;</w:t>
      </w:r>
    </w:p>
    <w:p w14:paraId="5452F994"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the number of Shares purchased for cancellation and the number of</w:t>
      </w:r>
      <w:r w:rsidRPr="00FB2F3D">
        <w:rPr>
          <w:rFonts w:ascii="Arial" w:hAnsi="Arial" w:cs="Arial"/>
          <w:sz w:val="22"/>
          <w:szCs w:val="22"/>
          <w:lang w:eastAsia="ja-JP"/>
        </w:rPr>
        <w:t xml:space="preserve"> </w:t>
      </w:r>
      <w:r w:rsidRPr="00FB2F3D">
        <w:rPr>
          <w:rFonts w:ascii="Arial" w:hAnsi="Arial" w:cs="Arial"/>
          <w:sz w:val="22"/>
          <w:szCs w:val="22"/>
        </w:rPr>
        <w:t>Shares purchased to be held as Treasury Shares; and</w:t>
      </w:r>
    </w:p>
    <w:p w14:paraId="0E3D84B3"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where the Shares were purchased to be held as Treasury Shares, a statement of:</w:t>
      </w:r>
    </w:p>
    <w:p w14:paraId="69188A03" w14:textId="77777777" w:rsidR="00892AFD" w:rsidRPr="00FB2F3D" w:rsidRDefault="00892AFD" w:rsidP="00892AFD">
      <w:pPr>
        <w:pStyle w:val="Heading6"/>
        <w:rPr>
          <w:rFonts w:ascii="Arial" w:hAnsi="Arial" w:cs="Arial"/>
          <w:sz w:val="22"/>
          <w:szCs w:val="22"/>
        </w:rPr>
      </w:pPr>
      <w:r w:rsidRPr="00FB2F3D">
        <w:rPr>
          <w:rFonts w:ascii="Arial" w:hAnsi="Arial" w:cs="Arial"/>
          <w:sz w:val="22"/>
          <w:szCs w:val="22"/>
        </w:rPr>
        <w:t>the total number of Treasury Shares of each class held by the Listed Entity following the purchase and non</w:t>
      </w:r>
      <w:r w:rsidRPr="00FB2F3D">
        <w:rPr>
          <w:rFonts w:ascii="Arial" w:hAnsi="Arial" w:cs="Arial"/>
          <w:sz w:val="22"/>
          <w:szCs w:val="22"/>
        </w:rPr>
        <w:noBreakHyphen/>
        <w:t>cancellation of such Shares; and</w:t>
      </w:r>
    </w:p>
    <w:p w14:paraId="6D737DC3" w14:textId="77777777" w:rsidR="00892AFD" w:rsidRPr="00FB2F3D" w:rsidRDefault="00892AFD" w:rsidP="00892AFD">
      <w:pPr>
        <w:pStyle w:val="Heading6"/>
        <w:rPr>
          <w:rFonts w:ascii="Arial" w:hAnsi="Arial" w:cs="Arial"/>
          <w:sz w:val="22"/>
          <w:szCs w:val="22"/>
        </w:rPr>
      </w:pPr>
      <w:r w:rsidRPr="00FB2F3D">
        <w:rPr>
          <w:rFonts w:ascii="Arial" w:hAnsi="Arial" w:cs="Arial"/>
          <w:sz w:val="22"/>
          <w:szCs w:val="22"/>
        </w:rPr>
        <w:t>the number of Shares of each class that the Listed Entity has outstanding less the total number of Treasury Shares of each</w:t>
      </w:r>
      <w:r w:rsidRPr="00FB2F3D">
        <w:rPr>
          <w:rFonts w:ascii="Arial" w:hAnsi="Arial" w:cs="Arial"/>
          <w:sz w:val="22"/>
          <w:szCs w:val="22"/>
          <w:lang w:eastAsia="ja-JP"/>
        </w:rPr>
        <w:t xml:space="preserve"> </w:t>
      </w:r>
      <w:r w:rsidRPr="00FB2F3D">
        <w:rPr>
          <w:rFonts w:ascii="Arial" w:hAnsi="Arial" w:cs="Arial"/>
          <w:sz w:val="22"/>
          <w:szCs w:val="22"/>
        </w:rPr>
        <w:t>class held by the Listed Entity following the purchase and non</w:t>
      </w:r>
      <w:r w:rsidRPr="00FB2F3D">
        <w:rPr>
          <w:rFonts w:ascii="Arial" w:hAnsi="Arial" w:cs="Arial"/>
          <w:sz w:val="22"/>
          <w:szCs w:val="22"/>
        </w:rPr>
        <w:noBreakHyphen/>
        <w:t>cancellation of such Shares.</w:t>
      </w:r>
    </w:p>
    <w:p w14:paraId="02AC9888" w14:textId="77777777" w:rsidR="00892AFD" w:rsidRPr="00FB2F3D" w:rsidRDefault="00FE2AAF" w:rsidP="00FE2AAF">
      <w:pPr>
        <w:pStyle w:val="Heading4"/>
        <w:keepNext/>
        <w:numPr>
          <w:ilvl w:val="0"/>
          <w:numId w:val="0"/>
        </w:numPr>
        <w:ind w:left="1440" w:hanging="720"/>
        <w:rPr>
          <w:rFonts w:ascii="Arial" w:hAnsi="Arial" w:cs="Arial"/>
          <w:sz w:val="22"/>
          <w:szCs w:val="22"/>
          <w:lang w:eastAsia="ja-JP"/>
        </w:rPr>
      </w:pPr>
      <w:r w:rsidRPr="00FB2F3D">
        <w:rPr>
          <w:rFonts w:ascii="Arial" w:hAnsi="Arial" w:cs="Arial"/>
          <w:sz w:val="22"/>
          <w:szCs w:val="22"/>
        </w:rPr>
        <w:t>(3)</w:t>
      </w:r>
      <w:r w:rsidRPr="00FB2F3D">
        <w:rPr>
          <w:rFonts w:ascii="Arial" w:hAnsi="Arial" w:cs="Arial"/>
          <w:sz w:val="22"/>
          <w:szCs w:val="22"/>
        </w:rPr>
        <w:tab/>
      </w:r>
      <w:r w:rsidR="00892AFD" w:rsidRPr="00FB2F3D">
        <w:rPr>
          <w:rFonts w:ascii="Arial" w:hAnsi="Arial" w:cs="Arial"/>
          <w:sz w:val="22"/>
          <w:szCs w:val="22"/>
        </w:rPr>
        <w:t xml:space="preserve">In </w:t>
      </w:r>
      <w:r w:rsidR="00693841" w:rsidRPr="00FB2F3D">
        <w:rPr>
          <w:rFonts w:ascii="Arial" w:hAnsi="Arial" w:cs="Arial"/>
          <w:sz w:val="22"/>
          <w:szCs w:val="22"/>
        </w:rPr>
        <w:t>(2)</w:t>
      </w:r>
      <w:r w:rsidR="00892AFD" w:rsidRPr="00FB2F3D">
        <w:rPr>
          <w:rFonts w:ascii="Arial" w:hAnsi="Arial" w:cs="Arial"/>
          <w:sz w:val="22"/>
          <w:szCs w:val="22"/>
        </w:rPr>
        <w:t>, "Treasury Shares" means Shares which are:</w:t>
      </w:r>
    </w:p>
    <w:p w14:paraId="32644218" w14:textId="2928AF38" w:rsidR="00892AFD" w:rsidRPr="00FB2F3D" w:rsidRDefault="00892AFD" w:rsidP="00755725">
      <w:pPr>
        <w:pStyle w:val="Heading5"/>
        <w:numPr>
          <w:ilvl w:val="4"/>
          <w:numId w:val="86"/>
        </w:numPr>
        <w:rPr>
          <w:rFonts w:ascii="Arial" w:hAnsi="Arial" w:cs="Arial"/>
          <w:sz w:val="22"/>
          <w:szCs w:val="22"/>
        </w:rPr>
      </w:pPr>
      <w:r w:rsidRPr="00FB2F3D">
        <w:rPr>
          <w:rFonts w:ascii="Arial" w:hAnsi="Arial" w:cs="Arial"/>
          <w:sz w:val="22"/>
          <w:szCs w:val="22"/>
        </w:rPr>
        <w:t>admitted to the Official List;</w:t>
      </w:r>
    </w:p>
    <w:p w14:paraId="4B485E66" w14:textId="77777777" w:rsidR="00892AFD" w:rsidRPr="00FB2F3D" w:rsidRDefault="00892AFD" w:rsidP="00892AFD">
      <w:pPr>
        <w:pStyle w:val="Heading5"/>
        <w:rPr>
          <w:rFonts w:ascii="Arial" w:hAnsi="Arial" w:cs="Arial"/>
          <w:sz w:val="22"/>
          <w:szCs w:val="22"/>
        </w:rPr>
      </w:pPr>
      <w:bookmarkStart w:id="162" w:name="_Ref410682131"/>
      <w:r w:rsidRPr="00FB2F3D">
        <w:rPr>
          <w:rFonts w:ascii="Arial" w:hAnsi="Arial" w:cs="Arial"/>
          <w:sz w:val="22"/>
          <w:szCs w:val="22"/>
        </w:rPr>
        <w:t>held by the same Company which issued the Shares; and</w:t>
      </w:r>
      <w:bookmarkEnd w:id="162"/>
    </w:p>
    <w:p w14:paraId="325A4B11"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 xml:space="preserve">purchased by the Company in </w:t>
      </w:r>
      <w:r w:rsidR="00693841" w:rsidRPr="00FB2F3D">
        <w:rPr>
          <w:rFonts w:ascii="Arial" w:hAnsi="Arial" w:cs="Arial"/>
          <w:sz w:val="22"/>
          <w:szCs w:val="22"/>
        </w:rPr>
        <w:t>(b)</w:t>
      </w:r>
      <w:r w:rsidRPr="00FB2F3D">
        <w:rPr>
          <w:rFonts w:ascii="Arial" w:hAnsi="Arial" w:cs="Arial"/>
          <w:sz w:val="22"/>
          <w:szCs w:val="22"/>
        </w:rPr>
        <w:t xml:space="preserve"> using its distributable profits.</w:t>
      </w:r>
    </w:p>
    <w:p w14:paraId="4CFEA71D"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 xml:space="preserve">Other </w:t>
      </w:r>
      <w:r w:rsidR="00BD765C" w:rsidRPr="00FB2F3D">
        <w:rPr>
          <w:rFonts w:ascii="Arial" w:hAnsi="Arial" w:cs="Arial"/>
          <w:sz w:val="22"/>
          <w:szCs w:val="22"/>
        </w:rPr>
        <w:t>on-going</w:t>
      </w:r>
      <w:r w:rsidRPr="00FB2F3D">
        <w:rPr>
          <w:rFonts w:ascii="Arial" w:hAnsi="Arial" w:cs="Arial"/>
          <w:sz w:val="22"/>
          <w:szCs w:val="22"/>
        </w:rPr>
        <w:t xml:space="preserve"> requirements</w:t>
      </w:r>
    </w:p>
    <w:p w14:paraId="605DD881" w14:textId="77777777" w:rsidR="00892AFD" w:rsidRPr="00FB2F3D" w:rsidRDefault="00892AFD" w:rsidP="00892AFD">
      <w:pPr>
        <w:pStyle w:val="Heading3"/>
        <w:keepNext/>
        <w:rPr>
          <w:rFonts w:ascii="Arial" w:hAnsi="Arial" w:cs="Arial"/>
          <w:sz w:val="22"/>
          <w:szCs w:val="22"/>
        </w:rPr>
      </w:pPr>
      <w:r w:rsidRPr="00FB2F3D">
        <w:rPr>
          <w:rFonts w:ascii="Arial" w:hAnsi="Arial" w:cs="Arial"/>
          <w:sz w:val="22"/>
          <w:szCs w:val="22"/>
        </w:rPr>
        <w:t>A Listed Entity must ensure that at all times:</w:t>
      </w:r>
    </w:p>
    <w:p w14:paraId="0B47A5F5" w14:textId="77777777" w:rsidR="00892AFD" w:rsidRPr="00FB2F3D" w:rsidRDefault="00892AFD" w:rsidP="00802C6E">
      <w:pPr>
        <w:pStyle w:val="Heading4"/>
        <w:rPr>
          <w:rFonts w:ascii="Arial" w:hAnsi="Arial" w:cs="Arial"/>
          <w:sz w:val="22"/>
          <w:szCs w:val="22"/>
        </w:rPr>
      </w:pPr>
      <w:r w:rsidRPr="00FB2F3D">
        <w:rPr>
          <w:rFonts w:ascii="Arial" w:hAnsi="Arial" w:cs="Arial"/>
          <w:sz w:val="22"/>
          <w:szCs w:val="22"/>
        </w:rPr>
        <w:t xml:space="preserve">its business remains suitable for </w:t>
      </w:r>
      <w:r w:rsidR="00802C6E" w:rsidRPr="00FB2F3D">
        <w:rPr>
          <w:rFonts w:ascii="Arial" w:hAnsi="Arial" w:cs="Arial"/>
          <w:sz w:val="22"/>
          <w:szCs w:val="22"/>
        </w:rPr>
        <w:t>admission to the Official List</w:t>
      </w:r>
      <w:r w:rsidRPr="00FB2F3D">
        <w:rPr>
          <w:rFonts w:ascii="Arial" w:hAnsi="Arial" w:cs="Arial"/>
          <w:sz w:val="22"/>
          <w:szCs w:val="22"/>
        </w:rPr>
        <w:t>;</w:t>
      </w:r>
    </w:p>
    <w:p w14:paraId="56B65A5B"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 xml:space="preserve">subject to Rule </w:t>
      </w:r>
      <w:r w:rsidR="00693841" w:rsidRPr="00FB2F3D">
        <w:rPr>
          <w:rFonts w:ascii="Arial" w:hAnsi="Arial" w:cs="Arial"/>
          <w:sz w:val="22"/>
          <w:szCs w:val="22"/>
        </w:rPr>
        <w:t>2.3.6(2)</w:t>
      </w:r>
      <w:r w:rsidRPr="00FB2F3D">
        <w:rPr>
          <w:rFonts w:ascii="Arial" w:hAnsi="Arial" w:cs="Arial"/>
          <w:sz w:val="22"/>
          <w:szCs w:val="22"/>
        </w:rPr>
        <w:t>, it can operate its business independently of a controlling Shareholder and any Associate; and</w:t>
      </w:r>
    </w:p>
    <w:p w14:paraId="2CB5314C" w14:textId="77777777" w:rsidR="00892AFD" w:rsidRPr="00FB2F3D" w:rsidRDefault="00892AFD" w:rsidP="00424270">
      <w:pPr>
        <w:pStyle w:val="Heading4"/>
        <w:rPr>
          <w:rFonts w:ascii="Arial" w:hAnsi="Arial" w:cs="Arial"/>
          <w:sz w:val="22"/>
          <w:szCs w:val="22"/>
          <w:lang w:eastAsia="ja-JP"/>
        </w:rPr>
      </w:pPr>
      <w:r w:rsidRPr="00FB2F3D">
        <w:rPr>
          <w:rFonts w:ascii="Arial" w:hAnsi="Arial" w:cs="Arial"/>
          <w:sz w:val="22"/>
          <w:szCs w:val="22"/>
        </w:rPr>
        <w:t xml:space="preserve">it has adequate systems and controls to eliminate or manage material conflicts of interest in its business on an </w:t>
      </w:r>
      <w:r w:rsidR="00BD765C" w:rsidRPr="00FB2F3D">
        <w:rPr>
          <w:rFonts w:ascii="Arial" w:hAnsi="Arial" w:cs="Arial"/>
          <w:sz w:val="22"/>
          <w:szCs w:val="22"/>
        </w:rPr>
        <w:t>on-going</w:t>
      </w:r>
      <w:r w:rsidRPr="00FB2F3D">
        <w:rPr>
          <w:rFonts w:ascii="Arial" w:hAnsi="Arial" w:cs="Arial"/>
          <w:sz w:val="22"/>
          <w:szCs w:val="22"/>
        </w:rPr>
        <w:t xml:space="preserve"> basis.</w:t>
      </w:r>
    </w:p>
    <w:p w14:paraId="3E30FB17"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781D69F5" w14:textId="77777777" w:rsidR="00892AFD" w:rsidRPr="00FB2F3D" w:rsidRDefault="00892AFD" w:rsidP="00755725">
      <w:pPr>
        <w:pStyle w:val="GuidanceNotesnumbering"/>
        <w:numPr>
          <w:ilvl w:val="0"/>
          <w:numId w:val="56"/>
        </w:numPr>
        <w:rPr>
          <w:rFonts w:ascii="Arial" w:hAnsi="Arial" w:cs="Arial"/>
          <w:sz w:val="22"/>
          <w:szCs w:val="22"/>
        </w:rPr>
      </w:pPr>
      <w:r w:rsidRPr="00FB2F3D">
        <w:rPr>
          <w:rFonts w:ascii="Arial" w:hAnsi="Arial" w:cs="Arial"/>
          <w:sz w:val="22"/>
          <w:szCs w:val="22"/>
        </w:rPr>
        <w:t>Rule </w:t>
      </w:r>
      <w:r w:rsidR="00693841" w:rsidRPr="00FB2F3D">
        <w:rPr>
          <w:rFonts w:ascii="Arial" w:hAnsi="Arial" w:cs="Arial"/>
          <w:sz w:val="22"/>
          <w:szCs w:val="22"/>
        </w:rPr>
        <w:t>2.3.4</w:t>
      </w:r>
      <w:r w:rsidRPr="00FB2F3D">
        <w:rPr>
          <w:rFonts w:ascii="Arial" w:hAnsi="Arial" w:cs="Arial"/>
          <w:sz w:val="22"/>
          <w:szCs w:val="22"/>
        </w:rPr>
        <w:t xml:space="preserve"> describes the suitability criteria which the Regulator will consider when assessing whether a Listed Entity's business is suitable for </w:t>
      </w:r>
      <w:r w:rsidR="00802C6E" w:rsidRPr="00FB2F3D">
        <w:rPr>
          <w:rFonts w:ascii="Arial" w:hAnsi="Arial" w:cs="Arial"/>
          <w:sz w:val="22"/>
          <w:szCs w:val="22"/>
        </w:rPr>
        <w:t>admission to the Official List</w:t>
      </w:r>
      <w:r w:rsidRPr="00FB2F3D">
        <w:rPr>
          <w:rFonts w:ascii="Arial" w:hAnsi="Arial" w:cs="Arial"/>
          <w:sz w:val="22"/>
          <w:szCs w:val="22"/>
        </w:rPr>
        <w:t>.</w:t>
      </w:r>
    </w:p>
    <w:p w14:paraId="1B76DC95" w14:textId="77777777"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lastRenderedPageBreak/>
        <w:t>Rule </w:t>
      </w:r>
      <w:r w:rsidR="00693841" w:rsidRPr="00FB2F3D">
        <w:rPr>
          <w:rFonts w:ascii="Arial" w:hAnsi="Arial" w:cs="Arial"/>
          <w:sz w:val="22"/>
          <w:szCs w:val="22"/>
        </w:rPr>
        <w:t>2.3.6(3)</w:t>
      </w:r>
      <w:r w:rsidRPr="00FB2F3D">
        <w:rPr>
          <w:rFonts w:ascii="Arial" w:hAnsi="Arial" w:cs="Arial"/>
          <w:sz w:val="22"/>
          <w:szCs w:val="22"/>
        </w:rPr>
        <w:t xml:space="preserve"> defines a controlling Shareholder for the purposes of the Listing Rules.</w:t>
      </w:r>
    </w:p>
    <w:p w14:paraId="39F90E48" w14:textId="0115ECED" w:rsidR="00892AFD" w:rsidRPr="00FB2F3D" w:rsidRDefault="00892AFD" w:rsidP="00892AFD">
      <w:pPr>
        <w:pStyle w:val="TitleL"/>
        <w:rPr>
          <w:rFonts w:ascii="Arial" w:hAnsi="Arial" w:cs="Arial"/>
          <w:sz w:val="22"/>
          <w:szCs w:val="22"/>
        </w:rPr>
      </w:pPr>
      <w:r w:rsidRPr="00FB2F3D">
        <w:rPr>
          <w:rFonts w:ascii="Arial" w:hAnsi="Arial" w:cs="Arial"/>
          <w:sz w:val="22"/>
          <w:szCs w:val="22"/>
        </w:rPr>
        <w:t xml:space="preserve">Security specific </w:t>
      </w:r>
      <w:r w:rsidR="008D2C54">
        <w:rPr>
          <w:rFonts w:ascii="Arial" w:hAnsi="Arial" w:cs="Arial"/>
          <w:sz w:val="22"/>
          <w:szCs w:val="22"/>
        </w:rPr>
        <w:t>D</w:t>
      </w:r>
      <w:r w:rsidRPr="00FB2F3D">
        <w:rPr>
          <w:rFonts w:ascii="Arial" w:hAnsi="Arial" w:cs="Arial"/>
          <w:sz w:val="22"/>
          <w:szCs w:val="22"/>
        </w:rPr>
        <w:t>isclosures</w:t>
      </w:r>
    </w:p>
    <w:p w14:paraId="22A5A4F1" w14:textId="33B9856F" w:rsidR="00892AFD" w:rsidRPr="00FB2F3D" w:rsidRDefault="00892AFD" w:rsidP="00892AFD">
      <w:pPr>
        <w:pStyle w:val="Heading3"/>
        <w:rPr>
          <w:rFonts w:ascii="Arial" w:hAnsi="Arial" w:cs="Arial"/>
          <w:sz w:val="22"/>
          <w:szCs w:val="22"/>
        </w:rPr>
      </w:pPr>
      <w:bookmarkStart w:id="163" w:name="_Ref410074816"/>
      <w:r w:rsidRPr="00FB2F3D">
        <w:rPr>
          <w:rFonts w:ascii="Arial" w:hAnsi="Arial" w:cs="Arial"/>
          <w:sz w:val="22"/>
          <w:szCs w:val="22"/>
        </w:rPr>
        <w:t xml:space="preserve">A Listed Entity must make the required </w:t>
      </w:r>
      <w:r w:rsidR="008D2C54">
        <w:rPr>
          <w:rFonts w:ascii="Arial" w:hAnsi="Arial" w:cs="Arial"/>
          <w:sz w:val="22"/>
          <w:szCs w:val="22"/>
        </w:rPr>
        <w:t>D</w:t>
      </w:r>
      <w:r w:rsidRPr="00FB2F3D">
        <w:rPr>
          <w:rFonts w:ascii="Arial" w:hAnsi="Arial" w:cs="Arial"/>
          <w:sz w:val="22"/>
          <w:szCs w:val="22"/>
        </w:rPr>
        <w:t xml:space="preserve">isclosures in accordance with </w:t>
      </w:r>
      <w:r w:rsidR="00693841" w:rsidRPr="00FB2F3D">
        <w:rPr>
          <w:rFonts w:ascii="Arial" w:hAnsi="Arial" w:cs="Arial"/>
          <w:sz w:val="22"/>
          <w:szCs w:val="22"/>
        </w:rPr>
        <w:t>APP </w:t>
      </w:r>
      <w:r w:rsidR="008D2C54">
        <w:rPr>
          <w:rFonts w:ascii="Arial" w:hAnsi="Arial" w:cs="Arial"/>
          <w:sz w:val="22"/>
          <w:szCs w:val="22"/>
        </w:rPr>
        <w:t>2</w:t>
      </w:r>
      <w:r w:rsidRPr="00FB2F3D">
        <w:rPr>
          <w:rFonts w:ascii="Arial" w:hAnsi="Arial" w:cs="Arial"/>
          <w:sz w:val="22"/>
          <w:szCs w:val="22"/>
        </w:rPr>
        <w:t xml:space="preserve"> and </w:t>
      </w:r>
      <w:r w:rsidR="008D2C54">
        <w:rPr>
          <w:rFonts w:ascii="Arial" w:hAnsi="Arial" w:cs="Arial"/>
          <w:sz w:val="22"/>
          <w:szCs w:val="22"/>
        </w:rPr>
        <w:t xml:space="preserve">APP 6 </w:t>
      </w:r>
      <w:r w:rsidRPr="00FB2F3D">
        <w:rPr>
          <w:rFonts w:ascii="Arial" w:hAnsi="Arial" w:cs="Arial"/>
          <w:sz w:val="22"/>
          <w:szCs w:val="22"/>
        </w:rPr>
        <w:t>Rule </w:t>
      </w:r>
      <w:r w:rsidR="00693841" w:rsidRPr="00FB2F3D">
        <w:rPr>
          <w:rFonts w:ascii="Arial" w:hAnsi="Arial" w:cs="Arial"/>
          <w:sz w:val="22"/>
          <w:szCs w:val="22"/>
        </w:rPr>
        <w:t>A6.1</w:t>
      </w:r>
      <w:r w:rsidRPr="00FB2F3D">
        <w:rPr>
          <w:rFonts w:ascii="Arial" w:hAnsi="Arial" w:cs="Arial"/>
          <w:sz w:val="22"/>
          <w:szCs w:val="22"/>
        </w:rPr>
        <w:t xml:space="preserve"> and comply with the other continuous obligations in accordance with </w:t>
      </w:r>
      <w:r w:rsidR="008D2C54">
        <w:rPr>
          <w:rFonts w:ascii="Arial" w:hAnsi="Arial" w:cs="Arial"/>
          <w:sz w:val="22"/>
          <w:szCs w:val="22"/>
        </w:rPr>
        <w:t xml:space="preserve">APP 6 </w:t>
      </w:r>
      <w:r w:rsidRPr="00FB2F3D">
        <w:rPr>
          <w:rFonts w:ascii="Arial" w:hAnsi="Arial" w:cs="Arial"/>
          <w:sz w:val="22"/>
          <w:szCs w:val="22"/>
        </w:rPr>
        <w:t>Rule </w:t>
      </w:r>
      <w:r w:rsidR="00693841" w:rsidRPr="00FB2F3D">
        <w:rPr>
          <w:rFonts w:ascii="Arial" w:hAnsi="Arial" w:cs="Arial"/>
          <w:sz w:val="22"/>
          <w:szCs w:val="22"/>
        </w:rPr>
        <w:t>A6.2</w:t>
      </w:r>
      <w:r w:rsidRPr="00FB2F3D">
        <w:rPr>
          <w:rFonts w:ascii="Arial" w:hAnsi="Arial" w:cs="Arial"/>
          <w:sz w:val="22"/>
          <w:szCs w:val="22"/>
        </w:rPr>
        <w:t>.</w:t>
      </w:r>
      <w:bookmarkEnd w:id="163"/>
    </w:p>
    <w:p w14:paraId="47B581A6"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193B9DD1" w14:textId="77777777" w:rsidR="00892AFD" w:rsidRPr="00FB2F3D" w:rsidRDefault="00892AFD" w:rsidP="00802C6E">
      <w:pPr>
        <w:pStyle w:val="UK12Block05"/>
        <w:rPr>
          <w:rFonts w:ascii="Arial" w:hAnsi="Arial" w:cs="Arial"/>
          <w:sz w:val="22"/>
          <w:szCs w:val="22"/>
        </w:rPr>
      </w:pPr>
      <w:r w:rsidRPr="00FB2F3D">
        <w:rPr>
          <w:rFonts w:ascii="Arial" w:hAnsi="Arial" w:cs="Arial"/>
          <w:sz w:val="22"/>
          <w:szCs w:val="22"/>
        </w:rPr>
        <w:t xml:space="preserve">There are additional disclosure requirements applicable to Islamic Securities specified in the IFR </w:t>
      </w:r>
      <w:r w:rsidR="00802C6E" w:rsidRPr="00FB2F3D">
        <w:rPr>
          <w:rFonts w:ascii="Arial" w:hAnsi="Arial" w:cs="Arial"/>
          <w:sz w:val="22"/>
          <w:szCs w:val="22"/>
        </w:rPr>
        <w:t>Rulebook</w:t>
      </w:r>
      <w:r w:rsidRPr="00FB2F3D">
        <w:rPr>
          <w:rFonts w:ascii="Arial" w:hAnsi="Arial" w:cs="Arial"/>
          <w:sz w:val="22"/>
          <w:szCs w:val="22"/>
        </w:rPr>
        <w:t>.</w:t>
      </w:r>
    </w:p>
    <w:p w14:paraId="1F220C9B" w14:textId="77777777" w:rsidR="00892AFD" w:rsidRPr="00FB2F3D" w:rsidRDefault="00892AFD" w:rsidP="00892AFD">
      <w:pPr>
        <w:pStyle w:val="Heading2"/>
        <w:rPr>
          <w:rFonts w:ascii="Arial" w:hAnsi="Arial" w:cs="Arial"/>
          <w:sz w:val="22"/>
          <w:szCs w:val="22"/>
        </w:rPr>
      </w:pPr>
      <w:bookmarkStart w:id="164" w:name="_Toc409521874"/>
      <w:bookmarkStart w:id="165" w:name="_Toc410136271"/>
      <w:bookmarkStart w:id="166" w:name="_Toc410605980"/>
      <w:bookmarkStart w:id="167" w:name="_Toc410658916"/>
      <w:bookmarkStart w:id="168" w:name="_Toc410659043"/>
      <w:bookmarkStart w:id="169" w:name="_Toc410835590"/>
      <w:bookmarkStart w:id="170" w:name="_Toc138325655"/>
      <w:r w:rsidRPr="00FB2F3D">
        <w:rPr>
          <w:rFonts w:ascii="Arial" w:hAnsi="Arial" w:cs="Arial"/>
          <w:sz w:val="22"/>
          <w:szCs w:val="22"/>
        </w:rPr>
        <w:t xml:space="preserve">Provision of information to the </w:t>
      </w:r>
      <w:bookmarkEnd w:id="164"/>
      <w:bookmarkEnd w:id="165"/>
      <w:bookmarkEnd w:id="166"/>
      <w:bookmarkEnd w:id="167"/>
      <w:bookmarkEnd w:id="168"/>
      <w:bookmarkEnd w:id="169"/>
      <w:r w:rsidRPr="00FB2F3D">
        <w:rPr>
          <w:rFonts w:ascii="Arial" w:hAnsi="Arial" w:cs="Arial"/>
          <w:sz w:val="22"/>
          <w:szCs w:val="22"/>
        </w:rPr>
        <w:t>Regulator</w:t>
      </w:r>
      <w:bookmarkEnd w:id="170"/>
    </w:p>
    <w:p w14:paraId="784A5A31"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An Applicant or Listed Entity must provide to the Regulator as soon as possible:</w:t>
      </w:r>
    </w:p>
    <w:p w14:paraId="5772F95E" w14:textId="6F40C345" w:rsidR="00892AFD" w:rsidRPr="00FB2F3D" w:rsidRDefault="00892AFD" w:rsidP="00424270">
      <w:pPr>
        <w:pStyle w:val="Heading4"/>
        <w:rPr>
          <w:rFonts w:ascii="Arial" w:hAnsi="Arial" w:cs="Arial"/>
          <w:sz w:val="22"/>
          <w:szCs w:val="22"/>
        </w:rPr>
      </w:pPr>
      <w:r w:rsidRPr="00FB2F3D">
        <w:rPr>
          <w:rFonts w:ascii="Arial" w:hAnsi="Arial" w:cs="Arial"/>
          <w:sz w:val="22"/>
          <w:szCs w:val="22"/>
        </w:rPr>
        <w:t>any information and explanations which the Regulator may require to decide whether to grant an application for admission;</w:t>
      </w:r>
    </w:p>
    <w:p w14:paraId="70D576D1"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any information which the Regulator considers appropriate to protect investors or ensure the smooth operation of the market; and</w:t>
      </w:r>
    </w:p>
    <w:p w14:paraId="483C30CD" w14:textId="22902701" w:rsidR="00892AFD" w:rsidRPr="00FB2F3D" w:rsidRDefault="00892AFD" w:rsidP="00424270">
      <w:pPr>
        <w:pStyle w:val="Heading4"/>
        <w:rPr>
          <w:rFonts w:ascii="Arial" w:hAnsi="Arial" w:cs="Arial"/>
          <w:sz w:val="22"/>
          <w:szCs w:val="22"/>
        </w:rPr>
      </w:pPr>
      <w:r w:rsidRPr="00FB2F3D">
        <w:rPr>
          <w:rFonts w:ascii="Arial" w:hAnsi="Arial" w:cs="Arial"/>
          <w:sz w:val="22"/>
          <w:szCs w:val="22"/>
        </w:rPr>
        <w:t>any other information or explanation which the Regulator may require to verify whether the Listing Rules are being and have been complied with.</w:t>
      </w:r>
    </w:p>
    <w:p w14:paraId="4829127F"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Disclosure requirements</w:t>
      </w:r>
    </w:p>
    <w:p w14:paraId="6AB76CCC" w14:textId="1AE32C77" w:rsidR="00892AFD" w:rsidRPr="00FB2F3D" w:rsidRDefault="00892AFD" w:rsidP="00892AFD">
      <w:pPr>
        <w:pStyle w:val="Heading3"/>
        <w:rPr>
          <w:rFonts w:ascii="Arial" w:hAnsi="Arial" w:cs="Arial"/>
          <w:sz w:val="22"/>
          <w:szCs w:val="22"/>
        </w:rPr>
      </w:pPr>
      <w:r w:rsidRPr="00FB2F3D">
        <w:rPr>
          <w:rFonts w:ascii="Arial" w:hAnsi="Arial" w:cs="Arial"/>
          <w:sz w:val="22"/>
          <w:szCs w:val="22"/>
        </w:rPr>
        <w:t xml:space="preserve">An Applicant or Listed Entity which is required by these Listing Rules to </w:t>
      </w:r>
      <w:r w:rsidR="008D2C54">
        <w:rPr>
          <w:rFonts w:ascii="Arial" w:hAnsi="Arial" w:cs="Arial"/>
          <w:sz w:val="22"/>
          <w:szCs w:val="22"/>
        </w:rPr>
        <w:t>notify</w:t>
      </w:r>
      <w:r w:rsidRPr="00FB2F3D">
        <w:rPr>
          <w:rFonts w:ascii="Arial" w:hAnsi="Arial" w:cs="Arial"/>
          <w:sz w:val="22"/>
          <w:szCs w:val="22"/>
        </w:rPr>
        <w:t xml:space="preserve"> the Regulator </w:t>
      </w:r>
      <w:r w:rsidR="008D2C54">
        <w:rPr>
          <w:rFonts w:ascii="Arial" w:hAnsi="Arial" w:cs="Arial"/>
          <w:sz w:val="22"/>
          <w:szCs w:val="22"/>
        </w:rPr>
        <w:t xml:space="preserve">of certain information </w:t>
      </w:r>
      <w:r w:rsidRPr="00FB2F3D">
        <w:rPr>
          <w:rFonts w:ascii="Arial" w:hAnsi="Arial" w:cs="Arial"/>
          <w:sz w:val="22"/>
          <w:szCs w:val="22"/>
        </w:rPr>
        <w:t>must provide such information as soon as possible.</w:t>
      </w:r>
    </w:p>
    <w:p w14:paraId="19D5C612" w14:textId="1800CB24" w:rsidR="00892AFD" w:rsidRPr="00FB2F3D" w:rsidRDefault="00892AFD" w:rsidP="00892AFD">
      <w:pPr>
        <w:pStyle w:val="Heading3"/>
        <w:rPr>
          <w:rFonts w:ascii="Arial" w:hAnsi="Arial" w:cs="Arial"/>
          <w:sz w:val="22"/>
          <w:szCs w:val="22"/>
        </w:rPr>
      </w:pPr>
      <w:r w:rsidRPr="00FB2F3D">
        <w:rPr>
          <w:rFonts w:ascii="Arial" w:hAnsi="Arial" w:cs="Arial"/>
          <w:sz w:val="22"/>
          <w:szCs w:val="22"/>
        </w:rPr>
        <w:t xml:space="preserve">A Listed Entity must ensure that information required to be </w:t>
      </w:r>
      <w:r w:rsidR="008D2C54">
        <w:rPr>
          <w:rFonts w:ascii="Arial" w:hAnsi="Arial" w:cs="Arial"/>
          <w:sz w:val="22"/>
          <w:szCs w:val="22"/>
        </w:rPr>
        <w:t>Disclosed</w:t>
      </w:r>
      <w:r w:rsidRPr="00FB2F3D">
        <w:rPr>
          <w:rFonts w:ascii="Arial" w:hAnsi="Arial" w:cs="Arial"/>
          <w:sz w:val="22"/>
          <w:szCs w:val="22"/>
        </w:rPr>
        <w:t xml:space="preserve"> under these Rules is disseminated to the market through </w:t>
      </w:r>
      <w:r w:rsidR="008D2C54">
        <w:rPr>
          <w:rFonts w:ascii="Arial" w:hAnsi="Arial" w:cs="Arial"/>
          <w:sz w:val="22"/>
          <w:szCs w:val="22"/>
        </w:rPr>
        <w:t>the Regulator’s disclosure platform</w:t>
      </w:r>
      <w:r w:rsidRPr="00FB2F3D">
        <w:rPr>
          <w:rFonts w:ascii="Arial" w:hAnsi="Arial" w:cs="Arial"/>
          <w:sz w:val="22"/>
          <w:szCs w:val="22"/>
        </w:rPr>
        <w:t xml:space="preserve">. </w:t>
      </w:r>
    </w:p>
    <w:p w14:paraId="391C72F6" w14:textId="6EF3267F" w:rsidR="00892AFD" w:rsidRPr="00FB2F3D" w:rsidRDefault="00892AFD" w:rsidP="00892AFD">
      <w:pPr>
        <w:pStyle w:val="Heading3"/>
        <w:rPr>
          <w:rFonts w:ascii="Arial" w:hAnsi="Arial" w:cs="Arial"/>
          <w:sz w:val="22"/>
          <w:szCs w:val="22"/>
        </w:rPr>
      </w:pPr>
      <w:r w:rsidRPr="00FB2F3D">
        <w:rPr>
          <w:rFonts w:ascii="Arial" w:hAnsi="Arial" w:cs="Arial"/>
          <w:sz w:val="22"/>
          <w:szCs w:val="22"/>
        </w:rPr>
        <w:t xml:space="preserve">A Listed Entity must take reasonable care to ensure that information required to be </w:t>
      </w:r>
      <w:r w:rsidR="0055647D">
        <w:rPr>
          <w:rFonts w:ascii="Arial" w:hAnsi="Arial" w:cs="Arial"/>
          <w:sz w:val="22"/>
          <w:szCs w:val="22"/>
        </w:rPr>
        <w:t>notifi</w:t>
      </w:r>
      <w:r w:rsidRPr="00FB2F3D">
        <w:rPr>
          <w:rFonts w:ascii="Arial" w:hAnsi="Arial" w:cs="Arial"/>
          <w:sz w:val="22"/>
          <w:szCs w:val="22"/>
        </w:rPr>
        <w:t xml:space="preserve">ed to the Regulator or </w:t>
      </w:r>
      <w:r w:rsidR="0055647D">
        <w:rPr>
          <w:rFonts w:ascii="Arial" w:hAnsi="Arial" w:cs="Arial"/>
          <w:sz w:val="22"/>
          <w:szCs w:val="22"/>
        </w:rPr>
        <w:t>Disclosed</w:t>
      </w:r>
      <w:r w:rsidRPr="00FB2F3D">
        <w:rPr>
          <w:rFonts w:ascii="Arial" w:hAnsi="Arial" w:cs="Arial"/>
          <w:sz w:val="22"/>
          <w:szCs w:val="22"/>
        </w:rPr>
        <w:t xml:space="preserve"> under these Rules is not false</w:t>
      </w:r>
      <w:r w:rsidR="00EC3624" w:rsidRPr="00FB2F3D">
        <w:rPr>
          <w:rFonts w:ascii="Arial" w:hAnsi="Arial" w:cs="Arial"/>
          <w:sz w:val="22"/>
          <w:szCs w:val="22"/>
        </w:rPr>
        <w:t>,</w:t>
      </w:r>
      <w:r w:rsidRPr="00FB2F3D">
        <w:rPr>
          <w:rFonts w:ascii="Arial" w:hAnsi="Arial" w:cs="Arial"/>
          <w:sz w:val="22"/>
          <w:szCs w:val="22"/>
        </w:rPr>
        <w:t xml:space="preserve"> misleading</w:t>
      </w:r>
      <w:r w:rsidR="00EC3624" w:rsidRPr="00FB2F3D">
        <w:rPr>
          <w:rFonts w:ascii="Arial" w:hAnsi="Arial" w:cs="Arial"/>
          <w:sz w:val="22"/>
          <w:szCs w:val="22"/>
        </w:rPr>
        <w:t>, or deceptive</w:t>
      </w:r>
      <w:r w:rsidRPr="00FB2F3D">
        <w:rPr>
          <w:rFonts w:ascii="Arial" w:hAnsi="Arial" w:cs="Arial"/>
          <w:sz w:val="22"/>
          <w:szCs w:val="22"/>
        </w:rPr>
        <w:t xml:space="preserve"> and does not omit anything likely to affect the</w:t>
      </w:r>
      <w:r w:rsidR="0055647D">
        <w:rPr>
          <w:rFonts w:ascii="Arial" w:hAnsi="Arial" w:cs="Arial"/>
          <w:sz w:val="22"/>
          <w:szCs w:val="22"/>
        </w:rPr>
        <w:t xml:space="preserve"> significance </w:t>
      </w:r>
      <w:r w:rsidRPr="00FB2F3D">
        <w:rPr>
          <w:rFonts w:ascii="Arial" w:hAnsi="Arial" w:cs="Arial"/>
          <w:sz w:val="22"/>
          <w:szCs w:val="22"/>
        </w:rPr>
        <w:t>of such information.</w:t>
      </w:r>
    </w:p>
    <w:p w14:paraId="137319B7"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Notification of documents sent to Shareholders</w:t>
      </w:r>
    </w:p>
    <w:p w14:paraId="41AE4CDC" w14:textId="58733245" w:rsidR="00892AFD" w:rsidRPr="00FB2F3D" w:rsidRDefault="00892AFD" w:rsidP="00892AFD">
      <w:pPr>
        <w:pStyle w:val="Heading3"/>
        <w:rPr>
          <w:rFonts w:ascii="Arial" w:hAnsi="Arial" w:cs="Arial"/>
          <w:sz w:val="22"/>
          <w:szCs w:val="22"/>
        </w:rPr>
      </w:pPr>
      <w:r w:rsidRPr="00FB2F3D">
        <w:rPr>
          <w:rFonts w:ascii="Arial" w:hAnsi="Arial" w:cs="Arial"/>
          <w:sz w:val="22"/>
          <w:szCs w:val="22"/>
        </w:rPr>
        <w:t xml:space="preserve">If a Listed Entity provides any material document to the Shareholders of its Listed Securities, it must </w:t>
      </w:r>
      <w:r w:rsidR="00F61238">
        <w:rPr>
          <w:rFonts w:ascii="Arial" w:hAnsi="Arial" w:cs="Arial"/>
          <w:sz w:val="22"/>
          <w:szCs w:val="22"/>
        </w:rPr>
        <w:t>D</w:t>
      </w:r>
      <w:r w:rsidRPr="00FB2F3D">
        <w:rPr>
          <w:rFonts w:ascii="Arial" w:hAnsi="Arial" w:cs="Arial"/>
          <w:sz w:val="22"/>
          <w:szCs w:val="22"/>
        </w:rPr>
        <w:t>isclose that it has done so as soon as possible in accordance with Rule </w:t>
      </w:r>
      <w:r w:rsidR="00693841" w:rsidRPr="00FB2F3D">
        <w:rPr>
          <w:rFonts w:ascii="Arial" w:hAnsi="Arial" w:cs="Arial"/>
          <w:sz w:val="22"/>
          <w:szCs w:val="22"/>
        </w:rPr>
        <w:t>7.7.1</w:t>
      </w:r>
      <w:r w:rsidRPr="00FB2F3D">
        <w:rPr>
          <w:rFonts w:ascii="Arial" w:hAnsi="Arial" w:cs="Arial"/>
          <w:sz w:val="22"/>
          <w:szCs w:val="22"/>
        </w:rPr>
        <w:t>.</w:t>
      </w:r>
    </w:p>
    <w:p w14:paraId="56C7636B"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3A3DF55C" w14:textId="31A64B22" w:rsidR="00892AFD" w:rsidRPr="00FB2F3D" w:rsidRDefault="00892AFD" w:rsidP="00071A62">
      <w:pPr>
        <w:pStyle w:val="UK12Block05"/>
        <w:rPr>
          <w:rFonts w:ascii="Arial" w:hAnsi="Arial" w:cs="Arial"/>
          <w:sz w:val="22"/>
          <w:szCs w:val="22"/>
        </w:rPr>
      </w:pPr>
      <w:r w:rsidRPr="00FB2F3D">
        <w:rPr>
          <w:rFonts w:ascii="Arial" w:hAnsi="Arial" w:cs="Arial"/>
          <w:sz w:val="22"/>
          <w:szCs w:val="22"/>
        </w:rPr>
        <w:t xml:space="preserve">The Regulator would consider that a document has been made available to the public if, following </w:t>
      </w:r>
      <w:r w:rsidR="00F61238">
        <w:rPr>
          <w:rFonts w:ascii="Arial" w:hAnsi="Arial" w:cs="Arial"/>
          <w:sz w:val="22"/>
          <w:szCs w:val="22"/>
        </w:rPr>
        <w:t>its D</w:t>
      </w:r>
      <w:r w:rsidRPr="00FB2F3D">
        <w:rPr>
          <w:rFonts w:ascii="Arial" w:hAnsi="Arial" w:cs="Arial"/>
          <w:sz w:val="22"/>
          <w:szCs w:val="22"/>
        </w:rPr>
        <w:t xml:space="preserve">isclosure, the document is available on the Listed Entity's website or on the website of the </w:t>
      </w:r>
      <w:r w:rsidR="00071A62" w:rsidRPr="00FB2F3D">
        <w:rPr>
          <w:rFonts w:ascii="Arial" w:hAnsi="Arial" w:cs="Arial"/>
          <w:sz w:val="22"/>
          <w:szCs w:val="22"/>
        </w:rPr>
        <w:t>Recognised Investment</w:t>
      </w:r>
      <w:r w:rsidRPr="00FB2F3D">
        <w:rPr>
          <w:rFonts w:ascii="Arial" w:hAnsi="Arial" w:cs="Arial"/>
          <w:sz w:val="22"/>
          <w:szCs w:val="22"/>
        </w:rPr>
        <w:t xml:space="preserve"> Exchange on which its Securities are admitted to trading.</w:t>
      </w:r>
    </w:p>
    <w:p w14:paraId="75FA9D11"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lastRenderedPageBreak/>
        <w:t>Contact details</w:t>
      </w:r>
    </w:p>
    <w:p w14:paraId="2A687C6E" w14:textId="6EBD7999" w:rsidR="00892AFD" w:rsidRPr="00FB2F3D" w:rsidRDefault="00892AFD" w:rsidP="00892AFD">
      <w:pPr>
        <w:pStyle w:val="Heading3"/>
        <w:rPr>
          <w:rFonts w:ascii="Arial" w:hAnsi="Arial" w:cs="Arial"/>
          <w:sz w:val="22"/>
          <w:szCs w:val="22"/>
        </w:rPr>
      </w:pPr>
      <w:bookmarkStart w:id="171" w:name="_Ref410073684"/>
      <w:r w:rsidRPr="00FB2F3D">
        <w:rPr>
          <w:rFonts w:ascii="Arial" w:hAnsi="Arial" w:cs="Arial"/>
          <w:sz w:val="22"/>
          <w:szCs w:val="22"/>
        </w:rPr>
        <w:t xml:space="preserve">A </w:t>
      </w:r>
      <w:r w:rsidR="00F61238">
        <w:rPr>
          <w:rFonts w:ascii="Arial" w:hAnsi="Arial" w:cs="Arial"/>
          <w:sz w:val="22"/>
          <w:szCs w:val="22"/>
        </w:rPr>
        <w:t xml:space="preserve">Reporting </w:t>
      </w:r>
      <w:r w:rsidRPr="00FB2F3D">
        <w:rPr>
          <w:rFonts w:ascii="Arial" w:hAnsi="Arial" w:cs="Arial"/>
          <w:sz w:val="22"/>
          <w:szCs w:val="22"/>
        </w:rPr>
        <w:t xml:space="preserve">Listed Entity must ensure that the Regulator is provided with up to date contact details of </w:t>
      </w:r>
      <w:r w:rsidR="00F61238">
        <w:rPr>
          <w:rFonts w:ascii="Arial" w:hAnsi="Arial" w:cs="Arial"/>
          <w:sz w:val="22"/>
          <w:szCs w:val="22"/>
        </w:rPr>
        <w:t>a</w:t>
      </w:r>
      <w:r w:rsidRPr="00FB2F3D">
        <w:rPr>
          <w:rFonts w:ascii="Arial" w:hAnsi="Arial" w:cs="Arial"/>
          <w:sz w:val="22"/>
          <w:szCs w:val="22"/>
        </w:rPr>
        <w:t xml:space="preserve">ppropriate </w:t>
      </w:r>
      <w:r w:rsidR="00F61238">
        <w:rPr>
          <w:rFonts w:ascii="Arial" w:hAnsi="Arial" w:cs="Arial"/>
          <w:sz w:val="22"/>
          <w:szCs w:val="22"/>
        </w:rPr>
        <w:t>p</w:t>
      </w:r>
      <w:r w:rsidRPr="00FB2F3D">
        <w:rPr>
          <w:rFonts w:ascii="Arial" w:hAnsi="Arial" w:cs="Arial"/>
          <w:sz w:val="22"/>
          <w:szCs w:val="22"/>
        </w:rPr>
        <w:t>ersons nominated by it to act as the first point of contact with the Regulator in relation to the Listed Entity's compliance with the Rules and the FSMR, as applicable.</w:t>
      </w:r>
      <w:bookmarkEnd w:id="171"/>
    </w:p>
    <w:p w14:paraId="057A4721"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3F07752F" w14:textId="7A93218C" w:rsidR="00892AFD" w:rsidRPr="00FB2F3D" w:rsidRDefault="00892AFD" w:rsidP="00892AFD">
      <w:pPr>
        <w:pStyle w:val="UK12Block05"/>
        <w:rPr>
          <w:rFonts w:ascii="Arial" w:hAnsi="Arial" w:cs="Arial"/>
          <w:sz w:val="22"/>
          <w:szCs w:val="22"/>
        </w:rPr>
      </w:pPr>
      <w:r w:rsidRPr="00FB2F3D">
        <w:rPr>
          <w:rFonts w:ascii="Arial" w:hAnsi="Arial" w:cs="Arial"/>
          <w:sz w:val="22"/>
          <w:szCs w:val="22"/>
        </w:rPr>
        <w:t xml:space="preserve">The Regulator would expect a </w:t>
      </w:r>
      <w:r w:rsidR="00F61238">
        <w:rPr>
          <w:rFonts w:ascii="Arial" w:hAnsi="Arial" w:cs="Arial"/>
          <w:sz w:val="22"/>
          <w:szCs w:val="22"/>
        </w:rPr>
        <w:t>Reporting</w:t>
      </w:r>
      <w:r w:rsidRPr="00FB2F3D">
        <w:rPr>
          <w:rFonts w:ascii="Arial" w:hAnsi="Arial" w:cs="Arial"/>
          <w:sz w:val="22"/>
          <w:szCs w:val="22"/>
        </w:rPr>
        <w:t xml:space="preserve"> Entity's contact in Rule </w:t>
      </w:r>
      <w:r w:rsidR="00693841" w:rsidRPr="00FB2F3D">
        <w:rPr>
          <w:rFonts w:ascii="Arial" w:hAnsi="Arial" w:cs="Arial"/>
          <w:sz w:val="22"/>
          <w:szCs w:val="22"/>
        </w:rPr>
        <w:t>2.8.6</w:t>
      </w:r>
      <w:r w:rsidRPr="00FB2F3D">
        <w:rPr>
          <w:rFonts w:ascii="Arial" w:hAnsi="Arial" w:cs="Arial"/>
          <w:sz w:val="22"/>
          <w:szCs w:val="22"/>
        </w:rPr>
        <w:t xml:space="preserve"> to be of sufficient seniority and influence given the nature of the information which such Person would be dealing with and the importance of the role in maintaining the Listed Entity's compliance with the Rules and the FSMR.</w:t>
      </w:r>
    </w:p>
    <w:p w14:paraId="1C276EC2" w14:textId="77777777" w:rsidR="00892AFD" w:rsidRPr="00FB2F3D" w:rsidRDefault="00892AFD" w:rsidP="00892AFD">
      <w:pPr>
        <w:pStyle w:val="Heading1"/>
        <w:rPr>
          <w:rFonts w:ascii="Arial" w:hAnsi="Arial" w:cs="Arial"/>
          <w:sz w:val="22"/>
          <w:szCs w:val="22"/>
        </w:rPr>
      </w:pPr>
      <w:bookmarkStart w:id="172" w:name="_Toc409521849"/>
      <w:bookmarkStart w:id="173" w:name="_Ref410053110"/>
      <w:bookmarkStart w:id="174" w:name="_Ref410054559"/>
      <w:bookmarkStart w:id="175" w:name="_Ref410055365"/>
      <w:bookmarkStart w:id="176" w:name="_Ref410056043"/>
      <w:bookmarkStart w:id="177" w:name="_Ref410072830"/>
      <w:bookmarkStart w:id="178" w:name="_Ref410075126"/>
      <w:bookmarkStart w:id="179" w:name="_Ref410075257"/>
      <w:bookmarkStart w:id="180" w:name="_Ref410075411"/>
      <w:bookmarkStart w:id="181" w:name="_Toc410136246"/>
      <w:bookmarkStart w:id="182" w:name="_Toc410605955"/>
      <w:bookmarkStart w:id="183" w:name="_Toc410658891"/>
      <w:bookmarkStart w:id="184" w:name="_Toc410659018"/>
      <w:bookmarkStart w:id="185" w:name="_Ref410664658"/>
      <w:bookmarkStart w:id="186" w:name="_Ref410664769"/>
      <w:bookmarkStart w:id="187" w:name="_Ref410665031"/>
      <w:bookmarkStart w:id="188" w:name="_Ref410666956"/>
      <w:bookmarkStart w:id="189" w:name="_Ref410667552"/>
      <w:bookmarkStart w:id="190" w:name="_Ref410668024"/>
      <w:bookmarkStart w:id="191" w:name="_Ref410668196"/>
      <w:bookmarkStart w:id="192" w:name="_Ref410668401"/>
      <w:bookmarkStart w:id="193" w:name="_Ref410681461"/>
      <w:bookmarkStart w:id="194" w:name="_Toc410835565"/>
      <w:bookmarkStart w:id="195" w:name="_Ref416750801"/>
      <w:bookmarkStart w:id="196" w:name="_Ref416750937"/>
      <w:bookmarkStart w:id="197" w:name="_Ref416751096"/>
      <w:bookmarkStart w:id="198" w:name="_Ref416751147"/>
      <w:bookmarkStart w:id="199" w:name="_Toc138325656"/>
      <w:r w:rsidRPr="00FB2F3D">
        <w:rPr>
          <w:rFonts w:ascii="Arial" w:hAnsi="Arial" w:cs="Arial"/>
          <w:sz w:val="22"/>
          <w:szCs w:val="22"/>
        </w:rPr>
        <w:t>LISTED FUNDS</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2FD0C46C" w14:textId="77777777" w:rsidR="00892AFD" w:rsidRPr="00FB2F3D" w:rsidRDefault="00892AFD" w:rsidP="00892AFD">
      <w:pPr>
        <w:pStyle w:val="Heading2"/>
        <w:rPr>
          <w:rFonts w:ascii="Arial" w:hAnsi="Arial" w:cs="Arial"/>
          <w:sz w:val="22"/>
          <w:szCs w:val="22"/>
        </w:rPr>
      </w:pPr>
      <w:bookmarkStart w:id="200" w:name="_Toc409521850"/>
      <w:bookmarkStart w:id="201" w:name="_Toc410136247"/>
      <w:bookmarkStart w:id="202" w:name="_Toc410605956"/>
      <w:bookmarkStart w:id="203" w:name="_Toc410658892"/>
      <w:bookmarkStart w:id="204" w:name="_Toc410659019"/>
      <w:bookmarkStart w:id="205" w:name="_Toc410835566"/>
      <w:bookmarkStart w:id="206" w:name="_Toc138325657"/>
      <w:r w:rsidRPr="00FB2F3D">
        <w:rPr>
          <w:rFonts w:ascii="Arial" w:hAnsi="Arial" w:cs="Arial"/>
          <w:sz w:val="22"/>
          <w:szCs w:val="22"/>
        </w:rPr>
        <w:t>Application</w:t>
      </w:r>
      <w:bookmarkEnd w:id="200"/>
      <w:bookmarkEnd w:id="201"/>
      <w:bookmarkEnd w:id="202"/>
      <w:bookmarkEnd w:id="203"/>
      <w:bookmarkEnd w:id="204"/>
      <w:bookmarkEnd w:id="205"/>
      <w:bookmarkEnd w:id="206"/>
    </w:p>
    <w:p w14:paraId="770C22B2" w14:textId="77777777" w:rsidR="00892AFD" w:rsidRPr="00FB2F3D" w:rsidRDefault="00892AFD" w:rsidP="00892AFD">
      <w:pPr>
        <w:pStyle w:val="Heading3"/>
        <w:keepNext/>
        <w:rPr>
          <w:rFonts w:ascii="Arial" w:hAnsi="Arial" w:cs="Arial"/>
          <w:sz w:val="22"/>
          <w:szCs w:val="22"/>
        </w:rPr>
      </w:pPr>
      <w:r w:rsidRPr="00FB2F3D">
        <w:rPr>
          <w:rFonts w:ascii="Arial" w:hAnsi="Arial" w:cs="Arial"/>
          <w:sz w:val="22"/>
          <w:szCs w:val="22"/>
        </w:rPr>
        <w:t>This chapter applies to:</w:t>
      </w:r>
    </w:p>
    <w:p w14:paraId="279C0119"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every Reporting Entity of a Listed Fund; and</w:t>
      </w:r>
    </w:p>
    <w:p w14:paraId="26E2EE6E"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any other Person specified in these Rules.</w:t>
      </w:r>
    </w:p>
    <w:p w14:paraId="6AE1BD56" w14:textId="77777777" w:rsidR="00892AFD" w:rsidRPr="00FB2F3D" w:rsidRDefault="00892AFD" w:rsidP="00892AFD">
      <w:pPr>
        <w:pStyle w:val="Heading2"/>
        <w:rPr>
          <w:rFonts w:ascii="Arial" w:hAnsi="Arial" w:cs="Arial"/>
          <w:sz w:val="22"/>
          <w:szCs w:val="22"/>
        </w:rPr>
      </w:pPr>
      <w:bookmarkStart w:id="207" w:name="_Toc409521851"/>
      <w:bookmarkStart w:id="208" w:name="_Toc410136248"/>
      <w:bookmarkStart w:id="209" w:name="_Toc410605957"/>
      <w:bookmarkStart w:id="210" w:name="_Toc410658893"/>
      <w:bookmarkStart w:id="211" w:name="_Toc410659020"/>
      <w:bookmarkStart w:id="212" w:name="_Toc410835567"/>
      <w:bookmarkStart w:id="213" w:name="_Toc138325658"/>
      <w:r w:rsidRPr="00FB2F3D">
        <w:rPr>
          <w:rFonts w:ascii="Arial" w:hAnsi="Arial" w:cs="Arial"/>
          <w:sz w:val="22"/>
          <w:szCs w:val="22"/>
        </w:rPr>
        <w:t>General requirements</w:t>
      </w:r>
      <w:bookmarkEnd w:id="207"/>
      <w:bookmarkEnd w:id="208"/>
      <w:bookmarkEnd w:id="209"/>
      <w:bookmarkEnd w:id="210"/>
      <w:bookmarkEnd w:id="211"/>
      <w:bookmarkEnd w:id="212"/>
      <w:bookmarkEnd w:id="213"/>
    </w:p>
    <w:p w14:paraId="7129821A" w14:textId="797AF9C9" w:rsidR="00892AFD" w:rsidRPr="00FB2F3D" w:rsidRDefault="00892AFD" w:rsidP="00892AFD">
      <w:pPr>
        <w:pStyle w:val="Heading3"/>
        <w:rPr>
          <w:rFonts w:ascii="Arial" w:hAnsi="Arial" w:cs="Arial"/>
          <w:sz w:val="22"/>
          <w:szCs w:val="22"/>
        </w:rPr>
      </w:pPr>
      <w:bookmarkStart w:id="214" w:name="_Ref410059277"/>
      <w:bookmarkStart w:id="215" w:name="_Ref410634161"/>
      <w:r w:rsidRPr="00FB2F3D">
        <w:rPr>
          <w:rFonts w:ascii="Arial" w:hAnsi="Arial" w:cs="Arial"/>
          <w:sz w:val="22"/>
          <w:szCs w:val="22"/>
        </w:rPr>
        <w:t>A Person may have the Units of a Fund admitted to an Official List only if</w:t>
      </w:r>
      <w:bookmarkEnd w:id="214"/>
      <w:r w:rsidRPr="00FB2F3D">
        <w:rPr>
          <w:rFonts w:ascii="Arial" w:hAnsi="Arial" w:cs="Arial"/>
          <w:sz w:val="22"/>
          <w:szCs w:val="22"/>
        </w:rPr>
        <w:t>:</w:t>
      </w:r>
      <w:bookmarkEnd w:id="215"/>
    </w:p>
    <w:p w14:paraId="60711502"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in the case of a Domestic Fund, it is a Public Fund; and</w:t>
      </w:r>
    </w:p>
    <w:p w14:paraId="6D3FC76A"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in the case of a Foreign Fund:</w:t>
      </w:r>
    </w:p>
    <w:p w14:paraId="42D2179B" w14:textId="77777777" w:rsidR="00892AFD" w:rsidRPr="00FB2F3D" w:rsidRDefault="00892AFD" w:rsidP="00071A62">
      <w:pPr>
        <w:pStyle w:val="Heading5"/>
        <w:rPr>
          <w:rFonts w:ascii="Arial" w:hAnsi="Arial" w:cs="Arial"/>
          <w:sz w:val="22"/>
          <w:szCs w:val="22"/>
        </w:rPr>
      </w:pPr>
      <w:r w:rsidRPr="00FB2F3D">
        <w:rPr>
          <w:rFonts w:ascii="Arial" w:hAnsi="Arial" w:cs="Arial"/>
          <w:sz w:val="22"/>
          <w:szCs w:val="22"/>
        </w:rPr>
        <w:t xml:space="preserve">it is a </w:t>
      </w:r>
      <w:r w:rsidR="00071A62" w:rsidRPr="00FB2F3D">
        <w:rPr>
          <w:rFonts w:ascii="Arial" w:hAnsi="Arial" w:cs="Arial"/>
          <w:sz w:val="22"/>
          <w:szCs w:val="22"/>
        </w:rPr>
        <w:t>regulated</w:t>
      </w:r>
      <w:r w:rsidRPr="00FB2F3D">
        <w:rPr>
          <w:rFonts w:ascii="Arial" w:hAnsi="Arial" w:cs="Arial"/>
          <w:sz w:val="22"/>
          <w:szCs w:val="22"/>
        </w:rPr>
        <w:t xml:space="preserve"> Fund from a Recognised Jurisdiction; or</w:t>
      </w:r>
    </w:p>
    <w:p w14:paraId="10E076F1" w14:textId="77777777" w:rsidR="00892AFD" w:rsidRPr="00FB2F3D" w:rsidRDefault="00892AFD" w:rsidP="00424270">
      <w:pPr>
        <w:pStyle w:val="Heading5"/>
        <w:rPr>
          <w:rFonts w:ascii="Arial" w:hAnsi="Arial" w:cs="Arial"/>
          <w:sz w:val="22"/>
          <w:szCs w:val="22"/>
        </w:rPr>
      </w:pPr>
      <w:r w:rsidRPr="00FB2F3D">
        <w:rPr>
          <w:rFonts w:ascii="Arial" w:hAnsi="Arial" w:cs="Arial"/>
          <w:sz w:val="22"/>
          <w:szCs w:val="22"/>
        </w:rPr>
        <w:t>it is a Fund approved by the Regulator as a Fund subject to equivalent regulation as that applying to a Public Fund; and</w:t>
      </w:r>
    </w:p>
    <w:p w14:paraId="0E3FC908" w14:textId="77777777" w:rsidR="00892AFD" w:rsidRPr="00FB2F3D" w:rsidRDefault="00071A62" w:rsidP="00071A62">
      <w:pPr>
        <w:pStyle w:val="Heading5"/>
        <w:numPr>
          <w:ilvl w:val="0"/>
          <w:numId w:val="0"/>
        </w:numPr>
        <w:ind w:left="1440" w:hanging="720"/>
        <w:rPr>
          <w:rFonts w:ascii="Arial" w:hAnsi="Arial" w:cs="Arial"/>
          <w:sz w:val="22"/>
          <w:szCs w:val="22"/>
        </w:rPr>
      </w:pPr>
      <w:r w:rsidRPr="00FB2F3D">
        <w:rPr>
          <w:rFonts w:ascii="Arial" w:hAnsi="Arial" w:cs="Arial"/>
          <w:sz w:val="22"/>
          <w:szCs w:val="22"/>
        </w:rPr>
        <w:t>(3)</w:t>
      </w:r>
      <w:r w:rsidRPr="00FB2F3D">
        <w:rPr>
          <w:rFonts w:ascii="Arial" w:hAnsi="Arial" w:cs="Arial"/>
          <w:sz w:val="22"/>
          <w:szCs w:val="22"/>
        </w:rPr>
        <w:tab/>
        <w:t>it is intended to be</w:t>
      </w:r>
      <w:r w:rsidR="00892AFD" w:rsidRPr="00FB2F3D">
        <w:rPr>
          <w:rFonts w:ascii="Arial" w:hAnsi="Arial" w:cs="Arial"/>
          <w:sz w:val="22"/>
          <w:szCs w:val="22"/>
        </w:rPr>
        <w:t xml:space="preserve"> a Property Fund</w:t>
      </w:r>
      <w:r w:rsidRPr="00FB2F3D">
        <w:rPr>
          <w:rFonts w:ascii="Arial" w:hAnsi="Arial" w:cs="Arial"/>
          <w:sz w:val="22"/>
          <w:szCs w:val="22"/>
        </w:rPr>
        <w:t>, it is closed ended</w:t>
      </w:r>
      <w:r w:rsidR="00892AFD" w:rsidRPr="00FB2F3D">
        <w:rPr>
          <w:rFonts w:ascii="Arial" w:hAnsi="Arial" w:cs="Arial"/>
          <w:sz w:val="22"/>
          <w:szCs w:val="22"/>
        </w:rPr>
        <w:t xml:space="preserve"> and 60% or more of the Fund's assets comprise Real Property.</w:t>
      </w:r>
    </w:p>
    <w:p w14:paraId="400FE457" w14:textId="1F7B0BA4" w:rsidR="00892AFD" w:rsidRPr="00FB2F3D" w:rsidRDefault="00892AFD" w:rsidP="00892AFD">
      <w:pPr>
        <w:pStyle w:val="Heading3"/>
        <w:rPr>
          <w:rFonts w:ascii="Arial" w:hAnsi="Arial" w:cs="Arial"/>
          <w:sz w:val="22"/>
          <w:szCs w:val="22"/>
        </w:rPr>
      </w:pPr>
      <w:r w:rsidRPr="00FB2F3D">
        <w:rPr>
          <w:rFonts w:ascii="Arial" w:hAnsi="Arial" w:cs="Arial"/>
          <w:sz w:val="22"/>
          <w:szCs w:val="22"/>
        </w:rPr>
        <w:t xml:space="preserve">Where an obligation applies to a Reporting Entity of a Fund under a provision of this chapter, except where expressly provided otherwise, the Governing Body of the </w:t>
      </w:r>
      <w:r w:rsidR="00F61238">
        <w:rPr>
          <w:rFonts w:ascii="Arial" w:hAnsi="Arial" w:cs="Arial"/>
          <w:sz w:val="22"/>
          <w:szCs w:val="22"/>
        </w:rPr>
        <w:t>Listed Fund</w:t>
      </w:r>
      <w:r w:rsidRPr="00FB2F3D">
        <w:rPr>
          <w:rFonts w:ascii="Arial" w:hAnsi="Arial" w:cs="Arial"/>
          <w:sz w:val="22"/>
          <w:szCs w:val="22"/>
        </w:rPr>
        <w:t xml:space="preserve"> must ensure compliance with that obligation.</w:t>
      </w:r>
    </w:p>
    <w:p w14:paraId="3CB7AC6E" w14:textId="77777777" w:rsidR="00892AFD" w:rsidRPr="00FB2F3D" w:rsidRDefault="00892AFD" w:rsidP="00892AFD">
      <w:pPr>
        <w:pStyle w:val="Heading2"/>
        <w:rPr>
          <w:rFonts w:ascii="Arial" w:hAnsi="Arial" w:cs="Arial"/>
          <w:sz w:val="22"/>
          <w:szCs w:val="22"/>
        </w:rPr>
      </w:pPr>
      <w:bookmarkStart w:id="216" w:name="_Toc409521852"/>
      <w:bookmarkStart w:id="217" w:name="_Ref410073248"/>
      <w:bookmarkStart w:id="218" w:name="_Toc410136249"/>
      <w:bookmarkStart w:id="219" w:name="_Toc410605958"/>
      <w:bookmarkStart w:id="220" w:name="_Ref410630666"/>
      <w:bookmarkStart w:id="221" w:name="_Toc410658894"/>
      <w:bookmarkStart w:id="222" w:name="_Toc410659021"/>
      <w:bookmarkStart w:id="223" w:name="_Toc410835568"/>
      <w:bookmarkStart w:id="224" w:name="_Ref416794336"/>
      <w:bookmarkStart w:id="225" w:name="_Toc138325659"/>
      <w:r w:rsidRPr="00FB2F3D">
        <w:rPr>
          <w:rFonts w:ascii="Arial" w:hAnsi="Arial" w:cs="Arial"/>
          <w:sz w:val="22"/>
          <w:szCs w:val="22"/>
        </w:rPr>
        <w:t>Prospectus requirements relating to a Listed Fund</w:t>
      </w:r>
      <w:bookmarkEnd w:id="216"/>
      <w:bookmarkEnd w:id="217"/>
      <w:bookmarkEnd w:id="218"/>
      <w:bookmarkEnd w:id="219"/>
      <w:bookmarkEnd w:id="220"/>
      <w:bookmarkEnd w:id="221"/>
      <w:bookmarkEnd w:id="222"/>
      <w:bookmarkEnd w:id="223"/>
      <w:bookmarkEnd w:id="224"/>
      <w:bookmarkEnd w:id="225"/>
    </w:p>
    <w:p w14:paraId="6D5ED518"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6A21F174" w14:textId="77777777" w:rsidR="00892AFD" w:rsidRPr="00FB2F3D" w:rsidRDefault="00892AFD" w:rsidP="00755725">
      <w:pPr>
        <w:pStyle w:val="GuidanceNotesnumbering"/>
        <w:numPr>
          <w:ilvl w:val="0"/>
          <w:numId w:val="44"/>
        </w:numPr>
        <w:rPr>
          <w:rFonts w:ascii="Arial" w:hAnsi="Arial" w:cs="Arial"/>
          <w:sz w:val="22"/>
          <w:szCs w:val="22"/>
        </w:rPr>
      </w:pPr>
      <w:r w:rsidRPr="00FB2F3D">
        <w:rPr>
          <w:rFonts w:ascii="Arial" w:hAnsi="Arial" w:cs="Arial"/>
          <w:sz w:val="22"/>
          <w:szCs w:val="22"/>
        </w:rPr>
        <w:t>The Prospectus requirements including content and structure in chapter </w:t>
      </w:r>
      <w:r w:rsidR="00693841" w:rsidRPr="00FB2F3D">
        <w:rPr>
          <w:rFonts w:ascii="Arial" w:hAnsi="Arial" w:cs="Arial"/>
          <w:sz w:val="22"/>
          <w:szCs w:val="22"/>
        </w:rPr>
        <w:t>4</w:t>
      </w:r>
      <w:r w:rsidRPr="00FB2F3D">
        <w:rPr>
          <w:rFonts w:ascii="Arial" w:hAnsi="Arial" w:cs="Arial"/>
          <w:sz w:val="22"/>
          <w:szCs w:val="22"/>
        </w:rPr>
        <w:t xml:space="preserve"> of this </w:t>
      </w:r>
      <w:r w:rsidR="00071A62" w:rsidRPr="00FB2F3D">
        <w:rPr>
          <w:rFonts w:ascii="Arial" w:hAnsi="Arial" w:cs="Arial"/>
          <w:sz w:val="22"/>
          <w:szCs w:val="22"/>
        </w:rPr>
        <w:t>Rulebook</w:t>
      </w:r>
      <w:r w:rsidRPr="00FB2F3D">
        <w:rPr>
          <w:rFonts w:ascii="Arial" w:hAnsi="Arial" w:cs="Arial"/>
          <w:sz w:val="22"/>
          <w:szCs w:val="22"/>
        </w:rPr>
        <w:t xml:space="preserve"> do not apply to Prospectuses relating to Units of Funds. Prospectus requirements that apply to </w:t>
      </w:r>
      <w:r w:rsidR="00071A62" w:rsidRPr="00FB2F3D">
        <w:rPr>
          <w:rFonts w:ascii="Arial" w:hAnsi="Arial" w:cs="Arial"/>
          <w:sz w:val="22"/>
          <w:szCs w:val="22"/>
        </w:rPr>
        <w:t xml:space="preserve">an </w:t>
      </w:r>
      <w:r w:rsidRPr="00FB2F3D">
        <w:rPr>
          <w:rFonts w:ascii="Arial" w:hAnsi="Arial" w:cs="Arial"/>
          <w:sz w:val="22"/>
          <w:szCs w:val="22"/>
        </w:rPr>
        <w:t xml:space="preserve">Offer of Units of Funds are found in the Fund Rules. </w:t>
      </w:r>
      <w:r w:rsidR="00071A62" w:rsidRPr="00FB2F3D">
        <w:rPr>
          <w:rFonts w:ascii="Arial" w:hAnsi="Arial" w:cs="Arial"/>
          <w:sz w:val="22"/>
          <w:szCs w:val="22"/>
        </w:rPr>
        <w:t>S</w:t>
      </w:r>
      <w:r w:rsidRPr="00FB2F3D">
        <w:rPr>
          <w:rFonts w:ascii="Arial" w:hAnsi="Arial" w:cs="Arial"/>
          <w:sz w:val="22"/>
          <w:szCs w:val="22"/>
        </w:rPr>
        <w:t xml:space="preserve">ection </w:t>
      </w:r>
      <w:r w:rsidR="00071A62" w:rsidRPr="00FB2F3D">
        <w:rPr>
          <w:rFonts w:ascii="Arial" w:hAnsi="Arial" w:cs="Arial"/>
          <w:sz w:val="22"/>
          <w:szCs w:val="22"/>
        </w:rPr>
        <w:t>57(1) of FSMR</w:t>
      </w:r>
      <w:r w:rsidRPr="00FB2F3D">
        <w:rPr>
          <w:rFonts w:ascii="Arial" w:hAnsi="Arial" w:cs="Arial"/>
          <w:sz w:val="22"/>
          <w:szCs w:val="22"/>
        </w:rPr>
        <w:t xml:space="preserve"> disapplies chapter </w:t>
      </w:r>
      <w:r w:rsidR="00693841" w:rsidRPr="00FB2F3D">
        <w:rPr>
          <w:rFonts w:ascii="Arial" w:hAnsi="Arial" w:cs="Arial"/>
          <w:sz w:val="22"/>
          <w:szCs w:val="22"/>
        </w:rPr>
        <w:t>4</w:t>
      </w:r>
      <w:r w:rsidRPr="00FB2F3D">
        <w:rPr>
          <w:rFonts w:ascii="Arial" w:hAnsi="Arial" w:cs="Arial"/>
          <w:sz w:val="22"/>
          <w:szCs w:val="22"/>
        </w:rPr>
        <w:t xml:space="preserve"> of this </w:t>
      </w:r>
      <w:r w:rsidR="00071A62" w:rsidRPr="00FB2F3D">
        <w:rPr>
          <w:rFonts w:ascii="Arial" w:hAnsi="Arial" w:cs="Arial"/>
          <w:sz w:val="22"/>
          <w:szCs w:val="22"/>
        </w:rPr>
        <w:t xml:space="preserve">Rulebook </w:t>
      </w:r>
      <w:r w:rsidRPr="00FB2F3D">
        <w:rPr>
          <w:rFonts w:ascii="Arial" w:hAnsi="Arial" w:cs="Arial"/>
          <w:sz w:val="22"/>
          <w:szCs w:val="22"/>
        </w:rPr>
        <w:t>to Fund Prospectuses.</w:t>
      </w:r>
    </w:p>
    <w:p w14:paraId="3338D32C" w14:textId="77777777" w:rsidR="00892AFD" w:rsidRPr="00FB2F3D" w:rsidRDefault="00892AFD" w:rsidP="00071A62">
      <w:pPr>
        <w:pStyle w:val="GuidanceNotesnumbering"/>
        <w:rPr>
          <w:rFonts w:ascii="Arial" w:hAnsi="Arial" w:cs="Arial"/>
          <w:sz w:val="22"/>
          <w:szCs w:val="22"/>
        </w:rPr>
      </w:pPr>
      <w:r w:rsidRPr="00FB2F3D">
        <w:rPr>
          <w:rFonts w:ascii="Arial" w:hAnsi="Arial" w:cs="Arial"/>
          <w:sz w:val="22"/>
          <w:szCs w:val="22"/>
        </w:rPr>
        <w:t>However a Prospectus is required for the purposes of admitting any Financial Instruments, including Units, to trading on a Recognised</w:t>
      </w:r>
      <w:r w:rsidR="00071A62" w:rsidRPr="00FB2F3D">
        <w:rPr>
          <w:rFonts w:ascii="Arial" w:hAnsi="Arial" w:cs="Arial"/>
          <w:sz w:val="22"/>
          <w:szCs w:val="22"/>
        </w:rPr>
        <w:t xml:space="preserve"> Investment Exchange</w:t>
      </w:r>
      <w:r w:rsidRPr="00FB2F3D">
        <w:rPr>
          <w:rFonts w:ascii="Arial" w:hAnsi="Arial" w:cs="Arial"/>
          <w:sz w:val="22"/>
          <w:szCs w:val="22"/>
        </w:rPr>
        <w:t xml:space="preserve">, </w:t>
      </w:r>
      <w:r w:rsidRPr="00FB2F3D">
        <w:rPr>
          <w:rFonts w:ascii="Arial" w:hAnsi="Arial" w:cs="Arial"/>
          <w:sz w:val="22"/>
          <w:szCs w:val="22"/>
        </w:rPr>
        <w:lastRenderedPageBreak/>
        <w:t>as these fall within the definition of "Securities" for the purposes of Part 6 of the FSMR. The Rules in this Rule </w:t>
      </w:r>
      <w:r w:rsidR="00693841" w:rsidRPr="00FB2F3D">
        <w:rPr>
          <w:rFonts w:ascii="Arial" w:hAnsi="Arial" w:cs="Arial"/>
          <w:sz w:val="22"/>
          <w:szCs w:val="22"/>
        </w:rPr>
        <w:t>3.3</w:t>
      </w:r>
      <w:r w:rsidRPr="00FB2F3D">
        <w:rPr>
          <w:rFonts w:ascii="Arial" w:hAnsi="Arial" w:cs="Arial"/>
          <w:sz w:val="22"/>
          <w:szCs w:val="22"/>
        </w:rPr>
        <w:t xml:space="preserve"> are designed to enable a Person seeking to have Units of a Fund admitted to trading on a Recognised </w:t>
      </w:r>
      <w:r w:rsidR="00071A62" w:rsidRPr="00FB2F3D">
        <w:rPr>
          <w:rFonts w:ascii="Arial" w:hAnsi="Arial" w:cs="Arial"/>
          <w:sz w:val="22"/>
          <w:szCs w:val="22"/>
        </w:rPr>
        <w:t>Investment Exchange</w:t>
      </w:r>
      <w:r w:rsidRPr="00FB2F3D">
        <w:rPr>
          <w:rFonts w:ascii="Arial" w:hAnsi="Arial" w:cs="Arial"/>
          <w:sz w:val="22"/>
          <w:szCs w:val="22"/>
        </w:rPr>
        <w:t xml:space="preserve"> to be able to use a Prospectus prepared in accordance with the requirements in the Fund Rules </w:t>
      </w:r>
      <w:r w:rsidR="00071A62" w:rsidRPr="00FB2F3D">
        <w:rPr>
          <w:rFonts w:ascii="Arial" w:hAnsi="Arial" w:cs="Arial"/>
          <w:sz w:val="22"/>
          <w:szCs w:val="22"/>
        </w:rPr>
        <w:t>Rulebook</w:t>
      </w:r>
      <w:r w:rsidRPr="00FB2F3D">
        <w:rPr>
          <w:rFonts w:ascii="Arial" w:hAnsi="Arial" w:cs="Arial"/>
          <w:sz w:val="22"/>
          <w:szCs w:val="22"/>
        </w:rPr>
        <w:t xml:space="preserve"> if it is a Domestic Fund. In the case of Foreign Funds, the Offer documents prepared in accordance with the requirements in a foreign jurisdiction will be acceptable in the circumstances prescribed in this section.</w:t>
      </w:r>
    </w:p>
    <w:p w14:paraId="260A0545" w14:textId="77777777" w:rsidR="00892AFD" w:rsidRPr="00FB2F3D" w:rsidRDefault="007441BA" w:rsidP="00071A62">
      <w:pPr>
        <w:pStyle w:val="Heading3"/>
        <w:ind w:left="1440" w:hanging="1440"/>
        <w:rPr>
          <w:rFonts w:ascii="Arial" w:hAnsi="Arial" w:cs="Arial"/>
          <w:sz w:val="22"/>
          <w:szCs w:val="22"/>
        </w:rPr>
      </w:pPr>
      <w:bookmarkStart w:id="226" w:name="_Ref410057099"/>
      <w:bookmarkStart w:id="227" w:name="_Ref410633850"/>
      <w:r w:rsidRPr="00FB2F3D">
        <w:rPr>
          <w:rFonts w:ascii="Arial" w:hAnsi="Arial" w:cs="Arial"/>
          <w:sz w:val="22"/>
          <w:szCs w:val="22"/>
        </w:rPr>
        <w:t>(1)</w:t>
      </w:r>
      <w:r w:rsidR="00892AFD" w:rsidRPr="00FB2F3D">
        <w:rPr>
          <w:rFonts w:ascii="Arial" w:hAnsi="Arial" w:cs="Arial"/>
          <w:sz w:val="22"/>
          <w:szCs w:val="22"/>
        </w:rPr>
        <w:tab/>
        <w:t>A Person intending to have Units admitted to trading on a Recognised</w:t>
      </w:r>
      <w:r w:rsidR="00071A62" w:rsidRPr="00FB2F3D">
        <w:rPr>
          <w:rFonts w:ascii="Arial" w:hAnsi="Arial" w:cs="Arial"/>
          <w:sz w:val="22"/>
          <w:szCs w:val="22"/>
        </w:rPr>
        <w:t xml:space="preserve"> Investment Exchange</w:t>
      </w:r>
      <w:r w:rsidR="00892AFD" w:rsidRPr="00FB2F3D">
        <w:rPr>
          <w:rFonts w:ascii="Arial" w:hAnsi="Arial" w:cs="Arial"/>
          <w:sz w:val="22"/>
          <w:szCs w:val="22"/>
        </w:rPr>
        <w:t xml:space="preserve"> must, subject to </w:t>
      </w:r>
      <w:r w:rsidR="00693841" w:rsidRPr="00FB2F3D">
        <w:rPr>
          <w:rFonts w:ascii="Arial" w:hAnsi="Arial" w:cs="Arial"/>
          <w:sz w:val="22"/>
          <w:szCs w:val="22"/>
        </w:rPr>
        <w:t>(2)</w:t>
      </w:r>
      <w:r w:rsidR="00892AFD" w:rsidRPr="00FB2F3D">
        <w:rPr>
          <w:rFonts w:ascii="Arial" w:hAnsi="Arial" w:cs="Arial"/>
          <w:sz w:val="22"/>
          <w:szCs w:val="22"/>
        </w:rPr>
        <w:t xml:space="preserve">, and </w:t>
      </w:r>
      <w:r w:rsidR="00693841" w:rsidRPr="00FB2F3D">
        <w:rPr>
          <w:rFonts w:ascii="Arial" w:hAnsi="Arial" w:cs="Arial"/>
          <w:sz w:val="22"/>
          <w:szCs w:val="22"/>
        </w:rPr>
        <w:t>(3)</w:t>
      </w:r>
      <w:r w:rsidR="00892AFD" w:rsidRPr="00FB2F3D">
        <w:rPr>
          <w:rFonts w:ascii="Arial" w:hAnsi="Arial" w:cs="Arial"/>
          <w:sz w:val="22"/>
          <w:szCs w:val="22"/>
        </w:rPr>
        <w:t xml:space="preserve"> submit to the </w:t>
      </w:r>
      <w:bookmarkEnd w:id="226"/>
      <w:r w:rsidR="00892AFD" w:rsidRPr="00FB2F3D">
        <w:rPr>
          <w:rFonts w:ascii="Arial" w:hAnsi="Arial" w:cs="Arial"/>
          <w:sz w:val="22"/>
          <w:szCs w:val="22"/>
        </w:rPr>
        <w:t>Regulator:</w:t>
      </w:r>
      <w:bookmarkEnd w:id="227"/>
    </w:p>
    <w:p w14:paraId="6978EA13" w14:textId="77777777" w:rsidR="00892AFD" w:rsidRPr="00FB2F3D" w:rsidRDefault="00892AFD" w:rsidP="00071A62">
      <w:pPr>
        <w:pStyle w:val="Heading5"/>
        <w:rPr>
          <w:rFonts w:ascii="Arial" w:hAnsi="Arial" w:cs="Arial"/>
          <w:sz w:val="22"/>
          <w:szCs w:val="22"/>
        </w:rPr>
      </w:pPr>
      <w:r w:rsidRPr="00FB2F3D">
        <w:rPr>
          <w:rFonts w:ascii="Arial" w:hAnsi="Arial" w:cs="Arial"/>
          <w:sz w:val="22"/>
          <w:szCs w:val="22"/>
        </w:rPr>
        <w:t xml:space="preserve">a completed application using </w:t>
      </w:r>
      <w:r w:rsidR="0029125A" w:rsidRPr="00FB2F3D">
        <w:rPr>
          <w:rFonts w:ascii="Arial" w:hAnsi="Arial" w:cs="Arial"/>
          <w:sz w:val="22"/>
          <w:szCs w:val="22"/>
        </w:rPr>
        <w:t>such form as the Regulator shall prescribe</w:t>
      </w:r>
      <w:r w:rsidRPr="00FB2F3D">
        <w:rPr>
          <w:rFonts w:ascii="Arial" w:hAnsi="Arial" w:cs="Arial"/>
          <w:sz w:val="22"/>
          <w:szCs w:val="22"/>
        </w:rPr>
        <w:t xml:space="preserve"> and the relevant fee prescribed in the FEES </w:t>
      </w:r>
      <w:r w:rsidR="00071A62" w:rsidRPr="00FB2F3D">
        <w:rPr>
          <w:rFonts w:ascii="Arial" w:hAnsi="Arial" w:cs="Arial"/>
          <w:sz w:val="22"/>
          <w:szCs w:val="22"/>
        </w:rPr>
        <w:t>Rulebook</w:t>
      </w:r>
      <w:r w:rsidRPr="00FB2F3D">
        <w:rPr>
          <w:rFonts w:ascii="Arial" w:hAnsi="Arial" w:cs="Arial"/>
          <w:sz w:val="22"/>
          <w:szCs w:val="22"/>
        </w:rPr>
        <w:t>;</w:t>
      </w:r>
    </w:p>
    <w:p w14:paraId="5EB8DC14" w14:textId="77777777" w:rsidR="00892AFD" w:rsidRPr="00FB2F3D" w:rsidRDefault="00892AFD" w:rsidP="00892AFD">
      <w:pPr>
        <w:pStyle w:val="Heading5"/>
        <w:keepNext/>
        <w:rPr>
          <w:rFonts w:ascii="Arial" w:hAnsi="Arial" w:cs="Arial"/>
          <w:sz w:val="22"/>
          <w:szCs w:val="22"/>
        </w:rPr>
      </w:pPr>
      <w:bookmarkStart w:id="228" w:name="_Ref410668644"/>
      <w:r w:rsidRPr="00FB2F3D">
        <w:rPr>
          <w:rFonts w:ascii="Arial" w:hAnsi="Arial" w:cs="Arial"/>
          <w:sz w:val="22"/>
          <w:szCs w:val="22"/>
        </w:rPr>
        <w:t>a Prospectus relating to the Fund ("</w:t>
      </w:r>
      <w:r w:rsidRPr="00FB2F3D">
        <w:rPr>
          <w:rFonts w:ascii="Arial" w:hAnsi="Arial" w:cs="Arial"/>
          <w:b/>
          <w:sz w:val="22"/>
          <w:szCs w:val="22"/>
        </w:rPr>
        <w:t>Fund Prospectus</w:t>
      </w:r>
      <w:r w:rsidRPr="00FB2F3D">
        <w:rPr>
          <w:rFonts w:ascii="Arial" w:hAnsi="Arial" w:cs="Arial"/>
          <w:sz w:val="22"/>
          <w:szCs w:val="22"/>
        </w:rPr>
        <w:t>") which:</w:t>
      </w:r>
      <w:bookmarkEnd w:id="228"/>
    </w:p>
    <w:p w14:paraId="74DFCACC" w14:textId="77777777" w:rsidR="00892AFD" w:rsidRPr="00FB2F3D" w:rsidRDefault="00892AFD" w:rsidP="00892AFD">
      <w:pPr>
        <w:pStyle w:val="Heading6"/>
        <w:rPr>
          <w:rFonts w:ascii="Arial" w:hAnsi="Arial" w:cs="Arial"/>
          <w:sz w:val="22"/>
          <w:szCs w:val="22"/>
        </w:rPr>
      </w:pPr>
      <w:r w:rsidRPr="00FB2F3D">
        <w:rPr>
          <w:rFonts w:ascii="Arial" w:hAnsi="Arial" w:cs="Arial"/>
          <w:sz w:val="22"/>
          <w:szCs w:val="22"/>
        </w:rPr>
        <w:t>complies with,</w:t>
      </w:r>
      <w:r w:rsidRPr="00FB2F3D">
        <w:rPr>
          <w:rFonts w:ascii="Arial" w:hAnsi="Arial" w:cs="Arial"/>
          <w:sz w:val="22"/>
          <w:szCs w:val="22"/>
          <w:lang w:eastAsia="ja-JP"/>
        </w:rPr>
        <w:t xml:space="preserve"> </w:t>
      </w:r>
      <w:r w:rsidRPr="00FB2F3D">
        <w:rPr>
          <w:rFonts w:ascii="Arial" w:hAnsi="Arial" w:cs="Arial"/>
          <w:sz w:val="22"/>
          <w:szCs w:val="22"/>
        </w:rPr>
        <w:t>in the case of a Domestic Fund,</w:t>
      </w:r>
      <w:r w:rsidRPr="00FB2F3D">
        <w:rPr>
          <w:rFonts w:ascii="Arial" w:hAnsi="Arial" w:cs="Arial"/>
          <w:sz w:val="22"/>
          <w:szCs w:val="22"/>
          <w:lang w:eastAsia="ja-JP"/>
        </w:rPr>
        <w:t xml:space="preserve"> </w:t>
      </w:r>
      <w:r w:rsidRPr="00FB2F3D">
        <w:rPr>
          <w:rFonts w:ascii="Arial" w:hAnsi="Arial" w:cs="Arial"/>
          <w:sz w:val="22"/>
          <w:szCs w:val="22"/>
        </w:rPr>
        <w:t>the requirements in the Fund Rules that apply to a Public Fund;</w:t>
      </w:r>
    </w:p>
    <w:p w14:paraId="4873E4A7" w14:textId="77777777" w:rsidR="00892AFD" w:rsidRPr="00FB2F3D" w:rsidRDefault="00892AFD" w:rsidP="00892AFD">
      <w:pPr>
        <w:pStyle w:val="Heading6"/>
        <w:rPr>
          <w:rFonts w:ascii="Arial" w:hAnsi="Arial" w:cs="Arial"/>
          <w:sz w:val="22"/>
          <w:szCs w:val="22"/>
        </w:rPr>
      </w:pPr>
      <w:bookmarkStart w:id="229" w:name="_Ref410633876"/>
      <w:r w:rsidRPr="00FB2F3D">
        <w:rPr>
          <w:rFonts w:ascii="Arial" w:hAnsi="Arial" w:cs="Arial"/>
          <w:sz w:val="22"/>
          <w:szCs w:val="22"/>
        </w:rPr>
        <w:t>is prepared, in the case of a Foreign Fund, in accordance with the requirements in Rule </w:t>
      </w:r>
      <w:r w:rsidR="00693841" w:rsidRPr="00FB2F3D">
        <w:rPr>
          <w:rFonts w:ascii="Arial" w:hAnsi="Arial" w:cs="Arial"/>
          <w:sz w:val="22"/>
          <w:szCs w:val="22"/>
        </w:rPr>
        <w:t>3.3.3</w:t>
      </w:r>
      <w:r w:rsidRPr="00FB2F3D">
        <w:rPr>
          <w:rFonts w:ascii="Arial" w:hAnsi="Arial" w:cs="Arial"/>
          <w:sz w:val="22"/>
          <w:szCs w:val="22"/>
        </w:rPr>
        <w:t>; and</w:t>
      </w:r>
      <w:bookmarkEnd w:id="229"/>
    </w:p>
    <w:p w14:paraId="2117ADEA" w14:textId="77777777" w:rsidR="00892AFD" w:rsidRPr="00FB2F3D" w:rsidRDefault="00892AFD" w:rsidP="00892AFD">
      <w:pPr>
        <w:pStyle w:val="Heading6"/>
        <w:rPr>
          <w:rFonts w:ascii="Arial" w:hAnsi="Arial" w:cs="Arial"/>
          <w:sz w:val="22"/>
          <w:szCs w:val="22"/>
        </w:rPr>
      </w:pPr>
      <w:r w:rsidRPr="00FB2F3D">
        <w:rPr>
          <w:rFonts w:ascii="Arial" w:hAnsi="Arial" w:cs="Arial"/>
          <w:sz w:val="22"/>
          <w:szCs w:val="22"/>
        </w:rPr>
        <w:t>a prominent disclaimer in bold, on the front page of the</w:t>
      </w:r>
      <w:r w:rsidRPr="00FB2F3D">
        <w:rPr>
          <w:rFonts w:ascii="Arial" w:hAnsi="Arial" w:cs="Arial"/>
          <w:sz w:val="22"/>
          <w:szCs w:val="22"/>
          <w:lang w:eastAsia="ja-JP"/>
        </w:rPr>
        <w:t xml:space="preserve"> </w:t>
      </w:r>
      <w:r w:rsidRPr="00FB2F3D">
        <w:rPr>
          <w:rFonts w:ascii="Arial" w:hAnsi="Arial" w:cs="Arial"/>
          <w:sz w:val="22"/>
          <w:szCs w:val="22"/>
        </w:rPr>
        <w:t>Prospectus, as follows:</w:t>
      </w:r>
    </w:p>
    <w:p w14:paraId="2477BC48" w14:textId="77777777" w:rsidR="00892AFD" w:rsidRPr="00FB2F3D" w:rsidRDefault="00892AFD" w:rsidP="00892AFD">
      <w:pPr>
        <w:pStyle w:val="UK12Block20"/>
        <w:rPr>
          <w:rFonts w:ascii="Arial" w:hAnsi="Arial" w:cs="Arial"/>
          <w:sz w:val="22"/>
          <w:szCs w:val="22"/>
        </w:rPr>
      </w:pPr>
      <w:r w:rsidRPr="00FB2F3D">
        <w:rPr>
          <w:rFonts w:ascii="Arial" w:hAnsi="Arial" w:cs="Arial"/>
          <w:sz w:val="22"/>
          <w:szCs w:val="22"/>
        </w:rPr>
        <w:t>"The ADGM does not accept responsibility for the content of the information included in the Prospectus, including the accuracy or completeness of such information. The liability for the content of the Prospectus lies with the Issuer of the Prospectus and other Persons, such as Experts, whose opinions are included in the Prospectus with their consent. The ADGM has also not assessed the suitability of the Securities to which the Prospectus relates to any particular investor or type of investor. If you do not understand the contents of this Prospectus or are unsure whether the Securities to which the Prospectus relates are suitable for your individual investment objectives and circumstances, you should consult an authorised financial adviser."</w:t>
      </w:r>
    </w:p>
    <w:p w14:paraId="207EDA91"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where subsequent drafts or versions of the Fund Prospectus are submitted, a marked up version showing changes from the previous version submitted to the Regulator;</w:t>
      </w:r>
    </w:p>
    <w:p w14:paraId="3D93C04C"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if information is incorporated in the Fund Prospectus by reference to another document, a copy of that other document;</w:t>
      </w:r>
    </w:p>
    <w:p w14:paraId="6844F25B" w14:textId="77777777" w:rsidR="00892AFD" w:rsidRPr="00FB2F3D" w:rsidRDefault="00892AFD" w:rsidP="00892AFD">
      <w:pPr>
        <w:pStyle w:val="Heading5"/>
        <w:rPr>
          <w:rFonts w:ascii="Arial" w:hAnsi="Arial" w:cs="Arial"/>
          <w:sz w:val="22"/>
          <w:szCs w:val="22"/>
          <w:lang w:eastAsia="ja-JP"/>
        </w:rPr>
      </w:pPr>
      <w:r w:rsidRPr="00FB2F3D">
        <w:rPr>
          <w:rFonts w:ascii="Arial" w:hAnsi="Arial" w:cs="Arial"/>
          <w:sz w:val="22"/>
          <w:szCs w:val="22"/>
        </w:rPr>
        <w:t>the identity of the Person who is or intends to be the Reporting Entity;</w:t>
      </w:r>
    </w:p>
    <w:p w14:paraId="38128997"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contact details of two individuals who are sufficiently knowledgeable</w:t>
      </w:r>
      <w:r w:rsidRPr="00FB2F3D">
        <w:rPr>
          <w:rFonts w:ascii="Arial" w:hAnsi="Arial" w:cs="Arial"/>
          <w:sz w:val="22"/>
          <w:szCs w:val="22"/>
          <w:lang w:eastAsia="ja-JP"/>
        </w:rPr>
        <w:t xml:space="preserve"> </w:t>
      </w:r>
      <w:r w:rsidRPr="00FB2F3D">
        <w:rPr>
          <w:rFonts w:ascii="Arial" w:hAnsi="Arial" w:cs="Arial"/>
          <w:sz w:val="22"/>
          <w:szCs w:val="22"/>
        </w:rPr>
        <w:t xml:space="preserve">about the content of the document referred to in </w:t>
      </w:r>
      <w:r w:rsidR="00693841" w:rsidRPr="00FB2F3D">
        <w:rPr>
          <w:rFonts w:ascii="Arial" w:hAnsi="Arial" w:cs="Arial"/>
          <w:sz w:val="22"/>
          <w:szCs w:val="22"/>
        </w:rPr>
        <w:t>(b)</w:t>
      </w:r>
      <w:r w:rsidRPr="00FB2F3D">
        <w:rPr>
          <w:rFonts w:ascii="Arial" w:hAnsi="Arial" w:cs="Arial"/>
          <w:sz w:val="22"/>
          <w:szCs w:val="22"/>
        </w:rPr>
        <w:t xml:space="preserve"> to be able to</w:t>
      </w:r>
      <w:r w:rsidRPr="00FB2F3D">
        <w:rPr>
          <w:rFonts w:ascii="Arial" w:hAnsi="Arial" w:cs="Arial"/>
          <w:sz w:val="22"/>
          <w:szCs w:val="22"/>
          <w:lang w:eastAsia="ja-JP"/>
        </w:rPr>
        <w:t xml:space="preserve"> </w:t>
      </w:r>
      <w:r w:rsidRPr="00FB2F3D">
        <w:rPr>
          <w:rFonts w:ascii="Arial" w:hAnsi="Arial" w:cs="Arial"/>
          <w:sz w:val="22"/>
          <w:szCs w:val="22"/>
        </w:rPr>
        <w:t>answer queries of the Regulator during business hours; and</w:t>
      </w:r>
    </w:p>
    <w:p w14:paraId="3A353B59" w14:textId="77777777" w:rsidR="00892AFD" w:rsidRPr="00FB2F3D" w:rsidRDefault="00892AFD" w:rsidP="00892AFD">
      <w:pPr>
        <w:pStyle w:val="Heading5"/>
        <w:rPr>
          <w:rFonts w:ascii="Arial" w:hAnsi="Arial" w:cs="Arial"/>
          <w:sz w:val="22"/>
          <w:szCs w:val="22"/>
          <w:lang w:eastAsia="ja-JP"/>
        </w:rPr>
      </w:pPr>
      <w:r w:rsidRPr="00FB2F3D">
        <w:rPr>
          <w:rFonts w:ascii="Arial" w:hAnsi="Arial" w:cs="Arial"/>
          <w:sz w:val="22"/>
          <w:szCs w:val="22"/>
        </w:rPr>
        <w:t>any other information that the Regulator may require.</w:t>
      </w:r>
    </w:p>
    <w:p w14:paraId="2732A8D7" w14:textId="77777777" w:rsidR="00892AFD" w:rsidRPr="00FB2F3D" w:rsidRDefault="00892AFD" w:rsidP="00892AFD">
      <w:pPr>
        <w:pStyle w:val="Heading4"/>
        <w:keepNext/>
        <w:rPr>
          <w:rFonts w:ascii="Arial" w:hAnsi="Arial" w:cs="Arial"/>
          <w:sz w:val="22"/>
          <w:szCs w:val="22"/>
        </w:rPr>
      </w:pPr>
      <w:bookmarkStart w:id="230" w:name="_Ref410668608"/>
      <w:r w:rsidRPr="00FB2F3D">
        <w:rPr>
          <w:rFonts w:ascii="Arial" w:hAnsi="Arial" w:cs="Arial"/>
          <w:sz w:val="22"/>
          <w:szCs w:val="22"/>
        </w:rPr>
        <w:lastRenderedPageBreak/>
        <w:t xml:space="preserve">The application in </w:t>
      </w:r>
      <w:r w:rsidR="00693841" w:rsidRPr="00FB2F3D">
        <w:rPr>
          <w:rFonts w:ascii="Arial" w:hAnsi="Arial" w:cs="Arial"/>
          <w:sz w:val="22"/>
          <w:szCs w:val="22"/>
        </w:rPr>
        <w:t>(1)</w:t>
      </w:r>
      <w:r w:rsidRPr="00FB2F3D">
        <w:rPr>
          <w:rFonts w:ascii="Arial" w:hAnsi="Arial" w:cs="Arial"/>
          <w:sz w:val="22"/>
          <w:szCs w:val="22"/>
        </w:rPr>
        <w:t xml:space="preserve"> must be submitted to the Regulator:</w:t>
      </w:r>
      <w:bookmarkEnd w:id="230"/>
    </w:p>
    <w:p w14:paraId="5D83FBF9" w14:textId="77777777" w:rsidR="00892AFD" w:rsidRPr="00FB2F3D" w:rsidRDefault="00892AFD" w:rsidP="00892AFD">
      <w:pPr>
        <w:pStyle w:val="Heading5"/>
        <w:rPr>
          <w:rFonts w:ascii="Arial" w:hAnsi="Arial" w:cs="Arial"/>
          <w:sz w:val="22"/>
          <w:szCs w:val="22"/>
        </w:rPr>
      </w:pPr>
      <w:bookmarkStart w:id="231" w:name="_Ref410668683"/>
      <w:r w:rsidRPr="00FB2F3D">
        <w:rPr>
          <w:rFonts w:ascii="Arial" w:hAnsi="Arial" w:cs="Arial"/>
          <w:sz w:val="22"/>
          <w:szCs w:val="22"/>
        </w:rPr>
        <w:t>in the case of an Applicant who has not made a previous Prospectus Offer, at least 20 Business Days prior to the intended date on which the Applicant expects the Prospectus to be approved;</w:t>
      </w:r>
      <w:bookmarkEnd w:id="231"/>
    </w:p>
    <w:p w14:paraId="2B665E51"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in other cases, at least 10 Business Days before the intended date on which the Applicant expects the Prospectus to be approved; and</w:t>
      </w:r>
    </w:p>
    <w:p w14:paraId="113D219F"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in the case of a Supplementary Prospectus, as soon as is reasonably possible.</w:t>
      </w:r>
    </w:p>
    <w:p w14:paraId="713F7C38" w14:textId="77777777" w:rsidR="00892AFD" w:rsidRPr="00FB2F3D" w:rsidRDefault="00892AFD" w:rsidP="00892AFD">
      <w:pPr>
        <w:pStyle w:val="Heading4"/>
        <w:keepNext/>
        <w:rPr>
          <w:rFonts w:ascii="Arial" w:hAnsi="Arial" w:cs="Arial"/>
          <w:sz w:val="22"/>
          <w:szCs w:val="22"/>
          <w:lang w:eastAsia="ja-JP"/>
        </w:rPr>
      </w:pPr>
      <w:bookmarkStart w:id="232" w:name="_Ref410668616"/>
      <w:r w:rsidRPr="00FB2F3D">
        <w:rPr>
          <w:rFonts w:ascii="Arial" w:hAnsi="Arial" w:cs="Arial"/>
          <w:sz w:val="22"/>
          <w:szCs w:val="22"/>
        </w:rPr>
        <w:t>In the case of a Supplementary Prospectus, the application for approval must:</w:t>
      </w:r>
      <w:bookmarkEnd w:id="232"/>
    </w:p>
    <w:p w14:paraId="2B8D57AC"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 xml:space="preserve">be made using </w:t>
      </w:r>
      <w:r w:rsidR="0029125A" w:rsidRPr="00FB2F3D">
        <w:rPr>
          <w:rFonts w:ascii="Arial" w:hAnsi="Arial" w:cs="Arial"/>
          <w:sz w:val="22"/>
          <w:szCs w:val="22"/>
        </w:rPr>
        <w:t>such form as the Regulator shall prescribe</w:t>
      </w:r>
      <w:r w:rsidRPr="00FB2F3D">
        <w:rPr>
          <w:rFonts w:ascii="Arial" w:hAnsi="Arial" w:cs="Arial"/>
          <w:sz w:val="22"/>
          <w:szCs w:val="22"/>
        </w:rPr>
        <w:t>;</w:t>
      </w:r>
    </w:p>
    <w:p w14:paraId="6869278A" w14:textId="77777777" w:rsidR="00892AFD" w:rsidRPr="00FB2F3D" w:rsidRDefault="00892AFD" w:rsidP="00071A62">
      <w:pPr>
        <w:pStyle w:val="Heading5"/>
        <w:rPr>
          <w:rFonts w:ascii="Arial" w:hAnsi="Arial" w:cs="Arial"/>
          <w:sz w:val="22"/>
          <w:szCs w:val="22"/>
        </w:rPr>
      </w:pPr>
      <w:r w:rsidRPr="00FB2F3D">
        <w:rPr>
          <w:rFonts w:ascii="Arial" w:hAnsi="Arial" w:cs="Arial"/>
          <w:sz w:val="22"/>
          <w:szCs w:val="22"/>
        </w:rPr>
        <w:t xml:space="preserve">accompanied by </w:t>
      </w:r>
      <w:r w:rsidR="00071A62" w:rsidRPr="00FB2F3D">
        <w:rPr>
          <w:rFonts w:ascii="Arial" w:hAnsi="Arial" w:cs="Arial"/>
          <w:sz w:val="22"/>
          <w:szCs w:val="22"/>
        </w:rPr>
        <w:t xml:space="preserve">the relevant fee prescribed in </w:t>
      </w:r>
      <w:r w:rsidRPr="00FB2F3D">
        <w:rPr>
          <w:rFonts w:ascii="Arial" w:hAnsi="Arial" w:cs="Arial"/>
          <w:sz w:val="22"/>
          <w:szCs w:val="22"/>
        </w:rPr>
        <w:t xml:space="preserve">FEES </w:t>
      </w:r>
      <w:r w:rsidR="00071A62" w:rsidRPr="00FB2F3D">
        <w:rPr>
          <w:rFonts w:ascii="Arial" w:hAnsi="Arial" w:cs="Arial"/>
          <w:sz w:val="22"/>
          <w:szCs w:val="22"/>
        </w:rPr>
        <w:t>Rulebook</w:t>
      </w:r>
      <w:r w:rsidRPr="00FB2F3D">
        <w:rPr>
          <w:rFonts w:ascii="Arial" w:hAnsi="Arial" w:cs="Arial"/>
          <w:sz w:val="22"/>
          <w:szCs w:val="22"/>
        </w:rPr>
        <w:t>; and</w:t>
      </w:r>
    </w:p>
    <w:p w14:paraId="251ED2F8" w14:textId="77777777" w:rsidR="00892AFD" w:rsidRPr="00FB2F3D" w:rsidRDefault="00892AFD" w:rsidP="00892AFD">
      <w:pPr>
        <w:pStyle w:val="Heading5"/>
        <w:keepNext/>
        <w:rPr>
          <w:rFonts w:ascii="Arial" w:hAnsi="Arial" w:cs="Arial"/>
          <w:sz w:val="22"/>
          <w:szCs w:val="22"/>
        </w:rPr>
      </w:pPr>
      <w:r w:rsidRPr="00FB2F3D">
        <w:rPr>
          <w:rFonts w:ascii="Arial" w:hAnsi="Arial" w:cs="Arial"/>
          <w:sz w:val="22"/>
          <w:szCs w:val="22"/>
        </w:rPr>
        <w:t>include:</w:t>
      </w:r>
    </w:p>
    <w:p w14:paraId="2A9034E9" w14:textId="77777777" w:rsidR="00892AFD" w:rsidRPr="00FB2F3D" w:rsidRDefault="00892AFD" w:rsidP="00892AFD">
      <w:pPr>
        <w:pStyle w:val="Heading6"/>
        <w:rPr>
          <w:rFonts w:ascii="Arial" w:hAnsi="Arial" w:cs="Arial"/>
          <w:sz w:val="22"/>
          <w:szCs w:val="22"/>
        </w:rPr>
      </w:pPr>
      <w:r w:rsidRPr="00FB2F3D">
        <w:rPr>
          <w:rFonts w:ascii="Arial" w:hAnsi="Arial" w:cs="Arial"/>
          <w:sz w:val="22"/>
          <w:szCs w:val="22"/>
        </w:rPr>
        <w:t>in the case of a Domestic Fund, a Supplementary Prospectus which meets the requirements in the Fund Rules; and</w:t>
      </w:r>
    </w:p>
    <w:p w14:paraId="794A86B0" w14:textId="77777777" w:rsidR="00892AFD" w:rsidRPr="00FB2F3D" w:rsidRDefault="00892AFD" w:rsidP="00892AFD">
      <w:pPr>
        <w:pStyle w:val="Heading6"/>
        <w:rPr>
          <w:rFonts w:ascii="Arial" w:hAnsi="Arial" w:cs="Arial"/>
          <w:sz w:val="22"/>
          <w:szCs w:val="22"/>
        </w:rPr>
      </w:pPr>
      <w:r w:rsidRPr="00FB2F3D">
        <w:rPr>
          <w:rFonts w:ascii="Arial" w:hAnsi="Arial" w:cs="Arial"/>
          <w:sz w:val="22"/>
          <w:szCs w:val="22"/>
        </w:rPr>
        <w:t>in the case of a Foreign Fund, a document which meets the equivalent requirements applicable in the jurisdiction in which the Fund is established or domiciled.</w:t>
      </w:r>
    </w:p>
    <w:p w14:paraId="3B1E090C"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Approval of a Prospectus</w:t>
      </w:r>
    </w:p>
    <w:p w14:paraId="0A4DD59F" w14:textId="77777777" w:rsidR="00892AFD" w:rsidRPr="00FB2F3D" w:rsidRDefault="007441BA" w:rsidP="00892AFD">
      <w:pPr>
        <w:pStyle w:val="Heading3"/>
        <w:ind w:left="1440" w:hanging="1440"/>
        <w:rPr>
          <w:rFonts w:ascii="Arial" w:hAnsi="Arial" w:cs="Arial"/>
          <w:sz w:val="22"/>
          <w:szCs w:val="22"/>
        </w:rPr>
      </w:pPr>
      <w:r w:rsidRPr="00FB2F3D">
        <w:rPr>
          <w:rFonts w:ascii="Arial" w:hAnsi="Arial" w:cs="Arial"/>
          <w:sz w:val="22"/>
          <w:szCs w:val="22"/>
        </w:rPr>
        <w:t>(1)</w:t>
      </w:r>
      <w:r w:rsidR="00892AFD" w:rsidRPr="00FB2F3D">
        <w:rPr>
          <w:rFonts w:ascii="Arial" w:hAnsi="Arial" w:cs="Arial"/>
          <w:sz w:val="22"/>
          <w:szCs w:val="22"/>
        </w:rPr>
        <w:tab/>
        <w:t>The Regulator will approve a Fund Prospectus which has been filed with the</w:t>
      </w:r>
      <w:r w:rsidR="00892AFD" w:rsidRPr="00FB2F3D">
        <w:rPr>
          <w:rFonts w:ascii="Arial" w:hAnsi="Arial" w:cs="Arial"/>
          <w:sz w:val="22"/>
          <w:szCs w:val="22"/>
          <w:lang w:eastAsia="ja-JP"/>
        </w:rPr>
        <w:t xml:space="preserve"> </w:t>
      </w:r>
      <w:r w:rsidR="00892AFD" w:rsidRPr="00FB2F3D">
        <w:rPr>
          <w:rFonts w:ascii="Arial" w:hAnsi="Arial" w:cs="Arial"/>
          <w:sz w:val="22"/>
          <w:szCs w:val="22"/>
        </w:rPr>
        <w:t>Regulator in accordance with Rule </w:t>
      </w:r>
      <w:r w:rsidR="00693841" w:rsidRPr="00FB2F3D">
        <w:rPr>
          <w:rFonts w:ascii="Arial" w:hAnsi="Arial" w:cs="Arial"/>
          <w:sz w:val="22"/>
          <w:szCs w:val="22"/>
        </w:rPr>
        <w:t>3.3.1</w:t>
      </w:r>
      <w:r w:rsidR="00892AFD" w:rsidRPr="00FB2F3D">
        <w:rPr>
          <w:rFonts w:ascii="Arial" w:hAnsi="Arial" w:cs="Arial"/>
          <w:sz w:val="22"/>
          <w:szCs w:val="22"/>
        </w:rPr>
        <w:t xml:space="preserve"> as soon as reasonably practicable where</w:t>
      </w:r>
      <w:r w:rsidR="00892AFD" w:rsidRPr="00FB2F3D">
        <w:rPr>
          <w:rFonts w:ascii="Arial" w:hAnsi="Arial" w:cs="Arial"/>
          <w:sz w:val="22"/>
          <w:szCs w:val="22"/>
          <w:lang w:eastAsia="ja-JP"/>
        </w:rPr>
        <w:t xml:space="preserve"> </w:t>
      </w:r>
      <w:r w:rsidR="00892AFD" w:rsidRPr="00FB2F3D">
        <w:rPr>
          <w:rFonts w:ascii="Arial" w:hAnsi="Arial" w:cs="Arial"/>
          <w:sz w:val="22"/>
          <w:szCs w:val="22"/>
        </w:rPr>
        <w:t>it is satisfied that the Prospectus complies with all the requirements applicable</w:t>
      </w:r>
      <w:r w:rsidR="00892AFD" w:rsidRPr="00FB2F3D">
        <w:rPr>
          <w:rFonts w:ascii="Arial" w:hAnsi="Arial" w:cs="Arial"/>
          <w:sz w:val="22"/>
          <w:szCs w:val="22"/>
          <w:lang w:eastAsia="ja-JP"/>
        </w:rPr>
        <w:t xml:space="preserve"> </w:t>
      </w:r>
      <w:r w:rsidR="00892AFD" w:rsidRPr="00FB2F3D">
        <w:rPr>
          <w:rFonts w:ascii="Arial" w:hAnsi="Arial" w:cs="Arial"/>
          <w:sz w:val="22"/>
          <w:szCs w:val="22"/>
        </w:rPr>
        <w:t>to that Prospectus.</w:t>
      </w:r>
    </w:p>
    <w:p w14:paraId="6708FA71" w14:textId="77777777" w:rsidR="00892AFD" w:rsidRPr="00FB2F3D" w:rsidRDefault="00071A62" w:rsidP="00071A62">
      <w:pPr>
        <w:pStyle w:val="Heading4"/>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892AFD" w:rsidRPr="00FB2F3D">
        <w:rPr>
          <w:rFonts w:ascii="Arial" w:hAnsi="Arial" w:cs="Arial"/>
          <w:sz w:val="22"/>
          <w:szCs w:val="22"/>
        </w:rPr>
        <w:t>A Fund Prospectus is not an Approved Prospectus for the purposes of section 61(2) of the FSMR unless the Regulator has issued to the Applicant a notice stating its approval:</w:t>
      </w:r>
    </w:p>
    <w:p w14:paraId="5E7CBE67" w14:textId="77777777" w:rsidR="00892AFD" w:rsidRPr="00FB2F3D" w:rsidRDefault="00892AFD" w:rsidP="00892AFD">
      <w:pPr>
        <w:pStyle w:val="Heading5"/>
        <w:rPr>
          <w:rFonts w:ascii="Arial" w:hAnsi="Arial" w:cs="Arial"/>
          <w:sz w:val="22"/>
          <w:szCs w:val="22"/>
        </w:rPr>
      </w:pPr>
      <w:bookmarkStart w:id="233" w:name="_Ref410681655"/>
      <w:r w:rsidRPr="00FB2F3D">
        <w:rPr>
          <w:rFonts w:ascii="Arial" w:hAnsi="Arial" w:cs="Arial"/>
          <w:sz w:val="22"/>
          <w:szCs w:val="22"/>
        </w:rPr>
        <w:t>of the Prospectus or Supplementary Prospectus, as the case may be; and</w:t>
      </w:r>
      <w:bookmarkEnd w:id="233"/>
    </w:p>
    <w:p w14:paraId="72A17132" w14:textId="77777777" w:rsidR="00892AFD" w:rsidRPr="00FB2F3D" w:rsidRDefault="008951B4" w:rsidP="00892AFD">
      <w:pPr>
        <w:pStyle w:val="Heading5"/>
        <w:rPr>
          <w:rFonts w:ascii="Arial" w:hAnsi="Arial" w:cs="Arial"/>
          <w:sz w:val="22"/>
          <w:szCs w:val="22"/>
        </w:rPr>
      </w:pPr>
      <w:r w:rsidRPr="00FB2F3D">
        <w:rPr>
          <w:rFonts w:ascii="Arial" w:hAnsi="Arial" w:cs="Arial"/>
          <w:sz w:val="22"/>
          <w:szCs w:val="22"/>
        </w:rPr>
        <w:t>in the case of a</w:t>
      </w:r>
      <w:r w:rsidR="00892AFD" w:rsidRPr="00FB2F3D">
        <w:rPr>
          <w:rFonts w:ascii="Arial" w:hAnsi="Arial" w:cs="Arial"/>
          <w:sz w:val="22"/>
          <w:szCs w:val="22"/>
        </w:rPr>
        <w:t xml:space="preserve"> Prospectus in </w:t>
      </w:r>
      <w:r w:rsidR="00693841" w:rsidRPr="00FB2F3D">
        <w:rPr>
          <w:rFonts w:ascii="Arial" w:hAnsi="Arial" w:cs="Arial"/>
          <w:sz w:val="22"/>
          <w:szCs w:val="22"/>
        </w:rPr>
        <w:t>(a)</w:t>
      </w:r>
      <w:r w:rsidR="00892AFD" w:rsidRPr="00FB2F3D">
        <w:rPr>
          <w:rFonts w:ascii="Arial" w:hAnsi="Arial" w:cs="Arial"/>
          <w:sz w:val="22"/>
          <w:szCs w:val="22"/>
        </w:rPr>
        <w:t xml:space="preserve"> comprising multiple documents, of all the multiple documents.</w:t>
      </w:r>
    </w:p>
    <w:p w14:paraId="36808E11"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7CD6E23C" w14:textId="77777777" w:rsidR="00892AFD" w:rsidRPr="00FB2F3D" w:rsidRDefault="00892AFD" w:rsidP="00755725">
      <w:pPr>
        <w:pStyle w:val="GuidanceNotesnumbering"/>
        <w:numPr>
          <w:ilvl w:val="0"/>
          <w:numId w:val="45"/>
        </w:numPr>
        <w:rPr>
          <w:rFonts w:ascii="Arial" w:hAnsi="Arial" w:cs="Arial"/>
          <w:sz w:val="22"/>
          <w:szCs w:val="22"/>
        </w:rPr>
      </w:pPr>
      <w:r w:rsidRPr="00FB2F3D">
        <w:rPr>
          <w:rFonts w:ascii="Arial" w:hAnsi="Arial" w:cs="Arial"/>
          <w:sz w:val="22"/>
          <w:szCs w:val="22"/>
        </w:rPr>
        <w:t>A Person intending to apply to the Regulator for approval of a Fund Prospectus pursuant to Rule </w:t>
      </w:r>
      <w:r w:rsidR="00693841" w:rsidRPr="00FB2F3D">
        <w:rPr>
          <w:rFonts w:ascii="Arial" w:hAnsi="Arial" w:cs="Arial"/>
          <w:sz w:val="22"/>
          <w:szCs w:val="22"/>
        </w:rPr>
        <w:t>3.3.1</w:t>
      </w:r>
      <w:r w:rsidRPr="00FB2F3D">
        <w:rPr>
          <w:rFonts w:ascii="Arial" w:hAnsi="Arial" w:cs="Arial"/>
          <w:sz w:val="22"/>
          <w:szCs w:val="22"/>
          <w:lang w:eastAsia="ja-JP"/>
        </w:rPr>
        <w:t xml:space="preserve"> </w:t>
      </w:r>
      <w:r w:rsidRPr="00FB2F3D">
        <w:rPr>
          <w:rFonts w:ascii="Arial" w:hAnsi="Arial" w:cs="Arial"/>
          <w:sz w:val="22"/>
          <w:szCs w:val="22"/>
        </w:rPr>
        <w:t>should consider submitting a draft Prospectus for preliminary review by the Regulator prior to formally submitting the Prospectus for</w:t>
      </w:r>
      <w:r w:rsidR="00BD765C" w:rsidRPr="00FB2F3D">
        <w:rPr>
          <w:rFonts w:ascii="Arial" w:hAnsi="Arial" w:cs="Arial"/>
          <w:sz w:val="22"/>
          <w:szCs w:val="22"/>
        </w:rPr>
        <w:t xml:space="preserve"> the</w:t>
      </w:r>
      <w:r w:rsidRPr="00FB2F3D">
        <w:rPr>
          <w:rFonts w:ascii="Arial" w:hAnsi="Arial" w:cs="Arial"/>
          <w:sz w:val="22"/>
          <w:szCs w:val="22"/>
        </w:rPr>
        <w:t xml:space="preserve"> Regulator</w:t>
      </w:r>
      <w:r w:rsidR="00BD765C" w:rsidRPr="00FB2F3D">
        <w:rPr>
          <w:rFonts w:ascii="Arial" w:hAnsi="Arial" w:cs="Arial"/>
          <w:sz w:val="22"/>
          <w:szCs w:val="22"/>
        </w:rPr>
        <w:t>'s</w:t>
      </w:r>
      <w:r w:rsidRPr="00FB2F3D">
        <w:rPr>
          <w:rFonts w:ascii="Arial" w:hAnsi="Arial" w:cs="Arial"/>
          <w:sz w:val="22"/>
          <w:szCs w:val="22"/>
        </w:rPr>
        <w:t xml:space="preserve"> approval. See </w:t>
      </w:r>
      <w:r w:rsidR="006D5436" w:rsidRPr="00FB2F3D">
        <w:rPr>
          <w:rFonts w:ascii="Arial" w:hAnsi="Arial" w:cs="Arial"/>
          <w:sz w:val="22"/>
          <w:szCs w:val="22"/>
        </w:rPr>
        <w:t>the GPM</w:t>
      </w:r>
      <w:r w:rsidRPr="00FB2F3D">
        <w:rPr>
          <w:rFonts w:ascii="Arial" w:hAnsi="Arial" w:cs="Arial"/>
          <w:sz w:val="22"/>
          <w:szCs w:val="22"/>
        </w:rPr>
        <w:t xml:space="preserve"> for procedures for applying for </w:t>
      </w:r>
      <w:r w:rsidR="00BD765C" w:rsidRPr="00FB2F3D">
        <w:rPr>
          <w:rFonts w:ascii="Arial" w:hAnsi="Arial" w:cs="Arial"/>
          <w:sz w:val="22"/>
          <w:szCs w:val="22"/>
        </w:rPr>
        <w:t xml:space="preserve">the </w:t>
      </w:r>
      <w:r w:rsidRPr="00FB2F3D">
        <w:rPr>
          <w:rFonts w:ascii="Arial" w:hAnsi="Arial" w:cs="Arial"/>
          <w:sz w:val="22"/>
          <w:szCs w:val="22"/>
        </w:rPr>
        <w:t>Regulator</w:t>
      </w:r>
      <w:r w:rsidR="00BD765C" w:rsidRPr="00FB2F3D">
        <w:rPr>
          <w:rFonts w:ascii="Arial" w:hAnsi="Arial" w:cs="Arial"/>
          <w:sz w:val="22"/>
          <w:szCs w:val="22"/>
        </w:rPr>
        <w:t>'s</w:t>
      </w:r>
      <w:r w:rsidRPr="00FB2F3D">
        <w:rPr>
          <w:rFonts w:ascii="Arial" w:hAnsi="Arial" w:cs="Arial"/>
          <w:sz w:val="22"/>
          <w:szCs w:val="22"/>
        </w:rPr>
        <w:t xml:space="preserve"> approval.</w:t>
      </w:r>
    </w:p>
    <w:p w14:paraId="5AB2239D" w14:textId="77777777"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 xml:space="preserve">The approval of a Fund Prospectus by the Regulator will not prevent the use by the Regulator of its powers, such as the stop order power in section 53 of the FSMR, in circumstances where the need for such action is subsequently </w:t>
      </w:r>
      <w:r w:rsidRPr="00FB2F3D">
        <w:rPr>
          <w:rFonts w:ascii="Arial" w:hAnsi="Arial" w:cs="Arial"/>
          <w:sz w:val="22"/>
          <w:szCs w:val="22"/>
        </w:rPr>
        <w:lastRenderedPageBreak/>
        <w:t xml:space="preserve">identified. For example, if the Regulator becomes aware, after the approval of the Fund Prospectus, that it contains any </w:t>
      </w:r>
      <w:r w:rsidR="00EC3624" w:rsidRPr="00FB2F3D">
        <w:rPr>
          <w:rFonts w:ascii="Arial" w:hAnsi="Arial" w:cs="Arial"/>
          <w:sz w:val="22"/>
          <w:szCs w:val="22"/>
        </w:rPr>
        <w:t xml:space="preserve">false, misleading, or deceptive </w:t>
      </w:r>
      <w:r w:rsidRPr="00FB2F3D">
        <w:rPr>
          <w:rFonts w:ascii="Arial" w:hAnsi="Arial" w:cs="Arial"/>
          <w:sz w:val="22"/>
          <w:szCs w:val="22"/>
        </w:rPr>
        <w:t xml:space="preserve">information, or </w:t>
      </w:r>
      <w:r w:rsidR="00EC3624" w:rsidRPr="00FB2F3D">
        <w:rPr>
          <w:rFonts w:ascii="Arial" w:hAnsi="Arial" w:cs="Arial"/>
          <w:sz w:val="22"/>
          <w:szCs w:val="22"/>
        </w:rPr>
        <w:t xml:space="preserve">if </w:t>
      </w:r>
      <w:r w:rsidRPr="00FB2F3D">
        <w:rPr>
          <w:rFonts w:ascii="Arial" w:hAnsi="Arial" w:cs="Arial"/>
          <w:sz w:val="22"/>
          <w:szCs w:val="22"/>
        </w:rPr>
        <w:t>it breaches the Prospectus provisions in other respects, the Regulator may use its powers or take any other action as appropriate in the circumstances.</w:t>
      </w:r>
    </w:p>
    <w:p w14:paraId="7F0D15C6" w14:textId="77777777" w:rsidR="00892AFD" w:rsidRPr="00FB2F3D" w:rsidRDefault="007441BA" w:rsidP="00892AFD">
      <w:pPr>
        <w:pStyle w:val="Heading3"/>
        <w:ind w:left="1440" w:hanging="1440"/>
        <w:rPr>
          <w:rFonts w:ascii="Arial" w:hAnsi="Arial" w:cs="Arial"/>
          <w:sz w:val="22"/>
          <w:szCs w:val="22"/>
        </w:rPr>
      </w:pPr>
      <w:bookmarkStart w:id="234" w:name="_Ref410056909"/>
      <w:bookmarkStart w:id="235" w:name="_Ref410633838"/>
      <w:r w:rsidRPr="00FB2F3D">
        <w:rPr>
          <w:rFonts w:ascii="Arial" w:hAnsi="Arial" w:cs="Arial"/>
          <w:sz w:val="22"/>
          <w:szCs w:val="22"/>
        </w:rPr>
        <w:t>(1)</w:t>
      </w:r>
      <w:r w:rsidR="00892AFD" w:rsidRPr="00FB2F3D">
        <w:rPr>
          <w:rFonts w:ascii="Arial" w:hAnsi="Arial" w:cs="Arial"/>
          <w:sz w:val="22"/>
          <w:szCs w:val="22"/>
        </w:rPr>
        <w:tab/>
        <w:t>For the purposes of Rule </w:t>
      </w:r>
      <w:r w:rsidR="00693841" w:rsidRPr="00FB2F3D">
        <w:rPr>
          <w:rFonts w:ascii="Arial" w:hAnsi="Arial" w:cs="Arial"/>
          <w:sz w:val="22"/>
          <w:szCs w:val="22"/>
        </w:rPr>
        <w:t>3.3.1(1)(b)(ii)</w:t>
      </w:r>
      <w:r w:rsidR="00892AFD" w:rsidRPr="00FB2F3D">
        <w:rPr>
          <w:rFonts w:ascii="Arial" w:hAnsi="Arial" w:cs="Arial"/>
          <w:sz w:val="22"/>
          <w:szCs w:val="22"/>
        </w:rPr>
        <w:t>, the Offer document relating to the</w:t>
      </w:r>
      <w:r w:rsidR="00892AFD" w:rsidRPr="00FB2F3D">
        <w:rPr>
          <w:rFonts w:ascii="Arial" w:hAnsi="Arial" w:cs="Arial"/>
          <w:sz w:val="22"/>
          <w:szCs w:val="22"/>
          <w:lang w:eastAsia="ja-JP"/>
        </w:rPr>
        <w:t xml:space="preserve"> </w:t>
      </w:r>
      <w:r w:rsidR="00892AFD" w:rsidRPr="00FB2F3D">
        <w:rPr>
          <w:rFonts w:ascii="Arial" w:hAnsi="Arial" w:cs="Arial"/>
          <w:sz w:val="22"/>
          <w:szCs w:val="22"/>
        </w:rPr>
        <w:t>Foreign Fund must comply with the requirements</w:t>
      </w:r>
      <w:bookmarkEnd w:id="234"/>
      <w:r w:rsidR="00892AFD" w:rsidRPr="00FB2F3D">
        <w:rPr>
          <w:rFonts w:ascii="Arial" w:hAnsi="Arial" w:cs="Arial"/>
          <w:sz w:val="22"/>
          <w:szCs w:val="22"/>
        </w:rPr>
        <w:t>:</w:t>
      </w:r>
      <w:bookmarkEnd w:id="235"/>
    </w:p>
    <w:p w14:paraId="340941AB" w14:textId="77777777" w:rsidR="00892AFD" w:rsidRPr="00FB2F3D" w:rsidRDefault="00892AFD" w:rsidP="00071A62">
      <w:pPr>
        <w:pStyle w:val="Heading5"/>
        <w:rPr>
          <w:rFonts w:ascii="Arial" w:hAnsi="Arial" w:cs="Arial"/>
          <w:sz w:val="22"/>
          <w:szCs w:val="22"/>
        </w:rPr>
      </w:pPr>
      <w:r w:rsidRPr="00FB2F3D">
        <w:rPr>
          <w:rFonts w:ascii="Arial" w:hAnsi="Arial" w:cs="Arial"/>
          <w:sz w:val="22"/>
          <w:szCs w:val="22"/>
        </w:rPr>
        <w:t xml:space="preserve">relating to a </w:t>
      </w:r>
      <w:r w:rsidR="00071A62" w:rsidRPr="00FB2F3D">
        <w:rPr>
          <w:rFonts w:ascii="Arial" w:hAnsi="Arial" w:cs="Arial"/>
          <w:sz w:val="22"/>
          <w:szCs w:val="22"/>
        </w:rPr>
        <w:t>regulated</w:t>
      </w:r>
      <w:r w:rsidRPr="00FB2F3D">
        <w:rPr>
          <w:rFonts w:ascii="Arial" w:hAnsi="Arial" w:cs="Arial"/>
          <w:sz w:val="22"/>
          <w:szCs w:val="22"/>
        </w:rPr>
        <w:t xml:space="preserve"> Fund in a Recognised Jurisdiction; or</w:t>
      </w:r>
    </w:p>
    <w:p w14:paraId="622916F5" w14:textId="77777777" w:rsidR="00892AFD" w:rsidRPr="00FB2F3D" w:rsidRDefault="00892AFD" w:rsidP="00892AFD">
      <w:pPr>
        <w:pStyle w:val="Heading5"/>
        <w:rPr>
          <w:rFonts w:ascii="Arial" w:hAnsi="Arial" w:cs="Arial"/>
          <w:sz w:val="22"/>
          <w:szCs w:val="22"/>
        </w:rPr>
      </w:pPr>
      <w:bookmarkStart w:id="236" w:name="_Ref410668764"/>
      <w:r w:rsidRPr="00FB2F3D">
        <w:rPr>
          <w:rFonts w:ascii="Arial" w:hAnsi="Arial" w:cs="Arial"/>
          <w:sz w:val="22"/>
          <w:szCs w:val="22"/>
        </w:rPr>
        <w:t>in a jurisdiction which provides a level of regulation relating to the Offer which is acceptable to the Regulator.</w:t>
      </w:r>
      <w:bookmarkEnd w:id="236"/>
    </w:p>
    <w:p w14:paraId="5D62AD0A" w14:textId="77777777" w:rsidR="00892AFD" w:rsidRPr="00FB2F3D" w:rsidRDefault="00892AFD" w:rsidP="00892AFD">
      <w:pPr>
        <w:pStyle w:val="Heading4"/>
        <w:rPr>
          <w:rFonts w:ascii="Arial" w:hAnsi="Arial" w:cs="Arial"/>
          <w:sz w:val="22"/>
          <w:szCs w:val="22"/>
        </w:rPr>
      </w:pPr>
      <w:r w:rsidRPr="00FB2F3D">
        <w:rPr>
          <w:rFonts w:ascii="Arial" w:hAnsi="Arial" w:cs="Arial"/>
          <w:sz w:val="22"/>
          <w:szCs w:val="22"/>
        </w:rPr>
        <w:t xml:space="preserve">The Regulator may accept an Offer document referred to in </w:t>
      </w:r>
      <w:r w:rsidR="00693841" w:rsidRPr="00FB2F3D">
        <w:rPr>
          <w:rFonts w:ascii="Arial" w:hAnsi="Arial" w:cs="Arial"/>
          <w:sz w:val="22"/>
          <w:szCs w:val="22"/>
        </w:rPr>
        <w:t>(1)(b)</w:t>
      </w:r>
      <w:r w:rsidRPr="00FB2F3D">
        <w:rPr>
          <w:rFonts w:ascii="Arial" w:hAnsi="Arial" w:cs="Arial"/>
          <w:sz w:val="22"/>
          <w:szCs w:val="22"/>
        </w:rPr>
        <w:t xml:space="preserve"> subject to such conditions or restrictions imposed by the Regulator as it sees fit.</w:t>
      </w:r>
    </w:p>
    <w:p w14:paraId="2D953206" w14:textId="77777777" w:rsidR="00892AFD" w:rsidRPr="00FB2F3D" w:rsidRDefault="00892AFD" w:rsidP="00892AFD">
      <w:pPr>
        <w:pStyle w:val="Heading4"/>
        <w:rPr>
          <w:rFonts w:ascii="Arial" w:hAnsi="Arial" w:cs="Arial"/>
          <w:sz w:val="22"/>
          <w:szCs w:val="22"/>
        </w:rPr>
      </w:pPr>
      <w:r w:rsidRPr="00FB2F3D">
        <w:rPr>
          <w:rFonts w:ascii="Arial" w:hAnsi="Arial" w:cs="Arial"/>
          <w:sz w:val="22"/>
          <w:szCs w:val="22"/>
        </w:rPr>
        <w:t xml:space="preserve">Where the Offer document referred to in </w:t>
      </w:r>
      <w:r w:rsidR="00693841" w:rsidRPr="00FB2F3D">
        <w:rPr>
          <w:rFonts w:ascii="Arial" w:hAnsi="Arial" w:cs="Arial"/>
          <w:sz w:val="22"/>
          <w:szCs w:val="22"/>
        </w:rPr>
        <w:t>(1)</w:t>
      </w:r>
      <w:r w:rsidRPr="00FB2F3D">
        <w:rPr>
          <w:rFonts w:ascii="Arial" w:hAnsi="Arial" w:cs="Arial"/>
          <w:sz w:val="22"/>
          <w:szCs w:val="22"/>
        </w:rPr>
        <w:t xml:space="preserve"> is not in the English language, it must be accompanied by an English translation acceptable to the Regulator.</w:t>
      </w:r>
    </w:p>
    <w:p w14:paraId="4FACDE67"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Publication of a Prospectus</w:t>
      </w:r>
    </w:p>
    <w:p w14:paraId="35DD0789"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A Fund Prospectus approved by the Regulator pursuant to Rule </w:t>
      </w:r>
      <w:r w:rsidR="00693841" w:rsidRPr="00FB2F3D">
        <w:rPr>
          <w:rFonts w:ascii="Arial" w:hAnsi="Arial" w:cs="Arial"/>
          <w:sz w:val="22"/>
          <w:szCs w:val="22"/>
        </w:rPr>
        <w:t>3.3.1</w:t>
      </w:r>
      <w:r w:rsidRPr="00FB2F3D">
        <w:rPr>
          <w:rFonts w:ascii="Arial" w:hAnsi="Arial" w:cs="Arial"/>
          <w:sz w:val="22"/>
          <w:szCs w:val="22"/>
        </w:rPr>
        <w:t xml:space="preserve"> must:</w:t>
      </w:r>
    </w:p>
    <w:p w14:paraId="7B76DEBE" w14:textId="77777777" w:rsidR="00892AFD" w:rsidRPr="00FB2F3D" w:rsidRDefault="00892AFD" w:rsidP="00071A62">
      <w:pPr>
        <w:pStyle w:val="Heading4"/>
        <w:rPr>
          <w:rFonts w:ascii="Arial" w:hAnsi="Arial" w:cs="Arial"/>
          <w:sz w:val="22"/>
          <w:szCs w:val="22"/>
        </w:rPr>
      </w:pPr>
      <w:r w:rsidRPr="00FB2F3D">
        <w:rPr>
          <w:rFonts w:ascii="Arial" w:hAnsi="Arial" w:cs="Arial"/>
          <w:sz w:val="22"/>
          <w:szCs w:val="22"/>
        </w:rPr>
        <w:t xml:space="preserve">be filed with the Recognised </w:t>
      </w:r>
      <w:r w:rsidR="00071A62" w:rsidRPr="00FB2F3D">
        <w:rPr>
          <w:rFonts w:ascii="Arial" w:hAnsi="Arial" w:cs="Arial"/>
          <w:sz w:val="22"/>
          <w:szCs w:val="22"/>
        </w:rPr>
        <w:t>Investment Exchange</w:t>
      </w:r>
      <w:r w:rsidRPr="00FB2F3D">
        <w:rPr>
          <w:rFonts w:ascii="Arial" w:hAnsi="Arial" w:cs="Arial"/>
          <w:sz w:val="22"/>
          <w:szCs w:val="22"/>
        </w:rPr>
        <w:t xml:space="preserve"> on which the Units are to be admitted to trading as soon as possible after the Regulator has granted its approval; and</w:t>
      </w:r>
    </w:p>
    <w:p w14:paraId="1A4C2646"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be published in accordance with the requirements in Rule </w:t>
      </w:r>
      <w:r w:rsidR="00693841" w:rsidRPr="00FB2F3D">
        <w:rPr>
          <w:rFonts w:ascii="Arial" w:hAnsi="Arial" w:cs="Arial"/>
          <w:sz w:val="22"/>
          <w:szCs w:val="22"/>
        </w:rPr>
        <w:t>3.9</w:t>
      </w:r>
      <w:r w:rsidRPr="00FB2F3D">
        <w:rPr>
          <w:rFonts w:ascii="Arial" w:hAnsi="Arial" w:cs="Arial"/>
          <w:sz w:val="22"/>
          <w:szCs w:val="22"/>
        </w:rPr>
        <w:t>.</w:t>
      </w:r>
    </w:p>
    <w:p w14:paraId="7664F9A8"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Exempt Offers in respect of Units</w:t>
      </w:r>
    </w:p>
    <w:p w14:paraId="1ACAA502" w14:textId="01371B24" w:rsidR="00892AFD" w:rsidRPr="00FB2F3D" w:rsidRDefault="00892AFD" w:rsidP="00071A62">
      <w:pPr>
        <w:pStyle w:val="Heading3"/>
        <w:rPr>
          <w:rFonts w:ascii="Arial" w:hAnsi="Arial" w:cs="Arial"/>
          <w:sz w:val="22"/>
          <w:szCs w:val="22"/>
        </w:rPr>
      </w:pPr>
      <w:bookmarkStart w:id="237" w:name="_Ref410071644"/>
      <w:bookmarkStart w:id="238" w:name="_Ref410633930"/>
      <w:r w:rsidRPr="00FB2F3D">
        <w:rPr>
          <w:rFonts w:ascii="Arial" w:hAnsi="Arial" w:cs="Arial"/>
          <w:sz w:val="22"/>
          <w:szCs w:val="22"/>
        </w:rPr>
        <w:t xml:space="preserve">The prohibition in section 61 of the FSMR does not apply, subject to the requirement in Rule </w:t>
      </w:r>
      <w:r w:rsidR="00693841" w:rsidRPr="00FB2F3D">
        <w:rPr>
          <w:rFonts w:ascii="Arial" w:hAnsi="Arial" w:cs="Arial"/>
          <w:sz w:val="22"/>
          <w:szCs w:val="22"/>
        </w:rPr>
        <w:t>3.3.6</w:t>
      </w:r>
      <w:r w:rsidRPr="00FB2F3D">
        <w:rPr>
          <w:rFonts w:ascii="Arial" w:hAnsi="Arial" w:cs="Arial"/>
          <w:sz w:val="22"/>
          <w:szCs w:val="22"/>
        </w:rPr>
        <w:t xml:space="preserve">, to the admission to trading on a Recognised </w:t>
      </w:r>
      <w:r w:rsidR="00071A62" w:rsidRPr="00FB2F3D">
        <w:rPr>
          <w:rFonts w:ascii="Arial" w:hAnsi="Arial" w:cs="Arial"/>
          <w:sz w:val="22"/>
          <w:szCs w:val="22"/>
        </w:rPr>
        <w:t>Investment Exchange</w:t>
      </w:r>
      <w:r w:rsidRPr="00FB2F3D">
        <w:rPr>
          <w:rFonts w:ascii="Arial" w:hAnsi="Arial" w:cs="Arial"/>
          <w:sz w:val="22"/>
          <w:szCs w:val="22"/>
        </w:rPr>
        <w:t xml:space="preserve"> of</w:t>
      </w:r>
      <w:bookmarkEnd w:id="237"/>
      <w:r w:rsidRPr="00FB2F3D">
        <w:rPr>
          <w:rFonts w:ascii="Arial" w:hAnsi="Arial" w:cs="Arial"/>
          <w:sz w:val="22"/>
          <w:szCs w:val="22"/>
        </w:rPr>
        <w:t>:</w:t>
      </w:r>
      <w:bookmarkEnd w:id="238"/>
    </w:p>
    <w:p w14:paraId="6B2904AE" w14:textId="77777777" w:rsidR="00892AFD" w:rsidRPr="00FB2F3D" w:rsidRDefault="00892AFD" w:rsidP="00071A62">
      <w:pPr>
        <w:pStyle w:val="Heading4"/>
        <w:rPr>
          <w:rFonts w:ascii="Arial" w:hAnsi="Arial" w:cs="Arial"/>
          <w:sz w:val="22"/>
          <w:szCs w:val="22"/>
        </w:rPr>
      </w:pPr>
      <w:r w:rsidRPr="00FB2F3D">
        <w:rPr>
          <w:rFonts w:ascii="Arial" w:hAnsi="Arial" w:cs="Arial"/>
          <w:sz w:val="22"/>
          <w:szCs w:val="22"/>
        </w:rPr>
        <w:t xml:space="preserve">Units representing, over a period of 12 months, less than 10% of the number of Units of the same class already admitted to trading on the same Recognised </w:t>
      </w:r>
      <w:r w:rsidR="00071A62" w:rsidRPr="00FB2F3D">
        <w:rPr>
          <w:rFonts w:ascii="Arial" w:hAnsi="Arial" w:cs="Arial"/>
          <w:sz w:val="22"/>
          <w:szCs w:val="22"/>
        </w:rPr>
        <w:t>Investment Exchange</w:t>
      </w:r>
      <w:r w:rsidRPr="00FB2F3D">
        <w:rPr>
          <w:rFonts w:ascii="Arial" w:hAnsi="Arial" w:cs="Arial"/>
          <w:sz w:val="22"/>
          <w:szCs w:val="22"/>
        </w:rPr>
        <w:t>;</w:t>
      </w:r>
    </w:p>
    <w:p w14:paraId="1FA587F1" w14:textId="77777777" w:rsidR="00892AFD" w:rsidRPr="00FB2F3D" w:rsidRDefault="00892AFD" w:rsidP="00071A62">
      <w:pPr>
        <w:pStyle w:val="Heading4"/>
        <w:rPr>
          <w:rFonts w:ascii="Arial" w:hAnsi="Arial" w:cs="Arial"/>
          <w:sz w:val="22"/>
          <w:szCs w:val="22"/>
        </w:rPr>
      </w:pPr>
      <w:r w:rsidRPr="00FB2F3D">
        <w:rPr>
          <w:rFonts w:ascii="Arial" w:hAnsi="Arial" w:cs="Arial"/>
          <w:sz w:val="22"/>
          <w:szCs w:val="22"/>
        </w:rPr>
        <w:t xml:space="preserve">Units issued in substitution for Units of the same class already admitted to trading on the same Recognised </w:t>
      </w:r>
      <w:r w:rsidR="00071A62" w:rsidRPr="00FB2F3D">
        <w:rPr>
          <w:rFonts w:ascii="Arial" w:hAnsi="Arial" w:cs="Arial"/>
          <w:sz w:val="22"/>
          <w:szCs w:val="22"/>
        </w:rPr>
        <w:t>Investment Exchange</w:t>
      </w:r>
      <w:r w:rsidRPr="00FB2F3D">
        <w:rPr>
          <w:rFonts w:ascii="Arial" w:hAnsi="Arial" w:cs="Arial"/>
          <w:sz w:val="22"/>
          <w:szCs w:val="22"/>
        </w:rPr>
        <w:t>, if the issue of Units does not involve any increase in the issued capital;</w:t>
      </w:r>
    </w:p>
    <w:p w14:paraId="2C5CDE6D"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Units offered, allotted or to be allotted to existing Unitholders free of charge, or in respect of dividends paid out in the form of Units of the same class as the Units in respect of which the dividends are paid, if:</w:t>
      </w:r>
    </w:p>
    <w:p w14:paraId="01CDC615" w14:textId="77777777" w:rsidR="00892AFD" w:rsidRPr="00FB2F3D" w:rsidRDefault="00892AFD" w:rsidP="00071A62">
      <w:pPr>
        <w:pStyle w:val="Heading5"/>
        <w:rPr>
          <w:rFonts w:ascii="Arial" w:hAnsi="Arial" w:cs="Arial"/>
          <w:sz w:val="22"/>
          <w:szCs w:val="22"/>
        </w:rPr>
      </w:pPr>
      <w:r w:rsidRPr="00FB2F3D">
        <w:rPr>
          <w:rFonts w:ascii="Arial" w:hAnsi="Arial" w:cs="Arial"/>
          <w:sz w:val="22"/>
          <w:szCs w:val="22"/>
        </w:rPr>
        <w:t xml:space="preserve">the Units are of the same class as the Units already admitted to trading on the same Recognised </w:t>
      </w:r>
      <w:r w:rsidR="00071A62" w:rsidRPr="00FB2F3D">
        <w:rPr>
          <w:rFonts w:ascii="Arial" w:hAnsi="Arial" w:cs="Arial"/>
          <w:sz w:val="22"/>
          <w:szCs w:val="22"/>
        </w:rPr>
        <w:t>Investment Exchange</w:t>
      </w:r>
      <w:r w:rsidRPr="00FB2F3D">
        <w:rPr>
          <w:rFonts w:ascii="Arial" w:hAnsi="Arial" w:cs="Arial"/>
          <w:sz w:val="22"/>
          <w:szCs w:val="22"/>
        </w:rPr>
        <w:t>; and</w:t>
      </w:r>
    </w:p>
    <w:p w14:paraId="4E34B5DF" w14:textId="77777777" w:rsidR="00892AFD" w:rsidRPr="00FB2F3D" w:rsidRDefault="00892AFD" w:rsidP="00424270">
      <w:pPr>
        <w:pStyle w:val="Heading5"/>
        <w:rPr>
          <w:rFonts w:ascii="Arial" w:hAnsi="Arial" w:cs="Arial"/>
          <w:sz w:val="22"/>
          <w:szCs w:val="22"/>
        </w:rPr>
      </w:pPr>
      <w:r w:rsidRPr="00FB2F3D">
        <w:rPr>
          <w:rFonts w:ascii="Arial" w:hAnsi="Arial" w:cs="Arial"/>
          <w:sz w:val="22"/>
          <w:szCs w:val="22"/>
        </w:rPr>
        <w:t>a document is made available containing information on the number and nature of the Units and the reasons for and details of the Offer; or</w:t>
      </w:r>
    </w:p>
    <w:p w14:paraId="5732063A" w14:textId="77777777" w:rsidR="00892AFD" w:rsidRPr="00FB2F3D" w:rsidRDefault="00892AFD" w:rsidP="00071A62">
      <w:pPr>
        <w:pStyle w:val="Heading4"/>
        <w:rPr>
          <w:rFonts w:ascii="Arial" w:hAnsi="Arial" w:cs="Arial"/>
          <w:sz w:val="22"/>
          <w:szCs w:val="22"/>
        </w:rPr>
      </w:pPr>
      <w:r w:rsidRPr="00FB2F3D">
        <w:rPr>
          <w:rFonts w:ascii="Arial" w:hAnsi="Arial" w:cs="Arial"/>
          <w:sz w:val="22"/>
          <w:szCs w:val="22"/>
        </w:rPr>
        <w:t xml:space="preserve">Units already admitted to trading on another Recognised </w:t>
      </w:r>
      <w:r w:rsidR="00071A62" w:rsidRPr="00FB2F3D">
        <w:rPr>
          <w:rFonts w:ascii="Arial" w:hAnsi="Arial" w:cs="Arial"/>
          <w:sz w:val="22"/>
          <w:szCs w:val="22"/>
        </w:rPr>
        <w:t>Investment Exchange or Regulated Exchange</w:t>
      </w:r>
      <w:r w:rsidRPr="00FB2F3D">
        <w:rPr>
          <w:rFonts w:ascii="Arial" w:hAnsi="Arial" w:cs="Arial"/>
          <w:sz w:val="22"/>
          <w:szCs w:val="22"/>
        </w:rPr>
        <w:t xml:space="preserve"> (the "Other Market"), where:</w:t>
      </w:r>
    </w:p>
    <w:p w14:paraId="3525C439" w14:textId="77777777" w:rsidR="00892AFD" w:rsidRPr="00FB2F3D" w:rsidRDefault="00892AFD" w:rsidP="00424270">
      <w:pPr>
        <w:pStyle w:val="Heading5"/>
        <w:rPr>
          <w:rFonts w:ascii="Arial" w:hAnsi="Arial" w:cs="Arial"/>
          <w:sz w:val="22"/>
          <w:szCs w:val="22"/>
        </w:rPr>
      </w:pPr>
      <w:r w:rsidRPr="00FB2F3D">
        <w:rPr>
          <w:rFonts w:ascii="Arial" w:hAnsi="Arial" w:cs="Arial"/>
          <w:sz w:val="22"/>
          <w:szCs w:val="22"/>
        </w:rPr>
        <w:lastRenderedPageBreak/>
        <w:t>the Units of the same class have been admitted to trading and continuously traded on the Other Market for more than 18 months;</w:t>
      </w:r>
    </w:p>
    <w:p w14:paraId="04E5A0CB" w14:textId="77777777" w:rsidR="00892AFD" w:rsidRPr="00FB2F3D" w:rsidRDefault="00892AFD" w:rsidP="00071A62">
      <w:pPr>
        <w:pStyle w:val="Heading5"/>
        <w:rPr>
          <w:rFonts w:ascii="Arial" w:hAnsi="Arial" w:cs="Arial"/>
          <w:sz w:val="22"/>
          <w:szCs w:val="22"/>
        </w:rPr>
      </w:pPr>
      <w:r w:rsidRPr="00FB2F3D">
        <w:rPr>
          <w:rFonts w:ascii="Arial" w:hAnsi="Arial" w:cs="Arial"/>
          <w:sz w:val="22"/>
          <w:szCs w:val="22"/>
        </w:rPr>
        <w:t xml:space="preserve">the </w:t>
      </w:r>
      <w:r w:rsidR="00BD765C" w:rsidRPr="00FB2F3D">
        <w:rPr>
          <w:rFonts w:ascii="Arial" w:hAnsi="Arial" w:cs="Arial"/>
          <w:sz w:val="22"/>
          <w:szCs w:val="22"/>
        </w:rPr>
        <w:t>on-going</w:t>
      </w:r>
      <w:r w:rsidRPr="00FB2F3D">
        <w:rPr>
          <w:rFonts w:ascii="Arial" w:hAnsi="Arial" w:cs="Arial"/>
          <w:sz w:val="22"/>
          <w:szCs w:val="22"/>
        </w:rPr>
        <w:t xml:space="preserve"> obligations for trading on that </w:t>
      </w:r>
      <w:r w:rsidR="00071A62" w:rsidRPr="00FB2F3D">
        <w:rPr>
          <w:rFonts w:ascii="Arial" w:hAnsi="Arial" w:cs="Arial"/>
          <w:sz w:val="22"/>
          <w:szCs w:val="22"/>
        </w:rPr>
        <w:t>O</w:t>
      </w:r>
      <w:r w:rsidRPr="00FB2F3D">
        <w:rPr>
          <w:rFonts w:ascii="Arial" w:hAnsi="Arial" w:cs="Arial"/>
          <w:sz w:val="22"/>
          <w:szCs w:val="22"/>
        </w:rPr>
        <w:t xml:space="preserve">ther </w:t>
      </w:r>
      <w:r w:rsidR="00071A62" w:rsidRPr="00FB2F3D">
        <w:rPr>
          <w:rFonts w:ascii="Arial" w:hAnsi="Arial" w:cs="Arial"/>
          <w:sz w:val="22"/>
          <w:szCs w:val="22"/>
        </w:rPr>
        <w:t>M</w:t>
      </w:r>
      <w:r w:rsidRPr="00FB2F3D">
        <w:rPr>
          <w:rFonts w:ascii="Arial" w:hAnsi="Arial" w:cs="Arial"/>
          <w:sz w:val="22"/>
          <w:szCs w:val="22"/>
        </w:rPr>
        <w:t>arket have been complied with; and</w:t>
      </w:r>
    </w:p>
    <w:p w14:paraId="7856364D" w14:textId="77777777" w:rsidR="00892AFD" w:rsidRPr="00FB2F3D" w:rsidRDefault="00892AFD" w:rsidP="00424270">
      <w:pPr>
        <w:pStyle w:val="Heading5"/>
        <w:rPr>
          <w:rFonts w:ascii="Arial" w:hAnsi="Arial" w:cs="Arial"/>
          <w:sz w:val="22"/>
          <w:szCs w:val="22"/>
        </w:rPr>
      </w:pPr>
      <w:r w:rsidRPr="00FB2F3D">
        <w:rPr>
          <w:rFonts w:ascii="Arial" w:hAnsi="Arial" w:cs="Arial"/>
          <w:sz w:val="22"/>
          <w:szCs w:val="22"/>
        </w:rPr>
        <w:t>there is a summary document in the English language approved by the Regulator and published:</w:t>
      </w:r>
    </w:p>
    <w:p w14:paraId="1E6E2EC5" w14:textId="77777777" w:rsidR="00892AFD" w:rsidRPr="00FB2F3D" w:rsidRDefault="00892AFD" w:rsidP="00424270">
      <w:pPr>
        <w:pStyle w:val="Heading6"/>
        <w:rPr>
          <w:rFonts w:ascii="Arial" w:hAnsi="Arial" w:cs="Arial"/>
          <w:sz w:val="22"/>
          <w:szCs w:val="22"/>
          <w:lang w:eastAsia="ja-JP"/>
        </w:rPr>
      </w:pPr>
      <w:r w:rsidRPr="00FB2F3D">
        <w:rPr>
          <w:rFonts w:ascii="Arial" w:hAnsi="Arial" w:cs="Arial"/>
          <w:sz w:val="22"/>
          <w:szCs w:val="22"/>
        </w:rPr>
        <w:t>containing the Key Information required under Rule </w:t>
      </w:r>
      <w:r w:rsidR="00693841" w:rsidRPr="00FB2F3D">
        <w:rPr>
          <w:rFonts w:ascii="Arial" w:hAnsi="Arial" w:cs="Arial"/>
          <w:sz w:val="22"/>
          <w:szCs w:val="22"/>
        </w:rPr>
        <w:t>4.5.2(1)(b)</w:t>
      </w:r>
      <w:r w:rsidRPr="00FB2F3D">
        <w:rPr>
          <w:rFonts w:ascii="Arial" w:hAnsi="Arial" w:cs="Arial"/>
          <w:sz w:val="22"/>
          <w:szCs w:val="22"/>
        </w:rPr>
        <w:t>;</w:t>
      </w:r>
    </w:p>
    <w:p w14:paraId="04050CB8" w14:textId="77777777" w:rsidR="00892AFD" w:rsidRPr="00FB2F3D" w:rsidRDefault="00892AFD" w:rsidP="00424270">
      <w:pPr>
        <w:pStyle w:val="Heading6"/>
        <w:rPr>
          <w:rFonts w:ascii="Arial" w:hAnsi="Arial" w:cs="Arial"/>
          <w:sz w:val="22"/>
          <w:szCs w:val="22"/>
        </w:rPr>
      </w:pPr>
      <w:r w:rsidRPr="00FB2F3D">
        <w:rPr>
          <w:rFonts w:ascii="Arial" w:hAnsi="Arial" w:cs="Arial"/>
          <w:sz w:val="22"/>
          <w:szCs w:val="22"/>
        </w:rPr>
        <w:t>stating where the most recent and current Prospectus, if any, can be obtained; and</w:t>
      </w:r>
    </w:p>
    <w:p w14:paraId="50C59774" w14:textId="77777777" w:rsidR="00892AFD" w:rsidRPr="00FB2F3D" w:rsidRDefault="00892AFD" w:rsidP="00424270">
      <w:pPr>
        <w:pStyle w:val="Heading6"/>
        <w:rPr>
          <w:rFonts w:ascii="Arial" w:hAnsi="Arial" w:cs="Arial"/>
          <w:sz w:val="22"/>
          <w:szCs w:val="22"/>
        </w:rPr>
      </w:pPr>
      <w:r w:rsidRPr="00FB2F3D">
        <w:rPr>
          <w:rFonts w:ascii="Arial" w:hAnsi="Arial" w:cs="Arial"/>
          <w:sz w:val="22"/>
          <w:szCs w:val="22"/>
        </w:rPr>
        <w:t xml:space="preserve">specifying where the financial information published by the Issuer pursuant to its </w:t>
      </w:r>
      <w:r w:rsidR="00BD765C" w:rsidRPr="00FB2F3D">
        <w:rPr>
          <w:rFonts w:ascii="Arial" w:hAnsi="Arial" w:cs="Arial"/>
          <w:sz w:val="22"/>
          <w:szCs w:val="22"/>
        </w:rPr>
        <w:t>on-going</w:t>
      </w:r>
      <w:r w:rsidRPr="00FB2F3D">
        <w:rPr>
          <w:rFonts w:ascii="Arial" w:hAnsi="Arial" w:cs="Arial"/>
          <w:sz w:val="22"/>
          <w:szCs w:val="22"/>
        </w:rPr>
        <w:t xml:space="preserve"> disclosure obligations of the Other Market is available.</w:t>
      </w:r>
    </w:p>
    <w:p w14:paraId="47502837" w14:textId="77777777" w:rsidR="00892AFD" w:rsidRPr="00FB2F3D" w:rsidRDefault="00892AFD" w:rsidP="00071A62">
      <w:pPr>
        <w:pStyle w:val="Heading3"/>
        <w:rPr>
          <w:rFonts w:ascii="Arial" w:hAnsi="Arial" w:cs="Arial"/>
          <w:sz w:val="22"/>
          <w:szCs w:val="22"/>
        </w:rPr>
      </w:pPr>
      <w:bookmarkStart w:id="239" w:name="_Ref410071632"/>
      <w:r w:rsidRPr="00FB2F3D">
        <w:rPr>
          <w:rFonts w:ascii="Arial" w:hAnsi="Arial" w:cs="Arial"/>
          <w:sz w:val="22"/>
          <w:szCs w:val="22"/>
        </w:rPr>
        <w:t>All Units in a class of Securities admitted to trading including those specified under Rule </w:t>
      </w:r>
      <w:r w:rsidR="00693841" w:rsidRPr="00FB2F3D">
        <w:rPr>
          <w:rFonts w:ascii="Arial" w:hAnsi="Arial" w:cs="Arial"/>
          <w:sz w:val="22"/>
          <w:szCs w:val="22"/>
        </w:rPr>
        <w:t>3.3.5</w:t>
      </w:r>
      <w:r w:rsidRPr="00FB2F3D">
        <w:rPr>
          <w:rFonts w:ascii="Arial" w:hAnsi="Arial" w:cs="Arial"/>
          <w:sz w:val="22"/>
          <w:szCs w:val="22"/>
        </w:rPr>
        <w:t xml:space="preserve"> must be traded on a Recognised </w:t>
      </w:r>
      <w:r w:rsidR="00071A62" w:rsidRPr="00FB2F3D">
        <w:rPr>
          <w:rFonts w:ascii="Arial" w:hAnsi="Arial" w:cs="Arial"/>
          <w:sz w:val="22"/>
          <w:szCs w:val="22"/>
        </w:rPr>
        <w:t>Investment Exchange</w:t>
      </w:r>
      <w:r w:rsidRPr="00FB2F3D">
        <w:rPr>
          <w:rFonts w:ascii="Arial" w:hAnsi="Arial" w:cs="Arial"/>
          <w:sz w:val="22"/>
          <w:szCs w:val="22"/>
        </w:rPr>
        <w:t>.</w:t>
      </w:r>
      <w:bookmarkEnd w:id="239"/>
    </w:p>
    <w:p w14:paraId="69238F1C"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Financial promotions</w:t>
      </w:r>
    </w:p>
    <w:p w14:paraId="143609CE" w14:textId="77777777" w:rsidR="00892AFD" w:rsidRPr="00FB2F3D" w:rsidRDefault="00892AFD" w:rsidP="00F04345">
      <w:pPr>
        <w:pStyle w:val="Heading3"/>
        <w:rPr>
          <w:rFonts w:ascii="Arial" w:hAnsi="Arial" w:cs="Arial"/>
          <w:sz w:val="22"/>
          <w:szCs w:val="22"/>
        </w:rPr>
      </w:pPr>
      <w:r w:rsidRPr="00FB2F3D">
        <w:rPr>
          <w:rFonts w:ascii="Arial" w:hAnsi="Arial" w:cs="Arial"/>
          <w:sz w:val="22"/>
          <w:szCs w:val="22"/>
        </w:rPr>
        <w:t xml:space="preserve">The Reporting Entity of a Listed Fund must ensure that any financial promotions relating to the Units of the Fund comply with: </w:t>
      </w:r>
    </w:p>
    <w:p w14:paraId="7822D523" w14:textId="77777777" w:rsidR="00892AFD" w:rsidRPr="00FB2F3D" w:rsidRDefault="00892AFD" w:rsidP="00F04345">
      <w:pPr>
        <w:pStyle w:val="Heading5"/>
        <w:tabs>
          <w:tab w:val="clear" w:pos="2160"/>
          <w:tab w:val="num" w:pos="1440"/>
        </w:tabs>
        <w:ind w:left="1440"/>
        <w:rPr>
          <w:rFonts w:ascii="Arial" w:hAnsi="Arial" w:cs="Arial"/>
          <w:sz w:val="22"/>
          <w:szCs w:val="22"/>
        </w:rPr>
      </w:pPr>
      <w:r w:rsidRPr="00FB2F3D">
        <w:rPr>
          <w:rFonts w:ascii="Arial" w:hAnsi="Arial" w:cs="Arial"/>
          <w:sz w:val="22"/>
          <w:szCs w:val="22"/>
        </w:rPr>
        <w:t xml:space="preserve">in the case of a Domestic Fund, </w:t>
      </w:r>
      <w:r w:rsidR="00F04345" w:rsidRPr="00FB2F3D">
        <w:rPr>
          <w:rFonts w:ascii="Arial" w:hAnsi="Arial" w:cs="Arial"/>
          <w:sz w:val="22"/>
          <w:szCs w:val="22"/>
        </w:rPr>
        <w:t xml:space="preserve">the requirements relating to financial promotion </w:t>
      </w:r>
      <w:r w:rsidRPr="00FB2F3D">
        <w:rPr>
          <w:rFonts w:ascii="Arial" w:hAnsi="Arial" w:cs="Arial"/>
          <w:sz w:val="22"/>
          <w:szCs w:val="22"/>
        </w:rPr>
        <w:t>in the Fund Rules; and</w:t>
      </w:r>
    </w:p>
    <w:p w14:paraId="6B578D7C" w14:textId="77777777" w:rsidR="00892AFD" w:rsidRPr="00FB2F3D" w:rsidRDefault="00892AFD" w:rsidP="00F04345">
      <w:pPr>
        <w:pStyle w:val="Heading5"/>
        <w:tabs>
          <w:tab w:val="clear" w:pos="2160"/>
          <w:tab w:val="num" w:pos="1440"/>
        </w:tabs>
        <w:ind w:left="1440"/>
        <w:rPr>
          <w:rFonts w:ascii="Arial" w:hAnsi="Arial" w:cs="Arial"/>
          <w:sz w:val="22"/>
          <w:szCs w:val="22"/>
        </w:rPr>
      </w:pPr>
      <w:r w:rsidRPr="00FB2F3D">
        <w:rPr>
          <w:rFonts w:ascii="Arial" w:hAnsi="Arial" w:cs="Arial"/>
          <w:sz w:val="22"/>
          <w:szCs w:val="22"/>
        </w:rPr>
        <w:t>in the case of a Foreign Fund, the equivalent requirements applicable to the</w:t>
      </w:r>
      <w:r w:rsidRPr="00FB2F3D">
        <w:rPr>
          <w:rFonts w:ascii="Arial" w:hAnsi="Arial" w:cs="Arial"/>
          <w:sz w:val="22"/>
          <w:szCs w:val="22"/>
          <w:lang w:eastAsia="ja-JP"/>
        </w:rPr>
        <w:t xml:space="preserve"> </w:t>
      </w:r>
      <w:r w:rsidRPr="00FB2F3D">
        <w:rPr>
          <w:rFonts w:ascii="Arial" w:hAnsi="Arial" w:cs="Arial"/>
          <w:sz w:val="22"/>
          <w:szCs w:val="22"/>
        </w:rPr>
        <w:t>Fund in the jurisdiction of its domicile or establishment</w:t>
      </w:r>
      <w:r w:rsidR="00F04345" w:rsidRPr="00FB2F3D">
        <w:rPr>
          <w:rFonts w:ascii="Arial" w:hAnsi="Arial" w:cs="Arial"/>
          <w:sz w:val="22"/>
          <w:szCs w:val="22"/>
        </w:rPr>
        <w:t>, and if the Foreign Fund is marketed into the ADGM, the requirements set out in Part 4 of the Fund Rules</w:t>
      </w:r>
      <w:r w:rsidRPr="00FB2F3D">
        <w:rPr>
          <w:rFonts w:ascii="Arial" w:hAnsi="Arial" w:cs="Arial"/>
          <w:sz w:val="22"/>
          <w:szCs w:val="22"/>
        </w:rPr>
        <w:t>.</w:t>
      </w:r>
    </w:p>
    <w:p w14:paraId="18DBABEF" w14:textId="77777777" w:rsidR="00892AFD" w:rsidRPr="00FB2F3D" w:rsidRDefault="00892AFD" w:rsidP="00892AFD">
      <w:pPr>
        <w:pStyle w:val="Heading2"/>
        <w:rPr>
          <w:rFonts w:ascii="Arial" w:hAnsi="Arial" w:cs="Arial"/>
          <w:sz w:val="22"/>
          <w:szCs w:val="22"/>
        </w:rPr>
      </w:pPr>
      <w:bookmarkStart w:id="240" w:name="_Toc409521853"/>
      <w:bookmarkStart w:id="241" w:name="_Toc410136250"/>
      <w:bookmarkStart w:id="242" w:name="_Toc410605959"/>
      <w:bookmarkStart w:id="243" w:name="_Toc410658895"/>
      <w:bookmarkStart w:id="244" w:name="_Toc410659022"/>
      <w:bookmarkStart w:id="245" w:name="_Toc410835569"/>
      <w:bookmarkStart w:id="246" w:name="_Toc138325660"/>
      <w:r w:rsidRPr="00FB2F3D">
        <w:rPr>
          <w:rFonts w:ascii="Arial" w:hAnsi="Arial" w:cs="Arial"/>
          <w:sz w:val="22"/>
          <w:szCs w:val="22"/>
        </w:rPr>
        <w:t>Governance requirements relating to a Listed Fund</w:t>
      </w:r>
      <w:bookmarkEnd w:id="240"/>
      <w:bookmarkEnd w:id="241"/>
      <w:bookmarkEnd w:id="242"/>
      <w:bookmarkEnd w:id="243"/>
      <w:bookmarkEnd w:id="244"/>
      <w:bookmarkEnd w:id="245"/>
      <w:bookmarkEnd w:id="246"/>
    </w:p>
    <w:p w14:paraId="3E5FBA3A"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Affected Person transactions</w:t>
      </w:r>
    </w:p>
    <w:p w14:paraId="79782B11" w14:textId="77777777" w:rsidR="00892AFD" w:rsidRPr="00FB2F3D" w:rsidRDefault="007441BA" w:rsidP="00892AFD">
      <w:pPr>
        <w:pStyle w:val="Heading3"/>
        <w:ind w:left="1440" w:hanging="1440"/>
        <w:rPr>
          <w:rFonts w:ascii="Arial" w:hAnsi="Arial" w:cs="Arial"/>
          <w:sz w:val="22"/>
          <w:szCs w:val="22"/>
        </w:rPr>
      </w:pPr>
      <w:r w:rsidRPr="00FB2F3D">
        <w:rPr>
          <w:rFonts w:ascii="Arial" w:hAnsi="Arial" w:cs="Arial"/>
          <w:sz w:val="22"/>
          <w:szCs w:val="22"/>
        </w:rPr>
        <w:t>(1)</w:t>
      </w:r>
      <w:r w:rsidR="00892AFD" w:rsidRPr="00FB2F3D">
        <w:rPr>
          <w:rFonts w:ascii="Arial" w:hAnsi="Arial" w:cs="Arial"/>
          <w:sz w:val="22"/>
          <w:szCs w:val="22"/>
        </w:rPr>
        <w:tab/>
        <w:t>The Reporting Entity of a Listed Fund must ensure that no transaction with</w:t>
      </w:r>
      <w:r w:rsidR="00892AFD" w:rsidRPr="00FB2F3D">
        <w:rPr>
          <w:rFonts w:ascii="Arial" w:hAnsi="Arial" w:cs="Arial"/>
          <w:sz w:val="22"/>
          <w:szCs w:val="22"/>
          <w:lang w:eastAsia="ja-JP"/>
        </w:rPr>
        <w:t xml:space="preserve"> </w:t>
      </w:r>
      <w:r w:rsidR="00892AFD" w:rsidRPr="00FB2F3D">
        <w:rPr>
          <w:rFonts w:ascii="Arial" w:hAnsi="Arial" w:cs="Arial"/>
          <w:sz w:val="22"/>
          <w:szCs w:val="22"/>
        </w:rPr>
        <w:t>respect to the Fund Property is entered into with an Affected Person except in</w:t>
      </w:r>
      <w:r w:rsidR="00892AFD" w:rsidRPr="00FB2F3D">
        <w:rPr>
          <w:rFonts w:ascii="Arial" w:hAnsi="Arial" w:cs="Arial"/>
          <w:sz w:val="22"/>
          <w:szCs w:val="22"/>
          <w:lang w:eastAsia="ja-JP"/>
        </w:rPr>
        <w:t xml:space="preserve"> </w:t>
      </w:r>
      <w:r w:rsidR="00892AFD" w:rsidRPr="00FB2F3D">
        <w:rPr>
          <w:rFonts w:ascii="Arial" w:hAnsi="Arial" w:cs="Arial"/>
          <w:sz w:val="22"/>
          <w:szCs w:val="22"/>
        </w:rPr>
        <w:t xml:space="preserve">accordance with the procedures in </w:t>
      </w:r>
      <w:r w:rsidR="00693841" w:rsidRPr="00FB2F3D">
        <w:rPr>
          <w:rFonts w:ascii="Arial" w:hAnsi="Arial" w:cs="Arial"/>
          <w:sz w:val="22"/>
          <w:szCs w:val="22"/>
        </w:rPr>
        <w:t>(2)</w:t>
      </w:r>
      <w:r w:rsidR="00892AFD" w:rsidRPr="00FB2F3D">
        <w:rPr>
          <w:rFonts w:ascii="Arial" w:hAnsi="Arial" w:cs="Arial"/>
          <w:sz w:val="22"/>
          <w:szCs w:val="22"/>
        </w:rPr>
        <w:t>.</w:t>
      </w:r>
    </w:p>
    <w:p w14:paraId="12192FE0" w14:textId="77777777" w:rsidR="00892AFD" w:rsidRPr="00FB2F3D" w:rsidRDefault="00F04345" w:rsidP="00F04345">
      <w:pPr>
        <w:pStyle w:val="Heading4"/>
        <w:numPr>
          <w:ilvl w:val="0"/>
          <w:numId w:val="0"/>
        </w:numPr>
        <w:ind w:left="1440" w:hanging="720"/>
        <w:rPr>
          <w:rFonts w:ascii="Arial" w:hAnsi="Arial" w:cs="Arial"/>
          <w:sz w:val="22"/>
          <w:szCs w:val="22"/>
        </w:rPr>
      </w:pPr>
      <w:bookmarkStart w:id="247" w:name="_Ref410668817"/>
      <w:r w:rsidRPr="00FB2F3D">
        <w:rPr>
          <w:rFonts w:ascii="Arial" w:hAnsi="Arial" w:cs="Arial"/>
          <w:sz w:val="22"/>
          <w:szCs w:val="22"/>
        </w:rPr>
        <w:t>(2)</w:t>
      </w:r>
      <w:r w:rsidRPr="00FB2F3D">
        <w:rPr>
          <w:rFonts w:ascii="Arial" w:hAnsi="Arial" w:cs="Arial"/>
          <w:sz w:val="22"/>
          <w:szCs w:val="22"/>
        </w:rPr>
        <w:tab/>
      </w:r>
      <w:r w:rsidR="00892AFD" w:rsidRPr="00FB2F3D">
        <w:rPr>
          <w:rFonts w:ascii="Arial" w:hAnsi="Arial" w:cs="Arial"/>
          <w:sz w:val="22"/>
          <w:szCs w:val="22"/>
        </w:rPr>
        <w:t xml:space="preserve">For the purposes of </w:t>
      </w:r>
      <w:r w:rsidR="00693841" w:rsidRPr="00FB2F3D">
        <w:rPr>
          <w:rFonts w:ascii="Arial" w:hAnsi="Arial" w:cs="Arial"/>
          <w:sz w:val="22"/>
          <w:szCs w:val="22"/>
        </w:rPr>
        <w:t>(1)</w:t>
      </w:r>
      <w:r w:rsidR="00892AFD" w:rsidRPr="00FB2F3D">
        <w:rPr>
          <w:rFonts w:ascii="Arial" w:hAnsi="Arial" w:cs="Arial"/>
          <w:sz w:val="22"/>
          <w:szCs w:val="22"/>
        </w:rPr>
        <w:t>, a Reporting Entity of a Listed Fund must:</w:t>
      </w:r>
      <w:bookmarkEnd w:id="247"/>
    </w:p>
    <w:p w14:paraId="6B4E7239"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if the Fund is a Domestic Fund, comply with the requirements in the Fund Rules relating to Affected Person transactions; and</w:t>
      </w:r>
    </w:p>
    <w:p w14:paraId="3B80EA58"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if the Fund is a Foreign Fund, comply with the equivalent requirements applicable to that Fund in the jurisdiction of its domicile or establishment.</w:t>
      </w:r>
    </w:p>
    <w:p w14:paraId="5BAB12B3" w14:textId="24289419" w:rsidR="00892AFD" w:rsidRPr="00FB2F3D" w:rsidRDefault="0013308E" w:rsidP="00892AFD">
      <w:pPr>
        <w:pStyle w:val="Heading2"/>
        <w:rPr>
          <w:rFonts w:ascii="Arial" w:hAnsi="Arial" w:cs="Arial"/>
          <w:sz w:val="22"/>
          <w:szCs w:val="22"/>
        </w:rPr>
      </w:pPr>
      <w:bookmarkStart w:id="248" w:name="_Toc409521854"/>
      <w:bookmarkStart w:id="249" w:name="_Toc410136251"/>
      <w:bookmarkStart w:id="250" w:name="_Toc410605960"/>
      <w:bookmarkStart w:id="251" w:name="_Toc410658896"/>
      <w:bookmarkStart w:id="252" w:name="_Toc410659023"/>
      <w:bookmarkStart w:id="253" w:name="_Toc410835570"/>
      <w:bookmarkStart w:id="254" w:name="_Toc138325661"/>
      <w:r>
        <w:rPr>
          <w:rFonts w:ascii="Arial" w:hAnsi="Arial" w:cs="Arial"/>
          <w:sz w:val="22"/>
          <w:szCs w:val="22"/>
        </w:rPr>
        <w:lastRenderedPageBreak/>
        <w:t>D</w:t>
      </w:r>
      <w:r w:rsidR="00892AFD" w:rsidRPr="00FB2F3D">
        <w:rPr>
          <w:rFonts w:ascii="Arial" w:hAnsi="Arial" w:cs="Arial"/>
          <w:sz w:val="22"/>
          <w:szCs w:val="22"/>
        </w:rPr>
        <w:t>isclosure</w:t>
      </w:r>
      <w:r>
        <w:rPr>
          <w:rFonts w:ascii="Arial" w:hAnsi="Arial" w:cs="Arial"/>
          <w:sz w:val="22"/>
          <w:szCs w:val="22"/>
        </w:rPr>
        <w:t>s</w:t>
      </w:r>
      <w:r w:rsidR="00892AFD" w:rsidRPr="00FB2F3D">
        <w:rPr>
          <w:rFonts w:ascii="Arial" w:hAnsi="Arial" w:cs="Arial"/>
          <w:sz w:val="22"/>
          <w:szCs w:val="22"/>
        </w:rPr>
        <w:t xml:space="preserve"> relating to a Listed Fund</w:t>
      </w:r>
      <w:bookmarkEnd w:id="248"/>
      <w:bookmarkEnd w:id="249"/>
      <w:bookmarkEnd w:id="250"/>
      <w:bookmarkEnd w:id="251"/>
      <w:bookmarkEnd w:id="252"/>
      <w:bookmarkEnd w:id="253"/>
      <w:bookmarkEnd w:id="254"/>
    </w:p>
    <w:p w14:paraId="4CF949F9"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Disclosure of Inside Information</w:t>
      </w:r>
    </w:p>
    <w:p w14:paraId="1297B358" w14:textId="4D2E280D" w:rsidR="00892AFD" w:rsidRPr="00FB2F3D" w:rsidRDefault="00892AFD" w:rsidP="00892AFD">
      <w:pPr>
        <w:pStyle w:val="Heading3"/>
        <w:keepNext/>
        <w:ind w:left="1440" w:hanging="1440"/>
        <w:rPr>
          <w:rFonts w:ascii="Arial" w:hAnsi="Arial" w:cs="Arial"/>
          <w:sz w:val="22"/>
          <w:szCs w:val="22"/>
        </w:rPr>
      </w:pPr>
      <w:bookmarkStart w:id="255" w:name="_Ref410058371"/>
      <w:bookmarkStart w:id="256" w:name="_Ref410634001"/>
      <w:r w:rsidRPr="00FB2F3D">
        <w:rPr>
          <w:rFonts w:ascii="Arial" w:hAnsi="Arial" w:cs="Arial"/>
          <w:sz w:val="22"/>
          <w:szCs w:val="22"/>
        </w:rPr>
        <w:t>A Reporting Entity of a Listed Fund must</w:t>
      </w:r>
      <w:bookmarkEnd w:id="255"/>
      <w:r w:rsidR="00EB29E7">
        <w:rPr>
          <w:rFonts w:ascii="Arial" w:hAnsi="Arial" w:cs="Arial"/>
          <w:sz w:val="22"/>
          <w:szCs w:val="22"/>
        </w:rPr>
        <w:t xml:space="preserve"> comply with Chapter 7.</w:t>
      </w:r>
      <w:bookmarkEnd w:id="256"/>
    </w:p>
    <w:p w14:paraId="05FBB5A5" w14:textId="77777777" w:rsidR="00B01C32" w:rsidRDefault="00B01C32" w:rsidP="00B01C32">
      <w:pPr>
        <w:pStyle w:val="TitleL"/>
        <w:rPr>
          <w:rFonts w:ascii="Arial" w:hAnsi="Arial" w:cs="Arial"/>
          <w:sz w:val="22"/>
          <w:szCs w:val="22"/>
        </w:rPr>
      </w:pPr>
      <w:r>
        <w:rPr>
          <w:rFonts w:ascii="Arial" w:hAnsi="Arial" w:cs="Arial"/>
          <w:sz w:val="22"/>
          <w:szCs w:val="22"/>
        </w:rPr>
        <w:t>Guidance</w:t>
      </w:r>
    </w:p>
    <w:p w14:paraId="71D3F308" w14:textId="3F55CA93" w:rsidR="00892AFD" w:rsidRPr="00FB2F3D" w:rsidRDefault="00892AFD" w:rsidP="00B01C32">
      <w:pPr>
        <w:pStyle w:val="Heading4"/>
        <w:numPr>
          <w:ilvl w:val="0"/>
          <w:numId w:val="0"/>
        </w:numPr>
        <w:ind w:left="709"/>
        <w:rPr>
          <w:rFonts w:ascii="Arial" w:hAnsi="Arial" w:cs="Arial"/>
          <w:sz w:val="22"/>
          <w:szCs w:val="22"/>
        </w:rPr>
      </w:pPr>
      <w:r w:rsidRPr="00FB2F3D">
        <w:rPr>
          <w:rFonts w:ascii="Arial" w:hAnsi="Arial" w:cs="Arial"/>
          <w:sz w:val="22"/>
          <w:szCs w:val="22"/>
        </w:rPr>
        <w:t>For the purposes of complying with th</w:t>
      </w:r>
      <w:r w:rsidR="00B01C32">
        <w:rPr>
          <w:rFonts w:ascii="Arial" w:hAnsi="Arial" w:cs="Arial"/>
          <w:sz w:val="22"/>
          <w:szCs w:val="22"/>
        </w:rPr>
        <w:t>is</w:t>
      </w:r>
      <w:r w:rsidRPr="00FB2F3D">
        <w:rPr>
          <w:rFonts w:ascii="Arial" w:hAnsi="Arial" w:cs="Arial"/>
          <w:sz w:val="22"/>
          <w:szCs w:val="22"/>
        </w:rPr>
        <w:t xml:space="preserve"> requirement</w:t>
      </w:r>
      <w:r w:rsidR="00B01C32">
        <w:rPr>
          <w:rFonts w:ascii="Arial" w:hAnsi="Arial" w:cs="Arial"/>
          <w:sz w:val="22"/>
          <w:szCs w:val="22"/>
        </w:rPr>
        <w:t xml:space="preserve">, the requirements in Chapter 7 pertaining to a </w:t>
      </w:r>
      <w:r w:rsidRPr="00FB2F3D">
        <w:rPr>
          <w:rFonts w:ascii="Arial" w:hAnsi="Arial" w:cs="Arial"/>
          <w:sz w:val="22"/>
          <w:szCs w:val="22"/>
        </w:rPr>
        <w:t>Reporting Entity</w:t>
      </w:r>
      <w:r w:rsidR="00B01C32">
        <w:rPr>
          <w:rFonts w:ascii="Arial" w:hAnsi="Arial" w:cs="Arial"/>
          <w:sz w:val="22"/>
          <w:szCs w:val="22"/>
        </w:rPr>
        <w:t xml:space="preserve"> are to be interpreted in the context </w:t>
      </w:r>
      <w:r w:rsidRPr="00FB2F3D">
        <w:rPr>
          <w:rFonts w:ascii="Arial" w:hAnsi="Arial" w:cs="Arial"/>
          <w:sz w:val="22"/>
          <w:szCs w:val="22"/>
        </w:rPr>
        <w:t>of a Listed Fund.</w:t>
      </w:r>
    </w:p>
    <w:p w14:paraId="755914E0" w14:textId="77777777" w:rsidR="00892AFD" w:rsidRPr="00FB2F3D" w:rsidRDefault="00892AFD" w:rsidP="00892AFD">
      <w:pPr>
        <w:pStyle w:val="Heading2"/>
        <w:rPr>
          <w:rFonts w:ascii="Arial" w:hAnsi="Arial" w:cs="Arial"/>
          <w:sz w:val="22"/>
          <w:szCs w:val="22"/>
        </w:rPr>
      </w:pPr>
      <w:bookmarkStart w:id="257" w:name="_Toc409521855"/>
      <w:bookmarkStart w:id="258" w:name="_Ref410059177"/>
      <w:bookmarkStart w:id="259" w:name="_Toc410136252"/>
      <w:bookmarkStart w:id="260" w:name="_Toc410605961"/>
      <w:bookmarkStart w:id="261" w:name="_Ref410630799"/>
      <w:bookmarkStart w:id="262" w:name="_Toc410658897"/>
      <w:bookmarkStart w:id="263" w:name="_Toc410659024"/>
      <w:bookmarkStart w:id="264" w:name="_Toc410835571"/>
      <w:bookmarkStart w:id="265" w:name="_Ref419453707"/>
      <w:bookmarkStart w:id="266" w:name="_Toc138325662"/>
      <w:r w:rsidRPr="00FB2F3D">
        <w:rPr>
          <w:rFonts w:ascii="Arial" w:hAnsi="Arial" w:cs="Arial"/>
          <w:sz w:val="22"/>
          <w:szCs w:val="22"/>
        </w:rPr>
        <w:t>Disclosure of interests by Connected Persons of Listed Funds</w:t>
      </w:r>
      <w:bookmarkEnd w:id="257"/>
      <w:bookmarkEnd w:id="258"/>
      <w:bookmarkEnd w:id="259"/>
      <w:bookmarkEnd w:id="260"/>
      <w:bookmarkEnd w:id="261"/>
      <w:bookmarkEnd w:id="262"/>
      <w:bookmarkEnd w:id="263"/>
      <w:bookmarkEnd w:id="264"/>
      <w:bookmarkEnd w:id="265"/>
      <w:bookmarkEnd w:id="266"/>
    </w:p>
    <w:p w14:paraId="7582B97A"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331270F0" w14:textId="125BB7D9" w:rsidR="00892AFD" w:rsidRPr="00FB2F3D" w:rsidRDefault="00892AFD" w:rsidP="00892AFD">
      <w:pPr>
        <w:pStyle w:val="UK12Block05"/>
        <w:rPr>
          <w:rFonts w:ascii="Arial" w:hAnsi="Arial" w:cs="Arial"/>
          <w:sz w:val="22"/>
          <w:szCs w:val="22"/>
        </w:rPr>
      </w:pPr>
      <w:r w:rsidRPr="00FB2F3D">
        <w:rPr>
          <w:rFonts w:ascii="Arial" w:hAnsi="Arial" w:cs="Arial"/>
          <w:sz w:val="22"/>
          <w:szCs w:val="22"/>
        </w:rPr>
        <w:t xml:space="preserve">Section 76 of the FSMR requires certain </w:t>
      </w:r>
      <w:r w:rsidR="00832867">
        <w:rPr>
          <w:rFonts w:ascii="Arial" w:hAnsi="Arial" w:cs="Arial"/>
          <w:sz w:val="22"/>
          <w:szCs w:val="22"/>
        </w:rPr>
        <w:t>P</w:t>
      </w:r>
      <w:r w:rsidRPr="00FB2F3D">
        <w:rPr>
          <w:rFonts w:ascii="Arial" w:hAnsi="Arial" w:cs="Arial"/>
          <w:sz w:val="22"/>
          <w:szCs w:val="22"/>
        </w:rPr>
        <w:t>ersons connected to a Reporting Entity to make certain disclosures</w:t>
      </w:r>
      <w:r w:rsidR="00832867">
        <w:rPr>
          <w:rFonts w:ascii="Arial" w:hAnsi="Arial" w:cs="Arial"/>
          <w:sz w:val="22"/>
          <w:szCs w:val="22"/>
        </w:rPr>
        <w:t>, including</w:t>
      </w:r>
      <w:r w:rsidRPr="00FB2F3D">
        <w:rPr>
          <w:rFonts w:ascii="Arial" w:hAnsi="Arial" w:cs="Arial"/>
          <w:sz w:val="22"/>
          <w:szCs w:val="22"/>
        </w:rPr>
        <w:t xml:space="preserve"> to the Regulator and the Reporting Entity in accordance with the requirements prescribed in these Rules.</w:t>
      </w:r>
    </w:p>
    <w:p w14:paraId="65836527"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Definitions</w:t>
      </w:r>
    </w:p>
    <w:p w14:paraId="7CCC6B52" w14:textId="77777777" w:rsidR="00892AFD" w:rsidRPr="00FB2F3D" w:rsidRDefault="007441BA" w:rsidP="00892AFD">
      <w:pPr>
        <w:pStyle w:val="Heading3"/>
        <w:ind w:left="1440" w:hanging="1440"/>
        <w:rPr>
          <w:rFonts w:ascii="Arial" w:hAnsi="Arial" w:cs="Arial"/>
          <w:sz w:val="22"/>
          <w:szCs w:val="22"/>
        </w:rPr>
      </w:pPr>
      <w:bookmarkStart w:id="267" w:name="_Ref410059000"/>
      <w:bookmarkStart w:id="268" w:name="_Ref410634133"/>
      <w:r w:rsidRPr="00FB2F3D">
        <w:rPr>
          <w:rFonts w:ascii="Arial" w:hAnsi="Arial" w:cs="Arial"/>
          <w:sz w:val="22"/>
          <w:szCs w:val="22"/>
        </w:rPr>
        <w:t>(1)</w:t>
      </w:r>
      <w:r w:rsidR="00892AFD" w:rsidRPr="00FB2F3D">
        <w:rPr>
          <w:rFonts w:ascii="Arial" w:hAnsi="Arial" w:cs="Arial"/>
          <w:sz w:val="22"/>
          <w:szCs w:val="22"/>
        </w:rPr>
        <w:tab/>
        <w:t>For the purposes of section 76 of the FSMR, a Person is hereby prescribed as a Connected Person of a Listed Fund if that Person</w:t>
      </w:r>
      <w:bookmarkEnd w:id="267"/>
      <w:r w:rsidR="00892AFD" w:rsidRPr="00FB2F3D">
        <w:rPr>
          <w:rFonts w:ascii="Arial" w:hAnsi="Arial" w:cs="Arial"/>
          <w:sz w:val="22"/>
          <w:szCs w:val="22"/>
        </w:rPr>
        <w:t>:</w:t>
      </w:r>
      <w:bookmarkEnd w:id="268"/>
    </w:p>
    <w:p w14:paraId="493E270B"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becomes a member of the Governing Body of the Listed Fund or an individual involved in the Senior Management of either the Reporting Entity of the Fund or a Controller of the Reporting Entity of the Fund or the Trustee of the Fund; or</w:t>
      </w:r>
    </w:p>
    <w:p w14:paraId="706CAD61"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owns or beneficially owns voting rights carrying more than 5% of the voting rights attaching to the Units of the Fund or of the Trustee of the Fund.</w:t>
      </w:r>
    </w:p>
    <w:p w14:paraId="14446105" w14:textId="57FCDE57" w:rsidR="00892AFD" w:rsidRPr="00FB2F3D" w:rsidRDefault="00892AFD" w:rsidP="00892AFD">
      <w:pPr>
        <w:pStyle w:val="Heading4"/>
        <w:rPr>
          <w:rFonts w:ascii="Arial" w:hAnsi="Arial" w:cs="Arial"/>
          <w:sz w:val="22"/>
          <w:szCs w:val="22"/>
        </w:rPr>
      </w:pPr>
      <w:r w:rsidRPr="00FB2F3D">
        <w:rPr>
          <w:rFonts w:ascii="Arial" w:hAnsi="Arial" w:cs="Arial"/>
          <w:sz w:val="22"/>
          <w:szCs w:val="22"/>
        </w:rPr>
        <w:t xml:space="preserve">In </w:t>
      </w:r>
      <w:r w:rsidR="00693841" w:rsidRPr="00FB2F3D">
        <w:rPr>
          <w:rFonts w:ascii="Arial" w:hAnsi="Arial" w:cs="Arial"/>
          <w:sz w:val="22"/>
          <w:szCs w:val="22"/>
        </w:rPr>
        <w:t>(1)</w:t>
      </w:r>
      <w:r w:rsidRPr="00FB2F3D">
        <w:rPr>
          <w:rFonts w:ascii="Arial" w:hAnsi="Arial" w:cs="Arial"/>
          <w:sz w:val="22"/>
          <w:szCs w:val="22"/>
        </w:rPr>
        <w:t xml:space="preserve">, a Person is a Controller of a Reporting Entity if that Person (the first </w:t>
      </w:r>
      <w:r w:rsidR="00832867">
        <w:rPr>
          <w:rFonts w:ascii="Arial" w:hAnsi="Arial" w:cs="Arial"/>
          <w:sz w:val="22"/>
          <w:szCs w:val="22"/>
        </w:rPr>
        <w:t>P</w:t>
      </w:r>
      <w:r w:rsidRPr="00FB2F3D">
        <w:rPr>
          <w:rFonts w:ascii="Arial" w:hAnsi="Arial" w:cs="Arial"/>
          <w:sz w:val="22"/>
          <w:szCs w:val="22"/>
        </w:rPr>
        <w:t xml:space="preserve">erson), either alone or with the Associates of that Person, controls the majority of the voting rights in, or the right to appoint or remove the majority of the Board of, the Reporting Entity or any Person who has similar control over the first </w:t>
      </w:r>
      <w:r w:rsidR="00832867">
        <w:rPr>
          <w:rFonts w:ascii="Arial" w:hAnsi="Arial" w:cs="Arial"/>
          <w:sz w:val="22"/>
          <w:szCs w:val="22"/>
        </w:rPr>
        <w:t>P</w:t>
      </w:r>
      <w:r w:rsidRPr="00FB2F3D">
        <w:rPr>
          <w:rFonts w:ascii="Arial" w:hAnsi="Arial" w:cs="Arial"/>
          <w:sz w:val="22"/>
          <w:szCs w:val="22"/>
        </w:rPr>
        <w:t xml:space="preserve">erson, including an ultimate Controller of the first </w:t>
      </w:r>
      <w:r w:rsidR="00832867">
        <w:rPr>
          <w:rFonts w:ascii="Arial" w:hAnsi="Arial" w:cs="Arial"/>
          <w:sz w:val="22"/>
          <w:szCs w:val="22"/>
        </w:rPr>
        <w:t>P</w:t>
      </w:r>
      <w:r w:rsidRPr="00FB2F3D">
        <w:rPr>
          <w:rFonts w:ascii="Arial" w:hAnsi="Arial" w:cs="Arial"/>
          <w:sz w:val="22"/>
          <w:szCs w:val="22"/>
        </w:rPr>
        <w:t>erson.</w:t>
      </w:r>
    </w:p>
    <w:p w14:paraId="1E4ABD2F" w14:textId="77777777" w:rsidR="00892AFD" w:rsidRPr="00FB2F3D" w:rsidRDefault="00892AFD" w:rsidP="00892AFD">
      <w:pPr>
        <w:pStyle w:val="Heading4"/>
        <w:rPr>
          <w:rFonts w:ascii="Arial" w:hAnsi="Arial" w:cs="Arial"/>
          <w:sz w:val="22"/>
          <w:szCs w:val="22"/>
        </w:rPr>
      </w:pPr>
      <w:r w:rsidRPr="00FB2F3D">
        <w:rPr>
          <w:rFonts w:ascii="Arial" w:hAnsi="Arial" w:cs="Arial"/>
          <w:sz w:val="22"/>
          <w:szCs w:val="22"/>
        </w:rPr>
        <w:t xml:space="preserve">For the purposes of determining whether a Person has control for the purposes of </w:t>
      </w:r>
      <w:r w:rsidR="00693841" w:rsidRPr="00FB2F3D">
        <w:rPr>
          <w:rFonts w:ascii="Arial" w:hAnsi="Arial" w:cs="Arial"/>
          <w:sz w:val="22"/>
          <w:szCs w:val="22"/>
        </w:rPr>
        <w:t>(1)</w:t>
      </w:r>
      <w:r w:rsidRPr="00FB2F3D">
        <w:rPr>
          <w:rFonts w:ascii="Arial" w:hAnsi="Arial" w:cs="Arial"/>
          <w:sz w:val="22"/>
          <w:szCs w:val="22"/>
        </w:rPr>
        <w:t>, any Securities held by that Person and his Associates,</w:t>
      </w:r>
      <w:r w:rsidRPr="00FB2F3D">
        <w:rPr>
          <w:rFonts w:ascii="Arial" w:hAnsi="Arial" w:cs="Arial"/>
          <w:sz w:val="22"/>
          <w:szCs w:val="22"/>
          <w:lang w:eastAsia="ja-JP"/>
        </w:rPr>
        <w:t xml:space="preserve"> </w:t>
      </w:r>
      <w:r w:rsidRPr="00FB2F3D">
        <w:rPr>
          <w:rFonts w:ascii="Arial" w:hAnsi="Arial" w:cs="Arial"/>
          <w:sz w:val="22"/>
          <w:szCs w:val="22"/>
        </w:rPr>
        <w:t>including those in which that Person or Associate of the Person has a beneficial interest, are deemed as his Securities except where;</w:t>
      </w:r>
    </w:p>
    <w:p w14:paraId="344868AD"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any such Securities are held by that Person on behalf of another</w:t>
      </w:r>
      <w:r w:rsidRPr="00FB2F3D">
        <w:rPr>
          <w:rFonts w:ascii="Arial" w:hAnsi="Arial" w:cs="Arial"/>
          <w:sz w:val="22"/>
          <w:szCs w:val="22"/>
          <w:lang w:eastAsia="ja-JP"/>
        </w:rPr>
        <w:t xml:space="preserve"> </w:t>
      </w:r>
      <w:r w:rsidRPr="00FB2F3D">
        <w:rPr>
          <w:rFonts w:ascii="Arial" w:hAnsi="Arial" w:cs="Arial"/>
          <w:sz w:val="22"/>
          <w:szCs w:val="22"/>
        </w:rPr>
        <w:t>Person who is not an Associate of that Person; or</w:t>
      </w:r>
    </w:p>
    <w:p w14:paraId="58E47BF4"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the Person does not have control over the voting rights attaching to the Securities because some other Person manages those Securities on a discretionary basis.</w:t>
      </w:r>
    </w:p>
    <w:p w14:paraId="507427F1" w14:textId="35E0A6F8" w:rsidR="00892AFD" w:rsidRPr="00FB2F3D" w:rsidRDefault="00892AFD" w:rsidP="00892AFD">
      <w:pPr>
        <w:pStyle w:val="TitleL"/>
        <w:rPr>
          <w:rFonts w:ascii="Arial" w:hAnsi="Arial" w:cs="Arial"/>
          <w:sz w:val="22"/>
          <w:szCs w:val="22"/>
        </w:rPr>
      </w:pPr>
      <w:r w:rsidRPr="00FB2F3D">
        <w:rPr>
          <w:rFonts w:ascii="Arial" w:hAnsi="Arial" w:cs="Arial"/>
          <w:sz w:val="22"/>
          <w:szCs w:val="22"/>
        </w:rPr>
        <w:t xml:space="preserve">Events that trigger a </w:t>
      </w:r>
      <w:r w:rsidR="00832867">
        <w:rPr>
          <w:rFonts w:ascii="Arial" w:hAnsi="Arial" w:cs="Arial"/>
          <w:sz w:val="22"/>
          <w:szCs w:val="22"/>
        </w:rPr>
        <w:t>D</w:t>
      </w:r>
      <w:r w:rsidRPr="00FB2F3D">
        <w:rPr>
          <w:rFonts w:ascii="Arial" w:hAnsi="Arial" w:cs="Arial"/>
          <w:sz w:val="22"/>
          <w:szCs w:val="22"/>
        </w:rPr>
        <w:t>isclosure</w:t>
      </w:r>
    </w:p>
    <w:p w14:paraId="132D1C66" w14:textId="6BA6E505" w:rsidR="00892AFD" w:rsidRPr="00FB2F3D" w:rsidRDefault="00892AFD" w:rsidP="00892AFD">
      <w:pPr>
        <w:pStyle w:val="Heading3"/>
        <w:rPr>
          <w:rFonts w:ascii="Arial" w:hAnsi="Arial" w:cs="Arial"/>
          <w:sz w:val="22"/>
          <w:szCs w:val="22"/>
        </w:rPr>
      </w:pPr>
      <w:r w:rsidRPr="00FB2F3D">
        <w:rPr>
          <w:rFonts w:ascii="Arial" w:hAnsi="Arial" w:cs="Arial"/>
          <w:sz w:val="22"/>
          <w:szCs w:val="22"/>
        </w:rPr>
        <w:t>A Person who is a Connected Person of a Listed Fund pursuant to Rule </w:t>
      </w:r>
      <w:r w:rsidR="00693841" w:rsidRPr="00FB2F3D">
        <w:rPr>
          <w:rFonts w:ascii="Arial" w:hAnsi="Arial" w:cs="Arial"/>
          <w:sz w:val="22"/>
          <w:szCs w:val="22"/>
        </w:rPr>
        <w:t>3.6.1</w:t>
      </w:r>
      <w:r w:rsidRPr="00FB2F3D">
        <w:rPr>
          <w:rFonts w:ascii="Arial" w:hAnsi="Arial" w:cs="Arial"/>
          <w:sz w:val="22"/>
          <w:szCs w:val="22"/>
        </w:rPr>
        <w:t xml:space="preserve"> must make the </w:t>
      </w:r>
      <w:r w:rsidR="00832867">
        <w:rPr>
          <w:rFonts w:ascii="Arial" w:hAnsi="Arial" w:cs="Arial"/>
          <w:sz w:val="22"/>
          <w:szCs w:val="22"/>
        </w:rPr>
        <w:t>D</w:t>
      </w:r>
      <w:r w:rsidRPr="00FB2F3D">
        <w:rPr>
          <w:rFonts w:ascii="Arial" w:hAnsi="Arial" w:cs="Arial"/>
          <w:sz w:val="22"/>
          <w:szCs w:val="22"/>
        </w:rPr>
        <w:t>isclosure within five Business Days of:</w:t>
      </w:r>
    </w:p>
    <w:p w14:paraId="44A73259"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lastRenderedPageBreak/>
        <w:t>becoming or ceasing to be a Director or a Person involved in the Senior Management of a Controller of the Reporting Entity of the Fund or of the Trustee of the Fund;</w:t>
      </w:r>
    </w:p>
    <w:p w14:paraId="5D434A23" w14:textId="77777777" w:rsidR="00892AFD" w:rsidRPr="00FB2F3D" w:rsidRDefault="00892AFD" w:rsidP="00424270">
      <w:pPr>
        <w:pStyle w:val="Heading4"/>
        <w:rPr>
          <w:rFonts w:ascii="Arial" w:hAnsi="Arial" w:cs="Arial"/>
          <w:sz w:val="22"/>
          <w:szCs w:val="22"/>
        </w:rPr>
      </w:pPr>
      <w:bookmarkStart w:id="269" w:name="_Ref410669167"/>
      <w:r w:rsidRPr="00FB2F3D">
        <w:rPr>
          <w:rFonts w:ascii="Arial" w:hAnsi="Arial" w:cs="Arial"/>
          <w:sz w:val="22"/>
          <w:szCs w:val="22"/>
        </w:rPr>
        <w:t>acquiring or ceasing to hold either alone or with an Associate of the Person</w:t>
      </w:r>
      <w:r w:rsidRPr="00FB2F3D">
        <w:rPr>
          <w:rFonts w:ascii="Arial" w:hAnsi="Arial" w:cs="Arial"/>
          <w:sz w:val="22"/>
          <w:szCs w:val="22"/>
          <w:lang w:eastAsia="ja-JP"/>
        </w:rPr>
        <w:t xml:space="preserve"> </w:t>
      </w:r>
      <w:r w:rsidRPr="00FB2F3D">
        <w:rPr>
          <w:rFonts w:ascii="Arial" w:hAnsi="Arial" w:cs="Arial"/>
          <w:sz w:val="22"/>
          <w:szCs w:val="22"/>
        </w:rPr>
        <w:t>5% of the voting rights attaching to the Units of the Fund or of the Trustee of the Fund or a Controller of the Reporting Entity of the Fund or the Trustee of</w:t>
      </w:r>
      <w:r w:rsidRPr="00FB2F3D">
        <w:rPr>
          <w:rFonts w:ascii="Arial" w:hAnsi="Arial" w:cs="Arial"/>
          <w:sz w:val="22"/>
          <w:szCs w:val="22"/>
          <w:lang w:eastAsia="ja-JP"/>
        </w:rPr>
        <w:t xml:space="preserve"> </w:t>
      </w:r>
      <w:r w:rsidRPr="00FB2F3D">
        <w:rPr>
          <w:rFonts w:ascii="Arial" w:hAnsi="Arial" w:cs="Arial"/>
          <w:sz w:val="22"/>
          <w:szCs w:val="22"/>
        </w:rPr>
        <w:t>the Fund; or</w:t>
      </w:r>
      <w:bookmarkEnd w:id="269"/>
    </w:p>
    <w:p w14:paraId="797FF754"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an increase or decrease of at least 1% of the level of interest previously reported pursuant</w:t>
      </w:r>
      <w:r w:rsidR="007050B7" w:rsidRPr="00FB2F3D">
        <w:rPr>
          <w:rFonts w:ascii="Arial" w:hAnsi="Arial" w:cs="Arial"/>
          <w:sz w:val="22"/>
          <w:szCs w:val="22"/>
        </w:rPr>
        <w:t xml:space="preserve"> to paragraph (2) of this Rule 3.6.2.</w:t>
      </w:r>
    </w:p>
    <w:p w14:paraId="3D4050D2" w14:textId="0E1578FE" w:rsidR="00892AFD" w:rsidRPr="00FB2F3D" w:rsidRDefault="00892AFD" w:rsidP="00892AFD">
      <w:pPr>
        <w:pStyle w:val="TitleL"/>
        <w:rPr>
          <w:rFonts w:ascii="Arial" w:hAnsi="Arial" w:cs="Arial"/>
          <w:sz w:val="22"/>
          <w:szCs w:val="22"/>
        </w:rPr>
      </w:pPr>
      <w:r w:rsidRPr="00FB2F3D">
        <w:rPr>
          <w:rFonts w:ascii="Arial" w:hAnsi="Arial" w:cs="Arial"/>
          <w:sz w:val="22"/>
          <w:szCs w:val="22"/>
        </w:rPr>
        <w:t xml:space="preserve">Content </w:t>
      </w:r>
      <w:r w:rsidR="00832867">
        <w:rPr>
          <w:rFonts w:ascii="Arial" w:hAnsi="Arial" w:cs="Arial"/>
          <w:sz w:val="22"/>
          <w:szCs w:val="22"/>
        </w:rPr>
        <w:t xml:space="preserve">and procedure </w:t>
      </w:r>
      <w:r w:rsidRPr="00FB2F3D">
        <w:rPr>
          <w:rFonts w:ascii="Arial" w:hAnsi="Arial" w:cs="Arial"/>
          <w:sz w:val="22"/>
          <w:szCs w:val="22"/>
        </w:rPr>
        <w:t xml:space="preserve">of the </w:t>
      </w:r>
      <w:r w:rsidR="00832867">
        <w:rPr>
          <w:rFonts w:ascii="Arial" w:hAnsi="Arial" w:cs="Arial"/>
          <w:sz w:val="22"/>
          <w:szCs w:val="22"/>
        </w:rPr>
        <w:t>D</w:t>
      </w:r>
      <w:r w:rsidRPr="00FB2F3D">
        <w:rPr>
          <w:rFonts w:ascii="Arial" w:hAnsi="Arial" w:cs="Arial"/>
          <w:sz w:val="22"/>
          <w:szCs w:val="22"/>
        </w:rPr>
        <w:t>isclosure</w:t>
      </w:r>
    </w:p>
    <w:p w14:paraId="67695324" w14:textId="36547731" w:rsidR="00892AFD" w:rsidRPr="00FB2F3D" w:rsidRDefault="00892AFD" w:rsidP="00892AFD">
      <w:pPr>
        <w:pStyle w:val="Heading3"/>
        <w:keepNext/>
        <w:rPr>
          <w:rFonts w:ascii="Arial" w:hAnsi="Arial" w:cs="Arial"/>
          <w:sz w:val="22"/>
          <w:szCs w:val="22"/>
        </w:rPr>
      </w:pPr>
      <w:bookmarkStart w:id="270" w:name="_Ref410074863"/>
      <w:bookmarkStart w:id="271" w:name="_Ref410635802"/>
      <w:r w:rsidRPr="00FB2F3D">
        <w:rPr>
          <w:rFonts w:ascii="Arial" w:hAnsi="Arial" w:cs="Arial"/>
          <w:sz w:val="22"/>
          <w:szCs w:val="22"/>
        </w:rPr>
        <w:t xml:space="preserve">A </w:t>
      </w:r>
      <w:r w:rsidR="00832867">
        <w:rPr>
          <w:rFonts w:ascii="Arial" w:hAnsi="Arial" w:cs="Arial"/>
          <w:sz w:val="22"/>
          <w:szCs w:val="22"/>
        </w:rPr>
        <w:t>D</w:t>
      </w:r>
      <w:r w:rsidRPr="00FB2F3D">
        <w:rPr>
          <w:rFonts w:ascii="Arial" w:hAnsi="Arial" w:cs="Arial"/>
          <w:sz w:val="22"/>
          <w:szCs w:val="22"/>
        </w:rPr>
        <w:t>isclosure made by a Connected Person must contain the</w:t>
      </w:r>
      <w:bookmarkEnd w:id="270"/>
      <w:r w:rsidRPr="00FB2F3D">
        <w:rPr>
          <w:rFonts w:ascii="Arial" w:hAnsi="Arial" w:cs="Arial"/>
          <w:sz w:val="22"/>
          <w:szCs w:val="22"/>
        </w:rPr>
        <w:t>:</w:t>
      </w:r>
      <w:bookmarkEnd w:id="271"/>
    </w:p>
    <w:p w14:paraId="4EA77786" w14:textId="422E58B4" w:rsidR="00892AFD" w:rsidRPr="00FB2F3D" w:rsidRDefault="00892AFD" w:rsidP="00424270">
      <w:pPr>
        <w:pStyle w:val="Heading4"/>
        <w:rPr>
          <w:rFonts w:ascii="Arial" w:hAnsi="Arial" w:cs="Arial"/>
          <w:sz w:val="22"/>
          <w:szCs w:val="22"/>
        </w:rPr>
      </w:pPr>
      <w:r w:rsidRPr="00FB2F3D">
        <w:rPr>
          <w:rFonts w:ascii="Arial" w:hAnsi="Arial" w:cs="Arial"/>
          <w:sz w:val="22"/>
          <w:szCs w:val="22"/>
        </w:rPr>
        <w:t>name and address of the Connected Person;</w:t>
      </w:r>
    </w:p>
    <w:p w14:paraId="09A13BA8" w14:textId="23131E56" w:rsidR="00892AFD" w:rsidRPr="00FB2F3D" w:rsidRDefault="00892AFD" w:rsidP="00424270">
      <w:pPr>
        <w:pStyle w:val="Heading4"/>
        <w:rPr>
          <w:rFonts w:ascii="Arial" w:hAnsi="Arial" w:cs="Arial"/>
          <w:sz w:val="22"/>
          <w:szCs w:val="22"/>
          <w:lang w:eastAsia="ja-JP"/>
        </w:rPr>
      </w:pPr>
      <w:r w:rsidRPr="00FB2F3D">
        <w:rPr>
          <w:rFonts w:ascii="Arial" w:hAnsi="Arial" w:cs="Arial"/>
          <w:sz w:val="22"/>
          <w:szCs w:val="22"/>
        </w:rPr>
        <w:t>name and address of the Reporting Entity and its registered address;</w:t>
      </w:r>
    </w:p>
    <w:p w14:paraId="097A45B2" w14:textId="1291BF79" w:rsidR="00892AFD" w:rsidRPr="00FB2F3D" w:rsidRDefault="00892AFD" w:rsidP="00424270">
      <w:pPr>
        <w:pStyle w:val="Heading4"/>
        <w:rPr>
          <w:rFonts w:ascii="Arial" w:hAnsi="Arial" w:cs="Arial"/>
          <w:sz w:val="22"/>
          <w:szCs w:val="22"/>
        </w:rPr>
      </w:pPr>
      <w:r w:rsidRPr="00FB2F3D">
        <w:rPr>
          <w:rFonts w:ascii="Arial" w:hAnsi="Arial" w:cs="Arial"/>
          <w:sz w:val="22"/>
          <w:szCs w:val="22"/>
        </w:rPr>
        <w:t>name and registered address of the Listed Fund;</w:t>
      </w:r>
    </w:p>
    <w:p w14:paraId="32D070D7" w14:textId="3BD8A28A" w:rsidR="00892AFD" w:rsidRPr="00FB2F3D" w:rsidRDefault="00892AFD" w:rsidP="00424270">
      <w:pPr>
        <w:pStyle w:val="Heading4"/>
        <w:rPr>
          <w:rFonts w:ascii="Arial" w:hAnsi="Arial" w:cs="Arial"/>
          <w:sz w:val="22"/>
          <w:szCs w:val="22"/>
        </w:rPr>
      </w:pPr>
      <w:r w:rsidRPr="00FB2F3D">
        <w:rPr>
          <w:rFonts w:ascii="Arial" w:hAnsi="Arial" w:cs="Arial"/>
          <w:sz w:val="22"/>
          <w:szCs w:val="22"/>
        </w:rPr>
        <w:t xml:space="preserve">date on which the event giving rise to the obligation to </w:t>
      </w:r>
      <w:r w:rsidR="00832867">
        <w:rPr>
          <w:rFonts w:ascii="Arial" w:hAnsi="Arial" w:cs="Arial"/>
          <w:sz w:val="22"/>
          <w:szCs w:val="22"/>
        </w:rPr>
        <w:t>make</w:t>
      </w:r>
      <w:r w:rsidRPr="00FB2F3D">
        <w:rPr>
          <w:rFonts w:ascii="Arial" w:hAnsi="Arial" w:cs="Arial"/>
          <w:sz w:val="22"/>
          <w:szCs w:val="22"/>
        </w:rPr>
        <w:t xml:space="preserve"> a </w:t>
      </w:r>
      <w:r w:rsidR="00832867">
        <w:rPr>
          <w:rFonts w:ascii="Arial" w:hAnsi="Arial" w:cs="Arial"/>
          <w:sz w:val="22"/>
          <w:szCs w:val="22"/>
        </w:rPr>
        <w:t>Disclosure</w:t>
      </w:r>
      <w:r w:rsidRPr="00FB2F3D">
        <w:rPr>
          <w:rFonts w:ascii="Arial" w:hAnsi="Arial" w:cs="Arial"/>
          <w:sz w:val="22"/>
          <w:szCs w:val="22"/>
        </w:rPr>
        <w:t xml:space="preserve"> occurred;</w:t>
      </w:r>
    </w:p>
    <w:p w14:paraId="0185C445" w14:textId="3AA74B8F" w:rsidR="00892AFD" w:rsidRPr="00FB2F3D" w:rsidRDefault="00892AFD" w:rsidP="00424270">
      <w:pPr>
        <w:pStyle w:val="Heading4"/>
        <w:rPr>
          <w:rFonts w:ascii="Arial" w:hAnsi="Arial" w:cs="Arial"/>
          <w:sz w:val="22"/>
          <w:szCs w:val="22"/>
        </w:rPr>
      </w:pPr>
      <w:r w:rsidRPr="00FB2F3D">
        <w:rPr>
          <w:rFonts w:ascii="Arial" w:hAnsi="Arial" w:cs="Arial"/>
          <w:sz w:val="22"/>
          <w:szCs w:val="22"/>
        </w:rPr>
        <w:t>date on which the filing was made; and</w:t>
      </w:r>
    </w:p>
    <w:p w14:paraId="03C74E95" w14:textId="2AF56A52" w:rsidR="00892AFD" w:rsidRPr="00FB2F3D" w:rsidRDefault="00892AFD" w:rsidP="00424270">
      <w:pPr>
        <w:pStyle w:val="Heading4"/>
        <w:rPr>
          <w:rFonts w:ascii="Arial" w:hAnsi="Arial" w:cs="Arial"/>
          <w:sz w:val="22"/>
          <w:szCs w:val="22"/>
        </w:rPr>
      </w:pPr>
      <w:r w:rsidRPr="00FB2F3D">
        <w:rPr>
          <w:rFonts w:ascii="Arial" w:hAnsi="Arial" w:cs="Arial"/>
          <w:sz w:val="22"/>
          <w:szCs w:val="22"/>
        </w:rPr>
        <w:t>price, amount and class of Securities or other investments as is relevant in relation to the transaction or other event and the previous and new level of interest held.</w:t>
      </w:r>
    </w:p>
    <w:p w14:paraId="7602D71B" w14:textId="6A505C50" w:rsidR="00892AFD" w:rsidRPr="00FB2F3D" w:rsidRDefault="00892AFD" w:rsidP="00892AFD">
      <w:pPr>
        <w:pStyle w:val="Heading3"/>
        <w:rPr>
          <w:rFonts w:ascii="Arial" w:hAnsi="Arial" w:cs="Arial"/>
          <w:sz w:val="22"/>
          <w:szCs w:val="22"/>
        </w:rPr>
      </w:pPr>
      <w:r w:rsidRPr="00FB2F3D">
        <w:rPr>
          <w:rFonts w:ascii="Arial" w:hAnsi="Arial" w:cs="Arial"/>
          <w:sz w:val="22"/>
          <w:szCs w:val="22"/>
        </w:rPr>
        <w:t xml:space="preserve">Upon a Connected Person making a </w:t>
      </w:r>
      <w:r w:rsidR="00832867">
        <w:rPr>
          <w:rFonts w:ascii="Arial" w:hAnsi="Arial" w:cs="Arial"/>
          <w:sz w:val="22"/>
          <w:szCs w:val="22"/>
        </w:rPr>
        <w:t>D</w:t>
      </w:r>
      <w:r w:rsidRPr="00FB2F3D">
        <w:rPr>
          <w:rFonts w:ascii="Arial" w:hAnsi="Arial" w:cs="Arial"/>
          <w:sz w:val="22"/>
          <w:szCs w:val="22"/>
        </w:rPr>
        <w:t xml:space="preserve">isclosure to the Reporting Entity, the Reporting Entity must, as soon as possible, make a </w:t>
      </w:r>
      <w:r w:rsidR="00832867">
        <w:rPr>
          <w:rFonts w:ascii="Arial" w:hAnsi="Arial" w:cs="Arial"/>
          <w:sz w:val="22"/>
          <w:szCs w:val="22"/>
        </w:rPr>
        <w:t>D</w:t>
      </w:r>
      <w:r w:rsidRPr="00FB2F3D">
        <w:rPr>
          <w:rFonts w:ascii="Arial" w:hAnsi="Arial" w:cs="Arial"/>
          <w:sz w:val="22"/>
          <w:szCs w:val="22"/>
        </w:rPr>
        <w:t xml:space="preserve">isclosure of that information </w:t>
      </w:r>
      <w:r w:rsidR="00561307">
        <w:rPr>
          <w:rFonts w:ascii="Arial" w:hAnsi="Arial" w:cs="Arial"/>
          <w:sz w:val="22"/>
          <w:szCs w:val="22"/>
        </w:rPr>
        <w:t>in accordance with Rule 7.7.1</w:t>
      </w:r>
      <w:r w:rsidRPr="00FB2F3D">
        <w:rPr>
          <w:rFonts w:ascii="Arial" w:hAnsi="Arial" w:cs="Arial"/>
          <w:sz w:val="22"/>
          <w:szCs w:val="22"/>
        </w:rPr>
        <w:t>.</w:t>
      </w:r>
    </w:p>
    <w:p w14:paraId="660325DE" w14:textId="77777777" w:rsidR="00892AFD" w:rsidRPr="00FB2F3D" w:rsidRDefault="00892AFD" w:rsidP="00892AFD">
      <w:pPr>
        <w:pStyle w:val="Heading2"/>
        <w:rPr>
          <w:rFonts w:ascii="Arial" w:hAnsi="Arial" w:cs="Arial"/>
          <w:sz w:val="22"/>
          <w:szCs w:val="22"/>
        </w:rPr>
      </w:pPr>
      <w:bookmarkStart w:id="272" w:name="_Toc409521856"/>
      <w:bookmarkStart w:id="273" w:name="_Toc410136253"/>
      <w:bookmarkStart w:id="274" w:name="_Toc410605962"/>
      <w:bookmarkStart w:id="275" w:name="_Toc410658898"/>
      <w:bookmarkStart w:id="276" w:name="_Toc410659025"/>
      <w:bookmarkStart w:id="277" w:name="_Toc410835572"/>
      <w:bookmarkStart w:id="278" w:name="_Toc138325663"/>
      <w:r w:rsidRPr="00FB2F3D">
        <w:rPr>
          <w:rFonts w:ascii="Arial" w:hAnsi="Arial" w:cs="Arial"/>
          <w:sz w:val="22"/>
          <w:szCs w:val="22"/>
        </w:rPr>
        <w:t>Disclosure of notifiable interests</w:t>
      </w:r>
      <w:bookmarkEnd w:id="272"/>
      <w:bookmarkEnd w:id="273"/>
      <w:bookmarkEnd w:id="274"/>
      <w:bookmarkEnd w:id="275"/>
      <w:bookmarkEnd w:id="276"/>
      <w:bookmarkEnd w:id="277"/>
      <w:bookmarkEnd w:id="278"/>
    </w:p>
    <w:p w14:paraId="4DBC93EE"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Application</w:t>
      </w:r>
    </w:p>
    <w:p w14:paraId="5683ED06"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This section applies to every member of the Governing Body of a Listed Fund.</w:t>
      </w:r>
    </w:p>
    <w:p w14:paraId="1E28D7AC"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6721CB13" w14:textId="3FE048DC" w:rsidR="00561307" w:rsidRDefault="00561307" w:rsidP="00561307">
      <w:pPr>
        <w:pStyle w:val="UK12Block05"/>
        <w:ind w:left="1418" w:hanging="698"/>
        <w:rPr>
          <w:rFonts w:ascii="Arial" w:hAnsi="Arial" w:cs="Arial"/>
          <w:sz w:val="22"/>
          <w:szCs w:val="22"/>
          <w:u w:val="single"/>
        </w:rPr>
      </w:pPr>
      <w:r>
        <w:rPr>
          <w:rFonts w:ascii="Arial" w:hAnsi="Arial" w:cs="Arial"/>
          <w:sz w:val="22"/>
          <w:szCs w:val="22"/>
        </w:rPr>
        <w:t>1.</w:t>
      </w:r>
      <w:r>
        <w:rPr>
          <w:rFonts w:ascii="Arial" w:hAnsi="Arial" w:cs="Arial"/>
          <w:sz w:val="22"/>
          <w:szCs w:val="22"/>
        </w:rPr>
        <w:tab/>
      </w:r>
      <w:r w:rsidRPr="00561307">
        <w:rPr>
          <w:rFonts w:ascii="Arial" w:hAnsi="Arial" w:cs="Arial"/>
          <w:sz w:val="22"/>
          <w:szCs w:val="22"/>
        </w:rPr>
        <w:t>Persons with a notifiable interest in the Reporting Entity or Listed Fund are required to make a Disclosure relating to that interest in accordance with the requirements prescribed in this Section.</w:t>
      </w:r>
    </w:p>
    <w:p w14:paraId="1FE6A8D2" w14:textId="7AE6629C" w:rsidR="00892AFD" w:rsidRPr="00FB2F3D" w:rsidRDefault="00561307" w:rsidP="00561307">
      <w:pPr>
        <w:pStyle w:val="UK12Block05"/>
        <w:ind w:left="1418" w:hanging="698"/>
        <w:rPr>
          <w:rFonts w:ascii="Arial" w:hAnsi="Arial" w:cs="Arial"/>
          <w:sz w:val="22"/>
          <w:szCs w:val="22"/>
        </w:rPr>
      </w:pPr>
      <w:r>
        <w:rPr>
          <w:rFonts w:ascii="Arial" w:hAnsi="Arial" w:cs="Arial"/>
          <w:sz w:val="22"/>
          <w:szCs w:val="22"/>
        </w:rPr>
        <w:t>2.</w:t>
      </w:r>
      <w:r>
        <w:rPr>
          <w:rFonts w:ascii="Arial" w:hAnsi="Arial" w:cs="Arial"/>
          <w:sz w:val="22"/>
          <w:szCs w:val="22"/>
        </w:rPr>
        <w:tab/>
      </w:r>
      <w:r w:rsidR="00892AFD" w:rsidRPr="00FB2F3D">
        <w:rPr>
          <w:rFonts w:ascii="Arial" w:hAnsi="Arial" w:cs="Arial"/>
          <w:sz w:val="22"/>
          <w:szCs w:val="22"/>
        </w:rPr>
        <w:t>In the case of a Listed Fund, the Reporting Entity is the Fund Manager</w:t>
      </w:r>
      <w:r w:rsidR="00633935" w:rsidRPr="00FB2F3D">
        <w:rPr>
          <w:rFonts w:ascii="Arial" w:hAnsi="Arial" w:cs="Arial"/>
          <w:sz w:val="22"/>
          <w:szCs w:val="22"/>
        </w:rPr>
        <w:t xml:space="preserve">, unless another </w:t>
      </w:r>
      <w:r>
        <w:rPr>
          <w:rFonts w:ascii="Arial" w:hAnsi="Arial" w:cs="Arial"/>
          <w:sz w:val="22"/>
          <w:szCs w:val="22"/>
        </w:rPr>
        <w:t>P</w:t>
      </w:r>
      <w:r w:rsidR="00633935" w:rsidRPr="00FB2F3D">
        <w:rPr>
          <w:rFonts w:ascii="Arial" w:hAnsi="Arial" w:cs="Arial"/>
          <w:sz w:val="22"/>
          <w:szCs w:val="22"/>
        </w:rPr>
        <w:t>erson has been declared by the Regulator as the Reporting Entity of the Fund</w:t>
      </w:r>
      <w:r w:rsidR="00892AFD" w:rsidRPr="00FB2F3D">
        <w:rPr>
          <w:rFonts w:ascii="Arial" w:hAnsi="Arial" w:cs="Arial"/>
          <w:sz w:val="22"/>
          <w:szCs w:val="22"/>
        </w:rPr>
        <w:t xml:space="preserve">. However, as the Governing Body of a Listed Fund may include other </w:t>
      </w:r>
      <w:r>
        <w:rPr>
          <w:rFonts w:ascii="Arial" w:hAnsi="Arial" w:cs="Arial"/>
          <w:sz w:val="22"/>
          <w:szCs w:val="22"/>
        </w:rPr>
        <w:t>P</w:t>
      </w:r>
      <w:r w:rsidR="00892AFD" w:rsidRPr="00FB2F3D">
        <w:rPr>
          <w:rFonts w:ascii="Arial" w:hAnsi="Arial" w:cs="Arial"/>
          <w:sz w:val="22"/>
          <w:szCs w:val="22"/>
        </w:rPr>
        <w:t>ersons who exercise powers similar to those that are exercised by Directors of the Fund Manager, the obligations relating to disclosure of notifiable interests extend, in the case of a Listed Fund, to members of its Governing Body.</w:t>
      </w:r>
    </w:p>
    <w:p w14:paraId="6EE730C4"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lastRenderedPageBreak/>
        <w:t>Definition of a notifiable interest</w:t>
      </w:r>
    </w:p>
    <w:p w14:paraId="3646BD0D" w14:textId="10BCD6E2" w:rsidR="00892AFD" w:rsidRPr="00FB2F3D" w:rsidRDefault="00892AFD" w:rsidP="00892AFD">
      <w:pPr>
        <w:pStyle w:val="Heading3"/>
        <w:rPr>
          <w:rFonts w:ascii="Arial" w:hAnsi="Arial" w:cs="Arial"/>
          <w:sz w:val="22"/>
          <w:szCs w:val="22"/>
        </w:rPr>
      </w:pPr>
      <w:bookmarkStart w:id="279" w:name="_Ref410059165"/>
      <w:bookmarkStart w:id="280" w:name="_Ref410634146"/>
      <w:r w:rsidRPr="00FB2F3D">
        <w:rPr>
          <w:rFonts w:ascii="Arial" w:hAnsi="Arial" w:cs="Arial"/>
          <w:sz w:val="22"/>
          <w:szCs w:val="22"/>
        </w:rPr>
        <w:t>A member of the Governing Body of a Listed Fund has a notifiable interest in the</w:t>
      </w:r>
      <w:r w:rsidRPr="00FB2F3D">
        <w:rPr>
          <w:rFonts w:ascii="Arial" w:hAnsi="Arial" w:cs="Arial"/>
          <w:sz w:val="22"/>
          <w:szCs w:val="22"/>
          <w:lang w:eastAsia="ja-JP"/>
        </w:rPr>
        <w:t xml:space="preserve"> </w:t>
      </w:r>
      <w:r w:rsidRPr="00FB2F3D">
        <w:rPr>
          <w:rFonts w:ascii="Arial" w:hAnsi="Arial" w:cs="Arial"/>
          <w:sz w:val="22"/>
          <w:szCs w:val="22"/>
        </w:rPr>
        <w:t xml:space="preserve">Listed Fund if that </w:t>
      </w:r>
      <w:r w:rsidR="00561307">
        <w:rPr>
          <w:rFonts w:ascii="Arial" w:hAnsi="Arial" w:cs="Arial"/>
          <w:sz w:val="22"/>
          <w:szCs w:val="22"/>
        </w:rPr>
        <w:t>P</w:t>
      </w:r>
      <w:r w:rsidRPr="00FB2F3D">
        <w:rPr>
          <w:rFonts w:ascii="Arial" w:hAnsi="Arial" w:cs="Arial"/>
          <w:sz w:val="22"/>
          <w:szCs w:val="22"/>
        </w:rPr>
        <w:t>erson has any interest arising through</w:t>
      </w:r>
      <w:bookmarkEnd w:id="279"/>
      <w:r w:rsidRPr="00FB2F3D">
        <w:rPr>
          <w:rFonts w:ascii="Arial" w:hAnsi="Arial" w:cs="Arial"/>
          <w:sz w:val="22"/>
          <w:szCs w:val="22"/>
        </w:rPr>
        <w:t>:</w:t>
      </w:r>
      <w:bookmarkEnd w:id="280"/>
    </w:p>
    <w:p w14:paraId="52CF5A49"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the direct or indirect ownership of, or beneficial ownership of, Units of the</w:t>
      </w:r>
      <w:r w:rsidRPr="00FB2F3D">
        <w:rPr>
          <w:rFonts w:ascii="Arial" w:hAnsi="Arial" w:cs="Arial"/>
          <w:sz w:val="22"/>
          <w:szCs w:val="22"/>
          <w:lang w:eastAsia="ja-JP"/>
        </w:rPr>
        <w:t xml:space="preserve"> </w:t>
      </w:r>
      <w:r w:rsidRPr="00FB2F3D">
        <w:rPr>
          <w:rFonts w:ascii="Arial" w:hAnsi="Arial" w:cs="Arial"/>
          <w:sz w:val="22"/>
          <w:szCs w:val="22"/>
        </w:rPr>
        <w:t>Listed Fund; or</w:t>
      </w:r>
    </w:p>
    <w:p w14:paraId="77C7960E"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any involvement in financial or commercial arrangement with or relating to the</w:t>
      </w:r>
      <w:r w:rsidRPr="00FB2F3D">
        <w:rPr>
          <w:rFonts w:ascii="Arial" w:hAnsi="Arial" w:cs="Arial"/>
          <w:sz w:val="22"/>
          <w:szCs w:val="22"/>
          <w:lang w:eastAsia="ja-JP"/>
        </w:rPr>
        <w:t xml:space="preserve"> </w:t>
      </w:r>
      <w:r w:rsidRPr="00FB2F3D">
        <w:rPr>
          <w:rFonts w:ascii="Arial" w:hAnsi="Arial" w:cs="Arial"/>
          <w:sz w:val="22"/>
          <w:szCs w:val="22"/>
        </w:rPr>
        <w:t>Listed Fund.</w:t>
      </w:r>
    </w:p>
    <w:p w14:paraId="3ED49ABC"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Content and procedures relating to the notice</w:t>
      </w:r>
    </w:p>
    <w:p w14:paraId="7D40FDAD" w14:textId="77777777" w:rsidR="00892AFD" w:rsidRPr="00FB2F3D" w:rsidRDefault="007441BA" w:rsidP="00892AFD">
      <w:pPr>
        <w:pStyle w:val="Heading3"/>
        <w:ind w:left="1440" w:hanging="1440"/>
        <w:rPr>
          <w:rFonts w:ascii="Arial" w:hAnsi="Arial" w:cs="Arial"/>
          <w:sz w:val="22"/>
          <w:szCs w:val="22"/>
        </w:rPr>
      </w:pPr>
      <w:bookmarkStart w:id="281" w:name="_Ref410074875"/>
      <w:r w:rsidRPr="00FB2F3D">
        <w:rPr>
          <w:rFonts w:ascii="Arial" w:hAnsi="Arial" w:cs="Arial"/>
          <w:sz w:val="22"/>
          <w:szCs w:val="22"/>
        </w:rPr>
        <w:t>(1)</w:t>
      </w:r>
      <w:r w:rsidR="00892AFD" w:rsidRPr="00FB2F3D">
        <w:rPr>
          <w:rFonts w:ascii="Arial" w:hAnsi="Arial" w:cs="Arial"/>
          <w:sz w:val="22"/>
          <w:szCs w:val="22"/>
        </w:rPr>
        <w:tab/>
        <w:t xml:space="preserve">A notice relating to a notifiable interest must, subject only to </w:t>
      </w:r>
      <w:r w:rsidR="00693841" w:rsidRPr="00FB2F3D">
        <w:rPr>
          <w:rFonts w:ascii="Arial" w:hAnsi="Arial" w:cs="Arial"/>
          <w:sz w:val="22"/>
          <w:szCs w:val="22"/>
        </w:rPr>
        <w:t>(2)</w:t>
      </w:r>
      <w:r w:rsidR="00892AFD" w:rsidRPr="00FB2F3D">
        <w:rPr>
          <w:rFonts w:ascii="Arial" w:hAnsi="Arial" w:cs="Arial"/>
          <w:sz w:val="22"/>
          <w:szCs w:val="22"/>
        </w:rPr>
        <w:t>, be given by a</w:t>
      </w:r>
      <w:r w:rsidR="00892AFD" w:rsidRPr="00FB2F3D">
        <w:rPr>
          <w:rFonts w:ascii="Arial" w:hAnsi="Arial" w:cs="Arial"/>
          <w:sz w:val="22"/>
          <w:szCs w:val="22"/>
          <w:lang w:eastAsia="ja-JP"/>
        </w:rPr>
        <w:t xml:space="preserve"> </w:t>
      </w:r>
      <w:r w:rsidR="00892AFD" w:rsidRPr="00FB2F3D">
        <w:rPr>
          <w:rFonts w:ascii="Arial" w:hAnsi="Arial" w:cs="Arial"/>
          <w:sz w:val="22"/>
          <w:szCs w:val="22"/>
        </w:rPr>
        <w:t>Person referred to in Rule </w:t>
      </w:r>
      <w:r w:rsidR="00693841" w:rsidRPr="00FB2F3D">
        <w:rPr>
          <w:rFonts w:ascii="Arial" w:hAnsi="Arial" w:cs="Arial"/>
          <w:sz w:val="22"/>
          <w:szCs w:val="22"/>
        </w:rPr>
        <w:t>3.7.2</w:t>
      </w:r>
      <w:r w:rsidR="00892AFD" w:rsidRPr="00FB2F3D">
        <w:rPr>
          <w:rFonts w:ascii="Arial" w:hAnsi="Arial" w:cs="Arial"/>
          <w:sz w:val="22"/>
          <w:szCs w:val="22"/>
        </w:rPr>
        <w:t xml:space="preserve"> to the other members of the Governing Body</w:t>
      </w:r>
      <w:r w:rsidR="00892AFD" w:rsidRPr="00FB2F3D">
        <w:rPr>
          <w:rFonts w:ascii="Arial" w:hAnsi="Arial" w:cs="Arial"/>
          <w:sz w:val="22"/>
          <w:szCs w:val="22"/>
          <w:lang w:eastAsia="ja-JP"/>
        </w:rPr>
        <w:t xml:space="preserve"> </w:t>
      </w:r>
      <w:r w:rsidR="00892AFD" w:rsidRPr="00FB2F3D">
        <w:rPr>
          <w:rFonts w:ascii="Arial" w:hAnsi="Arial" w:cs="Arial"/>
          <w:sz w:val="22"/>
          <w:szCs w:val="22"/>
        </w:rPr>
        <w:t>within five Business Days of the notifiable interest arising or changing</w:t>
      </w:r>
      <w:bookmarkEnd w:id="281"/>
      <w:r w:rsidR="00892AFD" w:rsidRPr="00FB2F3D">
        <w:rPr>
          <w:rFonts w:ascii="Arial" w:hAnsi="Arial" w:cs="Arial"/>
          <w:sz w:val="22"/>
          <w:szCs w:val="22"/>
        </w:rPr>
        <w:t>.</w:t>
      </w:r>
    </w:p>
    <w:p w14:paraId="4150DED1" w14:textId="77777777" w:rsidR="00892AFD" w:rsidRPr="00FB2F3D" w:rsidRDefault="00633935" w:rsidP="00633935">
      <w:pPr>
        <w:pStyle w:val="Heading4"/>
        <w:numPr>
          <w:ilvl w:val="0"/>
          <w:numId w:val="0"/>
        </w:numPr>
        <w:ind w:left="1440" w:hanging="720"/>
        <w:rPr>
          <w:rFonts w:ascii="Arial" w:hAnsi="Arial" w:cs="Arial"/>
          <w:sz w:val="22"/>
          <w:szCs w:val="22"/>
        </w:rPr>
      </w:pPr>
      <w:bookmarkStart w:id="282" w:name="_Ref410669189"/>
      <w:r w:rsidRPr="00FB2F3D">
        <w:rPr>
          <w:rFonts w:ascii="Arial" w:hAnsi="Arial" w:cs="Arial"/>
          <w:sz w:val="22"/>
          <w:szCs w:val="22"/>
        </w:rPr>
        <w:t>(2)</w:t>
      </w:r>
      <w:r w:rsidRPr="00FB2F3D">
        <w:rPr>
          <w:rFonts w:ascii="Arial" w:hAnsi="Arial" w:cs="Arial"/>
          <w:sz w:val="22"/>
          <w:szCs w:val="22"/>
        </w:rPr>
        <w:tab/>
      </w:r>
      <w:r w:rsidR="00892AFD" w:rsidRPr="00FB2F3D">
        <w:rPr>
          <w:rFonts w:ascii="Arial" w:hAnsi="Arial" w:cs="Arial"/>
          <w:sz w:val="22"/>
          <w:szCs w:val="22"/>
        </w:rPr>
        <w:t xml:space="preserve">A Person referred to in </w:t>
      </w:r>
      <w:r w:rsidR="00693841" w:rsidRPr="00FB2F3D">
        <w:rPr>
          <w:rFonts w:ascii="Arial" w:hAnsi="Arial" w:cs="Arial"/>
          <w:sz w:val="22"/>
          <w:szCs w:val="22"/>
        </w:rPr>
        <w:t>(1)</w:t>
      </w:r>
      <w:r w:rsidR="00892AFD" w:rsidRPr="00FB2F3D">
        <w:rPr>
          <w:rFonts w:ascii="Arial" w:hAnsi="Arial" w:cs="Arial"/>
          <w:sz w:val="22"/>
          <w:szCs w:val="22"/>
        </w:rPr>
        <w:t xml:space="preserve"> need not give a notice relating to a notifiable interest if the notifiable interest is required to be included in a report that Person must provide by virtue of being a Connected Person under section </w:t>
      </w:r>
      <w:r w:rsidR="00693841" w:rsidRPr="00FB2F3D">
        <w:rPr>
          <w:rFonts w:ascii="Arial" w:hAnsi="Arial" w:cs="Arial"/>
          <w:sz w:val="22"/>
          <w:szCs w:val="22"/>
        </w:rPr>
        <w:t>3.6</w:t>
      </w:r>
      <w:r w:rsidR="00892AFD" w:rsidRPr="00FB2F3D">
        <w:rPr>
          <w:rFonts w:ascii="Arial" w:hAnsi="Arial" w:cs="Arial"/>
          <w:sz w:val="22"/>
          <w:szCs w:val="22"/>
        </w:rPr>
        <w:t xml:space="preserve"> and the Person has complied with the requirement in that section.</w:t>
      </w:r>
      <w:bookmarkEnd w:id="282"/>
    </w:p>
    <w:p w14:paraId="5680D343" w14:textId="77777777" w:rsidR="00892AFD" w:rsidRPr="00FB2F3D" w:rsidRDefault="00633935" w:rsidP="00633935">
      <w:pPr>
        <w:pStyle w:val="Heading4"/>
        <w:keepNext/>
        <w:numPr>
          <w:ilvl w:val="0"/>
          <w:numId w:val="0"/>
        </w:numPr>
        <w:ind w:left="1440" w:hanging="720"/>
        <w:rPr>
          <w:rFonts w:ascii="Arial" w:hAnsi="Arial" w:cs="Arial"/>
          <w:sz w:val="22"/>
          <w:szCs w:val="22"/>
        </w:rPr>
      </w:pPr>
      <w:bookmarkStart w:id="283" w:name="_Ref410635816"/>
      <w:r w:rsidRPr="00FB2F3D">
        <w:rPr>
          <w:rFonts w:ascii="Arial" w:hAnsi="Arial" w:cs="Arial"/>
          <w:sz w:val="22"/>
          <w:szCs w:val="22"/>
        </w:rPr>
        <w:t>(3)</w:t>
      </w:r>
      <w:r w:rsidRPr="00FB2F3D">
        <w:rPr>
          <w:rFonts w:ascii="Arial" w:hAnsi="Arial" w:cs="Arial"/>
          <w:sz w:val="22"/>
          <w:szCs w:val="22"/>
        </w:rPr>
        <w:tab/>
      </w:r>
      <w:r w:rsidR="00892AFD" w:rsidRPr="00FB2F3D">
        <w:rPr>
          <w:rFonts w:ascii="Arial" w:hAnsi="Arial" w:cs="Arial"/>
          <w:sz w:val="22"/>
          <w:szCs w:val="22"/>
        </w:rPr>
        <w:t>A notice relating to a notifiable interest must contain:</w:t>
      </w:r>
      <w:bookmarkEnd w:id="283"/>
    </w:p>
    <w:p w14:paraId="27359B4A"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the name and address of the Person giving the notice;</w:t>
      </w:r>
    </w:p>
    <w:p w14:paraId="4E933994"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if the notifiable interest relates to a Listed Fund, the name and registered address of the Listed Fund; and</w:t>
      </w:r>
    </w:p>
    <w:p w14:paraId="0114B87D"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the details relating to the notifiable interest, including the date on which the notifiable interest arose or changed.</w:t>
      </w:r>
    </w:p>
    <w:p w14:paraId="12F63F19" w14:textId="1B65C2FE" w:rsidR="00892AFD" w:rsidRPr="00FB2F3D" w:rsidRDefault="00892AFD" w:rsidP="00892AFD">
      <w:pPr>
        <w:pStyle w:val="Heading2"/>
        <w:rPr>
          <w:rFonts w:ascii="Arial" w:hAnsi="Arial" w:cs="Arial"/>
          <w:sz w:val="22"/>
          <w:szCs w:val="22"/>
        </w:rPr>
      </w:pPr>
      <w:bookmarkStart w:id="284" w:name="_Toc409521857"/>
      <w:bookmarkStart w:id="285" w:name="_Toc410136254"/>
      <w:bookmarkStart w:id="286" w:name="_Toc410605963"/>
      <w:bookmarkStart w:id="287" w:name="_Toc410658899"/>
      <w:bookmarkStart w:id="288" w:name="_Toc410659026"/>
      <w:bookmarkStart w:id="289" w:name="_Toc410835573"/>
      <w:bookmarkStart w:id="290" w:name="_Toc138325664"/>
      <w:r w:rsidRPr="00FB2F3D">
        <w:rPr>
          <w:rFonts w:ascii="Arial" w:hAnsi="Arial" w:cs="Arial"/>
          <w:sz w:val="22"/>
          <w:szCs w:val="22"/>
        </w:rPr>
        <w:t xml:space="preserve">Other matters that require </w:t>
      </w:r>
      <w:r w:rsidR="00561307">
        <w:rPr>
          <w:rFonts w:ascii="Arial" w:hAnsi="Arial" w:cs="Arial"/>
          <w:sz w:val="22"/>
          <w:szCs w:val="22"/>
        </w:rPr>
        <w:t>D</w:t>
      </w:r>
      <w:r w:rsidRPr="00FB2F3D">
        <w:rPr>
          <w:rFonts w:ascii="Arial" w:hAnsi="Arial" w:cs="Arial"/>
          <w:sz w:val="22"/>
          <w:szCs w:val="22"/>
        </w:rPr>
        <w:t>isclosure</w:t>
      </w:r>
      <w:bookmarkEnd w:id="284"/>
      <w:bookmarkEnd w:id="285"/>
      <w:bookmarkEnd w:id="286"/>
      <w:bookmarkEnd w:id="287"/>
      <w:bookmarkEnd w:id="288"/>
      <w:bookmarkEnd w:id="289"/>
      <w:bookmarkEnd w:id="290"/>
    </w:p>
    <w:p w14:paraId="0BDF5197" w14:textId="0F532CAA" w:rsidR="00892AFD" w:rsidRPr="00FB2F3D" w:rsidRDefault="00892AFD" w:rsidP="00892AFD">
      <w:pPr>
        <w:pStyle w:val="Heading3"/>
        <w:rPr>
          <w:rFonts w:ascii="Arial" w:hAnsi="Arial" w:cs="Arial"/>
          <w:sz w:val="22"/>
          <w:szCs w:val="22"/>
        </w:rPr>
      </w:pPr>
      <w:bookmarkStart w:id="291" w:name="_Ref410074806"/>
      <w:r w:rsidRPr="00FB2F3D">
        <w:rPr>
          <w:rFonts w:ascii="Arial" w:hAnsi="Arial" w:cs="Arial"/>
          <w:sz w:val="22"/>
          <w:szCs w:val="22"/>
        </w:rPr>
        <w:t xml:space="preserve">A Reporting Entity of a Listed Fund must </w:t>
      </w:r>
      <w:r w:rsidR="00561307">
        <w:rPr>
          <w:rFonts w:ascii="Arial" w:hAnsi="Arial" w:cs="Arial"/>
          <w:sz w:val="22"/>
          <w:szCs w:val="22"/>
        </w:rPr>
        <w:t>Disclose</w:t>
      </w:r>
      <w:r w:rsidRPr="00FB2F3D">
        <w:rPr>
          <w:rFonts w:ascii="Arial" w:hAnsi="Arial" w:cs="Arial"/>
          <w:sz w:val="22"/>
          <w:szCs w:val="22"/>
        </w:rPr>
        <w:t xml:space="preserve"> the matters specified in </w:t>
      </w:r>
      <w:r w:rsidR="00693841" w:rsidRPr="00FB2F3D">
        <w:rPr>
          <w:rFonts w:ascii="Arial" w:hAnsi="Arial" w:cs="Arial"/>
          <w:sz w:val="22"/>
          <w:szCs w:val="22"/>
        </w:rPr>
        <w:t>APP 3</w:t>
      </w:r>
      <w:r w:rsidRPr="00FB2F3D">
        <w:rPr>
          <w:rFonts w:ascii="Arial" w:hAnsi="Arial" w:cs="Arial"/>
          <w:sz w:val="22"/>
          <w:szCs w:val="22"/>
        </w:rPr>
        <w:t>.</w:t>
      </w:r>
      <w:bookmarkEnd w:id="291"/>
    </w:p>
    <w:p w14:paraId="1149D2FB" w14:textId="77777777" w:rsidR="00892AFD" w:rsidRPr="00FB2F3D" w:rsidRDefault="00892AFD" w:rsidP="00892AFD">
      <w:pPr>
        <w:pStyle w:val="Heading2"/>
        <w:rPr>
          <w:rFonts w:ascii="Arial" w:hAnsi="Arial" w:cs="Arial"/>
          <w:sz w:val="22"/>
          <w:szCs w:val="22"/>
        </w:rPr>
      </w:pPr>
      <w:bookmarkStart w:id="292" w:name="_Toc409521858"/>
      <w:bookmarkStart w:id="293" w:name="_Ref410057434"/>
      <w:bookmarkStart w:id="294" w:name="_Ref410071662"/>
      <w:bookmarkStart w:id="295" w:name="_Toc410136255"/>
      <w:bookmarkStart w:id="296" w:name="_Toc410605964"/>
      <w:bookmarkStart w:id="297" w:name="_Ref410630685"/>
      <w:bookmarkStart w:id="298" w:name="_Ref410630744"/>
      <w:bookmarkStart w:id="299" w:name="_Toc410658900"/>
      <w:bookmarkStart w:id="300" w:name="_Toc410659027"/>
      <w:bookmarkStart w:id="301" w:name="_Toc410835574"/>
      <w:bookmarkStart w:id="302" w:name="_Ref416794456"/>
      <w:bookmarkStart w:id="303" w:name="_Ref416794634"/>
      <w:bookmarkStart w:id="304" w:name="_Toc138325665"/>
      <w:r w:rsidRPr="00FB2F3D">
        <w:rPr>
          <w:rFonts w:ascii="Arial" w:hAnsi="Arial" w:cs="Arial"/>
          <w:sz w:val="22"/>
          <w:szCs w:val="22"/>
        </w:rPr>
        <w:t>Accounting periods and financial reports of Listed Funds</w:t>
      </w:r>
      <w:bookmarkEnd w:id="292"/>
      <w:bookmarkEnd w:id="293"/>
      <w:bookmarkEnd w:id="294"/>
      <w:bookmarkEnd w:id="295"/>
      <w:bookmarkEnd w:id="296"/>
      <w:bookmarkEnd w:id="297"/>
      <w:bookmarkEnd w:id="298"/>
      <w:bookmarkEnd w:id="299"/>
      <w:bookmarkEnd w:id="300"/>
      <w:bookmarkEnd w:id="301"/>
      <w:bookmarkEnd w:id="302"/>
      <w:bookmarkEnd w:id="303"/>
      <w:bookmarkEnd w:id="304"/>
    </w:p>
    <w:p w14:paraId="582F9D18" w14:textId="00AD4C9F" w:rsidR="00892AFD" w:rsidRPr="00FB2F3D" w:rsidRDefault="00892AFD" w:rsidP="00892AFD">
      <w:pPr>
        <w:pStyle w:val="Heading3"/>
        <w:rPr>
          <w:rFonts w:ascii="Arial" w:hAnsi="Arial" w:cs="Arial"/>
          <w:sz w:val="22"/>
          <w:szCs w:val="22"/>
        </w:rPr>
      </w:pPr>
      <w:r w:rsidRPr="00FB2F3D">
        <w:rPr>
          <w:rFonts w:ascii="Arial" w:hAnsi="Arial" w:cs="Arial"/>
          <w:sz w:val="22"/>
          <w:szCs w:val="22"/>
        </w:rPr>
        <w:t xml:space="preserve">A Reporting Entity of a Listed Fund must, in order to comply with the requirements in this section, </w:t>
      </w:r>
      <w:r w:rsidR="00561307">
        <w:rPr>
          <w:rFonts w:ascii="Arial" w:hAnsi="Arial" w:cs="Arial"/>
          <w:sz w:val="22"/>
          <w:szCs w:val="22"/>
        </w:rPr>
        <w:t>Disclose</w:t>
      </w:r>
      <w:r w:rsidRPr="00FB2F3D">
        <w:rPr>
          <w:rFonts w:ascii="Arial" w:hAnsi="Arial" w:cs="Arial"/>
          <w:sz w:val="22"/>
          <w:szCs w:val="22"/>
        </w:rPr>
        <w:t xml:space="preserve"> the annual financial report and interim financial report and other statements in respect of the Listed Fund. Such reports and statements must be prepared, in the case of: </w:t>
      </w:r>
    </w:p>
    <w:p w14:paraId="35AA82DD"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a Domestic Fund, in accordance with the requirements relating to the annual and interim reports under the Fund Rules; and</w:t>
      </w:r>
    </w:p>
    <w:p w14:paraId="696B320C"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a Foreign Fund, in accordance with the applicable requirements in the jurisdiction in which the Fund is domiciled or established.</w:t>
      </w:r>
    </w:p>
    <w:p w14:paraId="506BE76D"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569A1E1B" w14:textId="77777777" w:rsidR="00892AFD" w:rsidRPr="00FB2F3D" w:rsidRDefault="00892AFD" w:rsidP="00633935">
      <w:pPr>
        <w:pStyle w:val="UK12Block05"/>
        <w:rPr>
          <w:rFonts w:ascii="Arial" w:hAnsi="Arial" w:cs="Arial"/>
          <w:sz w:val="22"/>
          <w:szCs w:val="22"/>
        </w:rPr>
      </w:pPr>
      <w:r w:rsidRPr="00FB2F3D">
        <w:rPr>
          <w:rFonts w:ascii="Arial" w:hAnsi="Arial" w:cs="Arial"/>
          <w:sz w:val="22"/>
          <w:szCs w:val="22"/>
        </w:rPr>
        <w:t>Under Rule </w:t>
      </w:r>
      <w:r w:rsidR="00693841" w:rsidRPr="00FB2F3D">
        <w:rPr>
          <w:rFonts w:ascii="Arial" w:hAnsi="Arial" w:cs="Arial"/>
          <w:sz w:val="22"/>
          <w:szCs w:val="22"/>
        </w:rPr>
        <w:t>3.2.1</w:t>
      </w:r>
      <w:r w:rsidRPr="00FB2F3D">
        <w:rPr>
          <w:rFonts w:ascii="Arial" w:hAnsi="Arial" w:cs="Arial"/>
          <w:sz w:val="22"/>
          <w:szCs w:val="22"/>
        </w:rPr>
        <w:t xml:space="preserve">, a Foreign Fund can be admitted to trading on a Recognised </w:t>
      </w:r>
      <w:r w:rsidR="00633935" w:rsidRPr="00FB2F3D">
        <w:rPr>
          <w:rFonts w:ascii="Arial" w:hAnsi="Arial" w:cs="Arial"/>
          <w:sz w:val="22"/>
          <w:szCs w:val="22"/>
        </w:rPr>
        <w:t>Investment Exchange</w:t>
      </w:r>
      <w:r w:rsidRPr="00FB2F3D">
        <w:rPr>
          <w:rFonts w:ascii="Arial" w:hAnsi="Arial" w:cs="Arial"/>
          <w:sz w:val="22"/>
          <w:szCs w:val="22"/>
        </w:rPr>
        <w:t xml:space="preserve"> if it is from a Recognised Jurisdiction</w:t>
      </w:r>
      <w:r w:rsidR="00633935" w:rsidRPr="00FB2F3D">
        <w:rPr>
          <w:rFonts w:ascii="Arial" w:hAnsi="Arial" w:cs="Arial"/>
          <w:sz w:val="22"/>
          <w:szCs w:val="22"/>
        </w:rPr>
        <w:t>’</w:t>
      </w:r>
      <w:r w:rsidRPr="00FB2F3D">
        <w:rPr>
          <w:rFonts w:ascii="Arial" w:hAnsi="Arial" w:cs="Arial"/>
          <w:sz w:val="22"/>
          <w:szCs w:val="22"/>
        </w:rPr>
        <w:t>s or approved by the Regulator as a Fund subject to equivalent regulation. Accordingly, such Funds would be subject to financial and periodic reporting requirements that are similar to the financial reporting requirements applicable to Domestic Funds.</w:t>
      </w:r>
    </w:p>
    <w:p w14:paraId="7181E605" w14:textId="33231EC5" w:rsidR="00892AFD" w:rsidRPr="00FB2F3D" w:rsidRDefault="00561307" w:rsidP="00892AFD">
      <w:pPr>
        <w:pStyle w:val="TitleL"/>
        <w:rPr>
          <w:rFonts w:ascii="Arial" w:hAnsi="Arial" w:cs="Arial"/>
          <w:sz w:val="22"/>
          <w:szCs w:val="22"/>
        </w:rPr>
      </w:pPr>
      <w:r>
        <w:rPr>
          <w:rFonts w:ascii="Arial" w:hAnsi="Arial" w:cs="Arial"/>
          <w:sz w:val="22"/>
          <w:szCs w:val="22"/>
        </w:rPr>
        <w:lastRenderedPageBreak/>
        <w:t>D</w:t>
      </w:r>
      <w:r w:rsidR="00892AFD" w:rsidRPr="00FB2F3D">
        <w:rPr>
          <w:rFonts w:ascii="Arial" w:hAnsi="Arial" w:cs="Arial"/>
          <w:sz w:val="22"/>
          <w:szCs w:val="22"/>
        </w:rPr>
        <w:t>isclosure</w:t>
      </w:r>
      <w:r>
        <w:rPr>
          <w:rFonts w:ascii="Arial" w:hAnsi="Arial" w:cs="Arial"/>
          <w:sz w:val="22"/>
          <w:szCs w:val="22"/>
        </w:rPr>
        <w:t xml:space="preserve"> of Preliminary Results</w:t>
      </w:r>
    </w:p>
    <w:p w14:paraId="55B050E3" w14:textId="62192942" w:rsidR="00892AFD" w:rsidRDefault="00FA64D0" w:rsidP="00FA64D0">
      <w:pPr>
        <w:pStyle w:val="Heading3"/>
        <w:numPr>
          <w:ilvl w:val="0"/>
          <w:numId w:val="0"/>
        </w:numPr>
        <w:ind w:left="709" w:hanging="709"/>
        <w:rPr>
          <w:rFonts w:ascii="Arial" w:hAnsi="Arial" w:cs="Arial"/>
          <w:sz w:val="22"/>
          <w:szCs w:val="22"/>
        </w:rPr>
      </w:pPr>
      <w:r w:rsidRPr="00FA64D0">
        <w:rPr>
          <w:rFonts w:ascii="Arial" w:hAnsi="Arial" w:cs="Arial"/>
          <w:b/>
          <w:bCs w:val="0"/>
          <w:sz w:val="22"/>
          <w:szCs w:val="22"/>
        </w:rPr>
        <w:t>3.9.1A</w:t>
      </w:r>
      <w:r>
        <w:rPr>
          <w:rFonts w:ascii="Arial" w:hAnsi="Arial" w:cs="Arial"/>
          <w:sz w:val="22"/>
          <w:szCs w:val="22"/>
        </w:rPr>
        <w:tab/>
      </w:r>
      <w:r w:rsidR="00892AFD" w:rsidRPr="00FB2F3D">
        <w:rPr>
          <w:rFonts w:ascii="Arial" w:hAnsi="Arial" w:cs="Arial"/>
          <w:sz w:val="22"/>
          <w:szCs w:val="22"/>
        </w:rPr>
        <w:t xml:space="preserve">A Reporting Entity of a Listed Fund must </w:t>
      </w:r>
      <w:r>
        <w:rPr>
          <w:rFonts w:ascii="Arial" w:hAnsi="Arial" w:cs="Arial"/>
          <w:sz w:val="22"/>
          <w:szCs w:val="22"/>
        </w:rPr>
        <w:t>comply with the requirements of Rule 10.1.3A(1)</w:t>
      </w:r>
      <w:r w:rsidR="00892AFD" w:rsidRPr="00FB2F3D">
        <w:rPr>
          <w:rFonts w:ascii="Arial" w:hAnsi="Arial" w:cs="Arial"/>
          <w:sz w:val="22"/>
          <w:szCs w:val="22"/>
        </w:rPr>
        <w:t>.</w:t>
      </w:r>
    </w:p>
    <w:p w14:paraId="7A50BC37" w14:textId="022E3696" w:rsidR="00FA64D0" w:rsidRPr="00FA64D0" w:rsidRDefault="00FA64D0" w:rsidP="00FA64D0">
      <w:pPr>
        <w:pStyle w:val="TitleL"/>
        <w:rPr>
          <w:rFonts w:ascii="Arial" w:hAnsi="Arial" w:cs="Arial"/>
          <w:sz w:val="22"/>
          <w:szCs w:val="22"/>
        </w:rPr>
      </w:pPr>
      <w:r w:rsidRPr="00FA64D0">
        <w:rPr>
          <w:rFonts w:ascii="Arial" w:hAnsi="Arial" w:cs="Arial"/>
          <w:sz w:val="22"/>
          <w:szCs w:val="22"/>
        </w:rPr>
        <w:t>Guidance</w:t>
      </w:r>
    </w:p>
    <w:p w14:paraId="41F0D9E8" w14:textId="3DCCBE6C" w:rsidR="00FA64D0" w:rsidRDefault="00FA64D0" w:rsidP="00FA64D0">
      <w:pPr>
        <w:pStyle w:val="UK12Block05"/>
        <w:rPr>
          <w:rFonts w:ascii="Arial" w:hAnsi="Arial" w:cs="Arial"/>
          <w:sz w:val="22"/>
          <w:szCs w:val="22"/>
        </w:rPr>
      </w:pPr>
      <w:r w:rsidRPr="00FA64D0">
        <w:rPr>
          <w:rFonts w:ascii="Arial" w:hAnsi="Arial" w:cs="Arial"/>
          <w:sz w:val="22"/>
          <w:szCs w:val="22"/>
        </w:rPr>
        <w:t>Rule 10.1.3B does not apply to a Reporting Entity of a Listed Fund.</w:t>
      </w:r>
    </w:p>
    <w:p w14:paraId="72B1FD50" w14:textId="1A1070E4" w:rsidR="00500AF6" w:rsidRPr="00FA64D0" w:rsidRDefault="00500AF6" w:rsidP="00500AF6">
      <w:pPr>
        <w:pStyle w:val="TitleL"/>
        <w:rPr>
          <w:rFonts w:ascii="Arial" w:hAnsi="Arial" w:cs="Arial"/>
          <w:sz w:val="22"/>
          <w:szCs w:val="22"/>
        </w:rPr>
      </w:pPr>
      <w:r>
        <w:rPr>
          <w:rFonts w:ascii="Arial" w:hAnsi="Arial" w:cs="Arial"/>
          <w:sz w:val="22"/>
          <w:szCs w:val="22"/>
        </w:rPr>
        <w:t>Compliance with Rule 10.1.8</w:t>
      </w:r>
    </w:p>
    <w:p w14:paraId="226B9CFA" w14:textId="7332F2D3" w:rsidR="00892AFD" w:rsidRDefault="00FA64D0" w:rsidP="00FA64D0">
      <w:pPr>
        <w:pStyle w:val="Heading4"/>
        <w:numPr>
          <w:ilvl w:val="0"/>
          <w:numId w:val="0"/>
        </w:numPr>
        <w:ind w:left="709" w:hanging="709"/>
        <w:rPr>
          <w:rFonts w:ascii="Arial" w:hAnsi="Arial" w:cs="Arial"/>
          <w:sz w:val="22"/>
          <w:szCs w:val="22"/>
        </w:rPr>
      </w:pPr>
      <w:r w:rsidRPr="00FA64D0">
        <w:rPr>
          <w:rFonts w:ascii="Arial" w:hAnsi="Arial" w:cs="Arial"/>
          <w:b/>
          <w:bCs w:val="0"/>
          <w:sz w:val="22"/>
          <w:szCs w:val="22"/>
        </w:rPr>
        <w:t>3.9.2</w:t>
      </w:r>
      <w:r>
        <w:rPr>
          <w:rFonts w:ascii="Arial" w:hAnsi="Arial" w:cs="Arial"/>
          <w:sz w:val="22"/>
          <w:szCs w:val="22"/>
        </w:rPr>
        <w:tab/>
      </w:r>
      <w:r w:rsidR="00892AFD" w:rsidRPr="00FB2F3D">
        <w:rPr>
          <w:rFonts w:ascii="Arial" w:hAnsi="Arial" w:cs="Arial"/>
          <w:sz w:val="22"/>
          <w:szCs w:val="22"/>
        </w:rPr>
        <w:t>A Reporting Entity of a Listed Fund must</w:t>
      </w:r>
      <w:r>
        <w:rPr>
          <w:rFonts w:ascii="Arial" w:hAnsi="Arial" w:cs="Arial"/>
          <w:sz w:val="22"/>
          <w:szCs w:val="22"/>
        </w:rPr>
        <w:t xml:space="preserve"> comply with Rule 10.1.8</w:t>
      </w:r>
      <w:r w:rsidR="00892AFD" w:rsidRPr="00FB2F3D">
        <w:rPr>
          <w:rFonts w:ascii="Arial" w:hAnsi="Arial" w:cs="Arial"/>
          <w:sz w:val="22"/>
          <w:szCs w:val="22"/>
        </w:rPr>
        <w:t>.</w:t>
      </w:r>
    </w:p>
    <w:p w14:paraId="3F4DB943" w14:textId="77777777" w:rsidR="00500AF6" w:rsidRPr="00500AF6" w:rsidRDefault="00500AF6" w:rsidP="00500AF6">
      <w:pPr>
        <w:pStyle w:val="TitleL"/>
        <w:rPr>
          <w:rFonts w:ascii="Arial" w:hAnsi="Arial" w:cs="Arial"/>
          <w:sz w:val="22"/>
          <w:szCs w:val="22"/>
        </w:rPr>
      </w:pPr>
      <w:r w:rsidRPr="00500AF6">
        <w:rPr>
          <w:rFonts w:ascii="Arial" w:hAnsi="Arial" w:cs="Arial"/>
          <w:sz w:val="22"/>
          <w:szCs w:val="22"/>
        </w:rPr>
        <w:t>Guidance</w:t>
      </w:r>
    </w:p>
    <w:p w14:paraId="23C909BF" w14:textId="77777777" w:rsidR="00500AF6" w:rsidRPr="00500AF6" w:rsidRDefault="00500AF6" w:rsidP="00500AF6">
      <w:pPr>
        <w:pStyle w:val="UK12Block05"/>
        <w:rPr>
          <w:rFonts w:ascii="Arial" w:hAnsi="Arial" w:cs="Arial"/>
          <w:sz w:val="22"/>
          <w:szCs w:val="22"/>
        </w:rPr>
      </w:pPr>
      <w:r w:rsidRPr="00500AF6">
        <w:rPr>
          <w:rFonts w:ascii="Arial" w:hAnsi="Arial" w:cs="Arial"/>
          <w:sz w:val="22"/>
          <w:szCs w:val="22"/>
        </w:rPr>
        <w:t>For the purposes of complying with the requirement in Rule 3.9.2:</w:t>
      </w:r>
    </w:p>
    <w:p w14:paraId="7287A605" w14:textId="4BECAF84" w:rsidR="00500AF6" w:rsidRPr="00500AF6" w:rsidRDefault="00500AF6" w:rsidP="00500AF6">
      <w:pPr>
        <w:pStyle w:val="Heading3"/>
        <w:numPr>
          <w:ilvl w:val="0"/>
          <w:numId w:val="0"/>
        </w:numPr>
        <w:ind w:left="1418" w:hanging="698"/>
        <w:rPr>
          <w:rFonts w:ascii="Arial" w:hAnsi="Arial" w:cs="Arial"/>
          <w:sz w:val="22"/>
          <w:szCs w:val="22"/>
        </w:rPr>
      </w:pPr>
      <w:r w:rsidRPr="00500AF6">
        <w:rPr>
          <w:rFonts w:ascii="Arial" w:hAnsi="Arial" w:cs="Arial"/>
          <w:sz w:val="22"/>
          <w:szCs w:val="22"/>
        </w:rPr>
        <w:t>1.</w:t>
      </w:r>
      <w:r w:rsidRPr="00500AF6">
        <w:rPr>
          <w:rFonts w:ascii="Arial" w:hAnsi="Arial" w:cs="Arial"/>
          <w:sz w:val="22"/>
          <w:szCs w:val="22"/>
        </w:rPr>
        <w:tab/>
        <w:t>the requirements in Rule 10.1.8 pertaining to a Reporting Entity are to be interpreted as applying to a Listed Fund in place of a Listed Entity; and</w:t>
      </w:r>
    </w:p>
    <w:p w14:paraId="58F91283" w14:textId="5216346B" w:rsidR="00500AF6" w:rsidRPr="00500AF6" w:rsidRDefault="00500AF6" w:rsidP="00500AF6">
      <w:pPr>
        <w:pStyle w:val="Heading3"/>
        <w:numPr>
          <w:ilvl w:val="0"/>
          <w:numId w:val="0"/>
        </w:numPr>
        <w:ind w:left="1418" w:hanging="698"/>
        <w:rPr>
          <w:rFonts w:ascii="Arial" w:hAnsi="Arial" w:cs="Arial"/>
          <w:sz w:val="22"/>
          <w:szCs w:val="22"/>
        </w:rPr>
      </w:pPr>
      <w:r w:rsidRPr="00500AF6">
        <w:rPr>
          <w:rFonts w:ascii="Arial" w:hAnsi="Arial" w:cs="Arial"/>
          <w:sz w:val="22"/>
          <w:szCs w:val="22"/>
        </w:rPr>
        <w:t>2.</w:t>
      </w:r>
      <w:r w:rsidRPr="00500AF6">
        <w:rPr>
          <w:rFonts w:ascii="Arial" w:hAnsi="Arial" w:cs="Arial"/>
          <w:sz w:val="22"/>
          <w:szCs w:val="22"/>
        </w:rPr>
        <w:tab/>
        <w:t>the reference in Rule 10.1.8(3)(b) to Shares is to be interpreted as applying to Units of a Listed Fund.</w:t>
      </w:r>
    </w:p>
    <w:p w14:paraId="1571E85B" w14:textId="089BFCC2" w:rsidR="00892AFD" w:rsidRPr="00FB2F3D" w:rsidRDefault="00892AFD" w:rsidP="00892AFD">
      <w:pPr>
        <w:pStyle w:val="Heading2"/>
        <w:rPr>
          <w:rFonts w:ascii="Arial" w:hAnsi="Arial" w:cs="Arial"/>
          <w:sz w:val="22"/>
          <w:szCs w:val="22"/>
        </w:rPr>
      </w:pPr>
      <w:bookmarkStart w:id="305" w:name="_Toc409521859"/>
      <w:bookmarkStart w:id="306" w:name="_Toc410136256"/>
      <w:bookmarkStart w:id="307" w:name="_Toc410605965"/>
      <w:bookmarkStart w:id="308" w:name="_Toc410658901"/>
      <w:bookmarkStart w:id="309" w:name="_Toc410659028"/>
      <w:bookmarkStart w:id="310" w:name="_Toc410835575"/>
      <w:bookmarkStart w:id="311" w:name="_Toc138325666"/>
      <w:r w:rsidRPr="00FB2F3D">
        <w:rPr>
          <w:rFonts w:ascii="Arial" w:hAnsi="Arial" w:cs="Arial"/>
          <w:sz w:val="22"/>
          <w:szCs w:val="22"/>
        </w:rPr>
        <w:t xml:space="preserve">Manner of </w:t>
      </w:r>
      <w:bookmarkEnd w:id="305"/>
      <w:bookmarkEnd w:id="306"/>
      <w:bookmarkEnd w:id="307"/>
      <w:bookmarkEnd w:id="308"/>
      <w:bookmarkEnd w:id="309"/>
      <w:bookmarkEnd w:id="310"/>
      <w:r w:rsidR="00500AF6">
        <w:rPr>
          <w:rFonts w:ascii="Arial" w:hAnsi="Arial" w:cs="Arial"/>
          <w:sz w:val="22"/>
          <w:szCs w:val="22"/>
        </w:rPr>
        <w:t>Disclosure</w:t>
      </w:r>
      <w:bookmarkEnd w:id="311"/>
    </w:p>
    <w:p w14:paraId="4DEBB41D" w14:textId="4C19E2D5" w:rsidR="00892AFD" w:rsidRPr="00FB2F3D" w:rsidRDefault="00500AF6" w:rsidP="00892AFD">
      <w:pPr>
        <w:pStyle w:val="Heading3"/>
        <w:rPr>
          <w:rFonts w:ascii="Arial" w:hAnsi="Arial" w:cs="Arial"/>
          <w:sz w:val="22"/>
          <w:szCs w:val="22"/>
        </w:rPr>
      </w:pPr>
      <w:bookmarkStart w:id="312" w:name="_Ref410058077"/>
      <w:r w:rsidRPr="00FB2F3D">
        <w:rPr>
          <w:rFonts w:ascii="Arial" w:hAnsi="Arial" w:cs="Arial"/>
          <w:sz w:val="22"/>
          <w:szCs w:val="22"/>
        </w:rPr>
        <w:t>A Reporting Entity of a Listed Fund must</w:t>
      </w:r>
      <w:r>
        <w:rPr>
          <w:rFonts w:ascii="Arial" w:hAnsi="Arial" w:cs="Arial"/>
          <w:sz w:val="22"/>
          <w:szCs w:val="22"/>
        </w:rPr>
        <w:t xml:space="preserve"> with</w:t>
      </w:r>
      <w:r w:rsidR="00892AFD" w:rsidRPr="00FB2F3D">
        <w:rPr>
          <w:rFonts w:ascii="Arial" w:hAnsi="Arial" w:cs="Arial"/>
          <w:sz w:val="22"/>
          <w:szCs w:val="22"/>
        </w:rPr>
        <w:t xml:space="preserve"> Rule </w:t>
      </w:r>
      <w:r w:rsidR="00693841" w:rsidRPr="00FB2F3D">
        <w:rPr>
          <w:rFonts w:ascii="Arial" w:hAnsi="Arial" w:cs="Arial"/>
          <w:sz w:val="22"/>
          <w:szCs w:val="22"/>
        </w:rPr>
        <w:t>7.7</w:t>
      </w:r>
      <w:r w:rsidR="00892AFD" w:rsidRPr="00FB2F3D">
        <w:rPr>
          <w:rFonts w:ascii="Arial" w:hAnsi="Arial" w:cs="Arial"/>
          <w:sz w:val="22"/>
          <w:szCs w:val="22"/>
        </w:rPr>
        <w:t>.</w:t>
      </w:r>
      <w:bookmarkEnd w:id="312"/>
    </w:p>
    <w:p w14:paraId="7C4D4BF3" w14:textId="1B6CA5E1" w:rsidR="00892AFD" w:rsidRPr="00FB2F3D" w:rsidRDefault="00892AFD" w:rsidP="00892AFD">
      <w:pPr>
        <w:pStyle w:val="Heading2"/>
        <w:rPr>
          <w:rFonts w:ascii="Arial" w:hAnsi="Arial" w:cs="Arial"/>
          <w:sz w:val="22"/>
          <w:szCs w:val="22"/>
        </w:rPr>
      </w:pPr>
      <w:bookmarkStart w:id="313" w:name="_Toc409521860"/>
      <w:bookmarkStart w:id="314" w:name="_Toc410136257"/>
      <w:bookmarkStart w:id="315" w:name="_Toc410605966"/>
      <w:bookmarkStart w:id="316" w:name="_Toc410658902"/>
      <w:bookmarkStart w:id="317" w:name="_Toc410659029"/>
      <w:bookmarkStart w:id="318" w:name="_Toc410835576"/>
      <w:bookmarkStart w:id="319" w:name="_Toc138325667"/>
      <w:r w:rsidRPr="00FB2F3D">
        <w:rPr>
          <w:rFonts w:ascii="Arial" w:hAnsi="Arial" w:cs="Arial"/>
          <w:sz w:val="22"/>
          <w:szCs w:val="22"/>
        </w:rPr>
        <w:t xml:space="preserve">The Regulator's power to direct </w:t>
      </w:r>
      <w:r w:rsidR="00500AF6">
        <w:rPr>
          <w:rFonts w:ascii="Arial" w:hAnsi="Arial" w:cs="Arial"/>
          <w:sz w:val="22"/>
          <w:szCs w:val="22"/>
        </w:rPr>
        <w:t>D</w:t>
      </w:r>
      <w:r w:rsidRPr="00FB2F3D">
        <w:rPr>
          <w:rFonts w:ascii="Arial" w:hAnsi="Arial" w:cs="Arial"/>
          <w:sz w:val="22"/>
          <w:szCs w:val="22"/>
        </w:rPr>
        <w:t>isclosure</w:t>
      </w:r>
      <w:bookmarkEnd w:id="313"/>
      <w:bookmarkEnd w:id="314"/>
      <w:bookmarkEnd w:id="315"/>
      <w:bookmarkEnd w:id="316"/>
      <w:bookmarkEnd w:id="317"/>
      <w:bookmarkEnd w:id="318"/>
      <w:bookmarkEnd w:id="319"/>
    </w:p>
    <w:p w14:paraId="7DCFC158" w14:textId="1475C94E" w:rsidR="008610C1" w:rsidRDefault="008610C1" w:rsidP="00846574">
      <w:pPr>
        <w:pStyle w:val="Heading3"/>
        <w:ind w:left="1440" w:hanging="1440"/>
        <w:rPr>
          <w:rFonts w:ascii="Arial" w:hAnsi="Arial" w:cs="Arial"/>
          <w:sz w:val="22"/>
          <w:szCs w:val="22"/>
        </w:rPr>
      </w:pPr>
      <w:r>
        <w:rPr>
          <w:rFonts w:ascii="Arial" w:hAnsi="Arial" w:cs="Arial"/>
          <w:sz w:val="22"/>
          <w:szCs w:val="22"/>
        </w:rPr>
        <w:t>A Reporting Entity of a Listed Fund must comply with Rule 7.5.</w:t>
      </w:r>
    </w:p>
    <w:p w14:paraId="02B254ED" w14:textId="77777777" w:rsidR="008610C1" w:rsidRPr="008610C1" w:rsidRDefault="008610C1" w:rsidP="008610C1">
      <w:pPr>
        <w:pStyle w:val="TitleL"/>
        <w:rPr>
          <w:rFonts w:ascii="Arial" w:hAnsi="Arial" w:cs="Arial"/>
          <w:sz w:val="22"/>
          <w:szCs w:val="22"/>
        </w:rPr>
      </w:pPr>
      <w:r w:rsidRPr="008610C1">
        <w:rPr>
          <w:rFonts w:ascii="Arial" w:hAnsi="Arial" w:cs="Arial"/>
          <w:sz w:val="22"/>
          <w:szCs w:val="22"/>
        </w:rPr>
        <w:t>Guidance</w:t>
      </w:r>
    </w:p>
    <w:p w14:paraId="0E70B103" w14:textId="77777777" w:rsidR="008610C1" w:rsidRPr="008610C1" w:rsidRDefault="008610C1" w:rsidP="008610C1">
      <w:pPr>
        <w:pStyle w:val="UK12Block05"/>
        <w:rPr>
          <w:rFonts w:ascii="Arial" w:hAnsi="Arial" w:cs="Arial"/>
          <w:sz w:val="22"/>
          <w:szCs w:val="22"/>
        </w:rPr>
      </w:pPr>
      <w:r w:rsidRPr="008610C1">
        <w:rPr>
          <w:rFonts w:ascii="Arial" w:hAnsi="Arial" w:cs="Arial"/>
          <w:sz w:val="22"/>
          <w:szCs w:val="22"/>
        </w:rPr>
        <w:t>For the purposes of complying with the requirement in Rule 3.11.1:</w:t>
      </w:r>
    </w:p>
    <w:p w14:paraId="14437A51" w14:textId="77777777" w:rsidR="008610C1" w:rsidRPr="008610C1" w:rsidRDefault="008610C1" w:rsidP="008610C1">
      <w:pPr>
        <w:pStyle w:val="Heading3"/>
        <w:numPr>
          <w:ilvl w:val="0"/>
          <w:numId w:val="0"/>
        </w:numPr>
        <w:ind w:left="1418" w:hanging="709"/>
        <w:rPr>
          <w:rFonts w:ascii="Arial" w:hAnsi="Arial" w:cs="Arial"/>
          <w:sz w:val="22"/>
          <w:szCs w:val="22"/>
        </w:rPr>
      </w:pPr>
      <w:r w:rsidRPr="008610C1">
        <w:rPr>
          <w:rFonts w:ascii="Arial" w:hAnsi="Arial" w:cs="Arial"/>
          <w:sz w:val="22"/>
          <w:szCs w:val="22"/>
        </w:rPr>
        <w:t>1.</w:t>
      </w:r>
      <w:r w:rsidRPr="008610C1">
        <w:rPr>
          <w:rFonts w:ascii="Arial" w:hAnsi="Arial" w:cs="Arial"/>
          <w:sz w:val="22"/>
          <w:szCs w:val="22"/>
        </w:rPr>
        <w:tab/>
        <w:t>the requirements in Rule 7.5 pertaining to a Reporting Entity are to be interpreted as applying to a Listed Fund in place of a Listed Entity; and</w:t>
      </w:r>
    </w:p>
    <w:p w14:paraId="7BB81EB5" w14:textId="77777777" w:rsidR="008610C1" w:rsidRPr="008610C1" w:rsidRDefault="008610C1" w:rsidP="008610C1">
      <w:pPr>
        <w:pStyle w:val="Heading3"/>
        <w:numPr>
          <w:ilvl w:val="0"/>
          <w:numId w:val="0"/>
        </w:numPr>
        <w:ind w:left="1418" w:hanging="709"/>
        <w:rPr>
          <w:rFonts w:ascii="Arial" w:hAnsi="Arial" w:cs="Arial"/>
          <w:sz w:val="22"/>
          <w:szCs w:val="22"/>
        </w:rPr>
      </w:pPr>
      <w:r w:rsidRPr="008610C1">
        <w:rPr>
          <w:rFonts w:ascii="Arial" w:hAnsi="Arial" w:cs="Arial"/>
          <w:sz w:val="22"/>
          <w:szCs w:val="22"/>
        </w:rPr>
        <w:t>2.</w:t>
      </w:r>
      <w:r w:rsidRPr="008610C1">
        <w:rPr>
          <w:rFonts w:ascii="Arial" w:hAnsi="Arial" w:cs="Arial"/>
          <w:sz w:val="22"/>
          <w:szCs w:val="22"/>
        </w:rPr>
        <w:tab/>
        <w:t>references in Rule 7.5 to a Listed Entity’s Securities are to be read as applying to Units of a Listed Fund.</w:t>
      </w:r>
    </w:p>
    <w:p w14:paraId="6E751416" w14:textId="77777777" w:rsidR="00162E0C" w:rsidRPr="00FB2F3D" w:rsidRDefault="00162E0C" w:rsidP="0061693E">
      <w:pPr>
        <w:pStyle w:val="Heading1"/>
        <w:rPr>
          <w:rFonts w:ascii="Arial" w:hAnsi="Arial" w:cs="Arial"/>
          <w:sz w:val="22"/>
          <w:szCs w:val="22"/>
        </w:rPr>
      </w:pPr>
      <w:bookmarkStart w:id="320" w:name="_Ref422757461"/>
      <w:bookmarkStart w:id="321" w:name="_Toc138325668"/>
      <w:r w:rsidRPr="00FB2F3D">
        <w:rPr>
          <w:rFonts w:ascii="Arial" w:hAnsi="Arial" w:cs="Arial"/>
          <w:sz w:val="22"/>
          <w:szCs w:val="22"/>
        </w:rPr>
        <w:t>OFFER</w:t>
      </w:r>
      <w:r w:rsidR="00B53984" w:rsidRPr="00FB2F3D">
        <w:rPr>
          <w:rFonts w:ascii="Arial" w:hAnsi="Arial" w:cs="Arial"/>
          <w:sz w:val="22"/>
          <w:szCs w:val="22"/>
        </w:rPr>
        <w:t>s</w:t>
      </w:r>
      <w:r w:rsidRPr="00FB2F3D">
        <w:rPr>
          <w:rFonts w:ascii="Arial" w:hAnsi="Arial" w:cs="Arial"/>
          <w:sz w:val="22"/>
          <w:szCs w:val="22"/>
        </w:rPr>
        <w:t xml:space="preserve"> OF SECURITIES</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320"/>
      <w:bookmarkEnd w:id="321"/>
    </w:p>
    <w:p w14:paraId="1C908B07" w14:textId="77777777" w:rsidR="00162E0C" w:rsidRPr="00FB2F3D" w:rsidRDefault="00162E0C" w:rsidP="0061693E">
      <w:pPr>
        <w:pStyle w:val="Heading2"/>
        <w:rPr>
          <w:rFonts w:ascii="Arial" w:hAnsi="Arial" w:cs="Arial"/>
          <w:sz w:val="22"/>
          <w:szCs w:val="22"/>
        </w:rPr>
      </w:pPr>
      <w:bookmarkStart w:id="322" w:name="_Toc409521819"/>
      <w:bookmarkStart w:id="323" w:name="_Toc410136216"/>
      <w:bookmarkStart w:id="324" w:name="_Toc410605925"/>
      <w:bookmarkStart w:id="325" w:name="_Toc410658861"/>
      <w:bookmarkStart w:id="326" w:name="_Toc410658988"/>
      <w:bookmarkStart w:id="327" w:name="_Toc410835532"/>
      <w:bookmarkStart w:id="328" w:name="_Toc138325669"/>
      <w:r w:rsidRPr="00FB2F3D">
        <w:rPr>
          <w:rFonts w:ascii="Arial" w:hAnsi="Arial" w:cs="Arial"/>
          <w:sz w:val="22"/>
          <w:szCs w:val="22"/>
        </w:rPr>
        <w:t>Application</w:t>
      </w:r>
      <w:bookmarkEnd w:id="322"/>
      <w:bookmarkEnd w:id="323"/>
      <w:bookmarkEnd w:id="324"/>
      <w:bookmarkEnd w:id="325"/>
      <w:bookmarkEnd w:id="326"/>
      <w:bookmarkEnd w:id="327"/>
      <w:bookmarkEnd w:id="328"/>
    </w:p>
    <w:p w14:paraId="703248E8" w14:textId="77777777" w:rsidR="00162E0C" w:rsidRPr="00FB2F3D" w:rsidRDefault="00162E0C" w:rsidP="002D0791">
      <w:pPr>
        <w:pStyle w:val="Heading3"/>
        <w:keepNext/>
        <w:rPr>
          <w:rFonts w:ascii="Arial" w:hAnsi="Arial" w:cs="Arial"/>
          <w:sz w:val="22"/>
          <w:szCs w:val="22"/>
        </w:rPr>
      </w:pPr>
      <w:r w:rsidRPr="00FB2F3D">
        <w:rPr>
          <w:rFonts w:ascii="Arial" w:hAnsi="Arial" w:cs="Arial"/>
          <w:sz w:val="22"/>
          <w:szCs w:val="22"/>
        </w:rPr>
        <w:t>This chapter</w:t>
      </w:r>
      <w:r w:rsidR="005151DC" w:rsidRPr="00FB2F3D">
        <w:rPr>
          <w:rFonts w:ascii="Arial" w:hAnsi="Arial" w:cs="Arial"/>
          <w:sz w:val="22"/>
          <w:szCs w:val="22"/>
        </w:rPr>
        <w:t xml:space="preserve"> </w:t>
      </w:r>
      <w:r w:rsidRPr="00FB2F3D">
        <w:rPr>
          <w:rFonts w:ascii="Arial" w:hAnsi="Arial" w:cs="Arial"/>
          <w:sz w:val="22"/>
          <w:szCs w:val="22"/>
        </w:rPr>
        <w:t>applies to:</w:t>
      </w:r>
    </w:p>
    <w:p w14:paraId="5423E36B" w14:textId="6AAFD15A" w:rsidR="00162E0C" w:rsidRPr="00FB2F3D" w:rsidRDefault="00162E0C" w:rsidP="00424270">
      <w:pPr>
        <w:pStyle w:val="Heading4"/>
        <w:rPr>
          <w:rFonts w:ascii="Arial" w:hAnsi="Arial" w:cs="Arial"/>
          <w:sz w:val="22"/>
          <w:szCs w:val="22"/>
        </w:rPr>
      </w:pPr>
      <w:r w:rsidRPr="00FB2F3D">
        <w:rPr>
          <w:rFonts w:ascii="Arial" w:hAnsi="Arial" w:cs="Arial"/>
          <w:sz w:val="22"/>
          <w:szCs w:val="22"/>
        </w:rPr>
        <w:t xml:space="preserve">a Person who makes or intends to make an Offer of </w:t>
      </w:r>
      <w:r w:rsidR="004B46BD" w:rsidRPr="00FB2F3D">
        <w:rPr>
          <w:rFonts w:ascii="Arial" w:hAnsi="Arial" w:cs="Arial"/>
          <w:sz w:val="22"/>
          <w:szCs w:val="22"/>
        </w:rPr>
        <w:t>Securities</w:t>
      </w:r>
      <w:r w:rsidRPr="00FB2F3D">
        <w:rPr>
          <w:rFonts w:ascii="Arial" w:hAnsi="Arial" w:cs="Arial"/>
          <w:sz w:val="22"/>
          <w:szCs w:val="22"/>
        </w:rPr>
        <w:t xml:space="preserve"> in the ADGM other than in respect of Units;</w:t>
      </w:r>
    </w:p>
    <w:p w14:paraId="7FD85283" w14:textId="77777777" w:rsidR="00162E0C" w:rsidRPr="00FB2F3D" w:rsidRDefault="00162E0C" w:rsidP="00846574">
      <w:pPr>
        <w:pStyle w:val="Heading4"/>
        <w:rPr>
          <w:rFonts w:ascii="Arial" w:hAnsi="Arial" w:cs="Arial"/>
          <w:sz w:val="22"/>
          <w:szCs w:val="22"/>
        </w:rPr>
      </w:pPr>
      <w:r w:rsidRPr="00FB2F3D">
        <w:rPr>
          <w:rFonts w:ascii="Arial" w:hAnsi="Arial" w:cs="Arial"/>
          <w:sz w:val="22"/>
          <w:szCs w:val="22"/>
        </w:rPr>
        <w:t xml:space="preserve">a Person who makes an </w:t>
      </w:r>
      <w:r w:rsidR="00447121" w:rsidRPr="00FB2F3D">
        <w:rPr>
          <w:rFonts w:ascii="Arial" w:hAnsi="Arial" w:cs="Arial"/>
          <w:sz w:val="22"/>
          <w:szCs w:val="22"/>
        </w:rPr>
        <w:t>a</w:t>
      </w:r>
      <w:r w:rsidR="00287B05" w:rsidRPr="00FB2F3D">
        <w:rPr>
          <w:rFonts w:ascii="Arial" w:hAnsi="Arial" w:cs="Arial"/>
          <w:sz w:val="22"/>
          <w:szCs w:val="22"/>
        </w:rPr>
        <w:t>pplication</w:t>
      </w:r>
      <w:r w:rsidRPr="00FB2F3D">
        <w:rPr>
          <w:rFonts w:ascii="Arial" w:hAnsi="Arial" w:cs="Arial"/>
          <w:sz w:val="22"/>
          <w:szCs w:val="22"/>
        </w:rPr>
        <w:t xml:space="preserve"> to have any </w:t>
      </w:r>
      <w:r w:rsidR="004B46BD" w:rsidRPr="00FB2F3D">
        <w:rPr>
          <w:rFonts w:ascii="Arial" w:hAnsi="Arial" w:cs="Arial"/>
          <w:sz w:val="22"/>
          <w:szCs w:val="22"/>
        </w:rPr>
        <w:t>Securities</w:t>
      </w:r>
      <w:r w:rsidRPr="00FB2F3D">
        <w:rPr>
          <w:rFonts w:ascii="Arial" w:hAnsi="Arial" w:cs="Arial"/>
          <w:sz w:val="22"/>
          <w:szCs w:val="22"/>
        </w:rPr>
        <w:t xml:space="preserve"> other than Units admitted to trading on a Recognised </w:t>
      </w:r>
      <w:r w:rsidR="00846574" w:rsidRPr="00FB2F3D">
        <w:rPr>
          <w:rFonts w:ascii="Arial" w:hAnsi="Arial" w:cs="Arial"/>
          <w:sz w:val="22"/>
          <w:szCs w:val="22"/>
        </w:rPr>
        <w:t>Investment Exchange</w:t>
      </w:r>
      <w:r w:rsidRPr="00FB2F3D">
        <w:rPr>
          <w:rFonts w:ascii="Arial" w:hAnsi="Arial" w:cs="Arial"/>
          <w:sz w:val="22"/>
          <w:szCs w:val="22"/>
        </w:rPr>
        <w:t>; and</w:t>
      </w:r>
    </w:p>
    <w:p w14:paraId="28E27935"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any Person specified in section </w:t>
      </w:r>
      <w:r w:rsidR="00693841" w:rsidRPr="00FB2F3D">
        <w:rPr>
          <w:rFonts w:ascii="Arial" w:hAnsi="Arial" w:cs="Arial"/>
          <w:sz w:val="22"/>
          <w:szCs w:val="22"/>
        </w:rPr>
        <w:t>4.10</w:t>
      </w:r>
      <w:r w:rsidRPr="00FB2F3D">
        <w:rPr>
          <w:rFonts w:ascii="Arial" w:hAnsi="Arial" w:cs="Arial"/>
          <w:sz w:val="22"/>
          <w:szCs w:val="22"/>
        </w:rPr>
        <w:t xml:space="preserve"> as a Person liable for the content of a</w:t>
      </w:r>
      <w:r w:rsidRPr="00FB2F3D">
        <w:rPr>
          <w:rFonts w:ascii="Arial" w:hAnsi="Arial" w:cs="Arial"/>
          <w:sz w:val="22"/>
          <w:szCs w:val="22"/>
          <w:lang w:eastAsia="ja-JP"/>
        </w:rPr>
        <w:t xml:space="preserve"> </w:t>
      </w:r>
      <w:r w:rsidRPr="00FB2F3D">
        <w:rPr>
          <w:rFonts w:ascii="Arial" w:hAnsi="Arial" w:cs="Arial"/>
          <w:sz w:val="22"/>
          <w:szCs w:val="22"/>
        </w:rPr>
        <w:t>Prospectus.</w:t>
      </w:r>
    </w:p>
    <w:p w14:paraId="1350A56C"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lastRenderedPageBreak/>
        <w:t>Guidance</w:t>
      </w:r>
    </w:p>
    <w:p w14:paraId="17E6D86F" w14:textId="75FF4D6C" w:rsidR="00162E0C" w:rsidRPr="00FB2F3D" w:rsidRDefault="00572382" w:rsidP="00DB61C9">
      <w:pPr>
        <w:pStyle w:val="GuidanceNotesnumbering"/>
        <w:numPr>
          <w:ilvl w:val="0"/>
          <w:numId w:val="32"/>
        </w:numPr>
        <w:rPr>
          <w:rFonts w:ascii="Arial" w:hAnsi="Arial" w:cs="Arial"/>
          <w:sz w:val="22"/>
          <w:szCs w:val="22"/>
        </w:rPr>
      </w:pPr>
      <w:r w:rsidRPr="00FB2F3D">
        <w:rPr>
          <w:rFonts w:ascii="Arial" w:hAnsi="Arial" w:cs="Arial"/>
          <w:sz w:val="22"/>
          <w:szCs w:val="22"/>
        </w:rPr>
        <w:t>A</w:t>
      </w:r>
      <w:r w:rsidR="00162E0C" w:rsidRPr="00FB2F3D">
        <w:rPr>
          <w:rFonts w:ascii="Arial" w:hAnsi="Arial" w:cs="Arial"/>
          <w:sz w:val="22"/>
          <w:szCs w:val="22"/>
        </w:rPr>
        <w:t xml:space="preserve"> Person making an Offer of </w:t>
      </w:r>
      <w:r w:rsidR="004B46BD" w:rsidRPr="00FB2F3D">
        <w:rPr>
          <w:rFonts w:ascii="Arial" w:hAnsi="Arial" w:cs="Arial"/>
          <w:sz w:val="22"/>
          <w:szCs w:val="22"/>
        </w:rPr>
        <w:t>Securities</w:t>
      </w:r>
      <w:r w:rsidR="00162E0C" w:rsidRPr="00FB2F3D">
        <w:rPr>
          <w:rFonts w:ascii="Arial" w:hAnsi="Arial" w:cs="Arial"/>
          <w:sz w:val="22"/>
          <w:szCs w:val="22"/>
        </w:rPr>
        <w:t xml:space="preserve"> in relation to Units of a Fund is exempt from the requirements in </w:t>
      </w:r>
      <w:r w:rsidR="0092611E" w:rsidRPr="00FB2F3D">
        <w:rPr>
          <w:rFonts w:ascii="Arial" w:hAnsi="Arial" w:cs="Arial"/>
          <w:sz w:val="22"/>
          <w:szCs w:val="22"/>
        </w:rPr>
        <w:t>Part 12</w:t>
      </w:r>
      <w:r w:rsidR="00162E0C" w:rsidRPr="00FB2F3D">
        <w:rPr>
          <w:rFonts w:ascii="Arial" w:hAnsi="Arial" w:cs="Arial"/>
          <w:sz w:val="22"/>
          <w:szCs w:val="22"/>
        </w:rPr>
        <w:t xml:space="preserve"> of the FSMR and the Rules made for the purposes of that Part which deal with Prospectuses.</w:t>
      </w:r>
    </w:p>
    <w:p w14:paraId="0E09D6A5" w14:textId="77777777" w:rsidR="00162E0C" w:rsidRPr="00FB2F3D" w:rsidRDefault="00162E0C" w:rsidP="00846574">
      <w:pPr>
        <w:pStyle w:val="GuidanceNotesnumbering"/>
        <w:rPr>
          <w:rFonts w:ascii="Arial" w:hAnsi="Arial" w:cs="Arial"/>
          <w:sz w:val="22"/>
          <w:szCs w:val="22"/>
        </w:rPr>
      </w:pPr>
      <w:r w:rsidRPr="00FB2F3D">
        <w:rPr>
          <w:rFonts w:ascii="Arial" w:hAnsi="Arial" w:cs="Arial"/>
          <w:sz w:val="22"/>
          <w:szCs w:val="22"/>
        </w:rPr>
        <w:t xml:space="preserve">A Person having or intending to have Units of a Fund admitted to trading on a Recognised </w:t>
      </w:r>
      <w:r w:rsidR="00846574" w:rsidRPr="00FB2F3D">
        <w:rPr>
          <w:rFonts w:ascii="Arial" w:hAnsi="Arial" w:cs="Arial"/>
          <w:sz w:val="22"/>
          <w:szCs w:val="22"/>
        </w:rPr>
        <w:t>Investment Exchange</w:t>
      </w:r>
      <w:r w:rsidRPr="00FB2F3D">
        <w:rPr>
          <w:rFonts w:ascii="Arial" w:hAnsi="Arial" w:cs="Arial"/>
          <w:sz w:val="22"/>
          <w:szCs w:val="22"/>
        </w:rPr>
        <w:t xml:space="preserve"> is required to comply with </w:t>
      </w:r>
      <w:r w:rsidR="0092611E" w:rsidRPr="00FB2F3D">
        <w:rPr>
          <w:rFonts w:ascii="Arial" w:hAnsi="Arial" w:cs="Arial"/>
          <w:sz w:val="22"/>
          <w:szCs w:val="22"/>
        </w:rPr>
        <w:t xml:space="preserve">Part </w:t>
      </w:r>
      <w:r w:rsidR="00846574" w:rsidRPr="00FB2F3D">
        <w:rPr>
          <w:rFonts w:ascii="Arial" w:hAnsi="Arial" w:cs="Arial"/>
          <w:sz w:val="22"/>
          <w:szCs w:val="22"/>
        </w:rPr>
        <w:t>6</w:t>
      </w:r>
      <w:r w:rsidRPr="00FB2F3D">
        <w:rPr>
          <w:rFonts w:ascii="Arial" w:hAnsi="Arial" w:cs="Arial"/>
          <w:sz w:val="22"/>
          <w:szCs w:val="22"/>
        </w:rPr>
        <w:t xml:space="preserve"> of the FSMR and the Funds Rules made for the purposes of that Part</w:t>
      </w:r>
      <w:r w:rsidR="005151DC" w:rsidRPr="00FB2F3D">
        <w:rPr>
          <w:rFonts w:ascii="Arial" w:hAnsi="Arial" w:cs="Arial"/>
          <w:sz w:val="22"/>
          <w:szCs w:val="22"/>
        </w:rPr>
        <w:t xml:space="preserve"> </w:t>
      </w:r>
      <w:r w:rsidRPr="00FB2F3D">
        <w:rPr>
          <w:rFonts w:ascii="Arial" w:hAnsi="Arial" w:cs="Arial"/>
          <w:sz w:val="22"/>
          <w:szCs w:val="22"/>
        </w:rPr>
        <w:t>in the manner and circumstances prescribed in these Rules. Chapter </w:t>
      </w:r>
      <w:r w:rsidR="00693841" w:rsidRPr="00FB2F3D">
        <w:rPr>
          <w:rFonts w:ascii="Arial" w:hAnsi="Arial" w:cs="Arial"/>
          <w:sz w:val="22"/>
          <w:szCs w:val="22"/>
        </w:rPr>
        <w:t>3</w:t>
      </w:r>
      <w:r w:rsidRPr="00FB2F3D">
        <w:rPr>
          <w:rFonts w:ascii="Arial" w:hAnsi="Arial" w:cs="Arial"/>
          <w:sz w:val="22"/>
          <w:szCs w:val="22"/>
        </w:rPr>
        <w:t xml:space="preserve"> contains the requirements that apply to a Person who applies to have, or has or had, Units admitted to trading on a Recognised </w:t>
      </w:r>
      <w:r w:rsidR="00846574" w:rsidRPr="00FB2F3D">
        <w:rPr>
          <w:rFonts w:ascii="Arial" w:hAnsi="Arial" w:cs="Arial"/>
          <w:sz w:val="22"/>
          <w:szCs w:val="22"/>
        </w:rPr>
        <w:t>Investment Exchange</w:t>
      </w:r>
      <w:r w:rsidRPr="00FB2F3D">
        <w:rPr>
          <w:rFonts w:ascii="Arial" w:hAnsi="Arial" w:cs="Arial"/>
          <w:sz w:val="22"/>
          <w:szCs w:val="22"/>
        </w:rPr>
        <w:t>.</w:t>
      </w:r>
    </w:p>
    <w:p w14:paraId="2A7C33E3" w14:textId="5CA25228" w:rsidR="00162E0C" w:rsidRPr="00FB2F3D" w:rsidRDefault="00162E0C" w:rsidP="002D0791">
      <w:pPr>
        <w:pStyle w:val="GuidanceNotesnumbering"/>
        <w:rPr>
          <w:rFonts w:ascii="Arial" w:hAnsi="Arial" w:cs="Arial"/>
          <w:sz w:val="22"/>
          <w:szCs w:val="22"/>
        </w:rPr>
      </w:pPr>
      <w:r w:rsidRPr="00FB2F3D">
        <w:rPr>
          <w:rFonts w:ascii="Arial" w:hAnsi="Arial" w:cs="Arial"/>
          <w:sz w:val="22"/>
          <w:szCs w:val="22"/>
        </w:rPr>
        <w:t xml:space="preserve">The </w:t>
      </w:r>
      <w:r w:rsidR="0035335F" w:rsidRPr="00FB2F3D">
        <w:rPr>
          <w:rFonts w:ascii="Arial" w:hAnsi="Arial" w:cs="Arial"/>
          <w:sz w:val="22"/>
          <w:szCs w:val="22"/>
        </w:rPr>
        <w:t>Regulator</w:t>
      </w:r>
      <w:r w:rsidRPr="00FB2F3D">
        <w:rPr>
          <w:rFonts w:ascii="Arial" w:hAnsi="Arial" w:cs="Arial"/>
          <w:sz w:val="22"/>
          <w:szCs w:val="22"/>
        </w:rPr>
        <w:t xml:space="preserve"> has the power, pursuant to section </w:t>
      </w:r>
      <w:r w:rsidR="00A64301" w:rsidRPr="00FB2F3D">
        <w:rPr>
          <w:rFonts w:ascii="Arial" w:hAnsi="Arial" w:cs="Arial"/>
          <w:sz w:val="22"/>
          <w:szCs w:val="22"/>
        </w:rPr>
        <w:t>59</w:t>
      </w:r>
      <w:r w:rsidR="0092611E" w:rsidRPr="00FB2F3D">
        <w:rPr>
          <w:rFonts w:ascii="Arial" w:hAnsi="Arial" w:cs="Arial"/>
          <w:sz w:val="22"/>
          <w:szCs w:val="22"/>
        </w:rPr>
        <w:t>(c)</w:t>
      </w:r>
      <w:r w:rsidRPr="00FB2F3D">
        <w:rPr>
          <w:rFonts w:ascii="Arial" w:hAnsi="Arial" w:cs="Arial"/>
          <w:sz w:val="22"/>
          <w:szCs w:val="22"/>
        </w:rPr>
        <w:t xml:space="preserve"> of the FSMR, to prescribe certain communications to be Exempt Communications. Such communications are not subject to the prohibition in section </w:t>
      </w:r>
      <w:r w:rsidR="0092611E" w:rsidRPr="00FB2F3D">
        <w:rPr>
          <w:rFonts w:ascii="Arial" w:hAnsi="Arial" w:cs="Arial"/>
          <w:sz w:val="22"/>
          <w:szCs w:val="22"/>
        </w:rPr>
        <w:t>5</w:t>
      </w:r>
      <w:r w:rsidR="00A64301" w:rsidRPr="00FB2F3D">
        <w:rPr>
          <w:rFonts w:ascii="Arial" w:hAnsi="Arial" w:cs="Arial"/>
          <w:sz w:val="22"/>
          <w:szCs w:val="22"/>
        </w:rPr>
        <w:t>8</w:t>
      </w:r>
      <w:r w:rsidR="0092611E" w:rsidRPr="00FB2F3D">
        <w:rPr>
          <w:rFonts w:ascii="Arial" w:hAnsi="Arial" w:cs="Arial"/>
          <w:sz w:val="22"/>
          <w:szCs w:val="22"/>
        </w:rPr>
        <w:t>(1)</w:t>
      </w:r>
      <w:r w:rsidRPr="00FB2F3D">
        <w:rPr>
          <w:rFonts w:ascii="Arial" w:hAnsi="Arial" w:cs="Arial"/>
          <w:sz w:val="22"/>
          <w:szCs w:val="22"/>
        </w:rPr>
        <w:t xml:space="preserve"> of the FSMR as they fall outside the definition of an "Offer of </w:t>
      </w:r>
      <w:r w:rsidR="004B46BD" w:rsidRPr="00FB2F3D">
        <w:rPr>
          <w:rFonts w:ascii="Arial" w:hAnsi="Arial" w:cs="Arial"/>
          <w:sz w:val="22"/>
          <w:szCs w:val="22"/>
        </w:rPr>
        <w:t>Securities</w:t>
      </w:r>
      <w:r w:rsidRPr="00FB2F3D">
        <w:rPr>
          <w:rFonts w:ascii="Arial" w:hAnsi="Arial" w:cs="Arial"/>
          <w:sz w:val="22"/>
          <w:szCs w:val="22"/>
        </w:rPr>
        <w:t xml:space="preserve">" in section </w:t>
      </w:r>
      <w:r w:rsidR="00A64301" w:rsidRPr="00FB2F3D">
        <w:rPr>
          <w:rFonts w:ascii="Arial" w:hAnsi="Arial" w:cs="Arial"/>
          <w:sz w:val="22"/>
          <w:szCs w:val="22"/>
        </w:rPr>
        <w:t>59</w:t>
      </w:r>
      <w:r w:rsidRPr="00FB2F3D">
        <w:rPr>
          <w:rFonts w:ascii="Arial" w:hAnsi="Arial" w:cs="Arial"/>
          <w:sz w:val="22"/>
          <w:szCs w:val="22"/>
        </w:rPr>
        <w:t xml:space="preserve"> of the FSMR.</w:t>
      </w:r>
    </w:p>
    <w:p w14:paraId="79DF4AED" w14:textId="77777777" w:rsidR="00162E0C" w:rsidRPr="00FB2F3D" w:rsidRDefault="00162E0C" w:rsidP="002D0791">
      <w:pPr>
        <w:pStyle w:val="GuidanceNotesnumbering"/>
        <w:rPr>
          <w:rFonts w:ascii="Arial" w:hAnsi="Arial" w:cs="Arial"/>
          <w:sz w:val="22"/>
          <w:szCs w:val="22"/>
        </w:rPr>
      </w:pPr>
      <w:r w:rsidRPr="00FB2F3D">
        <w:rPr>
          <w:rFonts w:ascii="Arial" w:hAnsi="Arial" w:cs="Arial"/>
          <w:sz w:val="22"/>
          <w:szCs w:val="22"/>
        </w:rPr>
        <w:t xml:space="preserve">The </w:t>
      </w:r>
      <w:r w:rsidR="0035335F" w:rsidRPr="00FB2F3D">
        <w:rPr>
          <w:rFonts w:ascii="Arial" w:hAnsi="Arial" w:cs="Arial"/>
          <w:sz w:val="22"/>
          <w:szCs w:val="22"/>
        </w:rPr>
        <w:t>Regulator</w:t>
      </w:r>
      <w:r w:rsidRPr="00FB2F3D">
        <w:rPr>
          <w:rFonts w:ascii="Arial" w:hAnsi="Arial" w:cs="Arial"/>
          <w:sz w:val="22"/>
          <w:szCs w:val="22"/>
        </w:rPr>
        <w:t xml:space="preserve"> also has the power under </w:t>
      </w:r>
      <w:r w:rsidR="0092611E" w:rsidRPr="00FB2F3D">
        <w:rPr>
          <w:rFonts w:ascii="Arial" w:hAnsi="Arial" w:cs="Arial"/>
          <w:sz w:val="22"/>
          <w:szCs w:val="22"/>
        </w:rPr>
        <w:t xml:space="preserve">section </w:t>
      </w:r>
      <w:r w:rsidR="002D7C0C" w:rsidRPr="00FB2F3D">
        <w:rPr>
          <w:rFonts w:ascii="Arial" w:hAnsi="Arial" w:cs="Arial"/>
          <w:sz w:val="22"/>
          <w:szCs w:val="22"/>
        </w:rPr>
        <w:t>6</w:t>
      </w:r>
      <w:r w:rsidR="00A64301" w:rsidRPr="00FB2F3D">
        <w:rPr>
          <w:rFonts w:ascii="Arial" w:hAnsi="Arial" w:cs="Arial"/>
          <w:sz w:val="22"/>
          <w:szCs w:val="22"/>
        </w:rPr>
        <w:t>1</w:t>
      </w:r>
      <w:r w:rsidR="002D7C0C" w:rsidRPr="00FB2F3D">
        <w:rPr>
          <w:rFonts w:ascii="Arial" w:hAnsi="Arial" w:cs="Arial"/>
          <w:sz w:val="22"/>
          <w:szCs w:val="22"/>
        </w:rPr>
        <w:t>(3)</w:t>
      </w:r>
      <w:r w:rsidRPr="00FB2F3D">
        <w:rPr>
          <w:rFonts w:ascii="Arial" w:hAnsi="Arial" w:cs="Arial"/>
          <w:sz w:val="22"/>
          <w:szCs w:val="22"/>
        </w:rPr>
        <w:t xml:space="preserve"> of the FSMR to prescribe certain types of:</w:t>
      </w:r>
    </w:p>
    <w:p w14:paraId="064A6089" w14:textId="61C496A9" w:rsidR="00162E0C" w:rsidRPr="00FB2F3D" w:rsidRDefault="00162E0C" w:rsidP="007E31C1">
      <w:pPr>
        <w:pStyle w:val="GuidanceNotesnumbering"/>
        <w:numPr>
          <w:ilvl w:val="1"/>
          <w:numId w:val="30"/>
        </w:numPr>
        <w:rPr>
          <w:rFonts w:ascii="Arial" w:hAnsi="Arial" w:cs="Arial"/>
          <w:sz w:val="22"/>
          <w:szCs w:val="22"/>
          <w:lang w:eastAsia="ja-JP"/>
        </w:rPr>
      </w:pPr>
      <w:r w:rsidRPr="00FB2F3D">
        <w:rPr>
          <w:rFonts w:ascii="Arial" w:hAnsi="Arial" w:cs="Arial"/>
          <w:sz w:val="22"/>
          <w:szCs w:val="22"/>
        </w:rPr>
        <w:t xml:space="preserve">Offers of </w:t>
      </w:r>
      <w:r w:rsidR="004B46BD" w:rsidRPr="00FB2F3D">
        <w:rPr>
          <w:rFonts w:ascii="Arial" w:hAnsi="Arial" w:cs="Arial"/>
          <w:sz w:val="22"/>
          <w:szCs w:val="22"/>
        </w:rPr>
        <w:t>Securities</w:t>
      </w:r>
      <w:r w:rsidRPr="00FB2F3D">
        <w:rPr>
          <w:rFonts w:ascii="Arial" w:hAnsi="Arial" w:cs="Arial"/>
          <w:sz w:val="22"/>
          <w:szCs w:val="22"/>
        </w:rPr>
        <w:t xml:space="preserve"> as "Exempt Offers"; and</w:t>
      </w:r>
    </w:p>
    <w:p w14:paraId="6E6613C0" w14:textId="77777777" w:rsidR="00162E0C" w:rsidRPr="00FB2F3D" w:rsidRDefault="004B46BD" w:rsidP="007E31C1">
      <w:pPr>
        <w:pStyle w:val="GuidanceNotesnumbering"/>
        <w:numPr>
          <w:ilvl w:val="1"/>
          <w:numId w:val="30"/>
        </w:numPr>
        <w:rPr>
          <w:rFonts w:ascii="Arial" w:hAnsi="Arial" w:cs="Arial"/>
          <w:sz w:val="22"/>
          <w:szCs w:val="22"/>
        </w:rPr>
      </w:pPr>
      <w:r w:rsidRPr="00FB2F3D">
        <w:rPr>
          <w:rFonts w:ascii="Arial" w:hAnsi="Arial" w:cs="Arial"/>
          <w:sz w:val="22"/>
          <w:szCs w:val="22"/>
        </w:rPr>
        <w:t>Securities</w:t>
      </w:r>
      <w:r w:rsidR="00162E0C" w:rsidRPr="00FB2F3D">
        <w:rPr>
          <w:rFonts w:ascii="Arial" w:hAnsi="Arial" w:cs="Arial"/>
          <w:sz w:val="22"/>
          <w:szCs w:val="22"/>
        </w:rPr>
        <w:t xml:space="preserve"> to be "Exempt </w:t>
      </w:r>
      <w:r w:rsidRPr="00FB2F3D">
        <w:rPr>
          <w:rFonts w:ascii="Arial" w:hAnsi="Arial" w:cs="Arial"/>
          <w:sz w:val="22"/>
          <w:szCs w:val="22"/>
        </w:rPr>
        <w:t>Securities</w:t>
      </w:r>
      <w:r w:rsidR="00162E0C" w:rsidRPr="00FB2F3D">
        <w:rPr>
          <w:rFonts w:ascii="Arial" w:hAnsi="Arial" w:cs="Arial"/>
          <w:sz w:val="22"/>
          <w:szCs w:val="22"/>
        </w:rPr>
        <w:t>".</w:t>
      </w:r>
    </w:p>
    <w:p w14:paraId="5D109E7D" w14:textId="2DDC525C" w:rsidR="00162E0C" w:rsidRPr="00FB2F3D" w:rsidRDefault="0062263B" w:rsidP="006207B8">
      <w:pPr>
        <w:pStyle w:val="UK12Block05"/>
        <w:rPr>
          <w:rFonts w:ascii="Arial" w:hAnsi="Arial" w:cs="Arial"/>
          <w:sz w:val="22"/>
          <w:szCs w:val="22"/>
        </w:rPr>
      </w:pPr>
      <w:r>
        <w:rPr>
          <w:rFonts w:ascii="Arial" w:hAnsi="Arial" w:cs="Arial"/>
          <w:sz w:val="22"/>
          <w:szCs w:val="22"/>
        </w:rPr>
        <w:t xml:space="preserve">Pursuant to section 58 of FSMR, </w:t>
      </w:r>
      <w:r w:rsidR="00162E0C" w:rsidRPr="00FB2F3D">
        <w:rPr>
          <w:rFonts w:ascii="Arial" w:hAnsi="Arial" w:cs="Arial"/>
          <w:sz w:val="22"/>
          <w:szCs w:val="22"/>
        </w:rPr>
        <w:t xml:space="preserve">Exempt Offers and Exempt </w:t>
      </w:r>
      <w:r w:rsidR="004B46BD" w:rsidRPr="00FB2F3D">
        <w:rPr>
          <w:rFonts w:ascii="Arial" w:hAnsi="Arial" w:cs="Arial"/>
          <w:sz w:val="22"/>
          <w:szCs w:val="22"/>
        </w:rPr>
        <w:t>Securities</w:t>
      </w:r>
      <w:r w:rsidR="00162E0C" w:rsidRPr="00FB2F3D">
        <w:rPr>
          <w:rFonts w:ascii="Arial" w:hAnsi="Arial" w:cs="Arial"/>
          <w:sz w:val="22"/>
          <w:szCs w:val="22"/>
        </w:rPr>
        <w:t xml:space="preserve"> do not require a Prospectus.</w:t>
      </w:r>
    </w:p>
    <w:p w14:paraId="619D176C" w14:textId="77777777" w:rsidR="00162E0C" w:rsidRPr="00FB2F3D" w:rsidRDefault="00162E0C" w:rsidP="0061693E">
      <w:pPr>
        <w:pStyle w:val="Heading2"/>
        <w:rPr>
          <w:rFonts w:ascii="Arial" w:hAnsi="Arial" w:cs="Arial"/>
          <w:sz w:val="22"/>
          <w:szCs w:val="22"/>
        </w:rPr>
      </w:pPr>
      <w:bookmarkStart w:id="329" w:name="_Toc409521820"/>
      <w:bookmarkStart w:id="330" w:name="_Toc410136217"/>
      <w:bookmarkStart w:id="331" w:name="_Toc410605926"/>
      <w:bookmarkStart w:id="332" w:name="_Toc410658862"/>
      <w:bookmarkStart w:id="333" w:name="_Toc410658989"/>
      <w:bookmarkStart w:id="334" w:name="_Toc410835533"/>
      <w:bookmarkStart w:id="335" w:name="_Toc138325670"/>
      <w:r w:rsidRPr="00FB2F3D">
        <w:rPr>
          <w:rFonts w:ascii="Arial" w:hAnsi="Arial" w:cs="Arial"/>
          <w:sz w:val="22"/>
          <w:szCs w:val="22"/>
        </w:rPr>
        <w:t>Exempt communications</w:t>
      </w:r>
      <w:bookmarkEnd w:id="329"/>
      <w:bookmarkEnd w:id="330"/>
      <w:bookmarkEnd w:id="331"/>
      <w:bookmarkEnd w:id="332"/>
      <w:bookmarkEnd w:id="333"/>
      <w:bookmarkEnd w:id="334"/>
      <w:bookmarkEnd w:id="335"/>
    </w:p>
    <w:p w14:paraId="6298674B"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0BBF9904" w14:textId="10D37A09" w:rsidR="00162E0C" w:rsidRPr="00FB2F3D" w:rsidRDefault="0062263B" w:rsidP="006207B8">
      <w:pPr>
        <w:pStyle w:val="UK12Block05"/>
        <w:rPr>
          <w:rFonts w:ascii="Arial" w:hAnsi="Arial" w:cs="Arial"/>
          <w:sz w:val="22"/>
          <w:szCs w:val="22"/>
        </w:rPr>
      </w:pPr>
      <w:r>
        <w:rPr>
          <w:rFonts w:ascii="Arial" w:hAnsi="Arial" w:cs="Arial"/>
          <w:sz w:val="22"/>
          <w:szCs w:val="22"/>
        </w:rPr>
        <w:t xml:space="preserve">For the purposes of section 59(c) of the FSMR, </w:t>
      </w:r>
      <w:r w:rsidR="00162E0C" w:rsidRPr="00FB2F3D">
        <w:rPr>
          <w:rFonts w:ascii="Arial" w:hAnsi="Arial" w:cs="Arial"/>
          <w:sz w:val="22"/>
          <w:szCs w:val="22"/>
        </w:rPr>
        <w:t xml:space="preserve">Exempt Communications are not Offers of </w:t>
      </w:r>
      <w:r w:rsidR="004B46BD" w:rsidRPr="00FB2F3D">
        <w:rPr>
          <w:rFonts w:ascii="Arial" w:hAnsi="Arial" w:cs="Arial"/>
          <w:sz w:val="22"/>
          <w:szCs w:val="22"/>
        </w:rPr>
        <w:t>Securities</w:t>
      </w:r>
      <w:r w:rsidR="00162E0C" w:rsidRPr="00FB2F3D">
        <w:rPr>
          <w:rFonts w:ascii="Arial" w:hAnsi="Arial" w:cs="Arial"/>
          <w:sz w:val="22"/>
          <w:szCs w:val="22"/>
        </w:rPr>
        <w:t xml:space="preserve"> and therefore do not attract the</w:t>
      </w:r>
      <w:r w:rsidR="00162E0C" w:rsidRPr="00FB2F3D">
        <w:rPr>
          <w:rFonts w:ascii="Arial" w:hAnsi="Arial" w:cs="Arial"/>
          <w:sz w:val="22"/>
          <w:szCs w:val="22"/>
          <w:lang w:eastAsia="ja-JP"/>
        </w:rPr>
        <w:t xml:space="preserve"> </w:t>
      </w:r>
      <w:r w:rsidR="00162E0C" w:rsidRPr="00FB2F3D">
        <w:rPr>
          <w:rFonts w:ascii="Arial" w:hAnsi="Arial" w:cs="Arial"/>
          <w:sz w:val="22"/>
          <w:szCs w:val="22"/>
        </w:rPr>
        <w:t>Prospectus requirements in the FSMR and Rules.</w:t>
      </w:r>
    </w:p>
    <w:p w14:paraId="505DF017" w14:textId="4583675A" w:rsidR="00162E0C" w:rsidRPr="00FB2F3D" w:rsidRDefault="0062263B" w:rsidP="0061693E">
      <w:pPr>
        <w:pStyle w:val="Heading3"/>
        <w:rPr>
          <w:rFonts w:ascii="Arial" w:hAnsi="Arial" w:cs="Arial"/>
          <w:sz w:val="22"/>
          <w:szCs w:val="22"/>
        </w:rPr>
      </w:pPr>
      <w:bookmarkStart w:id="336" w:name="_Ref410051390"/>
      <w:bookmarkStart w:id="337" w:name="_Ref410632097"/>
      <w:r>
        <w:rPr>
          <w:rFonts w:ascii="Arial" w:hAnsi="Arial" w:cs="Arial"/>
          <w:sz w:val="22"/>
          <w:szCs w:val="22"/>
        </w:rPr>
        <w:t>A</w:t>
      </w:r>
      <w:r w:rsidR="00162E0C" w:rsidRPr="00FB2F3D">
        <w:rPr>
          <w:rFonts w:ascii="Arial" w:hAnsi="Arial" w:cs="Arial"/>
          <w:sz w:val="22"/>
          <w:szCs w:val="22"/>
        </w:rPr>
        <w:t xml:space="preserve"> communication is prescribed by the </w:t>
      </w:r>
      <w:r w:rsidR="0035335F" w:rsidRPr="00FB2F3D">
        <w:rPr>
          <w:rFonts w:ascii="Arial" w:hAnsi="Arial" w:cs="Arial"/>
          <w:sz w:val="22"/>
          <w:szCs w:val="22"/>
        </w:rPr>
        <w:t>Regulator</w:t>
      </w:r>
      <w:r w:rsidR="00162E0C" w:rsidRPr="00FB2F3D">
        <w:rPr>
          <w:rFonts w:ascii="Arial" w:hAnsi="Arial" w:cs="Arial"/>
          <w:sz w:val="22"/>
          <w:szCs w:val="22"/>
        </w:rPr>
        <w:t xml:space="preserve"> as an Exempt Communication if it is made</w:t>
      </w:r>
      <w:bookmarkEnd w:id="336"/>
      <w:r>
        <w:rPr>
          <w:rFonts w:ascii="Arial" w:hAnsi="Arial" w:cs="Arial"/>
          <w:sz w:val="22"/>
          <w:szCs w:val="22"/>
        </w:rPr>
        <w:t xml:space="preserve"> in</w:t>
      </w:r>
      <w:r w:rsidR="00162E0C" w:rsidRPr="00FB2F3D">
        <w:rPr>
          <w:rFonts w:ascii="Arial" w:hAnsi="Arial" w:cs="Arial"/>
          <w:sz w:val="22"/>
          <w:szCs w:val="22"/>
        </w:rPr>
        <w:t>:</w:t>
      </w:r>
      <w:bookmarkEnd w:id="337"/>
    </w:p>
    <w:p w14:paraId="3ED080B1" w14:textId="0059C702" w:rsidR="00162E0C" w:rsidRPr="00FB2F3D" w:rsidRDefault="00162E0C" w:rsidP="00541605">
      <w:pPr>
        <w:pStyle w:val="Heading5"/>
        <w:tabs>
          <w:tab w:val="clear" w:pos="2160"/>
          <w:tab w:val="num" w:pos="1418"/>
        </w:tabs>
        <w:ind w:left="1418" w:hanging="709"/>
        <w:rPr>
          <w:rFonts w:ascii="Arial" w:hAnsi="Arial" w:cs="Arial"/>
          <w:sz w:val="22"/>
          <w:szCs w:val="22"/>
        </w:rPr>
      </w:pPr>
      <w:r w:rsidRPr="00FB2F3D">
        <w:rPr>
          <w:rFonts w:ascii="Arial" w:hAnsi="Arial" w:cs="Arial"/>
          <w:sz w:val="22"/>
          <w:szCs w:val="22"/>
        </w:rPr>
        <w:t xml:space="preserve">connection with the trading of </w:t>
      </w:r>
      <w:r w:rsidR="004B46BD" w:rsidRPr="00FB2F3D">
        <w:rPr>
          <w:rFonts w:ascii="Arial" w:hAnsi="Arial" w:cs="Arial"/>
          <w:sz w:val="22"/>
          <w:szCs w:val="22"/>
        </w:rPr>
        <w:t>Securities</w:t>
      </w:r>
      <w:r w:rsidRPr="00FB2F3D">
        <w:rPr>
          <w:rFonts w:ascii="Arial" w:hAnsi="Arial" w:cs="Arial"/>
          <w:sz w:val="22"/>
          <w:szCs w:val="22"/>
        </w:rPr>
        <w:t xml:space="preserve"> that are listed and traded on a</w:t>
      </w:r>
      <w:r w:rsidRPr="00FB2F3D">
        <w:rPr>
          <w:rFonts w:ascii="Arial" w:hAnsi="Arial" w:cs="Arial"/>
          <w:sz w:val="22"/>
          <w:szCs w:val="22"/>
          <w:lang w:eastAsia="ja-JP"/>
        </w:rPr>
        <w:t xml:space="preserve"> </w:t>
      </w:r>
      <w:r w:rsidRPr="00FB2F3D">
        <w:rPr>
          <w:rFonts w:ascii="Arial" w:hAnsi="Arial" w:cs="Arial"/>
          <w:sz w:val="22"/>
          <w:szCs w:val="22"/>
        </w:rPr>
        <w:t>Regulated Exchange; and</w:t>
      </w:r>
    </w:p>
    <w:p w14:paraId="5FE5D413" w14:textId="321790D8" w:rsidR="00162E0C" w:rsidRPr="00FB2F3D" w:rsidRDefault="00162E0C" w:rsidP="00541605">
      <w:pPr>
        <w:pStyle w:val="Heading5"/>
        <w:tabs>
          <w:tab w:val="clear" w:pos="2160"/>
          <w:tab w:val="num" w:pos="1418"/>
        </w:tabs>
        <w:ind w:left="1418" w:hanging="709"/>
        <w:rPr>
          <w:rFonts w:ascii="Arial" w:hAnsi="Arial" w:cs="Arial"/>
          <w:sz w:val="22"/>
          <w:szCs w:val="22"/>
        </w:rPr>
      </w:pPr>
      <w:r w:rsidRPr="00FB2F3D">
        <w:rPr>
          <w:rFonts w:ascii="Arial" w:hAnsi="Arial" w:cs="Arial"/>
          <w:sz w:val="22"/>
          <w:szCs w:val="22"/>
        </w:rPr>
        <w:t xml:space="preserve">the ordinary course of business of </w:t>
      </w:r>
      <w:r w:rsidR="00222FEC" w:rsidRPr="00FB2F3D">
        <w:rPr>
          <w:rFonts w:ascii="Arial" w:hAnsi="Arial" w:cs="Arial"/>
          <w:sz w:val="22"/>
          <w:szCs w:val="22"/>
        </w:rPr>
        <w:t>an Authorised Person</w:t>
      </w:r>
      <w:r w:rsidR="00846574" w:rsidRPr="00FB2F3D">
        <w:rPr>
          <w:rFonts w:ascii="Arial" w:hAnsi="Arial" w:cs="Arial"/>
          <w:sz w:val="22"/>
          <w:szCs w:val="22"/>
        </w:rPr>
        <w:t>,</w:t>
      </w:r>
      <w:r w:rsidR="00B640BD" w:rsidRPr="00FB2F3D">
        <w:rPr>
          <w:rFonts w:ascii="Arial" w:hAnsi="Arial" w:cs="Arial"/>
          <w:sz w:val="22"/>
          <w:szCs w:val="22"/>
        </w:rPr>
        <w:t xml:space="preserve"> Recognised Body</w:t>
      </w:r>
      <w:r w:rsidR="00846574" w:rsidRPr="00FB2F3D">
        <w:rPr>
          <w:rFonts w:ascii="Arial" w:hAnsi="Arial" w:cs="Arial"/>
          <w:sz w:val="22"/>
          <w:szCs w:val="22"/>
        </w:rPr>
        <w:t xml:space="preserve"> or Remote Member</w:t>
      </w:r>
      <w:r w:rsidRPr="00FB2F3D">
        <w:rPr>
          <w:rFonts w:ascii="Arial" w:hAnsi="Arial" w:cs="Arial"/>
          <w:sz w:val="22"/>
          <w:szCs w:val="22"/>
        </w:rPr>
        <w:t>.</w:t>
      </w:r>
    </w:p>
    <w:p w14:paraId="0F05CB93" w14:textId="77777777" w:rsidR="00162E0C" w:rsidRPr="00FB2F3D" w:rsidRDefault="00162E0C" w:rsidP="0061693E">
      <w:pPr>
        <w:pStyle w:val="Heading2"/>
        <w:rPr>
          <w:rFonts w:ascii="Arial" w:hAnsi="Arial" w:cs="Arial"/>
          <w:sz w:val="22"/>
          <w:szCs w:val="22"/>
        </w:rPr>
      </w:pPr>
      <w:bookmarkStart w:id="338" w:name="_Toc409521821"/>
      <w:bookmarkStart w:id="339" w:name="_Toc410136218"/>
      <w:bookmarkStart w:id="340" w:name="_Toc410605927"/>
      <w:bookmarkStart w:id="341" w:name="_Toc410658863"/>
      <w:bookmarkStart w:id="342" w:name="_Toc410658990"/>
      <w:bookmarkStart w:id="343" w:name="_Toc410835534"/>
      <w:bookmarkStart w:id="344" w:name="_Toc138325671"/>
      <w:r w:rsidRPr="00FB2F3D">
        <w:rPr>
          <w:rFonts w:ascii="Arial" w:hAnsi="Arial" w:cs="Arial"/>
          <w:sz w:val="22"/>
          <w:szCs w:val="22"/>
        </w:rPr>
        <w:t xml:space="preserve">Exempt </w:t>
      </w:r>
      <w:r w:rsidR="00FB37F9" w:rsidRPr="00FB2F3D">
        <w:rPr>
          <w:rFonts w:ascii="Arial" w:hAnsi="Arial" w:cs="Arial"/>
          <w:sz w:val="22"/>
          <w:szCs w:val="22"/>
        </w:rPr>
        <w:t>Offers</w:t>
      </w:r>
      <w:bookmarkEnd w:id="338"/>
      <w:bookmarkEnd w:id="339"/>
      <w:bookmarkEnd w:id="340"/>
      <w:bookmarkEnd w:id="341"/>
      <w:bookmarkEnd w:id="342"/>
      <w:bookmarkEnd w:id="343"/>
      <w:bookmarkEnd w:id="344"/>
    </w:p>
    <w:p w14:paraId="6C5F84BE"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27744BA9" w14:textId="3C3F610F" w:rsidR="00162E0C" w:rsidRDefault="00162E0C" w:rsidP="006207B8">
      <w:pPr>
        <w:pStyle w:val="UK12Block05"/>
        <w:rPr>
          <w:rFonts w:ascii="Arial" w:hAnsi="Arial" w:cs="Arial"/>
          <w:sz w:val="22"/>
          <w:szCs w:val="22"/>
        </w:rPr>
      </w:pPr>
      <w:r w:rsidRPr="00FB2F3D">
        <w:rPr>
          <w:rFonts w:ascii="Arial" w:hAnsi="Arial" w:cs="Arial"/>
          <w:sz w:val="22"/>
          <w:szCs w:val="22"/>
        </w:rPr>
        <w:t xml:space="preserve">This section prescribes the type of </w:t>
      </w:r>
      <w:r w:rsidR="00FB37F9" w:rsidRPr="00FB2F3D">
        <w:rPr>
          <w:rFonts w:ascii="Arial" w:hAnsi="Arial" w:cs="Arial"/>
          <w:sz w:val="22"/>
          <w:szCs w:val="22"/>
        </w:rPr>
        <w:t>Offer</w:t>
      </w:r>
      <w:r w:rsidR="00176CC5">
        <w:rPr>
          <w:rFonts w:ascii="Arial" w:hAnsi="Arial" w:cs="Arial"/>
          <w:sz w:val="22"/>
          <w:szCs w:val="22"/>
        </w:rPr>
        <w:t xml:space="preserve"> of Securities</w:t>
      </w:r>
      <w:r w:rsidRPr="00FB2F3D">
        <w:rPr>
          <w:rFonts w:ascii="Arial" w:hAnsi="Arial" w:cs="Arial"/>
          <w:sz w:val="22"/>
          <w:szCs w:val="22"/>
        </w:rPr>
        <w:t xml:space="preserve"> that is an Exempt Offer. </w:t>
      </w:r>
      <w:r w:rsidR="00176CC5">
        <w:rPr>
          <w:rFonts w:ascii="Arial" w:hAnsi="Arial" w:cs="Arial"/>
          <w:sz w:val="22"/>
          <w:szCs w:val="22"/>
        </w:rPr>
        <w:t>Pursuant to</w:t>
      </w:r>
      <w:r w:rsidRPr="00FB2F3D">
        <w:rPr>
          <w:rFonts w:ascii="Arial" w:hAnsi="Arial" w:cs="Arial"/>
          <w:sz w:val="22"/>
          <w:szCs w:val="22"/>
        </w:rPr>
        <w:t xml:space="preserve"> section </w:t>
      </w:r>
      <w:r w:rsidR="002D7C0C" w:rsidRPr="00FB2F3D">
        <w:rPr>
          <w:rFonts w:ascii="Arial" w:hAnsi="Arial" w:cs="Arial"/>
          <w:sz w:val="22"/>
          <w:szCs w:val="22"/>
        </w:rPr>
        <w:t>5</w:t>
      </w:r>
      <w:r w:rsidR="00A64301" w:rsidRPr="00FB2F3D">
        <w:rPr>
          <w:rFonts w:ascii="Arial" w:hAnsi="Arial" w:cs="Arial"/>
          <w:sz w:val="22"/>
          <w:szCs w:val="22"/>
        </w:rPr>
        <w:t>8</w:t>
      </w:r>
      <w:r w:rsidR="002D7C0C" w:rsidRPr="00FB2F3D">
        <w:rPr>
          <w:rFonts w:ascii="Arial" w:hAnsi="Arial" w:cs="Arial"/>
          <w:sz w:val="22"/>
          <w:szCs w:val="22"/>
        </w:rPr>
        <w:t>(1)</w:t>
      </w:r>
      <w:r w:rsidRPr="00FB2F3D">
        <w:rPr>
          <w:rFonts w:ascii="Arial" w:hAnsi="Arial" w:cs="Arial"/>
          <w:sz w:val="22"/>
          <w:szCs w:val="22"/>
        </w:rPr>
        <w:t xml:space="preserve"> of FSMR, a Person may make an Offer of </w:t>
      </w:r>
      <w:r w:rsidR="004B46BD" w:rsidRPr="00FB2F3D">
        <w:rPr>
          <w:rFonts w:ascii="Arial" w:hAnsi="Arial" w:cs="Arial"/>
          <w:sz w:val="22"/>
          <w:szCs w:val="22"/>
        </w:rPr>
        <w:t>Securities</w:t>
      </w:r>
      <w:r w:rsidRPr="00FB2F3D">
        <w:rPr>
          <w:rFonts w:ascii="Arial" w:hAnsi="Arial" w:cs="Arial"/>
          <w:sz w:val="22"/>
          <w:szCs w:val="22"/>
        </w:rPr>
        <w:t xml:space="preserve"> in the circumstances specified in this Rule</w:t>
      </w:r>
      <w:r w:rsidR="00B317F6" w:rsidRPr="00FB2F3D">
        <w:rPr>
          <w:rFonts w:ascii="Arial" w:hAnsi="Arial" w:cs="Arial"/>
          <w:sz w:val="22"/>
          <w:szCs w:val="22"/>
        </w:rPr>
        <w:t xml:space="preserve"> </w:t>
      </w:r>
      <w:r w:rsidRPr="00FB2F3D">
        <w:rPr>
          <w:rFonts w:ascii="Arial" w:hAnsi="Arial" w:cs="Arial"/>
          <w:sz w:val="22"/>
          <w:szCs w:val="22"/>
        </w:rPr>
        <w:t>without a Prospectus.</w:t>
      </w:r>
    </w:p>
    <w:p w14:paraId="217F8B07" w14:textId="77777777" w:rsidR="00541605" w:rsidRPr="00541605" w:rsidRDefault="00541605" w:rsidP="00541605">
      <w:pPr>
        <w:pStyle w:val="ListParagraph"/>
        <w:ind w:left="1440" w:hanging="731"/>
        <w:jc w:val="both"/>
        <w:rPr>
          <w:rFonts w:ascii="Arial" w:eastAsia="Times New Roman" w:hAnsi="Arial" w:cs="Arial"/>
        </w:rPr>
      </w:pPr>
      <w:r w:rsidRPr="00541605">
        <w:rPr>
          <w:rFonts w:ascii="Arial" w:eastAsia="Times New Roman" w:hAnsi="Arial" w:cs="Arial"/>
        </w:rPr>
        <w:lastRenderedPageBreak/>
        <w:t>1.</w:t>
      </w:r>
      <w:r w:rsidRPr="00541605">
        <w:rPr>
          <w:rFonts w:ascii="Arial" w:eastAsia="Times New Roman" w:hAnsi="Arial" w:cs="Arial"/>
        </w:rPr>
        <w:tab/>
        <w:t xml:space="preserve">A Debenture or Sukuk Offer to Retail Clients cannot be made by way of an Exempt Offer. </w:t>
      </w:r>
    </w:p>
    <w:p w14:paraId="350549CF" w14:textId="77777777" w:rsidR="00541605" w:rsidRPr="00541605" w:rsidRDefault="00541605" w:rsidP="00541605">
      <w:pPr>
        <w:pStyle w:val="ListParagraph"/>
        <w:ind w:left="1440" w:hanging="731"/>
        <w:rPr>
          <w:rFonts w:ascii="Arial" w:eastAsia="Times New Roman" w:hAnsi="Arial" w:cs="Arial"/>
        </w:rPr>
      </w:pPr>
    </w:p>
    <w:p w14:paraId="26ED61DE" w14:textId="77777777" w:rsidR="00541605" w:rsidRPr="00541605" w:rsidRDefault="00541605" w:rsidP="00541605">
      <w:pPr>
        <w:pStyle w:val="ListParagraph"/>
        <w:ind w:left="1440" w:hanging="731"/>
        <w:jc w:val="both"/>
        <w:rPr>
          <w:rFonts w:ascii="Arial" w:eastAsia="Times New Roman" w:hAnsi="Arial" w:cs="Arial"/>
        </w:rPr>
      </w:pPr>
      <w:r w:rsidRPr="00541605">
        <w:rPr>
          <w:rFonts w:ascii="Arial" w:eastAsia="Times New Roman" w:hAnsi="Arial" w:cs="Arial"/>
        </w:rPr>
        <w:t>2.</w:t>
      </w:r>
      <w:r w:rsidRPr="00541605">
        <w:rPr>
          <w:rFonts w:ascii="Arial" w:eastAsia="Times New Roman" w:hAnsi="Arial" w:cs="Arial"/>
        </w:rPr>
        <w:tab/>
        <w:t>An Exempt Offer of Debentures or Sukuk may not be made under the provisions of Rule 4.3.1(2).</w:t>
      </w:r>
    </w:p>
    <w:p w14:paraId="338755C2" w14:textId="67BA905B" w:rsidR="00162E0C" w:rsidRPr="00FB2F3D" w:rsidRDefault="00162E0C" w:rsidP="0061693E">
      <w:pPr>
        <w:pStyle w:val="Heading3"/>
        <w:rPr>
          <w:rFonts w:ascii="Arial" w:hAnsi="Arial" w:cs="Arial"/>
          <w:sz w:val="22"/>
          <w:szCs w:val="22"/>
        </w:rPr>
      </w:pPr>
      <w:bookmarkStart w:id="345" w:name="_Ref410049221"/>
      <w:bookmarkStart w:id="346" w:name="_Ref410567700"/>
      <w:r w:rsidRPr="00FB2F3D">
        <w:rPr>
          <w:rFonts w:ascii="Arial" w:hAnsi="Arial" w:cs="Arial"/>
          <w:sz w:val="22"/>
          <w:szCs w:val="22"/>
        </w:rPr>
        <w:t xml:space="preserve">For the purposes of </w:t>
      </w:r>
      <w:r w:rsidR="003C03DA" w:rsidRPr="00FB2F3D">
        <w:rPr>
          <w:rFonts w:ascii="Arial" w:hAnsi="Arial" w:cs="Arial"/>
          <w:sz w:val="22"/>
          <w:szCs w:val="22"/>
        </w:rPr>
        <w:t>section 6</w:t>
      </w:r>
      <w:r w:rsidR="00A64301" w:rsidRPr="00FB2F3D">
        <w:rPr>
          <w:rFonts w:ascii="Arial" w:hAnsi="Arial" w:cs="Arial"/>
          <w:sz w:val="22"/>
          <w:szCs w:val="22"/>
        </w:rPr>
        <w:t>1</w:t>
      </w:r>
      <w:r w:rsidR="003C03DA" w:rsidRPr="00FB2F3D">
        <w:rPr>
          <w:rFonts w:ascii="Arial" w:hAnsi="Arial" w:cs="Arial"/>
          <w:sz w:val="22"/>
          <w:szCs w:val="22"/>
        </w:rPr>
        <w:t>(3)(a)</w:t>
      </w:r>
      <w:r w:rsidRPr="00FB2F3D">
        <w:rPr>
          <w:rFonts w:ascii="Arial" w:hAnsi="Arial" w:cs="Arial"/>
          <w:sz w:val="22"/>
          <w:szCs w:val="22"/>
        </w:rPr>
        <w:t xml:space="preserve"> of the FSMR</w:t>
      </w:r>
      <w:r w:rsidR="00541605">
        <w:rPr>
          <w:rFonts w:ascii="Arial" w:hAnsi="Arial" w:cs="Arial"/>
          <w:sz w:val="22"/>
          <w:szCs w:val="22"/>
        </w:rPr>
        <w:t>,</w:t>
      </w:r>
      <w:r w:rsidRPr="00FB2F3D">
        <w:rPr>
          <w:rFonts w:ascii="Arial" w:hAnsi="Arial" w:cs="Arial"/>
          <w:sz w:val="22"/>
          <w:szCs w:val="22"/>
        </w:rPr>
        <w:t xml:space="preserve"> the </w:t>
      </w:r>
      <w:r w:rsidR="0035335F" w:rsidRPr="00FB2F3D">
        <w:rPr>
          <w:rFonts w:ascii="Arial" w:hAnsi="Arial" w:cs="Arial"/>
          <w:sz w:val="22"/>
          <w:szCs w:val="22"/>
        </w:rPr>
        <w:t>Regulator</w:t>
      </w:r>
      <w:r w:rsidRPr="00FB2F3D">
        <w:rPr>
          <w:rFonts w:ascii="Arial" w:hAnsi="Arial" w:cs="Arial"/>
          <w:sz w:val="22"/>
          <w:szCs w:val="22"/>
        </w:rPr>
        <w:t xml:space="preserve"> prescribes the </w:t>
      </w:r>
      <w:r w:rsidR="00541605">
        <w:rPr>
          <w:rFonts w:ascii="Arial" w:hAnsi="Arial" w:cs="Arial"/>
          <w:sz w:val="22"/>
          <w:szCs w:val="22"/>
        </w:rPr>
        <w:t xml:space="preserve">following to be </w:t>
      </w:r>
      <w:r w:rsidRPr="00FB2F3D">
        <w:rPr>
          <w:rFonts w:ascii="Arial" w:hAnsi="Arial" w:cs="Arial"/>
          <w:sz w:val="22"/>
          <w:szCs w:val="22"/>
        </w:rPr>
        <w:t xml:space="preserve">circumstances in which an </w:t>
      </w:r>
      <w:r w:rsidR="00FB37F9" w:rsidRPr="00FB2F3D">
        <w:rPr>
          <w:rFonts w:ascii="Arial" w:hAnsi="Arial" w:cs="Arial"/>
          <w:sz w:val="22"/>
          <w:szCs w:val="22"/>
        </w:rPr>
        <w:t>Offer</w:t>
      </w:r>
      <w:r w:rsidRPr="00FB2F3D">
        <w:rPr>
          <w:rFonts w:ascii="Arial" w:hAnsi="Arial" w:cs="Arial"/>
          <w:sz w:val="22"/>
          <w:szCs w:val="22"/>
        </w:rPr>
        <w:t xml:space="preserve"> is an Exempt Offer</w:t>
      </w:r>
      <w:bookmarkEnd w:id="345"/>
      <w:r w:rsidRPr="00FB2F3D">
        <w:rPr>
          <w:rFonts w:ascii="Arial" w:hAnsi="Arial" w:cs="Arial"/>
          <w:sz w:val="22"/>
          <w:szCs w:val="22"/>
        </w:rPr>
        <w:t>:</w:t>
      </w:r>
      <w:bookmarkEnd w:id="346"/>
    </w:p>
    <w:p w14:paraId="69F1B244" w14:textId="77777777" w:rsidR="00162E0C" w:rsidRPr="00FB2F3D" w:rsidRDefault="00162E0C" w:rsidP="00AE7348">
      <w:pPr>
        <w:pStyle w:val="Heading4"/>
        <w:rPr>
          <w:rFonts w:ascii="Arial" w:hAnsi="Arial" w:cs="Arial"/>
          <w:sz w:val="22"/>
          <w:szCs w:val="22"/>
        </w:rPr>
      </w:pPr>
      <w:r w:rsidRPr="00FB2F3D">
        <w:rPr>
          <w:rFonts w:ascii="Arial" w:hAnsi="Arial" w:cs="Arial"/>
          <w:sz w:val="22"/>
          <w:szCs w:val="22"/>
        </w:rPr>
        <w:t xml:space="preserve">an </w:t>
      </w:r>
      <w:r w:rsidR="00FB37F9" w:rsidRPr="00FB2F3D">
        <w:rPr>
          <w:rFonts w:ascii="Arial" w:hAnsi="Arial" w:cs="Arial"/>
          <w:sz w:val="22"/>
          <w:szCs w:val="22"/>
        </w:rPr>
        <w:t>Offer</w:t>
      </w:r>
      <w:r w:rsidRPr="00FB2F3D">
        <w:rPr>
          <w:rFonts w:ascii="Arial" w:hAnsi="Arial" w:cs="Arial"/>
          <w:sz w:val="22"/>
          <w:szCs w:val="22"/>
        </w:rPr>
        <w:t xml:space="preserve"> made to or directed at only Professional Clients;</w:t>
      </w:r>
    </w:p>
    <w:p w14:paraId="7850BCC8" w14:textId="77777777" w:rsidR="00162E0C" w:rsidRPr="00FB2F3D" w:rsidRDefault="00162E0C" w:rsidP="00AE7348">
      <w:pPr>
        <w:pStyle w:val="Heading4"/>
        <w:rPr>
          <w:rFonts w:ascii="Arial" w:hAnsi="Arial" w:cs="Arial"/>
          <w:sz w:val="22"/>
          <w:szCs w:val="22"/>
        </w:rPr>
      </w:pPr>
      <w:bookmarkStart w:id="347" w:name="_Ref410631203"/>
      <w:r w:rsidRPr="00FB2F3D">
        <w:rPr>
          <w:rFonts w:ascii="Arial" w:hAnsi="Arial" w:cs="Arial"/>
          <w:sz w:val="22"/>
          <w:szCs w:val="22"/>
        </w:rPr>
        <w:t xml:space="preserve">an </w:t>
      </w:r>
      <w:r w:rsidR="00FB37F9" w:rsidRPr="00FB2F3D">
        <w:rPr>
          <w:rFonts w:ascii="Arial" w:hAnsi="Arial" w:cs="Arial"/>
          <w:sz w:val="22"/>
          <w:szCs w:val="22"/>
        </w:rPr>
        <w:t>Offer</w:t>
      </w:r>
      <w:r w:rsidRPr="00FB2F3D">
        <w:rPr>
          <w:rFonts w:ascii="Arial" w:hAnsi="Arial" w:cs="Arial"/>
          <w:sz w:val="22"/>
          <w:szCs w:val="22"/>
        </w:rPr>
        <w:t xml:space="preserve"> in or from the ADGM which is directed at </w:t>
      </w:r>
      <w:r w:rsidR="00AE7348">
        <w:rPr>
          <w:rFonts w:ascii="Arial" w:hAnsi="Arial" w:cs="Arial"/>
          <w:sz w:val="22"/>
          <w:szCs w:val="22"/>
        </w:rPr>
        <w:t>no more</w:t>
      </w:r>
      <w:r w:rsidRPr="00FB2F3D">
        <w:rPr>
          <w:rFonts w:ascii="Arial" w:hAnsi="Arial" w:cs="Arial"/>
          <w:sz w:val="22"/>
          <w:szCs w:val="22"/>
        </w:rPr>
        <w:t xml:space="preserve"> than 50 Persons in an</w:t>
      </w:r>
      <w:r w:rsidR="00AE7348">
        <w:rPr>
          <w:rFonts w:ascii="Arial" w:hAnsi="Arial" w:cs="Arial"/>
          <w:sz w:val="22"/>
          <w:szCs w:val="22"/>
        </w:rPr>
        <w:t>y 12-</w:t>
      </w:r>
      <w:r w:rsidRPr="00FB2F3D">
        <w:rPr>
          <w:rFonts w:ascii="Arial" w:hAnsi="Arial" w:cs="Arial"/>
          <w:sz w:val="22"/>
          <w:szCs w:val="22"/>
        </w:rPr>
        <w:t>month period, excluding Professional Clients who are not natural persons;</w:t>
      </w:r>
      <w:bookmarkEnd w:id="347"/>
    </w:p>
    <w:p w14:paraId="4C673BF1"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 xml:space="preserve">an </w:t>
      </w:r>
      <w:r w:rsidR="00FB37F9" w:rsidRPr="00FB2F3D">
        <w:rPr>
          <w:rFonts w:ascii="Arial" w:hAnsi="Arial" w:cs="Arial"/>
          <w:sz w:val="22"/>
          <w:szCs w:val="22"/>
        </w:rPr>
        <w:t>Offer</w:t>
      </w:r>
      <w:r w:rsidRPr="00FB2F3D">
        <w:rPr>
          <w:rFonts w:ascii="Arial" w:hAnsi="Arial" w:cs="Arial"/>
          <w:sz w:val="22"/>
          <w:szCs w:val="22"/>
        </w:rPr>
        <w:t xml:space="preserve"> where the total consideration to be paid by a Person to acquire the </w:t>
      </w:r>
      <w:r w:rsidR="004B46BD" w:rsidRPr="00FB2F3D">
        <w:rPr>
          <w:rFonts w:ascii="Arial" w:hAnsi="Arial" w:cs="Arial"/>
          <w:sz w:val="22"/>
          <w:szCs w:val="22"/>
        </w:rPr>
        <w:t>Securities</w:t>
      </w:r>
      <w:r w:rsidRPr="00FB2F3D">
        <w:rPr>
          <w:rFonts w:ascii="Arial" w:hAnsi="Arial" w:cs="Arial"/>
          <w:sz w:val="22"/>
          <w:szCs w:val="22"/>
        </w:rPr>
        <w:t xml:space="preserve"> is at least $100,000, or an equivalent amount in another currency;</w:t>
      </w:r>
    </w:p>
    <w:p w14:paraId="2F736CFC"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 xml:space="preserve">an </w:t>
      </w:r>
      <w:r w:rsidR="00FB37F9" w:rsidRPr="00FB2F3D">
        <w:rPr>
          <w:rFonts w:ascii="Arial" w:hAnsi="Arial" w:cs="Arial"/>
          <w:sz w:val="22"/>
          <w:szCs w:val="22"/>
        </w:rPr>
        <w:t>Offer</w:t>
      </w:r>
      <w:r w:rsidRPr="00FB2F3D">
        <w:rPr>
          <w:rFonts w:ascii="Arial" w:hAnsi="Arial" w:cs="Arial"/>
          <w:sz w:val="22"/>
          <w:szCs w:val="22"/>
        </w:rPr>
        <w:t xml:space="preserve"> where the </w:t>
      </w:r>
      <w:r w:rsidR="004B46BD" w:rsidRPr="00FB2F3D">
        <w:rPr>
          <w:rFonts w:ascii="Arial" w:hAnsi="Arial" w:cs="Arial"/>
          <w:sz w:val="22"/>
          <w:szCs w:val="22"/>
        </w:rPr>
        <w:t>Securities</w:t>
      </w:r>
      <w:r w:rsidRPr="00FB2F3D">
        <w:rPr>
          <w:rFonts w:ascii="Arial" w:hAnsi="Arial" w:cs="Arial"/>
          <w:sz w:val="22"/>
          <w:szCs w:val="22"/>
        </w:rPr>
        <w:t xml:space="preserve"> are denominated in amounts of at least $100,000, or an equivalent amount in another currency;</w:t>
      </w:r>
    </w:p>
    <w:p w14:paraId="7A28D09E"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 xml:space="preserve">an </w:t>
      </w:r>
      <w:r w:rsidR="00FB37F9" w:rsidRPr="00FB2F3D">
        <w:rPr>
          <w:rFonts w:ascii="Arial" w:hAnsi="Arial" w:cs="Arial"/>
          <w:sz w:val="22"/>
          <w:szCs w:val="22"/>
        </w:rPr>
        <w:t>Offer</w:t>
      </w:r>
      <w:r w:rsidRPr="00FB2F3D">
        <w:rPr>
          <w:rFonts w:ascii="Arial" w:hAnsi="Arial" w:cs="Arial"/>
          <w:sz w:val="22"/>
          <w:szCs w:val="22"/>
        </w:rPr>
        <w:t xml:space="preserve"> where the total aggregate consideration for the </w:t>
      </w:r>
      <w:r w:rsidR="004B46BD" w:rsidRPr="00FB2F3D">
        <w:rPr>
          <w:rFonts w:ascii="Arial" w:hAnsi="Arial" w:cs="Arial"/>
          <w:sz w:val="22"/>
          <w:szCs w:val="22"/>
        </w:rPr>
        <w:t>Securities</w:t>
      </w:r>
      <w:r w:rsidRPr="00FB2F3D">
        <w:rPr>
          <w:rFonts w:ascii="Arial" w:hAnsi="Arial" w:cs="Arial"/>
          <w:sz w:val="22"/>
          <w:szCs w:val="22"/>
        </w:rPr>
        <w:t xml:space="preserve"> offered is less than $100,000, or an equivalent amount in another currency, calculated over a period of 12 months;</w:t>
      </w:r>
    </w:p>
    <w:p w14:paraId="0AD82BC5"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 xml:space="preserve">an </w:t>
      </w:r>
      <w:r w:rsidR="00FB37F9" w:rsidRPr="00FB2F3D">
        <w:rPr>
          <w:rFonts w:ascii="Arial" w:hAnsi="Arial" w:cs="Arial"/>
          <w:sz w:val="22"/>
          <w:szCs w:val="22"/>
        </w:rPr>
        <w:t>Offer</w:t>
      </w:r>
      <w:r w:rsidRPr="00FB2F3D">
        <w:rPr>
          <w:rFonts w:ascii="Arial" w:hAnsi="Arial" w:cs="Arial"/>
          <w:sz w:val="22"/>
          <w:szCs w:val="22"/>
        </w:rPr>
        <w:t xml:space="preserve"> where Shares are issued in substitution for Shares of the same class as already issued, where the issue of the new Shares does not involve any increase in the issued </w:t>
      </w:r>
      <w:r w:rsidR="00CA15B4" w:rsidRPr="00FB2F3D">
        <w:rPr>
          <w:rFonts w:ascii="Arial" w:hAnsi="Arial" w:cs="Arial"/>
          <w:sz w:val="22"/>
          <w:szCs w:val="22"/>
        </w:rPr>
        <w:t>Share</w:t>
      </w:r>
      <w:r w:rsidRPr="00FB2F3D">
        <w:rPr>
          <w:rFonts w:ascii="Arial" w:hAnsi="Arial" w:cs="Arial"/>
          <w:sz w:val="22"/>
          <w:szCs w:val="22"/>
        </w:rPr>
        <w:t xml:space="preserve"> capital;</w:t>
      </w:r>
    </w:p>
    <w:p w14:paraId="2213ED79"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 xml:space="preserve">an </w:t>
      </w:r>
      <w:r w:rsidR="00FB37F9" w:rsidRPr="00FB2F3D">
        <w:rPr>
          <w:rFonts w:ascii="Arial" w:hAnsi="Arial" w:cs="Arial"/>
          <w:sz w:val="22"/>
          <w:szCs w:val="22"/>
        </w:rPr>
        <w:t>Offer</w:t>
      </w:r>
      <w:r w:rsidRPr="00FB2F3D">
        <w:rPr>
          <w:rFonts w:ascii="Arial" w:hAnsi="Arial" w:cs="Arial"/>
          <w:sz w:val="22"/>
          <w:szCs w:val="22"/>
        </w:rPr>
        <w:t xml:space="preserve"> where the </w:t>
      </w:r>
      <w:r w:rsidR="004B46BD" w:rsidRPr="00FB2F3D">
        <w:rPr>
          <w:rFonts w:ascii="Arial" w:hAnsi="Arial" w:cs="Arial"/>
          <w:sz w:val="22"/>
          <w:szCs w:val="22"/>
        </w:rPr>
        <w:t>Securities</w:t>
      </w:r>
      <w:r w:rsidRPr="00FB2F3D">
        <w:rPr>
          <w:rFonts w:ascii="Arial" w:hAnsi="Arial" w:cs="Arial"/>
          <w:sz w:val="22"/>
          <w:szCs w:val="22"/>
        </w:rPr>
        <w:t xml:space="preserve"> are Convertibles issued under a Prospectus to existing members or creditors of the Issuer or a member of its Group and there is no additional consideration to be paid;</w:t>
      </w:r>
    </w:p>
    <w:p w14:paraId="718A0AAE" w14:textId="77777777" w:rsidR="00162E0C" w:rsidRPr="00FB2F3D" w:rsidRDefault="00162E0C" w:rsidP="00424270">
      <w:pPr>
        <w:pStyle w:val="Heading4"/>
        <w:rPr>
          <w:rFonts w:ascii="Arial" w:hAnsi="Arial" w:cs="Arial"/>
          <w:sz w:val="22"/>
          <w:szCs w:val="22"/>
        </w:rPr>
      </w:pPr>
      <w:bookmarkStart w:id="348" w:name="_Ref410631216"/>
      <w:r w:rsidRPr="00FB2F3D">
        <w:rPr>
          <w:rFonts w:ascii="Arial" w:hAnsi="Arial" w:cs="Arial"/>
          <w:sz w:val="22"/>
          <w:szCs w:val="22"/>
        </w:rPr>
        <w:t xml:space="preserve">an </w:t>
      </w:r>
      <w:r w:rsidR="00FB37F9" w:rsidRPr="00FB2F3D">
        <w:rPr>
          <w:rFonts w:ascii="Arial" w:hAnsi="Arial" w:cs="Arial"/>
          <w:sz w:val="22"/>
          <w:szCs w:val="22"/>
        </w:rPr>
        <w:t>Offer</w:t>
      </w:r>
      <w:r w:rsidRPr="00FB2F3D">
        <w:rPr>
          <w:rFonts w:ascii="Arial" w:hAnsi="Arial" w:cs="Arial"/>
          <w:sz w:val="22"/>
          <w:szCs w:val="22"/>
        </w:rPr>
        <w:t xml:space="preserve"> where the </w:t>
      </w:r>
      <w:r w:rsidR="004B46BD" w:rsidRPr="00FB2F3D">
        <w:rPr>
          <w:rFonts w:ascii="Arial" w:hAnsi="Arial" w:cs="Arial"/>
          <w:sz w:val="22"/>
          <w:szCs w:val="22"/>
        </w:rPr>
        <w:t>Securities</w:t>
      </w:r>
      <w:r w:rsidRPr="00FB2F3D">
        <w:rPr>
          <w:rFonts w:ascii="Arial" w:hAnsi="Arial" w:cs="Arial"/>
          <w:sz w:val="22"/>
          <w:szCs w:val="22"/>
        </w:rPr>
        <w:t xml:space="preserve"> are offered in connection with a Takeover and a document is made available containing information which is considered by the </w:t>
      </w:r>
      <w:r w:rsidR="0035335F" w:rsidRPr="00FB2F3D">
        <w:rPr>
          <w:rFonts w:ascii="Arial" w:hAnsi="Arial" w:cs="Arial"/>
          <w:sz w:val="22"/>
          <w:szCs w:val="22"/>
        </w:rPr>
        <w:t>Regulator</w:t>
      </w:r>
      <w:r w:rsidRPr="00FB2F3D">
        <w:rPr>
          <w:rFonts w:ascii="Arial" w:hAnsi="Arial" w:cs="Arial"/>
          <w:sz w:val="22"/>
          <w:szCs w:val="22"/>
        </w:rPr>
        <w:t xml:space="preserve"> as being equivalent to that of a Prospectus;</w:t>
      </w:r>
      <w:bookmarkEnd w:id="348"/>
    </w:p>
    <w:p w14:paraId="57C8993D" w14:textId="77777777" w:rsidR="00162E0C" w:rsidRPr="00FB2F3D" w:rsidRDefault="00162E0C" w:rsidP="00424270">
      <w:pPr>
        <w:pStyle w:val="Heading4"/>
        <w:rPr>
          <w:rFonts w:ascii="Arial" w:hAnsi="Arial" w:cs="Arial"/>
          <w:sz w:val="22"/>
          <w:szCs w:val="22"/>
        </w:rPr>
      </w:pPr>
      <w:bookmarkStart w:id="349" w:name="_Ref410631226"/>
      <w:r w:rsidRPr="00FB2F3D">
        <w:rPr>
          <w:rFonts w:ascii="Arial" w:hAnsi="Arial" w:cs="Arial"/>
          <w:sz w:val="22"/>
          <w:szCs w:val="22"/>
        </w:rPr>
        <w:t xml:space="preserve">an </w:t>
      </w:r>
      <w:r w:rsidR="00FB37F9" w:rsidRPr="00FB2F3D">
        <w:rPr>
          <w:rFonts w:ascii="Arial" w:hAnsi="Arial" w:cs="Arial"/>
          <w:sz w:val="22"/>
          <w:szCs w:val="22"/>
        </w:rPr>
        <w:t>Offer</w:t>
      </w:r>
      <w:r w:rsidRPr="00FB2F3D">
        <w:rPr>
          <w:rFonts w:ascii="Arial" w:hAnsi="Arial" w:cs="Arial"/>
          <w:sz w:val="22"/>
          <w:szCs w:val="22"/>
        </w:rPr>
        <w:t xml:space="preserve"> where the </w:t>
      </w:r>
      <w:r w:rsidR="004B46BD" w:rsidRPr="00FB2F3D">
        <w:rPr>
          <w:rFonts w:ascii="Arial" w:hAnsi="Arial" w:cs="Arial"/>
          <w:sz w:val="22"/>
          <w:szCs w:val="22"/>
        </w:rPr>
        <w:t>Securities</w:t>
      </w:r>
      <w:r w:rsidRPr="00FB2F3D">
        <w:rPr>
          <w:rFonts w:ascii="Arial" w:hAnsi="Arial" w:cs="Arial"/>
          <w:sz w:val="22"/>
          <w:szCs w:val="22"/>
        </w:rPr>
        <w:t xml:space="preserve"> are offered, allotted or to be allotted in connection with a merger if a document is available containing information which is regarded by the </w:t>
      </w:r>
      <w:r w:rsidR="0035335F" w:rsidRPr="00FB2F3D">
        <w:rPr>
          <w:rFonts w:ascii="Arial" w:hAnsi="Arial" w:cs="Arial"/>
          <w:sz w:val="22"/>
          <w:szCs w:val="22"/>
        </w:rPr>
        <w:t>Regulator</w:t>
      </w:r>
      <w:r w:rsidRPr="00FB2F3D">
        <w:rPr>
          <w:rFonts w:ascii="Arial" w:hAnsi="Arial" w:cs="Arial"/>
          <w:sz w:val="22"/>
          <w:szCs w:val="22"/>
        </w:rPr>
        <w:t xml:space="preserve"> as being equivalent to that of a Prospectus;</w:t>
      </w:r>
      <w:bookmarkEnd w:id="349"/>
    </w:p>
    <w:p w14:paraId="45ABA5E2"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 xml:space="preserve">an </w:t>
      </w:r>
      <w:r w:rsidR="00FB37F9" w:rsidRPr="00FB2F3D">
        <w:rPr>
          <w:rFonts w:ascii="Arial" w:hAnsi="Arial" w:cs="Arial"/>
          <w:sz w:val="22"/>
          <w:szCs w:val="22"/>
        </w:rPr>
        <w:t>Offer</w:t>
      </w:r>
      <w:r w:rsidRPr="00FB2F3D">
        <w:rPr>
          <w:rFonts w:ascii="Arial" w:hAnsi="Arial" w:cs="Arial"/>
          <w:sz w:val="22"/>
          <w:szCs w:val="22"/>
        </w:rPr>
        <w:t xml:space="preserve"> where the </w:t>
      </w:r>
      <w:r w:rsidR="004B46BD" w:rsidRPr="00FB2F3D">
        <w:rPr>
          <w:rFonts w:ascii="Arial" w:hAnsi="Arial" w:cs="Arial"/>
          <w:sz w:val="22"/>
          <w:szCs w:val="22"/>
        </w:rPr>
        <w:t>Securities</w:t>
      </w:r>
      <w:r w:rsidRPr="00FB2F3D">
        <w:rPr>
          <w:rFonts w:ascii="Arial" w:hAnsi="Arial" w:cs="Arial"/>
          <w:sz w:val="22"/>
          <w:szCs w:val="22"/>
        </w:rPr>
        <w:t xml:space="preserve"> are offered, allotted or to be allotted in connection with a rights issue where:</w:t>
      </w:r>
    </w:p>
    <w:p w14:paraId="65079814" w14:textId="77777777" w:rsidR="00162E0C" w:rsidRPr="00FB2F3D" w:rsidRDefault="00162E0C" w:rsidP="00424270">
      <w:pPr>
        <w:pStyle w:val="Heading5"/>
        <w:rPr>
          <w:rFonts w:ascii="Arial" w:hAnsi="Arial" w:cs="Arial"/>
          <w:sz w:val="22"/>
          <w:szCs w:val="22"/>
        </w:rPr>
      </w:pPr>
      <w:r w:rsidRPr="00FB2F3D">
        <w:rPr>
          <w:rFonts w:ascii="Arial" w:hAnsi="Arial" w:cs="Arial"/>
          <w:sz w:val="22"/>
          <w:szCs w:val="22"/>
        </w:rPr>
        <w:t xml:space="preserve">the </w:t>
      </w:r>
      <w:r w:rsidR="004B46BD" w:rsidRPr="00FB2F3D">
        <w:rPr>
          <w:rFonts w:ascii="Arial" w:hAnsi="Arial" w:cs="Arial"/>
          <w:sz w:val="22"/>
          <w:szCs w:val="22"/>
        </w:rPr>
        <w:t>Securities</w:t>
      </w:r>
      <w:r w:rsidRPr="00FB2F3D">
        <w:rPr>
          <w:rFonts w:ascii="Arial" w:hAnsi="Arial" w:cs="Arial"/>
          <w:sz w:val="22"/>
          <w:szCs w:val="22"/>
        </w:rPr>
        <w:t xml:space="preserve"> are of a class subject to </w:t>
      </w:r>
      <w:r w:rsidR="00222FEC" w:rsidRPr="00FB2F3D">
        <w:rPr>
          <w:rFonts w:ascii="Arial" w:hAnsi="Arial" w:cs="Arial"/>
          <w:sz w:val="22"/>
          <w:szCs w:val="22"/>
        </w:rPr>
        <w:t>Reporting Entity</w:t>
      </w:r>
      <w:r w:rsidRPr="00FB2F3D">
        <w:rPr>
          <w:rFonts w:ascii="Arial" w:hAnsi="Arial" w:cs="Arial"/>
          <w:sz w:val="22"/>
          <w:szCs w:val="22"/>
        </w:rPr>
        <w:t xml:space="preserve"> disclosure; and</w:t>
      </w:r>
    </w:p>
    <w:p w14:paraId="6F623452" w14:textId="77777777" w:rsidR="00162E0C" w:rsidRPr="00FB2F3D" w:rsidRDefault="00162E0C" w:rsidP="00424270">
      <w:pPr>
        <w:pStyle w:val="Heading5"/>
        <w:rPr>
          <w:rFonts w:ascii="Arial" w:hAnsi="Arial" w:cs="Arial"/>
          <w:sz w:val="22"/>
          <w:szCs w:val="22"/>
        </w:rPr>
      </w:pPr>
      <w:r w:rsidRPr="00FB2F3D">
        <w:rPr>
          <w:rFonts w:ascii="Arial" w:hAnsi="Arial" w:cs="Arial"/>
          <w:sz w:val="22"/>
          <w:szCs w:val="22"/>
        </w:rPr>
        <w:t xml:space="preserve">a document is made available containing information on the number and nature of the </w:t>
      </w:r>
      <w:r w:rsidR="004B46BD" w:rsidRPr="00FB2F3D">
        <w:rPr>
          <w:rFonts w:ascii="Arial" w:hAnsi="Arial" w:cs="Arial"/>
          <w:sz w:val="22"/>
          <w:szCs w:val="22"/>
        </w:rPr>
        <w:t>Securities</w:t>
      </w:r>
      <w:r w:rsidRPr="00FB2F3D">
        <w:rPr>
          <w:rFonts w:ascii="Arial" w:hAnsi="Arial" w:cs="Arial"/>
          <w:sz w:val="22"/>
          <w:szCs w:val="22"/>
        </w:rPr>
        <w:t xml:space="preserve"> including rights attaching to those </w:t>
      </w:r>
      <w:r w:rsidR="004B46BD" w:rsidRPr="00FB2F3D">
        <w:rPr>
          <w:rFonts w:ascii="Arial" w:hAnsi="Arial" w:cs="Arial"/>
          <w:sz w:val="22"/>
          <w:szCs w:val="22"/>
        </w:rPr>
        <w:t>Securities</w:t>
      </w:r>
      <w:r w:rsidRPr="00FB2F3D">
        <w:rPr>
          <w:rFonts w:ascii="Arial" w:hAnsi="Arial" w:cs="Arial"/>
          <w:sz w:val="22"/>
          <w:szCs w:val="22"/>
        </w:rPr>
        <w:t xml:space="preserve"> and the reasons for and details of the Offer;</w:t>
      </w:r>
    </w:p>
    <w:p w14:paraId="257E0DB3"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 xml:space="preserve">an </w:t>
      </w:r>
      <w:r w:rsidR="00FB37F9" w:rsidRPr="00FB2F3D">
        <w:rPr>
          <w:rFonts w:ascii="Arial" w:hAnsi="Arial" w:cs="Arial"/>
          <w:sz w:val="22"/>
          <w:szCs w:val="22"/>
        </w:rPr>
        <w:t>Offer</w:t>
      </w:r>
      <w:r w:rsidRPr="00FB2F3D">
        <w:rPr>
          <w:rFonts w:ascii="Arial" w:hAnsi="Arial" w:cs="Arial"/>
          <w:sz w:val="22"/>
          <w:szCs w:val="22"/>
        </w:rPr>
        <w:t xml:space="preserve"> where the Shares are offered, allotted or to be allotted to existing </w:t>
      </w:r>
      <w:r w:rsidR="00B46F00" w:rsidRPr="00FB2F3D">
        <w:rPr>
          <w:rFonts w:ascii="Arial" w:hAnsi="Arial" w:cs="Arial"/>
          <w:sz w:val="22"/>
          <w:szCs w:val="22"/>
        </w:rPr>
        <w:t>Shareholder</w:t>
      </w:r>
      <w:r w:rsidRPr="00FB2F3D">
        <w:rPr>
          <w:rFonts w:ascii="Arial" w:hAnsi="Arial" w:cs="Arial"/>
          <w:sz w:val="22"/>
          <w:szCs w:val="22"/>
        </w:rPr>
        <w:t xml:space="preserve">s free of charge or dividends paid out in the form of Shares of the same class as the Shares in respect of which the dividends are paid, and a document is made available containing information on the number and nature of the Shares and the reasons for and details of the </w:t>
      </w:r>
      <w:r w:rsidR="00FB37F9" w:rsidRPr="00FB2F3D">
        <w:rPr>
          <w:rFonts w:ascii="Arial" w:hAnsi="Arial" w:cs="Arial"/>
          <w:sz w:val="22"/>
          <w:szCs w:val="22"/>
        </w:rPr>
        <w:t>Offer</w:t>
      </w:r>
      <w:r w:rsidR="00AE7348">
        <w:rPr>
          <w:rFonts w:ascii="Arial" w:hAnsi="Arial" w:cs="Arial"/>
          <w:sz w:val="22"/>
          <w:szCs w:val="22"/>
        </w:rPr>
        <w:t>;</w:t>
      </w:r>
    </w:p>
    <w:p w14:paraId="6FE052AF"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lastRenderedPageBreak/>
        <w:t xml:space="preserve">an </w:t>
      </w:r>
      <w:r w:rsidR="00FB37F9" w:rsidRPr="00FB2F3D">
        <w:rPr>
          <w:rFonts w:ascii="Arial" w:hAnsi="Arial" w:cs="Arial"/>
          <w:sz w:val="22"/>
          <w:szCs w:val="22"/>
        </w:rPr>
        <w:t>Offer</w:t>
      </w:r>
      <w:r w:rsidRPr="00FB2F3D">
        <w:rPr>
          <w:rFonts w:ascii="Arial" w:hAnsi="Arial" w:cs="Arial"/>
          <w:sz w:val="22"/>
          <w:szCs w:val="22"/>
        </w:rPr>
        <w:t xml:space="preserve"> where the </w:t>
      </w:r>
      <w:r w:rsidR="004B46BD" w:rsidRPr="00FB2F3D">
        <w:rPr>
          <w:rFonts w:ascii="Arial" w:hAnsi="Arial" w:cs="Arial"/>
          <w:sz w:val="22"/>
          <w:szCs w:val="22"/>
        </w:rPr>
        <w:t>Securities</w:t>
      </w:r>
      <w:r w:rsidRPr="00FB2F3D">
        <w:rPr>
          <w:rFonts w:ascii="Arial" w:hAnsi="Arial" w:cs="Arial"/>
          <w:sz w:val="22"/>
          <w:szCs w:val="22"/>
        </w:rPr>
        <w:t xml:space="preserve"> are offered, allotted or to be allotted to an existing or former </w:t>
      </w:r>
      <w:r w:rsidR="002A1DA9" w:rsidRPr="00FB2F3D">
        <w:rPr>
          <w:rFonts w:ascii="Arial" w:hAnsi="Arial" w:cs="Arial"/>
          <w:sz w:val="22"/>
          <w:szCs w:val="22"/>
        </w:rPr>
        <w:t>Director</w:t>
      </w:r>
      <w:r w:rsidRPr="00FB2F3D">
        <w:rPr>
          <w:rFonts w:ascii="Arial" w:hAnsi="Arial" w:cs="Arial"/>
          <w:sz w:val="22"/>
          <w:szCs w:val="22"/>
        </w:rPr>
        <w:t xml:space="preserve"> or Employee, or any Close Relative of such a </w:t>
      </w:r>
      <w:r w:rsidR="002A1DA9" w:rsidRPr="00FB2F3D">
        <w:rPr>
          <w:rFonts w:ascii="Arial" w:hAnsi="Arial" w:cs="Arial"/>
          <w:sz w:val="22"/>
          <w:szCs w:val="22"/>
        </w:rPr>
        <w:t>Director</w:t>
      </w:r>
      <w:r w:rsidRPr="00FB2F3D">
        <w:rPr>
          <w:rFonts w:ascii="Arial" w:hAnsi="Arial" w:cs="Arial"/>
          <w:sz w:val="22"/>
          <w:szCs w:val="22"/>
        </w:rPr>
        <w:t xml:space="preserve"> or Employee, of the Issuer or a member of the same Group as the Issuer and:</w:t>
      </w:r>
    </w:p>
    <w:p w14:paraId="0BD0E86E" w14:textId="77777777" w:rsidR="00162E0C" w:rsidRPr="00FB2F3D" w:rsidRDefault="00162E0C" w:rsidP="00424270">
      <w:pPr>
        <w:pStyle w:val="Heading5"/>
        <w:rPr>
          <w:rFonts w:ascii="Arial" w:hAnsi="Arial" w:cs="Arial"/>
          <w:sz w:val="22"/>
          <w:szCs w:val="22"/>
        </w:rPr>
      </w:pPr>
      <w:r w:rsidRPr="00FB2F3D">
        <w:rPr>
          <w:rFonts w:ascii="Arial" w:hAnsi="Arial" w:cs="Arial"/>
          <w:sz w:val="22"/>
          <w:szCs w:val="22"/>
        </w:rPr>
        <w:t xml:space="preserve">the Issuer or the member of the Group already has its </w:t>
      </w:r>
      <w:r w:rsidR="004B46BD" w:rsidRPr="00FB2F3D">
        <w:rPr>
          <w:rFonts w:ascii="Arial" w:hAnsi="Arial" w:cs="Arial"/>
          <w:sz w:val="22"/>
          <w:szCs w:val="22"/>
        </w:rPr>
        <w:t>Securities</w:t>
      </w:r>
      <w:r w:rsidRPr="00FB2F3D">
        <w:rPr>
          <w:rFonts w:ascii="Arial" w:hAnsi="Arial" w:cs="Arial"/>
          <w:sz w:val="22"/>
          <w:szCs w:val="22"/>
        </w:rPr>
        <w:t xml:space="preserve"> admitted to trading on a Regulated Exchange; and</w:t>
      </w:r>
    </w:p>
    <w:p w14:paraId="68718A51" w14:textId="77777777" w:rsidR="00162E0C" w:rsidRDefault="00162E0C" w:rsidP="00424270">
      <w:pPr>
        <w:pStyle w:val="Heading5"/>
        <w:rPr>
          <w:rFonts w:ascii="Arial" w:hAnsi="Arial" w:cs="Arial"/>
          <w:sz w:val="22"/>
          <w:szCs w:val="22"/>
        </w:rPr>
      </w:pPr>
      <w:r w:rsidRPr="00FB2F3D">
        <w:rPr>
          <w:rFonts w:ascii="Arial" w:hAnsi="Arial" w:cs="Arial"/>
          <w:sz w:val="22"/>
          <w:szCs w:val="22"/>
        </w:rPr>
        <w:t xml:space="preserve">a document is made available to the offerees containing information on the number and nature of the </w:t>
      </w:r>
      <w:r w:rsidR="004B46BD" w:rsidRPr="00FB2F3D">
        <w:rPr>
          <w:rFonts w:ascii="Arial" w:hAnsi="Arial" w:cs="Arial"/>
          <w:sz w:val="22"/>
          <w:szCs w:val="22"/>
        </w:rPr>
        <w:t>Securities</w:t>
      </w:r>
      <w:r w:rsidRPr="00FB2F3D">
        <w:rPr>
          <w:rFonts w:ascii="Arial" w:hAnsi="Arial" w:cs="Arial"/>
          <w:sz w:val="22"/>
          <w:szCs w:val="22"/>
        </w:rPr>
        <w:t xml:space="preserve"> and the reasons for and details of the </w:t>
      </w:r>
      <w:r w:rsidR="00FB37F9" w:rsidRPr="00FB2F3D">
        <w:rPr>
          <w:rFonts w:ascii="Arial" w:hAnsi="Arial" w:cs="Arial"/>
          <w:sz w:val="22"/>
          <w:szCs w:val="22"/>
        </w:rPr>
        <w:t>Offer</w:t>
      </w:r>
      <w:r w:rsidR="00AE7348">
        <w:rPr>
          <w:rFonts w:ascii="Arial" w:hAnsi="Arial" w:cs="Arial"/>
          <w:sz w:val="22"/>
          <w:szCs w:val="22"/>
        </w:rPr>
        <w:t>; or</w:t>
      </w:r>
    </w:p>
    <w:p w14:paraId="66D434C4" w14:textId="5A25360E" w:rsidR="00AE7348" w:rsidRPr="00FB2F3D" w:rsidRDefault="00541605" w:rsidP="00AE7348">
      <w:pPr>
        <w:pStyle w:val="Heading4"/>
        <w:rPr>
          <w:rFonts w:ascii="Arial" w:hAnsi="Arial" w:cs="Arial"/>
          <w:sz w:val="22"/>
          <w:szCs w:val="22"/>
        </w:rPr>
      </w:pPr>
      <w:r>
        <w:rPr>
          <w:rFonts w:ascii="Arial" w:hAnsi="Arial" w:cs="Arial"/>
          <w:sz w:val="22"/>
          <w:szCs w:val="22"/>
        </w:rPr>
        <w:t xml:space="preserve">other than in relation to Debentures and Sukuk, </w:t>
      </w:r>
      <w:r w:rsidR="00AE7348">
        <w:rPr>
          <w:rFonts w:ascii="Arial" w:hAnsi="Arial" w:cs="Arial"/>
          <w:sz w:val="22"/>
          <w:szCs w:val="22"/>
        </w:rPr>
        <w:t xml:space="preserve">an Offer </w:t>
      </w:r>
      <w:r w:rsidR="00F1203C" w:rsidRPr="00F1203C">
        <w:rPr>
          <w:rFonts w:ascii="Arial" w:hAnsi="Arial" w:cs="Arial"/>
          <w:sz w:val="22"/>
          <w:szCs w:val="22"/>
        </w:rPr>
        <w:t>in or from the ADGM which is directed at no more than 200 Persons that are not Professional Clients or Market Counterparties, in circumstances where the Securities are, or have been, offered within a Private Financing Platform or via a Multilateral Trading Facility.</w:t>
      </w:r>
    </w:p>
    <w:p w14:paraId="75F94041" w14:textId="3490C3E3" w:rsidR="00162E0C" w:rsidRPr="00FB2F3D" w:rsidRDefault="00162E0C" w:rsidP="0061693E">
      <w:pPr>
        <w:pStyle w:val="Heading3"/>
        <w:rPr>
          <w:rFonts w:ascii="Arial" w:hAnsi="Arial" w:cs="Arial"/>
          <w:sz w:val="22"/>
          <w:szCs w:val="22"/>
        </w:rPr>
      </w:pPr>
      <w:r w:rsidRPr="00FB2F3D">
        <w:rPr>
          <w:rFonts w:ascii="Arial" w:hAnsi="Arial" w:cs="Arial"/>
          <w:sz w:val="22"/>
          <w:szCs w:val="22"/>
        </w:rPr>
        <w:t xml:space="preserve">Where any </w:t>
      </w:r>
      <w:r w:rsidR="004B46BD" w:rsidRPr="00FB2F3D">
        <w:rPr>
          <w:rFonts w:ascii="Arial" w:hAnsi="Arial" w:cs="Arial"/>
          <w:sz w:val="22"/>
          <w:szCs w:val="22"/>
        </w:rPr>
        <w:t>Securities</w:t>
      </w:r>
      <w:r w:rsidRPr="00FB2F3D">
        <w:rPr>
          <w:rFonts w:ascii="Arial" w:hAnsi="Arial" w:cs="Arial"/>
          <w:sz w:val="22"/>
          <w:szCs w:val="22"/>
        </w:rPr>
        <w:t xml:space="preserve">, which were previously the subject of an Exempt Offer, are subsequently offered, such a subsequent </w:t>
      </w:r>
      <w:r w:rsidR="00FB37F9" w:rsidRPr="00FB2F3D">
        <w:rPr>
          <w:rFonts w:ascii="Arial" w:hAnsi="Arial" w:cs="Arial"/>
          <w:sz w:val="22"/>
          <w:szCs w:val="22"/>
        </w:rPr>
        <w:t>Offer</w:t>
      </w:r>
      <w:r w:rsidRPr="00FB2F3D">
        <w:rPr>
          <w:rFonts w:ascii="Arial" w:hAnsi="Arial" w:cs="Arial"/>
          <w:sz w:val="22"/>
          <w:szCs w:val="22"/>
        </w:rPr>
        <w:t xml:space="preserve"> will be regarded, for the purposes of </w:t>
      </w:r>
      <w:r w:rsidR="00A1188A" w:rsidRPr="00FB2F3D">
        <w:rPr>
          <w:rFonts w:ascii="Arial" w:hAnsi="Arial" w:cs="Arial"/>
          <w:sz w:val="22"/>
          <w:szCs w:val="22"/>
        </w:rPr>
        <w:t>Part 6</w:t>
      </w:r>
      <w:r w:rsidRPr="00FB2F3D">
        <w:rPr>
          <w:rFonts w:ascii="Arial" w:hAnsi="Arial" w:cs="Arial"/>
          <w:sz w:val="22"/>
          <w:szCs w:val="22"/>
        </w:rPr>
        <w:t xml:space="preserve"> of the FSMR and the Rules made for the purposes of that Part, as a separate and new Offer of </w:t>
      </w:r>
      <w:r w:rsidR="004B46BD" w:rsidRPr="00FB2F3D">
        <w:rPr>
          <w:rFonts w:ascii="Arial" w:hAnsi="Arial" w:cs="Arial"/>
          <w:sz w:val="22"/>
          <w:szCs w:val="22"/>
        </w:rPr>
        <w:t>Securities</w:t>
      </w:r>
      <w:r w:rsidRPr="00FB2F3D">
        <w:rPr>
          <w:rFonts w:ascii="Arial" w:hAnsi="Arial" w:cs="Arial"/>
          <w:sz w:val="22"/>
          <w:szCs w:val="22"/>
        </w:rPr>
        <w:t xml:space="preserve">, unless that </w:t>
      </w:r>
      <w:r w:rsidR="00FB37F9" w:rsidRPr="00FB2F3D">
        <w:rPr>
          <w:rFonts w:ascii="Arial" w:hAnsi="Arial" w:cs="Arial"/>
          <w:sz w:val="22"/>
          <w:szCs w:val="22"/>
        </w:rPr>
        <w:t>Offer</w:t>
      </w:r>
      <w:r w:rsidRPr="00FB2F3D">
        <w:rPr>
          <w:rFonts w:ascii="Arial" w:hAnsi="Arial" w:cs="Arial"/>
          <w:sz w:val="22"/>
          <w:szCs w:val="22"/>
        </w:rPr>
        <w:t xml:space="preserve"> meets one of the criteria in Rule </w:t>
      </w:r>
      <w:r w:rsidR="00693841" w:rsidRPr="00FB2F3D">
        <w:rPr>
          <w:rFonts w:ascii="Arial" w:hAnsi="Arial" w:cs="Arial"/>
          <w:sz w:val="22"/>
          <w:szCs w:val="22"/>
        </w:rPr>
        <w:t>4.3.1</w:t>
      </w:r>
      <w:r w:rsidRPr="00FB2F3D">
        <w:rPr>
          <w:rFonts w:ascii="Arial" w:hAnsi="Arial" w:cs="Arial"/>
          <w:sz w:val="22"/>
          <w:szCs w:val="22"/>
        </w:rPr>
        <w:t>.</w:t>
      </w:r>
    </w:p>
    <w:p w14:paraId="762303E2" w14:textId="77777777" w:rsidR="00162E0C" w:rsidRDefault="00167572" w:rsidP="00167572">
      <w:pPr>
        <w:pStyle w:val="Heading3"/>
        <w:tabs>
          <w:tab w:val="clear" w:pos="720"/>
          <w:tab w:val="left" w:pos="709"/>
        </w:tabs>
        <w:ind w:left="1418" w:hanging="1418"/>
        <w:rPr>
          <w:rFonts w:ascii="Arial" w:hAnsi="Arial" w:cs="Arial"/>
          <w:sz w:val="22"/>
          <w:szCs w:val="22"/>
        </w:rPr>
      </w:pPr>
      <w:r>
        <w:rPr>
          <w:rFonts w:ascii="Arial" w:hAnsi="Arial" w:cs="Arial"/>
          <w:sz w:val="22"/>
          <w:szCs w:val="22"/>
        </w:rPr>
        <w:t>(1)</w:t>
      </w:r>
      <w:r>
        <w:rPr>
          <w:rFonts w:ascii="Arial" w:hAnsi="Arial" w:cs="Arial"/>
          <w:sz w:val="22"/>
          <w:szCs w:val="22"/>
        </w:rPr>
        <w:tab/>
        <w:t>Subject to (2), a</w:t>
      </w:r>
      <w:r w:rsidR="00162E0C" w:rsidRPr="00FB2F3D">
        <w:rPr>
          <w:rFonts w:ascii="Arial" w:hAnsi="Arial" w:cs="Arial"/>
          <w:sz w:val="22"/>
          <w:szCs w:val="22"/>
        </w:rPr>
        <w:t xml:space="preserve">n </w:t>
      </w:r>
      <w:r w:rsidR="00FB37F9" w:rsidRPr="00FB2F3D">
        <w:rPr>
          <w:rFonts w:ascii="Arial" w:hAnsi="Arial" w:cs="Arial"/>
          <w:sz w:val="22"/>
          <w:szCs w:val="22"/>
        </w:rPr>
        <w:t>Offer</w:t>
      </w:r>
      <w:r w:rsidR="00162E0C" w:rsidRPr="00FB2F3D">
        <w:rPr>
          <w:rFonts w:ascii="Arial" w:hAnsi="Arial" w:cs="Arial"/>
          <w:sz w:val="22"/>
          <w:szCs w:val="22"/>
        </w:rPr>
        <w:t xml:space="preserve"> of </w:t>
      </w:r>
      <w:r w:rsidR="004B46BD" w:rsidRPr="00FB2F3D">
        <w:rPr>
          <w:rFonts w:ascii="Arial" w:hAnsi="Arial" w:cs="Arial"/>
          <w:sz w:val="22"/>
          <w:szCs w:val="22"/>
        </w:rPr>
        <w:t>Securities</w:t>
      </w:r>
      <w:r w:rsidR="00162E0C" w:rsidRPr="00FB2F3D">
        <w:rPr>
          <w:rFonts w:ascii="Arial" w:hAnsi="Arial" w:cs="Arial"/>
          <w:sz w:val="22"/>
          <w:szCs w:val="22"/>
        </w:rPr>
        <w:t xml:space="preserve"> remains an Exempt Offer even if the </w:t>
      </w:r>
      <w:r w:rsidR="00FB37F9" w:rsidRPr="00FB2F3D">
        <w:rPr>
          <w:rFonts w:ascii="Arial" w:hAnsi="Arial" w:cs="Arial"/>
          <w:sz w:val="22"/>
          <w:szCs w:val="22"/>
        </w:rPr>
        <w:t>Offer</w:t>
      </w:r>
      <w:r w:rsidR="00162E0C" w:rsidRPr="00FB2F3D">
        <w:rPr>
          <w:rFonts w:ascii="Arial" w:hAnsi="Arial" w:cs="Arial"/>
          <w:sz w:val="22"/>
          <w:szCs w:val="22"/>
        </w:rPr>
        <w:t xml:space="preserve"> falls in whole or part within more than one of the circumstances specified in Rule </w:t>
      </w:r>
      <w:r w:rsidR="00693841" w:rsidRPr="00FB2F3D">
        <w:rPr>
          <w:rFonts w:ascii="Arial" w:hAnsi="Arial" w:cs="Arial"/>
          <w:sz w:val="22"/>
          <w:szCs w:val="22"/>
        </w:rPr>
        <w:t>4.3.1</w:t>
      </w:r>
      <w:r w:rsidR="00162E0C" w:rsidRPr="00FB2F3D">
        <w:rPr>
          <w:rFonts w:ascii="Arial" w:hAnsi="Arial" w:cs="Arial"/>
          <w:sz w:val="22"/>
          <w:szCs w:val="22"/>
        </w:rPr>
        <w:t xml:space="preserve">, as long as all of the </w:t>
      </w:r>
      <w:r w:rsidR="00FB37F9" w:rsidRPr="00FB2F3D">
        <w:rPr>
          <w:rFonts w:ascii="Arial" w:hAnsi="Arial" w:cs="Arial"/>
          <w:sz w:val="22"/>
          <w:szCs w:val="22"/>
        </w:rPr>
        <w:t>Offer</w:t>
      </w:r>
      <w:r w:rsidR="00162E0C" w:rsidRPr="00FB2F3D">
        <w:rPr>
          <w:rFonts w:ascii="Arial" w:hAnsi="Arial" w:cs="Arial"/>
          <w:sz w:val="22"/>
          <w:szCs w:val="22"/>
        </w:rPr>
        <w:t xml:space="preserve"> falls within at least one of those circumstances.</w:t>
      </w:r>
    </w:p>
    <w:p w14:paraId="3858E21F" w14:textId="77777777" w:rsidR="00167572" w:rsidRPr="00FB2F3D" w:rsidRDefault="00167572" w:rsidP="002F403C">
      <w:pPr>
        <w:pStyle w:val="Heading3"/>
        <w:numPr>
          <w:ilvl w:val="0"/>
          <w:numId w:val="0"/>
        </w:numPr>
        <w:ind w:left="1418" w:hanging="709"/>
        <w:rPr>
          <w:rFonts w:ascii="Arial" w:hAnsi="Arial" w:cs="Arial"/>
          <w:sz w:val="22"/>
          <w:szCs w:val="22"/>
        </w:rPr>
      </w:pPr>
      <w:r>
        <w:rPr>
          <w:rFonts w:ascii="Arial" w:hAnsi="Arial" w:cs="Arial"/>
          <w:sz w:val="22"/>
          <w:szCs w:val="22"/>
        </w:rPr>
        <w:t>(2)</w:t>
      </w:r>
      <w:r>
        <w:rPr>
          <w:rFonts w:ascii="Arial" w:hAnsi="Arial" w:cs="Arial"/>
          <w:sz w:val="22"/>
          <w:szCs w:val="22"/>
        </w:rPr>
        <w:tab/>
        <w:t>An Issuer must not aggregate the limits contained in Rule 4.3.1(2) and Rule 4.3.1(13) when making an Exempt Offer.</w:t>
      </w:r>
    </w:p>
    <w:p w14:paraId="44E7A431" w14:textId="77777777" w:rsidR="00846574" w:rsidRPr="00FB2F3D" w:rsidRDefault="00846574" w:rsidP="00846574">
      <w:pPr>
        <w:pStyle w:val="Heading3"/>
        <w:numPr>
          <w:ilvl w:val="0"/>
          <w:numId w:val="0"/>
        </w:numPr>
        <w:ind w:left="720" w:hanging="630"/>
        <w:rPr>
          <w:rFonts w:ascii="Arial" w:hAnsi="Arial" w:cs="Arial"/>
          <w:iCs/>
          <w:sz w:val="22"/>
          <w:szCs w:val="22"/>
        </w:rPr>
      </w:pPr>
      <w:r w:rsidRPr="00FB2F3D">
        <w:rPr>
          <w:rFonts w:ascii="Arial" w:eastAsia="Times New Roman" w:hAnsi="Arial" w:cs="Arial"/>
          <w:b/>
          <w:bCs w:val="0"/>
          <w:iCs/>
          <w:color w:val="000000" w:themeColor="text1"/>
          <w:sz w:val="22"/>
          <w:szCs w:val="22"/>
          <w:lang w:eastAsia="ar-SA"/>
        </w:rPr>
        <w:t>4.3.4</w:t>
      </w:r>
      <w:r w:rsidRPr="00FB2F3D">
        <w:rPr>
          <w:rFonts w:ascii="Arial" w:eastAsia="Times New Roman" w:hAnsi="Arial" w:cs="Arial"/>
          <w:iCs/>
          <w:color w:val="000000" w:themeColor="text1"/>
          <w:sz w:val="22"/>
          <w:szCs w:val="22"/>
          <w:lang w:eastAsia="ar-SA"/>
        </w:rPr>
        <w:tab/>
        <w:t>A Person making an Exempt Offer must ensure that an exempt offer statement is included in the Exempt Offer Document. An exempt offer statement must contain the following statement displayed prominently on its front page:</w:t>
      </w:r>
    </w:p>
    <w:p w14:paraId="0592B8FB" w14:textId="77777777" w:rsidR="00846574" w:rsidRPr="00FB2F3D" w:rsidRDefault="00846574" w:rsidP="00846574">
      <w:pPr>
        <w:ind w:left="720"/>
        <w:jc w:val="both"/>
        <w:rPr>
          <w:rFonts w:ascii="Arial" w:eastAsia="Times New Roman" w:hAnsi="Arial" w:cs="Arial"/>
          <w:i/>
          <w:color w:val="000000" w:themeColor="text1"/>
          <w:sz w:val="22"/>
          <w:szCs w:val="22"/>
          <w:lang w:eastAsia="ar-SA"/>
        </w:rPr>
      </w:pPr>
      <w:r w:rsidRPr="00FB2F3D">
        <w:rPr>
          <w:rFonts w:ascii="Arial" w:eastAsia="Times New Roman" w:hAnsi="Arial" w:cs="Arial"/>
          <w:i/>
          <w:color w:val="000000" w:themeColor="text1"/>
          <w:sz w:val="22"/>
          <w:szCs w:val="22"/>
          <w:lang w:eastAsia="ar-SA"/>
        </w:rPr>
        <w:t>‘This offer document is an Exempt Offer in accordance with the Market Rules of the ADGM Financial Services Regulatory Authority.</w:t>
      </w:r>
    </w:p>
    <w:p w14:paraId="68CF2C1B" w14:textId="77777777" w:rsidR="00846574" w:rsidRPr="00FB2F3D" w:rsidRDefault="00846574" w:rsidP="00846574">
      <w:pPr>
        <w:ind w:left="720"/>
        <w:jc w:val="both"/>
        <w:rPr>
          <w:rFonts w:ascii="Arial" w:eastAsia="Times New Roman" w:hAnsi="Arial" w:cs="Arial"/>
          <w:i/>
          <w:color w:val="000000" w:themeColor="text1"/>
          <w:sz w:val="22"/>
          <w:szCs w:val="22"/>
          <w:lang w:eastAsia="ar-SA"/>
        </w:rPr>
      </w:pPr>
    </w:p>
    <w:p w14:paraId="6EDBE71D" w14:textId="77777777" w:rsidR="00846574" w:rsidRPr="00FB2F3D" w:rsidRDefault="00846574" w:rsidP="00846574">
      <w:pPr>
        <w:ind w:left="720"/>
        <w:jc w:val="both"/>
        <w:rPr>
          <w:rFonts w:ascii="Arial" w:eastAsia="Times New Roman" w:hAnsi="Arial" w:cs="Arial"/>
          <w:i/>
          <w:color w:val="000000" w:themeColor="text1"/>
          <w:sz w:val="22"/>
          <w:szCs w:val="22"/>
          <w:lang w:eastAsia="ar-SA"/>
        </w:rPr>
      </w:pPr>
      <w:r w:rsidRPr="00FB2F3D">
        <w:rPr>
          <w:rFonts w:ascii="Arial" w:eastAsia="Times New Roman" w:hAnsi="Arial" w:cs="Arial"/>
          <w:i/>
          <w:color w:val="000000" w:themeColor="text1"/>
          <w:sz w:val="22"/>
          <w:szCs w:val="22"/>
          <w:lang w:eastAsia="ar-SA"/>
        </w:rPr>
        <w:t>This Exempt Offer document is intended for distribution only to Persons of a type specified in the Market Rules. It must not be delivered to, or relied on by, any other Person.</w:t>
      </w:r>
    </w:p>
    <w:p w14:paraId="053E458A" w14:textId="77777777" w:rsidR="00846574" w:rsidRPr="00FB2F3D" w:rsidRDefault="00846574" w:rsidP="00846574">
      <w:pPr>
        <w:ind w:left="720"/>
        <w:jc w:val="both"/>
        <w:rPr>
          <w:rFonts w:ascii="Arial" w:eastAsia="Times New Roman" w:hAnsi="Arial" w:cs="Arial"/>
          <w:i/>
          <w:color w:val="000000" w:themeColor="text1"/>
          <w:sz w:val="22"/>
          <w:szCs w:val="22"/>
          <w:lang w:eastAsia="ar-SA"/>
        </w:rPr>
      </w:pPr>
    </w:p>
    <w:p w14:paraId="40FE784E" w14:textId="5ED9A5E7" w:rsidR="00846574" w:rsidRPr="00FB2F3D" w:rsidRDefault="00846574" w:rsidP="00846574">
      <w:pPr>
        <w:ind w:left="720"/>
        <w:jc w:val="both"/>
        <w:rPr>
          <w:rFonts w:ascii="Arial" w:eastAsia="Times New Roman" w:hAnsi="Arial" w:cs="Arial"/>
          <w:i/>
          <w:color w:val="000000" w:themeColor="text1"/>
          <w:sz w:val="22"/>
          <w:szCs w:val="22"/>
          <w:lang w:eastAsia="ar-SA"/>
        </w:rPr>
      </w:pPr>
      <w:r w:rsidRPr="00FB2F3D">
        <w:rPr>
          <w:rFonts w:ascii="Arial" w:eastAsia="Times New Roman" w:hAnsi="Arial" w:cs="Arial"/>
          <w:i/>
          <w:color w:val="000000" w:themeColor="text1"/>
          <w:sz w:val="22"/>
          <w:szCs w:val="22"/>
          <w:lang w:eastAsia="ar-SA"/>
        </w:rPr>
        <w:t>The ADGM Financial Services Regulatory Authority has no responsibility for reviewing or verifying any documents in connection with</w:t>
      </w:r>
      <w:r w:rsidR="00541605">
        <w:rPr>
          <w:rFonts w:ascii="Arial" w:eastAsia="Times New Roman" w:hAnsi="Arial" w:cs="Arial"/>
          <w:i/>
          <w:color w:val="000000" w:themeColor="text1"/>
          <w:sz w:val="22"/>
          <w:szCs w:val="22"/>
          <w:lang w:eastAsia="ar-SA"/>
        </w:rPr>
        <w:t xml:space="preserve"> an</w:t>
      </w:r>
      <w:r w:rsidRPr="00FB2F3D">
        <w:rPr>
          <w:rFonts w:ascii="Arial" w:eastAsia="Times New Roman" w:hAnsi="Arial" w:cs="Arial"/>
          <w:i/>
          <w:color w:val="000000" w:themeColor="text1"/>
          <w:sz w:val="22"/>
          <w:szCs w:val="22"/>
          <w:lang w:eastAsia="ar-SA"/>
        </w:rPr>
        <w:t xml:space="preserve"> Exempt Offer. The ADGM Financial Services Regulatory Authority has not approved this Exempt Offer document nor taken steps to verify the information set out in it, and has no responsibility for it.</w:t>
      </w:r>
    </w:p>
    <w:p w14:paraId="7D5A1283" w14:textId="77777777" w:rsidR="00846574" w:rsidRPr="00FB2F3D" w:rsidRDefault="00846574" w:rsidP="00846574">
      <w:pPr>
        <w:ind w:left="720"/>
        <w:jc w:val="both"/>
        <w:rPr>
          <w:rFonts w:ascii="Arial" w:eastAsia="Times New Roman" w:hAnsi="Arial" w:cs="Arial"/>
          <w:i/>
          <w:color w:val="000000" w:themeColor="text1"/>
          <w:sz w:val="22"/>
          <w:szCs w:val="22"/>
          <w:lang w:eastAsia="ar-SA"/>
        </w:rPr>
      </w:pPr>
    </w:p>
    <w:p w14:paraId="0385250D" w14:textId="77777777" w:rsidR="00846574" w:rsidRPr="00FB2F3D" w:rsidRDefault="00846574" w:rsidP="00846574">
      <w:pPr>
        <w:ind w:left="720"/>
        <w:jc w:val="both"/>
        <w:rPr>
          <w:rFonts w:ascii="Arial" w:eastAsia="Times New Roman" w:hAnsi="Arial" w:cs="Arial"/>
          <w:i/>
          <w:color w:val="000000" w:themeColor="text1"/>
          <w:sz w:val="22"/>
          <w:szCs w:val="22"/>
          <w:lang w:eastAsia="ar-SA"/>
        </w:rPr>
      </w:pPr>
      <w:r w:rsidRPr="00FB2F3D">
        <w:rPr>
          <w:rFonts w:ascii="Arial" w:eastAsia="Times New Roman" w:hAnsi="Arial" w:cs="Arial"/>
          <w:i/>
          <w:color w:val="000000" w:themeColor="text1"/>
          <w:sz w:val="22"/>
          <w:szCs w:val="22"/>
          <w:lang w:eastAsia="ar-SA"/>
        </w:rPr>
        <w:t>The Securities to which this Exempt Offer relates may be illiquid and/or subject to restrictions on their resale. Prospective purchasers of the Securities offered should conduct their own due diligence on the Securities.</w:t>
      </w:r>
    </w:p>
    <w:p w14:paraId="25EB2822" w14:textId="77777777" w:rsidR="00846574" w:rsidRPr="00FB2F3D" w:rsidRDefault="00846574" w:rsidP="00846574">
      <w:pPr>
        <w:tabs>
          <w:tab w:val="left" w:pos="2867"/>
        </w:tabs>
        <w:ind w:left="720"/>
        <w:jc w:val="both"/>
        <w:rPr>
          <w:rFonts w:ascii="Arial" w:eastAsia="Times New Roman" w:hAnsi="Arial" w:cs="Arial"/>
          <w:i/>
          <w:color w:val="000000" w:themeColor="text1"/>
          <w:sz w:val="22"/>
          <w:szCs w:val="22"/>
          <w:lang w:eastAsia="ar-SA"/>
        </w:rPr>
      </w:pPr>
    </w:p>
    <w:p w14:paraId="496F73F9" w14:textId="77777777" w:rsidR="00846574" w:rsidRDefault="00846574" w:rsidP="00846574">
      <w:pPr>
        <w:pStyle w:val="Heading3"/>
        <w:numPr>
          <w:ilvl w:val="0"/>
          <w:numId w:val="0"/>
        </w:numPr>
        <w:ind w:left="720"/>
        <w:rPr>
          <w:rFonts w:ascii="Arial" w:eastAsia="Times New Roman" w:hAnsi="Arial" w:cs="Arial"/>
          <w:i/>
          <w:color w:val="000000" w:themeColor="text1"/>
          <w:sz w:val="22"/>
          <w:szCs w:val="22"/>
          <w:lang w:eastAsia="ar-SA"/>
        </w:rPr>
      </w:pPr>
      <w:r w:rsidRPr="00FB2F3D">
        <w:rPr>
          <w:rFonts w:ascii="Arial" w:eastAsia="Times New Roman" w:hAnsi="Arial" w:cs="Arial"/>
          <w:i/>
          <w:color w:val="000000" w:themeColor="text1"/>
          <w:sz w:val="22"/>
          <w:szCs w:val="22"/>
          <w:lang w:eastAsia="ar-SA"/>
        </w:rPr>
        <w:t>If you do not understand the contents of this Exempt Offer document you should consult an authorised financial advisor.’</w:t>
      </w:r>
    </w:p>
    <w:p w14:paraId="53C0E635" w14:textId="77777777" w:rsidR="002F403C" w:rsidRPr="002F403C" w:rsidRDefault="002F403C" w:rsidP="002F403C">
      <w:pPr>
        <w:tabs>
          <w:tab w:val="left" w:pos="709"/>
        </w:tabs>
        <w:spacing w:after="240" w:line="246" w:lineRule="atLeast"/>
        <w:ind w:left="709" w:hanging="709"/>
        <w:rPr>
          <w:rFonts w:ascii="Arial" w:eastAsia="Times New Roman" w:hAnsi="Arial" w:cs="Arial"/>
          <w:bCs/>
          <w:iCs/>
          <w:color w:val="000000" w:themeColor="text1"/>
          <w:sz w:val="22"/>
          <w:szCs w:val="22"/>
          <w:lang w:eastAsia="ar-SA"/>
        </w:rPr>
      </w:pPr>
      <w:r w:rsidRPr="002F403C">
        <w:rPr>
          <w:rFonts w:ascii="Arial" w:eastAsia="Times New Roman" w:hAnsi="Arial" w:cs="Arial"/>
          <w:b/>
          <w:iCs/>
          <w:color w:val="000000" w:themeColor="text1"/>
          <w:sz w:val="22"/>
          <w:szCs w:val="22"/>
          <w:lang w:eastAsia="ar-SA"/>
        </w:rPr>
        <w:t>4.3.5</w:t>
      </w:r>
      <w:r w:rsidRPr="002F403C">
        <w:rPr>
          <w:rFonts w:ascii="Arial" w:eastAsia="Times New Roman" w:hAnsi="Arial" w:cs="Arial"/>
          <w:bCs/>
          <w:iCs/>
          <w:color w:val="000000" w:themeColor="text1"/>
          <w:sz w:val="22"/>
          <w:szCs w:val="22"/>
          <w:lang w:eastAsia="ar-SA"/>
        </w:rPr>
        <w:tab/>
        <w:t>Pursuant to an Exempt Offer under Rule 4.3.1(13), the Issuer must provide a Product Summary Note to investors in accordance with the following requirements:</w:t>
      </w:r>
    </w:p>
    <w:p w14:paraId="2A4C556C" w14:textId="77777777" w:rsidR="002F403C" w:rsidRPr="002F403C" w:rsidRDefault="002F403C" w:rsidP="002F403C">
      <w:pPr>
        <w:pStyle w:val="Heading4"/>
        <w:rPr>
          <w:rFonts w:ascii="Arial" w:hAnsi="Arial" w:cs="Arial"/>
          <w:sz w:val="22"/>
          <w:szCs w:val="22"/>
        </w:rPr>
      </w:pPr>
      <w:r w:rsidRPr="002F403C">
        <w:rPr>
          <w:rFonts w:ascii="Arial" w:hAnsi="Arial" w:cs="Arial"/>
          <w:sz w:val="22"/>
          <w:szCs w:val="22"/>
        </w:rPr>
        <w:lastRenderedPageBreak/>
        <w:t>The Product Summary Note must:</w:t>
      </w:r>
    </w:p>
    <w:p w14:paraId="4D75E5BA" w14:textId="77777777" w:rsidR="002F403C" w:rsidRPr="00A47247" w:rsidRDefault="002F403C" w:rsidP="00A47247">
      <w:pPr>
        <w:pStyle w:val="Heading5"/>
        <w:rPr>
          <w:rFonts w:ascii="Arial" w:hAnsi="Arial" w:cs="Arial"/>
          <w:sz w:val="22"/>
          <w:szCs w:val="22"/>
        </w:rPr>
      </w:pPr>
      <w:r w:rsidRPr="00A47247">
        <w:rPr>
          <w:rFonts w:ascii="Arial" w:hAnsi="Arial" w:cs="Arial"/>
          <w:sz w:val="22"/>
          <w:szCs w:val="22"/>
        </w:rPr>
        <w:t xml:space="preserve">highlight key information in the Offer document to investors; </w:t>
      </w:r>
    </w:p>
    <w:p w14:paraId="3EFAF413" w14:textId="77777777" w:rsidR="002F403C" w:rsidRPr="00A47247" w:rsidRDefault="002F403C" w:rsidP="00A47247">
      <w:pPr>
        <w:pStyle w:val="Heading5"/>
        <w:rPr>
          <w:rFonts w:ascii="Arial" w:hAnsi="Arial" w:cs="Arial"/>
          <w:sz w:val="22"/>
          <w:szCs w:val="22"/>
        </w:rPr>
      </w:pPr>
      <w:r w:rsidRPr="00A47247">
        <w:rPr>
          <w:rFonts w:ascii="Arial" w:hAnsi="Arial" w:cs="Arial"/>
          <w:sz w:val="22"/>
          <w:szCs w:val="22"/>
        </w:rPr>
        <w:t>clearly disclose required information in the format as set out in APP 7;</w:t>
      </w:r>
    </w:p>
    <w:p w14:paraId="3C725F22" w14:textId="77777777" w:rsidR="002F403C" w:rsidRPr="00A47247" w:rsidRDefault="002F403C" w:rsidP="00A47247">
      <w:pPr>
        <w:pStyle w:val="Heading5"/>
        <w:rPr>
          <w:rFonts w:ascii="Arial" w:hAnsi="Arial" w:cs="Arial"/>
          <w:sz w:val="22"/>
          <w:szCs w:val="22"/>
        </w:rPr>
      </w:pPr>
      <w:r w:rsidRPr="00A47247">
        <w:rPr>
          <w:rFonts w:ascii="Arial" w:hAnsi="Arial" w:cs="Arial"/>
          <w:sz w:val="22"/>
          <w:szCs w:val="22"/>
        </w:rPr>
        <w:t xml:space="preserve">give a fair and balanced view of the nature, material benefits and material risks of the Securities offered; </w:t>
      </w:r>
    </w:p>
    <w:p w14:paraId="0AB87A37" w14:textId="77777777" w:rsidR="002F403C" w:rsidRPr="00A47247" w:rsidRDefault="002F403C" w:rsidP="00A47247">
      <w:pPr>
        <w:pStyle w:val="Heading5"/>
        <w:rPr>
          <w:rFonts w:ascii="Arial" w:hAnsi="Arial" w:cs="Arial"/>
          <w:sz w:val="22"/>
          <w:szCs w:val="22"/>
        </w:rPr>
      </w:pPr>
      <w:r w:rsidRPr="00A47247">
        <w:rPr>
          <w:rFonts w:ascii="Arial" w:hAnsi="Arial" w:cs="Arial"/>
          <w:sz w:val="22"/>
          <w:szCs w:val="22"/>
        </w:rPr>
        <w:t xml:space="preserve">not contain any statement or information that is false or misleading in the form and context in which it is included; </w:t>
      </w:r>
    </w:p>
    <w:p w14:paraId="623541CE" w14:textId="77777777" w:rsidR="002F403C" w:rsidRPr="00A47247" w:rsidRDefault="002F403C" w:rsidP="00A47247">
      <w:pPr>
        <w:pStyle w:val="Heading5"/>
        <w:rPr>
          <w:rFonts w:ascii="Arial" w:hAnsi="Arial" w:cs="Arial"/>
          <w:sz w:val="22"/>
          <w:szCs w:val="22"/>
        </w:rPr>
      </w:pPr>
      <w:r w:rsidRPr="00A47247">
        <w:rPr>
          <w:rFonts w:ascii="Arial" w:hAnsi="Arial" w:cs="Arial"/>
          <w:sz w:val="22"/>
          <w:szCs w:val="22"/>
        </w:rPr>
        <w:t>be given together with the Offer document to investors. If the Issuer makes the Offer document available online, the Product Summary Note must be made available online together with the Offer document;</w:t>
      </w:r>
    </w:p>
    <w:p w14:paraId="302A7406" w14:textId="77777777" w:rsidR="002F403C" w:rsidRPr="00A47247" w:rsidRDefault="002F403C" w:rsidP="00A47247">
      <w:pPr>
        <w:pStyle w:val="Heading5"/>
        <w:rPr>
          <w:rFonts w:ascii="Arial" w:hAnsi="Arial" w:cs="Arial"/>
          <w:sz w:val="22"/>
          <w:szCs w:val="22"/>
        </w:rPr>
      </w:pPr>
      <w:r w:rsidRPr="00A47247">
        <w:rPr>
          <w:rFonts w:ascii="Arial" w:hAnsi="Arial" w:cs="Arial"/>
          <w:sz w:val="22"/>
          <w:szCs w:val="22"/>
        </w:rPr>
        <w:t xml:space="preserve">not contain any information that is not contained in the Offer document; </w:t>
      </w:r>
    </w:p>
    <w:p w14:paraId="67B1CB24" w14:textId="77777777" w:rsidR="002F403C" w:rsidRPr="00A47247" w:rsidRDefault="002F403C" w:rsidP="00A47247">
      <w:pPr>
        <w:pStyle w:val="Heading5"/>
        <w:rPr>
          <w:rFonts w:ascii="Arial" w:hAnsi="Arial" w:cs="Arial"/>
          <w:sz w:val="22"/>
          <w:szCs w:val="22"/>
        </w:rPr>
      </w:pPr>
      <w:r w:rsidRPr="00A47247">
        <w:rPr>
          <w:rFonts w:ascii="Arial" w:hAnsi="Arial" w:cs="Arial"/>
          <w:sz w:val="22"/>
          <w:szCs w:val="22"/>
        </w:rPr>
        <w:t xml:space="preserve">not contain any Inside Information that differs in any material particular from that set out in the Offer document; and </w:t>
      </w:r>
    </w:p>
    <w:p w14:paraId="2ACB106D" w14:textId="77777777" w:rsidR="002F403C" w:rsidRPr="00A47247" w:rsidRDefault="002F403C" w:rsidP="00A47247">
      <w:pPr>
        <w:pStyle w:val="Heading5"/>
        <w:rPr>
          <w:rFonts w:ascii="Arial" w:hAnsi="Arial" w:cs="Arial"/>
          <w:sz w:val="22"/>
          <w:szCs w:val="22"/>
        </w:rPr>
      </w:pPr>
      <w:r w:rsidRPr="00A47247">
        <w:rPr>
          <w:rFonts w:ascii="Arial" w:hAnsi="Arial" w:cs="Arial"/>
          <w:sz w:val="22"/>
          <w:szCs w:val="22"/>
        </w:rPr>
        <w:t xml:space="preserve">not omit any information from any part of the Product Summary Note which would result in that part of the Product Summary Note being construed as false or misleading. </w:t>
      </w:r>
    </w:p>
    <w:p w14:paraId="4B41F219" w14:textId="77777777" w:rsidR="002F403C" w:rsidRPr="002F403C" w:rsidRDefault="002F403C" w:rsidP="002F403C">
      <w:pPr>
        <w:pStyle w:val="Heading4"/>
        <w:rPr>
          <w:rFonts w:ascii="Arial" w:hAnsi="Arial" w:cs="Arial"/>
          <w:sz w:val="22"/>
          <w:szCs w:val="22"/>
        </w:rPr>
      </w:pPr>
      <w:r w:rsidRPr="002F403C">
        <w:rPr>
          <w:rFonts w:ascii="Arial" w:hAnsi="Arial" w:cs="Arial"/>
          <w:sz w:val="22"/>
          <w:szCs w:val="22"/>
        </w:rPr>
        <w:t xml:space="preserve">The Product Summary Note shall contain the prominent disclaimer set out in Rule 4.3.4 in bold, on its front. </w:t>
      </w:r>
    </w:p>
    <w:p w14:paraId="3BF19461" w14:textId="77777777" w:rsidR="002F403C" w:rsidRPr="002F403C" w:rsidRDefault="002F403C" w:rsidP="002F403C">
      <w:pPr>
        <w:pStyle w:val="Heading4"/>
        <w:rPr>
          <w:rFonts w:ascii="Arial" w:hAnsi="Arial" w:cs="Arial"/>
          <w:sz w:val="22"/>
          <w:szCs w:val="22"/>
        </w:rPr>
      </w:pPr>
      <w:r w:rsidRPr="002F403C">
        <w:rPr>
          <w:rFonts w:ascii="Arial" w:hAnsi="Arial" w:cs="Arial"/>
          <w:sz w:val="22"/>
          <w:szCs w:val="22"/>
        </w:rPr>
        <w:t xml:space="preserve">The Issuer must give notice the Regulator of its intention to provide a Product Summary Note at least ten Business Days prior to the Exempt Offer, in such form as the Regulator may prescribe. </w:t>
      </w:r>
    </w:p>
    <w:p w14:paraId="3DD62B46" w14:textId="77777777" w:rsidR="002F403C" w:rsidRPr="002F403C" w:rsidRDefault="002F403C" w:rsidP="002F403C">
      <w:pPr>
        <w:pStyle w:val="Heading4"/>
        <w:rPr>
          <w:rFonts w:ascii="Arial" w:hAnsi="Arial" w:cs="Arial"/>
          <w:sz w:val="22"/>
          <w:szCs w:val="22"/>
        </w:rPr>
      </w:pPr>
      <w:r w:rsidRPr="002F403C">
        <w:rPr>
          <w:rFonts w:ascii="Arial" w:hAnsi="Arial" w:cs="Arial"/>
          <w:sz w:val="22"/>
          <w:szCs w:val="22"/>
        </w:rPr>
        <w:t xml:space="preserve">When the Issuer makes any change to the Offer document, the Product Summary Note must be updated if the change has a material effect on the key information of the Securities offered. </w:t>
      </w:r>
    </w:p>
    <w:p w14:paraId="5C46F4B2" w14:textId="77777777" w:rsidR="002F403C" w:rsidRPr="002F403C" w:rsidRDefault="002F403C" w:rsidP="002F403C">
      <w:pPr>
        <w:pStyle w:val="Heading4"/>
        <w:rPr>
          <w:rFonts w:ascii="Arial" w:hAnsi="Arial" w:cs="Arial"/>
          <w:sz w:val="22"/>
          <w:szCs w:val="22"/>
        </w:rPr>
      </w:pPr>
      <w:r w:rsidRPr="002F403C">
        <w:rPr>
          <w:rFonts w:ascii="Arial" w:hAnsi="Arial" w:cs="Arial"/>
          <w:sz w:val="22"/>
          <w:szCs w:val="22"/>
        </w:rPr>
        <w:t>Issuers must ensure there is clear naming of the Securities offered. The name of the Securities must be descriptive of the nature of the Securities offered. It must not give investors a misleading view of the true nature and risks of the Securities offered.</w:t>
      </w:r>
    </w:p>
    <w:p w14:paraId="29262975" w14:textId="77777777" w:rsidR="002F403C" w:rsidRPr="002F403C" w:rsidRDefault="002F403C" w:rsidP="002F403C">
      <w:pPr>
        <w:pStyle w:val="TitleL"/>
        <w:rPr>
          <w:rFonts w:ascii="Arial" w:hAnsi="Arial" w:cs="Arial"/>
          <w:sz w:val="22"/>
          <w:szCs w:val="22"/>
        </w:rPr>
      </w:pPr>
      <w:r w:rsidRPr="002F403C">
        <w:rPr>
          <w:rFonts w:ascii="Arial" w:hAnsi="Arial" w:cs="Arial"/>
          <w:sz w:val="22"/>
          <w:szCs w:val="22"/>
        </w:rPr>
        <w:t>Guidance</w:t>
      </w:r>
    </w:p>
    <w:p w14:paraId="38112A59" w14:textId="77777777" w:rsidR="002F403C" w:rsidRPr="00A47247" w:rsidRDefault="002F403C" w:rsidP="00A47247">
      <w:pPr>
        <w:pStyle w:val="UK12Block05"/>
        <w:rPr>
          <w:rFonts w:ascii="Arial" w:hAnsi="Arial" w:cs="Arial"/>
          <w:sz w:val="22"/>
          <w:szCs w:val="22"/>
        </w:rPr>
      </w:pPr>
      <w:r w:rsidRPr="00A47247">
        <w:rPr>
          <w:rFonts w:ascii="Arial" w:hAnsi="Arial" w:cs="Arial"/>
          <w:sz w:val="22"/>
          <w:szCs w:val="22"/>
        </w:rPr>
        <w:t>Pursuant to Rule 4.3.5(1)(c), the Regulator considers a Product Summary Note as giving a fair and balanced view of the Securities offered if the Product Summary Note:</w:t>
      </w:r>
    </w:p>
    <w:p w14:paraId="05925EB2" w14:textId="77777777" w:rsidR="002F403C" w:rsidRPr="00A47247" w:rsidRDefault="002F403C" w:rsidP="00A47247">
      <w:pPr>
        <w:pStyle w:val="Heading5"/>
        <w:tabs>
          <w:tab w:val="clear" w:pos="2160"/>
          <w:tab w:val="num" w:pos="1418"/>
        </w:tabs>
        <w:ind w:left="1418" w:hanging="709"/>
        <w:rPr>
          <w:rFonts w:ascii="Arial" w:hAnsi="Arial" w:cs="Arial"/>
          <w:sz w:val="22"/>
          <w:szCs w:val="22"/>
        </w:rPr>
      </w:pPr>
      <w:r w:rsidRPr="00A47247">
        <w:rPr>
          <w:rFonts w:ascii="Arial" w:hAnsi="Arial" w:cs="Arial"/>
          <w:sz w:val="22"/>
          <w:szCs w:val="22"/>
        </w:rPr>
        <w:t>gives:</w:t>
      </w:r>
    </w:p>
    <w:p w14:paraId="5B477548" w14:textId="77777777" w:rsidR="002F403C" w:rsidRPr="00A47247" w:rsidRDefault="002F403C" w:rsidP="00A47247">
      <w:pPr>
        <w:pStyle w:val="Heading5"/>
        <w:numPr>
          <w:ilvl w:val="0"/>
          <w:numId w:val="0"/>
        </w:numPr>
        <w:ind w:left="2160" w:hanging="720"/>
        <w:rPr>
          <w:rFonts w:ascii="Arial" w:hAnsi="Arial" w:cs="Arial"/>
          <w:sz w:val="22"/>
          <w:szCs w:val="22"/>
        </w:rPr>
      </w:pPr>
      <w:r w:rsidRPr="00A47247">
        <w:rPr>
          <w:rFonts w:ascii="Arial" w:hAnsi="Arial" w:cs="Arial"/>
          <w:sz w:val="22"/>
          <w:szCs w:val="22"/>
        </w:rPr>
        <w:t>(i)</w:t>
      </w:r>
      <w:r w:rsidRPr="00A47247">
        <w:rPr>
          <w:rFonts w:ascii="Arial" w:hAnsi="Arial" w:cs="Arial"/>
          <w:sz w:val="22"/>
          <w:szCs w:val="22"/>
        </w:rPr>
        <w:tab/>
        <w:t xml:space="preserve">a balanced description of the risks and potential returns of the Securities; and </w:t>
      </w:r>
    </w:p>
    <w:p w14:paraId="5F6B21D9" w14:textId="77777777" w:rsidR="002F403C" w:rsidRPr="00A47247" w:rsidRDefault="002F403C" w:rsidP="00A47247">
      <w:pPr>
        <w:pStyle w:val="Heading5"/>
        <w:numPr>
          <w:ilvl w:val="0"/>
          <w:numId w:val="0"/>
        </w:numPr>
        <w:ind w:left="2160" w:hanging="720"/>
        <w:rPr>
          <w:rFonts w:ascii="Arial" w:hAnsi="Arial" w:cs="Arial"/>
          <w:sz w:val="22"/>
          <w:szCs w:val="22"/>
        </w:rPr>
      </w:pPr>
      <w:r w:rsidRPr="00A47247">
        <w:rPr>
          <w:rFonts w:ascii="Arial" w:hAnsi="Arial" w:cs="Arial"/>
          <w:sz w:val="22"/>
          <w:szCs w:val="22"/>
        </w:rPr>
        <w:t>(ii)</w:t>
      </w:r>
      <w:r w:rsidRPr="00A47247">
        <w:rPr>
          <w:rFonts w:ascii="Arial" w:hAnsi="Arial" w:cs="Arial"/>
          <w:sz w:val="22"/>
          <w:szCs w:val="22"/>
        </w:rPr>
        <w:tab/>
        <w:t xml:space="preserve">a proportionate level of prominence to the warnings, disclaimers and qualifications in relation to the claims on potential returns to which they refer to; and </w:t>
      </w:r>
    </w:p>
    <w:p w14:paraId="2BFE61BE" w14:textId="77777777" w:rsidR="002F403C" w:rsidRPr="00A47247" w:rsidRDefault="002F403C" w:rsidP="00A47247">
      <w:pPr>
        <w:pStyle w:val="Heading5"/>
        <w:tabs>
          <w:tab w:val="clear" w:pos="2160"/>
          <w:tab w:val="num" w:pos="1418"/>
        </w:tabs>
        <w:ind w:left="1418" w:hanging="709"/>
        <w:rPr>
          <w:rFonts w:ascii="Arial" w:hAnsi="Arial" w:cs="Arial"/>
          <w:sz w:val="22"/>
          <w:szCs w:val="22"/>
        </w:rPr>
      </w:pPr>
      <w:r w:rsidRPr="00A47247">
        <w:rPr>
          <w:rFonts w:ascii="Arial" w:hAnsi="Arial" w:cs="Arial"/>
          <w:sz w:val="22"/>
          <w:szCs w:val="22"/>
        </w:rPr>
        <w:t>does not:</w:t>
      </w:r>
    </w:p>
    <w:p w14:paraId="58F87CAE" w14:textId="77777777" w:rsidR="002F403C" w:rsidRPr="00A47247" w:rsidRDefault="002F403C" w:rsidP="00A47247">
      <w:pPr>
        <w:pStyle w:val="Heading5"/>
        <w:numPr>
          <w:ilvl w:val="0"/>
          <w:numId w:val="0"/>
        </w:numPr>
        <w:ind w:left="2160" w:hanging="720"/>
        <w:rPr>
          <w:rFonts w:ascii="Arial" w:hAnsi="Arial" w:cs="Arial"/>
          <w:sz w:val="22"/>
          <w:szCs w:val="22"/>
        </w:rPr>
      </w:pPr>
      <w:r w:rsidRPr="00A47247">
        <w:rPr>
          <w:rFonts w:ascii="Arial" w:hAnsi="Arial" w:cs="Arial"/>
          <w:sz w:val="22"/>
          <w:szCs w:val="22"/>
        </w:rPr>
        <w:lastRenderedPageBreak/>
        <w:t>(i)</w:t>
      </w:r>
      <w:r w:rsidRPr="00A47247">
        <w:rPr>
          <w:rFonts w:ascii="Arial" w:hAnsi="Arial" w:cs="Arial"/>
          <w:sz w:val="22"/>
          <w:szCs w:val="22"/>
        </w:rPr>
        <w:tab/>
        <w:t xml:space="preserve">give the impression that an investor can profit without risks; </w:t>
      </w:r>
    </w:p>
    <w:p w14:paraId="4FD40410" w14:textId="77777777" w:rsidR="002F403C" w:rsidRPr="00A47247" w:rsidRDefault="002F403C" w:rsidP="00A47247">
      <w:pPr>
        <w:pStyle w:val="Heading5"/>
        <w:numPr>
          <w:ilvl w:val="0"/>
          <w:numId w:val="0"/>
        </w:numPr>
        <w:ind w:left="2160" w:hanging="720"/>
        <w:rPr>
          <w:rFonts w:ascii="Arial" w:hAnsi="Arial" w:cs="Arial"/>
          <w:sz w:val="22"/>
          <w:szCs w:val="22"/>
        </w:rPr>
      </w:pPr>
      <w:r w:rsidRPr="00A47247">
        <w:rPr>
          <w:rFonts w:ascii="Arial" w:hAnsi="Arial" w:cs="Arial"/>
          <w:sz w:val="22"/>
          <w:szCs w:val="22"/>
        </w:rPr>
        <w:t>(ii)</w:t>
      </w:r>
      <w:r w:rsidRPr="00A47247">
        <w:rPr>
          <w:rFonts w:ascii="Arial" w:hAnsi="Arial" w:cs="Arial"/>
          <w:sz w:val="22"/>
          <w:szCs w:val="22"/>
        </w:rPr>
        <w:tab/>
        <w:t xml:space="preserve">contain words or graphics that could convey an impression that is inaccurate or inconsistent with the nature or the risks of the Securities; or </w:t>
      </w:r>
    </w:p>
    <w:p w14:paraId="13ACC663" w14:textId="77777777" w:rsidR="002F403C" w:rsidRPr="00A47247" w:rsidRDefault="002F403C" w:rsidP="00A47247">
      <w:pPr>
        <w:pStyle w:val="Heading5"/>
        <w:numPr>
          <w:ilvl w:val="0"/>
          <w:numId w:val="0"/>
        </w:numPr>
        <w:ind w:left="2160" w:hanging="720"/>
        <w:rPr>
          <w:rFonts w:ascii="Arial" w:hAnsi="Arial" w:cs="Arial"/>
          <w:sz w:val="22"/>
          <w:szCs w:val="22"/>
        </w:rPr>
      </w:pPr>
      <w:r w:rsidRPr="00A47247">
        <w:rPr>
          <w:rFonts w:ascii="Arial" w:hAnsi="Arial" w:cs="Arial"/>
          <w:sz w:val="22"/>
          <w:szCs w:val="22"/>
        </w:rPr>
        <w:t>(iii)</w:t>
      </w:r>
      <w:r w:rsidRPr="00A47247">
        <w:rPr>
          <w:rFonts w:ascii="Arial" w:hAnsi="Arial" w:cs="Arial"/>
          <w:sz w:val="22"/>
          <w:szCs w:val="22"/>
        </w:rPr>
        <w:tab/>
        <w:t>present information in footnotes in a way that would alter the meaning of the main text of the Product Summary Note or cause difficulty to an investor in understanding the Securities.</w:t>
      </w:r>
    </w:p>
    <w:p w14:paraId="66437F02" w14:textId="77777777" w:rsidR="00162E0C" w:rsidRPr="00FB2F3D" w:rsidRDefault="00162E0C" w:rsidP="0061693E">
      <w:pPr>
        <w:pStyle w:val="Heading2"/>
        <w:rPr>
          <w:rFonts w:ascii="Arial" w:hAnsi="Arial" w:cs="Arial"/>
          <w:sz w:val="22"/>
          <w:szCs w:val="22"/>
        </w:rPr>
      </w:pPr>
      <w:bookmarkStart w:id="350" w:name="_Toc409521822"/>
      <w:bookmarkStart w:id="351" w:name="_Toc410136219"/>
      <w:bookmarkStart w:id="352" w:name="_Toc410605928"/>
      <w:bookmarkStart w:id="353" w:name="_Toc410658864"/>
      <w:bookmarkStart w:id="354" w:name="_Toc410658991"/>
      <w:bookmarkStart w:id="355" w:name="_Toc410835535"/>
      <w:bookmarkStart w:id="356" w:name="_Toc138325672"/>
      <w:r w:rsidRPr="00FB2F3D">
        <w:rPr>
          <w:rFonts w:ascii="Arial" w:hAnsi="Arial" w:cs="Arial"/>
          <w:sz w:val="22"/>
          <w:szCs w:val="22"/>
        </w:rPr>
        <w:t xml:space="preserve">Exempt </w:t>
      </w:r>
      <w:r w:rsidR="004B46BD" w:rsidRPr="00FB2F3D">
        <w:rPr>
          <w:rFonts w:ascii="Arial" w:hAnsi="Arial" w:cs="Arial"/>
          <w:sz w:val="22"/>
          <w:szCs w:val="22"/>
        </w:rPr>
        <w:t>Securities</w:t>
      </w:r>
      <w:bookmarkEnd w:id="350"/>
      <w:bookmarkEnd w:id="351"/>
      <w:bookmarkEnd w:id="352"/>
      <w:bookmarkEnd w:id="353"/>
      <w:bookmarkEnd w:id="354"/>
      <w:bookmarkEnd w:id="355"/>
      <w:bookmarkEnd w:id="356"/>
    </w:p>
    <w:p w14:paraId="466C4EA9"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4412888E" w14:textId="77777777" w:rsidR="00162E0C" w:rsidRPr="00FB2F3D" w:rsidRDefault="00162E0C" w:rsidP="00DB61C9">
      <w:pPr>
        <w:pStyle w:val="GuidanceNotesnumbering"/>
        <w:numPr>
          <w:ilvl w:val="0"/>
          <w:numId w:val="33"/>
        </w:numPr>
        <w:rPr>
          <w:rFonts w:ascii="Arial" w:hAnsi="Arial" w:cs="Arial"/>
          <w:sz w:val="22"/>
          <w:szCs w:val="22"/>
        </w:rPr>
      </w:pPr>
      <w:r w:rsidRPr="00FB2F3D">
        <w:rPr>
          <w:rFonts w:ascii="Arial" w:hAnsi="Arial" w:cs="Arial"/>
          <w:sz w:val="22"/>
          <w:szCs w:val="22"/>
        </w:rPr>
        <w:t xml:space="preserve">Exempt </w:t>
      </w:r>
      <w:r w:rsidR="004B46BD" w:rsidRPr="00FB2F3D">
        <w:rPr>
          <w:rFonts w:ascii="Arial" w:hAnsi="Arial" w:cs="Arial"/>
          <w:sz w:val="22"/>
          <w:szCs w:val="22"/>
        </w:rPr>
        <w:t>Securities</w:t>
      </w:r>
      <w:r w:rsidRPr="00FB2F3D">
        <w:rPr>
          <w:rFonts w:ascii="Arial" w:hAnsi="Arial" w:cs="Arial"/>
          <w:sz w:val="22"/>
          <w:szCs w:val="22"/>
        </w:rPr>
        <w:t xml:space="preserve"> are </w:t>
      </w:r>
      <w:r w:rsidR="004B46BD" w:rsidRPr="00FB2F3D">
        <w:rPr>
          <w:rFonts w:ascii="Arial" w:hAnsi="Arial" w:cs="Arial"/>
          <w:sz w:val="22"/>
          <w:szCs w:val="22"/>
        </w:rPr>
        <w:t>Securities</w:t>
      </w:r>
      <w:r w:rsidRPr="00FB2F3D">
        <w:rPr>
          <w:rFonts w:ascii="Arial" w:hAnsi="Arial" w:cs="Arial"/>
          <w:sz w:val="22"/>
          <w:szCs w:val="22"/>
        </w:rPr>
        <w:t xml:space="preserve"> which a Person can have admitted to trading on a Recognised </w:t>
      </w:r>
      <w:r w:rsidR="00F82EE7" w:rsidRPr="00FB2F3D">
        <w:rPr>
          <w:rFonts w:ascii="Arial" w:hAnsi="Arial" w:cs="Arial"/>
          <w:sz w:val="22"/>
          <w:szCs w:val="22"/>
        </w:rPr>
        <w:t>Investment Exchange</w:t>
      </w:r>
      <w:r w:rsidRPr="00FB2F3D">
        <w:rPr>
          <w:rFonts w:ascii="Arial" w:hAnsi="Arial" w:cs="Arial"/>
          <w:sz w:val="22"/>
          <w:szCs w:val="22"/>
        </w:rPr>
        <w:t xml:space="preserve"> without a Prospectus.</w:t>
      </w:r>
    </w:p>
    <w:p w14:paraId="160D7D4A" w14:textId="77777777" w:rsidR="00162E0C" w:rsidRPr="00FB2F3D" w:rsidRDefault="00162E0C" w:rsidP="00F82EE7">
      <w:pPr>
        <w:pStyle w:val="GuidanceNotesnumbering"/>
        <w:rPr>
          <w:rFonts w:ascii="Arial" w:hAnsi="Arial" w:cs="Arial"/>
          <w:sz w:val="22"/>
          <w:szCs w:val="22"/>
        </w:rPr>
      </w:pPr>
      <w:r w:rsidRPr="00FB2F3D">
        <w:rPr>
          <w:rFonts w:ascii="Arial" w:hAnsi="Arial" w:cs="Arial"/>
          <w:sz w:val="22"/>
          <w:szCs w:val="22"/>
        </w:rPr>
        <w:t xml:space="preserve">The prohibition in section </w:t>
      </w:r>
      <w:r w:rsidR="00A64301" w:rsidRPr="00FB2F3D">
        <w:rPr>
          <w:rFonts w:ascii="Arial" w:hAnsi="Arial" w:cs="Arial"/>
          <w:sz w:val="22"/>
          <w:szCs w:val="22"/>
        </w:rPr>
        <w:t>61</w:t>
      </w:r>
      <w:r w:rsidR="00A1188A" w:rsidRPr="00FB2F3D">
        <w:rPr>
          <w:rFonts w:ascii="Arial" w:hAnsi="Arial" w:cs="Arial"/>
          <w:sz w:val="22"/>
          <w:szCs w:val="22"/>
        </w:rPr>
        <w:t>(1)</w:t>
      </w:r>
      <w:r w:rsidRPr="00FB2F3D">
        <w:rPr>
          <w:rFonts w:ascii="Arial" w:hAnsi="Arial" w:cs="Arial"/>
          <w:sz w:val="22"/>
          <w:szCs w:val="22"/>
        </w:rPr>
        <w:t xml:space="preserve"> of the FSMR does not apply, subject to the requirement in Rule </w:t>
      </w:r>
      <w:r w:rsidR="00693841" w:rsidRPr="00FB2F3D">
        <w:rPr>
          <w:rFonts w:ascii="Arial" w:hAnsi="Arial" w:cs="Arial"/>
          <w:sz w:val="22"/>
          <w:szCs w:val="22"/>
        </w:rPr>
        <w:t>4.4.2</w:t>
      </w:r>
      <w:r w:rsidRPr="00FB2F3D">
        <w:rPr>
          <w:rFonts w:ascii="Arial" w:hAnsi="Arial" w:cs="Arial"/>
          <w:sz w:val="22"/>
          <w:szCs w:val="22"/>
        </w:rPr>
        <w:t xml:space="preserve">, to the admission to trading on a Recognised </w:t>
      </w:r>
      <w:r w:rsidR="00F82EE7" w:rsidRPr="00FB2F3D">
        <w:rPr>
          <w:rFonts w:ascii="Arial" w:hAnsi="Arial" w:cs="Arial"/>
          <w:sz w:val="22"/>
          <w:szCs w:val="22"/>
        </w:rPr>
        <w:t>Investment Exchange</w:t>
      </w:r>
      <w:r w:rsidRPr="00FB2F3D">
        <w:rPr>
          <w:rFonts w:ascii="Arial" w:hAnsi="Arial" w:cs="Arial"/>
          <w:sz w:val="22"/>
          <w:szCs w:val="22"/>
        </w:rPr>
        <w:t xml:space="preserve"> of </w:t>
      </w:r>
      <w:r w:rsidR="004B46BD" w:rsidRPr="00FB2F3D">
        <w:rPr>
          <w:rFonts w:ascii="Arial" w:hAnsi="Arial" w:cs="Arial"/>
          <w:sz w:val="22"/>
          <w:szCs w:val="22"/>
        </w:rPr>
        <w:t>Securities</w:t>
      </w:r>
      <w:r w:rsidRPr="00FB2F3D">
        <w:rPr>
          <w:rFonts w:ascii="Arial" w:hAnsi="Arial" w:cs="Arial"/>
          <w:sz w:val="22"/>
          <w:szCs w:val="22"/>
        </w:rPr>
        <w:t xml:space="preserve"> that are Exempt </w:t>
      </w:r>
      <w:r w:rsidR="004B46BD" w:rsidRPr="00FB2F3D">
        <w:rPr>
          <w:rFonts w:ascii="Arial" w:hAnsi="Arial" w:cs="Arial"/>
          <w:sz w:val="22"/>
          <w:szCs w:val="22"/>
        </w:rPr>
        <w:t>Securities</w:t>
      </w:r>
      <w:r w:rsidRPr="00FB2F3D">
        <w:rPr>
          <w:rFonts w:ascii="Arial" w:hAnsi="Arial" w:cs="Arial"/>
          <w:sz w:val="22"/>
          <w:szCs w:val="22"/>
        </w:rPr>
        <w:t xml:space="preserve"> under Rule </w:t>
      </w:r>
      <w:r w:rsidR="00693841" w:rsidRPr="00FB2F3D">
        <w:rPr>
          <w:rFonts w:ascii="Arial" w:hAnsi="Arial" w:cs="Arial"/>
          <w:sz w:val="22"/>
          <w:szCs w:val="22"/>
        </w:rPr>
        <w:t>4.4.1</w:t>
      </w:r>
      <w:r w:rsidRPr="00FB2F3D">
        <w:rPr>
          <w:rFonts w:ascii="Arial" w:hAnsi="Arial" w:cs="Arial"/>
          <w:sz w:val="22"/>
          <w:szCs w:val="22"/>
        </w:rPr>
        <w:t>.</w:t>
      </w:r>
    </w:p>
    <w:p w14:paraId="1E8C4139" w14:textId="77777777" w:rsidR="00162E0C" w:rsidRPr="00FB2F3D" w:rsidRDefault="00162E0C" w:rsidP="0061693E">
      <w:pPr>
        <w:pStyle w:val="Heading3"/>
        <w:rPr>
          <w:rFonts w:ascii="Arial" w:hAnsi="Arial" w:cs="Arial"/>
          <w:sz w:val="22"/>
          <w:szCs w:val="22"/>
        </w:rPr>
      </w:pPr>
      <w:bookmarkStart w:id="357" w:name="_Ref410049589"/>
      <w:bookmarkStart w:id="358" w:name="_Ref410567862"/>
      <w:r w:rsidRPr="00FB2F3D">
        <w:rPr>
          <w:rFonts w:ascii="Arial" w:hAnsi="Arial" w:cs="Arial"/>
          <w:sz w:val="22"/>
          <w:szCs w:val="22"/>
        </w:rPr>
        <w:t xml:space="preserve">For the purposes of section </w:t>
      </w:r>
      <w:r w:rsidR="00A1188A" w:rsidRPr="00FB2F3D">
        <w:rPr>
          <w:rFonts w:ascii="Arial" w:hAnsi="Arial" w:cs="Arial"/>
          <w:sz w:val="22"/>
          <w:szCs w:val="22"/>
        </w:rPr>
        <w:t>6</w:t>
      </w:r>
      <w:r w:rsidR="00A64301" w:rsidRPr="00FB2F3D">
        <w:rPr>
          <w:rFonts w:ascii="Arial" w:hAnsi="Arial" w:cs="Arial"/>
          <w:sz w:val="22"/>
          <w:szCs w:val="22"/>
        </w:rPr>
        <w:t>1</w:t>
      </w:r>
      <w:r w:rsidR="00A1188A" w:rsidRPr="00FB2F3D">
        <w:rPr>
          <w:rFonts w:ascii="Arial" w:hAnsi="Arial" w:cs="Arial"/>
          <w:sz w:val="22"/>
          <w:szCs w:val="22"/>
        </w:rPr>
        <w:t>(3)(b)</w:t>
      </w:r>
      <w:r w:rsidRPr="00FB2F3D">
        <w:rPr>
          <w:rFonts w:ascii="Arial" w:hAnsi="Arial" w:cs="Arial"/>
          <w:sz w:val="22"/>
          <w:szCs w:val="22"/>
        </w:rPr>
        <w:t xml:space="preserve"> of the FSMR the </w:t>
      </w:r>
      <w:r w:rsidR="0035335F" w:rsidRPr="00FB2F3D">
        <w:rPr>
          <w:rFonts w:ascii="Arial" w:hAnsi="Arial" w:cs="Arial"/>
          <w:sz w:val="22"/>
          <w:szCs w:val="22"/>
        </w:rPr>
        <w:t>Regulator</w:t>
      </w:r>
      <w:r w:rsidRPr="00FB2F3D">
        <w:rPr>
          <w:rFonts w:ascii="Arial" w:hAnsi="Arial" w:cs="Arial"/>
          <w:sz w:val="22"/>
          <w:szCs w:val="22"/>
        </w:rPr>
        <w:t xml:space="preserve"> hereby prescribes the types of </w:t>
      </w:r>
      <w:r w:rsidR="004B46BD" w:rsidRPr="00FB2F3D">
        <w:rPr>
          <w:rFonts w:ascii="Arial" w:hAnsi="Arial" w:cs="Arial"/>
          <w:sz w:val="22"/>
          <w:szCs w:val="22"/>
        </w:rPr>
        <w:t>Securities</w:t>
      </w:r>
      <w:r w:rsidRPr="00FB2F3D">
        <w:rPr>
          <w:rFonts w:ascii="Arial" w:hAnsi="Arial" w:cs="Arial"/>
          <w:sz w:val="22"/>
          <w:szCs w:val="22"/>
        </w:rPr>
        <w:t xml:space="preserve"> that are Exempt </w:t>
      </w:r>
      <w:r w:rsidR="004B46BD" w:rsidRPr="00FB2F3D">
        <w:rPr>
          <w:rFonts w:ascii="Arial" w:hAnsi="Arial" w:cs="Arial"/>
          <w:sz w:val="22"/>
          <w:szCs w:val="22"/>
        </w:rPr>
        <w:t>Securities</w:t>
      </w:r>
      <w:bookmarkEnd w:id="357"/>
      <w:r w:rsidRPr="00FB2F3D">
        <w:rPr>
          <w:rFonts w:ascii="Arial" w:hAnsi="Arial" w:cs="Arial"/>
          <w:sz w:val="22"/>
          <w:szCs w:val="22"/>
        </w:rPr>
        <w:t>:</w:t>
      </w:r>
      <w:bookmarkEnd w:id="358"/>
    </w:p>
    <w:p w14:paraId="05AEEA2C" w14:textId="77777777" w:rsidR="00162E0C" w:rsidRPr="00FB2F3D" w:rsidRDefault="00162E0C" w:rsidP="00F82EE7">
      <w:pPr>
        <w:pStyle w:val="Heading4"/>
        <w:rPr>
          <w:rFonts w:ascii="Arial" w:hAnsi="Arial" w:cs="Arial"/>
          <w:sz w:val="22"/>
          <w:szCs w:val="22"/>
        </w:rPr>
      </w:pPr>
      <w:r w:rsidRPr="00FB2F3D">
        <w:rPr>
          <w:rFonts w:ascii="Arial" w:hAnsi="Arial" w:cs="Arial"/>
          <w:sz w:val="22"/>
          <w:szCs w:val="22"/>
        </w:rPr>
        <w:t xml:space="preserve">Shares representing, over a period of 12 months, less than 10% of the number of Shares of the same class already admitted to trading on the same Recognised </w:t>
      </w:r>
      <w:r w:rsidR="00F82EE7" w:rsidRPr="00FB2F3D">
        <w:rPr>
          <w:rFonts w:ascii="Arial" w:hAnsi="Arial" w:cs="Arial"/>
          <w:sz w:val="22"/>
          <w:szCs w:val="22"/>
        </w:rPr>
        <w:t>Investment Exchange</w:t>
      </w:r>
      <w:r w:rsidRPr="00FB2F3D">
        <w:rPr>
          <w:rFonts w:ascii="Arial" w:hAnsi="Arial" w:cs="Arial"/>
          <w:sz w:val="22"/>
          <w:szCs w:val="22"/>
        </w:rPr>
        <w:t>;</w:t>
      </w:r>
    </w:p>
    <w:p w14:paraId="225A51E2" w14:textId="77777777" w:rsidR="00162E0C" w:rsidRPr="00FB2F3D" w:rsidRDefault="00162E0C" w:rsidP="00F82EE7">
      <w:pPr>
        <w:pStyle w:val="Heading4"/>
        <w:rPr>
          <w:rFonts w:ascii="Arial" w:hAnsi="Arial" w:cs="Arial"/>
          <w:sz w:val="22"/>
          <w:szCs w:val="22"/>
        </w:rPr>
      </w:pPr>
      <w:r w:rsidRPr="00FB2F3D">
        <w:rPr>
          <w:rFonts w:ascii="Arial" w:hAnsi="Arial" w:cs="Arial"/>
          <w:sz w:val="22"/>
          <w:szCs w:val="22"/>
        </w:rPr>
        <w:t xml:space="preserve">Shares issued in substitution for Shares of the same class already admitted to trading on the same Recognised </w:t>
      </w:r>
      <w:r w:rsidR="00F82EE7" w:rsidRPr="00FB2F3D">
        <w:rPr>
          <w:rFonts w:ascii="Arial" w:hAnsi="Arial" w:cs="Arial"/>
          <w:sz w:val="22"/>
          <w:szCs w:val="22"/>
        </w:rPr>
        <w:t>Investment Exchange</w:t>
      </w:r>
      <w:r w:rsidRPr="00FB2F3D">
        <w:rPr>
          <w:rFonts w:ascii="Arial" w:hAnsi="Arial" w:cs="Arial"/>
          <w:sz w:val="22"/>
          <w:szCs w:val="22"/>
        </w:rPr>
        <w:t>, if the issue of the Shares does not involve any increase in the issued capital;</w:t>
      </w:r>
    </w:p>
    <w:p w14:paraId="7E0411E8" w14:textId="5EBE67DB" w:rsidR="00162E0C" w:rsidRPr="00FB2F3D" w:rsidRDefault="004B46BD" w:rsidP="00424270">
      <w:pPr>
        <w:pStyle w:val="Heading4"/>
        <w:rPr>
          <w:rFonts w:ascii="Arial" w:hAnsi="Arial" w:cs="Arial"/>
          <w:sz w:val="22"/>
          <w:szCs w:val="22"/>
        </w:rPr>
      </w:pPr>
      <w:bookmarkStart w:id="359" w:name="_Ref410628950"/>
      <w:r w:rsidRPr="00FB2F3D">
        <w:rPr>
          <w:rFonts w:ascii="Arial" w:hAnsi="Arial" w:cs="Arial"/>
          <w:sz w:val="22"/>
          <w:szCs w:val="22"/>
        </w:rPr>
        <w:t>Securities</w:t>
      </w:r>
      <w:r w:rsidR="00162E0C" w:rsidRPr="00FB2F3D">
        <w:rPr>
          <w:rFonts w:ascii="Arial" w:hAnsi="Arial" w:cs="Arial"/>
          <w:sz w:val="22"/>
          <w:szCs w:val="22"/>
        </w:rPr>
        <w:t xml:space="preserve"> offered in connection with a Takeover </w:t>
      </w:r>
      <w:r w:rsidR="00FB37F9" w:rsidRPr="00FB2F3D">
        <w:rPr>
          <w:rFonts w:ascii="Arial" w:hAnsi="Arial" w:cs="Arial"/>
          <w:sz w:val="22"/>
          <w:szCs w:val="22"/>
        </w:rPr>
        <w:t>Offer</w:t>
      </w:r>
      <w:r w:rsidR="00162E0C" w:rsidRPr="00FB2F3D">
        <w:rPr>
          <w:rFonts w:ascii="Arial" w:hAnsi="Arial" w:cs="Arial"/>
          <w:sz w:val="22"/>
          <w:szCs w:val="22"/>
        </w:rPr>
        <w:t xml:space="preserve">, if a document is available containing information which is regarded by the </w:t>
      </w:r>
      <w:r w:rsidR="0035335F" w:rsidRPr="00FB2F3D">
        <w:rPr>
          <w:rFonts w:ascii="Arial" w:hAnsi="Arial" w:cs="Arial"/>
          <w:sz w:val="22"/>
          <w:szCs w:val="22"/>
        </w:rPr>
        <w:t>Regulator</w:t>
      </w:r>
      <w:r w:rsidR="00162E0C" w:rsidRPr="00FB2F3D">
        <w:rPr>
          <w:rFonts w:ascii="Arial" w:hAnsi="Arial" w:cs="Arial"/>
          <w:sz w:val="22"/>
          <w:szCs w:val="22"/>
        </w:rPr>
        <w:t xml:space="preserve"> as being equivalent to that of a Prospectus;</w:t>
      </w:r>
      <w:bookmarkEnd w:id="359"/>
    </w:p>
    <w:p w14:paraId="7D2FE411" w14:textId="77777777" w:rsidR="00162E0C" w:rsidRPr="00FB2F3D" w:rsidRDefault="004B46BD" w:rsidP="00424270">
      <w:pPr>
        <w:pStyle w:val="Heading4"/>
        <w:rPr>
          <w:rFonts w:ascii="Arial" w:hAnsi="Arial" w:cs="Arial"/>
          <w:sz w:val="22"/>
          <w:szCs w:val="22"/>
        </w:rPr>
      </w:pPr>
      <w:bookmarkStart w:id="360" w:name="_Ref410628959"/>
      <w:r w:rsidRPr="00FB2F3D">
        <w:rPr>
          <w:rFonts w:ascii="Arial" w:hAnsi="Arial" w:cs="Arial"/>
          <w:sz w:val="22"/>
          <w:szCs w:val="22"/>
        </w:rPr>
        <w:t>Securities</w:t>
      </w:r>
      <w:r w:rsidR="00162E0C" w:rsidRPr="00FB2F3D">
        <w:rPr>
          <w:rFonts w:ascii="Arial" w:hAnsi="Arial" w:cs="Arial"/>
          <w:sz w:val="22"/>
          <w:szCs w:val="22"/>
        </w:rPr>
        <w:t xml:space="preserve"> offered, allotted or to be allotted in connection with a merger, if a document is available containing information which is regarded by the </w:t>
      </w:r>
      <w:r w:rsidR="0035335F" w:rsidRPr="00FB2F3D">
        <w:rPr>
          <w:rFonts w:ascii="Arial" w:hAnsi="Arial" w:cs="Arial"/>
          <w:sz w:val="22"/>
          <w:szCs w:val="22"/>
        </w:rPr>
        <w:t>Regulator</w:t>
      </w:r>
      <w:r w:rsidR="00162E0C" w:rsidRPr="00FB2F3D">
        <w:rPr>
          <w:rFonts w:ascii="Arial" w:hAnsi="Arial" w:cs="Arial"/>
          <w:sz w:val="22"/>
          <w:szCs w:val="22"/>
        </w:rPr>
        <w:t xml:space="preserve"> as being equivalent to that of the Prospectus;</w:t>
      </w:r>
      <w:bookmarkEnd w:id="360"/>
    </w:p>
    <w:p w14:paraId="314D6ADF" w14:textId="77777777" w:rsidR="00162E0C" w:rsidRPr="00FB2F3D" w:rsidRDefault="004B46BD" w:rsidP="00424270">
      <w:pPr>
        <w:pStyle w:val="Heading4"/>
        <w:rPr>
          <w:rFonts w:ascii="Arial" w:hAnsi="Arial" w:cs="Arial"/>
          <w:sz w:val="22"/>
          <w:szCs w:val="22"/>
          <w:lang w:eastAsia="ja-JP"/>
        </w:rPr>
      </w:pPr>
      <w:r w:rsidRPr="00FB2F3D">
        <w:rPr>
          <w:rFonts w:ascii="Arial" w:hAnsi="Arial" w:cs="Arial"/>
          <w:sz w:val="22"/>
          <w:szCs w:val="22"/>
        </w:rPr>
        <w:t>Securities</w:t>
      </w:r>
      <w:r w:rsidR="00162E0C" w:rsidRPr="00FB2F3D">
        <w:rPr>
          <w:rFonts w:ascii="Arial" w:hAnsi="Arial" w:cs="Arial"/>
          <w:sz w:val="22"/>
          <w:szCs w:val="22"/>
        </w:rPr>
        <w:t xml:space="preserve"> offered, allotted or to be allotted in connection with a rights issue if:</w:t>
      </w:r>
    </w:p>
    <w:p w14:paraId="0209A8E2" w14:textId="77777777" w:rsidR="00162E0C" w:rsidRPr="00FB2F3D" w:rsidRDefault="00162E0C" w:rsidP="00F82EE7">
      <w:pPr>
        <w:pStyle w:val="Heading5"/>
        <w:rPr>
          <w:rFonts w:ascii="Arial" w:hAnsi="Arial" w:cs="Arial"/>
          <w:sz w:val="22"/>
          <w:szCs w:val="22"/>
        </w:rPr>
      </w:pPr>
      <w:r w:rsidRPr="00FB2F3D">
        <w:rPr>
          <w:rFonts w:ascii="Arial" w:hAnsi="Arial" w:cs="Arial"/>
          <w:sz w:val="22"/>
          <w:szCs w:val="22"/>
        </w:rPr>
        <w:t xml:space="preserve">the </w:t>
      </w:r>
      <w:r w:rsidR="004B46BD" w:rsidRPr="00FB2F3D">
        <w:rPr>
          <w:rFonts w:ascii="Arial" w:hAnsi="Arial" w:cs="Arial"/>
          <w:sz w:val="22"/>
          <w:szCs w:val="22"/>
        </w:rPr>
        <w:t>Securities</w:t>
      </w:r>
      <w:r w:rsidRPr="00FB2F3D">
        <w:rPr>
          <w:rFonts w:ascii="Arial" w:hAnsi="Arial" w:cs="Arial"/>
          <w:sz w:val="22"/>
          <w:szCs w:val="22"/>
        </w:rPr>
        <w:t xml:space="preserve"> are of the same class as the </w:t>
      </w:r>
      <w:r w:rsidR="004B46BD" w:rsidRPr="00FB2F3D">
        <w:rPr>
          <w:rFonts w:ascii="Arial" w:hAnsi="Arial" w:cs="Arial"/>
          <w:sz w:val="22"/>
          <w:szCs w:val="22"/>
        </w:rPr>
        <w:t>Securities</w:t>
      </w:r>
      <w:r w:rsidRPr="00FB2F3D">
        <w:rPr>
          <w:rFonts w:ascii="Arial" w:hAnsi="Arial" w:cs="Arial"/>
          <w:sz w:val="22"/>
          <w:szCs w:val="22"/>
        </w:rPr>
        <w:t xml:space="preserve"> already admitted</w:t>
      </w:r>
      <w:r w:rsidRPr="00FB2F3D">
        <w:rPr>
          <w:rFonts w:ascii="Arial" w:hAnsi="Arial" w:cs="Arial"/>
          <w:sz w:val="22"/>
          <w:szCs w:val="22"/>
          <w:lang w:eastAsia="ja-JP"/>
        </w:rPr>
        <w:t xml:space="preserve"> </w:t>
      </w:r>
      <w:r w:rsidRPr="00FB2F3D">
        <w:rPr>
          <w:rFonts w:ascii="Arial" w:hAnsi="Arial" w:cs="Arial"/>
          <w:sz w:val="22"/>
          <w:szCs w:val="22"/>
        </w:rPr>
        <w:t xml:space="preserve">to trading on the same Recognised </w:t>
      </w:r>
      <w:r w:rsidR="00F82EE7" w:rsidRPr="00FB2F3D">
        <w:rPr>
          <w:rFonts w:ascii="Arial" w:hAnsi="Arial" w:cs="Arial"/>
          <w:sz w:val="22"/>
          <w:szCs w:val="22"/>
        </w:rPr>
        <w:t>Investment Exchange</w:t>
      </w:r>
      <w:r w:rsidRPr="00FB2F3D">
        <w:rPr>
          <w:rFonts w:ascii="Arial" w:hAnsi="Arial" w:cs="Arial"/>
          <w:sz w:val="22"/>
          <w:szCs w:val="22"/>
        </w:rPr>
        <w:t>; and</w:t>
      </w:r>
    </w:p>
    <w:p w14:paraId="47A09E99" w14:textId="77777777" w:rsidR="00162E0C" w:rsidRPr="00FB2F3D" w:rsidRDefault="00162E0C" w:rsidP="00424270">
      <w:pPr>
        <w:pStyle w:val="Heading5"/>
        <w:rPr>
          <w:rFonts w:ascii="Arial" w:hAnsi="Arial" w:cs="Arial"/>
          <w:sz w:val="22"/>
          <w:szCs w:val="22"/>
        </w:rPr>
      </w:pPr>
      <w:r w:rsidRPr="00FB2F3D">
        <w:rPr>
          <w:rFonts w:ascii="Arial" w:hAnsi="Arial" w:cs="Arial"/>
          <w:sz w:val="22"/>
          <w:szCs w:val="22"/>
        </w:rPr>
        <w:t xml:space="preserve">a document is made available containing information on the number and nature of the </w:t>
      </w:r>
      <w:r w:rsidR="004B46BD" w:rsidRPr="00FB2F3D">
        <w:rPr>
          <w:rFonts w:ascii="Arial" w:hAnsi="Arial" w:cs="Arial"/>
          <w:sz w:val="22"/>
          <w:szCs w:val="22"/>
        </w:rPr>
        <w:t>Securities</w:t>
      </w:r>
      <w:r w:rsidRPr="00FB2F3D">
        <w:rPr>
          <w:rFonts w:ascii="Arial" w:hAnsi="Arial" w:cs="Arial"/>
          <w:sz w:val="22"/>
          <w:szCs w:val="22"/>
        </w:rPr>
        <w:t xml:space="preserve"> and the reasons for and details of the </w:t>
      </w:r>
      <w:r w:rsidR="00FB37F9" w:rsidRPr="00FB2F3D">
        <w:rPr>
          <w:rFonts w:ascii="Arial" w:hAnsi="Arial" w:cs="Arial"/>
          <w:sz w:val="22"/>
          <w:szCs w:val="22"/>
        </w:rPr>
        <w:t>Offer</w:t>
      </w:r>
      <w:r w:rsidRPr="00FB2F3D">
        <w:rPr>
          <w:rFonts w:ascii="Arial" w:hAnsi="Arial" w:cs="Arial"/>
          <w:sz w:val="22"/>
          <w:szCs w:val="22"/>
        </w:rPr>
        <w:t>;</w:t>
      </w:r>
    </w:p>
    <w:p w14:paraId="77F12BC6"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 xml:space="preserve">Shares offered, allotted or to be allotted to existing </w:t>
      </w:r>
      <w:r w:rsidR="00B46F00" w:rsidRPr="00FB2F3D">
        <w:rPr>
          <w:rFonts w:ascii="Arial" w:hAnsi="Arial" w:cs="Arial"/>
          <w:sz w:val="22"/>
          <w:szCs w:val="22"/>
        </w:rPr>
        <w:t>Shareholder</w:t>
      </w:r>
      <w:r w:rsidRPr="00FB2F3D">
        <w:rPr>
          <w:rFonts w:ascii="Arial" w:hAnsi="Arial" w:cs="Arial"/>
          <w:sz w:val="22"/>
          <w:szCs w:val="22"/>
        </w:rPr>
        <w:t>s free of charge, or in respect of dividends paid out in the form of Shares of the same class as the Shares in respect of which the dividends are paid, if:</w:t>
      </w:r>
    </w:p>
    <w:p w14:paraId="7A2933C0" w14:textId="77777777" w:rsidR="00162E0C" w:rsidRPr="00FB2F3D" w:rsidRDefault="00162E0C" w:rsidP="00F82EE7">
      <w:pPr>
        <w:pStyle w:val="Heading5"/>
        <w:rPr>
          <w:rFonts w:ascii="Arial" w:hAnsi="Arial" w:cs="Arial"/>
          <w:sz w:val="22"/>
          <w:szCs w:val="22"/>
        </w:rPr>
      </w:pPr>
      <w:r w:rsidRPr="00FB2F3D">
        <w:rPr>
          <w:rFonts w:ascii="Arial" w:hAnsi="Arial" w:cs="Arial"/>
          <w:sz w:val="22"/>
          <w:szCs w:val="22"/>
        </w:rPr>
        <w:t xml:space="preserve">the Shares are of the same class as the Shares already admitted to trading on the same Recognised </w:t>
      </w:r>
      <w:r w:rsidR="00F82EE7" w:rsidRPr="00FB2F3D">
        <w:rPr>
          <w:rFonts w:ascii="Arial" w:hAnsi="Arial" w:cs="Arial"/>
          <w:sz w:val="22"/>
          <w:szCs w:val="22"/>
        </w:rPr>
        <w:t>Investment Exchange</w:t>
      </w:r>
      <w:r w:rsidRPr="00FB2F3D">
        <w:rPr>
          <w:rFonts w:ascii="Arial" w:hAnsi="Arial" w:cs="Arial"/>
          <w:sz w:val="22"/>
          <w:szCs w:val="22"/>
        </w:rPr>
        <w:t>; and</w:t>
      </w:r>
    </w:p>
    <w:p w14:paraId="19B35173" w14:textId="77777777" w:rsidR="00162E0C" w:rsidRPr="00FB2F3D" w:rsidRDefault="00162E0C" w:rsidP="00424270">
      <w:pPr>
        <w:pStyle w:val="Heading5"/>
        <w:rPr>
          <w:rFonts w:ascii="Arial" w:hAnsi="Arial" w:cs="Arial"/>
          <w:sz w:val="22"/>
          <w:szCs w:val="22"/>
        </w:rPr>
      </w:pPr>
      <w:r w:rsidRPr="00FB2F3D">
        <w:rPr>
          <w:rFonts w:ascii="Arial" w:hAnsi="Arial" w:cs="Arial"/>
          <w:sz w:val="22"/>
          <w:szCs w:val="22"/>
        </w:rPr>
        <w:lastRenderedPageBreak/>
        <w:t xml:space="preserve">a document is made available containing information on the number and nature of the Shares and the reasons for and details of the </w:t>
      </w:r>
      <w:r w:rsidR="00FB37F9" w:rsidRPr="00FB2F3D">
        <w:rPr>
          <w:rFonts w:ascii="Arial" w:hAnsi="Arial" w:cs="Arial"/>
          <w:sz w:val="22"/>
          <w:szCs w:val="22"/>
        </w:rPr>
        <w:t>Offer</w:t>
      </w:r>
      <w:r w:rsidRPr="00FB2F3D">
        <w:rPr>
          <w:rFonts w:ascii="Arial" w:hAnsi="Arial" w:cs="Arial"/>
          <w:sz w:val="22"/>
          <w:szCs w:val="22"/>
        </w:rPr>
        <w:t>;</w:t>
      </w:r>
    </w:p>
    <w:p w14:paraId="0F4876A2" w14:textId="77777777" w:rsidR="00162E0C" w:rsidRPr="00FB2F3D" w:rsidRDefault="004B46BD" w:rsidP="00424270">
      <w:pPr>
        <w:pStyle w:val="Heading4"/>
        <w:rPr>
          <w:rFonts w:ascii="Arial" w:hAnsi="Arial" w:cs="Arial"/>
          <w:sz w:val="22"/>
          <w:szCs w:val="22"/>
        </w:rPr>
      </w:pPr>
      <w:r w:rsidRPr="00FB2F3D">
        <w:rPr>
          <w:rFonts w:ascii="Arial" w:hAnsi="Arial" w:cs="Arial"/>
          <w:sz w:val="22"/>
          <w:szCs w:val="22"/>
        </w:rPr>
        <w:t>Securities</w:t>
      </w:r>
      <w:r w:rsidR="00162E0C" w:rsidRPr="00FB2F3D">
        <w:rPr>
          <w:rFonts w:ascii="Arial" w:hAnsi="Arial" w:cs="Arial"/>
          <w:sz w:val="22"/>
          <w:szCs w:val="22"/>
        </w:rPr>
        <w:t xml:space="preserve"> offered, allotted or to be allotted to an existing or former </w:t>
      </w:r>
      <w:r w:rsidR="002A1DA9" w:rsidRPr="00FB2F3D">
        <w:rPr>
          <w:rFonts w:ascii="Arial" w:hAnsi="Arial" w:cs="Arial"/>
          <w:sz w:val="22"/>
          <w:szCs w:val="22"/>
        </w:rPr>
        <w:t>Director</w:t>
      </w:r>
      <w:r w:rsidR="00162E0C" w:rsidRPr="00FB2F3D">
        <w:rPr>
          <w:rFonts w:ascii="Arial" w:hAnsi="Arial" w:cs="Arial"/>
          <w:sz w:val="22"/>
          <w:szCs w:val="22"/>
        </w:rPr>
        <w:t xml:space="preserve"> or Employee, or any Close Relative of such a </w:t>
      </w:r>
      <w:r w:rsidR="002A1DA9" w:rsidRPr="00FB2F3D">
        <w:rPr>
          <w:rFonts w:ascii="Arial" w:hAnsi="Arial" w:cs="Arial"/>
          <w:sz w:val="22"/>
          <w:szCs w:val="22"/>
        </w:rPr>
        <w:t>Director</w:t>
      </w:r>
      <w:r w:rsidR="00162E0C" w:rsidRPr="00FB2F3D">
        <w:rPr>
          <w:rFonts w:ascii="Arial" w:hAnsi="Arial" w:cs="Arial"/>
          <w:sz w:val="22"/>
          <w:szCs w:val="22"/>
        </w:rPr>
        <w:t xml:space="preserve"> or Employee, of the Issuer or a member of the same Group as the Issuer and if:</w:t>
      </w:r>
    </w:p>
    <w:p w14:paraId="69FBCDC3" w14:textId="77777777" w:rsidR="00162E0C" w:rsidRPr="00FB2F3D" w:rsidRDefault="00162E0C" w:rsidP="00F82EE7">
      <w:pPr>
        <w:pStyle w:val="Heading5"/>
        <w:rPr>
          <w:rFonts w:ascii="Arial" w:hAnsi="Arial" w:cs="Arial"/>
          <w:sz w:val="22"/>
          <w:szCs w:val="22"/>
        </w:rPr>
      </w:pPr>
      <w:r w:rsidRPr="00FB2F3D">
        <w:rPr>
          <w:rFonts w:ascii="Arial" w:hAnsi="Arial" w:cs="Arial"/>
          <w:sz w:val="22"/>
          <w:szCs w:val="22"/>
        </w:rPr>
        <w:t xml:space="preserve">the </w:t>
      </w:r>
      <w:r w:rsidR="004B46BD" w:rsidRPr="00FB2F3D">
        <w:rPr>
          <w:rFonts w:ascii="Arial" w:hAnsi="Arial" w:cs="Arial"/>
          <w:sz w:val="22"/>
          <w:szCs w:val="22"/>
        </w:rPr>
        <w:t>Securities</w:t>
      </w:r>
      <w:r w:rsidRPr="00FB2F3D">
        <w:rPr>
          <w:rFonts w:ascii="Arial" w:hAnsi="Arial" w:cs="Arial"/>
          <w:sz w:val="22"/>
          <w:szCs w:val="22"/>
        </w:rPr>
        <w:t xml:space="preserve"> are of the same class as the </w:t>
      </w:r>
      <w:r w:rsidR="004B46BD" w:rsidRPr="00FB2F3D">
        <w:rPr>
          <w:rFonts w:ascii="Arial" w:hAnsi="Arial" w:cs="Arial"/>
          <w:sz w:val="22"/>
          <w:szCs w:val="22"/>
        </w:rPr>
        <w:t>Securities</w:t>
      </w:r>
      <w:r w:rsidRPr="00FB2F3D">
        <w:rPr>
          <w:rFonts w:ascii="Arial" w:hAnsi="Arial" w:cs="Arial"/>
          <w:sz w:val="22"/>
          <w:szCs w:val="22"/>
        </w:rPr>
        <w:t xml:space="preserve"> already admitted to trading on the same Recognised </w:t>
      </w:r>
      <w:r w:rsidR="00F82EE7" w:rsidRPr="00FB2F3D">
        <w:rPr>
          <w:rFonts w:ascii="Arial" w:hAnsi="Arial" w:cs="Arial"/>
          <w:sz w:val="22"/>
          <w:szCs w:val="22"/>
        </w:rPr>
        <w:t>Investment Exchange</w:t>
      </w:r>
      <w:r w:rsidRPr="00FB2F3D">
        <w:rPr>
          <w:rFonts w:ascii="Arial" w:hAnsi="Arial" w:cs="Arial"/>
          <w:sz w:val="22"/>
          <w:szCs w:val="22"/>
        </w:rPr>
        <w:t>; and</w:t>
      </w:r>
    </w:p>
    <w:p w14:paraId="7C11926B" w14:textId="77777777" w:rsidR="00162E0C" w:rsidRPr="00FB2F3D" w:rsidRDefault="00162E0C" w:rsidP="00424270">
      <w:pPr>
        <w:pStyle w:val="Heading5"/>
        <w:rPr>
          <w:rFonts w:ascii="Arial" w:hAnsi="Arial" w:cs="Arial"/>
          <w:sz w:val="22"/>
          <w:szCs w:val="22"/>
        </w:rPr>
      </w:pPr>
      <w:r w:rsidRPr="00FB2F3D">
        <w:rPr>
          <w:rFonts w:ascii="Arial" w:hAnsi="Arial" w:cs="Arial"/>
          <w:sz w:val="22"/>
          <w:szCs w:val="22"/>
        </w:rPr>
        <w:t xml:space="preserve">a document is made available containing information on the number and nature of the </w:t>
      </w:r>
      <w:r w:rsidR="004B46BD" w:rsidRPr="00FB2F3D">
        <w:rPr>
          <w:rFonts w:ascii="Arial" w:hAnsi="Arial" w:cs="Arial"/>
          <w:sz w:val="22"/>
          <w:szCs w:val="22"/>
        </w:rPr>
        <w:t>Securities</w:t>
      </w:r>
      <w:r w:rsidRPr="00FB2F3D">
        <w:rPr>
          <w:rFonts w:ascii="Arial" w:hAnsi="Arial" w:cs="Arial"/>
          <w:sz w:val="22"/>
          <w:szCs w:val="22"/>
        </w:rPr>
        <w:t xml:space="preserve"> and the reasons for and detail of the </w:t>
      </w:r>
      <w:r w:rsidR="00FB37F9" w:rsidRPr="00FB2F3D">
        <w:rPr>
          <w:rFonts w:ascii="Arial" w:hAnsi="Arial" w:cs="Arial"/>
          <w:sz w:val="22"/>
          <w:szCs w:val="22"/>
        </w:rPr>
        <w:t>Offer</w:t>
      </w:r>
      <w:r w:rsidRPr="00FB2F3D">
        <w:rPr>
          <w:rFonts w:ascii="Arial" w:hAnsi="Arial" w:cs="Arial"/>
          <w:sz w:val="22"/>
          <w:szCs w:val="22"/>
        </w:rPr>
        <w:t>;</w:t>
      </w:r>
    </w:p>
    <w:p w14:paraId="492B183E" w14:textId="77777777" w:rsidR="00162E0C" w:rsidRPr="00FB2F3D" w:rsidRDefault="00162E0C" w:rsidP="00F82EE7">
      <w:pPr>
        <w:pStyle w:val="Heading4"/>
        <w:rPr>
          <w:rFonts w:ascii="Arial" w:hAnsi="Arial" w:cs="Arial"/>
          <w:sz w:val="22"/>
          <w:szCs w:val="22"/>
        </w:rPr>
      </w:pPr>
      <w:r w:rsidRPr="00FB2F3D">
        <w:rPr>
          <w:rFonts w:ascii="Arial" w:hAnsi="Arial" w:cs="Arial"/>
          <w:sz w:val="22"/>
          <w:szCs w:val="22"/>
        </w:rPr>
        <w:t xml:space="preserve">Shares resulting from the conversion or exchange of other </w:t>
      </w:r>
      <w:r w:rsidR="004B46BD" w:rsidRPr="00FB2F3D">
        <w:rPr>
          <w:rFonts w:ascii="Arial" w:hAnsi="Arial" w:cs="Arial"/>
          <w:sz w:val="22"/>
          <w:szCs w:val="22"/>
        </w:rPr>
        <w:t>Securities</w:t>
      </w:r>
      <w:r w:rsidRPr="00FB2F3D">
        <w:rPr>
          <w:rFonts w:ascii="Arial" w:hAnsi="Arial" w:cs="Arial"/>
          <w:sz w:val="22"/>
          <w:szCs w:val="22"/>
        </w:rPr>
        <w:t xml:space="preserve"> or from the exercise of the rights conferred by other </w:t>
      </w:r>
      <w:r w:rsidR="004B46BD" w:rsidRPr="00FB2F3D">
        <w:rPr>
          <w:rFonts w:ascii="Arial" w:hAnsi="Arial" w:cs="Arial"/>
          <w:sz w:val="22"/>
          <w:szCs w:val="22"/>
        </w:rPr>
        <w:t>Securities</w:t>
      </w:r>
      <w:r w:rsidRPr="00FB2F3D">
        <w:rPr>
          <w:rFonts w:ascii="Arial" w:hAnsi="Arial" w:cs="Arial"/>
          <w:sz w:val="22"/>
          <w:szCs w:val="22"/>
        </w:rPr>
        <w:t xml:space="preserve">, if the Shares are of the same class as the Shares already admitted to trading on the same Recognised </w:t>
      </w:r>
      <w:r w:rsidR="00F82EE7" w:rsidRPr="00FB2F3D">
        <w:rPr>
          <w:rFonts w:ascii="Arial" w:hAnsi="Arial" w:cs="Arial"/>
          <w:sz w:val="22"/>
          <w:szCs w:val="22"/>
        </w:rPr>
        <w:t>Investment Exchange</w:t>
      </w:r>
      <w:r w:rsidRPr="00FB2F3D">
        <w:rPr>
          <w:rFonts w:ascii="Arial" w:hAnsi="Arial" w:cs="Arial"/>
          <w:sz w:val="22"/>
          <w:szCs w:val="22"/>
        </w:rPr>
        <w:t>; or</w:t>
      </w:r>
    </w:p>
    <w:p w14:paraId="154DE8A7" w14:textId="77777777" w:rsidR="00162E0C" w:rsidRPr="00FB2F3D" w:rsidRDefault="004B46BD" w:rsidP="00F82EE7">
      <w:pPr>
        <w:pStyle w:val="Heading4"/>
        <w:rPr>
          <w:rFonts w:ascii="Arial" w:hAnsi="Arial" w:cs="Arial"/>
          <w:sz w:val="22"/>
          <w:szCs w:val="22"/>
        </w:rPr>
      </w:pPr>
      <w:r w:rsidRPr="00FB2F3D">
        <w:rPr>
          <w:rFonts w:ascii="Arial" w:hAnsi="Arial" w:cs="Arial"/>
          <w:sz w:val="22"/>
          <w:szCs w:val="22"/>
        </w:rPr>
        <w:t>Securities</w:t>
      </w:r>
      <w:r w:rsidR="00162E0C" w:rsidRPr="00FB2F3D">
        <w:rPr>
          <w:rFonts w:ascii="Arial" w:hAnsi="Arial" w:cs="Arial"/>
          <w:sz w:val="22"/>
          <w:szCs w:val="22"/>
        </w:rPr>
        <w:t xml:space="preserve"> already admitted to trading on another Recognised </w:t>
      </w:r>
      <w:r w:rsidR="00F82EE7" w:rsidRPr="00FB2F3D">
        <w:rPr>
          <w:rFonts w:ascii="Arial" w:hAnsi="Arial" w:cs="Arial"/>
          <w:sz w:val="22"/>
          <w:szCs w:val="22"/>
        </w:rPr>
        <w:t>Investment Exchange</w:t>
      </w:r>
      <w:r w:rsidR="009D7FC2" w:rsidRPr="00FB2F3D">
        <w:rPr>
          <w:rFonts w:ascii="Arial" w:hAnsi="Arial" w:cs="Arial"/>
          <w:sz w:val="22"/>
          <w:szCs w:val="22"/>
        </w:rPr>
        <w:t xml:space="preserve"> or Regulated Exchange (the "Other Market</w:t>
      </w:r>
      <w:r w:rsidR="00162E0C" w:rsidRPr="00FB2F3D">
        <w:rPr>
          <w:rFonts w:ascii="Arial" w:hAnsi="Arial" w:cs="Arial"/>
          <w:sz w:val="22"/>
          <w:szCs w:val="22"/>
        </w:rPr>
        <w:t>"), where:</w:t>
      </w:r>
    </w:p>
    <w:p w14:paraId="68E3183F" w14:textId="77777777" w:rsidR="00162E0C" w:rsidRPr="00FB2F3D" w:rsidRDefault="00162E0C" w:rsidP="00424270">
      <w:pPr>
        <w:pStyle w:val="Heading5"/>
        <w:rPr>
          <w:rFonts w:ascii="Arial" w:hAnsi="Arial" w:cs="Arial"/>
          <w:sz w:val="22"/>
          <w:szCs w:val="22"/>
        </w:rPr>
      </w:pPr>
      <w:r w:rsidRPr="00FB2F3D">
        <w:rPr>
          <w:rFonts w:ascii="Arial" w:hAnsi="Arial" w:cs="Arial"/>
          <w:sz w:val="22"/>
          <w:szCs w:val="22"/>
        </w:rPr>
        <w:t xml:space="preserve">the </w:t>
      </w:r>
      <w:r w:rsidR="004B46BD" w:rsidRPr="00FB2F3D">
        <w:rPr>
          <w:rFonts w:ascii="Arial" w:hAnsi="Arial" w:cs="Arial"/>
          <w:sz w:val="22"/>
          <w:szCs w:val="22"/>
        </w:rPr>
        <w:t>Securities</w:t>
      </w:r>
      <w:r w:rsidRPr="00FB2F3D">
        <w:rPr>
          <w:rFonts w:ascii="Arial" w:hAnsi="Arial" w:cs="Arial"/>
          <w:sz w:val="22"/>
          <w:szCs w:val="22"/>
        </w:rPr>
        <w:t xml:space="preserve">, or </w:t>
      </w:r>
      <w:r w:rsidR="004B46BD" w:rsidRPr="00FB2F3D">
        <w:rPr>
          <w:rFonts w:ascii="Arial" w:hAnsi="Arial" w:cs="Arial"/>
          <w:sz w:val="22"/>
          <w:szCs w:val="22"/>
        </w:rPr>
        <w:t>Securities</w:t>
      </w:r>
      <w:r w:rsidRPr="00FB2F3D">
        <w:rPr>
          <w:rFonts w:ascii="Arial" w:hAnsi="Arial" w:cs="Arial"/>
          <w:sz w:val="22"/>
          <w:szCs w:val="22"/>
        </w:rPr>
        <w:t xml:space="preserve"> of the same class, have been admitted to trading and continuously traded on </w:t>
      </w:r>
      <w:r w:rsidR="009D7FC2" w:rsidRPr="00FB2F3D">
        <w:rPr>
          <w:rFonts w:ascii="Arial" w:hAnsi="Arial" w:cs="Arial"/>
          <w:sz w:val="22"/>
          <w:szCs w:val="22"/>
        </w:rPr>
        <w:t>the Other Market</w:t>
      </w:r>
      <w:r w:rsidRPr="00FB2F3D">
        <w:rPr>
          <w:rFonts w:ascii="Arial" w:hAnsi="Arial" w:cs="Arial"/>
          <w:sz w:val="22"/>
          <w:szCs w:val="22"/>
        </w:rPr>
        <w:t xml:space="preserve"> for more than 18 months;</w:t>
      </w:r>
    </w:p>
    <w:p w14:paraId="6B2610F6" w14:textId="77777777" w:rsidR="00162E0C" w:rsidRPr="00FB2F3D" w:rsidRDefault="00162E0C" w:rsidP="00F82EE7">
      <w:pPr>
        <w:pStyle w:val="Heading5"/>
        <w:rPr>
          <w:rFonts w:ascii="Arial" w:hAnsi="Arial" w:cs="Arial"/>
          <w:sz w:val="22"/>
          <w:szCs w:val="22"/>
        </w:rPr>
      </w:pPr>
      <w:r w:rsidRPr="00FB2F3D">
        <w:rPr>
          <w:rFonts w:ascii="Arial" w:hAnsi="Arial" w:cs="Arial"/>
          <w:sz w:val="22"/>
          <w:szCs w:val="22"/>
        </w:rPr>
        <w:t xml:space="preserve">the </w:t>
      </w:r>
      <w:r w:rsidR="00BD765C" w:rsidRPr="00FB2F3D">
        <w:rPr>
          <w:rFonts w:ascii="Arial" w:hAnsi="Arial" w:cs="Arial"/>
          <w:sz w:val="22"/>
          <w:szCs w:val="22"/>
        </w:rPr>
        <w:t>on-going</w:t>
      </w:r>
      <w:r w:rsidRPr="00FB2F3D">
        <w:rPr>
          <w:rFonts w:ascii="Arial" w:hAnsi="Arial" w:cs="Arial"/>
          <w:sz w:val="22"/>
          <w:szCs w:val="22"/>
        </w:rPr>
        <w:t xml:space="preserve"> obligations for trading on that </w:t>
      </w:r>
      <w:r w:rsidR="00F82EE7" w:rsidRPr="00FB2F3D">
        <w:rPr>
          <w:rFonts w:ascii="Arial" w:hAnsi="Arial" w:cs="Arial"/>
          <w:sz w:val="22"/>
          <w:szCs w:val="22"/>
        </w:rPr>
        <w:t>O</w:t>
      </w:r>
      <w:r w:rsidRPr="00FB2F3D">
        <w:rPr>
          <w:rFonts w:ascii="Arial" w:hAnsi="Arial" w:cs="Arial"/>
          <w:sz w:val="22"/>
          <w:szCs w:val="22"/>
        </w:rPr>
        <w:t xml:space="preserve">ther </w:t>
      </w:r>
      <w:r w:rsidR="00F82EE7" w:rsidRPr="00FB2F3D">
        <w:rPr>
          <w:rFonts w:ascii="Arial" w:hAnsi="Arial" w:cs="Arial"/>
          <w:sz w:val="22"/>
          <w:szCs w:val="22"/>
        </w:rPr>
        <w:t>M</w:t>
      </w:r>
      <w:r w:rsidRPr="00FB2F3D">
        <w:rPr>
          <w:rFonts w:ascii="Arial" w:hAnsi="Arial" w:cs="Arial"/>
          <w:sz w:val="22"/>
          <w:szCs w:val="22"/>
        </w:rPr>
        <w:t>arket have been complied with; and</w:t>
      </w:r>
    </w:p>
    <w:p w14:paraId="2E6592AC" w14:textId="77777777" w:rsidR="00162E0C" w:rsidRPr="00FB2F3D" w:rsidRDefault="00162E0C" w:rsidP="00424270">
      <w:pPr>
        <w:pStyle w:val="Heading5"/>
        <w:rPr>
          <w:rFonts w:ascii="Arial" w:hAnsi="Arial" w:cs="Arial"/>
          <w:sz w:val="22"/>
          <w:szCs w:val="22"/>
        </w:rPr>
      </w:pPr>
      <w:r w:rsidRPr="00FB2F3D">
        <w:rPr>
          <w:rFonts w:ascii="Arial" w:hAnsi="Arial" w:cs="Arial"/>
          <w:sz w:val="22"/>
          <w:szCs w:val="22"/>
        </w:rPr>
        <w:t xml:space="preserve">the Person requesting the admission to trading of the </w:t>
      </w:r>
      <w:r w:rsidR="004B46BD" w:rsidRPr="00FB2F3D">
        <w:rPr>
          <w:rFonts w:ascii="Arial" w:hAnsi="Arial" w:cs="Arial"/>
          <w:sz w:val="22"/>
          <w:szCs w:val="22"/>
        </w:rPr>
        <w:t>Securities</w:t>
      </w:r>
      <w:r w:rsidRPr="00FB2F3D">
        <w:rPr>
          <w:rFonts w:ascii="Arial" w:hAnsi="Arial" w:cs="Arial"/>
          <w:sz w:val="22"/>
          <w:szCs w:val="22"/>
        </w:rPr>
        <w:t xml:space="preserve"> under this exemption makes a summary document in the English language which is approved by the </w:t>
      </w:r>
      <w:r w:rsidR="0035335F" w:rsidRPr="00FB2F3D">
        <w:rPr>
          <w:rFonts w:ascii="Arial" w:hAnsi="Arial" w:cs="Arial"/>
          <w:sz w:val="22"/>
          <w:szCs w:val="22"/>
        </w:rPr>
        <w:t>Regulator</w:t>
      </w:r>
      <w:r w:rsidRPr="00FB2F3D">
        <w:rPr>
          <w:rFonts w:ascii="Arial" w:hAnsi="Arial" w:cs="Arial"/>
          <w:sz w:val="22"/>
          <w:szCs w:val="22"/>
        </w:rPr>
        <w:t xml:space="preserve"> in accordance with the requirements in section </w:t>
      </w:r>
      <w:r w:rsidR="00693841" w:rsidRPr="00FB2F3D">
        <w:rPr>
          <w:rFonts w:ascii="Arial" w:hAnsi="Arial" w:cs="Arial"/>
          <w:sz w:val="22"/>
          <w:szCs w:val="22"/>
        </w:rPr>
        <w:t>4.6</w:t>
      </w:r>
      <w:r w:rsidR="00A64301" w:rsidRPr="00FB2F3D">
        <w:rPr>
          <w:rFonts w:ascii="Arial" w:hAnsi="Arial" w:cs="Arial"/>
          <w:sz w:val="22"/>
          <w:szCs w:val="22"/>
        </w:rPr>
        <w:t xml:space="preserve"> </w:t>
      </w:r>
      <w:r w:rsidRPr="00FB2F3D">
        <w:rPr>
          <w:rFonts w:ascii="Arial" w:hAnsi="Arial" w:cs="Arial"/>
          <w:sz w:val="22"/>
          <w:szCs w:val="22"/>
        </w:rPr>
        <w:t>and published:</w:t>
      </w:r>
    </w:p>
    <w:p w14:paraId="09B89A24" w14:textId="77777777" w:rsidR="00162E0C" w:rsidRPr="00FB2F3D" w:rsidRDefault="00162E0C" w:rsidP="00424270">
      <w:pPr>
        <w:pStyle w:val="Heading6"/>
        <w:rPr>
          <w:rFonts w:ascii="Arial" w:hAnsi="Arial" w:cs="Arial"/>
          <w:sz w:val="22"/>
          <w:szCs w:val="22"/>
        </w:rPr>
      </w:pPr>
      <w:bookmarkStart w:id="361" w:name="_Toc410835536"/>
      <w:r w:rsidRPr="00FB2F3D">
        <w:rPr>
          <w:rFonts w:ascii="Arial" w:hAnsi="Arial" w:cs="Arial"/>
          <w:sz w:val="22"/>
          <w:szCs w:val="22"/>
        </w:rPr>
        <w:t>containing the information set out in Rule </w:t>
      </w:r>
      <w:r w:rsidR="00693841" w:rsidRPr="00FB2F3D">
        <w:rPr>
          <w:rFonts w:ascii="Arial" w:hAnsi="Arial" w:cs="Arial"/>
          <w:sz w:val="22"/>
          <w:szCs w:val="22"/>
        </w:rPr>
        <w:t>4.5.2(1)(b)</w:t>
      </w:r>
      <w:r w:rsidRPr="00FB2F3D">
        <w:rPr>
          <w:rFonts w:ascii="Arial" w:hAnsi="Arial" w:cs="Arial"/>
          <w:sz w:val="22"/>
          <w:szCs w:val="22"/>
        </w:rPr>
        <w:t>;</w:t>
      </w:r>
      <w:bookmarkEnd w:id="361"/>
    </w:p>
    <w:p w14:paraId="09FE1FC3" w14:textId="77777777" w:rsidR="00162E0C" w:rsidRPr="00FB2F3D" w:rsidRDefault="00162E0C" w:rsidP="00424270">
      <w:pPr>
        <w:pStyle w:val="Heading6"/>
        <w:rPr>
          <w:rFonts w:ascii="Arial" w:hAnsi="Arial" w:cs="Arial"/>
          <w:sz w:val="22"/>
          <w:szCs w:val="22"/>
        </w:rPr>
      </w:pPr>
      <w:bookmarkStart w:id="362" w:name="_Toc410835537"/>
      <w:r w:rsidRPr="00FB2F3D">
        <w:rPr>
          <w:rFonts w:ascii="Arial" w:hAnsi="Arial" w:cs="Arial"/>
          <w:sz w:val="22"/>
          <w:szCs w:val="22"/>
        </w:rPr>
        <w:t>stating where the most recent and current Prospectus, if any, can be obtained; and</w:t>
      </w:r>
      <w:bookmarkEnd w:id="362"/>
    </w:p>
    <w:p w14:paraId="751536A8" w14:textId="10FB08F8" w:rsidR="00162E0C" w:rsidRDefault="00162E0C" w:rsidP="00424270">
      <w:pPr>
        <w:pStyle w:val="Heading6"/>
        <w:rPr>
          <w:rFonts w:ascii="Arial" w:hAnsi="Arial" w:cs="Arial"/>
          <w:sz w:val="22"/>
          <w:szCs w:val="22"/>
        </w:rPr>
      </w:pPr>
      <w:bookmarkStart w:id="363" w:name="_Toc410835538"/>
      <w:r w:rsidRPr="00FB2F3D">
        <w:rPr>
          <w:rFonts w:ascii="Arial" w:hAnsi="Arial" w:cs="Arial"/>
          <w:sz w:val="22"/>
          <w:szCs w:val="22"/>
        </w:rPr>
        <w:t xml:space="preserve">specifying where the financial information </w:t>
      </w:r>
      <w:r w:rsidR="00541605">
        <w:rPr>
          <w:rFonts w:ascii="Arial" w:hAnsi="Arial" w:cs="Arial"/>
          <w:sz w:val="22"/>
          <w:szCs w:val="22"/>
        </w:rPr>
        <w:t>disclos</w:t>
      </w:r>
      <w:r w:rsidRPr="00FB2F3D">
        <w:rPr>
          <w:rFonts w:ascii="Arial" w:hAnsi="Arial" w:cs="Arial"/>
          <w:sz w:val="22"/>
          <w:szCs w:val="22"/>
        </w:rPr>
        <w:t xml:space="preserve">ed by the Issuer pursuant to its </w:t>
      </w:r>
      <w:r w:rsidR="00BD765C" w:rsidRPr="00FB2F3D">
        <w:rPr>
          <w:rFonts w:ascii="Arial" w:hAnsi="Arial" w:cs="Arial"/>
          <w:sz w:val="22"/>
          <w:szCs w:val="22"/>
        </w:rPr>
        <w:t>on-going</w:t>
      </w:r>
      <w:r w:rsidRPr="00FB2F3D">
        <w:rPr>
          <w:rFonts w:ascii="Arial" w:hAnsi="Arial" w:cs="Arial"/>
          <w:sz w:val="22"/>
          <w:szCs w:val="22"/>
        </w:rPr>
        <w:t xml:space="preserve"> disclosure obligations of </w:t>
      </w:r>
      <w:r w:rsidR="009D7FC2" w:rsidRPr="00FB2F3D">
        <w:rPr>
          <w:rFonts w:ascii="Arial" w:hAnsi="Arial" w:cs="Arial"/>
          <w:sz w:val="22"/>
          <w:szCs w:val="22"/>
        </w:rPr>
        <w:t>the Other Market</w:t>
      </w:r>
      <w:r w:rsidRPr="00FB2F3D">
        <w:rPr>
          <w:rFonts w:ascii="Arial" w:hAnsi="Arial" w:cs="Arial"/>
          <w:sz w:val="22"/>
          <w:szCs w:val="22"/>
        </w:rPr>
        <w:t xml:space="preserve"> is available.</w:t>
      </w:r>
      <w:bookmarkEnd w:id="363"/>
    </w:p>
    <w:p w14:paraId="07E0C341" w14:textId="0B8E0F69" w:rsidR="009C75A3" w:rsidRPr="009C75A3" w:rsidRDefault="009C75A3" w:rsidP="009C75A3">
      <w:pPr>
        <w:pStyle w:val="Heading4"/>
        <w:rPr>
          <w:rFonts w:ascii="Arial" w:hAnsi="Arial" w:cs="Arial"/>
          <w:sz w:val="22"/>
          <w:szCs w:val="22"/>
        </w:rPr>
      </w:pPr>
      <w:r w:rsidRPr="009C75A3">
        <w:rPr>
          <w:rFonts w:ascii="Arial" w:hAnsi="Arial" w:cs="Arial"/>
          <w:sz w:val="22"/>
          <w:szCs w:val="22"/>
        </w:rPr>
        <w:t>Securities offe</w:t>
      </w:r>
      <w:r>
        <w:rPr>
          <w:rFonts w:ascii="Arial" w:hAnsi="Arial" w:cs="Arial"/>
          <w:sz w:val="22"/>
          <w:szCs w:val="22"/>
        </w:rPr>
        <w:t>re</w:t>
      </w:r>
      <w:r w:rsidRPr="009C75A3">
        <w:rPr>
          <w:rFonts w:ascii="Arial" w:hAnsi="Arial" w:cs="Arial"/>
          <w:sz w:val="22"/>
          <w:szCs w:val="22"/>
        </w:rPr>
        <w:t>d in connection with any issue of Securities under Rules 9.7.1 or 9.7.4, where the Securities are of the same class already admitted to trading on the same Recognised Investment Exchange.</w:t>
      </w:r>
    </w:p>
    <w:p w14:paraId="49DEBB6C"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00C909C3" w14:textId="77777777" w:rsidR="00162E0C" w:rsidRPr="00FB2F3D" w:rsidRDefault="00162E0C" w:rsidP="006207B8">
      <w:pPr>
        <w:pStyle w:val="UK12Block05"/>
        <w:rPr>
          <w:rFonts w:ascii="Arial" w:hAnsi="Arial" w:cs="Arial"/>
          <w:sz w:val="22"/>
          <w:szCs w:val="22"/>
        </w:rPr>
      </w:pPr>
      <w:r w:rsidRPr="00FB2F3D">
        <w:rPr>
          <w:rFonts w:ascii="Arial" w:hAnsi="Arial" w:cs="Arial"/>
          <w:sz w:val="22"/>
          <w:szCs w:val="22"/>
        </w:rPr>
        <w:t xml:space="preserve">In considering whether a document referred to in Rule </w:t>
      </w:r>
      <w:r w:rsidR="00693841" w:rsidRPr="00FB2F3D">
        <w:rPr>
          <w:rFonts w:ascii="Arial" w:hAnsi="Arial" w:cs="Arial"/>
          <w:sz w:val="22"/>
          <w:szCs w:val="22"/>
        </w:rPr>
        <w:t>4.4.1(3)</w:t>
      </w:r>
      <w:r w:rsidRPr="00FB2F3D">
        <w:rPr>
          <w:rFonts w:ascii="Arial" w:hAnsi="Arial" w:cs="Arial"/>
          <w:sz w:val="22"/>
          <w:szCs w:val="22"/>
        </w:rPr>
        <w:t xml:space="preserve"> or </w:t>
      </w:r>
      <w:r w:rsidR="00693841" w:rsidRPr="00FB2F3D">
        <w:rPr>
          <w:rFonts w:ascii="Arial" w:hAnsi="Arial" w:cs="Arial"/>
          <w:sz w:val="22"/>
          <w:szCs w:val="22"/>
        </w:rPr>
        <w:t>(4)</w:t>
      </w:r>
      <w:r w:rsidR="00B317F6" w:rsidRPr="00FB2F3D">
        <w:rPr>
          <w:rFonts w:ascii="Arial" w:hAnsi="Arial" w:cs="Arial"/>
          <w:sz w:val="22"/>
          <w:szCs w:val="22"/>
        </w:rPr>
        <w:t xml:space="preserve"> </w:t>
      </w:r>
      <w:r w:rsidRPr="00FB2F3D">
        <w:rPr>
          <w:rFonts w:ascii="Arial" w:hAnsi="Arial" w:cs="Arial"/>
          <w:sz w:val="22"/>
          <w:szCs w:val="22"/>
        </w:rPr>
        <w:t xml:space="preserve">contains all the relevant information, the </w:t>
      </w:r>
      <w:r w:rsidR="0035335F" w:rsidRPr="00FB2F3D">
        <w:rPr>
          <w:rFonts w:ascii="Arial" w:hAnsi="Arial" w:cs="Arial"/>
          <w:sz w:val="22"/>
          <w:szCs w:val="22"/>
        </w:rPr>
        <w:t>Regulator</w:t>
      </w:r>
      <w:r w:rsidRPr="00FB2F3D">
        <w:rPr>
          <w:rFonts w:ascii="Arial" w:hAnsi="Arial" w:cs="Arial"/>
          <w:sz w:val="22"/>
          <w:szCs w:val="22"/>
        </w:rPr>
        <w:t xml:space="preserve"> will take into account the information required under </w:t>
      </w:r>
      <w:r w:rsidR="00A1188A" w:rsidRPr="00FB2F3D">
        <w:rPr>
          <w:rFonts w:ascii="Arial" w:hAnsi="Arial" w:cs="Arial"/>
          <w:sz w:val="22"/>
          <w:szCs w:val="22"/>
        </w:rPr>
        <w:t>Part 6</w:t>
      </w:r>
      <w:r w:rsidRPr="00FB2F3D">
        <w:rPr>
          <w:rFonts w:ascii="Arial" w:hAnsi="Arial" w:cs="Arial"/>
          <w:sz w:val="22"/>
          <w:szCs w:val="22"/>
        </w:rPr>
        <w:t xml:space="preserve"> of the FSMR and the Rules in this chapter.</w:t>
      </w:r>
    </w:p>
    <w:p w14:paraId="3B88240E" w14:textId="77777777" w:rsidR="00162E0C" w:rsidRPr="00FB2F3D" w:rsidRDefault="00162E0C" w:rsidP="00F82EE7">
      <w:pPr>
        <w:pStyle w:val="Heading3"/>
        <w:rPr>
          <w:rFonts w:ascii="Arial" w:hAnsi="Arial" w:cs="Arial"/>
          <w:sz w:val="22"/>
          <w:szCs w:val="22"/>
        </w:rPr>
      </w:pPr>
      <w:bookmarkStart w:id="364" w:name="_Ref410049581"/>
      <w:r w:rsidRPr="00FB2F3D">
        <w:rPr>
          <w:rFonts w:ascii="Arial" w:hAnsi="Arial" w:cs="Arial"/>
          <w:sz w:val="22"/>
          <w:szCs w:val="22"/>
        </w:rPr>
        <w:t xml:space="preserve">All </w:t>
      </w:r>
      <w:r w:rsidR="004B46BD" w:rsidRPr="00FB2F3D">
        <w:rPr>
          <w:rFonts w:ascii="Arial" w:hAnsi="Arial" w:cs="Arial"/>
          <w:sz w:val="22"/>
          <w:szCs w:val="22"/>
        </w:rPr>
        <w:t>Securities</w:t>
      </w:r>
      <w:r w:rsidRPr="00FB2F3D">
        <w:rPr>
          <w:rFonts w:ascii="Arial" w:hAnsi="Arial" w:cs="Arial"/>
          <w:sz w:val="22"/>
          <w:szCs w:val="22"/>
        </w:rPr>
        <w:t xml:space="preserve"> in a class of </w:t>
      </w:r>
      <w:r w:rsidR="004B46BD" w:rsidRPr="00FB2F3D">
        <w:rPr>
          <w:rFonts w:ascii="Arial" w:hAnsi="Arial" w:cs="Arial"/>
          <w:sz w:val="22"/>
          <w:szCs w:val="22"/>
        </w:rPr>
        <w:t>Securities</w:t>
      </w:r>
      <w:r w:rsidRPr="00FB2F3D">
        <w:rPr>
          <w:rFonts w:ascii="Arial" w:hAnsi="Arial" w:cs="Arial"/>
          <w:sz w:val="22"/>
          <w:szCs w:val="22"/>
        </w:rPr>
        <w:t xml:space="preserve"> admitted to listing and trading including pursuant to Rule </w:t>
      </w:r>
      <w:r w:rsidR="00693841" w:rsidRPr="00FB2F3D">
        <w:rPr>
          <w:rFonts w:ascii="Arial" w:hAnsi="Arial" w:cs="Arial"/>
          <w:sz w:val="22"/>
          <w:szCs w:val="22"/>
        </w:rPr>
        <w:t>4.4.1</w:t>
      </w:r>
      <w:r w:rsidRPr="00FB2F3D">
        <w:rPr>
          <w:rFonts w:ascii="Arial" w:hAnsi="Arial" w:cs="Arial"/>
          <w:sz w:val="22"/>
          <w:szCs w:val="22"/>
        </w:rPr>
        <w:t xml:space="preserve"> must be traded on a Recognised </w:t>
      </w:r>
      <w:r w:rsidR="00F82EE7" w:rsidRPr="00FB2F3D">
        <w:rPr>
          <w:rFonts w:ascii="Arial" w:hAnsi="Arial" w:cs="Arial"/>
          <w:sz w:val="22"/>
          <w:szCs w:val="22"/>
        </w:rPr>
        <w:t>Investment Exchange</w:t>
      </w:r>
      <w:r w:rsidRPr="00FB2F3D">
        <w:rPr>
          <w:rFonts w:ascii="Arial" w:hAnsi="Arial" w:cs="Arial"/>
          <w:sz w:val="22"/>
          <w:szCs w:val="22"/>
        </w:rPr>
        <w:t xml:space="preserve"> or a Regulated Exchange.</w:t>
      </w:r>
      <w:bookmarkEnd w:id="364"/>
    </w:p>
    <w:p w14:paraId="70DBF8FD" w14:textId="77777777" w:rsidR="00162E0C" w:rsidRPr="00FB2F3D" w:rsidRDefault="00162E0C" w:rsidP="0061693E">
      <w:pPr>
        <w:pStyle w:val="Heading2"/>
        <w:rPr>
          <w:rFonts w:ascii="Arial" w:hAnsi="Arial" w:cs="Arial"/>
          <w:sz w:val="22"/>
          <w:szCs w:val="22"/>
        </w:rPr>
      </w:pPr>
      <w:bookmarkStart w:id="365" w:name="_Toc409521823"/>
      <w:bookmarkStart w:id="366" w:name="_Ref410075614"/>
      <w:bookmarkStart w:id="367" w:name="_Toc410136220"/>
      <w:bookmarkStart w:id="368" w:name="_Toc410605929"/>
      <w:bookmarkStart w:id="369" w:name="_Ref410629056"/>
      <w:bookmarkStart w:id="370" w:name="_Toc410658865"/>
      <w:bookmarkStart w:id="371" w:name="_Toc410658992"/>
      <w:bookmarkStart w:id="372" w:name="_Toc410835539"/>
      <w:bookmarkStart w:id="373" w:name="_Ref416752734"/>
      <w:bookmarkStart w:id="374" w:name="_Toc138325673"/>
      <w:r w:rsidRPr="00FB2F3D">
        <w:rPr>
          <w:rFonts w:ascii="Arial" w:hAnsi="Arial" w:cs="Arial"/>
          <w:sz w:val="22"/>
          <w:szCs w:val="22"/>
        </w:rPr>
        <w:lastRenderedPageBreak/>
        <w:t>Prospectus structure and content</w:t>
      </w:r>
      <w:bookmarkEnd w:id="365"/>
      <w:bookmarkEnd w:id="366"/>
      <w:bookmarkEnd w:id="367"/>
      <w:bookmarkEnd w:id="368"/>
      <w:bookmarkEnd w:id="369"/>
      <w:bookmarkEnd w:id="370"/>
      <w:bookmarkEnd w:id="371"/>
      <w:bookmarkEnd w:id="372"/>
      <w:bookmarkEnd w:id="373"/>
      <w:bookmarkEnd w:id="374"/>
    </w:p>
    <w:p w14:paraId="41EBE74A"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1214D295" w14:textId="6865B8DD" w:rsidR="00162E0C" w:rsidRDefault="009C75A3" w:rsidP="009C75A3">
      <w:pPr>
        <w:pStyle w:val="UK12Block05"/>
        <w:ind w:left="1418" w:hanging="698"/>
        <w:rPr>
          <w:rFonts w:ascii="Arial" w:hAnsi="Arial" w:cs="Arial"/>
          <w:sz w:val="22"/>
          <w:szCs w:val="22"/>
        </w:rPr>
      </w:pPr>
      <w:r>
        <w:rPr>
          <w:rFonts w:ascii="Arial" w:hAnsi="Arial" w:cs="Arial"/>
          <w:sz w:val="22"/>
          <w:szCs w:val="22"/>
        </w:rPr>
        <w:t>1.</w:t>
      </w:r>
      <w:r>
        <w:rPr>
          <w:rFonts w:ascii="Arial" w:hAnsi="Arial" w:cs="Arial"/>
          <w:sz w:val="22"/>
          <w:szCs w:val="22"/>
        </w:rPr>
        <w:tab/>
      </w:r>
      <w:r w:rsidR="00162E0C" w:rsidRPr="00FB2F3D">
        <w:rPr>
          <w:rFonts w:ascii="Arial" w:hAnsi="Arial" w:cs="Arial"/>
          <w:sz w:val="22"/>
          <w:szCs w:val="22"/>
        </w:rPr>
        <w:t xml:space="preserve">Where the term "Prospectus Offer" is used in this section in reference to a Person, such a Person is either making an Offer of </w:t>
      </w:r>
      <w:r w:rsidR="004B46BD" w:rsidRPr="00FB2F3D">
        <w:rPr>
          <w:rFonts w:ascii="Arial" w:hAnsi="Arial" w:cs="Arial"/>
          <w:sz w:val="22"/>
          <w:szCs w:val="22"/>
        </w:rPr>
        <w:t>Securities</w:t>
      </w:r>
      <w:r w:rsidR="00162E0C" w:rsidRPr="00FB2F3D">
        <w:rPr>
          <w:rFonts w:ascii="Arial" w:hAnsi="Arial" w:cs="Arial"/>
          <w:sz w:val="22"/>
          <w:szCs w:val="22"/>
        </w:rPr>
        <w:t xml:space="preserve"> or seeking to have </w:t>
      </w:r>
      <w:r w:rsidR="004B46BD" w:rsidRPr="00FB2F3D">
        <w:rPr>
          <w:rFonts w:ascii="Arial" w:hAnsi="Arial" w:cs="Arial"/>
          <w:sz w:val="22"/>
          <w:szCs w:val="22"/>
        </w:rPr>
        <w:t>Securities</w:t>
      </w:r>
      <w:r w:rsidR="00162E0C" w:rsidRPr="00FB2F3D">
        <w:rPr>
          <w:rFonts w:ascii="Arial" w:hAnsi="Arial" w:cs="Arial"/>
          <w:sz w:val="22"/>
          <w:szCs w:val="22"/>
        </w:rPr>
        <w:t xml:space="preserve"> admitted to trading on a Recognised </w:t>
      </w:r>
      <w:r w:rsidR="00F82EE7" w:rsidRPr="00FB2F3D">
        <w:rPr>
          <w:rFonts w:ascii="Arial" w:hAnsi="Arial" w:cs="Arial"/>
          <w:sz w:val="22"/>
          <w:szCs w:val="22"/>
        </w:rPr>
        <w:t>Investment Exchange</w:t>
      </w:r>
      <w:r w:rsidR="00162E0C" w:rsidRPr="00FB2F3D">
        <w:rPr>
          <w:rFonts w:ascii="Arial" w:hAnsi="Arial" w:cs="Arial"/>
          <w:sz w:val="22"/>
          <w:szCs w:val="22"/>
        </w:rPr>
        <w:t xml:space="preserve">. </w:t>
      </w:r>
    </w:p>
    <w:p w14:paraId="2171F631" w14:textId="293DE72E" w:rsidR="009C75A3" w:rsidRPr="00FB2F3D" w:rsidRDefault="009C75A3" w:rsidP="009C75A3">
      <w:pPr>
        <w:pStyle w:val="UK12Block05"/>
        <w:ind w:left="1418" w:hanging="698"/>
        <w:rPr>
          <w:rFonts w:ascii="Arial" w:hAnsi="Arial" w:cs="Arial"/>
          <w:sz w:val="22"/>
          <w:szCs w:val="22"/>
        </w:rPr>
      </w:pPr>
      <w:r>
        <w:rPr>
          <w:rFonts w:ascii="Arial" w:hAnsi="Arial" w:cs="Arial"/>
          <w:sz w:val="22"/>
          <w:szCs w:val="22"/>
        </w:rPr>
        <w:t>2.</w:t>
      </w:r>
      <w:r>
        <w:rPr>
          <w:rFonts w:ascii="Arial" w:hAnsi="Arial" w:cs="Arial"/>
          <w:sz w:val="22"/>
          <w:szCs w:val="22"/>
        </w:rPr>
        <w:tab/>
      </w:r>
      <w:r w:rsidRPr="009C75A3">
        <w:rPr>
          <w:rFonts w:ascii="Arial" w:hAnsi="Arial" w:cs="Arial"/>
          <w:sz w:val="22"/>
          <w:szCs w:val="22"/>
        </w:rPr>
        <w:t>The Regulator will only permit a Prospectus Offer of a Retail Debenture or Sukuk in the circumstance described in Rule 4.14.</w:t>
      </w:r>
    </w:p>
    <w:p w14:paraId="43DF69A8" w14:textId="77777777" w:rsidR="00162E0C" w:rsidRPr="00FB2F3D" w:rsidRDefault="007441BA" w:rsidP="00FA1F32">
      <w:pPr>
        <w:pStyle w:val="Heading3"/>
        <w:ind w:left="1440" w:hanging="1440"/>
        <w:rPr>
          <w:rFonts w:ascii="Arial" w:hAnsi="Arial" w:cs="Arial"/>
          <w:sz w:val="22"/>
          <w:szCs w:val="22"/>
        </w:rPr>
      </w:pPr>
      <w:bookmarkStart w:id="375" w:name="_Ref410050725"/>
      <w:r w:rsidRPr="00FB2F3D">
        <w:rPr>
          <w:rFonts w:ascii="Arial" w:hAnsi="Arial" w:cs="Arial"/>
          <w:sz w:val="22"/>
          <w:szCs w:val="22"/>
        </w:rPr>
        <w:t>(1)</w:t>
      </w:r>
      <w:r w:rsidR="00FA1F32" w:rsidRPr="00FB2F3D">
        <w:rPr>
          <w:rFonts w:ascii="Arial" w:hAnsi="Arial" w:cs="Arial"/>
          <w:sz w:val="22"/>
          <w:szCs w:val="22"/>
        </w:rPr>
        <w:tab/>
      </w:r>
      <w:r w:rsidR="00162E0C" w:rsidRPr="00FB2F3D">
        <w:rPr>
          <w:rFonts w:ascii="Arial" w:hAnsi="Arial" w:cs="Arial"/>
          <w:sz w:val="22"/>
          <w:szCs w:val="22"/>
        </w:rPr>
        <w:t>A Person making a Prospectus Offer may, subject to section </w:t>
      </w:r>
      <w:r w:rsidR="00693841" w:rsidRPr="00FB2F3D">
        <w:rPr>
          <w:rFonts w:ascii="Arial" w:hAnsi="Arial" w:cs="Arial"/>
          <w:sz w:val="22"/>
          <w:szCs w:val="22"/>
        </w:rPr>
        <w:t>4.9</w:t>
      </w:r>
      <w:r w:rsidR="00162E0C" w:rsidRPr="00FB2F3D">
        <w:rPr>
          <w:rFonts w:ascii="Arial" w:hAnsi="Arial" w:cs="Arial"/>
          <w:sz w:val="22"/>
          <w:szCs w:val="22"/>
        </w:rPr>
        <w:t>, produce a</w:t>
      </w:r>
      <w:r w:rsidR="00162E0C" w:rsidRPr="00FB2F3D">
        <w:rPr>
          <w:rFonts w:ascii="Arial" w:hAnsi="Arial" w:cs="Arial"/>
          <w:sz w:val="22"/>
          <w:szCs w:val="22"/>
          <w:lang w:eastAsia="ja-JP"/>
        </w:rPr>
        <w:t xml:space="preserve"> </w:t>
      </w:r>
      <w:r w:rsidR="00162E0C" w:rsidRPr="00FB2F3D">
        <w:rPr>
          <w:rFonts w:ascii="Arial" w:hAnsi="Arial" w:cs="Arial"/>
          <w:sz w:val="22"/>
          <w:szCs w:val="22"/>
        </w:rPr>
        <w:t>Prospectus structured either as</w:t>
      </w:r>
      <w:bookmarkEnd w:id="375"/>
      <w:r w:rsidR="00162E0C" w:rsidRPr="00FB2F3D">
        <w:rPr>
          <w:rFonts w:ascii="Arial" w:hAnsi="Arial" w:cs="Arial"/>
          <w:sz w:val="22"/>
          <w:szCs w:val="22"/>
        </w:rPr>
        <w:t>:</w:t>
      </w:r>
    </w:p>
    <w:p w14:paraId="6CE52F77" w14:textId="77777777" w:rsidR="00162E0C" w:rsidRPr="00FB2F3D" w:rsidRDefault="00162E0C" w:rsidP="00FA1F32">
      <w:pPr>
        <w:pStyle w:val="Heading5"/>
        <w:keepNext/>
        <w:rPr>
          <w:rFonts w:ascii="Arial" w:hAnsi="Arial" w:cs="Arial"/>
          <w:sz w:val="22"/>
          <w:szCs w:val="22"/>
        </w:rPr>
      </w:pPr>
      <w:bookmarkStart w:id="376" w:name="_Ref410665127"/>
      <w:r w:rsidRPr="00FB2F3D">
        <w:rPr>
          <w:rFonts w:ascii="Arial" w:hAnsi="Arial" w:cs="Arial"/>
          <w:sz w:val="22"/>
          <w:szCs w:val="22"/>
        </w:rPr>
        <w:t>multiple documents comprising:</w:t>
      </w:r>
      <w:bookmarkEnd w:id="376"/>
    </w:p>
    <w:p w14:paraId="2F5AD57A"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a Summary;</w:t>
      </w:r>
    </w:p>
    <w:p w14:paraId="4ABC7CDD"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a Registration Statement; and</w:t>
      </w:r>
    </w:p>
    <w:p w14:paraId="3C0F186E"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 xml:space="preserve">a </w:t>
      </w:r>
      <w:r w:rsidR="004B46BD" w:rsidRPr="00FB2F3D">
        <w:rPr>
          <w:rFonts w:ascii="Arial" w:hAnsi="Arial" w:cs="Arial"/>
          <w:sz w:val="22"/>
          <w:szCs w:val="22"/>
        </w:rPr>
        <w:t>Securities</w:t>
      </w:r>
      <w:r w:rsidRPr="00FB2F3D">
        <w:rPr>
          <w:rFonts w:ascii="Arial" w:hAnsi="Arial" w:cs="Arial"/>
          <w:sz w:val="22"/>
          <w:szCs w:val="22"/>
        </w:rPr>
        <w:t xml:space="preserve"> Note; or</w:t>
      </w:r>
    </w:p>
    <w:p w14:paraId="2A290E40" w14:textId="77777777" w:rsidR="00162E0C" w:rsidRPr="00FB2F3D" w:rsidRDefault="00162E0C" w:rsidP="0061693E">
      <w:pPr>
        <w:pStyle w:val="Heading5"/>
        <w:rPr>
          <w:rFonts w:ascii="Arial" w:hAnsi="Arial" w:cs="Arial"/>
          <w:sz w:val="22"/>
          <w:szCs w:val="22"/>
        </w:rPr>
      </w:pPr>
      <w:bookmarkStart w:id="377" w:name="_Ref410665143"/>
      <w:r w:rsidRPr="00FB2F3D">
        <w:rPr>
          <w:rFonts w:ascii="Arial" w:hAnsi="Arial" w:cs="Arial"/>
          <w:sz w:val="22"/>
          <w:szCs w:val="22"/>
        </w:rPr>
        <w:t xml:space="preserve">a single document containing a Summary and all the information required to be included in the Registration Statement and </w:t>
      </w:r>
      <w:r w:rsidR="004B46BD" w:rsidRPr="00FB2F3D">
        <w:rPr>
          <w:rFonts w:ascii="Arial" w:hAnsi="Arial" w:cs="Arial"/>
          <w:sz w:val="22"/>
          <w:szCs w:val="22"/>
        </w:rPr>
        <w:t>Securities</w:t>
      </w:r>
      <w:r w:rsidRPr="00FB2F3D">
        <w:rPr>
          <w:rFonts w:ascii="Arial" w:hAnsi="Arial" w:cs="Arial"/>
          <w:sz w:val="22"/>
          <w:szCs w:val="22"/>
        </w:rPr>
        <w:t xml:space="preserve"> Note.</w:t>
      </w:r>
      <w:bookmarkEnd w:id="377"/>
    </w:p>
    <w:p w14:paraId="0414825F" w14:textId="77777777" w:rsidR="00162E0C" w:rsidRPr="00FB2F3D" w:rsidRDefault="00162E0C" w:rsidP="00FA1F32">
      <w:pPr>
        <w:pStyle w:val="Heading4"/>
        <w:keepNext/>
        <w:rPr>
          <w:rFonts w:ascii="Arial" w:hAnsi="Arial" w:cs="Arial"/>
          <w:sz w:val="22"/>
          <w:szCs w:val="22"/>
        </w:rPr>
      </w:pPr>
      <w:r w:rsidRPr="00FB2F3D">
        <w:rPr>
          <w:rFonts w:ascii="Arial" w:hAnsi="Arial" w:cs="Arial"/>
          <w:sz w:val="22"/>
          <w:szCs w:val="22"/>
        </w:rPr>
        <w:t>For the purposes of section</w:t>
      </w:r>
      <w:r w:rsidR="00A64301" w:rsidRPr="00FB2F3D">
        <w:rPr>
          <w:rFonts w:ascii="Arial" w:hAnsi="Arial" w:cs="Arial"/>
          <w:sz w:val="22"/>
          <w:szCs w:val="22"/>
        </w:rPr>
        <w:t xml:space="preserve"> 62</w:t>
      </w:r>
      <w:r w:rsidRPr="00FB2F3D">
        <w:rPr>
          <w:rFonts w:ascii="Arial" w:hAnsi="Arial" w:cs="Arial"/>
          <w:sz w:val="22"/>
          <w:szCs w:val="22"/>
        </w:rPr>
        <w:t xml:space="preserve"> of the FSMR, the Prospectus must:</w:t>
      </w:r>
    </w:p>
    <w:p w14:paraId="21DA372D" w14:textId="77777777" w:rsidR="00162E0C" w:rsidRPr="00FB2F3D" w:rsidRDefault="00162E0C" w:rsidP="0061693E">
      <w:pPr>
        <w:pStyle w:val="Heading5"/>
        <w:rPr>
          <w:rFonts w:ascii="Arial" w:hAnsi="Arial" w:cs="Arial"/>
          <w:sz w:val="22"/>
          <w:szCs w:val="22"/>
        </w:rPr>
      </w:pPr>
      <w:bookmarkStart w:id="378" w:name="_Ref416806753"/>
      <w:r w:rsidRPr="00FB2F3D">
        <w:rPr>
          <w:rFonts w:ascii="Arial" w:hAnsi="Arial" w:cs="Arial"/>
          <w:sz w:val="22"/>
          <w:szCs w:val="22"/>
        </w:rPr>
        <w:t>present information in a form which is comprehensible and easy to analyse;</w:t>
      </w:r>
      <w:bookmarkEnd w:id="378"/>
    </w:p>
    <w:p w14:paraId="4B8389D2" w14:textId="77777777" w:rsidR="00162E0C" w:rsidRPr="00FB2F3D" w:rsidRDefault="00162E0C" w:rsidP="0061693E">
      <w:pPr>
        <w:pStyle w:val="Heading5"/>
        <w:rPr>
          <w:rFonts w:ascii="Arial" w:hAnsi="Arial" w:cs="Arial"/>
          <w:sz w:val="22"/>
          <w:szCs w:val="22"/>
        </w:rPr>
      </w:pPr>
      <w:bookmarkStart w:id="379" w:name="_Ref416806760"/>
      <w:r w:rsidRPr="00FB2F3D">
        <w:rPr>
          <w:rFonts w:ascii="Arial" w:hAnsi="Arial" w:cs="Arial"/>
          <w:sz w:val="22"/>
          <w:szCs w:val="22"/>
        </w:rPr>
        <w:t>contain the documents and information specified in</w:t>
      </w:r>
      <w:r w:rsidR="008C6200" w:rsidRPr="00FB2F3D">
        <w:rPr>
          <w:rFonts w:ascii="Arial" w:hAnsi="Arial" w:cs="Arial"/>
          <w:sz w:val="22"/>
          <w:szCs w:val="22"/>
        </w:rPr>
        <w:t xml:space="preserve"> </w:t>
      </w:r>
      <w:r w:rsidR="00693841" w:rsidRPr="00FB2F3D">
        <w:rPr>
          <w:rFonts w:ascii="Arial" w:hAnsi="Arial" w:cs="Arial"/>
          <w:sz w:val="22"/>
          <w:szCs w:val="22"/>
        </w:rPr>
        <w:t>(1)(a)</w:t>
      </w:r>
      <w:r w:rsidR="00A3381C" w:rsidRPr="00FB2F3D">
        <w:rPr>
          <w:rFonts w:ascii="Arial" w:hAnsi="Arial" w:cs="Arial"/>
          <w:sz w:val="22"/>
          <w:szCs w:val="22"/>
        </w:rPr>
        <w:t xml:space="preserve"> </w:t>
      </w:r>
      <w:r w:rsidRPr="00FB2F3D">
        <w:rPr>
          <w:rFonts w:ascii="Arial" w:hAnsi="Arial" w:cs="Arial"/>
          <w:sz w:val="22"/>
          <w:szCs w:val="22"/>
        </w:rPr>
        <w:t>or</w:t>
      </w:r>
      <w:r w:rsidR="008C6200" w:rsidRPr="00FB2F3D">
        <w:rPr>
          <w:rFonts w:ascii="Arial" w:hAnsi="Arial" w:cs="Arial"/>
          <w:sz w:val="22"/>
          <w:szCs w:val="22"/>
        </w:rPr>
        <w:t xml:space="preserve"> </w:t>
      </w:r>
      <w:r w:rsidR="00693841" w:rsidRPr="00FB2F3D">
        <w:rPr>
          <w:rFonts w:ascii="Arial" w:hAnsi="Arial" w:cs="Arial"/>
          <w:sz w:val="22"/>
          <w:szCs w:val="22"/>
        </w:rPr>
        <w:t>(b)</w:t>
      </w:r>
      <w:r w:rsidR="00A3381C" w:rsidRPr="00FB2F3D">
        <w:rPr>
          <w:rFonts w:ascii="Arial" w:hAnsi="Arial" w:cs="Arial"/>
          <w:sz w:val="22"/>
          <w:szCs w:val="22"/>
        </w:rPr>
        <w:t xml:space="preserve"> </w:t>
      </w:r>
      <w:r w:rsidRPr="00FB2F3D">
        <w:rPr>
          <w:rFonts w:ascii="Arial" w:hAnsi="Arial" w:cs="Arial"/>
          <w:sz w:val="22"/>
          <w:szCs w:val="22"/>
        </w:rPr>
        <w:t>as are applicable; and</w:t>
      </w:r>
      <w:bookmarkEnd w:id="379"/>
    </w:p>
    <w:p w14:paraId="104B1A47" w14:textId="6B42382E" w:rsidR="00162E0C" w:rsidRPr="00FB2F3D" w:rsidRDefault="00162E0C" w:rsidP="00F82EE7">
      <w:pPr>
        <w:pStyle w:val="Heading5"/>
        <w:rPr>
          <w:rFonts w:ascii="Arial" w:hAnsi="Arial" w:cs="Arial"/>
          <w:sz w:val="22"/>
          <w:szCs w:val="22"/>
        </w:rPr>
      </w:pPr>
      <w:r w:rsidRPr="00FB2F3D">
        <w:rPr>
          <w:rFonts w:ascii="Arial" w:hAnsi="Arial" w:cs="Arial"/>
          <w:sz w:val="22"/>
          <w:szCs w:val="22"/>
        </w:rPr>
        <w:t xml:space="preserve">in the case of an Offer of </w:t>
      </w:r>
      <w:r w:rsidR="004B46BD" w:rsidRPr="00FB2F3D">
        <w:rPr>
          <w:rFonts w:ascii="Arial" w:hAnsi="Arial" w:cs="Arial"/>
          <w:sz w:val="22"/>
          <w:szCs w:val="22"/>
        </w:rPr>
        <w:t>Securities</w:t>
      </w:r>
      <w:r w:rsidRPr="00FB2F3D">
        <w:rPr>
          <w:rFonts w:ascii="Arial" w:hAnsi="Arial" w:cs="Arial"/>
          <w:sz w:val="22"/>
          <w:szCs w:val="22"/>
        </w:rPr>
        <w:t>, have an application form that meets the requirement in Rule </w:t>
      </w:r>
      <w:r w:rsidR="00693841" w:rsidRPr="00FB2F3D">
        <w:rPr>
          <w:rFonts w:ascii="Arial" w:hAnsi="Arial" w:cs="Arial"/>
          <w:sz w:val="22"/>
          <w:szCs w:val="22"/>
        </w:rPr>
        <w:t>4.5.</w:t>
      </w:r>
      <w:r w:rsidR="00F82EE7" w:rsidRPr="00FB2F3D">
        <w:rPr>
          <w:rFonts w:ascii="Arial" w:hAnsi="Arial" w:cs="Arial"/>
          <w:sz w:val="22"/>
          <w:szCs w:val="22"/>
        </w:rPr>
        <w:t>5</w:t>
      </w:r>
      <w:r w:rsidRPr="00FB2F3D">
        <w:rPr>
          <w:rFonts w:ascii="Arial" w:hAnsi="Arial" w:cs="Arial"/>
          <w:sz w:val="22"/>
          <w:szCs w:val="22"/>
        </w:rPr>
        <w:t>.</w:t>
      </w:r>
    </w:p>
    <w:p w14:paraId="2C3BD93B" w14:textId="77777777" w:rsidR="00162E0C" w:rsidRPr="00FB2F3D" w:rsidRDefault="00162E0C" w:rsidP="0061693E">
      <w:pPr>
        <w:pStyle w:val="Heading4"/>
        <w:rPr>
          <w:rFonts w:ascii="Arial" w:hAnsi="Arial" w:cs="Arial"/>
          <w:sz w:val="22"/>
          <w:szCs w:val="22"/>
        </w:rPr>
      </w:pPr>
      <w:r w:rsidRPr="00FB2F3D">
        <w:rPr>
          <w:rFonts w:ascii="Arial" w:hAnsi="Arial" w:cs="Arial"/>
          <w:sz w:val="22"/>
          <w:szCs w:val="22"/>
        </w:rPr>
        <w:t xml:space="preserve">Without prejudice to the general disclosure required under section </w:t>
      </w:r>
      <w:r w:rsidR="00A1188A" w:rsidRPr="00FB2F3D">
        <w:rPr>
          <w:rFonts w:ascii="Arial" w:hAnsi="Arial" w:cs="Arial"/>
          <w:sz w:val="22"/>
          <w:szCs w:val="22"/>
        </w:rPr>
        <w:t>6</w:t>
      </w:r>
      <w:r w:rsidR="00A64301" w:rsidRPr="00FB2F3D">
        <w:rPr>
          <w:rFonts w:ascii="Arial" w:hAnsi="Arial" w:cs="Arial"/>
          <w:sz w:val="22"/>
          <w:szCs w:val="22"/>
        </w:rPr>
        <w:t>2</w:t>
      </w:r>
      <w:r w:rsidRPr="00FB2F3D">
        <w:rPr>
          <w:rFonts w:ascii="Arial" w:hAnsi="Arial" w:cs="Arial"/>
          <w:sz w:val="22"/>
          <w:szCs w:val="22"/>
        </w:rPr>
        <w:t xml:space="preserve"> of the FSMR, the Person producing the Prospectus must ensure that the Prospectus contains:</w:t>
      </w:r>
    </w:p>
    <w:p w14:paraId="0F097232"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the statements and information required to be included in the</w:t>
      </w:r>
      <w:r w:rsidRPr="00FB2F3D">
        <w:rPr>
          <w:rFonts w:ascii="Arial" w:hAnsi="Arial" w:cs="Arial"/>
          <w:sz w:val="22"/>
          <w:szCs w:val="22"/>
          <w:lang w:eastAsia="ja-JP"/>
        </w:rPr>
        <w:t xml:space="preserve"> </w:t>
      </w:r>
      <w:r w:rsidRPr="00FB2F3D">
        <w:rPr>
          <w:rFonts w:ascii="Arial" w:hAnsi="Arial" w:cs="Arial"/>
          <w:sz w:val="22"/>
          <w:szCs w:val="22"/>
        </w:rPr>
        <w:t>Summary, as prescribed in Rule </w:t>
      </w:r>
      <w:r w:rsidR="00693841" w:rsidRPr="00FB2F3D">
        <w:rPr>
          <w:rFonts w:ascii="Arial" w:hAnsi="Arial" w:cs="Arial"/>
          <w:sz w:val="22"/>
          <w:szCs w:val="22"/>
        </w:rPr>
        <w:t>4.5.2</w:t>
      </w:r>
      <w:r w:rsidRPr="00FB2F3D">
        <w:rPr>
          <w:rFonts w:ascii="Arial" w:hAnsi="Arial" w:cs="Arial"/>
          <w:sz w:val="22"/>
          <w:szCs w:val="22"/>
        </w:rPr>
        <w:t>;</w:t>
      </w:r>
    </w:p>
    <w:p w14:paraId="786E9FC2" w14:textId="77777777" w:rsidR="00162E0C" w:rsidRPr="00FB2F3D" w:rsidRDefault="00162E0C" w:rsidP="0061693E">
      <w:pPr>
        <w:pStyle w:val="Heading5"/>
        <w:rPr>
          <w:rFonts w:ascii="Arial" w:hAnsi="Arial" w:cs="Arial"/>
          <w:sz w:val="22"/>
          <w:szCs w:val="22"/>
        </w:rPr>
      </w:pPr>
      <w:bookmarkStart w:id="380" w:name="_Ref410635005"/>
      <w:r w:rsidRPr="00FB2F3D">
        <w:rPr>
          <w:rFonts w:ascii="Arial" w:hAnsi="Arial" w:cs="Arial"/>
          <w:sz w:val="22"/>
          <w:szCs w:val="22"/>
        </w:rPr>
        <w:t>all the information relating to the Issuer, as required to be included in a</w:t>
      </w:r>
      <w:r w:rsidRPr="00FB2F3D">
        <w:rPr>
          <w:rFonts w:ascii="Arial" w:hAnsi="Arial" w:cs="Arial"/>
          <w:sz w:val="22"/>
          <w:szCs w:val="22"/>
          <w:lang w:eastAsia="ja-JP"/>
        </w:rPr>
        <w:t xml:space="preserve"> </w:t>
      </w:r>
      <w:r w:rsidRPr="00FB2F3D">
        <w:rPr>
          <w:rFonts w:ascii="Arial" w:hAnsi="Arial" w:cs="Arial"/>
          <w:sz w:val="22"/>
          <w:szCs w:val="22"/>
        </w:rPr>
        <w:t xml:space="preserve">Registration Statement as set out in </w:t>
      </w:r>
      <w:r w:rsidR="00693841" w:rsidRPr="00FB2F3D">
        <w:rPr>
          <w:rFonts w:ascii="Arial" w:hAnsi="Arial" w:cs="Arial"/>
          <w:sz w:val="22"/>
          <w:szCs w:val="22"/>
        </w:rPr>
        <w:t>APP 1</w:t>
      </w:r>
      <w:r w:rsidRPr="00FB2F3D">
        <w:rPr>
          <w:rFonts w:ascii="Arial" w:hAnsi="Arial" w:cs="Arial"/>
          <w:sz w:val="22"/>
          <w:szCs w:val="22"/>
        </w:rPr>
        <w:t xml:space="preserve"> </w:t>
      </w:r>
      <w:r w:rsidR="00EA5388" w:rsidRPr="00FB2F3D">
        <w:rPr>
          <w:rFonts w:ascii="Arial" w:hAnsi="Arial" w:cs="Arial"/>
          <w:sz w:val="22"/>
          <w:szCs w:val="22"/>
        </w:rPr>
        <w:t>paragraph</w:t>
      </w:r>
      <w:r w:rsidRPr="00FB2F3D">
        <w:rPr>
          <w:rFonts w:ascii="Arial" w:hAnsi="Arial" w:cs="Arial"/>
          <w:sz w:val="22"/>
          <w:szCs w:val="22"/>
        </w:rPr>
        <w:t> </w:t>
      </w:r>
      <w:r w:rsidR="00693841" w:rsidRPr="00FB2F3D">
        <w:rPr>
          <w:rFonts w:ascii="Arial" w:hAnsi="Arial" w:cs="Arial"/>
          <w:sz w:val="22"/>
          <w:szCs w:val="22"/>
        </w:rPr>
        <w:t>A1.1</w:t>
      </w:r>
      <w:r w:rsidRPr="00FB2F3D">
        <w:rPr>
          <w:rFonts w:ascii="Arial" w:hAnsi="Arial" w:cs="Arial"/>
          <w:sz w:val="22"/>
          <w:szCs w:val="22"/>
        </w:rPr>
        <w:t>;</w:t>
      </w:r>
      <w:bookmarkEnd w:id="380"/>
    </w:p>
    <w:p w14:paraId="46F3CD23" w14:textId="77777777" w:rsidR="00162E0C" w:rsidRPr="00FB2F3D" w:rsidRDefault="00162E0C" w:rsidP="0061693E">
      <w:pPr>
        <w:pStyle w:val="Heading5"/>
        <w:rPr>
          <w:rFonts w:ascii="Arial" w:hAnsi="Arial" w:cs="Arial"/>
          <w:sz w:val="22"/>
          <w:szCs w:val="22"/>
        </w:rPr>
      </w:pPr>
      <w:bookmarkStart w:id="381" w:name="_Ref410635092"/>
      <w:r w:rsidRPr="00FB2F3D">
        <w:rPr>
          <w:rFonts w:ascii="Arial" w:hAnsi="Arial" w:cs="Arial"/>
          <w:sz w:val="22"/>
          <w:szCs w:val="22"/>
        </w:rPr>
        <w:t xml:space="preserve">all the information relating to the </w:t>
      </w:r>
      <w:r w:rsidR="004B46BD" w:rsidRPr="00FB2F3D">
        <w:rPr>
          <w:rFonts w:ascii="Arial" w:hAnsi="Arial" w:cs="Arial"/>
          <w:sz w:val="22"/>
          <w:szCs w:val="22"/>
        </w:rPr>
        <w:t>Securities</w:t>
      </w:r>
      <w:r w:rsidRPr="00FB2F3D">
        <w:rPr>
          <w:rFonts w:ascii="Arial" w:hAnsi="Arial" w:cs="Arial"/>
          <w:sz w:val="22"/>
          <w:szCs w:val="22"/>
        </w:rPr>
        <w:t xml:space="preserve">, as required to be included in a </w:t>
      </w:r>
      <w:r w:rsidR="004B46BD" w:rsidRPr="00FB2F3D">
        <w:rPr>
          <w:rFonts w:ascii="Arial" w:hAnsi="Arial" w:cs="Arial"/>
          <w:sz w:val="22"/>
          <w:szCs w:val="22"/>
        </w:rPr>
        <w:t>Securities</w:t>
      </w:r>
      <w:r w:rsidRPr="00FB2F3D">
        <w:rPr>
          <w:rFonts w:ascii="Arial" w:hAnsi="Arial" w:cs="Arial"/>
          <w:sz w:val="22"/>
          <w:szCs w:val="22"/>
        </w:rPr>
        <w:t xml:space="preserve"> Note as set out in </w:t>
      </w:r>
      <w:r w:rsidR="00693841" w:rsidRPr="00FB2F3D">
        <w:rPr>
          <w:rFonts w:ascii="Arial" w:hAnsi="Arial" w:cs="Arial"/>
          <w:sz w:val="22"/>
          <w:szCs w:val="22"/>
        </w:rPr>
        <w:t>APP 1</w:t>
      </w:r>
      <w:r w:rsidRPr="00FB2F3D">
        <w:rPr>
          <w:rFonts w:ascii="Arial" w:hAnsi="Arial" w:cs="Arial"/>
          <w:sz w:val="22"/>
          <w:szCs w:val="22"/>
        </w:rPr>
        <w:t xml:space="preserve"> </w:t>
      </w:r>
      <w:r w:rsidR="00EA5388" w:rsidRPr="00FB2F3D">
        <w:rPr>
          <w:rFonts w:ascii="Arial" w:hAnsi="Arial" w:cs="Arial"/>
          <w:sz w:val="22"/>
          <w:szCs w:val="22"/>
        </w:rPr>
        <w:t>paragraph</w:t>
      </w:r>
      <w:r w:rsidRPr="00FB2F3D">
        <w:rPr>
          <w:rFonts w:ascii="Arial" w:hAnsi="Arial" w:cs="Arial"/>
          <w:sz w:val="22"/>
          <w:szCs w:val="22"/>
        </w:rPr>
        <w:t> </w:t>
      </w:r>
      <w:r w:rsidR="00693841" w:rsidRPr="00FB2F3D">
        <w:rPr>
          <w:rFonts w:ascii="Arial" w:hAnsi="Arial" w:cs="Arial"/>
          <w:sz w:val="22"/>
          <w:szCs w:val="22"/>
        </w:rPr>
        <w:t>A1.2</w:t>
      </w:r>
      <w:r w:rsidR="00C553C6" w:rsidRPr="00FB2F3D">
        <w:rPr>
          <w:rFonts w:ascii="Arial" w:hAnsi="Arial" w:cs="Arial"/>
          <w:sz w:val="22"/>
          <w:szCs w:val="22"/>
        </w:rPr>
        <w:t>;</w:t>
      </w:r>
      <w:r w:rsidRPr="00FB2F3D">
        <w:rPr>
          <w:rFonts w:ascii="Arial" w:hAnsi="Arial" w:cs="Arial"/>
          <w:sz w:val="22"/>
          <w:szCs w:val="22"/>
        </w:rPr>
        <w:t xml:space="preserve"> and</w:t>
      </w:r>
      <w:bookmarkEnd w:id="381"/>
    </w:p>
    <w:p w14:paraId="121194B4"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a prominent disclaimer in bold, on the front page of the Prospectus, as follows:</w:t>
      </w:r>
    </w:p>
    <w:p w14:paraId="478280D3" w14:textId="77777777" w:rsidR="00162E0C" w:rsidRPr="00FB2F3D" w:rsidRDefault="00162E0C" w:rsidP="00FA1F32">
      <w:pPr>
        <w:pStyle w:val="UK12Block15"/>
        <w:rPr>
          <w:rFonts w:ascii="Arial" w:hAnsi="Arial" w:cs="Arial"/>
          <w:sz w:val="22"/>
          <w:szCs w:val="22"/>
        </w:rPr>
      </w:pPr>
      <w:r w:rsidRPr="00FB2F3D">
        <w:rPr>
          <w:rFonts w:ascii="Arial" w:hAnsi="Arial" w:cs="Arial"/>
          <w:sz w:val="22"/>
          <w:szCs w:val="22"/>
        </w:rPr>
        <w:t xml:space="preserve">"The ADGM does not accept any responsibility for the content of the information included in the Prospectus, including the accuracy or completeness of such information. The liability for the content of the </w:t>
      </w:r>
      <w:r w:rsidRPr="00FB2F3D">
        <w:rPr>
          <w:rFonts w:ascii="Arial" w:hAnsi="Arial" w:cs="Arial"/>
          <w:sz w:val="22"/>
          <w:szCs w:val="22"/>
        </w:rPr>
        <w:lastRenderedPageBreak/>
        <w:t xml:space="preserve">Prospectus lies with the Issuer of the Prospectus and other Persons, such as Experts, whose opinions are included in the Prospectus with their consent. The ADGM has also not assessed the suitability of the </w:t>
      </w:r>
      <w:r w:rsidR="004B46BD" w:rsidRPr="00FB2F3D">
        <w:rPr>
          <w:rFonts w:ascii="Arial" w:hAnsi="Arial" w:cs="Arial"/>
          <w:sz w:val="22"/>
          <w:szCs w:val="22"/>
        </w:rPr>
        <w:t>Securities</w:t>
      </w:r>
      <w:r w:rsidRPr="00FB2F3D">
        <w:rPr>
          <w:rFonts w:ascii="Arial" w:hAnsi="Arial" w:cs="Arial"/>
          <w:sz w:val="22"/>
          <w:szCs w:val="22"/>
        </w:rPr>
        <w:t xml:space="preserve"> to which the Prospectus relates to any particular investor or type of investor. If you do not understand the contents of this Prospectus or are unsure whether the </w:t>
      </w:r>
      <w:r w:rsidR="004B46BD" w:rsidRPr="00FB2F3D">
        <w:rPr>
          <w:rFonts w:ascii="Arial" w:hAnsi="Arial" w:cs="Arial"/>
          <w:sz w:val="22"/>
          <w:szCs w:val="22"/>
        </w:rPr>
        <w:t>Securities</w:t>
      </w:r>
      <w:r w:rsidRPr="00FB2F3D">
        <w:rPr>
          <w:rFonts w:ascii="Arial" w:hAnsi="Arial" w:cs="Arial"/>
          <w:sz w:val="22"/>
          <w:szCs w:val="22"/>
        </w:rPr>
        <w:t xml:space="preserve"> to which the Prospectus relates are suitable for your individual investment objectives and circumstances, you should consul</w:t>
      </w:r>
      <w:r w:rsidR="000F2B46" w:rsidRPr="00FB2F3D">
        <w:rPr>
          <w:rFonts w:ascii="Arial" w:hAnsi="Arial" w:cs="Arial"/>
          <w:sz w:val="22"/>
          <w:szCs w:val="22"/>
        </w:rPr>
        <w:t>t an authorised financial advise</w:t>
      </w:r>
      <w:r w:rsidRPr="00FB2F3D">
        <w:rPr>
          <w:rFonts w:ascii="Arial" w:hAnsi="Arial" w:cs="Arial"/>
          <w:sz w:val="22"/>
          <w:szCs w:val="22"/>
        </w:rPr>
        <w:t>r."</w:t>
      </w:r>
    </w:p>
    <w:p w14:paraId="74950AC5" w14:textId="77777777" w:rsidR="00162E0C" w:rsidRPr="00FB2F3D" w:rsidRDefault="007441BA" w:rsidP="00FA1F32">
      <w:pPr>
        <w:pStyle w:val="Heading3"/>
        <w:ind w:left="1440" w:hanging="1440"/>
        <w:rPr>
          <w:rFonts w:ascii="Arial" w:hAnsi="Arial" w:cs="Arial"/>
          <w:sz w:val="22"/>
          <w:szCs w:val="22"/>
        </w:rPr>
      </w:pPr>
      <w:bookmarkStart w:id="382" w:name="_Ref410049627"/>
      <w:bookmarkStart w:id="383" w:name="_Ref410631307"/>
      <w:r w:rsidRPr="00FB2F3D">
        <w:rPr>
          <w:rFonts w:ascii="Arial" w:hAnsi="Arial" w:cs="Arial"/>
          <w:sz w:val="22"/>
          <w:szCs w:val="22"/>
        </w:rPr>
        <w:t>(1)</w:t>
      </w:r>
      <w:r w:rsidR="00FA1F32" w:rsidRPr="00FB2F3D">
        <w:rPr>
          <w:rFonts w:ascii="Arial" w:hAnsi="Arial" w:cs="Arial"/>
          <w:sz w:val="22"/>
          <w:szCs w:val="22"/>
        </w:rPr>
        <w:tab/>
      </w:r>
      <w:r w:rsidR="00162E0C" w:rsidRPr="00FB2F3D">
        <w:rPr>
          <w:rFonts w:ascii="Arial" w:hAnsi="Arial" w:cs="Arial"/>
          <w:sz w:val="22"/>
          <w:szCs w:val="22"/>
        </w:rPr>
        <w:t xml:space="preserve">The Person producing the Prospectus must, subject to </w:t>
      </w:r>
      <w:r w:rsidR="00693841" w:rsidRPr="00FB2F3D">
        <w:rPr>
          <w:rFonts w:ascii="Arial" w:hAnsi="Arial" w:cs="Arial"/>
          <w:sz w:val="22"/>
          <w:szCs w:val="22"/>
        </w:rPr>
        <w:t>(2)</w:t>
      </w:r>
      <w:r w:rsidR="00162E0C" w:rsidRPr="00FB2F3D">
        <w:rPr>
          <w:rFonts w:ascii="Arial" w:hAnsi="Arial" w:cs="Arial"/>
          <w:sz w:val="22"/>
          <w:szCs w:val="22"/>
        </w:rPr>
        <w:t>, ensure that the Summary is at or near the beginning of the Prospectus and sets out in a clear, concise and easy to understand manner</w:t>
      </w:r>
      <w:bookmarkEnd w:id="382"/>
      <w:r w:rsidR="00162E0C" w:rsidRPr="00FB2F3D">
        <w:rPr>
          <w:rFonts w:ascii="Arial" w:hAnsi="Arial" w:cs="Arial"/>
          <w:sz w:val="22"/>
          <w:szCs w:val="22"/>
        </w:rPr>
        <w:t>:</w:t>
      </w:r>
      <w:bookmarkEnd w:id="383"/>
    </w:p>
    <w:p w14:paraId="14CB2BE5" w14:textId="77777777" w:rsidR="00162E0C" w:rsidRPr="00FB2F3D" w:rsidRDefault="00162E0C" w:rsidP="00FA1F32">
      <w:pPr>
        <w:pStyle w:val="Heading5"/>
        <w:keepNext/>
        <w:rPr>
          <w:rFonts w:ascii="Arial" w:hAnsi="Arial" w:cs="Arial"/>
          <w:sz w:val="22"/>
          <w:szCs w:val="22"/>
        </w:rPr>
      </w:pPr>
      <w:r w:rsidRPr="00FB2F3D">
        <w:rPr>
          <w:rFonts w:ascii="Arial" w:hAnsi="Arial" w:cs="Arial"/>
          <w:sz w:val="22"/>
          <w:szCs w:val="22"/>
        </w:rPr>
        <w:t>statements that:</w:t>
      </w:r>
    </w:p>
    <w:p w14:paraId="515F9B46"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 xml:space="preserve">the Summary should be read as an introduction to the Prospectus and any decision to invest in the </w:t>
      </w:r>
      <w:r w:rsidR="004B46BD" w:rsidRPr="00FB2F3D">
        <w:rPr>
          <w:rFonts w:ascii="Arial" w:hAnsi="Arial" w:cs="Arial"/>
          <w:sz w:val="22"/>
          <w:szCs w:val="22"/>
        </w:rPr>
        <w:t>Securities</w:t>
      </w:r>
      <w:r w:rsidRPr="00FB2F3D">
        <w:rPr>
          <w:rFonts w:ascii="Arial" w:hAnsi="Arial" w:cs="Arial"/>
          <w:sz w:val="22"/>
          <w:szCs w:val="22"/>
        </w:rPr>
        <w:t xml:space="preserve"> should be based on consideration of the Prospectus as a whole; and</w:t>
      </w:r>
    </w:p>
    <w:p w14:paraId="5BD4B747"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 xml:space="preserve">civil liability may arise on the basis of the Summary but only if the Summary is </w:t>
      </w:r>
      <w:r w:rsidR="00EC3624" w:rsidRPr="00FB2F3D">
        <w:rPr>
          <w:rFonts w:ascii="Arial" w:hAnsi="Arial" w:cs="Arial"/>
          <w:sz w:val="22"/>
          <w:szCs w:val="22"/>
        </w:rPr>
        <w:t xml:space="preserve">false, </w:t>
      </w:r>
      <w:r w:rsidRPr="00FB2F3D">
        <w:rPr>
          <w:rFonts w:ascii="Arial" w:hAnsi="Arial" w:cs="Arial"/>
          <w:sz w:val="22"/>
          <w:szCs w:val="22"/>
        </w:rPr>
        <w:t xml:space="preserve">misleading, </w:t>
      </w:r>
      <w:r w:rsidR="00EC3624" w:rsidRPr="00FB2F3D">
        <w:rPr>
          <w:rFonts w:ascii="Arial" w:hAnsi="Arial" w:cs="Arial"/>
          <w:sz w:val="22"/>
          <w:szCs w:val="22"/>
        </w:rPr>
        <w:t xml:space="preserve">deceptive, </w:t>
      </w:r>
      <w:r w:rsidRPr="00FB2F3D">
        <w:rPr>
          <w:rFonts w:ascii="Arial" w:hAnsi="Arial" w:cs="Arial"/>
          <w:sz w:val="22"/>
          <w:szCs w:val="22"/>
        </w:rPr>
        <w:t>inaccurate</w:t>
      </w:r>
      <w:r w:rsidR="00EC3624" w:rsidRPr="00FB2F3D">
        <w:rPr>
          <w:rFonts w:ascii="Arial" w:hAnsi="Arial" w:cs="Arial"/>
          <w:sz w:val="22"/>
          <w:szCs w:val="22"/>
        </w:rPr>
        <w:t>,</w:t>
      </w:r>
      <w:r w:rsidRPr="00FB2F3D">
        <w:rPr>
          <w:rFonts w:ascii="Arial" w:hAnsi="Arial" w:cs="Arial"/>
          <w:sz w:val="22"/>
          <w:szCs w:val="22"/>
        </w:rPr>
        <w:t xml:space="preserve"> or inconsistent, when read in conjunction with the other parts of the Prospectus, or fails to provide the Key Information specified in</w:t>
      </w:r>
      <w:r w:rsidR="008C6200" w:rsidRPr="00FB2F3D">
        <w:rPr>
          <w:rFonts w:ascii="Arial" w:hAnsi="Arial" w:cs="Arial"/>
          <w:sz w:val="22"/>
          <w:szCs w:val="22"/>
        </w:rPr>
        <w:t xml:space="preserve"> </w:t>
      </w:r>
      <w:r w:rsidR="00693841" w:rsidRPr="00FB2F3D">
        <w:rPr>
          <w:rFonts w:ascii="Arial" w:hAnsi="Arial" w:cs="Arial"/>
          <w:sz w:val="22"/>
          <w:szCs w:val="22"/>
        </w:rPr>
        <w:t>(b)</w:t>
      </w:r>
      <w:r w:rsidRPr="00FB2F3D">
        <w:rPr>
          <w:rFonts w:ascii="Arial" w:hAnsi="Arial" w:cs="Arial"/>
          <w:sz w:val="22"/>
          <w:szCs w:val="22"/>
        </w:rPr>
        <w:t>; and</w:t>
      </w:r>
    </w:p>
    <w:p w14:paraId="0A87F963" w14:textId="77777777" w:rsidR="00162E0C" w:rsidRPr="00FB2F3D" w:rsidRDefault="00162E0C" w:rsidP="00FA1F32">
      <w:pPr>
        <w:pStyle w:val="Heading5"/>
        <w:keepNext/>
        <w:rPr>
          <w:rFonts w:ascii="Arial" w:hAnsi="Arial" w:cs="Arial"/>
          <w:sz w:val="22"/>
          <w:szCs w:val="22"/>
        </w:rPr>
      </w:pPr>
      <w:bookmarkStart w:id="384" w:name="_Ref410628922"/>
      <w:r w:rsidRPr="00FB2F3D">
        <w:rPr>
          <w:rFonts w:ascii="Arial" w:hAnsi="Arial" w:cs="Arial"/>
          <w:sz w:val="22"/>
          <w:szCs w:val="22"/>
        </w:rPr>
        <w:t>the Key Information relating to:</w:t>
      </w:r>
      <w:bookmarkEnd w:id="384"/>
    </w:p>
    <w:p w14:paraId="1D76EF3C"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 xml:space="preserve">the risks associated with and essential characteristics of the Issuer, and guarantor if any, of the </w:t>
      </w:r>
      <w:r w:rsidR="004B46BD" w:rsidRPr="00FB2F3D">
        <w:rPr>
          <w:rFonts w:ascii="Arial" w:hAnsi="Arial" w:cs="Arial"/>
          <w:sz w:val="22"/>
          <w:szCs w:val="22"/>
        </w:rPr>
        <w:t>Securities</w:t>
      </w:r>
      <w:r w:rsidRPr="00FB2F3D">
        <w:rPr>
          <w:rFonts w:ascii="Arial" w:hAnsi="Arial" w:cs="Arial"/>
          <w:sz w:val="22"/>
          <w:szCs w:val="22"/>
        </w:rPr>
        <w:t>, including their assets, liabilities and financial position;</w:t>
      </w:r>
    </w:p>
    <w:p w14:paraId="76C480F9"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 xml:space="preserve">the risks associated with and essential characteristics of the </w:t>
      </w:r>
      <w:r w:rsidR="00706804" w:rsidRPr="00FB2F3D">
        <w:rPr>
          <w:rFonts w:ascii="Arial" w:hAnsi="Arial" w:cs="Arial"/>
          <w:sz w:val="22"/>
          <w:szCs w:val="22"/>
        </w:rPr>
        <w:t xml:space="preserve">Relevant </w:t>
      </w:r>
      <w:r w:rsidR="004B46BD" w:rsidRPr="00FB2F3D">
        <w:rPr>
          <w:rFonts w:ascii="Arial" w:hAnsi="Arial" w:cs="Arial"/>
          <w:sz w:val="22"/>
          <w:szCs w:val="22"/>
        </w:rPr>
        <w:t>Securities</w:t>
      </w:r>
      <w:r w:rsidRPr="00FB2F3D">
        <w:rPr>
          <w:rFonts w:ascii="Arial" w:hAnsi="Arial" w:cs="Arial"/>
          <w:sz w:val="22"/>
          <w:szCs w:val="22"/>
        </w:rPr>
        <w:t xml:space="preserve"> including rights attaching to those </w:t>
      </w:r>
      <w:r w:rsidR="004B46BD" w:rsidRPr="00FB2F3D">
        <w:rPr>
          <w:rFonts w:ascii="Arial" w:hAnsi="Arial" w:cs="Arial"/>
          <w:sz w:val="22"/>
          <w:szCs w:val="22"/>
        </w:rPr>
        <w:t>Securities</w:t>
      </w:r>
      <w:r w:rsidRPr="00FB2F3D">
        <w:rPr>
          <w:rFonts w:ascii="Arial" w:hAnsi="Arial" w:cs="Arial"/>
          <w:sz w:val="22"/>
          <w:szCs w:val="22"/>
        </w:rPr>
        <w:t>;</w:t>
      </w:r>
    </w:p>
    <w:p w14:paraId="6B94C8CA"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 xml:space="preserve">general terms of the </w:t>
      </w:r>
      <w:r w:rsidR="00FB37F9" w:rsidRPr="00FB2F3D">
        <w:rPr>
          <w:rFonts w:ascii="Arial" w:hAnsi="Arial" w:cs="Arial"/>
          <w:sz w:val="22"/>
          <w:szCs w:val="22"/>
        </w:rPr>
        <w:t>Offer</w:t>
      </w:r>
      <w:r w:rsidRPr="00FB2F3D">
        <w:rPr>
          <w:rFonts w:ascii="Arial" w:hAnsi="Arial" w:cs="Arial"/>
          <w:sz w:val="22"/>
          <w:szCs w:val="22"/>
        </w:rPr>
        <w:t>, including estimated expenses charged to the investor;</w:t>
      </w:r>
    </w:p>
    <w:p w14:paraId="45E7E2CC"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 xml:space="preserve">whether the </w:t>
      </w:r>
      <w:r w:rsidR="004B46BD" w:rsidRPr="00FB2F3D">
        <w:rPr>
          <w:rFonts w:ascii="Arial" w:hAnsi="Arial" w:cs="Arial"/>
          <w:sz w:val="22"/>
          <w:szCs w:val="22"/>
        </w:rPr>
        <w:t>Securities</w:t>
      </w:r>
      <w:r w:rsidRPr="00FB2F3D">
        <w:rPr>
          <w:rFonts w:ascii="Arial" w:hAnsi="Arial" w:cs="Arial"/>
          <w:sz w:val="22"/>
          <w:szCs w:val="22"/>
        </w:rPr>
        <w:t xml:space="preserve"> are to be admitted to trading and if so, the details relating to such admission;</w:t>
      </w:r>
    </w:p>
    <w:p w14:paraId="6BF477DC"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 xml:space="preserve">reasons for the </w:t>
      </w:r>
      <w:r w:rsidR="00FB37F9" w:rsidRPr="00FB2F3D">
        <w:rPr>
          <w:rFonts w:ascii="Arial" w:hAnsi="Arial" w:cs="Arial"/>
          <w:sz w:val="22"/>
          <w:szCs w:val="22"/>
        </w:rPr>
        <w:t>Offer</w:t>
      </w:r>
      <w:r w:rsidRPr="00FB2F3D">
        <w:rPr>
          <w:rFonts w:ascii="Arial" w:hAnsi="Arial" w:cs="Arial"/>
          <w:sz w:val="22"/>
          <w:szCs w:val="22"/>
        </w:rPr>
        <w:t xml:space="preserve"> and the proposed use of the proceeds; and</w:t>
      </w:r>
    </w:p>
    <w:p w14:paraId="1CA72544"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if applicable, matters specified in Rule </w:t>
      </w:r>
      <w:r w:rsidR="00693841" w:rsidRPr="00FB2F3D">
        <w:rPr>
          <w:rFonts w:ascii="Arial" w:hAnsi="Arial" w:cs="Arial"/>
          <w:sz w:val="22"/>
          <w:szCs w:val="22"/>
        </w:rPr>
        <w:t>4.5.5</w:t>
      </w:r>
      <w:r w:rsidRPr="00FB2F3D">
        <w:rPr>
          <w:rFonts w:ascii="Arial" w:hAnsi="Arial" w:cs="Arial"/>
          <w:sz w:val="22"/>
          <w:szCs w:val="22"/>
        </w:rPr>
        <w:t>.</w:t>
      </w:r>
    </w:p>
    <w:p w14:paraId="534D5C5F" w14:textId="77777777" w:rsidR="00162E0C" w:rsidRPr="00FB2F3D" w:rsidRDefault="00162E0C" w:rsidP="00F82EE7">
      <w:pPr>
        <w:pStyle w:val="Heading4"/>
        <w:rPr>
          <w:rFonts w:ascii="Arial" w:hAnsi="Arial" w:cs="Arial"/>
          <w:sz w:val="22"/>
          <w:szCs w:val="22"/>
        </w:rPr>
      </w:pPr>
      <w:bookmarkStart w:id="385" w:name="_Ref410665195"/>
      <w:r w:rsidRPr="00FB2F3D">
        <w:rPr>
          <w:rFonts w:ascii="Arial" w:hAnsi="Arial" w:cs="Arial"/>
          <w:sz w:val="22"/>
          <w:szCs w:val="22"/>
        </w:rPr>
        <w:t>A Prospectus is not required to contain a Summary if it relates to a Debenture or a Warrant or Certificate over a Debenture that h</w:t>
      </w:r>
      <w:r w:rsidR="00ED01D6" w:rsidRPr="00FB2F3D">
        <w:rPr>
          <w:rFonts w:ascii="Arial" w:hAnsi="Arial" w:cs="Arial"/>
          <w:sz w:val="22"/>
          <w:szCs w:val="22"/>
        </w:rPr>
        <w:t xml:space="preserve">as a denomination of at least </w:t>
      </w:r>
      <w:r w:rsidRPr="00FB2F3D">
        <w:rPr>
          <w:rFonts w:ascii="Arial" w:hAnsi="Arial" w:cs="Arial"/>
          <w:sz w:val="22"/>
          <w:szCs w:val="22"/>
        </w:rPr>
        <w:t xml:space="preserve">$100,000 and the Prospectus is for the purposes of such </w:t>
      </w:r>
      <w:r w:rsidR="004B46BD" w:rsidRPr="00FB2F3D">
        <w:rPr>
          <w:rFonts w:ascii="Arial" w:hAnsi="Arial" w:cs="Arial"/>
          <w:sz w:val="22"/>
          <w:szCs w:val="22"/>
        </w:rPr>
        <w:t>Securities</w:t>
      </w:r>
      <w:r w:rsidRPr="00FB2F3D">
        <w:rPr>
          <w:rFonts w:ascii="Arial" w:hAnsi="Arial" w:cs="Arial"/>
          <w:sz w:val="22"/>
          <w:szCs w:val="22"/>
        </w:rPr>
        <w:t xml:space="preserve"> being admitted to trading on a Recognised </w:t>
      </w:r>
      <w:r w:rsidR="00F82EE7" w:rsidRPr="00FB2F3D">
        <w:rPr>
          <w:rFonts w:ascii="Arial" w:hAnsi="Arial" w:cs="Arial"/>
          <w:sz w:val="22"/>
          <w:szCs w:val="22"/>
        </w:rPr>
        <w:t>Investment Exchange</w:t>
      </w:r>
      <w:r w:rsidRPr="00FB2F3D">
        <w:rPr>
          <w:rFonts w:ascii="Arial" w:hAnsi="Arial" w:cs="Arial"/>
          <w:sz w:val="22"/>
          <w:szCs w:val="22"/>
        </w:rPr>
        <w:t>.</w:t>
      </w:r>
      <w:bookmarkEnd w:id="385"/>
    </w:p>
    <w:p w14:paraId="59DD8AF7" w14:textId="77777777" w:rsidR="00162E0C" w:rsidRPr="00FB2F3D" w:rsidRDefault="00162E0C" w:rsidP="0061693E">
      <w:pPr>
        <w:pStyle w:val="Heading3"/>
        <w:rPr>
          <w:rFonts w:ascii="Arial" w:hAnsi="Arial" w:cs="Arial"/>
          <w:sz w:val="22"/>
          <w:szCs w:val="22"/>
        </w:rPr>
      </w:pPr>
      <w:r w:rsidRPr="00FB2F3D">
        <w:rPr>
          <w:rFonts w:ascii="Arial" w:hAnsi="Arial" w:cs="Arial"/>
          <w:sz w:val="22"/>
          <w:szCs w:val="22"/>
        </w:rPr>
        <w:t>A Person making a Prospectus Offer may use the same Registration Statement in respect of more than one Prospectus Offer provided that:</w:t>
      </w:r>
    </w:p>
    <w:p w14:paraId="2329197F" w14:textId="77777777" w:rsidR="00162E0C" w:rsidRPr="00FB2F3D" w:rsidRDefault="00162E0C" w:rsidP="002856BB">
      <w:pPr>
        <w:pStyle w:val="Heading4"/>
        <w:rPr>
          <w:rFonts w:ascii="Arial" w:hAnsi="Arial" w:cs="Arial"/>
          <w:sz w:val="22"/>
          <w:szCs w:val="22"/>
        </w:rPr>
      </w:pPr>
      <w:bookmarkStart w:id="386" w:name="_Ref410665233"/>
      <w:r w:rsidRPr="00FB2F3D">
        <w:rPr>
          <w:rFonts w:ascii="Arial" w:hAnsi="Arial" w:cs="Arial"/>
          <w:sz w:val="22"/>
          <w:szCs w:val="22"/>
        </w:rPr>
        <w:t>the Registration Statement includes the most recent set of audited financial statements available in respect of the Issuer;</w:t>
      </w:r>
      <w:bookmarkEnd w:id="386"/>
    </w:p>
    <w:p w14:paraId="7AC3E8F6" w14:textId="77777777" w:rsidR="00162E0C" w:rsidRPr="00FB2F3D" w:rsidRDefault="00162E0C" w:rsidP="002856BB">
      <w:pPr>
        <w:pStyle w:val="Heading4"/>
        <w:rPr>
          <w:rFonts w:ascii="Arial" w:hAnsi="Arial" w:cs="Arial"/>
          <w:sz w:val="22"/>
          <w:szCs w:val="22"/>
        </w:rPr>
      </w:pPr>
      <w:r w:rsidRPr="00FB2F3D">
        <w:rPr>
          <w:rFonts w:ascii="Arial" w:hAnsi="Arial" w:cs="Arial"/>
          <w:sz w:val="22"/>
          <w:szCs w:val="22"/>
        </w:rPr>
        <w:lastRenderedPageBreak/>
        <w:t>those financial statements referred to in</w:t>
      </w:r>
      <w:r w:rsidR="008C6200" w:rsidRPr="00FB2F3D">
        <w:rPr>
          <w:rFonts w:ascii="Arial" w:hAnsi="Arial" w:cs="Arial"/>
          <w:sz w:val="22"/>
          <w:szCs w:val="22"/>
        </w:rPr>
        <w:t xml:space="preserve"> </w:t>
      </w:r>
      <w:r w:rsidR="00693841" w:rsidRPr="00FB2F3D">
        <w:rPr>
          <w:rFonts w:ascii="Arial" w:hAnsi="Arial" w:cs="Arial"/>
          <w:sz w:val="22"/>
          <w:szCs w:val="22"/>
        </w:rPr>
        <w:t>(1)</w:t>
      </w:r>
      <w:r w:rsidR="00B317F6" w:rsidRPr="00FB2F3D">
        <w:rPr>
          <w:rFonts w:ascii="Arial" w:hAnsi="Arial" w:cs="Arial"/>
          <w:sz w:val="22"/>
          <w:szCs w:val="22"/>
        </w:rPr>
        <w:t xml:space="preserve"> </w:t>
      </w:r>
      <w:r w:rsidRPr="00FB2F3D">
        <w:rPr>
          <w:rFonts w:ascii="Arial" w:hAnsi="Arial" w:cs="Arial"/>
          <w:sz w:val="22"/>
          <w:szCs w:val="22"/>
        </w:rPr>
        <w:t xml:space="preserve">relate to a period ending not more than 12 months prior to the relevant </w:t>
      </w:r>
      <w:r w:rsidR="00FB37F9" w:rsidRPr="00FB2F3D">
        <w:rPr>
          <w:rFonts w:ascii="Arial" w:hAnsi="Arial" w:cs="Arial"/>
          <w:sz w:val="22"/>
          <w:szCs w:val="22"/>
        </w:rPr>
        <w:t>Offer</w:t>
      </w:r>
      <w:r w:rsidRPr="00FB2F3D">
        <w:rPr>
          <w:rFonts w:ascii="Arial" w:hAnsi="Arial" w:cs="Arial"/>
          <w:sz w:val="22"/>
          <w:szCs w:val="22"/>
        </w:rPr>
        <w:t>; and</w:t>
      </w:r>
    </w:p>
    <w:p w14:paraId="48CD1EAD" w14:textId="44B2101F" w:rsidR="00162E0C" w:rsidRPr="00FB2F3D" w:rsidRDefault="00162E0C" w:rsidP="002856BB">
      <w:pPr>
        <w:pStyle w:val="Heading4"/>
        <w:rPr>
          <w:rFonts w:ascii="Arial" w:hAnsi="Arial" w:cs="Arial"/>
          <w:sz w:val="22"/>
          <w:szCs w:val="22"/>
        </w:rPr>
      </w:pPr>
      <w:r w:rsidRPr="00FB2F3D">
        <w:rPr>
          <w:rFonts w:ascii="Arial" w:hAnsi="Arial" w:cs="Arial"/>
          <w:sz w:val="22"/>
          <w:szCs w:val="22"/>
        </w:rPr>
        <w:t xml:space="preserve">since the date of the Registration Statement, the </w:t>
      </w:r>
      <w:r w:rsidR="00222FEC" w:rsidRPr="00FB2F3D">
        <w:rPr>
          <w:rFonts w:ascii="Arial" w:hAnsi="Arial" w:cs="Arial"/>
          <w:sz w:val="22"/>
          <w:szCs w:val="22"/>
        </w:rPr>
        <w:t>Reporting Entity</w:t>
      </w:r>
      <w:r w:rsidRPr="00FB2F3D">
        <w:rPr>
          <w:rFonts w:ascii="Arial" w:hAnsi="Arial" w:cs="Arial"/>
          <w:sz w:val="22"/>
          <w:szCs w:val="22"/>
        </w:rPr>
        <w:t xml:space="preserve"> filing the Prospectus has complied with its </w:t>
      </w:r>
      <w:r w:rsidR="00BA5173">
        <w:rPr>
          <w:rFonts w:ascii="Arial" w:hAnsi="Arial" w:cs="Arial"/>
          <w:sz w:val="22"/>
          <w:szCs w:val="22"/>
        </w:rPr>
        <w:t>D</w:t>
      </w:r>
      <w:r w:rsidRPr="00FB2F3D">
        <w:rPr>
          <w:rFonts w:ascii="Arial" w:hAnsi="Arial" w:cs="Arial"/>
          <w:sz w:val="22"/>
          <w:szCs w:val="22"/>
        </w:rPr>
        <w:t xml:space="preserve">isclosure obligations in </w:t>
      </w:r>
      <w:r w:rsidR="00B22D02" w:rsidRPr="00FB2F3D">
        <w:rPr>
          <w:rFonts w:ascii="Arial" w:hAnsi="Arial" w:cs="Arial"/>
          <w:sz w:val="22"/>
          <w:szCs w:val="22"/>
        </w:rPr>
        <w:t>Rule </w:t>
      </w:r>
      <w:r w:rsidR="00693841" w:rsidRPr="00FB2F3D">
        <w:rPr>
          <w:rFonts w:ascii="Arial" w:hAnsi="Arial" w:cs="Arial"/>
          <w:sz w:val="22"/>
          <w:szCs w:val="22"/>
        </w:rPr>
        <w:t>6.2.9</w:t>
      </w:r>
      <w:r w:rsidRPr="00FB2F3D">
        <w:rPr>
          <w:rFonts w:ascii="Arial" w:hAnsi="Arial" w:cs="Arial"/>
          <w:sz w:val="22"/>
          <w:szCs w:val="22"/>
        </w:rPr>
        <w:t xml:space="preserve"> relating to the category of </w:t>
      </w:r>
      <w:r w:rsidR="004B46BD" w:rsidRPr="00FB2F3D">
        <w:rPr>
          <w:rFonts w:ascii="Arial" w:hAnsi="Arial" w:cs="Arial"/>
          <w:sz w:val="22"/>
          <w:szCs w:val="22"/>
        </w:rPr>
        <w:t>Securities</w:t>
      </w:r>
      <w:r w:rsidRPr="00FB2F3D">
        <w:rPr>
          <w:rFonts w:ascii="Arial" w:hAnsi="Arial" w:cs="Arial"/>
          <w:sz w:val="22"/>
          <w:szCs w:val="22"/>
        </w:rPr>
        <w:t xml:space="preserve"> to which the Prospectus relates.</w:t>
      </w:r>
    </w:p>
    <w:p w14:paraId="001EAFB0" w14:textId="77777777" w:rsidR="00162E0C" w:rsidRPr="00FB2F3D" w:rsidRDefault="00162E0C" w:rsidP="0061693E">
      <w:pPr>
        <w:pStyle w:val="Heading3"/>
        <w:rPr>
          <w:rFonts w:ascii="Arial" w:hAnsi="Arial" w:cs="Arial"/>
          <w:sz w:val="22"/>
          <w:szCs w:val="22"/>
        </w:rPr>
      </w:pPr>
      <w:r w:rsidRPr="00FB2F3D">
        <w:rPr>
          <w:rFonts w:ascii="Arial" w:hAnsi="Arial" w:cs="Arial"/>
          <w:sz w:val="22"/>
          <w:szCs w:val="22"/>
        </w:rPr>
        <w:t xml:space="preserve">Where a Prospectus contains a Registration Statement produced prior to the date of the Summary and the </w:t>
      </w:r>
      <w:r w:rsidR="004B46BD" w:rsidRPr="00FB2F3D">
        <w:rPr>
          <w:rFonts w:ascii="Arial" w:hAnsi="Arial" w:cs="Arial"/>
          <w:sz w:val="22"/>
          <w:szCs w:val="22"/>
        </w:rPr>
        <w:t>Securities</w:t>
      </w:r>
      <w:r w:rsidRPr="00FB2F3D">
        <w:rPr>
          <w:rFonts w:ascii="Arial" w:hAnsi="Arial" w:cs="Arial"/>
          <w:sz w:val="22"/>
          <w:szCs w:val="22"/>
        </w:rPr>
        <w:t xml:space="preserve"> Note, the Person producing the Prospectus must ensure that both the Summary and the </w:t>
      </w:r>
      <w:r w:rsidR="004B46BD" w:rsidRPr="00FB2F3D">
        <w:rPr>
          <w:rFonts w:ascii="Arial" w:hAnsi="Arial" w:cs="Arial"/>
          <w:sz w:val="22"/>
          <w:szCs w:val="22"/>
        </w:rPr>
        <w:t>Securities</w:t>
      </w:r>
      <w:r w:rsidRPr="00FB2F3D">
        <w:rPr>
          <w:rFonts w:ascii="Arial" w:hAnsi="Arial" w:cs="Arial"/>
          <w:sz w:val="22"/>
          <w:szCs w:val="22"/>
        </w:rPr>
        <w:t xml:space="preserve"> Note:</w:t>
      </w:r>
    </w:p>
    <w:p w14:paraId="3446A870" w14:textId="77777777" w:rsidR="00162E0C" w:rsidRPr="00FB2F3D" w:rsidRDefault="00162E0C" w:rsidP="002856BB">
      <w:pPr>
        <w:pStyle w:val="Heading4"/>
        <w:rPr>
          <w:rFonts w:ascii="Arial" w:hAnsi="Arial" w:cs="Arial"/>
          <w:sz w:val="22"/>
          <w:szCs w:val="22"/>
        </w:rPr>
      </w:pPr>
      <w:r w:rsidRPr="00FB2F3D">
        <w:rPr>
          <w:rFonts w:ascii="Arial" w:hAnsi="Arial" w:cs="Arial"/>
          <w:sz w:val="22"/>
          <w:szCs w:val="22"/>
        </w:rPr>
        <w:t>state the date of preparation of the Registration Statement; and</w:t>
      </w:r>
    </w:p>
    <w:p w14:paraId="15B89EB1" w14:textId="77777777" w:rsidR="00162E0C" w:rsidRPr="00FB2F3D" w:rsidRDefault="00162E0C" w:rsidP="002856BB">
      <w:pPr>
        <w:pStyle w:val="Heading4"/>
        <w:rPr>
          <w:rFonts w:ascii="Arial" w:hAnsi="Arial" w:cs="Arial"/>
          <w:sz w:val="22"/>
          <w:szCs w:val="22"/>
        </w:rPr>
      </w:pPr>
      <w:r w:rsidRPr="00FB2F3D">
        <w:rPr>
          <w:rFonts w:ascii="Arial" w:hAnsi="Arial" w:cs="Arial"/>
          <w:sz w:val="22"/>
          <w:szCs w:val="22"/>
        </w:rPr>
        <w:t xml:space="preserve">update any disclosure in the Registration Statement to the extent necessary in order to comply with these Rules by setting out on the front page of the </w:t>
      </w:r>
      <w:r w:rsidR="004B46BD" w:rsidRPr="00FB2F3D">
        <w:rPr>
          <w:rFonts w:ascii="Arial" w:hAnsi="Arial" w:cs="Arial"/>
          <w:sz w:val="22"/>
          <w:szCs w:val="22"/>
        </w:rPr>
        <w:t>Securities</w:t>
      </w:r>
      <w:r w:rsidRPr="00FB2F3D">
        <w:rPr>
          <w:rFonts w:ascii="Arial" w:hAnsi="Arial" w:cs="Arial"/>
          <w:sz w:val="22"/>
          <w:szCs w:val="22"/>
        </w:rPr>
        <w:t xml:space="preserve"> Note:</w:t>
      </w:r>
    </w:p>
    <w:p w14:paraId="66ACB188" w14:textId="77777777" w:rsidR="00162E0C" w:rsidRPr="00FB2F3D" w:rsidRDefault="00162E0C" w:rsidP="002856BB">
      <w:pPr>
        <w:pStyle w:val="Heading5"/>
        <w:rPr>
          <w:rFonts w:ascii="Arial" w:hAnsi="Arial" w:cs="Arial"/>
          <w:sz w:val="22"/>
          <w:szCs w:val="22"/>
        </w:rPr>
      </w:pPr>
      <w:r w:rsidRPr="00FB2F3D">
        <w:rPr>
          <w:rFonts w:ascii="Arial" w:hAnsi="Arial" w:cs="Arial"/>
          <w:sz w:val="22"/>
          <w:szCs w:val="22"/>
        </w:rPr>
        <w:t>if relevant, the website at which any subsequent disclosure is available; and</w:t>
      </w:r>
    </w:p>
    <w:p w14:paraId="0A23A851" w14:textId="77777777" w:rsidR="00162E0C" w:rsidRPr="00FB2F3D" w:rsidRDefault="00162E0C" w:rsidP="002856BB">
      <w:pPr>
        <w:pStyle w:val="Heading5"/>
        <w:rPr>
          <w:rFonts w:ascii="Arial" w:hAnsi="Arial" w:cs="Arial"/>
          <w:sz w:val="22"/>
          <w:szCs w:val="22"/>
        </w:rPr>
      </w:pPr>
      <w:r w:rsidRPr="00FB2F3D">
        <w:rPr>
          <w:rFonts w:ascii="Arial" w:hAnsi="Arial" w:cs="Arial"/>
          <w:sz w:val="22"/>
          <w:szCs w:val="22"/>
        </w:rPr>
        <w:t>an address at which the full text of any such disclosures is made available free of charge.</w:t>
      </w:r>
    </w:p>
    <w:p w14:paraId="14FCF336"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470B128B" w14:textId="7E214AAD" w:rsidR="00162E0C" w:rsidRPr="00FB2F3D" w:rsidRDefault="00162E0C" w:rsidP="00DB61C9">
      <w:pPr>
        <w:pStyle w:val="GuidanceNotesnumbering"/>
        <w:numPr>
          <w:ilvl w:val="0"/>
          <w:numId w:val="34"/>
        </w:numPr>
        <w:rPr>
          <w:rFonts w:ascii="Arial" w:hAnsi="Arial" w:cs="Arial"/>
          <w:sz w:val="22"/>
          <w:szCs w:val="22"/>
        </w:rPr>
      </w:pPr>
      <w:r w:rsidRPr="00FB2F3D">
        <w:rPr>
          <w:rFonts w:ascii="Arial" w:hAnsi="Arial" w:cs="Arial"/>
          <w:sz w:val="22"/>
          <w:szCs w:val="22"/>
        </w:rPr>
        <w:t xml:space="preserve">The above provisions are designed to provide flexibility so that Persons making Prospectus Offers can make multiple </w:t>
      </w:r>
      <w:r w:rsidR="00FB37F9" w:rsidRPr="00FB2F3D">
        <w:rPr>
          <w:rFonts w:ascii="Arial" w:hAnsi="Arial" w:cs="Arial"/>
          <w:sz w:val="22"/>
          <w:szCs w:val="22"/>
        </w:rPr>
        <w:t>Offers</w:t>
      </w:r>
      <w:r w:rsidRPr="00FB2F3D">
        <w:rPr>
          <w:rFonts w:ascii="Arial" w:hAnsi="Arial" w:cs="Arial"/>
          <w:sz w:val="22"/>
          <w:szCs w:val="22"/>
        </w:rPr>
        <w:t xml:space="preserve"> using the same Registration Statement. However, care should be taken to ensure that the Registration Statement and the </w:t>
      </w:r>
      <w:r w:rsidR="004B46BD" w:rsidRPr="00FB2F3D">
        <w:rPr>
          <w:rFonts w:ascii="Arial" w:hAnsi="Arial" w:cs="Arial"/>
          <w:sz w:val="22"/>
          <w:szCs w:val="22"/>
        </w:rPr>
        <w:t>Securities</w:t>
      </w:r>
      <w:r w:rsidRPr="00FB2F3D">
        <w:rPr>
          <w:rFonts w:ascii="Arial" w:hAnsi="Arial" w:cs="Arial"/>
          <w:sz w:val="22"/>
          <w:szCs w:val="22"/>
        </w:rPr>
        <w:t xml:space="preserve"> Note together provide all the information required to be contained in a Prospectus pursuant to section </w:t>
      </w:r>
      <w:r w:rsidR="00A1188A" w:rsidRPr="00FB2F3D">
        <w:rPr>
          <w:rFonts w:ascii="Arial" w:hAnsi="Arial" w:cs="Arial"/>
          <w:sz w:val="22"/>
          <w:szCs w:val="22"/>
        </w:rPr>
        <w:t>6</w:t>
      </w:r>
      <w:r w:rsidR="00A64301" w:rsidRPr="00FB2F3D">
        <w:rPr>
          <w:rFonts w:ascii="Arial" w:hAnsi="Arial" w:cs="Arial"/>
          <w:sz w:val="22"/>
          <w:szCs w:val="22"/>
        </w:rPr>
        <w:t>2</w:t>
      </w:r>
      <w:r w:rsidRPr="00FB2F3D">
        <w:rPr>
          <w:rFonts w:ascii="Arial" w:hAnsi="Arial" w:cs="Arial"/>
          <w:sz w:val="22"/>
          <w:szCs w:val="22"/>
        </w:rPr>
        <w:t xml:space="preserve"> of the FSMR and these Rules.</w:t>
      </w:r>
    </w:p>
    <w:p w14:paraId="0ED3339E" w14:textId="77777777" w:rsidR="00162E0C" w:rsidRPr="00FB2F3D" w:rsidRDefault="00162E0C" w:rsidP="00F82EE7">
      <w:pPr>
        <w:pStyle w:val="GuidanceNotesnumbering"/>
        <w:rPr>
          <w:rFonts w:ascii="Arial" w:hAnsi="Arial" w:cs="Arial"/>
          <w:sz w:val="22"/>
          <w:szCs w:val="22"/>
        </w:rPr>
      </w:pPr>
      <w:r w:rsidRPr="00FB2F3D">
        <w:rPr>
          <w:rFonts w:ascii="Arial" w:hAnsi="Arial" w:cs="Arial"/>
          <w:sz w:val="22"/>
          <w:szCs w:val="22"/>
        </w:rPr>
        <w:t xml:space="preserve">There are additional disclosure requirements applicable to Islamic </w:t>
      </w:r>
      <w:r w:rsidR="004B46BD" w:rsidRPr="00FB2F3D">
        <w:rPr>
          <w:rFonts w:ascii="Arial" w:hAnsi="Arial" w:cs="Arial"/>
          <w:sz w:val="22"/>
          <w:szCs w:val="22"/>
        </w:rPr>
        <w:t>Securities</w:t>
      </w:r>
      <w:r w:rsidRPr="00FB2F3D">
        <w:rPr>
          <w:rFonts w:ascii="Arial" w:hAnsi="Arial" w:cs="Arial"/>
          <w:sz w:val="22"/>
          <w:szCs w:val="22"/>
        </w:rPr>
        <w:t xml:space="preserve"> contained in the</w:t>
      </w:r>
      <w:r w:rsidR="007B224F" w:rsidRPr="00FB2F3D">
        <w:rPr>
          <w:rFonts w:ascii="Arial" w:hAnsi="Arial" w:cs="Arial"/>
          <w:sz w:val="22"/>
          <w:szCs w:val="22"/>
        </w:rPr>
        <w:t xml:space="preserve"> IFR </w:t>
      </w:r>
      <w:r w:rsidR="00F82EE7" w:rsidRPr="00FB2F3D">
        <w:rPr>
          <w:rFonts w:ascii="Arial" w:hAnsi="Arial" w:cs="Arial"/>
          <w:sz w:val="22"/>
          <w:szCs w:val="22"/>
        </w:rPr>
        <w:t>Rul</w:t>
      </w:r>
      <w:r w:rsidR="007B224F" w:rsidRPr="00FB2F3D">
        <w:rPr>
          <w:rFonts w:ascii="Arial" w:hAnsi="Arial" w:cs="Arial"/>
          <w:sz w:val="22"/>
          <w:szCs w:val="22"/>
        </w:rPr>
        <w:t>e</w:t>
      </w:r>
      <w:r w:rsidR="00F82EE7" w:rsidRPr="00FB2F3D">
        <w:rPr>
          <w:rFonts w:ascii="Arial" w:hAnsi="Arial" w:cs="Arial"/>
          <w:sz w:val="22"/>
          <w:szCs w:val="22"/>
        </w:rPr>
        <w:t>book</w:t>
      </w:r>
      <w:r w:rsidR="007B224F" w:rsidRPr="00FB2F3D">
        <w:rPr>
          <w:rFonts w:ascii="Arial" w:hAnsi="Arial" w:cs="Arial"/>
          <w:sz w:val="22"/>
          <w:szCs w:val="22"/>
        </w:rPr>
        <w:t>.</w:t>
      </w:r>
    </w:p>
    <w:p w14:paraId="576FF50F" w14:textId="29FCFE40" w:rsidR="00162E0C" w:rsidRPr="00FB2F3D" w:rsidRDefault="00162E0C" w:rsidP="00F82EE7">
      <w:pPr>
        <w:pStyle w:val="GuidanceNotesnumbering"/>
        <w:rPr>
          <w:rFonts w:ascii="Arial" w:hAnsi="Arial" w:cs="Arial"/>
          <w:sz w:val="22"/>
          <w:szCs w:val="22"/>
        </w:rPr>
      </w:pPr>
      <w:r w:rsidRPr="00FB2F3D">
        <w:rPr>
          <w:rFonts w:ascii="Arial" w:hAnsi="Arial" w:cs="Arial"/>
          <w:sz w:val="22"/>
          <w:szCs w:val="22"/>
        </w:rPr>
        <w:t xml:space="preserve">Where the term "Prospectus Offer" is used in this section reference to a Person, such a Person is either making an Offer of </w:t>
      </w:r>
      <w:r w:rsidR="004B46BD" w:rsidRPr="00FB2F3D">
        <w:rPr>
          <w:rFonts w:ascii="Arial" w:hAnsi="Arial" w:cs="Arial"/>
          <w:sz w:val="22"/>
          <w:szCs w:val="22"/>
        </w:rPr>
        <w:t>Securities</w:t>
      </w:r>
      <w:r w:rsidR="00BA5173">
        <w:rPr>
          <w:rFonts w:ascii="Arial" w:hAnsi="Arial" w:cs="Arial"/>
          <w:sz w:val="22"/>
          <w:szCs w:val="22"/>
        </w:rPr>
        <w:t xml:space="preserve"> and/</w:t>
      </w:r>
      <w:r w:rsidRPr="00FB2F3D">
        <w:rPr>
          <w:rFonts w:ascii="Arial" w:hAnsi="Arial" w:cs="Arial"/>
          <w:sz w:val="22"/>
          <w:szCs w:val="22"/>
        </w:rPr>
        <w:t xml:space="preserve">or seeking to have </w:t>
      </w:r>
      <w:r w:rsidR="004B46BD" w:rsidRPr="00FB2F3D">
        <w:rPr>
          <w:rFonts w:ascii="Arial" w:hAnsi="Arial" w:cs="Arial"/>
          <w:sz w:val="22"/>
          <w:szCs w:val="22"/>
        </w:rPr>
        <w:t>Securities</w:t>
      </w:r>
      <w:r w:rsidRPr="00FB2F3D">
        <w:rPr>
          <w:rFonts w:ascii="Arial" w:hAnsi="Arial" w:cs="Arial"/>
          <w:sz w:val="22"/>
          <w:szCs w:val="22"/>
        </w:rPr>
        <w:t xml:space="preserve"> admitted to trading on a Recognised </w:t>
      </w:r>
      <w:r w:rsidR="00F82EE7" w:rsidRPr="00FB2F3D">
        <w:rPr>
          <w:rFonts w:ascii="Arial" w:hAnsi="Arial" w:cs="Arial"/>
          <w:sz w:val="22"/>
          <w:szCs w:val="22"/>
        </w:rPr>
        <w:t>Investment Exchange</w:t>
      </w:r>
      <w:r w:rsidRPr="00FB2F3D">
        <w:rPr>
          <w:rFonts w:ascii="Arial" w:hAnsi="Arial" w:cs="Arial"/>
          <w:sz w:val="22"/>
          <w:szCs w:val="22"/>
        </w:rPr>
        <w:t xml:space="preserve">. </w:t>
      </w:r>
    </w:p>
    <w:p w14:paraId="7D193748"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Application forms</w:t>
      </w:r>
    </w:p>
    <w:p w14:paraId="4B6AC881" w14:textId="69B2A21B" w:rsidR="00162E0C" w:rsidRPr="00FB2F3D" w:rsidRDefault="00162E0C" w:rsidP="00FA1F32">
      <w:pPr>
        <w:pStyle w:val="Heading3"/>
        <w:keepNext/>
        <w:rPr>
          <w:rFonts w:ascii="Arial" w:hAnsi="Arial" w:cs="Arial"/>
          <w:sz w:val="22"/>
          <w:szCs w:val="22"/>
        </w:rPr>
      </w:pPr>
      <w:bookmarkStart w:id="387" w:name="_Ref410049761"/>
      <w:bookmarkStart w:id="388" w:name="_Ref410631319"/>
      <w:r w:rsidRPr="00FB2F3D">
        <w:rPr>
          <w:rFonts w:ascii="Arial" w:hAnsi="Arial" w:cs="Arial"/>
          <w:sz w:val="22"/>
          <w:szCs w:val="22"/>
        </w:rPr>
        <w:t xml:space="preserve">A Person making an Offer of </w:t>
      </w:r>
      <w:r w:rsidR="004B46BD" w:rsidRPr="00FB2F3D">
        <w:rPr>
          <w:rFonts w:ascii="Arial" w:hAnsi="Arial" w:cs="Arial"/>
          <w:sz w:val="22"/>
          <w:szCs w:val="22"/>
        </w:rPr>
        <w:t>Securities</w:t>
      </w:r>
      <w:r w:rsidRPr="00FB2F3D">
        <w:rPr>
          <w:rFonts w:ascii="Arial" w:hAnsi="Arial" w:cs="Arial"/>
          <w:sz w:val="22"/>
          <w:szCs w:val="22"/>
        </w:rPr>
        <w:t xml:space="preserve"> must ensure that</w:t>
      </w:r>
      <w:bookmarkEnd w:id="387"/>
      <w:r w:rsidRPr="00FB2F3D">
        <w:rPr>
          <w:rFonts w:ascii="Arial" w:hAnsi="Arial" w:cs="Arial"/>
          <w:sz w:val="22"/>
          <w:szCs w:val="22"/>
        </w:rPr>
        <w:t>:</w:t>
      </w:r>
      <w:bookmarkEnd w:id="388"/>
    </w:p>
    <w:p w14:paraId="5A9AE6BC" w14:textId="77777777" w:rsidR="00162E0C" w:rsidRPr="00FB2F3D" w:rsidRDefault="00F82EE7" w:rsidP="00F82EE7">
      <w:pPr>
        <w:pStyle w:val="Heading5"/>
        <w:numPr>
          <w:ilvl w:val="0"/>
          <w:numId w:val="0"/>
        </w:numPr>
        <w:ind w:left="1440" w:hanging="720"/>
        <w:rPr>
          <w:rFonts w:ascii="Arial" w:hAnsi="Arial" w:cs="Arial"/>
          <w:sz w:val="22"/>
          <w:szCs w:val="22"/>
        </w:rPr>
      </w:pPr>
      <w:r w:rsidRPr="00FB2F3D">
        <w:rPr>
          <w:rFonts w:ascii="Arial" w:hAnsi="Arial" w:cs="Arial"/>
          <w:sz w:val="22"/>
          <w:szCs w:val="22"/>
        </w:rPr>
        <w:t>(1)</w:t>
      </w:r>
      <w:r w:rsidRPr="00FB2F3D">
        <w:rPr>
          <w:rFonts w:ascii="Arial" w:hAnsi="Arial" w:cs="Arial"/>
          <w:sz w:val="22"/>
          <w:szCs w:val="22"/>
        </w:rPr>
        <w:tab/>
      </w:r>
      <w:r w:rsidR="00162E0C" w:rsidRPr="00FB2F3D">
        <w:rPr>
          <w:rFonts w:ascii="Arial" w:hAnsi="Arial" w:cs="Arial"/>
          <w:sz w:val="22"/>
          <w:szCs w:val="22"/>
        </w:rPr>
        <w:t xml:space="preserve">an application form for the issue or sale of the </w:t>
      </w:r>
      <w:r w:rsidR="004B46BD" w:rsidRPr="00FB2F3D">
        <w:rPr>
          <w:rFonts w:ascii="Arial" w:hAnsi="Arial" w:cs="Arial"/>
          <w:sz w:val="22"/>
          <w:szCs w:val="22"/>
        </w:rPr>
        <w:t>Securities</w:t>
      </w:r>
      <w:r w:rsidR="00162E0C" w:rsidRPr="00FB2F3D">
        <w:rPr>
          <w:rFonts w:ascii="Arial" w:hAnsi="Arial" w:cs="Arial"/>
          <w:sz w:val="22"/>
          <w:szCs w:val="22"/>
        </w:rPr>
        <w:t xml:space="preserve"> which are the subject of the Prospectus Offer is not provided to any Person unless it is included in or accompanied by the relevant Prospectus; and</w:t>
      </w:r>
    </w:p>
    <w:p w14:paraId="0392AD64" w14:textId="77777777" w:rsidR="00162E0C" w:rsidRPr="00FB2F3D" w:rsidRDefault="00F82EE7" w:rsidP="00F82EE7">
      <w:pPr>
        <w:pStyle w:val="Heading5"/>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162E0C" w:rsidRPr="00FB2F3D">
        <w:rPr>
          <w:rFonts w:ascii="Arial" w:hAnsi="Arial" w:cs="Arial"/>
          <w:sz w:val="22"/>
          <w:szCs w:val="22"/>
        </w:rPr>
        <w:t>only applications in the form included or attached to the Prospectus are accepted.</w:t>
      </w:r>
    </w:p>
    <w:p w14:paraId="2D1288CE" w14:textId="77777777" w:rsidR="00162E0C" w:rsidRPr="00FB2F3D" w:rsidRDefault="00162E0C" w:rsidP="00FA1F32">
      <w:pPr>
        <w:pStyle w:val="TitleL"/>
        <w:rPr>
          <w:rFonts w:ascii="Arial" w:hAnsi="Arial" w:cs="Arial"/>
          <w:sz w:val="22"/>
          <w:szCs w:val="22"/>
        </w:rPr>
      </w:pPr>
      <w:r w:rsidRPr="00FB2F3D">
        <w:rPr>
          <w:rFonts w:ascii="Arial" w:hAnsi="Arial" w:cs="Arial"/>
          <w:sz w:val="22"/>
          <w:szCs w:val="22"/>
        </w:rPr>
        <w:lastRenderedPageBreak/>
        <w:t xml:space="preserve">Requirements relating to Offers of </w:t>
      </w:r>
      <w:r w:rsidR="004B46BD" w:rsidRPr="00FB2F3D">
        <w:rPr>
          <w:rFonts w:ascii="Arial" w:hAnsi="Arial" w:cs="Arial"/>
          <w:sz w:val="22"/>
          <w:szCs w:val="22"/>
        </w:rPr>
        <w:t>Securities</w:t>
      </w:r>
      <w:r w:rsidRPr="00FB2F3D">
        <w:rPr>
          <w:rFonts w:ascii="Arial" w:hAnsi="Arial" w:cs="Arial"/>
          <w:sz w:val="22"/>
          <w:szCs w:val="22"/>
        </w:rPr>
        <w:t xml:space="preserve"> from the ADGM</w:t>
      </w:r>
    </w:p>
    <w:p w14:paraId="3B171882" w14:textId="44215DA8" w:rsidR="00162E0C" w:rsidRPr="00FB2F3D" w:rsidRDefault="00162E0C" w:rsidP="00FA1F32">
      <w:pPr>
        <w:pStyle w:val="Heading3"/>
        <w:keepNext/>
        <w:rPr>
          <w:rFonts w:ascii="Arial" w:hAnsi="Arial" w:cs="Arial"/>
          <w:sz w:val="22"/>
          <w:szCs w:val="22"/>
        </w:rPr>
      </w:pPr>
      <w:bookmarkStart w:id="389" w:name="_Ref410049655"/>
      <w:bookmarkStart w:id="390" w:name="_Ref410631291"/>
      <w:r w:rsidRPr="00FB2F3D">
        <w:rPr>
          <w:rFonts w:ascii="Arial" w:hAnsi="Arial" w:cs="Arial"/>
          <w:sz w:val="22"/>
          <w:szCs w:val="22"/>
        </w:rPr>
        <w:t xml:space="preserve">A Person who makes an Offer of </w:t>
      </w:r>
      <w:r w:rsidR="004B46BD" w:rsidRPr="00FB2F3D">
        <w:rPr>
          <w:rFonts w:ascii="Arial" w:hAnsi="Arial" w:cs="Arial"/>
          <w:sz w:val="22"/>
          <w:szCs w:val="22"/>
        </w:rPr>
        <w:t>Securities</w:t>
      </w:r>
      <w:r w:rsidRPr="00FB2F3D">
        <w:rPr>
          <w:rFonts w:ascii="Arial" w:hAnsi="Arial" w:cs="Arial"/>
          <w:sz w:val="22"/>
          <w:szCs w:val="22"/>
        </w:rPr>
        <w:t xml:space="preserve"> from the ADGM must</w:t>
      </w:r>
      <w:bookmarkEnd w:id="389"/>
      <w:r w:rsidRPr="00FB2F3D">
        <w:rPr>
          <w:rFonts w:ascii="Arial" w:hAnsi="Arial" w:cs="Arial"/>
          <w:sz w:val="22"/>
          <w:szCs w:val="22"/>
        </w:rPr>
        <w:t>:</w:t>
      </w:r>
      <w:bookmarkEnd w:id="390"/>
    </w:p>
    <w:p w14:paraId="00140C9F" w14:textId="77777777" w:rsidR="00162E0C" w:rsidRPr="00FB2F3D" w:rsidRDefault="00162E0C" w:rsidP="002856BB">
      <w:pPr>
        <w:pStyle w:val="Heading4"/>
        <w:rPr>
          <w:rFonts w:ascii="Arial" w:hAnsi="Arial" w:cs="Arial"/>
          <w:sz w:val="22"/>
          <w:szCs w:val="22"/>
        </w:rPr>
      </w:pPr>
      <w:bookmarkStart w:id="391" w:name="_Ref416806816"/>
      <w:r w:rsidRPr="00FB2F3D">
        <w:rPr>
          <w:rFonts w:ascii="Arial" w:hAnsi="Arial" w:cs="Arial"/>
          <w:sz w:val="22"/>
          <w:szCs w:val="22"/>
        </w:rPr>
        <w:t xml:space="preserve">notify the </w:t>
      </w:r>
      <w:r w:rsidR="0035335F" w:rsidRPr="00FB2F3D">
        <w:rPr>
          <w:rFonts w:ascii="Arial" w:hAnsi="Arial" w:cs="Arial"/>
          <w:sz w:val="22"/>
          <w:szCs w:val="22"/>
        </w:rPr>
        <w:t>Regulator</w:t>
      </w:r>
      <w:r w:rsidRPr="00FB2F3D">
        <w:rPr>
          <w:rFonts w:ascii="Arial" w:hAnsi="Arial" w:cs="Arial"/>
          <w:sz w:val="22"/>
          <w:szCs w:val="22"/>
        </w:rPr>
        <w:t xml:space="preserve"> in writing at the timing of filing the Prospectus of any non</w:t>
      </w:r>
      <w:r w:rsidRPr="00FB2F3D">
        <w:rPr>
          <w:rFonts w:ascii="Arial" w:hAnsi="Arial" w:cs="Arial"/>
          <w:sz w:val="22"/>
          <w:szCs w:val="22"/>
        </w:rPr>
        <w:noBreakHyphen/>
        <w:t xml:space="preserve">ADGM jurisdiction into which the </w:t>
      </w:r>
      <w:r w:rsidR="00FB37F9" w:rsidRPr="00FB2F3D">
        <w:rPr>
          <w:rFonts w:ascii="Arial" w:hAnsi="Arial" w:cs="Arial"/>
          <w:sz w:val="22"/>
          <w:szCs w:val="22"/>
        </w:rPr>
        <w:t>Offer</w:t>
      </w:r>
      <w:r w:rsidRPr="00FB2F3D">
        <w:rPr>
          <w:rFonts w:ascii="Arial" w:hAnsi="Arial" w:cs="Arial"/>
          <w:sz w:val="22"/>
          <w:szCs w:val="22"/>
        </w:rPr>
        <w:t xml:space="preserve"> is to be made; and</w:t>
      </w:r>
      <w:bookmarkEnd w:id="391"/>
    </w:p>
    <w:p w14:paraId="1C34D7A0" w14:textId="77777777" w:rsidR="00162E0C" w:rsidRPr="00FB2F3D" w:rsidRDefault="00162E0C" w:rsidP="002856BB">
      <w:pPr>
        <w:pStyle w:val="Heading4"/>
        <w:rPr>
          <w:rFonts w:ascii="Arial" w:hAnsi="Arial" w:cs="Arial"/>
          <w:sz w:val="22"/>
          <w:szCs w:val="22"/>
        </w:rPr>
      </w:pPr>
      <w:r w:rsidRPr="00FB2F3D">
        <w:rPr>
          <w:rFonts w:ascii="Arial" w:hAnsi="Arial" w:cs="Arial"/>
          <w:sz w:val="22"/>
          <w:szCs w:val="22"/>
        </w:rPr>
        <w:t xml:space="preserve">comply with any initial and </w:t>
      </w:r>
      <w:r w:rsidR="00BD765C" w:rsidRPr="00FB2F3D">
        <w:rPr>
          <w:rFonts w:ascii="Arial" w:hAnsi="Arial" w:cs="Arial"/>
          <w:sz w:val="22"/>
          <w:szCs w:val="22"/>
        </w:rPr>
        <w:t>on-going</w:t>
      </w:r>
      <w:r w:rsidRPr="00FB2F3D">
        <w:rPr>
          <w:rFonts w:ascii="Arial" w:hAnsi="Arial" w:cs="Arial"/>
          <w:sz w:val="22"/>
          <w:szCs w:val="22"/>
        </w:rPr>
        <w:t xml:space="preserve"> obligations that are applicable in the jurisdiction in</w:t>
      </w:r>
      <w:r w:rsidR="008C6200" w:rsidRPr="00FB2F3D">
        <w:rPr>
          <w:rFonts w:ascii="Arial" w:hAnsi="Arial" w:cs="Arial"/>
          <w:sz w:val="22"/>
          <w:szCs w:val="22"/>
        </w:rPr>
        <w:t xml:space="preserve"> </w:t>
      </w:r>
      <w:r w:rsidR="00693841" w:rsidRPr="00FB2F3D">
        <w:rPr>
          <w:rFonts w:ascii="Arial" w:hAnsi="Arial" w:cs="Arial"/>
          <w:sz w:val="22"/>
          <w:szCs w:val="22"/>
        </w:rPr>
        <w:t>(1)</w:t>
      </w:r>
      <w:r w:rsidR="00A3381C" w:rsidRPr="00FB2F3D">
        <w:rPr>
          <w:rFonts w:ascii="Arial" w:hAnsi="Arial" w:cs="Arial"/>
          <w:sz w:val="22"/>
          <w:szCs w:val="22"/>
        </w:rPr>
        <w:t xml:space="preserve"> </w:t>
      </w:r>
      <w:r w:rsidRPr="00FB2F3D">
        <w:rPr>
          <w:rFonts w:ascii="Arial" w:hAnsi="Arial" w:cs="Arial"/>
          <w:sz w:val="22"/>
          <w:szCs w:val="22"/>
        </w:rPr>
        <w:t xml:space="preserve">in relation to the </w:t>
      </w:r>
      <w:r w:rsidR="00FB37F9" w:rsidRPr="00FB2F3D">
        <w:rPr>
          <w:rFonts w:ascii="Arial" w:hAnsi="Arial" w:cs="Arial"/>
          <w:sz w:val="22"/>
          <w:szCs w:val="22"/>
        </w:rPr>
        <w:t>Offer</w:t>
      </w:r>
      <w:r w:rsidRPr="00FB2F3D">
        <w:rPr>
          <w:rFonts w:ascii="Arial" w:hAnsi="Arial" w:cs="Arial"/>
          <w:sz w:val="22"/>
          <w:szCs w:val="22"/>
        </w:rPr>
        <w:t>.</w:t>
      </w:r>
    </w:p>
    <w:p w14:paraId="3240E0E1" w14:textId="77777777" w:rsidR="00162E0C" w:rsidRPr="00FB2F3D" w:rsidRDefault="00162E0C" w:rsidP="0061693E">
      <w:pPr>
        <w:pStyle w:val="Heading2"/>
        <w:rPr>
          <w:rFonts w:ascii="Arial" w:hAnsi="Arial" w:cs="Arial"/>
          <w:sz w:val="22"/>
          <w:szCs w:val="22"/>
        </w:rPr>
      </w:pPr>
      <w:bookmarkStart w:id="392" w:name="_Toc409521824"/>
      <w:bookmarkStart w:id="393" w:name="_Ref410049909"/>
      <w:bookmarkStart w:id="394" w:name="_Ref410070995"/>
      <w:bookmarkStart w:id="395" w:name="_Ref410075566"/>
      <w:bookmarkStart w:id="396" w:name="_Ref410075627"/>
      <w:bookmarkStart w:id="397" w:name="_Toc410136221"/>
      <w:bookmarkStart w:id="398" w:name="_Toc410605930"/>
      <w:bookmarkStart w:id="399" w:name="_Ref410628905"/>
      <w:bookmarkStart w:id="400" w:name="_Ref410629079"/>
      <w:bookmarkStart w:id="401" w:name="_Toc410658866"/>
      <w:bookmarkStart w:id="402" w:name="_Toc410658993"/>
      <w:bookmarkStart w:id="403" w:name="_Toc410835540"/>
      <w:bookmarkStart w:id="404" w:name="_Ref416752913"/>
      <w:bookmarkStart w:id="405" w:name="_Ref416752985"/>
      <w:bookmarkStart w:id="406" w:name="_Ref419452940"/>
      <w:bookmarkStart w:id="407" w:name="_Ref419453065"/>
      <w:bookmarkStart w:id="408" w:name="_Toc138325674"/>
      <w:r w:rsidRPr="00FB2F3D">
        <w:rPr>
          <w:rFonts w:ascii="Arial" w:hAnsi="Arial" w:cs="Arial"/>
          <w:sz w:val="22"/>
          <w:szCs w:val="22"/>
        </w:rPr>
        <w:t xml:space="preserve">Approval and publication of a </w:t>
      </w:r>
      <w:r w:rsidR="00F321D2" w:rsidRPr="00FB2F3D">
        <w:rPr>
          <w:rFonts w:ascii="Arial" w:hAnsi="Arial" w:cs="Arial"/>
          <w:sz w:val="22"/>
          <w:szCs w:val="22"/>
        </w:rPr>
        <w:t>Prospectus</w:t>
      </w:r>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14:paraId="7DFFF159" w14:textId="77777777" w:rsidR="00162E0C" w:rsidRPr="00FB2F3D" w:rsidRDefault="00162E0C" w:rsidP="00D113E8">
      <w:pPr>
        <w:pStyle w:val="TitleL"/>
        <w:rPr>
          <w:rFonts w:ascii="Arial" w:hAnsi="Arial" w:cs="Arial"/>
          <w:sz w:val="22"/>
          <w:szCs w:val="22"/>
        </w:rPr>
      </w:pPr>
      <w:r w:rsidRPr="00FB2F3D">
        <w:rPr>
          <w:rFonts w:ascii="Arial" w:hAnsi="Arial" w:cs="Arial"/>
          <w:sz w:val="22"/>
          <w:szCs w:val="22"/>
        </w:rPr>
        <w:t>Application for approval</w:t>
      </w:r>
    </w:p>
    <w:p w14:paraId="5EDAECD3" w14:textId="77777777" w:rsidR="00162E0C" w:rsidRPr="00FB2F3D" w:rsidRDefault="007441BA" w:rsidP="00FA1F32">
      <w:pPr>
        <w:pStyle w:val="Heading3"/>
        <w:ind w:left="1440" w:hanging="1440"/>
        <w:rPr>
          <w:rFonts w:ascii="Arial" w:hAnsi="Arial" w:cs="Arial"/>
          <w:sz w:val="22"/>
          <w:szCs w:val="22"/>
        </w:rPr>
      </w:pPr>
      <w:bookmarkStart w:id="409" w:name="_Ref410049817"/>
      <w:bookmarkStart w:id="410" w:name="_Ref410631373"/>
      <w:r w:rsidRPr="00FB2F3D">
        <w:rPr>
          <w:rFonts w:ascii="Arial" w:hAnsi="Arial" w:cs="Arial"/>
          <w:sz w:val="22"/>
          <w:szCs w:val="22"/>
        </w:rPr>
        <w:t>(1)</w:t>
      </w:r>
      <w:r w:rsidR="00FA1F32" w:rsidRPr="00FB2F3D">
        <w:rPr>
          <w:rFonts w:ascii="Arial" w:hAnsi="Arial" w:cs="Arial"/>
          <w:sz w:val="22"/>
          <w:szCs w:val="22"/>
        </w:rPr>
        <w:tab/>
      </w:r>
      <w:r w:rsidR="00162E0C" w:rsidRPr="00FB2F3D">
        <w:rPr>
          <w:rFonts w:ascii="Arial" w:hAnsi="Arial" w:cs="Arial"/>
          <w:sz w:val="22"/>
          <w:szCs w:val="22"/>
        </w:rPr>
        <w:t xml:space="preserve">For the purposes of </w:t>
      </w:r>
      <w:r w:rsidR="00A1188A" w:rsidRPr="00FB2F3D">
        <w:rPr>
          <w:rFonts w:ascii="Arial" w:hAnsi="Arial" w:cs="Arial"/>
          <w:sz w:val="22"/>
          <w:szCs w:val="22"/>
        </w:rPr>
        <w:t>section 6</w:t>
      </w:r>
      <w:r w:rsidR="00A64301" w:rsidRPr="00FB2F3D">
        <w:rPr>
          <w:rFonts w:ascii="Arial" w:hAnsi="Arial" w:cs="Arial"/>
          <w:sz w:val="22"/>
          <w:szCs w:val="22"/>
        </w:rPr>
        <w:t>1</w:t>
      </w:r>
      <w:r w:rsidR="00A1188A" w:rsidRPr="00FB2F3D">
        <w:rPr>
          <w:rFonts w:ascii="Arial" w:hAnsi="Arial" w:cs="Arial"/>
          <w:sz w:val="22"/>
          <w:szCs w:val="22"/>
        </w:rPr>
        <w:t>(1)</w:t>
      </w:r>
      <w:r w:rsidR="00162E0C" w:rsidRPr="00FB2F3D">
        <w:rPr>
          <w:rFonts w:ascii="Arial" w:hAnsi="Arial" w:cs="Arial"/>
          <w:sz w:val="22"/>
          <w:szCs w:val="22"/>
        </w:rPr>
        <w:t xml:space="preserve"> of the FSMR, a Person intending to make a Prospectus Offer ("</w:t>
      </w:r>
      <w:r w:rsidR="00162E0C" w:rsidRPr="00FB2F3D">
        <w:rPr>
          <w:rFonts w:ascii="Arial" w:hAnsi="Arial" w:cs="Arial"/>
          <w:b/>
          <w:sz w:val="22"/>
          <w:szCs w:val="22"/>
        </w:rPr>
        <w:t>the</w:t>
      </w:r>
      <w:r w:rsidR="00162E0C" w:rsidRPr="00FB2F3D">
        <w:rPr>
          <w:rFonts w:ascii="Arial" w:hAnsi="Arial" w:cs="Arial"/>
          <w:sz w:val="22"/>
          <w:szCs w:val="22"/>
        </w:rPr>
        <w:t xml:space="preserve"> </w:t>
      </w:r>
      <w:r w:rsidR="00874479" w:rsidRPr="00FB2F3D">
        <w:rPr>
          <w:rFonts w:ascii="Arial" w:hAnsi="Arial" w:cs="Arial"/>
          <w:b/>
          <w:sz w:val="22"/>
          <w:szCs w:val="22"/>
        </w:rPr>
        <w:t>Applicant</w:t>
      </w:r>
      <w:r w:rsidR="00162E0C" w:rsidRPr="00FB2F3D">
        <w:rPr>
          <w:rFonts w:ascii="Arial" w:hAnsi="Arial" w:cs="Arial"/>
          <w:sz w:val="22"/>
          <w:szCs w:val="22"/>
        </w:rPr>
        <w:t xml:space="preserve">") must, subject to </w:t>
      </w:r>
      <w:r w:rsidR="00693841" w:rsidRPr="00FB2F3D">
        <w:rPr>
          <w:rFonts w:ascii="Arial" w:hAnsi="Arial" w:cs="Arial"/>
          <w:sz w:val="22"/>
          <w:szCs w:val="22"/>
        </w:rPr>
        <w:t>(2)</w:t>
      </w:r>
      <w:r w:rsidR="00162E0C" w:rsidRPr="00FB2F3D">
        <w:rPr>
          <w:rFonts w:ascii="Arial" w:hAnsi="Arial" w:cs="Arial"/>
          <w:sz w:val="22"/>
          <w:szCs w:val="22"/>
        </w:rPr>
        <w:t xml:space="preserve">, </w:t>
      </w:r>
      <w:r w:rsidR="00693841" w:rsidRPr="00FB2F3D">
        <w:rPr>
          <w:rFonts w:ascii="Arial" w:hAnsi="Arial" w:cs="Arial"/>
          <w:sz w:val="22"/>
          <w:szCs w:val="22"/>
        </w:rPr>
        <w:t>(3)</w:t>
      </w:r>
      <w:r w:rsidR="00B317F6" w:rsidRPr="00FB2F3D">
        <w:rPr>
          <w:rFonts w:ascii="Arial" w:hAnsi="Arial" w:cs="Arial"/>
          <w:sz w:val="22"/>
          <w:szCs w:val="22"/>
        </w:rPr>
        <w:t xml:space="preserve"> </w:t>
      </w:r>
      <w:r w:rsidR="00162E0C" w:rsidRPr="00FB2F3D">
        <w:rPr>
          <w:rFonts w:ascii="Arial" w:hAnsi="Arial" w:cs="Arial"/>
          <w:sz w:val="22"/>
          <w:szCs w:val="22"/>
        </w:rPr>
        <w:t xml:space="preserve">and </w:t>
      </w:r>
      <w:r w:rsidR="00693841" w:rsidRPr="00FB2F3D">
        <w:rPr>
          <w:rFonts w:ascii="Arial" w:hAnsi="Arial" w:cs="Arial"/>
          <w:sz w:val="22"/>
          <w:szCs w:val="22"/>
        </w:rPr>
        <w:t>(4)</w:t>
      </w:r>
      <w:r w:rsidR="00162E0C" w:rsidRPr="00FB2F3D">
        <w:rPr>
          <w:rFonts w:ascii="Arial" w:hAnsi="Arial" w:cs="Arial"/>
          <w:sz w:val="22"/>
          <w:szCs w:val="22"/>
        </w:rPr>
        <w:t xml:space="preserve">, submit to the </w:t>
      </w:r>
      <w:bookmarkEnd w:id="409"/>
      <w:r w:rsidR="0035335F" w:rsidRPr="00FB2F3D">
        <w:rPr>
          <w:rFonts w:ascii="Arial" w:hAnsi="Arial" w:cs="Arial"/>
          <w:sz w:val="22"/>
          <w:szCs w:val="22"/>
        </w:rPr>
        <w:t>Regulator</w:t>
      </w:r>
      <w:r w:rsidR="00162E0C" w:rsidRPr="00FB2F3D">
        <w:rPr>
          <w:rFonts w:ascii="Arial" w:hAnsi="Arial" w:cs="Arial"/>
          <w:sz w:val="22"/>
          <w:szCs w:val="22"/>
        </w:rPr>
        <w:t>:</w:t>
      </w:r>
      <w:bookmarkEnd w:id="410"/>
    </w:p>
    <w:p w14:paraId="0FBC407C" w14:textId="77777777" w:rsidR="00162E0C" w:rsidRPr="00FB2F3D" w:rsidRDefault="00162E0C" w:rsidP="00F82EE7">
      <w:pPr>
        <w:pStyle w:val="Heading5"/>
        <w:rPr>
          <w:rFonts w:ascii="Arial" w:hAnsi="Arial" w:cs="Arial"/>
          <w:sz w:val="22"/>
          <w:szCs w:val="22"/>
        </w:rPr>
      </w:pPr>
      <w:bookmarkStart w:id="411" w:name="_Ref410665250"/>
      <w:r w:rsidRPr="00FB2F3D">
        <w:rPr>
          <w:rFonts w:ascii="Arial" w:hAnsi="Arial" w:cs="Arial"/>
          <w:sz w:val="22"/>
          <w:szCs w:val="22"/>
        </w:rPr>
        <w:t xml:space="preserve">a completed </w:t>
      </w:r>
      <w:r w:rsidR="00447121" w:rsidRPr="00FB2F3D">
        <w:rPr>
          <w:rFonts w:ascii="Arial" w:hAnsi="Arial" w:cs="Arial"/>
          <w:sz w:val="22"/>
          <w:szCs w:val="22"/>
        </w:rPr>
        <w:t>a</w:t>
      </w:r>
      <w:r w:rsidR="00287B05" w:rsidRPr="00FB2F3D">
        <w:rPr>
          <w:rFonts w:ascii="Arial" w:hAnsi="Arial" w:cs="Arial"/>
          <w:sz w:val="22"/>
          <w:szCs w:val="22"/>
        </w:rPr>
        <w:t>pplication</w:t>
      </w:r>
      <w:r w:rsidRPr="00FB2F3D">
        <w:rPr>
          <w:rFonts w:ascii="Arial" w:hAnsi="Arial" w:cs="Arial"/>
          <w:sz w:val="22"/>
          <w:szCs w:val="22"/>
        </w:rPr>
        <w:t xml:space="preserve"> using </w:t>
      </w:r>
      <w:r w:rsidR="006D5436" w:rsidRPr="00FB2F3D">
        <w:rPr>
          <w:rFonts w:ascii="Arial" w:hAnsi="Arial" w:cs="Arial"/>
          <w:sz w:val="22"/>
          <w:szCs w:val="22"/>
        </w:rPr>
        <w:t>such form as the Regulator shall prescribe</w:t>
      </w:r>
      <w:r w:rsidRPr="00FB2F3D">
        <w:rPr>
          <w:rFonts w:ascii="Arial" w:hAnsi="Arial" w:cs="Arial"/>
          <w:sz w:val="22"/>
          <w:szCs w:val="22"/>
        </w:rPr>
        <w:t xml:space="preserve"> and the relevant fee prescribed in </w:t>
      </w:r>
      <w:bookmarkEnd w:id="411"/>
      <w:r w:rsidR="007B224F" w:rsidRPr="00FB2F3D">
        <w:rPr>
          <w:rFonts w:ascii="Arial" w:hAnsi="Arial" w:cs="Arial"/>
          <w:sz w:val="22"/>
          <w:szCs w:val="22"/>
        </w:rPr>
        <w:t xml:space="preserve">the FEES </w:t>
      </w:r>
      <w:r w:rsidR="00F82EE7" w:rsidRPr="00FB2F3D">
        <w:rPr>
          <w:rFonts w:ascii="Arial" w:hAnsi="Arial" w:cs="Arial"/>
          <w:sz w:val="22"/>
          <w:szCs w:val="22"/>
        </w:rPr>
        <w:t>Rulebook</w:t>
      </w:r>
      <w:r w:rsidR="007B224F" w:rsidRPr="00FB2F3D">
        <w:rPr>
          <w:rFonts w:ascii="Arial" w:hAnsi="Arial" w:cs="Arial"/>
          <w:sz w:val="22"/>
          <w:szCs w:val="22"/>
        </w:rPr>
        <w:t>;</w:t>
      </w:r>
    </w:p>
    <w:p w14:paraId="440282C1"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a Prospectus that meets the requirements in Rule </w:t>
      </w:r>
      <w:r w:rsidR="00693841" w:rsidRPr="00FB2F3D">
        <w:rPr>
          <w:rFonts w:ascii="Arial" w:hAnsi="Arial" w:cs="Arial"/>
          <w:sz w:val="22"/>
          <w:szCs w:val="22"/>
        </w:rPr>
        <w:t>4.5</w:t>
      </w:r>
      <w:r w:rsidRPr="00FB2F3D">
        <w:rPr>
          <w:rFonts w:ascii="Arial" w:hAnsi="Arial" w:cs="Arial"/>
          <w:sz w:val="22"/>
          <w:szCs w:val="22"/>
        </w:rPr>
        <w:t>;</w:t>
      </w:r>
    </w:p>
    <w:p w14:paraId="2F5EF850"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 xml:space="preserve">a statement identifying where in the Prospectus the information required in the relevant paragraphs of </w:t>
      </w:r>
      <w:r w:rsidR="00693841" w:rsidRPr="00FB2F3D">
        <w:rPr>
          <w:rFonts w:ascii="Arial" w:hAnsi="Arial" w:cs="Arial"/>
          <w:sz w:val="22"/>
          <w:szCs w:val="22"/>
        </w:rPr>
        <w:t>APP 1</w:t>
      </w:r>
      <w:r w:rsidRPr="00FB2F3D">
        <w:rPr>
          <w:rFonts w:ascii="Arial" w:hAnsi="Arial" w:cs="Arial"/>
          <w:sz w:val="22"/>
          <w:szCs w:val="22"/>
        </w:rPr>
        <w:t xml:space="preserve"> has been included and, where subsequent drafts or versions of the Prospectus are submitted, a marked</w:t>
      </w:r>
      <w:r w:rsidRPr="00FB2F3D">
        <w:rPr>
          <w:rFonts w:ascii="Arial" w:hAnsi="Arial" w:cs="Arial"/>
          <w:sz w:val="22"/>
          <w:szCs w:val="22"/>
        </w:rPr>
        <w:noBreakHyphen/>
        <w:t xml:space="preserve">up version showing the changes from the previous version submitted to the </w:t>
      </w:r>
      <w:r w:rsidR="0035335F" w:rsidRPr="00FB2F3D">
        <w:rPr>
          <w:rFonts w:ascii="Arial" w:hAnsi="Arial" w:cs="Arial"/>
          <w:sz w:val="22"/>
          <w:szCs w:val="22"/>
        </w:rPr>
        <w:t>Regulator</w:t>
      </w:r>
      <w:r w:rsidRPr="00FB2F3D">
        <w:rPr>
          <w:rFonts w:ascii="Arial" w:hAnsi="Arial" w:cs="Arial"/>
          <w:sz w:val="22"/>
          <w:szCs w:val="22"/>
        </w:rPr>
        <w:t>;</w:t>
      </w:r>
    </w:p>
    <w:p w14:paraId="6968D280"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if information is incorporated in the Prospectus by reference to another document, a copy of the information;</w:t>
      </w:r>
    </w:p>
    <w:p w14:paraId="7560769A" w14:textId="77777777" w:rsidR="00162E0C" w:rsidRPr="00FB2F3D" w:rsidRDefault="00162E0C" w:rsidP="00222FEC">
      <w:pPr>
        <w:pStyle w:val="Heading5"/>
        <w:rPr>
          <w:rFonts w:ascii="Arial" w:hAnsi="Arial" w:cs="Arial"/>
          <w:sz w:val="22"/>
          <w:szCs w:val="22"/>
          <w:lang w:eastAsia="ja-JP"/>
        </w:rPr>
      </w:pPr>
      <w:r w:rsidRPr="00FB2F3D">
        <w:rPr>
          <w:rFonts w:ascii="Arial" w:hAnsi="Arial" w:cs="Arial"/>
          <w:sz w:val="22"/>
          <w:szCs w:val="22"/>
        </w:rPr>
        <w:t xml:space="preserve">the identity of the Person who is or intends to be the </w:t>
      </w:r>
      <w:r w:rsidR="00222FEC" w:rsidRPr="00FB2F3D">
        <w:rPr>
          <w:rFonts w:ascii="Arial" w:hAnsi="Arial" w:cs="Arial"/>
          <w:sz w:val="22"/>
          <w:szCs w:val="22"/>
        </w:rPr>
        <w:t>Reporting Entity</w:t>
      </w:r>
      <w:r w:rsidRPr="00FB2F3D">
        <w:rPr>
          <w:rFonts w:ascii="Arial" w:hAnsi="Arial" w:cs="Arial"/>
          <w:sz w:val="22"/>
          <w:szCs w:val="22"/>
        </w:rPr>
        <w:t>;</w:t>
      </w:r>
    </w:p>
    <w:p w14:paraId="10B2E6B0"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contact details of two individuals who are sufficiently knowledgeable</w:t>
      </w:r>
      <w:r w:rsidRPr="00FB2F3D">
        <w:rPr>
          <w:rFonts w:ascii="Arial" w:hAnsi="Arial" w:cs="Arial"/>
          <w:sz w:val="22"/>
          <w:szCs w:val="22"/>
          <w:lang w:eastAsia="ja-JP"/>
        </w:rPr>
        <w:t xml:space="preserve"> </w:t>
      </w:r>
      <w:r w:rsidRPr="00FB2F3D">
        <w:rPr>
          <w:rFonts w:ascii="Arial" w:hAnsi="Arial" w:cs="Arial"/>
          <w:sz w:val="22"/>
          <w:szCs w:val="22"/>
        </w:rPr>
        <w:t>about the content of the Prospectus to be able to answer queries of</w:t>
      </w:r>
      <w:r w:rsidRPr="00FB2F3D">
        <w:rPr>
          <w:rFonts w:ascii="Arial" w:hAnsi="Arial" w:cs="Arial"/>
          <w:sz w:val="22"/>
          <w:szCs w:val="22"/>
          <w:lang w:eastAsia="ja-JP"/>
        </w:rPr>
        <w:t xml:space="preserve"> </w:t>
      </w:r>
      <w:r w:rsidRPr="00FB2F3D">
        <w:rPr>
          <w:rFonts w:ascii="Arial" w:hAnsi="Arial" w:cs="Arial"/>
          <w:sz w:val="22"/>
          <w:szCs w:val="22"/>
        </w:rPr>
        <w:t xml:space="preserve">the </w:t>
      </w:r>
      <w:r w:rsidR="0035335F" w:rsidRPr="00FB2F3D">
        <w:rPr>
          <w:rFonts w:ascii="Arial" w:hAnsi="Arial" w:cs="Arial"/>
          <w:sz w:val="22"/>
          <w:szCs w:val="22"/>
        </w:rPr>
        <w:t>Regulator</w:t>
      </w:r>
      <w:r w:rsidRPr="00FB2F3D">
        <w:rPr>
          <w:rFonts w:ascii="Arial" w:hAnsi="Arial" w:cs="Arial"/>
          <w:sz w:val="22"/>
          <w:szCs w:val="22"/>
        </w:rPr>
        <w:t xml:space="preserve"> during business hours; and</w:t>
      </w:r>
    </w:p>
    <w:p w14:paraId="3A48A16A" w14:textId="77777777" w:rsidR="00162E0C" w:rsidRPr="00FB2F3D" w:rsidRDefault="00162E0C" w:rsidP="0061693E">
      <w:pPr>
        <w:pStyle w:val="Heading5"/>
        <w:rPr>
          <w:rFonts w:ascii="Arial" w:hAnsi="Arial" w:cs="Arial"/>
          <w:sz w:val="22"/>
          <w:szCs w:val="22"/>
          <w:lang w:eastAsia="ja-JP"/>
        </w:rPr>
      </w:pPr>
      <w:r w:rsidRPr="00FB2F3D">
        <w:rPr>
          <w:rFonts w:ascii="Arial" w:hAnsi="Arial" w:cs="Arial"/>
          <w:sz w:val="22"/>
          <w:szCs w:val="22"/>
        </w:rPr>
        <w:t xml:space="preserve">any other information that the </w:t>
      </w:r>
      <w:r w:rsidR="0035335F" w:rsidRPr="00FB2F3D">
        <w:rPr>
          <w:rFonts w:ascii="Arial" w:hAnsi="Arial" w:cs="Arial"/>
          <w:sz w:val="22"/>
          <w:szCs w:val="22"/>
        </w:rPr>
        <w:t>Regulator</w:t>
      </w:r>
      <w:r w:rsidRPr="00FB2F3D">
        <w:rPr>
          <w:rFonts w:ascii="Arial" w:hAnsi="Arial" w:cs="Arial"/>
          <w:sz w:val="22"/>
          <w:szCs w:val="22"/>
        </w:rPr>
        <w:t xml:space="preserve"> may require.</w:t>
      </w:r>
    </w:p>
    <w:p w14:paraId="0F65312F" w14:textId="77777777" w:rsidR="00162E0C" w:rsidRPr="00FB2F3D" w:rsidRDefault="00162E0C" w:rsidP="0061693E">
      <w:pPr>
        <w:pStyle w:val="Heading4"/>
        <w:rPr>
          <w:rFonts w:ascii="Arial" w:hAnsi="Arial" w:cs="Arial"/>
          <w:sz w:val="22"/>
          <w:szCs w:val="22"/>
        </w:rPr>
      </w:pPr>
      <w:bookmarkStart w:id="412" w:name="_Ref410665277"/>
      <w:r w:rsidRPr="00FB2F3D">
        <w:rPr>
          <w:rFonts w:ascii="Arial" w:hAnsi="Arial" w:cs="Arial"/>
          <w:sz w:val="22"/>
          <w:szCs w:val="22"/>
        </w:rPr>
        <w:t xml:space="preserve">The </w:t>
      </w:r>
      <w:r w:rsidR="00447121" w:rsidRPr="00FB2F3D">
        <w:rPr>
          <w:rFonts w:ascii="Arial" w:hAnsi="Arial" w:cs="Arial"/>
          <w:sz w:val="22"/>
          <w:szCs w:val="22"/>
        </w:rPr>
        <w:t>a</w:t>
      </w:r>
      <w:r w:rsidR="00287B05" w:rsidRPr="00FB2F3D">
        <w:rPr>
          <w:rFonts w:ascii="Arial" w:hAnsi="Arial" w:cs="Arial"/>
          <w:sz w:val="22"/>
          <w:szCs w:val="22"/>
        </w:rPr>
        <w:t>pplication</w:t>
      </w:r>
      <w:r w:rsidRPr="00FB2F3D">
        <w:rPr>
          <w:rFonts w:ascii="Arial" w:hAnsi="Arial" w:cs="Arial"/>
          <w:sz w:val="22"/>
          <w:szCs w:val="22"/>
        </w:rPr>
        <w:t xml:space="preserve"> in </w:t>
      </w:r>
      <w:r w:rsidR="00693841" w:rsidRPr="00FB2F3D">
        <w:rPr>
          <w:rFonts w:ascii="Arial" w:hAnsi="Arial" w:cs="Arial"/>
          <w:sz w:val="22"/>
          <w:szCs w:val="22"/>
        </w:rPr>
        <w:t>(1)</w:t>
      </w:r>
      <w:r w:rsidR="00FA1F32" w:rsidRPr="00FB2F3D">
        <w:rPr>
          <w:rFonts w:ascii="Arial" w:hAnsi="Arial" w:cs="Arial"/>
          <w:sz w:val="22"/>
          <w:szCs w:val="22"/>
        </w:rPr>
        <w:t xml:space="preserve"> </w:t>
      </w:r>
      <w:r w:rsidRPr="00FB2F3D">
        <w:rPr>
          <w:rFonts w:ascii="Arial" w:hAnsi="Arial" w:cs="Arial"/>
          <w:sz w:val="22"/>
          <w:szCs w:val="22"/>
        </w:rPr>
        <w:t xml:space="preserve">must be submitted to the </w:t>
      </w:r>
      <w:r w:rsidR="0035335F" w:rsidRPr="00FB2F3D">
        <w:rPr>
          <w:rFonts w:ascii="Arial" w:hAnsi="Arial" w:cs="Arial"/>
          <w:sz w:val="22"/>
          <w:szCs w:val="22"/>
        </w:rPr>
        <w:t>Regulator</w:t>
      </w:r>
      <w:r w:rsidRPr="00FB2F3D">
        <w:rPr>
          <w:rFonts w:ascii="Arial" w:hAnsi="Arial" w:cs="Arial"/>
          <w:sz w:val="22"/>
          <w:szCs w:val="22"/>
        </w:rPr>
        <w:t>:</w:t>
      </w:r>
      <w:bookmarkEnd w:id="412"/>
    </w:p>
    <w:p w14:paraId="381C8B1A"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 xml:space="preserve">in the case of an </w:t>
      </w:r>
      <w:r w:rsidR="00874479" w:rsidRPr="00FB2F3D">
        <w:rPr>
          <w:rFonts w:ascii="Arial" w:hAnsi="Arial" w:cs="Arial"/>
          <w:sz w:val="22"/>
          <w:szCs w:val="22"/>
        </w:rPr>
        <w:t>Applicant</w:t>
      </w:r>
      <w:r w:rsidRPr="00FB2F3D">
        <w:rPr>
          <w:rFonts w:ascii="Arial" w:hAnsi="Arial" w:cs="Arial"/>
          <w:sz w:val="22"/>
          <w:szCs w:val="22"/>
        </w:rPr>
        <w:t xml:space="preserve"> who has not made a previous Prospectus Offer, at least 20 </w:t>
      </w:r>
      <w:r w:rsidR="00936C69" w:rsidRPr="00FB2F3D">
        <w:rPr>
          <w:rFonts w:ascii="Arial" w:hAnsi="Arial" w:cs="Arial"/>
          <w:sz w:val="22"/>
          <w:szCs w:val="22"/>
        </w:rPr>
        <w:t>Business Day</w:t>
      </w:r>
      <w:r w:rsidRPr="00FB2F3D">
        <w:rPr>
          <w:rFonts w:ascii="Arial" w:hAnsi="Arial" w:cs="Arial"/>
          <w:sz w:val="22"/>
          <w:szCs w:val="22"/>
        </w:rPr>
        <w:t xml:space="preserve">s prior to the intended date on which the </w:t>
      </w:r>
      <w:r w:rsidR="00874479" w:rsidRPr="00FB2F3D">
        <w:rPr>
          <w:rFonts w:ascii="Arial" w:hAnsi="Arial" w:cs="Arial"/>
          <w:sz w:val="22"/>
          <w:szCs w:val="22"/>
        </w:rPr>
        <w:t>Applicant</w:t>
      </w:r>
      <w:r w:rsidRPr="00FB2F3D">
        <w:rPr>
          <w:rFonts w:ascii="Arial" w:hAnsi="Arial" w:cs="Arial"/>
          <w:sz w:val="22"/>
          <w:szCs w:val="22"/>
        </w:rPr>
        <w:t xml:space="preserve"> expects the Prospectus to be approved;</w:t>
      </w:r>
    </w:p>
    <w:p w14:paraId="3A1132AC"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 xml:space="preserve">in other cases, at least 10 </w:t>
      </w:r>
      <w:r w:rsidR="00936C69" w:rsidRPr="00FB2F3D">
        <w:rPr>
          <w:rFonts w:ascii="Arial" w:hAnsi="Arial" w:cs="Arial"/>
          <w:sz w:val="22"/>
          <w:szCs w:val="22"/>
        </w:rPr>
        <w:t>Business Day</w:t>
      </w:r>
      <w:r w:rsidRPr="00FB2F3D">
        <w:rPr>
          <w:rFonts w:ascii="Arial" w:hAnsi="Arial" w:cs="Arial"/>
          <w:sz w:val="22"/>
          <w:szCs w:val="22"/>
        </w:rPr>
        <w:t xml:space="preserve">s prior to the date on which the </w:t>
      </w:r>
      <w:r w:rsidR="00874479" w:rsidRPr="00FB2F3D">
        <w:rPr>
          <w:rFonts w:ascii="Arial" w:hAnsi="Arial" w:cs="Arial"/>
          <w:sz w:val="22"/>
          <w:szCs w:val="22"/>
        </w:rPr>
        <w:t>Applicant</w:t>
      </w:r>
      <w:r w:rsidRPr="00FB2F3D">
        <w:rPr>
          <w:rFonts w:ascii="Arial" w:hAnsi="Arial" w:cs="Arial"/>
          <w:sz w:val="22"/>
          <w:szCs w:val="22"/>
        </w:rPr>
        <w:t xml:space="preserve"> expects the Prospectus to be approved; and</w:t>
      </w:r>
    </w:p>
    <w:p w14:paraId="40D1BC3D"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in the case of a Supplementary Prospectus, as soon as reasonably possible.</w:t>
      </w:r>
    </w:p>
    <w:p w14:paraId="492F3C23" w14:textId="77777777" w:rsidR="00162E0C" w:rsidRPr="00FB2F3D" w:rsidRDefault="00162E0C" w:rsidP="0061693E">
      <w:pPr>
        <w:pStyle w:val="Heading4"/>
        <w:rPr>
          <w:rFonts w:ascii="Arial" w:hAnsi="Arial" w:cs="Arial"/>
          <w:sz w:val="22"/>
          <w:szCs w:val="22"/>
        </w:rPr>
      </w:pPr>
      <w:bookmarkStart w:id="413" w:name="_Ref410665284"/>
      <w:r w:rsidRPr="00FB2F3D">
        <w:rPr>
          <w:rFonts w:ascii="Arial" w:hAnsi="Arial" w:cs="Arial"/>
          <w:sz w:val="22"/>
          <w:szCs w:val="22"/>
        </w:rPr>
        <w:t xml:space="preserve">If the Prospectus comprises multiple documents, the </w:t>
      </w:r>
      <w:r w:rsidR="00447121" w:rsidRPr="00FB2F3D">
        <w:rPr>
          <w:rFonts w:ascii="Arial" w:hAnsi="Arial" w:cs="Arial"/>
          <w:sz w:val="22"/>
          <w:szCs w:val="22"/>
        </w:rPr>
        <w:t>application</w:t>
      </w:r>
      <w:r w:rsidRPr="00FB2F3D">
        <w:rPr>
          <w:rFonts w:ascii="Arial" w:hAnsi="Arial" w:cs="Arial"/>
          <w:sz w:val="22"/>
          <w:szCs w:val="22"/>
        </w:rPr>
        <w:t xml:space="preserve"> for approval must be made using </w:t>
      </w:r>
      <w:r w:rsidR="0029125A" w:rsidRPr="00FB2F3D">
        <w:rPr>
          <w:rFonts w:ascii="Arial" w:hAnsi="Arial" w:cs="Arial"/>
          <w:sz w:val="22"/>
          <w:szCs w:val="22"/>
        </w:rPr>
        <w:t>such form as the Regulator shall prescribe</w:t>
      </w:r>
      <w:r w:rsidRPr="00FB2F3D">
        <w:rPr>
          <w:rFonts w:ascii="Arial" w:hAnsi="Arial" w:cs="Arial"/>
          <w:sz w:val="22"/>
          <w:szCs w:val="22"/>
        </w:rPr>
        <w:t xml:space="preserve"> in relation to one or more of those separate documents.</w:t>
      </w:r>
      <w:bookmarkEnd w:id="413"/>
    </w:p>
    <w:p w14:paraId="3422EB99" w14:textId="77777777" w:rsidR="00162E0C" w:rsidRPr="00FB2F3D" w:rsidRDefault="00162E0C" w:rsidP="00FA1F32">
      <w:pPr>
        <w:pStyle w:val="Heading4"/>
        <w:keepNext/>
        <w:rPr>
          <w:rFonts w:ascii="Arial" w:hAnsi="Arial" w:cs="Arial"/>
          <w:sz w:val="22"/>
          <w:szCs w:val="22"/>
          <w:lang w:eastAsia="ja-JP"/>
        </w:rPr>
      </w:pPr>
      <w:bookmarkStart w:id="414" w:name="_Ref410665289"/>
      <w:r w:rsidRPr="00FB2F3D">
        <w:rPr>
          <w:rFonts w:ascii="Arial" w:hAnsi="Arial" w:cs="Arial"/>
          <w:sz w:val="22"/>
          <w:szCs w:val="22"/>
        </w:rPr>
        <w:lastRenderedPageBreak/>
        <w:t xml:space="preserve">In the case of a Supplementary Prospectus, the </w:t>
      </w:r>
      <w:r w:rsidR="00447121" w:rsidRPr="00FB2F3D">
        <w:rPr>
          <w:rFonts w:ascii="Arial" w:hAnsi="Arial" w:cs="Arial"/>
          <w:sz w:val="22"/>
          <w:szCs w:val="22"/>
        </w:rPr>
        <w:t>application</w:t>
      </w:r>
      <w:r w:rsidRPr="00FB2F3D">
        <w:rPr>
          <w:rFonts w:ascii="Arial" w:hAnsi="Arial" w:cs="Arial"/>
          <w:sz w:val="22"/>
          <w:szCs w:val="22"/>
        </w:rPr>
        <w:t xml:space="preserve"> for approval must:</w:t>
      </w:r>
      <w:bookmarkEnd w:id="414"/>
    </w:p>
    <w:p w14:paraId="3AB5211A"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 xml:space="preserve">be made using </w:t>
      </w:r>
      <w:r w:rsidR="0029125A" w:rsidRPr="00FB2F3D">
        <w:rPr>
          <w:rFonts w:ascii="Arial" w:hAnsi="Arial" w:cs="Arial"/>
          <w:sz w:val="22"/>
          <w:szCs w:val="22"/>
        </w:rPr>
        <w:t>such form as the Regulator shall prescribe</w:t>
      </w:r>
      <w:r w:rsidRPr="00FB2F3D">
        <w:rPr>
          <w:rFonts w:ascii="Arial" w:hAnsi="Arial" w:cs="Arial"/>
          <w:sz w:val="22"/>
          <w:szCs w:val="22"/>
        </w:rPr>
        <w:t>;</w:t>
      </w:r>
    </w:p>
    <w:p w14:paraId="51C3B816" w14:textId="77777777" w:rsidR="00162E0C" w:rsidRPr="00FB2F3D" w:rsidRDefault="00EA5388" w:rsidP="00F82EE7">
      <w:pPr>
        <w:pStyle w:val="Heading5"/>
        <w:rPr>
          <w:rFonts w:ascii="Arial" w:hAnsi="Arial" w:cs="Arial"/>
          <w:sz w:val="22"/>
          <w:szCs w:val="22"/>
        </w:rPr>
      </w:pPr>
      <w:r w:rsidRPr="00FB2F3D">
        <w:rPr>
          <w:rFonts w:ascii="Arial" w:hAnsi="Arial" w:cs="Arial"/>
          <w:sz w:val="22"/>
          <w:szCs w:val="22"/>
        </w:rPr>
        <w:t xml:space="preserve">be </w:t>
      </w:r>
      <w:r w:rsidR="00162E0C" w:rsidRPr="00FB2F3D">
        <w:rPr>
          <w:rFonts w:ascii="Arial" w:hAnsi="Arial" w:cs="Arial"/>
          <w:sz w:val="22"/>
          <w:szCs w:val="22"/>
        </w:rPr>
        <w:t xml:space="preserve">accompanied by the relevant fee prescribed in </w:t>
      </w:r>
      <w:r w:rsidR="007B224F" w:rsidRPr="00FB2F3D">
        <w:rPr>
          <w:rFonts w:ascii="Arial" w:hAnsi="Arial" w:cs="Arial"/>
          <w:sz w:val="22"/>
          <w:szCs w:val="22"/>
        </w:rPr>
        <w:t xml:space="preserve">the FEES </w:t>
      </w:r>
      <w:r w:rsidR="00F82EE7" w:rsidRPr="00FB2F3D">
        <w:rPr>
          <w:rFonts w:ascii="Arial" w:hAnsi="Arial" w:cs="Arial"/>
          <w:sz w:val="22"/>
          <w:szCs w:val="22"/>
        </w:rPr>
        <w:t>Rulebook</w:t>
      </w:r>
      <w:r w:rsidR="00162E0C" w:rsidRPr="00FB2F3D">
        <w:rPr>
          <w:rFonts w:ascii="Arial" w:hAnsi="Arial" w:cs="Arial"/>
          <w:sz w:val="22"/>
          <w:szCs w:val="22"/>
        </w:rPr>
        <w:t>; and</w:t>
      </w:r>
    </w:p>
    <w:p w14:paraId="5C7A156F" w14:textId="4F12CDB2" w:rsidR="00162E0C" w:rsidRDefault="00162E0C" w:rsidP="0061693E">
      <w:pPr>
        <w:pStyle w:val="Heading5"/>
        <w:rPr>
          <w:rFonts w:ascii="Arial" w:hAnsi="Arial" w:cs="Arial"/>
          <w:sz w:val="22"/>
          <w:szCs w:val="22"/>
        </w:rPr>
      </w:pPr>
      <w:r w:rsidRPr="00FB2F3D">
        <w:rPr>
          <w:rFonts w:ascii="Arial" w:hAnsi="Arial" w:cs="Arial"/>
          <w:sz w:val="22"/>
          <w:szCs w:val="22"/>
        </w:rPr>
        <w:t>comply with the requirements in Rule </w:t>
      </w:r>
      <w:r w:rsidR="00693841" w:rsidRPr="00FB2F3D">
        <w:rPr>
          <w:rFonts w:ascii="Arial" w:hAnsi="Arial" w:cs="Arial"/>
          <w:sz w:val="22"/>
          <w:szCs w:val="22"/>
        </w:rPr>
        <w:t>4.9.1</w:t>
      </w:r>
      <w:r w:rsidRPr="00FB2F3D">
        <w:rPr>
          <w:rFonts w:ascii="Arial" w:hAnsi="Arial" w:cs="Arial"/>
          <w:sz w:val="22"/>
          <w:szCs w:val="22"/>
        </w:rPr>
        <w:t>.</w:t>
      </w:r>
    </w:p>
    <w:p w14:paraId="1F6A1370" w14:textId="0A5514D5" w:rsidR="00EB2139" w:rsidRDefault="00EB2139" w:rsidP="00EB2139">
      <w:pPr>
        <w:pStyle w:val="TitleL"/>
        <w:rPr>
          <w:rFonts w:ascii="Arial" w:hAnsi="Arial" w:cs="Arial"/>
          <w:sz w:val="22"/>
          <w:szCs w:val="22"/>
        </w:rPr>
      </w:pPr>
      <w:r>
        <w:rPr>
          <w:rFonts w:ascii="Arial" w:hAnsi="Arial" w:cs="Arial"/>
          <w:sz w:val="22"/>
          <w:szCs w:val="22"/>
        </w:rPr>
        <w:t>Guidance</w:t>
      </w:r>
    </w:p>
    <w:p w14:paraId="34E9C403" w14:textId="77777777" w:rsidR="00EB2139" w:rsidRPr="00EB2139" w:rsidRDefault="00EB2139" w:rsidP="00EB2139">
      <w:pPr>
        <w:pStyle w:val="GuidanceNotesnumbering"/>
        <w:numPr>
          <w:ilvl w:val="0"/>
          <w:numId w:val="0"/>
        </w:numPr>
        <w:ind w:left="709"/>
        <w:rPr>
          <w:rFonts w:ascii="Arial" w:hAnsi="Arial" w:cs="Arial"/>
          <w:sz w:val="22"/>
          <w:szCs w:val="22"/>
        </w:rPr>
      </w:pPr>
      <w:r w:rsidRPr="00EB2139">
        <w:rPr>
          <w:rFonts w:ascii="Arial" w:hAnsi="Arial" w:cs="Arial"/>
          <w:sz w:val="22"/>
          <w:szCs w:val="22"/>
        </w:rPr>
        <w:t>A Person intending to apply to the Regulator for approval of a Prospectus pursuant to Rule 4.6.1(1) should consider submitting a draft Prospectus for preliminary review by the Regulator prior to formally submitting the Prospectus for the Regulator's approval.</w:t>
      </w:r>
    </w:p>
    <w:p w14:paraId="52951D50" w14:textId="77777777" w:rsidR="00162E0C" w:rsidRPr="00FB2F3D" w:rsidRDefault="00162E0C" w:rsidP="00FA1F32">
      <w:pPr>
        <w:pStyle w:val="TitleL"/>
        <w:rPr>
          <w:rFonts w:ascii="Arial" w:hAnsi="Arial" w:cs="Arial"/>
          <w:sz w:val="22"/>
          <w:szCs w:val="22"/>
        </w:rPr>
      </w:pPr>
      <w:r w:rsidRPr="00FB2F3D">
        <w:rPr>
          <w:rFonts w:ascii="Arial" w:hAnsi="Arial" w:cs="Arial"/>
          <w:sz w:val="22"/>
          <w:szCs w:val="22"/>
        </w:rPr>
        <w:t xml:space="preserve">Approval of a </w:t>
      </w:r>
      <w:r w:rsidR="00F321D2" w:rsidRPr="00FB2F3D">
        <w:rPr>
          <w:rFonts w:ascii="Arial" w:hAnsi="Arial" w:cs="Arial"/>
          <w:sz w:val="22"/>
          <w:szCs w:val="22"/>
        </w:rPr>
        <w:t>Prospectus</w:t>
      </w:r>
    </w:p>
    <w:p w14:paraId="3D9265AC" w14:textId="7C41B403" w:rsidR="00162E0C" w:rsidRPr="00FB2F3D" w:rsidRDefault="007441BA" w:rsidP="00FA1F32">
      <w:pPr>
        <w:pStyle w:val="Heading3"/>
        <w:ind w:left="1440" w:hanging="1440"/>
        <w:rPr>
          <w:rFonts w:ascii="Arial" w:hAnsi="Arial" w:cs="Arial"/>
          <w:sz w:val="22"/>
          <w:szCs w:val="22"/>
        </w:rPr>
      </w:pPr>
      <w:bookmarkStart w:id="415" w:name="_Ref410049870"/>
      <w:bookmarkStart w:id="416" w:name="_Ref410631529"/>
      <w:r w:rsidRPr="00FB2F3D">
        <w:rPr>
          <w:rFonts w:ascii="Arial" w:hAnsi="Arial" w:cs="Arial"/>
          <w:sz w:val="22"/>
          <w:szCs w:val="22"/>
        </w:rPr>
        <w:t>(1)</w:t>
      </w:r>
      <w:r w:rsidR="00FA1F32" w:rsidRPr="00FB2F3D">
        <w:rPr>
          <w:rFonts w:ascii="Arial" w:hAnsi="Arial" w:cs="Arial"/>
          <w:sz w:val="22"/>
          <w:szCs w:val="22"/>
        </w:rPr>
        <w:tab/>
      </w:r>
      <w:r w:rsidR="00162E0C" w:rsidRPr="00FB2F3D">
        <w:rPr>
          <w:rFonts w:ascii="Arial" w:hAnsi="Arial" w:cs="Arial"/>
          <w:sz w:val="22"/>
          <w:szCs w:val="22"/>
        </w:rPr>
        <w:t xml:space="preserve">The </w:t>
      </w:r>
      <w:r w:rsidR="0035335F" w:rsidRPr="00FB2F3D">
        <w:rPr>
          <w:rFonts w:ascii="Arial" w:hAnsi="Arial" w:cs="Arial"/>
          <w:sz w:val="22"/>
          <w:szCs w:val="22"/>
        </w:rPr>
        <w:t>Regulator</w:t>
      </w:r>
      <w:r w:rsidR="00162E0C" w:rsidRPr="00FB2F3D">
        <w:rPr>
          <w:rFonts w:ascii="Arial" w:hAnsi="Arial" w:cs="Arial"/>
          <w:sz w:val="22"/>
          <w:szCs w:val="22"/>
        </w:rPr>
        <w:t xml:space="preserve"> will only approve a Prospectus which has been filed in accordance with Rule </w:t>
      </w:r>
      <w:r w:rsidR="00693841" w:rsidRPr="00FB2F3D">
        <w:rPr>
          <w:rFonts w:ascii="Arial" w:hAnsi="Arial" w:cs="Arial"/>
          <w:sz w:val="22"/>
          <w:szCs w:val="22"/>
        </w:rPr>
        <w:t>4.6.1</w:t>
      </w:r>
      <w:r w:rsidR="00162E0C" w:rsidRPr="00FB2F3D">
        <w:rPr>
          <w:rFonts w:ascii="Arial" w:hAnsi="Arial" w:cs="Arial"/>
          <w:sz w:val="22"/>
          <w:szCs w:val="22"/>
        </w:rPr>
        <w:t xml:space="preserve"> as soon as reasonably practicable where</w:t>
      </w:r>
      <w:bookmarkEnd w:id="415"/>
      <w:r w:rsidR="00162E0C" w:rsidRPr="00FB2F3D">
        <w:rPr>
          <w:rFonts w:ascii="Arial" w:hAnsi="Arial" w:cs="Arial"/>
          <w:sz w:val="22"/>
          <w:szCs w:val="22"/>
        </w:rPr>
        <w:t>:</w:t>
      </w:r>
      <w:bookmarkEnd w:id="416"/>
    </w:p>
    <w:p w14:paraId="345348A2" w14:textId="77777777" w:rsidR="00162E0C" w:rsidRPr="00FB2F3D" w:rsidRDefault="00162E0C" w:rsidP="00FA1F32">
      <w:pPr>
        <w:pStyle w:val="Heading5"/>
        <w:keepNext/>
        <w:rPr>
          <w:rFonts w:ascii="Arial" w:hAnsi="Arial" w:cs="Arial"/>
          <w:sz w:val="22"/>
          <w:szCs w:val="22"/>
        </w:rPr>
      </w:pPr>
      <w:bookmarkStart w:id="417" w:name="_Ref410665439"/>
      <w:r w:rsidRPr="00FB2F3D">
        <w:rPr>
          <w:rFonts w:ascii="Arial" w:hAnsi="Arial" w:cs="Arial"/>
          <w:sz w:val="22"/>
          <w:szCs w:val="22"/>
        </w:rPr>
        <w:t>it is satisfied that:</w:t>
      </w:r>
      <w:bookmarkEnd w:id="417"/>
    </w:p>
    <w:p w14:paraId="7A163DD3"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the Prospectus meets all the applicable requirements in the FSMR and these Rules; and</w:t>
      </w:r>
    </w:p>
    <w:p w14:paraId="424EB2BA"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 xml:space="preserve">the Board of the Undertaking whose </w:t>
      </w:r>
      <w:r w:rsidR="004B46BD" w:rsidRPr="00FB2F3D">
        <w:rPr>
          <w:rFonts w:ascii="Arial" w:hAnsi="Arial" w:cs="Arial"/>
          <w:sz w:val="22"/>
          <w:szCs w:val="22"/>
        </w:rPr>
        <w:t>Securities</w:t>
      </w:r>
      <w:r w:rsidRPr="00FB2F3D">
        <w:rPr>
          <w:rFonts w:ascii="Arial" w:hAnsi="Arial" w:cs="Arial"/>
          <w:sz w:val="22"/>
          <w:szCs w:val="22"/>
        </w:rPr>
        <w:t xml:space="preserve"> are to be offered complies with, and has adequate systems and controls in place to ensure on</w:t>
      </w:r>
      <w:r w:rsidRPr="00FB2F3D">
        <w:rPr>
          <w:rFonts w:ascii="Arial" w:hAnsi="Arial" w:cs="Arial"/>
          <w:sz w:val="22"/>
          <w:szCs w:val="22"/>
        </w:rPr>
        <w:noBreakHyphen/>
        <w:t>going compliance with, the applicable requirements; and</w:t>
      </w:r>
    </w:p>
    <w:p w14:paraId="602B52C6"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it has received all the necessary consents as required under the requirements in this chapter.</w:t>
      </w:r>
    </w:p>
    <w:p w14:paraId="79136186" w14:textId="77777777" w:rsidR="00162E0C" w:rsidRPr="00FB2F3D" w:rsidRDefault="00162E0C" w:rsidP="0061693E">
      <w:pPr>
        <w:pStyle w:val="Heading4"/>
        <w:rPr>
          <w:rFonts w:ascii="Arial" w:hAnsi="Arial" w:cs="Arial"/>
          <w:sz w:val="22"/>
          <w:szCs w:val="22"/>
        </w:rPr>
      </w:pPr>
      <w:r w:rsidRPr="00FB2F3D">
        <w:rPr>
          <w:rFonts w:ascii="Arial" w:hAnsi="Arial" w:cs="Arial"/>
          <w:sz w:val="22"/>
          <w:szCs w:val="22"/>
        </w:rPr>
        <w:t xml:space="preserve">A Prospectus filed with the </w:t>
      </w:r>
      <w:r w:rsidR="0035335F" w:rsidRPr="00FB2F3D">
        <w:rPr>
          <w:rFonts w:ascii="Arial" w:hAnsi="Arial" w:cs="Arial"/>
          <w:sz w:val="22"/>
          <w:szCs w:val="22"/>
        </w:rPr>
        <w:t>Regulator</w:t>
      </w:r>
      <w:r w:rsidRPr="00FB2F3D">
        <w:rPr>
          <w:rFonts w:ascii="Arial" w:hAnsi="Arial" w:cs="Arial"/>
          <w:sz w:val="22"/>
          <w:szCs w:val="22"/>
        </w:rPr>
        <w:t xml:space="preserve"> is not an Approved Prospectus for the purposes of section </w:t>
      </w:r>
      <w:r w:rsidR="00A1188A" w:rsidRPr="00FB2F3D">
        <w:rPr>
          <w:rFonts w:ascii="Arial" w:hAnsi="Arial" w:cs="Arial"/>
          <w:sz w:val="22"/>
          <w:szCs w:val="22"/>
        </w:rPr>
        <w:t>6</w:t>
      </w:r>
      <w:r w:rsidR="00A64301" w:rsidRPr="00FB2F3D">
        <w:rPr>
          <w:rFonts w:ascii="Arial" w:hAnsi="Arial" w:cs="Arial"/>
          <w:sz w:val="22"/>
          <w:szCs w:val="22"/>
        </w:rPr>
        <w:t>1</w:t>
      </w:r>
      <w:r w:rsidR="00A1188A" w:rsidRPr="00FB2F3D">
        <w:rPr>
          <w:rFonts w:ascii="Arial" w:hAnsi="Arial" w:cs="Arial"/>
          <w:sz w:val="22"/>
          <w:szCs w:val="22"/>
        </w:rPr>
        <w:t>(2)(a)</w:t>
      </w:r>
      <w:r w:rsidRPr="00FB2F3D">
        <w:rPr>
          <w:rFonts w:ascii="Arial" w:hAnsi="Arial" w:cs="Arial"/>
          <w:sz w:val="22"/>
          <w:szCs w:val="22"/>
        </w:rPr>
        <w:t xml:space="preserve"> of the FSMR unless the </w:t>
      </w:r>
      <w:r w:rsidR="0035335F" w:rsidRPr="00FB2F3D">
        <w:rPr>
          <w:rFonts w:ascii="Arial" w:hAnsi="Arial" w:cs="Arial"/>
          <w:sz w:val="22"/>
          <w:szCs w:val="22"/>
        </w:rPr>
        <w:t>Regulator</w:t>
      </w:r>
      <w:r w:rsidRPr="00FB2F3D">
        <w:rPr>
          <w:rFonts w:ascii="Arial" w:hAnsi="Arial" w:cs="Arial"/>
          <w:sz w:val="22"/>
          <w:szCs w:val="22"/>
        </w:rPr>
        <w:t xml:space="preserve"> has issued to the </w:t>
      </w:r>
      <w:r w:rsidR="00874479" w:rsidRPr="00FB2F3D">
        <w:rPr>
          <w:rFonts w:ascii="Arial" w:hAnsi="Arial" w:cs="Arial"/>
          <w:sz w:val="22"/>
          <w:szCs w:val="22"/>
        </w:rPr>
        <w:t>Applicant</w:t>
      </w:r>
      <w:r w:rsidRPr="00FB2F3D">
        <w:rPr>
          <w:rFonts w:ascii="Arial" w:hAnsi="Arial" w:cs="Arial"/>
          <w:sz w:val="22"/>
          <w:szCs w:val="22"/>
        </w:rPr>
        <w:t xml:space="preserve"> a notice stating its approval:</w:t>
      </w:r>
    </w:p>
    <w:p w14:paraId="77914B96" w14:textId="77777777" w:rsidR="00162E0C" w:rsidRPr="00FB2F3D" w:rsidRDefault="00162E0C" w:rsidP="0061693E">
      <w:pPr>
        <w:pStyle w:val="Heading5"/>
        <w:rPr>
          <w:rFonts w:ascii="Arial" w:hAnsi="Arial" w:cs="Arial"/>
          <w:sz w:val="22"/>
          <w:szCs w:val="22"/>
        </w:rPr>
      </w:pPr>
      <w:bookmarkStart w:id="418" w:name="_Ref416815946"/>
      <w:r w:rsidRPr="00FB2F3D">
        <w:rPr>
          <w:rFonts w:ascii="Arial" w:hAnsi="Arial" w:cs="Arial"/>
          <w:sz w:val="22"/>
          <w:szCs w:val="22"/>
        </w:rPr>
        <w:t>of the Prospectus or the Supplementary Prospectus as the case may be; and</w:t>
      </w:r>
      <w:bookmarkEnd w:id="418"/>
    </w:p>
    <w:p w14:paraId="1C0DA7B7"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 xml:space="preserve">in the case of a Prospectus in </w:t>
      </w:r>
      <w:r w:rsidR="00693841" w:rsidRPr="00FB2F3D">
        <w:rPr>
          <w:rFonts w:ascii="Arial" w:hAnsi="Arial" w:cs="Arial"/>
          <w:sz w:val="22"/>
          <w:szCs w:val="22"/>
        </w:rPr>
        <w:t>(a)</w:t>
      </w:r>
      <w:r w:rsidR="00A3381C" w:rsidRPr="00FB2F3D">
        <w:rPr>
          <w:rFonts w:ascii="Arial" w:hAnsi="Arial" w:cs="Arial"/>
          <w:sz w:val="22"/>
          <w:szCs w:val="22"/>
        </w:rPr>
        <w:t xml:space="preserve"> </w:t>
      </w:r>
      <w:r w:rsidRPr="00FB2F3D">
        <w:rPr>
          <w:rFonts w:ascii="Arial" w:hAnsi="Arial" w:cs="Arial"/>
          <w:sz w:val="22"/>
          <w:szCs w:val="22"/>
        </w:rPr>
        <w:t>comprising multiple documents, of all the multiple documents.</w:t>
      </w:r>
    </w:p>
    <w:p w14:paraId="52E7D273" w14:textId="77777777" w:rsidR="00162E0C" w:rsidRPr="00FB2F3D" w:rsidRDefault="00162E0C" w:rsidP="0061693E">
      <w:pPr>
        <w:pStyle w:val="Heading4"/>
        <w:rPr>
          <w:rFonts w:ascii="Arial" w:hAnsi="Arial" w:cs="Arial"/>
          <w:sz w:val="22"/>
          <w:szCs w:val="22"/>
        </w:rPr>
      </w:pPr>
      <w:r w:rsidRPr="00FB2F3D">
        <w:rPr>
          <w:rFonts w:ascii="Arial" w:hAnsi="Arial" w:cs="Arial"/>
          <w:sz w:val="22"/>
          <w:szCs w:val="22"/>
        </w:rPr>
        <w:t xml:space="preserve">The procedures in </w:t>
      </w:r>
      <w:r w:rsidR="00A1188A" w:rsidRPr="00FB2F3D">
        <w:rPr>
          <w:rFonts w:ascii="Arial" w:hAnsi="Arial" w:cs="Arial"/>
          <w:sz w:val="22"/>
          <w:szCs w:val="22"/>
        </w:rPr>
        <w:t>Part 6</w:t>
      </w:r>
      <w:r w:rsidRPr="00FB2F3D">
        <w:rPr>
          <w:rFonts w:ascii="Arial" w:hAnsi="Arial" w:cs="Arial"/>
          <w:sz w:val="22"/>
          <w:szCs w:val="22"/>
        </w:rPr>
        <w:t xml:space="preserve"> of the FSMR apply to a decision of the </w:t>
      </w:r>
      <w:r w:rsidR="0035335F" w:rsidRPr="00FB2F3D">
        <w:rPr>
          <w:rFonts w:ascii="Arial" w:hAnsi="Arial" w:cs="Arial"/>
          <w:sz w:val="22"/>
          <w:szCs w:val="22"/>
        </w:rPr>
        <w:t>Regulator</w:t>
      </w:r>
      <w:r w:rsidRPr="00FB2F3D">
        <w:rPr>
          <w:rFonts w:ascii="Arial" w:hAnsi="Arial" w:cs="Arial"/>
          <w:sz w:val="22"/>
          <w:szCs w:val="22"/>
        </w:rPr>
        <w:t xml:space="preserve"> not to approve a Prospectus under this Rule.</w:t>
      </w:r>
    </w:p>
    <w:p w14:paraId="1901EEAA" w14:textId="77777777" w:rsidR="00162E0C" w:rsidRPr="00FB2F3D" w:rsidRDefault="00162E0C" w:rsidP="00FA1F32">
      <w:pPr>
        <w:pStyle w:val="TitleL"/>
        <w:rPr>
          <w:rFonts w:ascii="Arial" w:hAnsi="Arial" w:cs="Arial"/>
          <w:sz w:val="22"/>
          <w:szCs w:val="22"/>
        </w:rPr>
      </w:pPr>
      <w:r w:rsidRPr="00FB2F3D">
        <w:rPr>
          <w:rFonts w:ascii="Arial" w:hAnsi="Arial" w:cs="Arial"/>
          <w:sz w:val="22"/>
          <w:szCs w:val="22"/>
        </w:rPr>
        <w:t xml:space="preserve">Publication of a </w:t>
      </w:r>
      <w:r w:rsidR="00F321D2" w:rsidRPr="00FB2F3D">
        <w:rPr>
          <w:rFonts w:ascii="Arial" w:hAnsi="Arial" w:cs="Arial"/>
          <w:sz w:val="22"/>
          <w:szCs w:val="22"/>
        </w:rPr>
        <w:t>Prospectus</w:t>
      </w:r>
    </w:p>
    <w:p w14:paraId="7A2DB49D" w14:textId="77777777" w:rsidR="00162E0C" w:rsidRPr="00FB2F3D" w:rsidRDefault="007441BA" w:rsidP="00FA1F32">
      <w:pPr>
        <w:pStyle w:val="Heading3"/>
        <w:ind w:left="1440" w:hanging="1440"/>
        <w:rPr>
          <w:rFonts w:ascii="Arial" w:hAnsi="Arial" w:cs="Arial"/>
          <w:sz w:val="22"/>
          <w:szCs w:val="22"/>
        </w:rPr>
      </w:pPr>
      <w:bookmarkStart w:id="419" w:name="_Ref416806867"/>
      <w:r w:rsidRPr="00FB2F3D">
        <w:rPr>
          <w:rFonts w:ascii="Arial" w:hAnsi="Arial" w:cs="Arial"/>
          <w:sz w:val="22"/>
          <w:szCs w:val="22"/>
        </w:rPr>
        <w:t>(1)</w:t>
      </w:r>
      <w:r w:rsidR="00FA1F32" w:rsidRPr="00FB2F3D">
        <w:rPr>
          <w:rFonts w:ascii="Arial" w:hAnsi="Arial" w:cs="Arial"/>
          <w:sz w:val="22"/>
          <w:szCs w:val="22"/>
        </w:rPr>
        <w:tab/>
      </w:r>
      <w:r w:rsidR="00162E0C" w:rsidRPr="00FB2F3D">
        <w:rPr>
          <w:rFonts w:ascii="Arial" w:hAnsi="Arial" w:cs="Arial"/>
          <w:sz w:val="22"/>
          <w:szCs w:val="22"/>
        </w:rPr>
        <w:t xml:space="preserve">After a Prospectus has been approved by the </w:t>
      </w:r>
      <w:r w:rsidR="0035335F" w:rsidRPr="00FB2F3D">
        <w:rPr>
          <w:rFonts w:ascii="Arial" w:hAnsi="Arial" w:cs="Arial"/>
          <w:sz w:val="22"/>
          <w:szCs w:val="22"/>
        </w:rPr>
        <w:t>Regulator</w:t>
      </w:r>
      <w:r w:rsidR="00162E0C" w:rsidRPr="00FB2F3D">
        <w:rPr>
          <w:rFonts w:ascii="Arial" w:hAnsi="Arial" w:cs="Arial"/>
          <w:sz w:val="22"/>
          <w:szCs w:val="22"/>
        </w:rPr>
        <w:t>, it must be made available to the public as soon as is reasonably practicable, and in any case, at a reasonable time in advance of, and at the latest at the beginning of, the making of the Prospectus Offer.</w:t>
      </w:r>
      <w:bookmarkStart w:id="420" w:name="_Ref410665524"/>
      <w:bookmarkEnd w:id="419"/>
    </w:p>
    <w:p w14:paraId="4676E877" w14:textId="77777777" w:rsidR="00162E0C" w:rsidRPr="00FB2F3D" w:rsidRDefault="00F82EE7" w:rsidP="00F82EE7">
      <w:pPr>
        <w:pStyle w:val="Heading4"/>
        <w:numPr>
          <w:ilvl w:val="0"/>
          <w:numId w:val="0"/>
        </w:numPr>
        <w:ind w:left="1440" w:hanging="720"/>
        <w:rPr>
          <w:rFonts w:ascii="Arial" w:hAnsi="Arial" w:cs="Arial"/>
          <w:sz w:val="22"/>
          <w:szCs w:val="22"/>
        </w:rPr>
      </w:pPr>
      <w:bookmarkStart w:id="421" w:name="_Ref416959489"/>
      <w:r w:rsidRPr="00FB2F3D">
        <w:rPr>
          <w:rFonts w:ascii="Arial" w:hAnsi="Arial" w:cs="Arial"/>
          <w:sz w:val="22"/>
          <w:szCs w:val="22"/>
        </w:rPr>
        <w:t>(2)</w:t>
      </w:r>
      <w:r w:rsidRPr="00FB2F3D">
        <w:rPr>
          <w:rFonts w:ascii="Arial" w:hAnsi="Arial" w:cs="Arial"/>
          <w:sz w:val="22"/>
          <w:szCs w:val="22"/>
        </w:rPr>
        <w:tab/>
      </w:r>
      <w:r w:rsidR="00162E0C" w:rsidRPr="00FB2F3D">
        <w:rPr>
          <w:rFonts w:ascii="Arial" w:hAnsi="Arial" w:cs="Arial"/>
          <w:sz w:val="22"/>
          <w:szCs w:val="22"/>
        </w:rPr>
        <w:t xml:space="preserve">An Approved Prospectus is deemed to be made available to the public for the purposes of </w:t>
      </w:r>
      <w:r w:rsidR="00693841" w:rsidRPr="00FB2F3D">
        <w:rPr>
          <w:rFonts w:ascii="Arial" w:hAnsi="Arial" w:cs="Arial"/>
          <w:sz w:val="22"/>
          <w:szCs w:val="22"/>
        </w:rPr>
        <w:t>(1)</w:t>
      </w:r>
      <w:r w:rsidR="005E4EA9" w:rsidRPr="00FB2F3D">
        <w:rPr>
          <w:rFonts w:ascii="Arial" w:hAnsi="Arial" w:cs="Arial"/>
          <w:sz w:val="22"/>
          <w:szCs w:val="22"/>
        </w:rPr>
        <w:t xml:space="preserve"> </w:t>
      </w:r>
      <w:r w:rsidR="00162E0C" w:rsidRPr="00FB2F3D">
        <w:rPr>
          <w:rFonts w:ascii="Arial" w:hAnsi="Arial" w:cs="Arial"/>
          <w:sz w:val="22"/>
          <w:szCs w:val="22"/>
        </w:rPr>
        <w:t>when such a Prospectus is published:</w:t>
      </w:r>
      <w:bookmarkEnd w:id="420"/>
      <w:bookmarkEnd w:id="421"/>
    </w:p>
    <w:p w14:paraId="5AC0F9C4" w14:textId="77777777" w:rsidR="00162E0C" w:rsidRPr="00FB2F3D" w:rsidRDefault="00162E0C" w:rsidP="0061693E">
      <w:pPr>
        <w:pStyle w:val="Heading5"/>
        <w:rPr>
          <w:rFonts w:ascii="Arial" w:hAnsi="Arial" w:cs="Arial"/>
          <w:sz w:val="22"/>
          <w:szCs w:val="22"/>
        </w:rPr>
      </w:pPr>
      <w:bookmarkStart w:id="422" w:name="_Ref410665492"/>
      <w:r w:rsidRPr="00FB2F3D">
        <w:rPr>
          <w:rFonts w:ascii="Arial" w:hAnsi="Arial" w:cs="Arial"/>
          <w:sz w:val="22"/>
          <w:szCs w:val="22"/>
        </w:rPr>
        <w:lastRenderedPageBreak/>
        <w:t>in printed form, to be made available free of charge to the public at the registered office of any one or more of the following:</w:t>
      </w:r>
      <w:bookmarkEnd w:id="422"/>
    </w:p>
    <w:p w14:paraId="383ABA8E"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the Person making the Prospectus Offer;</w:t>
      </w:r>
    </w:p>
    <w:p w14:paraId="4013B812" w14:textId="77777777" w:rsidR="00162E0C" w:rsidRPr="00FB2F3D" w:rsidRDefault="00162E0C" w:rsidP="00222FEC">
      <w:pPr>
        <w:pStyle w:val="Heading6"/>
        <w:rPr>
          <w:rFonts w:ascii="Arial" w:hAnsi="Arial" w:cs="Arial"/>
          <w:sz w:val="22"/>
          <w:szCs w:val="22"/>
        </w:rPr>
      </w:pPr>
      <w:r w:rsidRPr="00FB2F3D">
        <w:rPr>
          <w:rFonts w:ascii="Arial" w:hAnsi="Arial" w:cs="Arial"/>
          <w:sz w:val="22"/>
          <w:szCs w:val="22"/>
        </w:rPr>
        <w:t xml:space="preserve">any </w:t>
      </w:r>
      <w:r w:rsidR="00222FEC" w:rsidRPr="00FB2F3D">
        <w:rPr>
          <w:rFonts w:ascii="Arial" w:hAnsi="Arial" w:cs="Arial"/>
          <w:sz w:val="22"/>
          <w:szCs w:val="22"/>
        </w:rPr>
        <w:t>Authorised Person</w:t>
      </w:r>
      <w:r w:rsidRPr="00FB2F3D">
        <w:rPr>
          <w:rFonts w:ascii="Arial" w:hAnsi="Arial" w:cs="Arial"/>
          <w:sz w:val="22"/>
          <w:szCs w:val="22"/>
        </w:rPr>
        <w:t xml:space="preserve"> </w:t>
      </w:r>
      <w:r w:rsidR="00EE4C51" w:rsidRPr="00FB2F3D">
        <w:rPr>
          <w:rFonts w:ascii="Arial" w:hAnsi="Arial" w:cs="Arial"/>
          <w:sz w:val="22"/>
          <w:szCs w:val="22"/>
        </w:rPr>
        <w:t>appointed</w:t>
      </w:r>
      <w:r w:rsidRPr="00FB2F3D">
        <w:rPr>
          <w:rFonts w:ascii="Arial" w:hAnsi="Arial" w:cs="Arial"/>
          <w:sz w:val="22"/>
          <w:szCs w:val="22"/>
        </w:rPr>
        <w:t xml:space="preserve"> by the Person in </w:t>
      </w:r>
      <w:r w:rsidR="00693841" w:rsidRPr="00FB2F3D">
        <w:rPr>
          <w:rFonts w:ascii="Arial" w:hAnsi="Arial" w:cs="Arial"/>
          <w:sz w:val="22"/>
          <w:szCs w:val="22"/>
        </w:rPr>
        <w:t>(a)</w:t>
      </w:r>
      <w:r w:rsidR="00FA1F32" w:rsidRPr="00FB2F3D">
        <w:rPr>
          <w:rFonts w:ascii="Arial" w:hAnsi="Arial" w:cs="Arial"/>
          <w:sz w:val="22"/>
          <w:szCs w:val="22"/>
        </w:rPr>
        <w:t xml:space="preserve"> </w:t>
      </w:r>
      <w:r w:rsidRPr="00FB2F3D">
        <w:rPr>
          <w:rFonts w:ascii="Arial" w:hAnsi="Arial" w:cs="Arial"/>
          <w:sz w:val="22"/>
          <w:szCs w:val="22"/>
        </w:rPr>
        <w:t xml:space="preserve">to act as the placement or selling agent in respect of the </w:t>
      </w:r>
      <w:r w:rsidR="00FB37F9" w:rsidRPr="00FB2F3D">
        <w:rPr>
          <w:rFonts w:ascii="Arial" w:hAnsi="Arial" w:cs="Arial"/>
          <w:sz w:val="22"/>
          <w:szCs w:val="22"/>
        </w:rPr>
        <w:t>Offer</w:t>
      </w:r>
      <w:r w:rsidRPr="00FB2F3D">
        <w:rPr>
          <w:rFonts w:ascii="Arial" w:hAnsi="Arial" w:cs="Arial"/>
          <w:sz w:val="22"/>
          <w:szCs w:val="22"/>
        </w:rPr>
        <w:t>; or</w:t>
      </w:r>
    </w:p>
    <w:p w14:paraId="4F896640"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 xml:space="preserve">if applicable, the relevant Recognised Body on which the </w:t>
      </w:r>
      <w:r w:rsidR="004B46BD" w:rsidRPr="00FB2F3D">
        <w:rPr>
          <w:rFonts w:ascii="Arial" w:hAnsi="Arial" w:cs="Arial"/>
          <w:sz w:val="22"/>
          <w:szCs w:val="22"/>
        </w:rPr>
        <w:t>Securities</w:t>
      </w:r>
      <w:r w:rsidRPr="00FB2F3D">
        <w:rPr>
          <w:rFonts w:ascii="Arial" w:hAnsi="Arial" w:cs="Arial"/>
          <w:sz w:val="22"/>
          <w:szCs w:val="22"/>
        </w:rPr>
        <w:t xml:space="preserve"> are to be traded; or</w:t>
      </w:r>
    </w:p>
    <w:p w14:paraId="65248BAD"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in an electronic form on the website of any one or more Persons</w:t>
      </w:r>
      <w:r w:rsidRPr="00FB2F3D">
        <w:rPr>
          <w:rFonts w:ascii="Arial" w:hAnsi="Arial" w:cs="Arial"/>
          <w:sz w:val="22"/>
          <w:szCs w:val="22"/>
          <w:lang w:eastAsia="ja-JP"/>
        </w:rPr>
        <w:t xml:space="preserve"> </w:t>
      </w:r>
      <w:r w:rsidRPr="00FB2F3D">
        <w:rPr>
          <w:rFonts w:ascii="Arial" w:hAnsi="Arial" w:cs="Arial"/>
          <w:sz w:val="22"/>
          <w:szCs w:val="22"/>
        </w:rPr>
        <w:t xml:space="preserve">referred to in </w:t>
      </w:r>
      <w:r w:rsidR="00693841" w:rsidRPr="00FB2F3D">
        <w:rPr>
          <w:rFonts w:ascii="Arial" w:hAnsi="Arial" w:cs="Arial"/>
          <w:sz w:val="22"/>
          <w:szCs w:val="22"/>
        </w:rPr>
        <w:t>(a)</w:t>
      </w:r>
      <w:r w:rsidRPr="00FB2F3D">
        <w:rPr>
          <w:rFonts w:ascii="Arial" w:hAnsi="Arial" w:cs="Arial"/>
          <w:sz w:val="22"/>
          <w:szCs w:val="22"/>
        </w:rPr>
        <w:t>.</w:t>
      </w:r>
    </w:p>
    <w:p w14:paraId="460F514D" w14:textId="77777777" w:rsidR="00162E0C" w:rsidRPr="00FB2F3D" w:rsidRDefault="00F82EE7" w:rsidP="00F82EE7">
      <w:pPr>
        <w:pStyle w:val="Heading4"/>
        <w:numPr>
          <w:ilvl w:val="0"/>
          <w:numId w:val="0"/>
        </w:numPr>
        <w:ind w:left="1440" w:hanging="720"/>
        <w:rPr>
          <w:rFonts w:ascii="Arial" w:hAnsi="Arial" w:cs="Arial"/>
          <w:sz w:val="22"/>
          <w:szCs w:val="22"/>
        </w:rPr>
      </w:pPr>
      <w:r w:rsidRPr="00FB2F3D">
        <w:rPr>
          <w:rFonts w:ascii="Arial" w:hAnsi="Arial" w:cs="Arial"/>
          <w:sz w:val="22"/>
          <w:szCs w:val="22"/>
        </w:rPr>
        <w:t>(3)</w:t>
      </w:r>
      <w:r w:rsidRPr="00FB2F3D">
        <w:rPr>
          <w:rFonts w:ascii="Arial" w:hAnsi="Arial" w:cs="Arial"/>
          <w:sz w:val="22"/>
          <w:szCs w:val="22"/>
        </w:rPr>
        <w:tab/>
      </w:r>
      <w:r w:rsidR="00162E0C" w:rsidRPr="00FB2F3D">
        <w:rPr>
          <w:rFonts w:ascii="Arial" w:hAnsi="Arial" w:cs="Arial"/>
          <w:sz w:val="22"/>
          <w:szCs w:val="22"/>
        </w:rPr>
        <w:t xml:space="preserve">The content and format of the Prospectus made available to the public in accordance with </w:t>
      </w:r>
      <w:r w:rsidR="00693841" w:rsidRPr="00FB2F3D">
        <w:rPr>
          <w:rFonts w:ascii="Arial" w:hAnsi="Arial" w:cs="Arial"/>
          <w:sz w:val="22"/>
          <w:szCs w:val="22"/>
        </w:rPr>
        <w:t>(2)</w:t>
      </w:r>
      <w:r w:rsidR="00FA1F32" w:rsidRPr="00FB2F3D">
        <w:rPr>
          <w:rFonts w:ascii="Arial" w:hAnsi="Arial" w:cs="Arial"/>
          <w:sz w:val="22"/>
          <w:szCs w:val="22"/>
        </w:rPr>
        <w:t xml:space="preserve"> </w:t>
      </w:r>
      <w:r w:rsidR="00162E0C" w:rsidRPr="00FB2F3D">
        <w:rPr>
          <w:rFonts w:ascii="Arial" w:hAnsi="Arial" w:cs="Arial"/>
          <w:sz w:val="22"/>
          <w:szCs w:val="22"/>
        </w:rPr>
        <w:t xml:space="preserve">must at all times be identical to the version approved by the </w:t>
      </w:r>
      <w:r w:rsidR="0035335F" w:rsidRPr="00FB2F3D">
        <w:rPr>
          <w:rFonts w:ascii="Arial" w:hAnsi="Arial" w:cs="Arial"/>
          <w:sz w:val="22"/>
          <w:szCs w:val="22"/>
        </w:rPr>
        <w:t>Regulator</w:t>
      </w:r>
      <w:r w:rsidR="00162E0C" w:rsidRPr="00FB2F3D">
        <w:rPr>
          <w:rFonts w:ascii="Arial" w:hAnsi="Arial" w:cs="Arial"/>
          <w:sz w:val="22"/>
          <w:szCs w:val="22"/>
        </w:rPr>
        <w:t>.</w:t>
      </w:r>
    </w:p>
    <w:p w14:paraId="54AECE90" w14:textId="77777777" w:rsidR="00162E0C" w:rsidRPr="00FB2F3D" w:rsidRDefault="00162E0C" w:rsidP="00FA1F32">
      <w:pPr>
        <w:pStyle w:val="TitleL"/>
        <w:rPr>
          <w:rFonts w:ascii="Arial" w:hAnsi="Arial" w:cs="Arial"/>
          <w:sz w:val="22"/>
          <w:szCs w:val="22"/>
        </w:rPr>
      </w:pPr>
      <w:r w:rsidRPr="00FB2F3D">
        <w:rPr>
          <w:rFonts w:ascii="Arial" w:hAnsi="Arial" w:cs="Arial"/>
          <w:sz w:val="22"/>
          <w:szCs w:val="22"/>
        </w:rPr>
        <w:t xml:space="preserve">Duration of the validity of a </w:t>
      </w:r>
      <w:r w:rsidR="00F321D2" w:rsidRPr="00FB2F3D">
        <w:rPr>
          <w:rFonts w:ascii="Arial" w:hAnsi="Arial" w:cs="Arial"/>
          <w:sz w:val="22"/>
          <w:szCs w:val="22"/>
        </w:rPr>
        <w:t>Prospectus</w:t>
      </w:r>
    </w:p>
    <w:p w14:paraId="5137511D" w14:textId="77777777" w:rsidR="00162E0C" w:rsidRPr="00FB2F3D" w:rsidRDefault="007441BA" w:rsidP="00FA1F32">
      <w:pPr>
        <w:pStyle w:val="Heading3"/>
        <w:ind w:left="1440" w:hanging="1440"/>
        <w:rPr>
          <w:rFonts w:ascii="Arial" w:hAnsi="Arial" w:cs="Arial"/>
          <w:sz w:val="22"/>
          <w:szCs w:val="22"/>
        </w:rPr>
      </w:pPr>
      <w:r w:rsidRPr="00FB2F3D">
        <w:rPr>
          <w:rFonts w:ascii="Arial" w:hAnsi="Arial" w:cs="Arial"/>
          <w:sz w:val="22"/>
          <w:szCs w:val="22"/>
        </w:rPr>
        <w:t>(1)</w:t>
      </w:r>
      <w:r w:rsidR="00FA1F32" w:rsidRPr="00FB2F3D">
        <w:rPr>
          <w:rFonts w:ascii="Arial" w:hAnsi="Arial" w:cs="Arial"/>
          <w:sz w:val="22"/>
          <w:szCs w:val="22"/>
        </w:rPr>
        <w:tab/>
      </w:r>
      <w:r w:rsidR="00162E0C" w:rsidRPr="00FB2F3D">
        <w:rPr>
          <w:rFonts w:ascii="Arial" w:hAnsi="Arial" w:cs="Arial"/>
          <w:sz w:val="22"/>
          <w:szCs w:val="22"/>
        </w:rPr>
        <w:t>Except where an exemption under Rule </w:t>
      </w:r>
      <w:r w:rsidR="00693841" w:rsidRPr="00FB2F3D">
        <w:rPr>
          <w:rFonts w:ascii="Arial" w:hAnsi="Arial" w:cs="Arial"/>
          <w:sz w:val="22"/>
          <w:szCs w:val="22"/>
        </w:rPr>
        <w:t>4.3.1</w:t>
      </w:r>
      <w:r w:rsidR="00162E0C" w:rsidRPr="00FB2F3D">
        <w:rPr>
          <w:rFonts w:ascii="Arial" w:hAnsi="Arial" w:cs="Arial"/>
          <w:sz w:val="22"/>
          <w:szCs w:val="22"/>
        </w:rPr>
        <w:t xml:space="preserve"> or </w:t>
      </w:r>
      <w:r w:rsidR="00693841" w:rsidRPr="00FB2F3D">
        <w:rPr>
          <w:rFonts w:ascii="Arial" w:hAnsi="Arial" w:cs="Arial"/>
          <w:sz w:val="22"/>
          <w:szCs w:val="22"/>
        </w:rPr>
        <w:t>4.4.1</w:t>
      </w:r>
      <w:r w:rsidR="00162E0C" w:rsidRPr="00FB2F3D">
        <w:rPr>
          <w:rFonts w:ascii="Arial" w:hAnsi="Arial" w:cs="Arial"/>
          <w:sz w:val="22"/>
          <w:szCs w:val="22"/>
        </w:rPr>
        <w:t xml:space="preserve"> applies, the </w:t>
      </w:r>
      <w:r w:rsidR="004B46BD" w:rsidRPr="00FB2F3D">
        <w:rPr>
          <w:rFonts w:ascii="Arial" w:hAnsi="Arial" w:cs="Arial"/>
          <w:sz w:val="22"/>
          <w:szCs w:val="22"/>
        </w:rPr>
        <w:t>Securities</w:t>
      </w:r>
      <w:r w:rsidR="00162E0C" w:rsidRPr="00FB2F3D">
        <w:rPr>
          <w:rFonts w:ascii="Arial" w:hAnsi="Arial" w:cs="Arial"/>
          <w:sz w:val="22"/>
          <w:szCs w:val="22"/>
        </w:rPr>
        <w:t xml:space="preserve"> to which a Prospectus relates must not be offered for subscription or sale under an Approved Prospectus unless that Prospectus is a current Prospectus.</w:t>
      </w:r>
    </w:p>
    <w:p w14:paraId="522FA777" w14:textId="77777777" w:rsidR="00162E0C" w:rsidRPr="00FB2F3D" w:rsidRDefault="00F82EE7" w:rsidP="00F82EE7">
      <w:pPr>
        <w:pStyle w:val="Heading4"/>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162E0C" w:rsidRPr="00FB2F3D">
        <w:rPr>
          <w:rFonts w:ascii="Arial" w:hAnsi="Arial" w:cs="Arial"/>
          <w:sz w:val="22"/>
          <w:szCs w:val="22"/>
        </w:rPr>
        <w:t>For the purposes of</w:t>
      </w:r>
      <w:r w:rsidR="00923F59" w:rsidRPr="00FB2F3D">
        <w:rPr>
          <w:rFonts w:ascii="Arial" w:hAnsi="Arial" w:cs="Arial"/>
          <w:sz w:val="22"/>
          <w:szCs w:val="22"/>
        </w:rPr>
        <w:t xml:space="preserve"> </w:t>
      </w:r>
      <w:r w:rsidR="00693841" w:rsidRPr="00FB2F3D">
        <w:rPr>
          <w:rFonts w:ascii="Arial" w:hAnsi="Arial" w:cs="Arial"/>
          <w:sz w:val="22"/>
          <w:szCs w:val="22"/>
        </w:rPr>
        <w:t>(1)</w:t>
      </w:r>
      <w:r w:rsidR="00162E0C" w:rsidRPr="00FB2F3D">
        <w:rPr>
          <w:rFonts w:ascii="Arial" w:hAnsi="Arial" w:cs="Arial"/>
          <w:sz w:val="22"/>
          <w:szCs w:val="22"/>
        </w:rPr>
        <w:t xml:space="preserve">, an Approved Prospectus is current only for a period of 12 months from the date on which that Prospectus has been approved by the </w:t>
      </w:r>
      <w:r w:rsidR="0035335F" w:rsidRPr="00FB2F3D">
        <w:rPr>
          <w:rFonts w:ascii="Arial" w:hAnsi="Arial" w:cs="Arial"/>
          <w:sz w:val="22"/>
          <w:szCs w:val="22"/>
        </w:rPr>
        <w:t>Regulator</w:t>
      </w:r>
      <w:r w:rsidR="00162E0C" w:rsidRPr="00FB2F3D">
        <w:rPr>
          <w:rFonts w:ascii="Arial" w:hAnsi="Arial" w:cs="Arial"/>
          <w:sz w:val="22"/>
          <w:szCs w:val="22"/>
        </w:rPr>
        <w:t xml:space="preserve"> in accordance with Rule </w:t>
      </w:r>
      <w:r w:rsidR="00693841" w:rsidRPr="00FB2F3D">
        <w:rPr>
          <w:rFonts w:ascii="Arial" w:hAnsi="Arial" w:cs="Arial"/>
          <w:sz w:val="22"/>
          <w:szCs w:val="22"/>
        </w:rPr>
        <w:t>4.6.2</w:t>
      </w:r>
      <w:r w:rsidR="00162E0C" w:rsidRPr="00FB2F3D">
        <w:rPr>
          <w:rFonts w:ascii="Arial" w:hAnsi="Arial" w:cs="Arial"/>
          <w:sz w:val="22"/>
          <w:szCs w:val="22"/>
        </w:rPr>
        <w:t>.</w:t>
      </w:r>
    </w:p>
    <w:p w14:paraId="09386995" w14:textId="7FA3CB86" w:rsidR="00162E0C" w:rsidRPr="00FB2F3D" w:rsidRDefault="007441BA" w:rsidP="00FA1F32">
      <w:pPr>
        <w:pStyle w:val="Heading3"/>
        <w:ind w:left="1440" w:hanging="1440"/>
        <w:rPr>
          <w:rFonts w:ascii="Arial" w:hAnsi="Arial" w:cs="Arial"/>
          <w:sz w:val="22"/>
          <w:szCs w:val="22"/>
        </w:rPr>
      </w:pPr>
      <w:bookmarkStart w:id="423" w:name="_Ref410049888"/>
      <w:r w:rsidRPr="00FB2F3D">
        <w:rPr>
          <w:rFonts w:ascii="Arial" w:hAnsi="Arial" w:cs="Arial"/>
          <w:sz w:val="22"/>
          <w:szCs w:val="22"/>
        </w:rPr>
        <w:t>(1)</w:t>
      </w:r>
      <w:r w:rsidR="00FA1F32" w:rsidRPr="00FB2F3D">
        <w:rPr>
          <w:rFonts w:ascii="Arial" w:hAnsi="Arial" w:cs="Arial"/>
          <w:sz w:val="22"/>
          <w:szCs w:val="22"/>
        </w:rPr>
        <w:tab/>
      </w:r>
      <w:r w:rsidR="00162E0C" w:rsidRPr="00FB2F3D">
        <w:rPr>
          <w:rFonts w:ascii="Arial" w:hAnsi="Arial" w:cs="Arial"/>
          <w:sz w:val="22"/>
          <w:szCs w:val="22"/>
        </w:rPr>
        <w:t xml:space="preserve">A </w:t>
      </w:r>
      <w:r w:rsidR="009D7FC2" w:rsidRPr="00FB2F3D">
        <w:rPr>
          <w:rFonts w:ascii="Arial" w:hAnsi="Arial" w:cs="Arial"/>
          <w:sz w:val="22"/>
          <w:szCs w:val="22"/>
        </w:rPr>
        <w:t>Financial Intermediary</w:t>
      </w:r>
      <w:r w:rsidR="00162E0C" w:rsidRPr="00FB2F3D">
        <w:rPr>
          <w:rFonts w:ascii="Arial" w:hAnsi="Arial" w:cs="Arial"/>
          <w:sz w:val="22"/>
          <w:szCs w:val="22"/>
        </w:rPr>
        <w:t xml:space="preserve"> may make an Offer of </w:t>
      </w:r>
      <w:r w:rsidR="004B46BD" w:rsidRPr="00FB2F3D">
        <w:rPr>
          <w:rFonts w:ascii="Arial" w:hAnsi="Arial" w:cs="Arial"/>
          <w:sz w:val="22"/>
          <w:szCs w:val="22"/>
        </w:rPr>
        <w:t>Securities</w:t>
      </w:r>
      <w:r w:rsidR="00162E0C" w:rsidRPr="00FB2F3D">
        <w:rPr>
          <w:rFonts w:ascii="Arial" w:hAnsi="Arial" w:cs="Arial"/>
          <w:sz w:val="22"/>
          <w:szCs w:val="22"/>
        </w:rPr>
        <w:t xml:space="preserve"> in reliance on an Approved Prospectus which has been produced by the Issuer in accordance with Rules </w:t>
      </w:r>
      <w:r w:rsidR="00693841" w:rsidRPr="00FB2F3D">
        <w:rPr>
          <w:rFonts w:ascii="Arial" w:hAnsi="Arial" w:cs="Arial"/>
          <w:sz w:val="22"/>
          <w:szCs w:val="22"/>
        </w:rPr>
        <w:t>4.6.1</w:t>
      </w:r>
      <w:r w:rsidR="00162E0C" w:rsidRPr="00FB2F3D">
        <w:rPr>
          <w:rFonts w:ascii="Arial" w:hAnsi="Arial" w:cs="Arial"/>
          <w:sz w:val="22"/>
          <w:szCs w:val="22"/>
        </w:rPr>
        <w:t xml:space="preserve"> and </w:t>
      </w:r>
      <w:r w:rsidR="00693841" w:rsidRPr="00FB2F3D">
        <w:rPr>
          <w:rFonts w:ascii="Arial" w:hAnsi="Arial" w:cs="Arial"/>
          <w:sz w:val="22"/>
          <w:szCs w:val="22"/>
        </w:rPr>
        <w:t>4.6.2</w:t>
      </w:r>
      <w:r w:rsidR="00162E0C" w:rsidRPr="00FB2F3D">
        <w:rPr>
          <w:rFonts w:ascii="Arial" w:hAnsi="Arial" w:cs="Arial"/>
          <w:sz w:val="22"/>
          <w:szCs w:val="22"/>
        </w:rPr>
        <w:t xml:space="preserve"> only in circumstances where</w:t>
      </w:r>
      <w:bookmarkEnd w:id="423"/>
      <w:r w:rsidR="00162E0C" w:rsidRPr="00FB2F3D">
        <w:rPr>
          <w:rFonts w:ascii="Arial" w:hAnsi="Arial" w:cs="Arial"/>
          <w:sz w:val="22"/>
          <w:szCs w:val="22"/>
        </w:rPr>
        <w:t>:</w:t>
      </w:r>
    </w:p>
    <w:p w14:paraId="54373B71" w14:textId="77777777" w:rsidR="00162E0C" w:rsidRPr="00FB2F3D" w:rsidRDefault="00162E0C" w:rsidP="0061693E">
      <w:pPr>
        <w:pStyle w:val="Heading5"/>
        <w:rPr>
          <w:rFonts w:ascii="Arial" w:hAnsi="Arial" w:cs="Arial"/>
          <w:sz w:val="22"/>
          <w:szCs w:val="22"/>
        </w:rPr>
      </w:pPr>
      <w:bookmarkStart w:id="424" w:name="_Ref410665562"/>
      <w:r w:rsidRPr="00FB2F3D">
        <w:rPr>
          <w:rFonts w:ascii="Arial" w:hAnsi="Arial" w:cs="Arial"/>
          <w:sz w:val="22"/>
          <w:szCs w:val="22"/>
        </w:rPr>
        <w:t xml:space="preserve">the Prospectus is a current Prospectus and meets all the relevant requirements relating to a Prospectus as specified in </w:t>
      </w:r>
      <w:r w:rsidR="00A1188A" w:rsidRPr="00FB2F3D">
        <w:rPr>
          <w:rFonts w:ascii="Arial" w:hAnsi="Arial" w:cs="Arial"/>
          <w:sz w:val="22"/>
          <w:szCs w:val="22"/>
        </w:rPr>
        <w:t>Part 6</w:t>
      </w:r>
      <w:r w:rsidRPr="00FB2F3D">
        <w:rPr>
          <w:rFonts w:ascii="Arial" w:hAnsi="Arial" w:cs="Arial"/>
          <w:sz w:val="22"/>
          <w:szCs w:val="22"/>
        </w:rPr>
        <w:t xml:space="preserve"> of the FSMR and the Rules in this chapter;</w:t>
      </w:r>
      <w:bookmarkEnd w:id="424"/>
    </w:p>
    <w:p w14:paraId="65F02E5F" w14:textId="77777777" w:rsidR="00162E0C" w:rsidRPr="00FB2F3D" w:rsidRDefault="00162E0C" w:rsidP="0061693E">
      <w:pPr>
        <w:pStyle w:val="Heading5"/>
        <w:rPr>
          <w:rFonts w:ascii="Arial" w:hAnsi="Arial" w:cs="Arial"/>
          <w:sz w:val="22"/>
          <w:szCs w:val="22"/>
        </w:rPr>
      </w:pPr>
      <w:bookmarkStart w:id="425" w:name="_Ref410631714"/>
      <w:r w:rsidRPr="00FB2F3D">
        <w:rPr>
          <w:rFonts w:ascii="Arial" w:hAnsi="Arial" w:cs="Arial"/>
          <w:sz w:val="22"/>
          <w:szCs w:val="22"/>
        </w:rPr>
        <w:t xml:space="preserve">the </w:t>
      </w:r>
      <w:r w:rsidR="009D7FC2" w:rsidRPr="00FB2F3D">
        <w:rPr>
          <w:rFonts w:ascii="Arial" w:hAnsi="Arial" w:cs="Arial"/>
          <w:sz w:val="22"/>
          <w:szCs w:val="22"/>
        </w:rPr>
        <w:t>Financial Intermediary</w:t>
      </w:r>
      <w:r w:rsidRPr="00FB2F3D">
        <w:rPr>
          <w:rFonts w:ascii="Arial" w:hAnsi="Arial" w:cs="Arial"/>
          <w:sz w:val="22"/>
          <w:szCs w:val="22"/>
        </w:rPr>
        <w:t xml:space="preserve"> has undertaken such due diligence and care as is reasonable for such a Person to undertake for the purposes of ensuring that the Prospectus meets the requirements in </w:t>
      </w:r>
      <w:r w:rsidR="00693841" w:rsidRPr="00FB2F3D">
        <w:rPr>
          <w:rFonts w:ascii="Arial" w:hAnsi="Arial" w:cs="Arial"/>
          <w:sz w:val="22"/>
          <w:szCs w:val="22"/>
        </w:rPr>
        <w:t>(a)</w:t>
      </w:r>
      <w:r w:rsidRPr="00FB2F3D">
        <w:rPr>
          <w:rFonts w:ascii="Arial" w:hAnsi="Arial" w:cs="Arial"/>
          <w:sz w:val="22"/>
          <w:szCs w:val="22"/>
        </w:rPr>
        <w:t>; and</w:t>
      </w:r>
      <w:bookmarkEnd w:id="425"/>
    </w:p>
    <w:p w14:paraId="4A2FE7ED"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 xml:space="preserve">the Issuer has given its prior written consent for the use of the Prospectus by the </w:t>
      </w:r>
      <w:r w:rsidR="009D7FC2" w:rsidRPr="00FB2F3D">
        <w:rPr>
          <w:rFonts w:ascii="Arial" w:hAnsi="Arial" w:cs="Arial"/>
          <w:sz w:val="22"/>
          <w:szCs w:val="22"/>
        </w:rPr>
        <w:t>Financial Intermediary</w:t>
      </w:r>
      <w:r w:rsidRPr="00FB2F3D">
        <w:rPr>
          <w:rFonts w:ascii="Arial" w:hAnsi="Arial" w:cs="Arial"/>
          <w:sz w:val="22"/>
          <w:szCs w:val="22"/>
        </w:rPr>
        <w:t xml:space="preserve"> and that consent has been filed with the </w:t>
      </w:r>
      <w:r w:rsidR="0035335F" w:rsidRPr="00FB2F3D">
        <w:rPr>
          <w:rFonts w:ascii="Arial" w:hAnsi="Arial" w:cs="Arial"/>
          <w:sz w:val="22"/>
          <w:szCs w:val="22"/>
        </w:rPr>
        <w:t>Regulator</w:t>
      </w:r>
      <w:r w:rsidRPr="00FB2F3D">
        <w:rPr>
          <w:rFonts w:ascii="Arial" w:hAnsi="Arial" w:cs="Arial"/>
          <w:sz w:val="22"/>
          <w:szCs w:val="22"/>
        </w:rPr>
        <w:t xml:space="preserve"> and has not been withdrawn.</w:t>
      </w:r>
    </w:p>
    <w:p w14:paraId="2AE13AC7" w14:textId="77777777" w:rsidR="00162E0C" w:rsidRPr="00FB2F3D" w:rsidRDefault="00162E0C" w:rsidP="0061693E">
      <w:pPr>
        <w:pStyle w:val="Heading4"/>
        <w:rPr>
          <w:rFonts w:ascii="Arial" w:hAnsi="Arial" w:cs="Arial"/>
          <w:sz w:val="22"/>
          <w:szCs w:val="22"/>
        </w:rPr>
      </w:pPr>
      <w:r w:rsidRPr="00FB2F3D">
        <w:rPr>
          <w:rFonts w:ascii="Arial" w:hAnsi="Arial" w:cs="Arial"/>
          <w:sz w:val="22"/>
          <w:szCs w:val="22"/>
        </w:rPr>
        <w:t xml:space="preserve">Both the </w:t>
      </w:r>
      <w:r w:rsidR="009D7FC2" w:rsidRPr="00FB2F3D">
        <w:rPr>
          <w:rFonts w:ascii="Arial" w:hAnsi="Arial" w:cs="Arial"/>
          <w:sz w:val="22"/>
          <w:szCs w:val="22"/>
        </w:rPr>
        <w:t>Financial Intermediary</w:t>
      </w:r>
      <w:r w:rsidRPr="00FB2F3D">
        <w:rPr>
          <w:rFonts w:ascii="Arial" w:hAnsi="Arial" w:cs="Arial"/>
          <w:sz w:val="22"/>
          <w:szCs w:val="22"/>
        </w:rPr>
        <w:t xml:space="preserve"> and the Issuer of the </w:t>
      </w:r>
      <w:r w:rsidR="004B46BD" w:rsidRPr="00FB2F3D">
        <w:rPr>
          <w:rFonts w:ascii="Arial" w:hAnsi="Arial" w:cs="Arial"/>
          <w:sz w:val="22"/>
          <w:szCs w:val="22"/>
        </w:rPr>
        <w:t>Securities</w:t>
      </w:r>
      <w:r w:rsidRPr="00FB2F3D">
        <w:rPr>
          <w:rFonts w:ascii="Arial" w:hAnsi="Arial" w:cs="Arial"/>
          <w:sz w:val="22"/>
          <w:szCs w:val="22"/>
        </w:rPr>
        <w:t xml:space="preserve"> incur civil</w:t>
      </w:r>
      <w:r w:rsidRPr="00FB2F3D">
        <w:rPr>
          <w:rFonts w:ascii="Arial" w:hAnsi="Arial" w:cs="Arial"/>
          <w:sz w:val="22"/>
          <w:szCs w:val="22"/>
          <w:lang w:eastAsia="ja-JP"/>
        </w:rPr>
        <w:t xml:space="preserve"> </w:t>
      </w:r>
      <w:r w:rsidRPr="00FB2F3D">
        <w:rPr>
          <w:rFonts w:ascii="Arial" w:hAnsi="Arial" w:cs="Arial"/>
          <w:sz w:val="22"/>
          <w:szCs w:val="22"/>
        </w:rPr>
        <w:t xml:space="preserve">liability pursuant to section </w:t>
      </w:r>
      <w:r w:rsidR="00A1188A" w:rsidRPr="00FB2F3D">
        <w:rPr>
          <w:rFonts w:ascii="Arial" w:hAnsi="Arial" w:cs="Arial"/>
          <w:sz w:val="22"/>
          <w:szCs w:val="22"/>
        </w:rPr>
        <w:t>7</w:t>
      </w:r>
      <w:r w:rsidR="00A64301" w:rsidRPr="00FB2F3D">
        <w:rPr>
          <w:rFonts w:ascii="Arial" w:hAnsi="Arial" w:cs="Arial"/>
          <w:sz w:val="22"/>
          <w:szCs w:val="22"/>
        </w:rPr>
        <w:t>0</w:t>
      </w:r>
      <w:r w:rsidRPr="00FB2F3D">
        <w:rPr>
          <w:rFonts w:ascii="Arial" w:hAnsi="Arial" w:cs="Arial"/>
          <w:sz w:val="22"/>
          <w:szCs w:val="22"/>
        </w:rPr>
        <w:t xml:space="preserve"> of the FSMR for a Prospectus referred to in</w:t>
      </w:r>
      <w:r w:rsidR="00FA1F32" w:rsidRPr="00FB2F3D">
        <w:rPr>
          <w:rFonts w:ascii="Arial" w:hAnsi="Arial" w:cs="Arial"/>
          <w:sz w:val="22"/>
          <w:szCs w:val="22"/>
        </w:rPr>
        <w:t xml:space="preserve"> </w:t>
      </w:r>
      <w:r w:rsidR="00693841" w:rsidRPr="00FB2F3D">
        <w:rPr>
          <w:rFonts w:ascii="Arial" w:hAnsi="Arial" w:cs="Arial"/>
          <w:sz w:val="22"/>
          <w:szCs w:val="22"/>
        </w:rPr>
        <w:t>(1)</w:t>
      </w:r>
      <w:r w:rsidRPr="00FB2F3D">
        <w:rPr>
          <w:rFonts w:ascii="Arial" w:hAnsi="Arial" w:cs="Arial"/>
          <w:sz w:val="22"/>
          <w:szCs w:val="22"/>
        </w:rPr>
        <w:t>.</w:t>
      </w:r>
    </w:p>
    <w:p w14:paraId="04A3D3FB"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1C07F1F8" w14:textId="77777777" w:rsidR="00162E0C" w:rsidRPr="00FB2F3D" w:rsidRDefault="00162E0C" w:rsidP="00DB61C9">
      <w:pPr>
        <w:pStyle w:val="GuidanceNotesnumbering"/>
        <w:numPr>
          <w:ilvl w:val="0"/>
          <w:numId w:val="35"/>
        </w:numPr>
        <w:rPr>
          <w:rFonts w:ascii="Arial" w:hAnsi="Arial" w:cs="Arial"/>
          <w:sz w:val="22"/>
          <w:szCs w:val="22"/>
        </w:rPr>
      </w:pPr>
      <w:r w:rsidRPr="00FB2F3D">
        <w:rPr>
          <w:rFonts w:ascii="Arial" w:hAnsi="Arial" w:cs="Arial"/>
          <w:sz w:val="22"/>
          <w:szCs w:val="22"/>
        </w:rPr>
        <w:t>In order to meet the obligation in Rule </w:t>
      </w:r>
      <w:r w:rsidR="00693841" w:rsidRPr="00FB2F3D">
        <w:rPr>
          <w:rFonts w:ascii="Arial" w:hAnsi="Arial" w:cs="Arial"/>
          <w:sz w:val="22"/>
          <w:szCs w:val="22"/>
        </w:rPr>
        <w:t>4.6.5(1)(b)</w:t>
      </w:r>
      <w:r w:rsidRPr="00FB2F3D">
        <w:rPr>
          <w:rFonts w:ascii="Arial" w:hAnsi="Arial" w:cs="Arial"/>
          <w:sz w:val="22"/>
          <w:szCs w:val="22"/>
        </w:rPr>
        <w:t xml:space="preserve">, a </w:t>
      </w:r>
      <w:r w:rsidR="009D7FC2" w:rsidRPr="00FB2F3D">
        <w:rPr>
          <w:rFonts w:ascii="Arial" w:hAnsi="Arial" w:cs="Arial"/>
          <w:sz w:val="22"/>
          <w:szCs w:val="22"/>
        </w:rPr>
        <w:t>Financial Intermediary</w:t>
      </w:r>
      <w:r w:rsidRPr="00FB2F3D">
        <w:rPr>
          <w:rFonts w:ascii="Arial" w:hAnsi="Arial" w:cs="Arial"/>
          <w:sz w:val="22"/>
          <w:szCs w:val="22"/>
        </w:rPr>
        <w:t xml:space="preserve"> should undertake a review of the Prospectus to ensure that it does not contain any </w:t>
      </w:r>
      <w:r w:rsidR="00EC3624" w:rsidRPr="00FB2F3D">
        <w:rPr>
          <w:rFonts w:ascii="Arial" w:hAnsi="Arial" w:cs="Arial"/>
          <w:sz w:val="22"/>
          <w:szCs w:val="22"/>
        </w:rPr>
        <w:t xml:space="preserve">false, misleading, or deceptive </w:t>
      </w:r>
      <w:r w:rsidRPr="00FB2F3D">
        <w:rPr>
          <w:rFonts w:ascii="Arial" w:hAnsi="Arial" w:cs="Arial"/>
          <w:sz w:val="22"/>
          <w:szCs w:val="22"/>
        </w:rPr>
        <w:t xml:space="preserve">information or omissions that would be reasonably apparent to a </w:t>
      </w:r>
      <w:r w:rsidR="009D7FC2" w:rsidRPr="00FB2F3D">
        <w:rPr>
          <w:rFonts w:ascii="Arial" w:hAnsi="Arial" w:cs="Arial"/>
          <w:sz w:val="22"/>
          <w:szCs w:val="22"/>
        </w:rPr>
        <w:t>Financial Intermediary</w:t>
      </w:r>
      <w:r w:rsidRPr="00FB2F3D">
        <w:rPr>
          <w:rFonts w:ascii="Arial" w:hAnsi="Arial" w:cs="Arial"/>
          <w:sz w:val="22"/>
          <w:szCs w:val="22"/>
        </w:rPr>
        <w:t xml:space="preserve"> assessing and analysing the Prospectus.</w:t>
      </w:r>
    </w:p>
    <w:p w14:paraId="77DA69E4" w14:textId="77777777" w:rsidR="00162E0C" w:rsidRPr="00FB2F3D" w:rsidRDefault="00162E0C" w:rsidP="00FA1F32">
      <w:pPr>
        <w:pStyle w:val="GuidanceNotesnumbering"/>
        <w:rPr>
          <w:rFonts w:ascii="Arial" w:hAnsi="Arial" w:cs="Arial"/>
          <w:sz w:val="22"/>
          <w:szCs w:val="22"/>
        </w:rPr>
      </w:pPr>
      <w:r w:rsidRPr="00FB2F3D">
        <w:rPr>
          <w:rFonts w:ascii="Arial" w:hAnsi="Arial" w:cs="Arial"/>
          <w:sz w:val="22"/>
          <w:szCs w:val="22"/>
        </w:rPr>
        <w:lastRenderedPageBreak/>
        <w:t xml:space="preserve">The </w:t>
      </w:r>
      <w:r w:rsidR="009D7FC2" w:rsidRPr="00FB2F3D">
        <w:rPr>
          <w:rFonts w:ascii="Arial" w:hAnsi="Arial" w:cs="Arial"/>
          <w:sz w:val="22"/>
          <w:szCs w:val="22"/>
        </w:rPr>
        <w:t>Financial Intermediary</w:t>
      </w:r>
      <w:r w:rsidRPr="00FB2F3D">
        <w:rPr>
          <w:rFonts w:ascii="Arial" w:hAnsi="Arial" w:cs="Arial"/>
          <w:sz w:val="22"/>
          <w:szCs w:val="22"/>
        </w:rPr>
        <w:t xml:space="preserve"> and the Issuer of the </w:t>
      </w:r>
      <w:r w:rsidR="004B46BD" w:rsidRPr="00FB2F3D">
        <w:rPr>
          <w:rFonts w:ascii="Arial" w:hAnsi="Arial" w:cs="Arial"/>
          <w:sz w:val="22"/>
          <w:szCs w:val="22"/>
        </w:rPr>
        <w:t>Securities</w:t>
      </w:r>
      <w:r w:rsidRPr="00FB2F3D">
        <w:rPr>
          <w:rFonts w:ascii="Arial" w:hAnsi="Arial" w:cs="Arial"/>
          <w:sz w:val="22"/>
          <w:szCs w:val="22"/>
        </w:rPr>
        <w:t xml:space="preserve"> may be able to rely on the defences and other incidents applying to action</w:t>
      </w:r>
      <w:r w:rsidR="00A1188A" w:rsidRPr="00FB2F3D">
        <w:rPr>
          <w:rFonts w:ascii="Arial" w:hAnsi="Arial" w:cs="Arial"/>
          <w:sz w:val="22"/>
          <w:szCs w:val="22"/>
        </w:rPr>
        <w:t xml:space="preserve">s for breach of statutory duty </w:t>
      </w:r>
      <w:r w:rsidRPr="00FB2F3D">
        <w:rPr>
          <w:rFonts w:ascii="Arial" w:hAnsi="Arial" w:cs="Arial"/>
          <w:sz w:val="22"/>
          <w:szCs w:val="22"/>
        </w:rPr>
        <w:t>against any action brought against that Person for a breach of the requirements relating to the applicable Prospectus requirements.</w:t>
      </w:r>
    </w:p>
    <w:p w14:paraId="111D55E1" w14:textId="77777777" w:rsidR="00162E0C" w:rsidRPr="00FB2F3D" w:rsidRDefault="00162E0C" w:rsidP="0061693E">
      <w:pPr>
        <w:pStyle w:val="Heading2"/>
        <w:rPr>
          <w:rFonts w:ascii="Arial" w:hAnsi="Arial" w:cs="Arial"/>
          <w:sz w:val="22"/>
          <w:szCs w:val="22"/>
        </w:rPr>
      </w:pPr>
      <w:bookmarkStart w:id="426" w:name="_Toc409521825"/>
      <w:bookmarkStart w:id="427" w:name="_Toc410136222"/>
      <w:bookmarkStart w:id="428" w:name="_Toc410605931"/>
      <w:bookmarkStart w:id="429" w:name="_Toc410658867"/>
      <w:bookmarkStart w:id="430" w:name="_Toc410658994"/>
      <w:bookmarkStart w:id="431" w:name="_Toc410835541"/>
      <w:bookmarkStart w:id="432" w:name="_Toc138325675"/>
      <w:r w:rsidRPr="00FB2F3D">
        <w:rPr>
          <w:rFonts w:ascii="Arial" w:hAnsi="Arial" w:cs="Arial"/>
          <w:sz w:val="22"/>
          <w:szCs w:val="22"/>
        </w:rPr>
        <w:t>Offer documents from other jurisdictions</w:t>
      </w:r>
      <w:bookmarkEnd w:id="426"/>
      <w:bookmarkEnd w:id="427"/>
      <w:bookmarkEnd w:id="428"/>
      <w:bookmarkEnd w:id="429"/>
      <w:bookmarkEnd w:id="430"/>
      <w:bookmarkEnd w:id="431"/>
      <w:bookmarkEnd w:id="432"/>
    </w:p>
    <w:p w14:paraId="2D744A91" w14:textId="0D4C4D13" w:rsidR="00162E0C" w:rsidRPr="00FB2F3D" w:rsidRDefault="007441BA" w:rsidP="00923F59">
      <w:pPr>
        <w:pStyle w:val="Heading3"/>
        <w:ind w:left="1440" w:hanging="1440"/>
        <w:rPr>
          <w:rFonts w:ascii="Arial" w:hAnsi="Arial" w:cs="Arial"/>
          <w:sz w:val="22"/>
          <w:szCs w:val="22"/>
        </w:rPr>
      </w:pPr>
      <w:bookmarkStart w:id="433" w:name="_Ref410049921"/>
      <w:bookmarkStart w:id="434" w:name="_Ref410631733"/>
      <w:r w:rsidRPr="00FB2F3D">
        <w:rPr>
          <w:rFonts w:ascii="Arial" w:hAnsi="Arial" w:cs="Arial"/>
          <w:sz w:val="22"/>
          <w:szCs w:val="22"/>
        </w:rPr>
        <w:t>(1)</w:t>
      </w:r>
      <w:r w:rsidR="00FA1F32" w:rsidRPr="00FB2F3D">
        <w:rPr>
          <w:rFonts w:ascii="Arial" w:hAnsi="Arial" w:cs="Arial"/>
          <w:sz w:val="22"/>
          <w:szCs w:val="22"/>
        </w:rPr>
        <w:tab/>
      </w:r>
      <w:r w:rsidR="00162E0C" w:rsidRPr="00FB2F3D">
        <w:rPr>
          <w:rFonts w:ascii="Arial" w:hAnsi="Arial" w:cs="Arial"/>
          <w:sz w:val="22"/>
          <w:szCs w:val="22"/>
        </w:rPr>
        <w:t xml:space="preserve">The </w:t>
      </w:r>
      <w:r w:rsidR="0035335F" w:rsidRPr="00FB2F3D">
        <w:rPr>
          <w:rFonts w:ascii="Arial" w:hAnsi="Arial" w:cs="Arial"/>
          <w:sz w:val="22"/>
          <w:szCs w:val="22"/>
        </w:rPr>
        <w:t>Regulator</w:t>
      </w:r>
      <w:r w:rsidR="00162E0C" w:rsidRPr="00FB2F3D">
        <w:rPr>
          <w:rFonts w:ascii="Arial" w:hAnsi="Arial" w:cs="Arial"/>
          <w:sz w:val="22"/>
          <w:szCs w:val="22"/>
        </w:rPr>
        <w:t xml:space="preserve"> may, subject to </w:t>
      </w:r>
      <w:r w:rsidR="00693841" w:rsidRPr="00FB2F3D">
        <w:rPr>
          <w:rFonts w:ascii="Arial" w:hAnsi="Arial" w:cs="Arial"/>
          <w:sz w:val="22"/>
          <w:szCs w:val="22"/>
        </w:rPr>
        <w:t>(2)</w:t>
      </w:r>
      <w:r w:rsidR="00162E0C" w:rsidRPr="00FB2F3D">
        <w:rPr>
          <w:rFonts w:ascii="Arial" w:hAnsi="Arial" w:cs="Arial"/>
          <w:sz w:val="22"/>
          <w:szCs w:val="22"/>
        </w:rPr>
        <w:t xml:space="preserve">, approve an </w:t>
      </w:r>
      <w:r w:rsidR="00FB37F9" w:rsidRPr="00FB2F3D">
        <w:rPr>
          <w:rFonts w:ascii="Arial" w:hAnsi="Arial" w:cs="Arial"/>
          <w:sz w:val="22"/>
          <w:szCs w:val="22"/>
        </w:rPr>
        <w:t>Offer</w:t>
      </w:r>
      <w:r w:rsidR="00162E0C" w:rsidRPr="00FB2F3D">
        <w:rPr>
          <w:rFonts w:ascii="Arial" w:hAnsi="Arial" w:cs="Arial"/>
          <w:sz w:val="22"/>
          <w:szCs w:val="22"/>
        </w:rPr>
        <w:t xml:space="preserve"> document produced under legislation in a jurisdiction other than the ADGM for the purposes of meeting the Prospectus requirements in this chapter</w:t>
      </w:r>
      <w:r w:rsidR="005151DC" w:rsidRPr="00FB2F3D">
        <w:rPr>
          <w:rFonts w:ascii="Arial" w:hAnsi="Arial" w:cs="Arial"/>
          <w:sz w:val="22"/>
          <w:szCs w:val="22"/>
        </w:rPr>
        <w:t xml:space="preserve"> </w:t>
      </w:r>
      <w:r w:rsidR="00162E0C" w:rsidRPr="00FB2F3D">
        <w:rPr>
          <w:rFonts w:ascii="Arial" w:hAnsi="Arial" w:cs="Arial"/>
          <w:sz w:val="22"/>
          <w:szCs w:val="22"/>
        </w:rPr>
        <w:t>where</w:t>
      </w:r>
      <w:bookmarkEnd w:id="433"/>
      <w:r w:rsidR="00162E0C" w:rsidRPr="00FB2F3D">
        <w:rPr>
          <w:rFonts w:ascii="Arial" w:hAnsi="Arial" w:cs="Arial"/>
          <w:sz w:val="22"/>
          <w:szCs w:val="22"/>
        </w:rPr>
        <w:t>:</w:t>
      </w:r>
      <w:bookmarkEnd w:id="434"/>
    </w:p>
    <w:p w14:paraId="615D6E7F" w14:textId="7480B608" w:rsidR="00162E0C" w:rsidRPr="00FB2F3D" w:rsidRDefault="00162E0C" w:rsidP="00FA1F32">
      <w:pPr>
        <w:pStyle w:val="Heading5"/>
        <w:keepNext/>
        <w:rPr>
          <w:rFonts w:ascii="Arial" w:hAnsi="Arial" w:cs="Arial"/>
          <w:sz w:val="22"/>
          <w:szCs w:val="22"/>
        </w:rPr>
      </w:pPr>
      <w:r w:rsidRPr="00FB2F3D">
        <w:rPr>
          <w:rFonts w:ascii="Arial" w:hAnsi="Arial" w:cs="Arial"/>
          <w:sz w:val="22"/>
          <w:szCs w:val="22"/>
        </w:rPr>
        <w:t>it is satisfied that</w:t>
      </w:r>
      <w:r w:rsidR="00EB2139">
        <w:rPr>
          <w:rFonts w:ascii="Arial" w:hAnsi="Arial" w:cs="Arial"/>
          <w:sz w:val="22"/>
          <w:szCs w:val="22"/>
        </w:rPr>
        <w:t xml:space="preserve"> the</w:t>
      </w:r>
      <w:r w:rsidRPr="00FB2F3D">
        <w:rPr>
          <w:rFonts w:ascii="Arial" w:hAnsi="Arial" w:cs="Arial"/>
          <w:sz w:val="22"/>
          <w:szCs w:val="22"/>
        </w:rPr>
        <w:t>:</w:t>
      </w:r>
    </w:p>
    <w:p w14:paraId="5864E576" w14:textId="247A9927" w:rsidR="00162E0C" w:rsidRPr="00FB2F3D" w:rsidRDefault="00AA5E2E" w:rsidP="00AA5E2E">
      <w:pPr>
        <w:pStyle w:val="Heading6"/>
        <w:rPr>
          <w:rFonts w:ascii="Arial" w:hAnsi="Arial" w:cs="Arial"/>
          <w:sz w:val="22"/>
          <w:szCs w:val="22"/>
        </w:rPr>
      </w:pPr>
      <w:r w:rsidRPr="00FB2F3D">
        <w:rPr>
          <w:rFonts w:ascii="Arial" w:hAnsi="Arial" w:cs="Arial"/>
          <w:sz w:val="22"/>
          <w:szCs w:val="22"/>
        </w:rPr>
        <w:t xml:space="preserve">Offer document </w:t>
      </w:r>
      <w:r w:rsidR="00162E0C" w:rsidRPr="00FB2F3D">
        <w:rPr>
          <w:rFonts w:ascii="Arial" w:hAnsi="Arial" w:cs="Arial"/>
          <w:sz w:val="22"/>
          <w:szCs w:val="22"/>
        </w:rPr>
        <w:t>contains information equivalent to that which is required for a Prospectus in this chapter; and</w:t>
      </w:r>
    </w:p>
    <w:p w14:paraId="31C3CC37" w14:textId="6D286E8C" w:rsidR="00162E0C" w:rsidRPr="00FB2F3D" w:rsidRDefault="00DE08ED" w:rsidP="0061693E">
      <w:pPr>
        <w:pStyle w:val="Heading6"/>
        <w:rPr>
          <w:rFonts w:ascii="Arial" w:hAnsi="Arial" w:cs="Arial"/>
          <w:sz w:val="22"/>
          <w:szCs w:val="22"/>
        </w:rPr>
      </w:pPr>
      <w:r w:rsidRPr="00FB2F3D">
        <w:rPr>
          <w:rFonts w:ascii="Arial" w:hAnsi="Arial" w:cs="Arial"/>
          <w:sz w:val="22"/>
          <w:szCs w:val="22"/>
        </w:rPr>
        <w:t>Offeror</w:t>
      </w:r>
      <w:r w:rsidR="00162E0C" w:rsidRPr="00FB2F3D">
        <w:rPr>
          <w:rFonts w:ascii="Arial" w:hAnsi="Arial" w:cs="Arial"/>
          <w:sz w:val="22"/>
          <w:szCs w:val="22"/>
        </w:rPr>
        <w:t xml:space="preserve"> meets all the other requirements relating to a</w:t>
      </w:r>
      <w:r w:rsidR="00162E0C" w:rsidRPr="00FB2F3D">
        <w:rPr>
          <w:rFonts w:ascii="Arial" w:hAnsi="Arial" w:cs="Arial"/>
          <w:sz w:val="22"/>
          <w:szCs w:val="22"/>
          <w:lang w:eastAsia="ja-JP"/>
        </w:rPr>
        <w:t xml:space="preserve"> </w:t>
      </w:r>
      <w:r w:rsidR="00162E0C" w:rsidRPr="00FB2F3D">
        <w:rPr>
          <w:rFonts w:ascii="Arial" w:hAnsi="Arial" w:cs="Arial"/>
          <w:sz w:val="22"/>
          <w:szCs w:val="22"/>
        </w:rPr>
        <w:t>Prospectus Offer as prescribed in these Rules; or</w:t>
      </w:r>
    </w:p>
    <w:p w14:paraId="3F7E267C"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 xml:space="preserve">the other jurisdiction provides a level of regulation relating to the </w:t>
      </w:r>
      <w:r w:rsidR="00FB37F9" w:rsidRPr="00FB2F3D">
        <w:rPr>
          <w:rFonts w:ascii="Arial" w:hAnsi="Arial" w:cs="Arial"/>
          <w:sz w:val="22"/>
          <w:szCs w:val="22"/>
        </w:rPr>
        <w:t>Offer</w:t>
      </w:r>
      <w:r w:rsidRPr="00FB2F3D">
        <w:rPr>
          <w:rFonts w:ascii="Arial" w:hAnsi="Arial" w:cs="Arial"/>
          <w:sz w:val="22"/>
          <w:szCs w:val="22"/>
        </w:rPr>
        <w:t xml:space="preserve"> which is acceptable to the </w:t>
      </w:r>
      <w:r w:rsidR="0035335F" w:rsidRPr="00FB2F3D">
        <w:rPr>
          <w:rFonts w:ascii="Arial" w:hAnsi="Arial" w:cs="Arial"/>
          <w:sz w:val="22"/>
          <w:szCs w:val="22"/>
        </w:rPr>
        <w:t>Regulator</w:t>
      </w:r>
      <w:r w:rsidRPr="00FB2F3D">
        <w:rPr>
          <w:rFonts w:ascii="Arial" w:hAnsi="Arial" w:cs="Arial"/>
          <w:sz w:val="22"/>
          <w:szCs w:val="22"/>
        </w:rPr>
        <w:t>.</w:t>
      </w:r>
    </w:p>
    <w:p w14:paraId="659727FB" w14:textId="692C53F6" w:rsidR="00162E0C" w:rsidRPr="00FB2F3D" w:rsidRDefault="00162E0C" w:rsidP="0061693E">
      <w:pPr>
        <w:pStyle w:val="Heading4"/>
        <w:rPr>
          <w:rFonts w:ascii="Arial" w:hAnsi="Arial" w:cs="Arial"/>
          <w:sz w:val="22"/>
          <w:szCs w:val="22"/>
        </w:rPr>
      </w:pPr>
      <w:bookmarkStart w:id="435" w:name="_Ref410665690"/>
      <w:r w:rsidRPr="00FB2F3D">
        <w:rPr>
          <w:rFonts w:ascii="Arial" w:hAnsi="Arial" w:cs="Arial"/>
          <w:sz w:val="22"/>
          <w:szCs w:val="22"/>
        </w:rPr>
        <w:t xml:space="preserve">The </w:t>
      </w:r>
      <w:r w:rsidR="0035335F" w:rsidRPr="00FB2F3D">
        <w:rPr>
          <w:rFonts w:ascii="Arial" w:hAnsi="Arial" w:cs="Arial"/>
          <w:sz w:val="22"/>
          <w:szCs w:val="22"/>
        </w:rPr>
        <w:t>Regulator</w:t>
      </w:r>
      <w:r w:rsidRPr="00FB2F3D">
        <w:rPr>
          <w:rFonts w:ascii="Arial" w:hAnsi="Arial" w:cs="Arial"/>
          <w:sz w:val="22"/>
          <w:szCs w:val="22"/>
        </w:rPr>
        <w:t xml:space="preserve"> may, subject to </w:t>
      </w:r>
      <w:r w:rsidR="00693841" w:rsidRPr="00FB2F3D">
        <w:rPr>
          <w:rFonts w:ascii="Arial" w:hAnsi="Arial" w:cs="Arial"/>
          <w:sz w:val="22"/>
          <w:szCs w:val="22"/>
        </w:rPr>
        <w:t>(3)</w:t>
      </w:r>
      <w:r w:rsidRPr="00FB2F3D">
        <w:rPr>
          <w:rFonts w:ascii="Arial" w:hAnsi="Arial" w:cs="Arial"/>
          <w:sz w:val="22"/>
          <w:szCs w:val="22"/>
        </w:rPr>
        <w:t xml:space="preserve">, approve an </w:t>
      </w:r>
      <w:r w:rsidR="00FB37F9" w:rsidRPr="00FB2F3D">
        <w:rPr>
          <w:rFonts w:ascii="Arial" w:hAnsi="Arial" w:cs="Arial"/>
          <w:sz w:val="22"/>
          <w:szCs w:val="22"/>
        </w:rPr>
        <w:t>Offer</w:t>
      </w:r>
      <w:r w:rsidRPr="00FB2F3D">
        <w:rPr>
          <w:rFonts w:ascii="Arial" w:hAnsi="Arial" w:cs="Arial"/>
          <w:sz w:val="22"/>
          <w:szCs w:val="22"/>
        </w:rPr>
        <w:t xml:space="preserve"> document referred to in </w:t>
      </w:r>
      <w:r w:rsidR="00693841" w:rsidRPr="00FB2F3D">
        <w:rPr>
          <w:rFonts w:ascii="Arial" w:hAnsi="Arial" w:cs="Arial"/>
          <w:sz w:val="22"/>
          <w:szCs w:val="22"/>
        </w:rPr>
        <w:t>(1)</w:t>
      </w:r>
      <w:r w:rsidR="00FA1F32" w:rsidRPr="00FB2F3D">
        <w:rPr>
          <w:rFonts w:ascii="Arial" w:hAnsi="Arial" w:cs="Arial"/>
          <w:sz w:val="22"/>
          <w:szCs w:val="22"/>
        </w:rPr>
        <w:t xml:space="preserve"> </w:t>
      </w:r>
      <w:r w:rsidRPr="00FB2F3D">
        <w:rPr>
          <w:rFonts w:ascii="Arial" w:hAnsi="Arial" w:cs="Arial"/>
          <w:sz w:val="22"/>
          <w:szCs w:val="22"/>
        </w:rPr>
        <w:t xml:space="preserve">in accordance with the requirements and procedures set out in </w:t>
      </w:r>
      <w:r w:rsidR="00EB2139">
        <w:rPr>
          <w:rFonts w:ascii="Arial" w:hAnsi="Arial" w:cs="Arial"/>
          <w:sz w:val="22"/>
          <w:szCs w:val="22"/>
        </w:rPr>
        <w:t xml:space="preserve">this </w:t>
      </w:r>
      <w:r w:rsidR="00B22D02" w:rsidRPr="00FB2F3D">
        <w:rPr>
          <w:rFonts w:ascii="Arial" w:hAnsi="Arial" w:cs="Arial"/>
          <w:sz w:val="22"/>
          <w:szCs w:val="22"/>
        </w:rPr>
        <w:t>Rule</w:t>
      </w:r>
      <w:r w:rsidR="00EB2139">
        <w:rPr>
          <w:rFonts w:ascii="Arial" w:hAnsi="Arial" w:cs="Arial"/>
          <w:sz w:val="22"/>
          <w:szCs w:val="22"/>
        </w:rPr>
        <w:t xml:space="preserve"> </w:t>
      </w:r>
      <w:r w:rsidRPr="00FB2F3D">
        <w:rPr>
          <w:rFonts w:ascii="Arial" w:hAnsi="Arial" w:cs="Arial"/>
          <w:sz w:val="22"/>
          <w:szCs w:val="22"/>
        </w:rPr>
        <w:t xml:space="preserve">and, subject to such conditions or restrictions imposed by the </w:t>
      </w:r>
      <w:r w:rsidR="0035335F" w:rsidRPr="00FB2F3D">
        <w:rPr>
          <w:rFonts w:ascii="Arial" w:hAnsi="Arial" w:cs="Arial"/>
          <w:sz w:val="22"/>
          <w:szCs w:val="22"/>
        </w:rPr>
        <w:t>Regulator</w:t>
      </w:r>
      <w:r w:rsidRPr="00FB2F3D">
        <w:rPr>
          <w:rFonts w:ascii="Arial" w:hAnsi="Arial" w:cs="Arial"/>
          <w:sz w:val="22"/>
          <w:szCs w:val="22"/>
        </w:rPr>
        <w:t xml:space="preserve"> as it sees fit.</w:t>
      </w:r>
      <w:bookmarkEnd w:id="435"/>
    </w:p>
    <w:p w14:paraId="72E5A637" w14:textId="77777777" w:rsidR="00162E0C" w:rsidRPr="00FB2F3D" w:rsidRDefault="00162E0C" w:rsidP="0061693E">
      <w:pPr>
        <w:pStyle w:val="Heading4"/>
        <w:rPr>
          <w:rFonts w:ascii="Arial" w:hAnsi="Arial" w:cs="Arial"/>
          <w:sz w:val="22"/>
          <w:szCs w:val="22"/>
        </w:rPr>
      </w:pPr>
      <w:bookmarkStart w:id="436" w:name="_Ref410665698"/>
      <w:r w:rsidRPr="00FB2F3D">
        <w:rPr>
          <w:rFonts w:ascii="Arial" w:hAnsi="Arial" w:cs="Arial"/>
          <w:sz w:val="22"/>
          <w:szCs w:val="22"/>
        </w:rPr>
        <w:t xml:space="preserve">An </w:t>
      </w:r>
      <w:r w:rsidR="00447121" w:rsidRPr="00FB2F3D">
        <w:rPr>
          <w:rFonts w:ascii="Arial" w:hAnsi="Arial" w:cs="Arial"/>
          <w:sz w:val="22"/>
          <w:szCs w:val="22"/>
        </w:rPr>
        <w:t>application</w:t>
      </w:r>
      <w:r w:rsidRPr="00FB2F3D">
        <w:rPr>
          <w:rFonts w:ascii="Arial" w:hAnsi="Arial" w:cs="Arial"/>
          <w:sz w:val="22"/>
          <w:szCs w:val="22"/>
        </w:rPr>
        <w:t xml:space="preserve"> for approval of an </w:t>
      </w:r>
      <w:r w:rsidR="00FB37F9" w:rsidRPr="00FB2F3D">
        <w:rPr>
          <w:rFonts w:ascii="Arial" w:hAnsi="Arial" w:cs="Arial"/>
          <w:sz w:val="22"/>
          <w:szCs w:val="22"/>
        </w:rPr>
        <w:t>Offer</w:t>
      </w:r>
      <w:r w:rsidRPr="00FB2F3D">
        <w:rPr>
          <w:rFonts w:ascii="Arial" w:hAnsi="Arial" w:cs="Arial"/>
          <w:sz w:val="22"/>
          <w:szCs w:val="22"/>
        </w:rPr>
        <w:t xml:space="preserve"> document produced in accordance with the legislation in a jurisdiction other than the ADGM must:</w:t>
      </w:r>
      <w:bookmarkEnd w:id="436"/>
    </w:p>
    <w:p w14:paraId="6F268A9B"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 xml:space="preserve">be made using </w:t>
      </w:r>
      <w:r w:rsidR="0029125A" w:rsidRPr="00FB2F3D">
        <w:rPr>
          <w:rFonts w:ascii="Arial" w:hAnsi="Arial" w:cs="Arial"/>
          <w:sz w:val="22"/>
          <w:szCs w:val="22"/>
        </w:rPr>
        <w:t>such form as the Regulator shall prescribe</w:t>
      </w:r>
      <w:r w:rsidRPr="00FB2F3D">
        <w:rPr>
          <w:rFonts w:ascii="Arial" w:hAnsi="Arial" w:cs="Arial"/>
          <w:sz w:val="22"/>
          <w:szCs w:val="22"/>
        </w:rPr>
        <w:t>;</w:t>
      </w:r>
    </w:p>
    <w:p w14:paraId="34A05B9D" w14:textId="77777777" w:rsidR="00162E0C" w:rsidRPr="00FB2F3D" w:rsidRDefault="00162E0C" w:rsidP="00AA5E2E">
      <w:pPr>
        <w:pStyle w:val="Heading5"/>
        <w:rPr>
          <w:rFonts w:ascii="Arial" w:hAnsi="Arial" w:cs="Arial"/>
          <w:sz w:val="22"/>
          <w:szCs w:val="22"/>
        </w:rPr>
      </w:pPr>
      <w:r w:rsidRPr="00FB2F3D">
        <w:rPr>
          <w:rFonts w:ascii="Arial" w:hAnsi="Arial" w:cs="Arial"/>
          <w:sz w:val="22"/>
          <w:szCs w:val="22"/>
        </w:rPr>
        <w:t>be accompanied by the relevant fee prescribed in</w:t>
      </w:r>
      <w:r w:rsidR="00AA5E2E" w:rsidRPr="00FB2F3D">
        <w:rPr>
          <w:rFonts w:ascii="Arial" w:hAnsi="Arial" w:cs="Arial"/>
          <w:sz w:val="22"/>
          <w:szCs w:val="22"/>
        </w:rPr>
        <w:t xml:space="preserve"> FEES</w:t>
      </w:r>
      <w:r w:rsidRPr="00FB2F3D">
        <w:rPr>
          <w:rFonts w:ascii="Arial" w:hAnsi="Arial" w:cs="Arial"/>
          <w:sz w:val="22"/>
          <w:szCs w:val="22"/>
        </w:rPr>
        <w:t>; and</w:t>
      </w:r>
    </w:p>
    <w:p w14:paraId="06E760E4" w14:textId="77777777" w:rsidR="00162E0C" w:rsidRPr="00FB2F3D" w:rsidRDefault="00162E0C" w:rsidP="00FA1F32">
      <w:pPr>
        <w:pStyle w:val="Heading5"/>
        <w:keepNext/>
        <w:rPr>
          <w:rFonts w:ascii="Arial" w:hAnsi="Arial" w:cs="Arial"/>
          <w:sz w:val="22"/>
          <w:szCs w:val="22"/>
        </w:rPr>
      </w:pPr>
      <w:r w:rsidRPr="00FB2F3D">
        <w:rPr>
          <w:rFonts w:ascii="Arial" w:hAnsi="Arial" w:cs="Arial"/>
          <w:sz w:val="22"/>
          <w:szCs w:val="22"/>
        </w:rPr>
        <w:t>include:</w:t>
      </w:r>
    </w:p>
    <w:p w14:paraId="1486F14B" w14:textId="77777777" w:rsidR="00375DFB" w:rsidRDefault="00375DFB" w:rsidP="0061693E">
      <w:pPr>
        <w:pStyle w:val="Heading6"/>
        <w:rPr>
          <w:rFonts w:ascii="Arial" w:hAnsi="Arial" w:cs="Arial"/>
          <w:sz w:val="22"/>
          <w:szCs w:val="22"/>
        </w:rPr>
      </w:pPr>
      <w:r>
        <w:rPr>
          <w:rFonts w:ascii="Arial" w:hAnsi="Arial" w:cs="Arial"/>
          <w:sz w:val="22"/>
          <w:szCs w:val="22"/>
        </w:rPr>
        <w:t>a copy of the Offer document;</w:t>
      </w:r>
    </w:p>
    <w:p w14:paraId="757CCFE9" w14:textId="157A6BD1" w:rsidR="00162E0C" w:rsidRPr="00FB2F3D" w:rsidRDefault="00162E0C" w:rsidP="0061693E">
      <w:pPr>
        <w:pStyle w:val="Heading6"/>
        <w:rPr>
          <w:rFonts w:ascii="Arial" w:hAnsi="Arial" w:cs="Arial"/>
          <w:sz w:val="22"/>
          <w:szCs w:val="22"/>
        </w:rPr>
      </w:pPr>
      <w:r w:rsidRPr="00FB2F3D">
        <w:rPr>
          <w:rFonts w:ascii="Arial" w:hAnsi="Arial" w:cs="Arial"/>
          <w:sz w:val="22"/>
          <w:szCs w:val="22"/>
        </w:rPr>
        <w:t xml:space="preserve">where the </w:t>
      </w:r>
      <w:r w:rsidR="00FB37F9" w:rsidRPr="00FB2F3D">
        <w:rPr>
          <w:rFonts w:ascii="Arial" w:hAnsi="Arial" w:cs="Arial"/>
          <w:sz w:val="22"/>
          <w:szCs w:val="22"/>
        </w:rPr>
        <w:t>Offer</w:t>
      </w:r>
      <w:r w:rsidRPr="00FB2F3D">
        <w:rPr>
          <w:rFonts w:ascii="Arial" w:hAnsi="Arial" w:cs="Arial"/>
          <w:sz w:val="22"/>
          <w:szCs w:val="22"/>
        </w:rPr>
        <w:t xml:space="preserve"> document referred to in </w:t>
      </w:r>
      <w:r w:rsidR="00693841" w:rsidRPr="00FB2F3D">
        <w:rPr>
          <w:rFonts w:ascii="Arial" w:hAnsi="Arial" w:cs="Arial"/>
          <w:sz w:val="22"/>
          <w:szCs w:val="22"/>
        </w:rPr>
        <w:t>(1)</w:t>
      </w:r>
      <w:r w:rsidR="00B317F6" w:rsidRPr="00FB2F3D">
        <w:rPr>
          <w:rFonts w:ascii="Arial" w:hAnsi="Arial" w:cs="Arial"/>
          <w:sz w:val="22"/>
          <w:szCs w:val="22"/>
        </w:rPr>
        <w:t xml:space="preserve"> </w:t>
      </w:r>
      <w:r w:rsidRPr="00FB2F3D">
        <w:rPr>
          <w:rFonts w:ascii="Arial" w:hAnsi="Arial" w:cs="Arial"/>
          <w:sz w:val="22"/>
          <w:szCs w:val="22"/>
        </w:rPr>
        <w:t xml:space="preserve">is not in the English language, an English translation acceptable to the </w:t>
      </w:r>
      <w:r w:rsidR="0035335F" w:rsidRPr="00FB2F3D">
        <w:rPr>
          <w:rFonts w:ascii="Arial" w:hAnsi="Arial" w:cs="Arial"/>
          <w:sz w:val="22"/>
          <w:szCs w:val="22"/>
        </w:rPr>
        <w:t>Regulator</w:t>
      </w:r>
      <w:r w:rsidRPr="00FB2F3D">
        <w:rPr>
          <w:rFonts w:ascii="Arial" w:hAnsi="Arial" w:cs="Arial"/>
          <w:sz w:val="22"/>
          <w:szCs w:val="22"/>
        </w:rPr>
        <w:t>; and</w:t>
      </w:r>
    </w:p>
    <w:p w14:paraId="5041099E"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 xml:space="preserve">a clear statement that it is an </w:t>
      </w:r>
      <w:r w:rsidR="00FB37F9" w:rsidRPr="00FB2F3D">
        <w:rPr>
          <w:rFonts w:ascii="Arial" w:hAnsi="Arial" w:cs="Arial"/>
          <w:sz w:val="22"/>
          <w:szCs w:val="22"/>
        </w:rPr>
        <w:t>Offer</w:t>
      </w:r>
      <w:r w:rsidRPr="00FB2F3D">
        <w:rPr>
          <w:rFonts w:ascii="Arial" w:hAnsi="Arial" w:cs="Arial"/>
          <w:sz w:val="22"/>
          <w:szCs w:val="22"/>
        </w:rPr>
        <w:t xml:space="preserve"> document prepared in accordance with the requirements applicable in the relevant jurisdiction and not in the ADGM.</w:t>
      </w:r>
    </w:p>
    <w:p w14:paraId="3783DED9" w14:textId="77777777" w:rsidR="00375DFB" w:rsidRPr="00375DFB" w:rsidRDefault="00375DFB" w:rsidP="0061693E">
      <w:pPr>
        <w:pStyle w:val="Heading4"/>
        <w:rPr>
          <w:rFonts w:ascii="Arial" w:hAnsi="Arial" w:cs="Arial"/>
          <w:sz w:val="22"/>
          <w:szCs w:val="22"/>
        </w:rPr>
      </w:pPr>
      <w:r w:rsidRPr="00375DFB">
        <w:rPr>
          <w:rFonts w:ascii="Arial" w:hAnsi="Arial" w:cs="Arial"/>
          <w:sz w:val="22"/>
          <w:szCs w:val="22"/>
        </w:rPr>
        <w:t>The application in (3) must be submitted to the Regulator at least 20 Business Days prior to the intended date on which the Applicant intends the Offer document to be approved. Where the application in (3) relates to a Debenture or Sukuk Offer, the application must be made at the earliest practicable point prior to approval being required, and the Regulator will provide its comments or approval within 20 Business Days.</w:t>
      </w:r>
    </w:p>
    <w:p w14:paraId="6A1AC27F" w14:textId="3D220F89" w:rsidR="00162E0C" w:rsidRPr="00FB2F3D" w:rsidRDefault="00162E0C" w:rsidP="0061693E">
      <w:pPr>
        <w:pStyle w:val="Heading4"/>
        <w:rPr>
          <w:rFonts w:ascii="Arial" w:hAnsi="Arial" w:cs="Arial"/>
          <w:sz w:val="22"/>
          <w:szCs w:val="22"/>
        </w:rPr>
      </w:pPr>
      <w:r w:rsidRPr="00FB2F3D">
        <w:rPr>
          <w:rFonts w:ascii="Arial" w:hAnsi="Arial" w:cs="Arial"/>
          <w:sz w:val="22"/>
          <w:szCs w:val="22"/>
        </w:rPr>
        <w:lastRenderedPageBreak/>
        <w:t xml:space="preserve">An </w:t>
      </w:r>
      <w:r w:rsidR="00FB37F9" w:rsidRPr="00FB2F3D">
        <w:rPr>
          <w:rFonts w:ascii="Arial" w:hAnsi="Arial" w:cs="Arial"/>
          <w:sz w:val="22"/>
          <w:szCs w:val="22"/>
        </w:rPr>
        <w:t>Offer</w:t>
      </w:r>
      <w:r w:rsidRPr="00FB2F3D">
        <w:rPr>
          <w:rFonts w:ascii="Arial" w:hAnsi="Arial" w:cs="Arial"/>
          <w:sz w:val="22"/>
          <w:szCs w:val="22"/>
        </w:rPr>
        <w:t xml:space="preserve"> document referred to in </w:t>
      </w:r>
      <w:r w:rsidR="00693841" w:rsidRPr="00FB2F3D">
        <w:rPr>
          <w:rFonts w:ascii="Arial" w:hAnsi="Arial" w:cs="Arial"/>
          <w:sz w:val="22"/>
          <w:szCs w:val="22"/>
        </w:rPr>
        <w:t>(1)</w:t>
      </w:r>
      <w:r w:rsidR="00B317F6" w:rsidRPr="00FB2F3D">
        <w:rPr>
          <w:rFonts w:ascii="Arial" w:hAnsi="Arial" w:cs="Arial"/>
          <w:sz w:val="22"/>
          <w:szCs w:val="22"/>
        </w:rPr>
        <w:t xml:space="preserve"> </w:t>
      </w:r>
      <w:r w:rsidRPr="00FB2F3D">
        <w:rPr>
          <w:rFonts w:ascii="Arial" w:hAnsi="Arial" w:cs="Arial"/>
          <w:sz w:val="22"/>
          <w:szCs w:val="22"/>
        </w:rPr>
        <w:t xml:space="preserve">is an Approved Prospectus for the purposes of section </w:t>
      </w:r>
      <w:r w:rsidR="00A64301" w:rsidRPr="00FB2F3D">
        <w:rPr>
          <w:rFonts w:ascii="Arial" w:hAnsi="Arial" w:cs="Arial"/>
          <w:sz w:val="22"/>
          <w:szCs w:val="22"/>
        </w:rPr>
        <w:t>61</w:t>
      </w:r>
      <w:r w:rsidR="00A1188A" w:rsidRPr="00FB2F3D">
        <w:rPr>
          <w:rFonts w:ascii="Arial" w:hAnsi="Arial" w:cs="Arial"/>
          <w:sz w:val="22"/>
          <w:szCs w:val="22"/>
        </w:rPr>
        <w:t>(2)(a)</w:t>
      </w:r>
      <w:r w:rsidRPr="00FB2F3D">
        <w:rPr>
          <w:rFonts w:ascii="Arial" w:hAnsi="Arial" w:cs="Arial"/>
          <w:sz w:val="22"/>
          <w:szCs w:val="22"/>
        </w:rPr>
        <w:t xml:space="preserve"> of the FSMR where it has been approved by the </w:t>
      </w:r>
      <w:r w:rsidR="0035335F" w:rsidRPr="00FB2F3D">
        <w:rPr>
          <w:rFonts w:ascii="Arial" w:hAnsi="Arial" w:cs="Arial"/>
          <w:sz w:val="22"/>
          <w:szCs w:val="22"/>
        </w:rPr>
        <w:t>Regulator</w:t>
      </w:r>
      <w:r w:rsidRPr="00FB2F3D">
        <w:rPr>
          <w:rFonts w:ascii="Arial" w:hAnsi="Arial" w:cs="Arial"/>
          <w:sz w:val="22"/>
          <w:szCs w:val="22"/>
        </w:rPr>
        <w:t xml:space="preserve"> in accordance with the requirements in this Rule.</w:t>
      </w:r>
    </w:p>
    <w:p w14:paraId="1FA462A6" w14:textId="77777777" w:rsidR="00162E0C" w:rsidRPr="00FB2F3D" w:rsidRDefault="00162E0C" w:rsidP="0061693E">
      <w:pPr>
        <w:pStyle w:val="Heading4"/>
        <w:rPr>
          <w:rFonts w:ascii="Arial" w:hAnsi="Arial" w:cs="Arial"/>
          <w:sz w:val="22"/>
          <w:szCs w:val="22"/>
        </w:rPr>
      </w:pPr>
      <w:r w:rsidRPr="00FB2F3D">
        <w:rPr>
          <w:rFonts w:ascii="Arial" w:hAnsi="Arial" w:cs="Arial"/>
          <w:sz w:val="22"/>
          <w:szCs w:val="22"/>
        </w:rPr>
        <w:t xml:space="preserve">The procedures in </w:t>
      </w:r>
      <w:r w:rsidR="00A1188A" w:rsidRPr="00FB2F3D">
        <w:rPr>
          <w:rFonts w:ascii="Arial" w:hAnsi="Arial" w:cs="Arial"/>
          <w:sz w:val="22"/>
          <w:szCs w:val="22"/>
        </w:rPr>
        <w:t>Part 6</w:t>
      </w:r>
      <w:r w:rsidRPr="00FB2F3D">
        <w:rPr>
          <w:rFonts w:ascii="Arial" w:hAnsi="Arial" w:cs="Arial"/>
          <w:sz w:val="22"/>
          <w:szCs w:val="22"/>
        </w:rPr>
        <w:t xml:space="preserve"> of the FSMR apply to a decision of the </w:t>
      </w:r>
      <w:r w:rsidR="0035335F" w:rsidRPr="00FB2F3D">
        <w:rPr>
          <w:rFonts w:ascii="Arial" w:hAnsi="Arial" w:cs="Arial"/>
          <w:sz w:val="22"/>
          <w:szCs w:val="22"/>
        </w:rPr>
        <w:t>Regulator</w:t>
      </w:r>
      <w:r w:rsidRPr="00FB2F3D">
        <w:rPr>
          <w:rFonts w:ascii="Arial" w:hAnsi="Arial" w:cs="Arial"/>
          <w:sz w:val="22"/>
          <w:szCs w:val="22"/>
        </w:rPr>
        <w:t xml:space="preserve"> under this Rule</w:t>
      </w:r>
      <w:r w:rsidR="00B317F6" w:rsidRPr="00FB2F3D">
        <w:rPr>
          <w:rFonts w:ascii="Arial" w:hAnsi="Arial" w:cs="Arial"/>
          <w:sz w:val="22"/>
          <w:szCs w:val="22"/>
        </w:rPr>
        <w:t xml:space="preserve"> </w:t>
      </w:r>
      <w:r w:rsidRPr="00FB2F3D">
        <w:rPr>
          <w:rFonts w:ascii="Arial" w:hAnsi="Arial" w:cs="Arial"/>
          <w:sz w:val="22"/>
          <w:szCs w:val="22"/>
        </w:rPr>
        <w:t xml:space="preserve">not to approve an </w:t>
      </w:r>
      <w:r w:rsidR="00FB37F9" w:rsidRPr="00FB2F3D">
        <w:rPr>
          <w:rFonts w:ascii="Arial" w:hAnsi="Arial" w:cs="Arial"/>
          <w:sz w:val="22"/>
          <w:szCs w:val="22"/>
        </w:rPr>
        <w:t>Offer</w:t>
      </w:r>
      <w:r w:rsidRPr="00FB2F3D">
        <w:rPr>
          <w:rFonts w:ascii="Arial" w:hAnsi="Arial" w:cs="Arial"/>
          <w:sz w:val="22"/>
          <w:szCs w:val="22"/>
        </w:rPr>
        <w:t xml:space="preserve"> document or to impose conditions or restrictions on an approval.</w:t>
      </w:r>
    </w:p>
    <w:p w14:paraId="00692BFD"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5DC9266E" w14:textId="342F27A0" w:rsidR="00162E0C" w:rsidRDefault="00375DFB" w:rsidP="00375DFB">
      <w:pPr>
        <w:pStyle w:val="UK12Block05"/>
        <w:ind w:left="1418" w:hanging="709"/>
        <w:rPr>
          <w:rFonts w:ascii="Arial" w:hAnsi="Arial" w:cs="Arial"/>
          <w:sz w:val="22"/>
          <w:szCs w:val="22"/>
        </w:rPr>
      </w:pPr>
      <w:r>
        <w:rPr>
          <w:rFonts w:ascii="Arial" w:hAnsi="Arial" w:cs="Arial"/>
          <w:sz w:val="22"/>
          <w:szCs w:val="22"/>
        </w:rPr>
        <w:t>1.</w:t>
      </w:r>
      <w:r>
        <w:rPr>
          <w:rFonts w:ascii="Arial" w:hAnsi="Arial" w:cs="Arial"/>
          <w:sz w:val="22"/>
          <w:szCs w:val="22"/>
        </w:rPr>
        <w:tab/>
      </w:r>
      <w:r w:rsidR="00162E0C" w:rsidRPr="00FB2F3D">
        <w:rPr>
          <w:rFonts w:ascii="Arial" w:hAnsi="Arial" w:cs="Arial"/>
          <w:sz w:val="22"/>
          <w:szCs w:val="22"/>
        </w:rPr>
        <w:t xml:space="preserve">A Person considering filing an </w:t>
      </w:r>
      <w:r w:rsidR="00FB37F9" w:rsidRPr="00FB2F3D">
        <w:rPr>
          <w:rFonts w:ascii="Arial" w:hAnsi="Arial" w:cs="Arial"/>
          <w:sz w:val="22"/>
          <w:szCs w:val="22"/>
        </w:rPr>
        <w:t>Offer</w:t>
      </w:r>
      <w:r w:rsidR="00162E0C" w:rsidRPr="00FB2F3D">
        <w:rPr>
          <w:rFonts w:ascii="Arial" w:hAnsi="Arial" w:cs="Arial"/>
          <w:sz w:val="22"/>
          <w:szCs w:val="22"/>
        </w:rPr>
        <w:t xml:space="preserve"> document pursuant to Rule </w:t>
      </w:r>
      <w:r w:rsidR="00693841" w:rsidRPr="00FB2F3D">
        <w:rPr>
          <w:rFonts w:ascii="Arial" w:hAnsi="Arial" w:cs="Arial"/>
          <w:sz w:val="22"/>
          <w:szCs w:val="22"/>
        </w:rPr>
        <w:t>4.7.1</w:t>
      </w:r>
      <w:r w:rsidR="00162E0C" w:rsidRPr="00FB2F3D">
        <w:rPr>
          <w:rFonts w:ascii="Arial" w:hAnsi="Arial" w:cs="Arial"/>
          <w:sz w:val="22"/>
          <w:szCs w:val="22"/>
        </w:rPr>
        <w:t xml:space="preserve"> should approach the </w:t>
      </w:r>
      <w:r w:rsidR="0035335F" w:rsidRPr="00FB2F3D">
        <w:rPr>
          <w:rFonts w:ascii="Arial" w:hAnsi="Arial" w:cs="Arial"/>
          <w:sz w:val="22"/>
          <w:szCs w:val="22"/>
        </w:rPr>
        <w:t>Regulator</w:t>
      </w:r>
      <w:r w:rsidR="00162E0C" w:rsidRPr="00FB2F3D">
        <w:rPr>
          <w:rFonts w:ascii="Arial" w:hAnsi="Arial" w:cs="Arial"/>
          <w:sz w:val="22"/>
          <w:szCs w:val="22"/>
        </w:rPr>
        <w:t xml:space="preserve"> at the earliest </w:t>
      </w:r>
      <w:r>
        <w:rPr>
          <w:rFonts w:ascii="Arial" w:hAnsi="Arial" w:cs="Arial"/>
          <w:sz w:val="22"/>
          <w:szCs w:val="22"/>
        </w:rPr>
        <w:t xml:space="preserve">opportunity </w:t>
      </w:r>
      <w:r w:rsidR="00162E0C" w:rsidRPr="00FB2F3D">
        <w:rPr>
          <w:rFonts w:ascii="Arial" w:hAnsi="Arial" w:cs="Arial"/>
          <w:sz w:val="22"/>
          <w:szCs w:val="22"/>
        </w:rPr>
        <w:t>to discuss how to proceed</w:t>
      </w:r>
      <w:r>
        <w:rPr>
          <w:rFonts w:ascii="Arial" w:hAnsi="Arial" w:cs="Arial"/>
          <w:sz w:val="22"/>
          <w:szCs w:val="22"/>
        </w:rPr>
        <w:t xml:space="preserve"> as </w:t>
      </w:r>
      <w:r w:rsidR="00162E0C" w:rsidRPr="00FB2F3D">
        <w:rPr>
          <w:rFonts w:ascii="Arial" w:hAnsi="Arial" w:cs="Arial"/>
          <w:sz w:val="22"/>
          <w:szCs w:val="22"/>
        </w:rPr>
        <w:t xml:space="preserve">the </w:t>
      </w:r>
      <w:r w:rsidR="0035335F" w:rsidRPr="00FB2F3D">
        <w:rPr>
          <w:rFonts w:ascii="Arial" w:hAnsi="Arial" w:cs="Arial"/>
          <w:sz w:val="22"/>
          <w:szCs w:val="22"/>
        </w:rPr>
        <w:t>Regulator</w:t>
      </w:r>
      <w:r w:rsidR="00162E0C" w:rsidRPr="00FB2F3D">
        <w:rPr>
          <w:rFonts w:ascii="Arial" w:hAnsi="Arial" w:cs="Arial"/>
          <w:sz w:val="22"/>
          <w:szCs w:val="22"/>
        </w:rPr>
        <w:t xml:space="preserve"> </w:t>
      </w:r>
      <w:r>
        <w:rPr>
          <w:rFonts w:ascii="Arial" w:hAnsi="Arial" w:cs="Arial"/>
          <w:sz w:val="22"/>
          <w:szCs w:val="22"/>
        </w:rPr>
        <w:t>may need to</w:t>
      </w:r>
      <w:r w:rsidR="00162E0C" w:rsidRPr="00FB2F3D">
        <w:rPr>
          <w:rFonts w:ascii="Arial" w:hAnsi="Arial" w:cs="Arial"/>
          <w:sz w:val="22"/>
          <w:szCs w:val="22"/>
        </w:rPr>
        <w:t xml:space="preserve"> undertake the assessment required under Rule </w:t>
      </w:r>
      <w:r w:rsidR="00693841" w:rsidRPr="00FB2F3D">
        <w:rPr>
          <w:rFonts w:ascii="Arial" w:hAnsi="Arial" w:cs="Arial"/>
          <w:sz w:val="22"/>
          <w:szCs w:val="22"/>
        </w:rPr>
        <w:t>4.7.1</w:t>
      </w:r>
      <w:r w:rsidR="00162E0C" w:rsidRPr="00FB2F3D">
        <w:rPr>
          <w:rFonts w:ascii="Arial" w:hAnsi="Arial" w:cs="Arial"/>
          <w:sz w:val="22"/>
          <w:szCs w:val="22"/>
        </w:rPr>
        <w:t xml:space="preserve"> on a case</w:t>
      </w:r>
      <w:r w:rsidR="00162E0C" w:rsidRPr="00FB2F3D">
        <w:rPr>
          <w:rFonts w:ascii="Arial" w:hAnsi="Arial" w:cs="Arial"/>
          <w:sz w:val="22"/>
          <w:szCs w:val="22"/>
        </w:rPr>
        <w:noBreakHyphen/>
        <w:t>by</w:t>
      </w:r>
      <w:r w:rsidR="00162E0C" w:rsidRPr="00FB2F3D">
        <w:rPr>
          <w:rFonts w:ascii="Arial" w:hAnsi="Arial" w:cs="Arial"/>
          <w:sz w:val="22"/>
          <w:szCs w:val="22"/>
        </w:rPr>
        <w:noBreakHyphen/>
        <w:t>case basis.</w:t>
      </w:r>
    </w:p>
    <w:p w14:paraId="100FF108" w14:textId="72555A23" w:rsidR="00375DFB" w:rsidRDefault="00375DFB" w:rsidP="00375DFB">
      <w:pPr>
        <w:pStyle w:val="UK12Block05"/>
        <w:ind w:left="1418" w:hanging="709"/>
        <w:rPr>
          <w:rFonts w:ascii="Arial" w:hAnsi="Arial" w:cs="Arial"/>
          <w:sz w:val="22"/>
          <w:szCs w:val="22"/>
        </w:rPr>
      </w:pPr>
      <w:r>
        <w:rPr>
          <w:rFonts w:ascii="Arial" w:hAnsi="Arial" w:cs="Arial"/>
          <w:sz w:val="22"/>
          <w:szCs w:val="22"/>
        </w:rPr>
        <w:t>2.</w:t>
      </w:r>
      <w:r>
        <w:rPr>
          <w:rFonts w:ascii="Arial" w:hAnsi="Arial" w:cs="Arial"/>
          <w:sz w:val="22"/>
          <w:szCs w:val="22"/>
        </w:rPr>
        <w:tab/>
      </w:r>
      <w:r w:rsidRPr="00375DFB">
        <w:rPr>
          <w:rFonts w:ascii="Arial" w:hAnsi="Arial" w:cs="Arial"/>
          <w:sz w:val="22"/>
          <w:szCs w:val="22"/>
        </w:rPr>
        <w:t>A Person intending to apply to the Regulator for approval of an Offer document pursuant to Rule 4.7.1(3) should consider submitting a draft Offer document for preliminary review by the Regulator prior to formally submitting the Offer document for the Regulator's approval.</w:t>
      </w:r>
    </w:p>
    <w:p w14:paraId="11DC7754" w14:textId="77777777" w:rsidR="00375DFB" w:rsidRPr="00770606" w:rsidRDefault="00375DFB" w:rsidP="00375DFB">
      <w:pPr>
        <w:tabs>
          <w:tab w:val="left" w:pos="709"/>
        </w:tabs>
        <w:ind w:left="1440" w:hanging="1440"/>
        <w:jc w:val="both"/>
        <w:rPr>
          <w:rFonts w:ascii="Arial" w:eastAsia="Times New Roman" w:hAnsi="Arial" w:cs="Arial"/>
          <w:sz w:val="22"/>
          <w:szCs w:val="22"/>
        </w:rPr>
      </w:pPr>
      <w:r w:rsidRPr="00770606">
        <w:rPr>
          <w:rFonts w:ascii="Arial" w:eastAsia="Times New Roman" w:hAnsi="Arial" w:cs="Arial"/>
          <w:b/>
          <w:bCs/>
          <w:sz w:val="22"/>
          <w:szCs w:val="22"/>
        </w:rPr>
        <w:t>4.7.2</w:t>
      </w:r>
      <w:r w:rsidRPr="00770606">
        <w:rPr>
          <w:rFonts w:ascii="Arial" w:eastAsia="Times New Roman" w:hAnsi="Arial" w:cs="Arial"/>
          <w:b/>
          <w:bCs/>
          <w:sz w:val="22"/>
          <w:szCs w:val="22"/>
        </w:rPr>
        <w:tab/>
      </w:r>
      <w:r w:rsidRPr="00770606">
        <w:rPr>
          <w:rFonts w:ascii="Arial" w:eastAsia="Times New Roman" w:hAnsi="Arial" w:cs="Arial"/>
          <w:sz w:val="22"/>
          <w:szCs w:val="22"/>
        </w:rPr>
        <w:t>(1)</w:t>
      </w:r>
      <w:r w:rsidRPr="00770606">
        <w:rPr>
          <w:rFonts w:ascii="Arial" w:eastAsia="Times New Roman" w:hAnsi="Arial" w:cs="Arial"/>
          <w:sz w:val="22"/>
          <w:szCs w:val="22"/>
        </w:rPr>
        <w:tab/>
        <w:t>Once an Offer document referred to in Rule 4.7.1 has been approved in accordance with 4.7.1(2), it must be made available to the public:</w:t>
      </w:r>
    </w:p>
    <w:p w14:paraId="51DA939A" w14:textId="77777777" w:rsidR="00375DFB" w:rsidRPr="00BB076C" w:rsidRDefault="00375DFB" w:rsidP="00375DFB">
      <w:pPr>
        <w:tabs>
          <w:tab w:val="left" w:pos="709"/>
        </w:tabs>
        <w:ind w:left="1440" w:hanging="1440"/>
        <w:rPr>
          <w:rFonts w:ascii="Arial" w:eastAsia="Times New Roman" w:hAnsi="Arial" w:cs="Arial"/>
          <w:sz w:val="22"/>
          <w:szCs w:val="22"/>
          <w:u w:val="single"/>
        </w:rPr>
      </w:pPr>
    </w:p>
    <w:p w14:paraId="495D5CBA" w14:textId="76EF070E" w:rsidR="00375DFB" w:rsidRPr="00770606" w:rsidRDefault="00375DFB" w:rsidP="00770606">
      <w:pPr>
        <w:pStyle w:val="Heading5"/>
        <w:rPr>
          <w:rFonts w:ascii="Arial" w:hAnsi="Arial" w:cs="Arial"/>
          <w:sz w:val="22"/>
          <w:szCs w:val="22"/>
        </w:rPr>
      </w:pPr>
      <w:r w:rsidRPr="00770606">
        <w:rPr>
          <w:rFonts w:ascii="Arial" w:hAnsi="Arial" w:cs="Arial"/>
          <w:sz w:val="22"/>
          <w:szCs w:val="22"/>
        </w:rPr>
        <w:t xml:space="preserve">as soon as reasonably practicable; and </w:t>
      </w:r>
    </w:p>
    <w:p w14:paraId="1DBB26FC" w14:textId="3BDD12DF" w:rsidR="00375DFB" w:rsidRPr="00770606" w:rsidRDefault="00375DFB" w:rsidP="00770606">
      <w:pPr>
        <w:pStyle w:val="Heading5"/>
        <w:rPr>
          <w:rFonts w:ascii="Arial" w:hAnsi="Arial" w:cs="Arial"/>
          <w:sz w:val="22"/>
          <w:szCs w:val="22"/>
        </w:rPr>
      </w:pPr>
      <w:r w:rsidRPr="00770606">
        <w:rPr>
          <w:rFonts w:ascii="Arial" w:hAnsi="Arial" w:cs="Arial"/>
          <w:sz w:val="22"/>
          <w:szCs w:val="22"/>
        </w:rPr>
        <w:t>in the form approved by the Regulator.</w:t>
      </w:r>
    </w:p>
    <w:p w14:paraId="2FD35C1A" w14:textId="77777777" w:rsidR="00375DFB" w:rsidRPr="00770606" w:rsidRDefault="00375DFB" w:rsidP="00375DFB">
      <w:pPr>
        <w:tabs>
          <w:tab w:val="left" w:pos="709"/>
        </w:tabs>
        <w:ind w:left="1440" w:hanging="731"/>
        <w:jc w:val="both"/>
        <w:rPr>
          <w:rFonts w:ascii="Arial" w:eastAsia="Times New Roman" w:hAnsi="Arial" w:cs="Arial"/>
          <w:sz w:val="22"/>
          <w:szCs w:val="22"/>
        </w:rPr>
      </w:pPr>
      <w:r w:rsidRPr="00770606">
        <w:rPr>
          <w:rFonts w:ascii="Arial" w:eastAsia="Times New Roman" w:hAnsi="Arial" w:cs="Arial"/>
          <w:sz w:val="22"/>
          <w:szCs w:val="22"/>
        </w:rPr>
        <w:t>(2)</w:t>
      </w:r>
      <w:r w:rsidRPr="00770606">
        <w:rPr>
          <w:rFonts w:ascii="Arial" w:eastAsia="Times New Roman" w:hAnsi="Arial" w:cs="Arial"/>
          <w:sz w:val="22"/>
          <w:szCs w:val="22"/>
        </w:rPr>
        <w:tab/>
        <w:t xml:space="preserve">The Securities to which an Offer document approved in accordance with Rule 4.7.1 relates must not be offered for subscription or sale unless: </w:t>
      </w:r>
    </w:p>
    <w:p w14:paraId="5A812105" w14:textId="77777777" w:rsidR="00375DFB" w:rsidRPr="00770606" w:rsidRDefault="00375DFB" w:rsidP="00375DFB">
      <w:pPr>
        <w:tabs>
          <w:tab w:val="left" w:pos="709"/>
        </w:tabs>
        <w:jc w:val="both"/>
        <w:rPr>
          <w:rFonts w:ascii="Arial" w:eastAsia="Times New Roman" w:hAnsi="Arial" w:cs="Arial"/>
          <w:sz w:val="22"/>
          <w:szCs w:val="22"/>
        </w:rPr>
      </w:pPr>
    </w:p>
    <w:p w14:paraId="26DC92E9" w14:textId="5016BE09" w:rsidR="00375DFB" w:rsidRPr="00770606" w:rsidRDefault="00375DFB" w:rsidP="00755725">
      <w:pPr>
        <w:pStyle w:val="Heading5"/>
        <w:numPr>
          <w:ilvl w:val="4"/>
          <w:numId w:val="105"/>
        </w:numPr>
        <w:rPr>
          <w:rFonts w:ascii="Arial" w:hAnsi="Arial" w:cs="Arial"/>
          <w:sz w:val="22"/>
          <w:szCs w:val="22"/>
        </w:rPr>
      </w:pPr>
      <w:r w:rsidRPr="00770606">
        <w:rPr>
          <w:rFonts w:ascii="Arial" w:hAnsi="Arial" w:cs="Arial"/>
          <w:sz w:val="22"/>
          <w:szCs w:val="22"/>
        </w:rPr>
        <w:t>the Offer document remains current in the jurisdiction in which it was issued; and</w:t>
      </w:r>
    </w:p>
    <w:p w14:paraId="76FCC32B" w14:textId="02A27D5B" w:rsidR="00375DFB" w:rsidRPr="00770606" w:rsidRDefault="00375DFB" w:rsidP="00770606">
      <w:pPr>
        <w:pStyle w:val="Heading5"/>
        <w:rPr>
          <w:rFonts w:ascii="Arial" w:hAnsi="Arial" w:cs="Arial"/>
          <w:sz w:val="22"/>
          <w:szCs w:val="22"/>
        </w:rPr>
      </w:pPr>
      <w:r w:rsidRPr="00770606">
        <w:rPr>
          <w:rFonts w:ascii="Arial" w:hAnsi="Arial" w:cs="Arial"/>
          <w:sz w:val="22"/>
          <w:szCs w:val="22"/>
        </w:rPr>
        <w:t>no more than 12 months has passed since the Offer document was approved by the Regulator.</w:t>
      </w:r>
    </w:p>
    <w:p w14:paraId="08D43989" w14:textId="77777777" w:rsidR="00162E0C" w:rsidRPr="00FB2F3D" w:rsidRDefault="00162E0C" w:rsidP="0061693E">
      <w:pPr>
        <w:pStyle w:val="Heading2"/>
        <w:rPr>
          <w:rFonts w:ascii="Arial" w:hAnsi="Arial" w:cs="Arial"/>
          <w:sz w:val="22"/>
          <w:szCs w:val="22"/>
        </w:rPr>
      </w:pPr>
      <w:bookmarkStart w:id="437" w:name="_Toc409521826"/>
      <w:bookmarkStart w:id="438" w:name="_Toc410136223"/>
      <w:bookmarkStart w:id="439" w:name="_Toc410605932"/>
      <w:bookmarkStart w:id="440" w:name="_Toc410658868"/>
      <w:bookmarkStart w:id="441" w:name="_Toc410658995"/>
      <w:bookmarkStart w:id="442" w:name="_Toc410835542"/>
      <w:bookmarkStart w:id="443" w:name="_Toc138325676"/>
      <w:r w:rsidRPr="00FB2F3D">
        <w:rPr>
          <w:rFonts w:ascii="Arial" w:hAnsi="Arial" w:cs="Arial"/>
          <w:sz w:val="22"/>
          <w:szCs w:val="22"/>
        </w:rPr>
        <w:t>Incorporation by reference</w:t>
      </w:r>
      <w:bookmarkEnd w:id="437"/>
      <w:bookmarkEnd w:id="438"/>
      <w:bookmarkEnd w:id="439"/>
      <w:bookmarkEnd w:id="440"/>
      <w:bookmarkEnd w:id="441"/>
      <w:bookmarkEnd w:id="442"/>
      <w:bookmarkEnd w:id="443"/>
    </w:p>
    <w:p w14:paraId="50AFEA07" w14:textId="21028F16" w:rsidR="00162E0C" w:rsidRPr="00FB2F3D" w:rsidRDefault="007441BA" w:rsidP="00923F59">
      <w:pPr>
        <w:pStyle w:val="Heading3"/>
        <w:ind w:left="1440" w:hanging="1440"/>
        <w:rPr>
          <w:rFonts w:ascii="Arial" w:hAnsi="Arial" w:cs="Arial"/>
          <w:sz w:val="22"/>
          <w:szCs w:val="22"/>
        </w:rPr>
      </w:pPr>
      <w:bookmarkStart w:id="444" w:name="_Ref410049778"/>
      <w:r w:rsidRPr="00FB2F3D">
        <w:rPr>
          <w:rFonts w:ascii="Arial" w:hAnsi="Arial" w:cs="Arial"/>
          <w:sz w:val="22"/>
          <w:szCs w:val="22"/>
        </w:rPr>
        <w:t>(1)</w:t>
      </w:r>
      <w:r w:rsidR="00FA1F32" w:rsidRPr="00FB2F3D">
        <w:rPr>
          <w:rFonts w:ascii="Arial" w:hAnsi="Arial" w:cs="Arial"/>
          <w:sz w:val="22"/>
          <w:szCs w:val="22"/>
        </w:rPr>
        <w:tab/>
      </w:r>
      <w:r w:rsidR="00162E0C" w:rsidRPr="00FB2F3D">
        <w:rPr>
          <w:rFonts w:ascii="Arial" w:hAnsi="Arial" w:cs="Arial"/>
          <w:sz w:val="22"/>
          <w:szCs w:val="22"/>
        </w:rPr>
        <w:t>Subject to</w:t>
      </w:r>
      <w:r w:rsidR="00345291" w:rsidRPr="00FB2F3D">
        <w:rPr>
          <w:rFonts w:ascii="Arial" w:hAnsi="Arial" w:cs="Arial"/>
          <w:sz w:val="22"/>
          <w:szCs w:val="22"/>
        </w:rPr>
        <w:t xml:space="preserve"> Rule 4.8.1</w:t>
      </w:r>
      <w:r w:rsidR="00693841" w:rsidRPr="00FB2F3D">
        <w:rPr>
          <w:rFonts w:ascii="Arial" w:hAnsi="Arial" w:cs="Arial"/>
          <w:sz w:val="22"/>
          <w:szCs w:val="22"/>
        </w:rPr>
        <w:t>(3)</w:t>
      </w:r>
      <w:r w:rsidR="00162E0C" w:rsidRPr="00FB2F3D">
        <w:rPr>
          <w:rFonts w:ascii="Arial" w:hAnsi="Arial" w:cs="Arial"/>
          <w:sz w:val="22"/>
          <w:szCs w:val="22"/>
        </w:rPr>
        <w:t>, where a requirement in this chapter</w:t>
      </w:r>
      <w:r w:rsidR="005151DC" w:rsidRPr="00FB2F3D">
        <w:rPr>
          <w:rFonts w:ascii="Arial" w:hAnsi="Arial" w:cs="Arial"/>
          <w:sz w:val="22"/>
          <w:szCs w:val="22"/>
        </w:rPr>
        <w:t xml:space="preserve"> </w:t>
      </w:r>
      <w:r w:rsidR="00162E0C" w:rsidRPr="00FB2F3D">
        <w:rPr>
          <w:rFonts w:ascii="Arial" w:hAnsi="Arial" w:cs="Arial"/>
          <w:sz w:val="22"/>
          <w:szCs w:val="22"/>
        </w:rPr>
        <w:t>requires disclosure of information in a Prospectus, the Person making the Prospectus Offer may incorporate that information by reference to another source of information, provided that</w:t>
      </w:r>
      <w:bookmarkEnd w:id="444"/>
      <w:r w:rsidR="00730CAD">
        <w:rPr>
          <w:rFonts w:ascii="Arial" w:hAnsi="Arial" w:cs="Arial"/>
          <w:sz w:val="22"/>
          <w:szCs w:val="22"/>
        </w:rPr>
        <w:t xml:space="preserve"> the</w:t>
      </w:r>
      <w:r w:rsidR="00162E0C" w:rsidRPr="00FB2F3D">
        <w:rPr>
          <w:rFonts w:ascii="Arial" w:hAnsi="Arial" w:cs="Arial"/>
          <w:sz w:val="22"/>
          <w:szCs w:val="22"/>
        </w:rPr>
        <w:t>:</w:t>
      </w:r>
    </w:p>
    <w:p w14:paraId="07B1DD4C" w14:textId="11842159" w:rsidR="00162E0C" w:rsidRPr="00FB2F3D" w:rsidRDefault="00162E0C" w:rsidP="0061693E">
      <w:pPr>
        <w:pStyle w:val="Heading5"/>
        <w:rPr>
          <w:rFonts w:ascii="Arial" w:hAnsi="Arial" w:cs="Arial"/>
          <w:sz w:val="22"/>
          <w:szCs w:val="22"/>
        </w:rPr>
      </w:pPr>
      <w:r w:rsidRPr="00FB2F3D">
        <w:rPr>
          <w:rFonts w:ascii="Arial" w:hAnsi="Arial" w:cs="Arial"/>
          <w:sz w:val="22"/>
          <w:szCs w:val="22"/>
        </w:rPr>
        <w:t>source of information is publicly available on a continuing basis;</w:t>
      </w:r>
    </w:p>
    <w:p w14:paraId="4D835C6A" w14:textId="3C849F6A" w:rsidR="00162E0C" w:rsidRPr="00FB2F3D" w:rsidRDefault="00162E0C" w:rsidP="0061693E">
      <w:pPr>
        <w:pStyle w:val="Heading5"/>
        <w:rPr>
          <w:rFonts w:ascii="Arial" w:hAnsi="Arial" w:cs="Arial"/>
          <w:sz w:val="22"/>
          <w:szCs w:val="22"/>
        </w:rPr>
      </w:pPr>
      <w:r w:rsidRPr="00FB2F3D">
        <w:rPr>
          <w:rFonts w:ascii="Arial" w:hAnsi="Arial" w:cs="Arial"/>
          <w:sz w:val="22"/>
          <w:szCs w:val="22"/>
        </w:rPr>
        <w:t>information is clearly set out and easily accessible in that source;</w:t>
      </w:r>
    </w:p>
    <w:p w14:paraId="437D2400" w14:textId="0A27C38D" w:rsidR="00162E0C" w:rsidRPr="00FB2F3D" w:rsidRDefault="00162E0C" w:rsidP="0061693E">
      <w:pPr>
        <w:pStyle w:val="Heading5"/>
        <w:rPr>
          <w:rFonts w:ascii="Arial" w:hAnsi="Arial" w:cs="Arial"/>
          <w:sz w:val="22"/>
          <w:szCs w:val="22"/>
        </w:rPr>
      </w:pPr>
      <w:r w:rsidRPr="00FB2F3D">
        <w:rPr>
          <w:rFonts w:ascii="Arial" w:hAnsi="Arial" w:cs="Arial"/>
          <w:sz w:val="22"/>
          <w:szCs w:val="22"/>
        </w:rPr>
        <w:t>information is in the English language; and</w:t>
      </w:r>
    </w:p>
    <w:p w14:paraId="32DAF782" w14:textId="78C92B9F" w:rsidR="00162E0C" w:rsidRPr="00FB2F3D" w:rsidRDefault="00162E0C" w:rsidP="0061693E">
      <w:pPr>
        <w:pStyle w:val="Heading5"/>
        <w:rPr>
          <w:rFonts w:ascii="Arial" w:hAnsi="Arial" w:cs="Arial"/>
          <w:sz w:val="22"/>
          <w:szCs w:val="22"/>
        </w:rPr>
      </w:pPr>
      <w:r w:rsidRPr="00FB2F3D">
        <w:rPr>
          <w:rFonts w:ascii="Arial" w:hAnsi="Arial" w:cs="Arial"/>
          <w:sz w:val="22"/>
          <w:szCs w:val="22"/>
        </w:rPr>
        <w:t>information can be accessed without charge.</w:t>
      </w:r>
    </w:p>
    <w:p w14:paraId="1555F219" w14:textId="77777777" w:rsidR="00162E0C" w:rsidRPr="00FB2F3D" w:rsidRDefault="00162E0C" w:rsidP="0061693E">
      <w:pPr>
        <w:pStyle w:val="Heading4"/>
        <w:rPr>
          <w:rFonts w:ascii="Arial" w:hAnsi="Arial" w:cs="Arial"/>
          <w:sz w:val="22"/>
          <w:szCs w:val="22"/>
        </w:rPr>
      </w:pPr>
      <w:r w:rsidRPr="00FB2F3D">
        <w:rPr>
          <w:rFonts w:ascii="Arial" w:hAnsi="Arial" w:cs="Arial"/>
          <w:sz w:val="22"/>
          <w:szCs w:val="22"/>
        </w:rPr>
        <w:t>A reference must also contain sufficient information to enable an investor to decide whether to obtain the information or any part of it.</w:t>
      </w:r>
    </w:p>
    <w:p w14:paraId="1D356195" w14:textId="77777777" w:rsidR="00162E0C" w:rsidRPr="00FB2F3D" w:rsidRDefault="00162E0C" w:rsidP="0061693E">
      <w:pPr>
        <w:pStyle w:val="Heading4"/>
        <w:rPr>
          <w:rFonts w:ascii="Arial" w:hAnsi="Arial" w:cs="Arial"/>
          <w:sz w:val="22"/>
          <w:szCs w:val="22"/>
        </w:rPr>
      </w:pPr>
      <w:bookmarkStart w:id="445" w:name="_Ref410631340"/>
      <w:r w:rsidRPr="00FB2F3D">
        <w:rPr>
          <w:rFonts w:ascii="Arial" w:hAnsi="Arial" w:cs="Arial"/>
          <w:sz w:val="22"/>
          <w:szCs w:val="22"/>
        </w:rPr>
        <w:t>A Summary must not incorporate information by reference.</w:t>
      </w:r>
      <w:bookmarkEnd w:id="445"/>
    </w:p>
    <w:p w14:paraId="23ED42F5" w14:textId="77777777" w:rsidR="007D051A" w:rsidRPr="00FB2F3D" w:rsidRDefault="00B13BDE" w:rsidP="0061693E">
      <w:pPr>
        <w:pStyle w:val="Heading4"/>
        <w:rPr>
          <w:rFonts w:ascii="Arial" w:hAnsi="Arial" w:cs="Arial"/>
          <w:sz w:val="22"/>
          <w:szCs w:val="22"/>
        </w:rPr>
      </w:pPr>
      <w:r w:rsidRPr="00FB2F3D">
        <w:rPr>
          <w:rFonts w:ascii="Arial" w:hAnsi="Arial" w:cs="Arial"/>
          <w:sz w:val="22"/>
          <w:szCs w:val="22"/>
        </w:rPr>
        <w:lastRenderedPageBreak/>
        <w:t>Documents may only be incorporated by reference where the documents are either approved or filed with</w:t>
      </w:r>
      <w:r w:rsidR="007D051A" w:rsidRPr="00FB2F3D">
        <w:rPr>
          <w:rFonts w:ascii="Arial" w:hAnsi="Arial" w:cs="Arial"/>
          <w:sz w:val="22"/>
          <w:szCs w:val="22"/>
        </w:rPr>
        <w:t xml:space="preserve">: </w:t>
      </w:r>
    </w:p>
    <w:p w14:paraId="602E82D3" w14:textId="77777777" w:rsidR="007D051A" w:rsidRPr="00FB2F3D" w:rsidRDefault="00B13BDE" w:rsidP="007D051A">
      <w:pPr>
        <w:pStyle w:val="Heading5"/>
        <w:rPr>
          <w:rFonts w:ascii="Arial" w:hAnsi="Arial" w:cs="Arial"/>
          <w:sz w:val="22"/>
          <w:szCs w:val="22"/>
        </w:rPr>
      </w:pPr>
      <w:r w:rsidRPr="00FB2F3D">
        <w:rPr>
          <w:rFonts w:ascii="Arial" w:hAnsi="Arial" w:cs="Arial"/>
          <w:sz w:val="22"/>
          <w:szCs w:val="22"/>
        </w:rPr>
        <w:t>the Regulator</w:t>
      </w:r>
      <w:r w:rsidR="007D051A" w:rsidRPr="00FB2F3D">
        <w:rPr>
          <w:rFonts w:ascii="Arial" w:hAnsi="Arial" w:cs="Arial"/>
          <w:sz w:val="22"/>
          <w:szCs w:val="22"/>
        </w:rPr>
        <w:t>;</w:t>
      </w:r>
      <w:r w:rsidRPr="00FB2F3D">
        <w:rPr>
          <w:rFonts w:ascii="Arial" w:hAnsi="Arial" w:cs="Arial"/>
          <w:sz w:val="22"/>
          <w:szCs w:val="22"/>
        </w:rPr>
        <w:t xml:space="preserve"> or</w:t>
      </w:r>
      <w:r w:rsidR="007D051A" w:rsidRPr="00FB2F3D">
        <w:rPr>
          <w:rFonts w:ascii="Arial" w:hAnsi="Arial" w:cs="Arial"/>
          <w:sz w:val="22"/>
          <w:szCs w:val="22"/>
        </w:rPr>
        <w:t xml:space="preserve"> </w:t>
      </w:r>
    </w:p>
    <w:p w14:paraId="735DBFFA" w14:textId="77777777" w:rsidR="00B13BDE" w:rsidRPr="00FB2F3D" w:rsidRDefault="00B42892" w:rsidP="00B42892">
      <w:pPr>
        <w:pStyle w:val="Heading5"/>
        <w:rPr>
          <w:rFonts w:ascii="Arial" w:hAnsi="Arial" w:cs="Arial"/>
          <w:sz w:val="22"/>
          <w:szCs w:val="22"/>
        </w:rPr>
      </w:pPr>
      <w:r w:rsidRPr="00FB2F3D">
        <w:rPr>
          <w:rFonts w:ascii="Arial" w:hAnsi="Arial" w:cs="Arial"/>
          <w:sz w:val="22"/>
          <w:szCs w:val="22"/>
        </w:rPr>
        <w:t>a Non-ADGM Financial Services Regulator</w:t>
      </w:r>
      <w:r w:rsidR="007D051A" w:rsidRPr="00FB2F3D">
        <w:rPr>
          <w:rFonts w:ascii="Arial" w:hAnsi="Arial" w:cs="Arial"/>
          <w:sz w:val="22"/>
          <w:szCs w:val="22"/>
        </w:rPr>
        <w:t xml:space="preserve"> having jurisdiction over the Person making the Prospectus Offer.</w:t>
      </w:r>
    </w:p>
    <w:p w14:paraId="6E9AC62A"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42B12C46" w14:textId="77777777" w:rsidR="00162E0C" w:rsidRPr="00FB2F3D" w:rsidRDefault="00162E0C" w:rsidP="006207B8">
      <w:pPr>
        <w:pStyle w:val="UK12Block05"/>
        <w:rPr>
          <w:rFonts w:ascii="Arial" w:hAnsi="Arial" w:cs="Arial"/>
          <w:sz w:val="22"/>
          <w:szCs w:val="22"/>
        </w:rPr>
      </w:pPr>
      <w:r w:rsidRPr="00FB2F3D">
        <w:rPr>
          <w:rFonts w:ascii="Arial" w:hAnsi="Arial" w:cs="Arial"/>
          <w:sz w:val="22"/>
          <w:szCs w:val="22"/>
        </w:rPr>
        <w:t xml:space="preserve">Information that may generally be incorporated by reference includes instruments or statute of incorporation of a </w:t>
      </w:r>
      <w:r w:rsidR="00EE4C51" w:rsidRPr="00FB2F3D">
        <w:rPr>
          <w:rFonts w:ascii="Arial" w:hAnsi="Arial" w:cs="Arial"/>
          <w:sz w:val="22"/>
          <w:szCs w:val="22"/>
        </w:rPr>
        <w:t>Company</w:t>
      </w:r>
      <w:r w:rsidRPr="00FB2F3D">
        <w:rPr>
          <w:rFonts w:ascii="Arial" w:hAnsi="Arial" w:cs="Arial"/>
          <w:sz w:val="22"/>
          <w:szCs w:val="22"/>
        </w:rPr>
        <w:t>, annual reports, periodic financial reports and listing particulars.</w:t>
      </w:r>
      <w:r w:rsidR="00B13BDE" w:rsidRPr="00FB2F3D">
        <w:rPr>
          <w:rFonts w:ascii="Arial" w:hAnsi="Arial" w:cs="Arial"/>
          <w:sz w:val="22"/>
          <w:szCs w:val="22"/>
        </w:rPr>
        <w:t xml:space="preserve"> </w:t>
      </w:r>
    </w:p>
    <w:p w14:paraId="21FC4C61" w14:textId="77777777" w:rsidR="00162E0C" w:rsidRPr="00FB2F3D" w:rsidRDefault="00162E0C" w:rsidP="0061693E">
      <w:pPr>
        <w:pStyle w:val="Heading3"/>
        <w:rPr>
          <w:rFonts w:ascii="Arial" w:hAnsi="Arial" w:cs="Arial"/>
          <w:sz w:val="22"/>
          <w:szCs w:val="22"/>
        </w:rPr>
      </w:pPr>
      <w:r w:rsidRPr="00FB2F3D">
        <w:rPr>
          <w:rFonts w:ascii="Arial" w:hAnsi="Arial" w:cs="Arial"/>
          <w:sz w:val="22"/>
          <w:szCs w:val="22"/>
        </w:rPr>
        <w:t>A Person who makes a Prospectus Offer must provide a copy of any information incorporated by reference under this section free of charge to any Person who requests it during the Offer Period.</w:t>
      </w:r>
    </w:p>
    <w:p w14:paraId="670ADBA2" w14:textId="77777777" w:rsidR="00162E0C" w:rsidRPr="00FB2F3D" w:rsidRDefault="00162E0C" w:rsidP="0061693E">
      <w:pPr>
        <w:pStyle w:val="Heading2"/>
        <w:rPr>
          <w:rFonts w:ascii="Arial" w:hAnsi="Arial" w:cs="Arial"/>
          <w:sz w:val="22"/>
          <w:szCs w:val="22"/>
        </w:rPr>
      </w:pPr>
      <w:bookmarkStart w:id="446" w:name="_Toc409521827"/>
      <w:bookmarkStart w:id="447" w:name="_Ref410075576"/>
      <w:bookmarkStart w:id="448" w:name="_Toc410136224"/>
      <w:bookmarkStart w:id="449" w:name="_Toc410605933"/>
      <w:bookmarkStart w:id="450" w:name="_Ref410628976"/>
      <w:bookmarkStart w:id="451" w:name="_Toc410658869"/>
      <w:bookmarkStart w:id="452" w:name="_Toc410658996"/>
      <w:bookmarkStart w:id="453" w:name="_Toc410835543"/>
      <w:bookmarkStart w:id="454" w:name="_Ref419452971"/>
      <w:bookmarkStart w:id="455" w:name="_Toc138325677"/>
      <w:r w:rsidRPr="00FB2F3D">
        <w:rPr>
          <w:rFonts w:ascii="Arial" w:hAnsi="Arial" w:cs="Arial"/>
          <w:sz w:val="22"/>
          <w:szCs w:val="22"/>
        </w:rPr>
        <w:t xml:space="preserve">Notification of material changes during the currency of the </w:t>
      </w:r>
      <w:r w:rsidR="00F321D2" w:rsidRPr="00FB2F3D">
        <w:rPr>
          <w:rFonts w:ascii="Arial" w:hAnsi="Arial" w:cs="Arial"/>
          <w:sz w:val="22"/>
          <w:szCs w:val="22"/>
        </w:rPr>
        <w:t>Prospectus</w:t>
      </w:r>
      <w:bookmarkEnd w:id="446"/>
      <w:bookmarkEnd w:id="447"/>
      <w:bookmarkEnd w:id="448"/>
      <w:bookmarkEnd w:id="449"/>
      <w:bookmarkEnd w:id="450"/>
      <w:bookmarkEnd w:id="451"/>
      <w:bookmarkEnd w:id="452"/>
      <w:bookmarkEnd w:id="453"/>
      <w:bookmarkEnd w:id="454"/>
      <w:bookmarkEnd w:id="455"/>
    </w:p>
    <w:p w14:paraId="2698D11C" w14:textId="77777777" w:rsidR="00162E0C" w:rsidRPr="00FB2F3D" w:rsidRDefault="007441BA" w:rsidP="00FA1F32">
      <w:pPr>
        <w:pStyle w:val="Heading3"/>
        <w:keepNext/>
        <w:ind w:left="1440" w:hanging="1440"/>
        <w:rPr>
          <w:rFonts w:ascii="Arial" w:hAnsi="Arial" w:cs="Arial"/>
          <w:sz w:val="22"/>
          <w:szCs w:val="22"/>
        </w:rPr>
      </w:pPr>
      <w:bookmarkStart w:id="456" w:name="_Ref410049801"/>
      <w:bookmarkStart w:id="457" w:name="_Ref410631355"/>
      <w:r w:rsidRPr="00FB2F3D">
        <w:rPr>
          <w:rFonts w:ascii="Arial" w:hAnsi="Arial" w:cs="Arial"/>
          <w:sz w:val="22"/>
          <w:szCs w:val="22"/>
        </w:rPr>
        <w:t>(1)</w:t>
      </w:r>
      <w:r w:rsidR="00FA1F32" w:rsidRPr="00FB2F3D">
        <w:rPr>
          <w:rFonts w:ascii="Arial" w:hAnsi="Arial" w:cs="Arial"/>
          <w:sz w:val="22"/>
          <w:szCs w:val="22"/>
        </w:rPr>
        <w:tab/>
      </w:r>
      <w:r w:rsidR="00162E0C" w:rsidRPr="00FB2F3D">
        <w:rPr>
          <w:rFonts w:ascii="Arial" w:hAnsi="Arial" w:cs="Arial"/>
          <w:sz w:val="22"/>
          <w:szCs w:val="22"/>
        </w:rPr>
        <w:t>If, during the currency of the Prospectus</w:t>
      </w:r>
      <w:bookmarkEnd w:id="456"/>
      <w:r w:rsidR="00162E0C" w:rsidRPr="00FB2F3D">
        <w:rPr>
          <w:rFonts w:ascii="Arial" w:hAnsi="Arial" w:cs="Arial"/>
          <w:sz w:val="22"/>
          <w:szCs w:val="22"/>
        </w:rPr>
        <w:t>:</w:t>
      </w:r>
      <w:bookmarkEnd w:id="457"/>
    </w:p>
    <w:p w14:paraId="4F9AF14B"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there is a significant change in, or a material mistake or inaccuracy affecting, any matter contained in the Prospectus; or</w:t>
      </w:r>
    </w:p>
    <w:p w14:paraId="0627A716" w14:textId="77777777" w:rsidR="00923F59" w:rsidRPr="00FB2F3D" w:rsidRDefault="00162E0C" w:rsidP="0061693E">
      <w:pPr>
        <w:pStyle w:val="Heading5"/>
        <w:rPr>
          <w:rFonts w:ascii="Arial" w:hAnsi="Arial" w:cs="Arial"/>
          <w:sz w:val="22"/>
          <w:szCs w:val="22"/>
        </w:rPr>
      </w:pPr>
      <w:r w:rsidRPr="00FB2F3D">
        <w:rPr>
          <w:rFonts w:ascii="Arial" w:hAnsi="Arial" w:cs="Arial"/>
          <w:sz w:val="22"/>
          <w:szCs w:val="22"/>
        </w:rPr>
        <w:t xml:space="preserve">a significant new matter arises, </w:t>
      </w:r>
    </w:p>
    <w:p w14:paraId="3A41AC7E" w14:textId="77777777" w:rsidR="00162E0C" w:rsidRPr="00FB2F3D" w:rsidRDefault="00162E0C" w:rsidP="00923F59">
      <w:pPr>
        <w:pStyle w:val="UK12Block10"/>
        <w:rPr>
          <w:rFonts w:ascii="Arial" w:hAnsi="Arial" w:cs="Arial"/>
          <w:sz w:val="22"/>
          <w:szCs w:val="22"/>
        </w:rPr>
      </w:pPr>
      <w:r w:rsidRPr="00FB2F3D">
        <w:rPr>
          <w:rFonts w:ascii="Arial" w:hAnsi="Arial" w:cs="Arial"/>
          <w:sz w:val="22"/>
          <w:szCs w:val="22"/>
        </w:rPr>
        <w:t>the Person making the Prospectus Offer must produce a Supplementary</w:t>
      </w:r>
      <w:r w:rsidRPr="00FB2F3D">
        <w:rPr>
          <w:rFonts w:ascii="Arial" w:hAnsi="Arial" w:cs="Arial"/>
          <w:sz w:val="22"/>
          <w:szCs w:val="22"/>
          <w:lang w:eastAsia="ja-JP"/>
        </w:rPr>
        <w:t xml:space="preserve"> </w:t>
      </w:r>
      <w:r w:rsidRPr="00FB2F3D">
        <w:rPr>
          <w:rFonts w:ascii="Arial" w:hAnsi="Arial" w:cs="Arial"/>
          <w:sz w:val="22"/>
          <w:szCs w:val="22"/>
        </w:rPr>
        <w:t>Prospectus in accordance with the requirements in this Rule.</w:t>
      </w:r>
    </w:p>
    <w:p w14:paraId="04832BC7" w14:textId="77777777" w:rsidR="00162E0C" w:rsidRPr="00FB2F3D" w:rsidRDefault="00162E0C" w:rsidP="0061693E">
      <w:pPr>
        <w:pStyle w:val="Heading4"/>
        <w:rPr>
          <w:rFonts w:ascii="Arial" w:hAnsi="Arial" w:cs="Arial"/>
          <w:sz w:val="22"/>
          <w:szCs w:val="22"/>
        </w:rPr>
      </w:pPr>
      <w:r w:rsidRPr="00FB2F3D">
        <w:rPr>
          <w:rFonts w:ascii="Arial" w:hAnsi="Arial" w:cs="Arial"/>
          <w:sz w:val="22"/>
          <w:szCs w:val="22"/>
        </w:rPr>
        <w:t>For the purpose of</w:t>
      </w:r>
      <w:r w:rsidR="00FA1F32" w:rsidRPr="00FB2F3D">
        <w:rPr>
          <w:rFonts w:ascii="Arial" w:hAnsi="Arial" w:cs="Arial"/>
          <w:sz w:val="22"/>
          <w:szCs w:val="22"/>
        </w:rPr>
        <w:t xml:space="preserve"> </w:t>
      </w:r>
      <w:r w:rsidR="00693841" w:rsidRPr="00FB2F3D">
        <w:rPr>
          <w:rFonts w:ascii="Arial" w:hAnsi="Arial" w:cs="Arial"/>
          <w:sz w:val="22"/>
          <w:szCs w:val="22"/>
        </w:rPr>
        <w:t>(1)</w:t>
      </w:r>
      <w:r w:rsidRPr="00FB2F3D">
        <w:rPr>
          <w:rFonts w:ascii="Arial" w:hAnsi="Arial" w:cs="Arial"/>
          <w:sz w:val="22"/>
          <w:szCs w:val="22"/>
        </w:rPr>
        <w:t xml:space="preserve">, "significant" or "material" means information which an investor would reasonably require for the purpose of making an informed assessment relating to the </w:t>
      </w:r>
      <w:r w:rsidR="004B46BD" w:rsidRPr="00FB2F3D">
        <w:rPr>
          <w:rFonts w:ascii="Arial" w:hAnsi="Arial" w:cs="Arial"/>
          <w:sz w:val="22"/>
          <w:szCs w:val="22"/>
        </w:rPr>
        <w:t>Securities</w:t>
      </w:r>
      <w:r w:rsidRPr="00FB2F3D">
        <w:rPr>
          <w:rFonts w:ascii="Arial" w:hAnsi="Arial" w:cs="Arial"/>
          <w:sz w:val="22"/>
          <w:szCs w:val="22"/>
        </w:rPr>
        <w:t xml:space="preserve"> to which the Prospectus relates.</w:t>
      </w:r>
    </w:p>
    <w:p w14:paraId="37332824" w14:textId="77777777" w:rsidR="00162E0C" w:rsidRPr="00FB2F3D" w:rsidRDefault="00162E0C" w:rsidP="0061693E">
      <w:pPr>
        <w:pStyle w:val="Heading4"/>
        <w:rPr>
          <w:rFonts w:ascii="Arial" w:hAnsi="Arial" w:cs="Arial"/>
          <w:sz w:val="22"/>
          <w:szCs w:val="22"/>
        </w:rPr>
      </w:pPr>
      <w:bookmarkStart w:id="458" w:name="_Ref410666278"/>
      <w:r w:rsidRPr="00FB2F3D">
        <w:rPr>
          <w:rFonts w:ascii="Arial" w:hAnsi="Arial" w:cs="Arial"/>
          <w:sz w:val="22"/>
          <w:szCs w:val="22"/>
        </w:rPr>
        <w:t>In the case of a Prospectus Offer, the Person required to produce the</w:t>
      </w:r>
      <w:r w:rsidRPr="00FB2F3D">
        <w:rPr>
          <w:rFonts w:ascii="Arial" w:hAnsi="Arial" w:cs="Arial"/>
          <w:sz w:val="22"/>
          <w:szCs w:val="22"/>
          <w:lang w:eastAsia="ja-JP"/>
        </w:rPr>
        <w:t xml:space="preserve"> </w:t>
      </w:r>
      <w:r w:rsidRPr="00FB2F3D">
        <w:rPr>
          <w:rFonts w:ascii="Arial" w:hAnsi="Arial" w:cs="Arial"/>
          <w:sz w:val="22"/>
          <w:szCs w:val="22"/>
        </w:rPr>
        <w:t xml:space="preserve">Supplementary Prospectus under </w:t>
      </w:r>
      <w:r w:rsidR="00693841" w:rsidRPr="00FB2F3D">
        <w:rPr>
          <w:rFonts w:ascii="Arial" w:hAnsi="Arial" w:cs="Arial"/>
          <w:sz w:val="22"/>
          <w:szCs w:val="22"/>
        </w:rPr>
        <w:t>(1)</w:t>
      </w:r>
      <w:r w:rsidR="00B317F6" w:rsidRPr="00FB2F3D">
        <w:rPr>
          <w:rFonts w:ascii="Arial" w:hAnsi="Arial" w:cs="Arial"/>
          <w:sz w:val="22"/>
          <w:szCs w:val="22"/>
        </w:rPr>
        <w:t xml:space="preserve"> </w:t>
      </w:r>
      <w:r w:rsidRPr="00FB2F3D">
        <w:rPr>
          <w:rFonts w:ascii="Arial" w:hAnsi="Arial" w:cs="Arial"/>
          <w:sz w:val="22"/>
          <w:szCs w:val="22"/>
        </w:rPr>
        <w:t>must:</w:t>
      </w:r>
      <w:bookmarkEnd w:id="458"/>
    </w:p>
    <w:p w14:paraId="4097C56B"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make a clear statement that it is a Supplementary Prospectus;</w:t>
      </w:r>
    </w:p>
    <w:p w14:paraId="197D79A2"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comply with the requirements in Rule </w:t>
      </w:r>
      <w:r w:rsidR="00693841" w:rsidRPr="00FB2F3D">
        <w:rPr>
          <w:rFonts w:ascii="Arial" w:hAnsi="Arial" w:cs="Arial"/>
          <w:sz w:val="22"/>
          <w:szCs w:val="22"/>
        </w:rPr>
        <w:t>4.6</w:t>
      </w:r>
      <w:r w:rsidRPr="00FB2F3D">
        <w:rPr>
          <w:rFonts w:ascii="Arial" w:hAnsi="Arial" w:cs="Arial"/>
          <w:sz w:val="22"/>
          <w:szCs w:val="22"/>
        </w:rPr>
        <w:t xml:space="preserve"> relating to the approval of a Supplementary Prospectus; </w:t>
      </w:r>
    </w:p>
    <w:p w14:paraId="7DAFF492"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ensure that the Supplementary Prospectus is available until the end of the Offer Period:</w:t>
      </w:r>
    </w:p>
    <w:p w14:paraId="62467222"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in the same media and through the same channels as the original Prospectus; and</w:t>
      </w:r>
    </w:p>
    <w:p w14:paraId="43956E2C"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to each offeree free of charge; and</w:t>
      </w:r>
    </w:p>
    <w:p w14:paraId="56B0766F"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 xml:space="preserve">provide the Supplementary Prospectus without undue delay to each Person who has subscribed for or offered to purchase the </w:t>
      </w:r>
      <w:r w:rsidR="004B46BD" w:rsidRPr="00FB2F3D">
        <w:rPr>
          <w:rFonts w:ascii="Arial" w:hAnsi="Arial" w:cs="Arial"/>
          <w:sz w:val="22"/>
          <w:szCs w:val="22"/>
        </w:rPr>
        <w:t>Securities</w:t>
      </w:r>
      <w:r w:rsidRPr="00FB2F3D">
        <w:rPr>
          <w:rFonts w:ascii="Arial" w:hAnsi="Arial" w:cs="Arial"/>
          <w:sz w:val="22"/>
          <w:szCs w:val="22"/>
        </w:rPr>
        <w:t xml:space="preserve"> in reliance on the initial Prospectus.</w:t>
      </w:r>
    </w:p>
    <w:p w14:paraId="4ABC621B" w14:textId="77777777" w:rsidR="00162E0C" w:rsidRPr="00FB2F3D" w:rsidRDefault="00162E0C" w:rsidP="0061693E">
      <w:pPr>
        <w:pStyle w:val="Heading4"/>
        <w:rPr>
          <w:rFonts w:ascii="Arial" w:hAnsi="Arial" w:cs="Arial"/>
          <w:sz w:val="22"/>
          <w:szCs w:val="22"/>
        </w:rPr>
      </w:pPr>
      <w:r w:rsidRPr="00FB2F3D">
        <w:rPr>
          <w:rFonts w:ascii="Arial" w:hAnsi="Arial" w:cs="Arial"/>
          <w:sz w:val="22"/>
          <w:szCs w:val="22"/>
        </w:rPr>
        <w:lastRenderedPageBreak/>
        <w:t xml:space="preserve">For the purposes of complying with </w:t>
      </w:r>
      <w:r w:rsidR="00693841" w:rsidRPr="00FB2F3D">
        <w:rPr>
          <w:rFonts w:ascii="Arial" w:hAnsi="Arial" w:cs="Arial"/>
          <w:sz w:val="22"/>
          <w:szCs w:val="22"/>
        </w:rPr>
        <w:t>(3)</w:t>
      </w:r>
      <w:r w:rsidRPr="00FB2F3D">
        <w:rPr>
          <w:rFonts w:ascii="Arial" w:hAnsi="Arial" w:cs="Arial"/>
          <w:sz w:val="22"/>
          <w:szCs w:val="22"/>
        </w:rPr>
        <w:t xml:space="preserve">, if the Prospectus comprises a Registration Statement and a </w:t>
      </w:r>
      <w:r w:rsidR="004B46BD" w:rsidRPr="00FB2F3D">
        <w:rPr>
          <w:rFonts w:ascii="Arial" w:hAnsi="Arial" w:cs="Arial"/>
          <w:sz w:val="22"/>
          <w:szCs w:val="22"/>
        </w:rPr>
        <w:t>Securities</w:t>
      </w:r>
      <w:r w:rsidRPr="00FB2F3D">
        <w:rPr>
          <w:rFonts w:ascii="Arial" w:hAnsi="Arial" w:cs="Arial"/>
          <w:sz w:val="22"/>
          <w:szCs w:val="22"/>
        </w:rPr>
        <w:t xml:space="preserve"> Note, the Supplementary Prospectus must consist of an updated Registration Statement and </w:t>
      </w:r>
      <w:r w:rsidR="004B46BD" w:rsidRPr="00FB2F3D">
        <w:rPr>
          <w:rFonts w:ascii="Arial" w:hAnsi="Arial" w:cs="Arial"/>
          <w:sz w:val="22"/>
          <w:szCs w:val="22"/>
        </w:rPr>
        <w:t>Securities</w:t>
      </w:r>
      <w:r w:rsidRPr="00FB2F3D">
        <w:rPr>
          <w:rFonts w:ascii="Arial" w:hAnsi="Arial" w:cs="Arial"/>
          <w:sz w:val="22"/>
          <w:szCs w:val="22"/>
        </w:rPr>
        <w:t xml:space="preserve"> Note.</w:t>
      </w:r>
    </w:p>
    <w:p w14:paraId="380C8139"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52C63243" w14:textId="77777777" w:rsidR="00162E0C" w:rsidRPr="00FB2F3D" w:rsidRDefault="00162E0C" w:rsidP="006207B8">
      <w:pPr>
        <w:pStyle w:val="UK12Block05"/>
        <w:rPr>
          <w:rFonts w:ascii="Arial" w:hAnsi="Arial" w:cs="Arial"/>
          <w:sz w:val="22"/>
          <w:szCs w:val="22"/>
        </w:rPr>
      </w:pPr>
      <w:r w:rsidRPr="00FB2F3D">
        <w:rPr>
          <w:rFonts w:ascii="Arial" w:hAnsi="Arial" w:cs="Arial"/>
          <w:sz w:val="22"/>
          <w:szCs w:val="22"/>
        </w:rPr>
        <w:t>Particular care should be taken so that the financial information in a Prospectus is not outdated. For example, in respect of the last year of audited financial information included in a Prospectus, such information is required, under Rule </w:t>
      </w:r>
      <w:r w:rsidR="00693841" w:rsidRPr="00FB2F3D">
        <w:rPr>
          <w:rFonts w:ascii="Arial" w:hAnsi="Arial" w:cs="Arial"/>
          <w:sz w:val="22"/>
          <w:szCs w:val="22"/>
        </w:rPr>
        <w:t>A1.1.1</w:t>
      </w:r>
      <w:r w:rsidRPr="00FB2F3D">
        <w:rPr>
          <w:rFonts w:ascii="Arial" w:hAnsi="Arial" w:cs="Arial"/>
          <w:sz w:val="22"/>
          <w:szCs w:val="22"/>
        </w:rPr>
        <w:t xml:space="preserve"> (item 7.1) of </w:t>
      </w:r>
      <w:r w:rsidR="00693841" w:rsidRPr="00FB2F3D">
        <w:rPr>
          <w:rFonts w:ascii="Arial" w:hAnsi="Arial" w:cs="Arial"/>
          <w:sz w:val="22"/>
          <w:szCs w:val="22"/>
        </w:rPr>
        <w:t>APP 1</w:t>
      </w:r>
      <w:r w:rsidRPr="00FB2F3D">
        <w:rPr>
          <w:rFonts w:ascii="Arial" w:hAnsi="Arial" w:cs="Arial"/>
          <w:sz w:val="22"/>
          <w:szCs w:val="22"/>
        </w:rPr>
        <w:t>, not to be older than 18 months from the date of the Registration Statement where the Issuer includes audited interim financial statements in the Registration Statement and, not to be older than 15 months, if such interim financial statements are unaudited.</w:t>
      </w:r>
    </w:p>
    <w:p w14:paraId="188303EB" w14:textId="77777777" w:rsidR="00162E0C" w:rsidRPr="00FB2F3D" w:rsidRDefault="00162E0C" w:rsidP="0061693E">
      <w:pPr>
        <w:pStyle w:val="Heading3"/>
        <w:rPr>
          <w:rFonts w:ascii="Arial" w:hAnsi="Arial" w:cs="Arial"/>
          <w:sz w:val="22"/>
          <w:szCs w:val="22"/>
        </w:rPr>
      </w:pPr>
      <w:r w:rsidRPr="00FB2F3D">
        <w:rPr>
          <w:rFonts w:ascii="Arial" w:hAnsi="Arial" w:cs="Arial"/>
          <w:sz w:val="22"/>
          <w:szCs w:val="22"/>
        </w:rPr>
        <w:t>Where Rule </w:t>
      </w:r>
      <w:r w:rsidR="00693841" w:rsidRPr="00FB2F3D">
        <w:rPr>
          <w:rFonts w:ascii="Arial" w:hAnsi="Arial" w:cs="Arial"/>
          <w:sz w:val="22"/>
          <w:szCs w:val="22"/>
        </w:rPr>
        <w:t>4.9.1</w:t>
      </w:r>
      <w:r w:rsidRPr="00FB2F3D">
        <w:rPr>
          <w:rFonts w:ascii="Arial" w:hAnsi="Arial" w:cs="Arial"/>
          <w:sz w:val="22"/>
          <w:szCs w:val="22"/>
        </w:rPr>
        <w:t xml:space="preserve"> applies, any reference in these Rules to a Prospectus must be read as a reference to a Prospectus as amended by a Supplementary Prospectus unless the context requires otherwise.</w:t>
      </w:r>
    </w:p>
    <w:p w14:paraId="7539FE19" w14:textId="77777777" w:rsidR="00162E0C" w:rsidRPr="00FB2F3D" w:rsidRDefault="00162E0C" w:rsidP="0061693E">
      <w:pPr>
        <w:pStyle w:val="Heading3"/>
        <w:rPr>
          <w:rFonts w:ascii="Arial" w:hAnsi="Arial" w:cs="Arial"/>
          <w:sz w:val="22"/>
          <w:szCs w:val="22"/>
        </w:rPr>
      </w:pPr>
      <w:r w:rsidRPr="00FB2F3D">
        <w:rPr>
          <w:rFonts w:ascii="Arial" w:hAnsi="Arial" w:cs="Arial"/>
          <w:sz w:val="22"/>
          <w:szCs w:val="22"/>
        </w:rPr>
        <w:t>When a Supplementary Prospectus has been filed for the purposes of the requirement in Rule </w:t>
      </w:r>
      <w:r w:rsidR="00693841" w:rsidRPr="00FB2F3D">
        <w:rPr>
          <w:rFonts w:ascii="Arial" w:hAnsi="Arial" w:cs="Arial"/>
          <w:sz w:val="22"/>
          <w:szCs w:val="22"/>
        </w:rPr>
        <w:t>4.9.1(1)</w:t>
      </w:r>
      <w:r w:rsidRPr="00FB2F3D">
        <w:rPr>
          <w:rFonts w:ascii="Arial" w:hAnsi="Arial" w:cs="Arial"/>
          <w:sz w:val="22"/>
          <w:szCs w:val="22"/>
        </w:rPr>
        <w:t>, the Person responsible for producing the Supplementary Prospectus must:</w:t>
      </w:r>
    </w:p>
    <w:p w14:paraId="4CD5F9F8"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 xml:space="preserve">inform offerees of their right to confirm or withdraw any subscription or </w:t>
      </w:r>
      <w:r w:rsidR="00FB37F9" w:rsidRPr="00FB2F3D">
        <w:rPr>
          <w:rFonts w:ascii="Arial" w:hAnsi="Arial" w:cs="Arial"/>
          <w:sz w:val="22"/>
          <w:szCs w:val="22"/>
        </w:rPr>
        <w:t>Offer</w:t>
      </w:r>
      <w:r w:rsidRPr="00FB2F3D">
        <w:rPr>
          <w:rFonts w:ascii="Arial" w:hAnsi="Arial" w:cs="Arial"/>
          <w:sz w:val="22"/>
          <w:szCs w:val="22"/>
        </w:rPr>
        <w:t xml:space="preserve"> made on the basis of the original Prospectus and the manner in which to do so; and</w:t>
      </w:r>
    </w:p>
    <w:p w14:paraId="47E386B8"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 xml:space="preserve">allow the offeree a period of at least seven </w:t>
      </w:r>
      <w:r w:rsidR="00936C69" w:rsidRPr="00FB2F3D">
        <w:rPr>
          <w:rFonts w:ascii="Arial" w:hAnsi="Arial" w:cs="Arial"/>
          <w:sz w:val="22"/>
          <w:szCs w:val="22"/>
        </w:rPr>
        <w:t>Business Day</w:t>
      </w:r>
      <w:r w:rsidRPr="00FB2F3D">
        <w:rPr>
          <w:rFonts w:ascii="Arial" w:hAnsi="Arial" w:cs="Arial"/>
          <w:sz w:val="22"/>
          <w:szCs w:val="22"/>
        </w:rPr>
        <w:t xml:space="preserve">s from the date of receipt of the Supplementary Prospectus in which to confirm or withdraw its subscription or </w:t>
      </w:r>
      <w:r w:rsidR="00FB37F9" w:rsidRPr="00FB2F3D">
        <w:rPr>
          <w:rFonts w:ascii="Arial" w:hAnsi="Arial" w:cs="Arial"/>
          <w:sz w:val="22"/>
          <w:szCs w:val="22"/>
        </w:rPr>
        <w:t>Offer</w:t>
      </w:r>
      <w:r w:rsidRPr="00FB2F3D">
        <w:rPr>
          <w:rFonts w:ascii="Arial" w:hAnsi="Arial" w:cs="Arial"/>
          <w:sz w:val="22"/>
          <w:szCs w:val="22"/>
        </w:rPr>
        <w:t>.</w:t>
      </w:r>
    </w:p>
    <w:p w14:paraId="7EB422B2" w14:textId="77777777" w:rsidR="00162E0C" w:rsidRPr="00FB2F3D" w:rsidRDefault="00162E0C" w:rsidP="0061693E">
      <w:pPr>
        <w:pStyle w:val="Heading2"/>
        <w:rPr>
          <w:rFonts w:ascii="Arial" w:hAnsi="Arial" w:cs="Arial"/>
          <w:sz w:val="22"/>
          <w:szCs w:val="22"/>
        </w:rPr>
      </w:pPr>
      <w:bookmarkStart w:id="459" w:name="_Toc409521828"/>
      <w:bookmarkStart w:id="460" w:name="_Ref410074219"/>
      <w:bookmarkStart w:id="461" w:name="_Ref410075330"/>
      <w:bookmarkStart w:id="462" w:name="_Toc410136225"/>
      <w:bookmarkStart w:id="463" w:name="_Toc410605934"/>
      <w:bookmarkStart w:id="464" w:name="_Ref410628861"/>
      <w:bookmarkStart w:id="465" w:name="_Ref410630960"/>
      <w:bookmarkStart w:id="466" w:name="_Toc410658870"/>
      <w:bookmarkStart w:id="467" w:name="_Toc410658997"/>
      <w:bookmarkStart w:id="468" w:name="_Toc410835544"/>
      <w:bookmarkStart w:id="469" w:name="_Ref416813719"/>
      <w:bookmarkStart w:id="470" w:name="_Ref419452840"/>
      <w:bookmarkStart w:id="471" w:name="_Toc138325678"/>
      <w:r w:rsidRPr="00FB2F3D">
        <w:rPr>
          <w:rFonts w:ascii="Arial" w:hAnsi="Arial" w:cs="Arial"/>
          <w:sz w:val="22"/>
          <w:szCs w:val="22"/>
        </w:rPr>
        <w:t>Prospectus liability</w:t>
      </w:r>
      <w:bookmarkEnd w:id="459"/>
      <w:bookmarkEnd w:id="460"/>
      <w:bookmarkEnd w:id="461"/>
      <w:bookmarkEnd w:id="462"/>
      <w:bookmarkEnd w:id="463"/>
      <w:bookmarkEnd w:id="464"/>
      <w:bookmarkEnd w:id="465"/>
      <w:bookmarkEnd w:id="466"/>
      <w:bookmarkEnd w:id="467"/>
      <w:bookmarkEnd w:id="468"/>
      <w:bookmarkEnd w:id="469"/>
      <w:bookmarkEnd w:id="470"/>
      <w:bookmarkEnd w:id="471"/>
    </w:p>
    <w:p w14:paraId="5FA40F68" w14:textId="77777777" w:rsidR="00162E0C" w:rsidRPr="00FB2F3D" w:rsidRDefault="007441BA" w:rsidP="00FA1F32">
      <w:pPr>
        <w:pStyle w:val="Heading3"/>
        <w:ind w:left="1440" w:hanging="1440"/>
        <w:rPr>
          <w:rFonts w:ascii="Arial" w:hAnsi="Arial" w:cs="Arial"/>
          <w:sz w:val="22"/>
          <w:szCs w:val="22"/>
        </w:rPr>
      </w:pPr>
      <w:bookmarkStart w:id="472" w:name="_Ref410049036"/>
      <w:bookmarkStart w:id="473" w:name="_Ref410631149"/>
      <w:r w:rsidRPr="00FB2F3D">
        <w:rPr>
          <w:rFonts w:ascii="Arial" w:hAnsi="Arial" w:cs="Arial"/>
          <w:sz w:val="22"/>
          <w:szCs w:val="22"/>
        </w:rPr>
        <w:t>(1)</w:t>
      </w:r>
      <w:r w:rsidR="00FA1F32" w:rsidRPr="00FB2F3D">
        <w:rPr>
          <w:rFonts w:ascii="Arial" w:hAnsi="Arial" w:cs="Arial"/>
          <w:sz w:val="22"/>
          <w:szCs w:val="22"/>
        </w:rPr>
        <w:tab/>
      </w:r>
      <w:r w:rsidR="00162E0C" w:rsidRPr="00FB2F3D">
        <w:rPr>
          <w:rFonts w:ascii="Arial" w:hAnsi="Arial" w:cs="Arial"/>
          <w:sz w:val="22"/>
          <w:szCs w:val="22"/>
        </w:rPr>
        <w:t xml:space="preserve">For the purposes of section </w:t>
      </w:r>
      <w:r w:rsidR="00A1188A" w:rsidRPr="00FB2F3D">
        <w:rPr>
          <w:rFonts w:ascii="Arial" w:hAnsi="Arial" w:cs="Arial"/>
          <w:sz w:val="22"/>
          <w:szCs w:val="22"/>
        </w:rPr>
        <w:t>7</w:t>
      </w:r>
      <w:r w:rsidR="00A64301" w:rsidRPr="00FB2F3D">
        <w:rPr>
          <w:rFonts w:ascii="Arial" w:hAnsi="Arial" w:cs="Arial"/>
          <w:sz w:val="22"/>
          <w:szCs w:val="22"/>
        </w:rPr>
        <w:t>0</w:t>
      </w:r>
      <w:r w:rsidR="00A1188A" w:rsidRPr="00FB2F3D">
        <w:rPr>
          <w:rFonts w:ascii="Arial" w:hAnsi="Arial" w:cs="Arial"/>
          <w:sz w:val="22"/>
          <w:szCs w:val="22"/>
        </w:rPr>
        <w:t>(1)</w:t>
      </w:r>
      <w:r w:rsidR="00162E0C" w:rsidRPr="00FB2F3D">
        <w:rPr>
          <w:rFonts w:ascii="Arial" w:hAnsi="Arial" w:cs="Arial"/>
          <w:sz w:val="22"/>
          <w:szCs w:val="22"/>
        </w:rPr>
        <w:t xml:space="preserve"> of the FSMR, the following Persons are, subject to </w:t>
      </w:r>
      <w:r w:rsidR="00693841" w:rsidRPr="00FB2F3D">
        <w:rPr>
          <w:rFonts w:ascii="Arial" w:hAnsi="Arial" w:cs="Arial"/>
          <w:sz w:val="22"/>
          <w:szCs w:val="22"/>
        </w:rPr>
        <w:t>4.10.1(2)</w:t>
      </w:r>
      <w:r w:rsidR="00162E0C" w:rsidRPr="00FB2F3D">
        <w:rPr>
          <w:rFonts w:ascii="Arial" w:hAnsi="Arial" w:cs="Arial"/>
          <w:sz w:val="22"/>
          <w:szCs w:val="22"/>
        </w:rPr>
        <w:t>, prescribed as liable for a Prospectus and its content</w:t>
      </w:r>
      <w:bookmarkEnd w:id="472"/>
      <w:r w:rsidR="00162E0C" w:rsidRPr="00FB2F3D">
        <w:rPr>
          <w:rFonts w:ascii="Arial" w:hAnsi="Arial" w:cs="Arial"/>
          <w:sz w:val="22"/>
          <w:szCs w:val="22"/>
        </w:rPr>
        <w:t>:</w:t>
      </w:r>
      <w:bookmarkEnd w:id="473"/>
    </w:p>
    <w:p w14:paraId="33EFF5A7" w14:textId="77777777" w:rsidR="00162E0C" w:rsidRPr="00FB2F3D" w:rsidRDefault="00162E0C" w:rsidP="0061693E">
      <w:pPr>
        <w:pStyle w:val="Heading5"/>
        <w:rPr>
          <w:rFonts w:ascii="Arial" w:hAnsi="Arial" w:cs="Arial"/>
          <w:sz w:val="22"/>
          <w:szCs w:val="22"/>
        </w:rPr>
      </w:pPr>
      <w:bookmarkStart w:id="474" w:name="_Ref410666476"/>
      <w:r w:rsidRPr="00FB2F3D">
        <w:rPr>
          <w:rFonts w:ascii="Arial" w:hAnsi="Arial" w:cs="Arial"/>
          <w:sz w:val="22"/>
          <w:szCs w:val="22"/>
        </w:rPr>
        <w:t>the Issuer;</w:t>
      </w:r>
      <w:bookmarkEnd w:id="474"/>
    </w:p>
    <w:p w14:paraId="17AFDE96" w14:textId="77777777" w:rsidR="00162E0C" w:rsidRPr="00FB2F3D" w:rsidRDefault="00162E0C" w:rsidP="0061693E">
      <w:pPr>
        <w:pStyle w:val="Heading5"/>
        <w:rPr>
          <w:rFonts w:ascii="Arial" w:hAnsi="Arial" w:cs="Arial"/>
          <w:sz w:val="22"/>
          <w:szCs w:val="22"/>
        </w:rPr>
      </w:pPr>
      <w:bookmarkStart w:id="475" w:name="_Ref410666481"/>
      <w:r w:rsidRPr="00FB2F3D">
        <w:rPr>
          <w:rFonts w:ascii="Arial" w:hAnsi="Arial" w:cs="Arial"/>
          <w:sz w:val="22"/>
          <w:szCs w:val="22"/>
        </w:rPr>
        <w:t>the Person making a Prospectus Offer, if it is not the Issuer;</w:t>
      </w:r>
      <w:bookmarkEnd w:id="475"/>
    </w:p>
    <w:p w14:paraId="50FAEEF1" w14:textId="77777777" w:rsidR="00162E0C" w:rsidRPr="00FB2F3D" w:rsidRDefault="00162E0C" w:rsidP="0061693E">
      <w:pPr>
        <w:pStyle w:val="Heading5"/>
        <w:rPr>
          <w:rFonts w:ascii="Arial" w:hAnsi="Arial" w:cs="Arial"/>
          <w:sz w:val="22"/>
          <w:szCs w:val="22"/>
        </w:rPr>
      </w:pPr>
      <w:bookmarkStart w:id="476" w:name="_Ref410666643"/>
      <w:r w:rsidRPr="00FB2F3D">
        <w:rPr>
          <w:rFonts w:ascii="Arial" w:hAnsi="Arial" w:cs="Arial"/>
          <w:sz w:val="22"/>
          <w:szCs w:val="22"/>
        </w:rPr>
        <w:t xml:space="preserve">where the Person in </w:t>
      </w:r>
      <w:r w:rsidR="00693841" w:rsidRPr="00FB2F3D">
        <w:rPr>
          <w:rFonts w:ascii="Arial" w:hAnsi="Arial" w:cs="Arial"/>
          <w:sz w:val="22"/>
          <w:szCs w:val="22"/>
        </w:rPr>
        <w:t>(a)</w:t>
      </w:r>
      <w:r w:rsidR="00B317F6" w:rsidRPr="00FB2F3D">
        <w:rPr>
          <w:rFonts w:ascii="Arial" w:hAnsi="Arial" w:cs="Arial"/>
          <w:sz w:val="22"/>
          <w:szCs w:val="22"/>
        </w:rPr>
        <w:t xml:space="preserve"> </w:t>
      </w:r>
      <w:r w:rsidRPr="00FB2F3D">
        <w:rPr>
          <w:rFonts w:ascii="Arial" w:hAnsi="Arial" w:cs="Arial"/>
          <w:sz w:val="22"/>
          <w:szCs w:val="22"/>
        </w:rPr>
        <w:t xml:space="preserve">or </w:t>
      </w:r>
      <w:r w:rsidR="00693841" w:rsidRPr="00FB2F3D">
        <w:rPr>
          <w:rFonts w:ascii="Arial" w:hAnsi="Arial" w:cs="Arial"/>
          <w:sz w:val="22"/>
          <w:szCs w:val="22"/>
        </w:rPr>
        <w:t>(b)</w:t>
      </w:r>
      <w:r w:rsidR="00B317F6" w:rsidRPr="00FB2F3D">
        <w:rPr>
          <w:rFonts w:ascii="Arial" w:hAnsi="Arial" w:cs="Arial"/>
          <w:sz w:val="22"/>
          <w:szCs w:val="22"/>
        </w:rPr>
        <w:t xml:space="preserve"> </w:t>
      </w:r>
      <w:r w:rsidRPr="00FB2F3D">
        <w:rPr>
          <w:rFonts w:ascii="Arial" w:hAnsi="Arial" w:cs="Arial"/>
          <w:sz w:val="22"/>
          <w:szCs w:val="22"/>
        </w:rPr>
        <w:t>is a Body Corporate:</w:t>
      </w:r>
      <w:bookmarkEnd w:id="476"/>
    </w:p>
    <w:p w14:paraId="45AD7435"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each Person who is a Director of that Body Corporate at the time when the Prospectus Offer is being made; and</w:t>
      </w:r>
    </w:p>
    <w:p w14:paraId="2A4FFB3C"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each Person who has consented to be named, and is named, in the Prospectus as a Director or as having agreed to become a Director of that body either immediately or at a future time,</w:t>
      </w:r>
    </w:p>
    <w:p w14:paraId="5965E870" w14:textId="77777777" w:rsidR="00162E0C" w:rsidRPr="00FB2F3D" w:rsidRDefault="00162E0C" w:rsidP="00FA1F32">
      <w:pPr>
        <w:pStyle w:val="UK12Block15"/>
        <w:rPr>
          <w:rFonts w:ascii="Arial" w:hAnsi="Arial" w:cs="Arial"/>
          <w:sz w:val="22"/>
          <w:szCs w:val="22"/>
          <w:lang w:eastAsia="ja-JP"/>
        </w:rPr>
      </w:pPr>
      <w:r w:rsidRPr="00FB2F3D">
        <w:rPr>
          <w:rFonts w:ascii="Arial" w:hAnsi="Arial" w:cs="Arial"/>
          <w:sz w:val="22"/>
          <w:szCs w:val="22"/>
        </w:rPr>
        <w:t>unless the Prospectus Offer is in relation to the issue of Debentures;</w:t>
      </w:r>
    </w:p>
    <w:p w14:paraId="35930102" w14:textId="77777777" w:rsidR="00162E0C" w:rsidRPr="00FB2F3D" w:rsidRDefault="00162E0C" w:rsidP="0061693E">
      <w:pPr>
        <w:pStyle w:val="Heading5"/>
        <w:rPr>
          <w:rFonts w:ascii="Arial" w:hAnsi="Arial" w:cs="Arial"/>
          <w:sz w:val="22"/>
          <w:szCs w:val="22"/>
        </w:rPr>
      </w:pPr>
      <w:bookmarkStart w:id="477" w:name="_Ref410666666"/>
      <w:r w:rsidRPr="00FB2F3D">
        <w:rPr>
          <w:rFonts w:ascii="Arial" w:hAnsi="Arial" w:cs="Arial"/>
          <w:sz w:val="22"/>
          <w:szCs w:val="22"/>
        </w:rPr>
        <w:t>each Person who accepts, and is stated in the Prospectus as having</w:t>
      </w:r>
      <w:r w:rsidRPr="00FB2F3D">
        <w:rPr>
          <w:rFonts w:ascii="Arial" w:hAnsi="Arial" w:cs="Arial"/>
          <w:sz w:val="22"/>
          <w:szCs w:val="22"/>
          <w:lang w:eastAsia="ja-JP"/>
        </w:rPr>
        <w:t xml:space="preserve"> </w:t>
      </w:r>
      <w:r w:rsidRPr="00FB2F3D">
        <w:rPr>
          <w:rFonts w:ascii="Arial" w:hAnsi="Arial" w:cs="Arial"/>
          <w:sz w:val="22"/>
          <w:szCs w:val="22"/>
        </w:rPr>
        <w:t>accepted responsibility for the Prospectus or for any part thereof;</w:t>
      </w:r>
      <w:bookmarkEnd w:id="477"/>
    </w:p>
    <w:p w14:paraId="639A67EA" w14:textId="77777777" w:rsidR="00162E0C" w:rsidRPr="00FB2F3D" w:rsidRDefault="00162E0C" w:rsidP="0061693E">
      <w:pPr>
        <w:pStyle w:val="Heading5"/>
        <w:rPr>
          <w:rFonts w:ascii="Arial" w:hAnsi="Arial" w:cs="Arial"/>
          <w:sz w:val="22"/>
          <w:szCs w:val="22"/>
        </w:rPr>
      </w:pPr>
      <w:bookmarkStart w:id="478" w:name="_Ref410666688"/>
      <w:r w:rsidRPr="00FB2F3D">
        <w:rPr>
          <w:rFonts w:ascii="Arial" w:hAnsi="Arial" w:cs="Arial"/>
          <w:sz w:val="22"/>
          <w:szCs w:val="22"/>
        </w:rPr>
        <w:t>each Person who is deemed to accept responsibility for any part of a</w:t>
      </w:r>
      <w:r w:rsidRPr="00FB2F3D">
        <w:rPr>
          <w:rFonts w:ascii="Arial" w:hAnsi="Arial" w:cs="Arial"/>
          <w:sz w:val="22"/>
          <w:szCs w:val="22"/>
          <w:lang w:eastAsia="ja-JP"/>
        </w:rPr>
        <w:t xml:space="preserve"> </w:t>
      </w:r>
      <w:r w:rsidRPr="00FB2F3D">
        <w:rPr>
          <w:rFonts w:ascii="Arial" w:hAnsi="Arial" w:cs="Arial"/>
          <w:sz w:val="22"/>
          <w:szCs w:val="22"/>
        </w:rPr>
        <w:t>Prospectus under these Rules;</w:t>
      </w:r>
      <w:bookmarkEnd w:id="478"/>
    </w:p>
    <w:p w14:paraId="35917312" w14:textId="77777777" w:rsidR="00162E0C" w:rsidRPr="00FB2F3D" w:rsidRDefault="00162E0C" w:rsidP="00384E67">
      <w:pPr>
        <w:pStyle w:val="Heading5"/>
        <w:keepNext/>
        <w:rPr>
          <w:rFonts w:ascii="Arial" w:hAnsi="Arial" w:cs="Arial"/>
          <w:sz w:val="22"/>
          <w:szCs w:val="22"/>
        </w:rPr>
      </w:pPr>
      <w:r w:rsidRPr="00FB2F3D">
        <w:rPr>
          <w:rFonts w:ascii="Arial" w:hAnsi="Arial" w:cs="Arial"/>
          <w:sz w:val="22"/>
          <w:szCs w:val="22"/>
        </w:rPr>
        <w:lastRenderedPageBreak/>
        <w:t xml:space="preserve">if there is a guarantor or obligor in relation to the issue of </w:t>
      </w:r>
      <w:r w:rsidR="004B46BD" w:rsidRPr="00FB2F3D">
        <w:rPr>
          <w:rFonts w:ascii="Arial" w:hAnsi="Arial" w:cs="Arial"/>
          <w:sz w:val="22"/>
          <w:szCs w:val="22"/>
        </w:rPr>
        <w:t>Securities</w:t>
      </w:r>
      <w:r w:rsidRPr="00FB2F3D">
        <w:rPr>
          <w:rFonts w:ascii="Arial" w:hAnsi="Arial" w:cs="Arial"/>
          <w:sz w:val="22"/>
          <w:szCs w:val="22"/>
        </w:rPr>
        <w:t>:</w:t>
      </w:r>
    </w:p>
    <w:p w14:paraId="27F84512"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the guarantor in relation to the information in the Prospectus that relates to the guarantor or its guarantee; or</w:t>
      </w:r>
    </w:p>
    <w:p w14:paraId="7A7E7A9C"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the obligor in relation to the information in the Prospectus that relates to the obligor or its obligations; and</w:t>
      </w:r>
    </w:p>
    <w:p w14:paraId="61329FEA"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each Person not falling within any of the foregoing paragraphs who has authorised the contents of the Prospectus or any part thereof.</w:t>
      </w:r>
    </w:p>
    <w:p w14:paraId="6E2DCDEA" w14:textId="77777777" w:rsidR="00162E0C" w:rsidRPr="00FB2F3D" w:rsidRDefault="00162E0C" w:rsidP="00F76168">
      <w:pPr>
        <w:pStyle w:val="Heading4"/>
        <w:rPr>
          <w:rFonts w:ascii="Arial" w:hAnsi="Arial" w:cs="Arial"/>
          <w:sz w:val="22"/>
          <w:szCs w:val="22"/>
        </w:rPr>
      </w:pPr>
      <w:bookmarkStart w:id="479" w:name="_Ref410666457"/>
      <w:r w:rsidRPr="00FB2F3D">
        <w:rPr>
          <w:rFonts w:ascii="Arial" w:hAnsi="Arial" w:cs="Arial"/>
          <w:sz w:val="22"/>
          <w:szCs w:val="22"/>
        </w:rPr>
        <w:t xml:space="preserve">If the Prospectus Offer is in relation to the issue of Debentures the Person described in </w:t>
      </w:r>
      <w:r w:rsidR="00B42892" w:rsidRPr="00FB2F3D">
        <w:rPr>
          <w:rFonts w:ascii="Arial" w:hAnsi="Arial" w:cs="Arial"/>
          <w:sz w:val="22"/>
          <w:szCs w:val="22"/>
        </w:rPr>
        <w:t>(1)</w:t>
      </w:r>
      <w:r w:rsidR="00693841" w:rsidRPr="00FB2F3D">
        <w:rPr>
          <w:rFonts w:ascii="Arial" w:hAnsi="Arial" w:cs="Arial"/>
          <w:sz w:val="22"/>
          <w:szCs w:val="22"/>
        </w:rPr>
        <w:t>(c)</w:t>
      </w:r>
      <w:r w:rsidR="00B317F6" w:rsidRPr="00FB2F3D">
        <w:rPr>
          <w:rFonts w:ascii="Arial" w:hAnsi="Arial" w:cs="Arial"/>
          <w:sz w:val="22"/>
          <w:szCs w:val="22"/>
        </w:rPr>
        <w:t xml:space="preserve"> </w:t>
      </w:r>
      <w:r w:rsidRPr="00FB2F3D">
        <w:rPr>
          <w:rFonts w:ascii="Arial" w:hAnsi="Arial" w:cs="Arial"/>
          <w:sz w:val="22"/>
          <w:szCs w:val="22"/>
        </w:rPr>
        <w:t>is not, under this Rule, liable for the relevant Prospectus and its contents</w:t>
      </w:r>
      <w:r w:rsidR="00F76168" w:rsidRPr="00FB2F3D">
        <w:rPr>
          <w:rFonts w:ascii="Arial" w:hAnsi="Arial" w:cs="Arial"/>
          <w:sz w:val="22"/>
          <w:szCs w:val="22"/>
        </w:rPr>
        <w:t xml:space="preserve">, unless such Person has accepted responsibility for the Prospectus in accordance with </w:t>
      </w:r>
      <w:r w:rsidR="00B42892" w:rsidRPr="00FB2F3D">
        <w:rPr>
          <w:rFonts w:ascii="Arial" w:hAnsi="Arial" w:cs="Arial"/>
          <w:sz w:val="22"/>
          <w:szCs w:val="22"/>
        </w:rPr>
        <w:t>(1)</w:t>
      </w:r>
      <w:r w:rsidR="00693841" w:rsidRPr="00FB2F3D">
        <w:rPr>
          <w:rFonts w:ascii="Arial" w:hAnsi="Arial" w:cs="Arial"/>
          <w:sz w:val="22"/>
          <w:szCs w:val="22"/>
        </w:rPr>
        <w:t>(d)</w:t>
      </w:r>
      <w:r w:rsidRPr="00FB2F3D">
        <w:rPr>
          <w:rFonts w:ascii="Arial" w:hAnsi="Arial" w:cs="Arial"/>
          <w:sz w:val="22"/>
          <w:szCs w:val="22"/>
        </w:rPr>
        <w:t>.</w:t>
      </w:r>
      <w:bookmarkEnd w:id="479"/>
    </w:p>
    <w:p w14:paraId="6E417826" w14:textId="77777777" w:rsidR="00162E0C" w:rsidRPr="00FB2F3D" w:rsidRDefault="00162E0C" w:rsidP="0061693E">
      <w:pPr>
        <w:pStyle w:val="Heading4"/>
        <w:rPr>
          <w:rFonts w:ascii="Arial" w:hAnsi="Arial" w:cs="Arial"/>
          <w:sz w:val="22"/>
          <w:szCs w:val="22"/>
        </w:rPr>
      </w:pPr>
      <w:r w:rsidRPr="00FB2F3D">
        <w:rPr>
          <w:rFonts w:ascii="Arial" w:hAnsi="Arial" w:cs="Arial"/>
          <w:sz w:val="22"/>
          <w:szCs w:val="22"/>
        </w:rPr>
        <w:t xml:space="preserve">A Person who has accepted liability for or authorised only part of the content of any Prospectus under </w:t>
      </w:r>
      <w:r w:rsidR="00B42892" w:rsidRPr="00FB2F3D">
        <w:rPr>
          <w:rFonts w:ascii="Arial" w:hAnsi="Arial" w:cs="Arial"/>
          <w:sz w:val="22"/>
          <w:szCs w:val="22"/>
        </w:rPr>
        <w:t>(1)</w:t>
      </w:r>
      <w:r w:rsidR="00693841" w:rsidRPr="00FB2F3D">
        <w:rPr>
          <w:rFonts w:ascii="Arial" w:hAnsi="Arial" w:cs="Arial"/>
          <w:sz w:val="22"/>
          <w:szCs w:val="22"/>
        </w:rPr>
        <w:t>(c)</w:t>
      </w:r>
      <w:r w:rsidR="00384E67" w:rsidRPr="00FB2F3D">
        <w:rPr>
          <w:rFonts w:ascii="Arial" w:hAnsi="Arial" w:cs="Arial"/>
          <w:sz w:val="22"/>
          <w:szCs w:val="22"/>
        </w:rPr>
        <w:t xml:space="preserve"> </w:t>
      </w:r>
      <w:r w:rsidRPr="00FB2F3D">
        <w:rPr>
          <w:rFonts w:ascii="Arial" w:hAnsi="Arial" w:cs="Arial"/>
          <w:sz w:val="22"/>
          <w:szCs w:val="22"/>
        </w:rPr>
        <w:t xml:space="preserve">or </w:t>
      </w:r>
      <w:r w:rsidR="00B42892" w:rsidRPr="00FB2F3D">
        <w:rPr>
          <w:rFonts w:ascii="Arial" w:hAnsi="Arial" w:cs="Arial"/>
          <w:sz w:val="22"/>
          <w:szCs w:val="22"/>
        </w:rPr>
        <w:t>(1)</w:t>
      </w:r>
      <w:r w:rsidR="00693841" w:rsidRPr="00FB2F3D">
        <w:rPr>
          <w:rFonts w:ascii="Arial" w:hAnsi="Arial" w:cs="Arial"/>
          <w:sz w:val="22"/>
          <w:szCs w:val="22"/>
        </w:rPr>
        <w:t>(d)</w:t>
      </w:r>
      <w:r w:rsidR="00384E67" w:rsidRPr="00FB2F3D">
        <w:rPr>
          <w:rFonts w:ascii="Arial" w:hAnsi="Arial" w:cs="Arial"/>
          <w:sz w:val="22"/>
          <w:szCs w:val="22"/>
        </w:rPr>
        <w:t xml:space="preserve"> </w:t>
      </w:r>
      <w:r w:rsidRPr="00FB2F3D">
        <w:rPr>
          <w:rFonts w:ascii="Arial" w:hAnsi="Arial" w:cs="Arial"/>
          <w:sz w:val="22"/>
          <w:szCs w:val="22"/>
        </w:rPr>
        <w:t>is liable only for that part and only if it is included substantially in the same form and context as the Person agreed to for inclusion in the Prospectus.</w:t>
      </w:r>
    </w:p>
    <w:p w14:paraId="60AB4A9B" w14:textId="77777777" w:rsidR="00162E0C" w:rsidRPr="00FB2F3D" w:rsidRDefault="00162E0C" w:rsidP="0061693E">
      <w:pPr>
        <w:pStyle w:val="Heading4"/>
        <w:rPr>
          <w:rFonts w:ascii="Arial" w:hAnsi="Arial" w:cs="Arial"/>
          <w:sz w:val="22"/>
          <w:szCs w:val="22"/>
        </w:rPr>
      </w:pPr>
      <w:r w:rsidRPr="00FB2F3D">
        <w:rPr>
          <w:rFonts w:ascii="Arial" w:hAnsi="Arial" w:cs="Arial"/>
          <w:sz w:val="22"/>
          <w:szCs w:val="22"/>
        </w:rPr>
        <w:t xml:space="preserve">Nothing in </w:t>
      </w:r>
      <w:r w:rsidR="00693841" w:rsidRPr="00FB2F3D">
        <w:rPr>
          <w:rFonts w:ascii="Arial" w:hAnsi="Arial" w:cs="Arial"/>
          <w:sz w:val="22"/>
          <w:szCs w:val="22"/>
        </w:rPr>
        <w:t>(1)</w:t>
      </w:r>
      <w:r w:rsidR="00384E67" w:rsidRPr="00FB2F3D">
        <w:rPr>
          <w:rFonts w:ascii="Arial" w:hAnsi="Arial" w:cs="Arial"/>
          <w:sz w:val="22"/>
          <w:szCs w:val="22"/>
        </w:rPr>
        <w:t xml:space="preserve"> </w:t>
      </w:r>
      <w:r w:rsidRPr="00FB2F3D">
        <w:rPr>
          <w:rFonts w:ascii="Arial" w:hAnsi="Arial" w:cs="Arial"/>
          <w:sz w:val="22"/>
          <w:szCs w:val="22"/>
        </w:rPr>
        <w:t xml:space="preserve">makes a Person liable for any part of a Prospectus by reason only of giving advice as to its content in a professional capacity to a Person specified in </w:t>
      </w:r>
      <w:r w:rsidR="00B42892" w:rsidRPr="00FB2F3D">
        <w:rPr>
          <w:rFonts w:ascii="Arial" w:hAnsi="Arial" w:cs="Arial"/>
          <w:sz w:val="22"/>
          <w:szCs w:val="22"/>
        </w:rPr>
        <w:t>(1)</w:t>
      </w:r>
      <w:r w:rsidR="00693841" w:rsidRPr="00FB2F3D">
        <w:rPr>
          <w:rFonts w:ascii="Arial" w:hAnsi="Arial" w:cs="Arial"/>
          <w:sz w:val="22"/>
          <w:szCs w:val="22"/>
        </w:rPr>
        <w:t>(a)</w:t>
      </w:r>
      <w:r w:rsidR="00384E67" w:rsidRPr="00FB2F3D">
        <w:rPr>
          <w:rFonts w:ascii="Arial" w:hAnsi="Arial" w:cs="Arial"/>
          <w:sz w:val="22"/>
          <w:szCs w:val="22"/>
        </w:rPr>
        <w:t xml:space="preserve"> </w:t>
      </w:r>
      <w:r w:rsidRPr="00FB2F3D">
        <w:rPr>
          <w:rFonts w:ascii="Arial" w:hAnsi="Arial" w:cs="Arial"/>
          <w:sz w:val="22"/>
          <w:szCs w:val="22"/>
        </w:rPr>
        <w:t xml:space="preserve">to </w:t>
      </w:r>
      <w:r w:rsidR="00693841" w:rsidRPr="00FB2F3D">
        <w:rPr>
          <w:rFonts w:ascii="Arial" w:hAnsi="Arial" w:cs="Arial"/>
          <w:sz w:val="22"/>
          <w:szCs w:val="22"/>
        </w:rPr>
        <w:t>(e)</w:t>
      </w:r>
      <w:r w:rsidRPr="00FB2F3D">
        <w:rPr>
          <w:rFonts w:ascii="Arial" w:hAnsi="Arial" w:cs="Arial"/>
          <w:sz w:val="22"/>
          <w:szCs w:val="22"/>
        </w:rPr>
        <w:t>.</w:t>
      </w:r>
    </w:p>
    <w:p w14:paraId="2659FF71" w14:textId="77777777" w:rsidR="00162E0C" w:rsidRPr="00FB2F3D" w:rsidRDefault="007441BA" w:rsidP="00384E67">
      <w:pPr>
        <w:pStyle w:val="Heading3"/>
        <w:ind w:left="1440" w:hanging="1440"/>
        <w:rPr>
          <w:rFonts w:ascii="Arial" w:hAnsi="Arial" w:cs="Arial"/>
          <w:sz w:val="22"/>
          <w:szCs w:val="22"/>
        </w:rPr>
      </w:pPr>
      <w:bookmarkStart w:id="480" w:name="_Ref410050627"/>
      <w:r w:rsidRPr="00FB2F3D">
        <w:rPr>
          <w:rFonts w:ascii="Arial" w:hAnsi="Arial" w:cs="Arial"/>
          <w:sz w:val="22"/>
          <w:szCs w:val="22"/>
        </w:rPr>
        <w:t>(1)</w:t>
      </w:r>
      <w:r w:rsidR="00384E67" w:rsidRPr="00FB2F3D">
        <w:rPr>
          <w:rFonts w:ascii="Arial" w:hAnsi="Arial" w:cs="Arial"/>
          <w:sz w:val="22"/>
          <w:szCs w:val="22"/>
        </w:rPr>
        <w:tab/>
      </w:r>
      <w:r w:rsidR="00162E0C" w:rsidRPr="00FB2F3D">
        <w:rPr>
          <w:rFonts w:ascii="Arial" w:hAnsi="Arial" w:cs="Arial"/>
          <w:sz w:val="22"/>
          <w:szCs w:val="22"/>
        </w:rPr>
        <w:t xml:space="preserve">For the purposes of liability under section </w:t>
      </w:r>
      <w:r w:rsidR="003C03DA" w:rsidRPr="00FB2F3D">
        <w:rPr>
          <w:rFonts w:ascii="Arial" w:hAnsi="Arial" w:cs="Arial"/>
          <w:sz w:val="22"/>
          <w:szCs w:val="22"/>
        </w:rPr>
        <w:t>7</w:t>
      </w:r>
      <w:r w:rsidR="00A64301" w:rsidRPr="00FB2F3D">
        <w:rPr>
          <w:rFonts w:ascii="Arial" w:hAnsi="Arial" w:cs="Arial"/>
          <w:sz w:val="22"/>
          <w:szCs w:val="22"/>
        </w:rPr>
        <w:t>0</w:t>
      </w:r>
      <w:r w:rsidR="003C03DA" w:rsidRPr="00FB2F3D">
        <w:rPr>
          <w:rFonts w:ascii="Arial" w:hAnsi="Arial" w:cs="Arial"/>
          <w:sz w:val="22"/>
          <w:szCs w:val="22"/>
        </w:rPr>
        <w:t>(1)</w:t>
      </w:r>
      <w:r w:rsidR="00162E0C" w:rsidRPr="00FB2F3D">
        <w:rPr>
          <w:rFonts w:ascii="Arial" w:hAnsi="Arial" w:cs="Arial"/>
          <w:sz w:val="22"/>
          <w:szCs w:val="22"/>
        </w:rPr>
        <w:t xml:space="preserve"> of the FSMR, an Expert is a Person accepting responsibility for any statement or report included in whole or in part in a Prospectus if he has given written consent to such inclusion.</w:t>
      </w:r>
      <w:bookmarkEnd w:id="480"/>
    </w:p>
    <w:p w14:paraId="65A95170" w14:textId="77777777" w:rsidR="00162E0C" w:rsidRPr="00FB2F3D" w:rsidRDefault="00B42892" w:rsidP="00B42892">
      <w:pPr>
        <w:pStyle w:val="Heading4"/>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162E0C" w:rsidRPr="00FB2F3D">
        <w:rPr>
          <w:rFonts w:ascii="Arial" w:hAnsi="Arial" w:cs="Arial"/>
          <w:sz w:val="22"/>
          <w:szCs w:val="22"/>
        </w:rPr>
        <w:t xml:space="preserve">An Expert in </w:t>
      </w:r>
      <w:r w:rsidR="00693841" w:rsidRPr="00FB2F3D">
        <w:rPr>
          <w:rFonts w:ascii="Arial" w:hAnsi="Arial" w:cs="Arial"/>
          <w:sz w:val="22"/>
          <w:szCs w:val="22"/>
        </w:rPr>
        <w:t>(1)</w:t>
      </w:r>
      <w:r w:rsidR="00384E67" w:rsidRPr="00FB2F3D">
        <w:rPr>
          <w:rFonts w:ascii="Arial" w:hAnsi="Arial" w:cs="Arial"/>
          <w:sz w:val="22"/>
          <w:szCs w:val="22"/>
        </w:rPr>
        <w:t xml:space="preserve"> </w:t>
      </w:r>
      <w:r w:rsidR="00162E0C" w:rsidRPr="00FB2F3D">
        <w:rPr>
          <w:rFonts w:ascii="Arial" w:hAnsi="Arial" w:cs="Arial"/>
          <w:sz w:val="22"/>
          <w:szCs w:val="22"/>
        </w:rPr>
        <w:t>is a Person, in relation to a matter, whose profession or reputation gives authority to a statement or report made by him in relation to that matter.</w:t>
      </w:r>
    </w:p>
    <w:p w14:paraId="2BA62927" w14:textId="77777777" w:rsidR="00162E0C" w:rsidRPr="00FB2F3D" w:rsidRDefault="00162E0C" w:rsidP="00384E67">
      <w:pPr>
        <w:pStyle w:val="Heading3"/>
        <w:keepNext/>
        <w:rPr>
          <w:rFonts w:ascii="Arial" w:hAnsi="Arial" w:cs="Arial"/>
          <w:sz w:val="22"/>
          <w:szCs w:val="22"/>
        </w:rPr>
      </w:pPr>
      <w:r w:rsidRPr="00FB2F3D">
        <w:rPr>
          <w:rFonts w:ascii="Arial" w:hAnsi="Arial" w:cs="Arial"/>
          <w:sz w:val="22"/>
          <w:szCs w:val="22"/>
        </w:rPr>
        <w:t>A Person responsible for making a Prospectus Offer must:</w:t>
      </w:r>
    </w:p>
    <w:p w14:paraId="2085937D"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keep a record of any consent received under Rule </w:t>
      </w:r>
      <w:r w:rsidR="00693841" w:rsidRPr="00FB2F3D">
        <w:rPr>
          <w:rFonts w:ascii="Arial" w:hAnsi="Arial" w:cs="Arial"/>
          <w:sz w:val="22"/>
          <w:szCs w:val="22"/>
        </w:rPr>
        <w:t>4.10.2(1)</w:t>
      </w:r>
      <w:r w:rsidRPr="00FB2F3D">
        <w:rPr>
          <w:rFonts w:ascii="Arial" w:hAnsi="Arial" w:cs="Arial"/>
          <w:sz w:val="22"/>
          <w:szCs w:val="22"/>
        </w:rPr>
        <w:t>; and</w:t>
      </w:r>
    </w:p>
    <w:p w14:paraId="3F77DF7A"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include a statement in the Prospectus that the Expert has consented to the inclusion of his statement or report.</w:t>
      </w:r>
    </w:p>
    <w:p w14:paraId="74C52694" w14:textId="77777777" w:rsidR="00162E0C" w:rsidRPr="00FB2F3D" w:rsidRDefault="00162E0C" w:rsidP="0061693E">
      <w:pPr>
        <w:pStyle w:val="Heading2"/>
        <w:rPr>
          <w:rFonts w:ascii="Arial" w:hAnsi="Arial" w:cs="Arial"/>
          <w:sz w:val="22"/>
          <w:szCs w:val="22"/>
        </w:rPr>
      </w:pPr>
      <w:bookmarkStart w:id="481" w:name="_Toc409521829"/>
      <w:bookmarkStart w:id="482" w:name="_Toc410136226"/>
      <w:bookmarkStart w:id="483" w:name="_Toc410605935"/>
      <w:bookmarkStart w:id="484" w:name="_Toc410658871"/>
      <w:bookmarkStart w:id="485" w:name="_Toc410658998"/>
      <w:bookmarkStart w:id="486" w:name="_Toc410835545"/>
      <w:bookmarkStart w:id="487" w:name="_Toc138325679"/>
      <w:r w:rsidRPr="00FB2F3D">
        <w:rPr>
          <w:rFonts w:ascii="Arial" w:hAnsi="Arial" w:cs="Arial"/>
          <w:sz w:val="22"/>
          <w:szCs w:val="22"/>
        </w:rPr>
        <w:t>Exceptions from liability</w:t>
      </w:r>
      <w:bookmarkEnd w:id="481"/>
      <w:bookmarkEnd w:id="482"/>
      <w:bookmarkEnd w:id="483"/>
      <w:bookmarkEnd w:id="484"/>
      <w:bookmarkEnd w:id="485"/>
      <w:bookmarkEnd w:id="486"/>
      <w:bookmarkEnd w:id="487"/>
    </w:p>
    <w:p w14:paraId="4A66051C" w14:textId="77777777" w:rsidR="00162E0C" w:rsidRPr="00FB2F3D" w:rsidRDefault="007441BA" w:rsidP="00384E67">
      <w:pPr>
        <w:pStyle w:val="Heading3"/>
        <w:ind w:left="1440" w:hanging="1440"/>
        <w:rPr>
          <w:rFonts w:ascii="Arial" w:hAnsi="Arial" w:cs="Arial"/>
          <w:sz w:val="22"/>
          <w:szCs w:val="22"/>
        </w:rPr>
      </w:pPr>
      <w:r w:rsidRPr="00FB2F3D">
        <w:rPr>
          <w:rFonts w:ascii="Arial" w:hAnsi="Arial" w:cs="Arial"/>
          <w:sz w:val="22"/>
          <w:szCs w:val="22"/>
        </w:rPr>
        <w:t>(1)</w:t>
      </w:r>
      <w:r w:rsidR="00384E67" w:rsidRPr="00FB2F3D">
        <w:rPr>
          <w:rFonts w:ascii="Arial" w:hAnsi="Arial" w:cs="Arial"/>
          <w:sz w:val="22"/>
          <w:szCs w:val="22"/>
        </w:rPr>
        <w:tab/>
      </w:r>
      <w:r w:rsidR="00162E0C" w:rsidRPr="00FB2F3D">
        <w:rPr>
          <w:rFonts w:ascii="Arial" w:hAnsi="Arial" w:cs="Arial"/>
          <w:sz w:val="22"/>
          <w:szCs w:val="22"/>
        </w:rPr>
        <w:t xml:space="preserve">Pursuant to section </w:t>
      </w:r>
      <w:r w:rsidR="003C03DA" w:rsidRPr="00FB2F3D">
        <w:rPr>
          <w:rFonts w:ascii="Arial" w:hAnsi="Arial" w:cs="Arial"/>
          <w:sz w:val="22"/>
          <w:szCs w:val="22"/>
        </w:rPr>
        <w:t>7</w:t>
      </w:r>
      <w:r w:rsidR="00A64301" w:rsidRPr="00FB2F3D">
        <w:rPr>
          <w:rFonts w:ascii="Arial" w:hAnsi="Arial" w:cs="Arial"/>
          <w:sz w:val="22"/>
          <w:szCs w:val="22"/>
        </w:rPr>
        <w:t>0</w:t>
      </w:r>
      <w:r w:rsidR="003C03DA" w:rsidRPr="00FB2F3D">
        <w:rPr>
          <w:rFonts w:ascii="Arial" w:hAnsi="Arial" w:cs="Arial"/>
          <w:sz w:val="22"/>
          <w:szCs w:val="22"/>
        </w:rPr>
        <w:t>(1)</w:t>
      </w:r>
      <w:r w:rsidR="00162E0C" w:rsidRPr="00FB2F3D">
        <w:rPr>
          <w:rFonts w:ascii="Arial" w:hAnsi="Arial" w:cs="Arial"/>
          <w:sz w:val="22"/>
          <w:szCs w:val="22"/>
        </w:rPr>
        <w:t xml:space="preserve"> of the FSMR, a Person is hereby prescribed as not incurring civil liability for any loss arising from any </w:t>
      </w:r>
      <w:r w:rsidR="00EC3624" w:rsidRPr="00FB2F3D">
        <w:rPr>
          <w:rFonts w:ascii="Arial" w:hAnsi="Arial" w:cs="Arial"/>
          <w:sz w:val="22"/>
          <w:szCs w:val="22"/>
        </w:rPr>
        <w:t>false, misleading, or deceptive statement</w:t>
      </w:r>
      <w:r w:rsidR="00162E0C" w:rsidRPr="00FB2F3D">
        <w:rPr>
          <w:rFonts w:ascii="Arial" w:hAnsi="Arial" w:cs="Arial"/>
          <w:sz w:val="22"/>
          <w:szCs w:val="22"/>
        </w:rPr>
        <w:t xml:space="preserve"> or omission in a Prospectus if any of the circumstances specified in </w:t>
      </w:r>
      <w:r w:rsidR="00693841" w:rsidRPr="00FB2F3D">
        <w:rPr>
          <w:rFonts w:ascii="Arial" w:hAnsi="Arial" w:cs="Arial"/>
          <w:sz w:val="22"/>
          <w:szCs w:val="22"/>
        </w:rPr>
        <w:t>(2)</w:t>
      </w:r>
      <w:r w:rsidR="00923F59" w:rsidRPr="00FB2F3D">
        <w:rPr>
          <w:rFonts w:ascii="Arial" w:hAnsi="Arial" w:cs="Arial"/>
          <w:sz w:val="22"/>
          <w:szCs w:val="22"/>
        </w:rPr>
        <w:t xml:space="preserve"> to </w:t>
      </w:r>
      <w:r w:rsidR="00693841" w:rsidRPr="00FB2F3D">
        <w:rPr>
          <w:rFonts w:ascii="Arial" w:hAnsi="Arial" w:cs="Arial"/>
          <w:sz w:val="22"/>
          <w:szCs w:val="22"/>
        </w:rPr>
        <w:t>(6)</w:t>
      </w:r>
      <w:r w:rsidR="00B317F6" w:rsidRPr="00FB2F3D">
        <w:rPr>
          <w:rFonts w:ascii="Arial" w:hAnsi="Arial" w:cs="Arial"/>
          <w:sz w:val="22"/>
          <w:szCs w:val="22"/>
        </w:rPr>
        <w:t xml:space="preserve"> </w:t>
      </w:r>
      <w:r w:rsidR="00162E0C" w:rsidRPr="00FB2F3D">
        <w:rPr>
          <w:rFonts w:ascii="Arial" w:hAnsi="Arial" w:cs="Arial"/>
          <w:sz w:val="22"/>
          <w:szCs w:val="22"/>
        </w:rPr>
        <w:t>apply.</w:t>
      </w:r>
    </w:p>
    <w:p w14:paraId="46DEDB10" w14:textId="77777777" w:rsidR="00162E0C" w:rsidRPr="00FB2F3D" w:rsidRDefault="00B42892" w:rsidP="00B42892">
      <w:pPr>
        <w:pStyle w:val="Heading4"/>
        <w:numPr>
          <w:ilvl w:val="0"/>
          <w:numId w:val="0"/>
        </w:numPr>
        <w:ind w:left="1440" w:hanging="720"/>
        <w:rPr>
          <w:rFonts w:ascii="Arial" w:hAnsi="Arial" w:cs="Arial"/>
          <w:sz w:val="22"/>
          <w:szCs w:val="22"/>
        </w:rPr>
      </w:pPr>
      <w:bookmarkStart w:id="488" w:name="_Ref410666728"/>
      <w:r w:rsidRPr="00FB2F3D">
        <w:rPr>
          <w:rFonts w:ascii="Arial" w:hAnsi="Arial" w:cs="Arial"/>
          <w:sz w:val="22"/>
          <w:szCs w:val="22"/>
        </w:rPr>
        <w:t>(2)</w:t>
      </w:r>
      <w:r w:rsidRPr="00FB2F3D">
        <w:rPr>
          <w:rFonts w:ascii="Arial" w:hAnsi="Arial" w:cs="Arial"/>
          <w:sz w:val="22"/>
          <w:szCs w:val="22"/>
        </w:rPr>
        <w:tab/>
      </w:r>
      <w:r w:rsidR="007B092A" w:rsidRPr="00FB2F3D">
        <w:rPr>
          <w:rFonts w:ascii="Arial" w:hAnsi="Arial" w:cs="Arial"/>
          <w:sz w:val="22"/>
          <w:szCs w:val="22"/>
        </w:rPr>
        <w:t>A</w:t>
      </w:r>
      <w:r w:rsidR="00162E0C" w:rsidRPr="00FB2F3D">
        <w:rPr>
          <w:rFonts w:ascii="Arial" w:hAnsi="Arial" w:cs="Arial"/>
          <w:sz w:val="22"/>
          <w:szCs w:val="22"/>
        </w:rPr>
        <w:t xml:space="preserve"> Person does not incur civil liability under section </w:t>
      </w:r>
      <w:r w:rsidR="003C03DA" w:rsidRPr="00FB2F3D">
        <w:rPr>
          <w:rFonts w:ascii="Arial" w:hAnsi="Arial" w:cs="Arial"/>
          <w:sz w:val="22"/>
          <w:szCs w:val="22"/>
        </w:rPr>
        <w:t>7</w:t>
      </w:r>
      <w:r w:rsidR="00A64301" w:rsidRPr="00FB2F3D">
        <w:rPr>
          <w:rFonts w:ascii="Arial" w:hAnsi="Arial" w:cs="Arial"/>
          <w:sz w:val="22"/>
          <w:szCs w:val="22"/>
        </w:rPr>
        <w:t>0</w:t>
      </w:r>
      <w:r w:rsidR="003C03DA" w:rsidRPr="00FB2F3D">
        <w:rPr>
          <w:rFonts w:ascii="Arial" w:hAnsi="Arial" w:cs="Arial"/>
          <w:sz w:val="22"/>
          <w:szCs w:val="22"/>
        </w:rPr>
        <w:t>(1)</w:t>
      </w:r>
      <w:r w:rsidR="00162E0C" w:rsidRPr="00FB2F3D">
        <w:rPr>
          <w:rFonts w:ascii="Arial" w:hAnsi="Arial" w:cs="Arial"/>
          <w:sz w:val="22"/>
          <w:szCs w:val="22"/>
        </w:rPr>
        <w:t xml:space="preserve"> of the FSMR if that Person can show that:</w:t>
      </w:r>
      <w:bookmarkEnd w:id="488"/>
    </w:p>
    <w:p w14:paraId="6E86D11F"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 xml:space="preserve">the statement was true and not </w:t>
      </w:r>
      <w:r w:rsidR="00EC3624" w:rsidRPr="00FB2F3D">
        <w:rPr>
          <w:rFonts w:ascii="Arial" w:hAnsi="Arial" w:cs="Arial"/>
          <w:sz w:val="22"/>
          <w:szCs w:val="22"/>
        </w:rPr>
        <w:t xml:space="preserve">false, misleading, or deceptive </w:t>
      </w:r>
      <w:r w:rsidRPr="00FB2F3D">
        <w:rPr>
          <w:rFonts w:ascii="Arial" w:hAnsi="Arial" w:cs="Arial"/>
          <w:sz w:val="22"/>
          <w:szCs w:val="22"/>
        </w:rPr>
        <w:t>or that the matter the omission of which caused the loss was properly omitted;</w:t>
      </w:r>
    </w:p>
    <w:p w14:paraId="45118A12"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lastRenderedPageBreak/>
        <w:t xml:space="preserve">he made all enquiries that were reasonable in the circumstances and believed that there was no </w:t>
      </w:r>
      <w:r w:rsidR="00EC3624" w:rsidRPr="00FB2F3D">
        <w:rPr>
          <w:rFonts w:ascii="Arial" w:hAnsi="Arial" w:cs="Arial"/>
          <w:sz w:val="22"/>
          <w:szCs w:val="22"/>
        </w:rPr>
        <w:t>false, misleading, or deceptive</w:t>
      </w:r>
      <w:r w:rsidRPr="00FB2F3D">
        <w:rPr>
          <w:rFonts w:ascii="Arial" w:hAnsi="Arial" w:cs="Arial"/>
          <w:sz w:val="22"/>
          <w:szCs w:val="22"/>
        </w:rPr>
        <w:t xml:space="preserve"> statement or omission in the Prospectus; or</w:t>
      </w:r>
    </w:p>
    <w:p w14:paraId="4CEABF76" w14:textId="77777777" w:rsidR="00162E0C" w:rsidRPr="00FB2F3D" w:rsidRDefault="00162E0C" w:rsidP="0061693E">
      <w:pPr>
        <w:pStyle w:val="Heading5"/>
        <w:rPr>
          <w:rFonts w:ascii="Arial" w:hAnsi="Arial" w:cs="Arial"/>
          <w:sz w:val="22"/>
          <w:szCs w:val="22"/>
        </w:rPr>
      </w:pPr>
      <w:bookmarkStart w:id="489" w:name="_Ref410666804"/>
      <w:r w:rsidRPr="00FB2F3D">
        <w:rPr>
          <w:rFonts w:ascii="Arial" w:hAnsi="Arial" w:cs="Arial"/>
          <w:sz w:val="22"/>
          <w:szCs w:val="22"/>
        </w:rPr>
        <w:t xml:space="preserve">before the </w:t>
      </w:r>
      <w:r w:rsidR="004B46BD" w:rsidRPr="00FB2F3D">
        <w:rPr>
          <w:rFonts w:ascii="Arial" w:hAnsi="Arial" w:cs="Arial"/>
          <w:sz w:val="22"/>
          <w:szCs w:val="22"/>
        </w:rPr>
        <w:t>Securities</w:t>
      </w:r>
      <w:r w:rsidRPr="00FB2F3D">
        <w:rPr>
          <w:rFonts w:ascii="Arial" w:hAnsi="Arial" w:cs="Arial"/>
          <w:sz w:val="22"/>
          <w:szCs w:val="22"/>
        </w:rPr>
        <w:t xml:space="preserve"> were acquired by any Person in reliance on the Prospectus, he had taken all such steps as were reasonable for him to have taken to secure that a correction was promptly made and brought to the attention of the Persons likely to acquire the </w:t>
      </w:r>
      <w:r w:rsidR="004B46BD" w:rsidRPr="00FB2F3D">
        <w:rPr>
          <w:rFonts w:ascii="Arial" w:hAnsi="Arial" w:cs="Arial"/>
          <w:sz w:val="22"/>
          <w:szCs w:val="22"/>
        </w:rPr>
        <w:t>Securities</w:t>
      </w:r>
      <w:r w:rsidRPr="00FB2F3D">
        <w:rPr>
          <w:rFonts w:ascii="Arial" w:hAnsi="Arial" w:cs="Arial"/>
          <w:sz w:val="22"/>
          <w:szCs w:val="22"/>
        </w:rPr>
        <w:t xml:space="preserve"> in question.</w:t>
      </w:r>
      <w:bookmarkEnd w:id="489"/>
    </w:p>
    <w:p w14:paraId="64BFF36C" w14:textId="77777777" w:rsidR="00162E0C" w:rsidRPr="00FB2F3D" w:rsidRDefault="00B42892" w:rsidP="00B42892">
      <w:pPr>
        <w:pStyle w:val="Heading4"/>
        <w:numPr>
          <w:ilvl w:val="0"/>
          <w:numId w:val="0"/>
        </w:numPr>
        <w:ind w:left="1440" w:hanging="720"/>
        <w:rPr>
          <w:rFonts w:ascii="Arial" w:hAnsi="Arial" w:cs="Arial"/>
          <w:sz w:val="22"/>
          <w:szCs w:val="22"/>
        </w:rPr>
      </w:pPr>
      <w:bookmarkStart w:id="490" w:name="_Ref410666783"/>
      <w:r w:rsidRPr="00FB2F3D">
        <w:rPr>
          <w:rFonts w:ascii="Arial" w:hAnsi="Arial" w:cs="Arial"/>
          <w:sz w:val="22"/>
          <w:szCs w:val="22"/>
        </w:rPr>
        <w:t>(3)</w:t>
      </w:r>
      <w:r w:rsidRPr="00FB2F3D">
        <w:rPr>
          <w:rFonts w:ascii="Arial" w:hAnsi="Arial" w:cs="Arial"/>
          <w:sz w:val="22"/>
          <w:szCs w:val="22"/>
        </w:rPr>
        <w:tab/>
      </w:r>
      <w:r w:rsidR="00162E0C" w:rsidRPr="00FB2F3D">
        <w:rPr>
          <w:rFonts w:ascii="Arial" w:hAnsi="Arial" w:cs="Arial"/>
          <w:sz w:val="22"/>
          <w:szCs w:val="22"/>
        </w:rPr>
        <w:t xml:space="preserve">A Person does not incur any liability under section </w:t>
      </w:r>
      <w:r w:rsidR="003C03DA" w:rsidRPr="00FB2F3D">
        <w:rPr>
          <w:rFonts w:ascii="Arial" w:hAnsi="Arial" w:cs="Arial"/>
          <w:sz w:val="22"/>
          <w:szCs w:val="22"/>
        </w:rPr>
        <w:t>7</w:t>
      </w:r>
      <w:r w:rsidR="00A64301" w:rsidRPr="00FB2F3D">
        <w:rPr>
          <w:rFonts w:ascii="Arial" w:hAnsi="Arial" w:cs="Arial"/>
          <w:sz w:val="22"/>
          <w:szCs w:val="22"/>
        </w:rPr>
        <w:t>0</w:t>
      </w:r>
      <w:r w:rsidR="003C03DA" w:rsidRPr="00FB2F3D">
        <w:rPr>
          <w:rFonts w:ascii="Arial" w:hAnsi="Arial" w:cs="Arial"/>
          <w:sz w:val="22"/>
          <w:szCs w:val="22"/>
        </w:rPr>
        <w:t>(1)</w:t>
      </w:r>
      <w:r w:rsidR="00162E0C" w:rsidRPr="00FB2F3D">
        <w:rPr>
          <w:rFonts w:ascii="Arial" w:hAnsi="Arial" w:cs="Arial"/>
          <w:sz w:val="22"/>
          <w:szCs w:val="22"/>
        </w:rPr>
        <w:t xml:space="preserve"> of the FSMR for any loss in respect of </w:t>
      </w:r>
      <w:r w:rsidR="004B46BD" w:rsidRPr="00FB2F3D">
        <w:rPr>
          <w:rFonts w:ascii="Arial" w:hAnsi="Arial" w:cs="Arial"/>
          <w:sz w:val="22"/>
          <w:szCs w:val="22"/>
        </w:rPr>
        <w:t>Securities</w:t>
      </w:r>
      <w:r w:rsidR="00162E0C" w:rsidRPr="00FB2F3D">
        <w:rPr>
          <w:rFonts w:ascii="Arial" w:hAnsi="Arial" w:cs="Arial"/>
          <w:sz w:val="22"/>
          <w:szCs w:val="22"/>
        </w:rPr>
        <w:t xml:space="preserve"> caused by any</w:t>
      </w:r>
      <w:r w:rsidR="00F2734C" w:rsidRPr="00FB2F3D">
        <w:rPr>
          <w:rFonts w:ascii="Arial" w:hAnsi="Arial" w:cs="Arial"/>
          <w:sz w:val="22"/>
          <w:szCs w:val="22"/>
        </w:rPr>
        <w:t xml:space="preserve"> </w:t>
      </w:r>
      <w:r w:rsidR="00EC3624" w:rsidRPr="00FB2F3D">
        <w:rPr>
          <w:rFonts w:ascii="Arial" w:hAnsi="Arial" w:cs="Arial"/>
          <w:sz w:val="22"/>
          <w:szCs w:val="22"/>
        </w:rPr>
        <w:t>false, misleading, or deceptive</w:t>
      </w:r>
      <w:r w:rsidR="00162E0C" w:rsidRPr="00FB2F3D">
        <w:rPr>
          <w:rFonts w:ascii="Arial" w:hAnsi="Arial" w:cs="Arial"/>
          <w:sz w:val="22"/>
          <w:szCs w:val="22"/>
        </w:rPr>
        <w:t xml:space="preserve"> statement or omission purporting to be made by or on the authority of an Expert which is, and is stated to be, included in the Prospectus with the Expert's consent at the time when the Prospectus was approved by the </w:t>
      </w:r>
      <w:r w:rsidR="0035335F" w:rsidRPr="00FB2F3D">
        <w:rPr>
          <w:rFonts w:ascii="Arial" w:hAnsi="Arial" w:cs="Arial"/>
          <w:sz w:val="22"/>
          <w:szCs w:val="22"/>
        </w:rPr>
        <w:t>Regulator</w:t>
      </w:r>
      <w:r w:rsidR="00162E0C" w:rsidRPr="00FB2F3D">
        <w:rPr>
          <w:rFonts w:ascii="Arial" w:hAnsi="Arial" w:cs="Arial"/>
          <w:sz w:val="22"/>
          <w:szCs w:val="22"/>
        </w:rPr>
        <w:t xml:space="preserve"> and published if:</w:t>
      </w:r>
      <w:bookmarkEnd w:id="490"/>
    </w:p>
    <w:p w14:paraId="32EA631B" w14:textId="77777777" w:rsidR="00162E0C" w:rsidRPr="00FB2F3D" w:rsidRDefault="00162E0C" w:rsidP="00755725">
      <w:pPr>
        <w:pStyle w:val="Heading5"/>
        <w:numPr>
          <w:ilvl w:val="4"/>
          <w:numId w:val="87"/>
        </w:numPr>
        <w:rPr>
          <w:rFonts w:ascii="Arial" w:hAnsi="Arial" w:cs="Arial"/>
          <w:sz w:val="22"/>
          <w:szCs w:val="22"/>
        </w:rPr>
      </w:pPr>
      <w:r w:rsidRPr="00FB2F3D">
        <w:rPr>
          <w:rFonts w:ascii="Arial" w:hAnsi="Arial" w:cs="Arial"/>
          <w:sz w:val="22"/>
          <w:szCs w:val="22"/>
        </w:rPr>
        <w:t>he believed on reasonable grounds that the Person was an Expert and had consented to the inclusion in the Prospectus of a statement or report made by that Expert in the form and context in which such a statement or report was included in the Prospectus;</w:t>
      </w:r>
    </w:p>
    <w:p w14:paraId="64E8D9B9"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 xml:space="preserve">he believed on reasonable grounds that the statement or report was true and not </w:t>
      </w:r>
      <w:r w:rsidR="00EC3624" w:rsidRPr="00FB2F3D">
        <w:rPr>
          <w:rFonts w:ascii="Arial" w:hAnsi="Arial" w:cs="Arial"/>
          <w:sz w:val="22"/>
          <w:szCs w:val="22"/>
        </w:rPr>
        <w:t xml:space="preserve">false, misleading, or deceptive </w:t>
      </w:r>
      <w:r w:rsidRPr="00FB2F3D">
        <w:rPr>
          <w:rFonts w:ascii="Arial" w:hAnsi="Arial" w:cs="Arial"/>
          <w:sz w:val="22"/>
          <w:szCs w:val="22"/>
        </w:rPr>
        <w:t>or that the matter, the omission of which caused the loss, was properly omitted;</w:t>
      </w:r>
    </w:p>
    <w:p w14:paraId="53F58305"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 xml:space="preserve">he made all enquiries that were reasonable in the circumstances and believed that there was no </w:t>
      </w:r>
      <w:r w:rsidR="00EC3624" w:rsidRPr="00FB2F3D">
        <w:rPr>
          <w:rFonts w:ascii="Arial" w:hAnsi="Arial" w:cs="Arial"/>
          <w:sz w:val="22"/>
          <w:szCs w:val="22"/>
        </w:rPr>
        <w:t>false, misleading, or deceptive</w:t>
      </w:r>
      <w:r w:rsidR="00F2734C" w:rsidRPr="00FB2F3D">
        <w:rPr>
          <w:rFonts w:ascii="Arial" w:hAnsi="Arial" w:cs="Arial"/>
          <w:sz w:val="22"/>
          <w:szCs w:val="22"/>
        </w:rPr>
        <w:t xml:space="preserve"> </w:t>
      </w:r>
      <w:r w:rsidRPr="00FB2F3D">
        <w:rPr>
          <w:rFonts w:ascii="Arial" w:hAnsi="Arial" w:cs="Arial"/>
          <w:sz w:val="22"/>
          <w:szCs w:val="22"/>
        </w:rPr>
        <w:t>statement or omission in the Expert's statement included in the Prospectus; or</w:t>
      </w:r>
    </w:p>
    <w:p w14:paraId="0CB0377A"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 xml:space="preserve">before the </w:t>
      </w:r>
      <w:r w:rsidR="004B46BD" w:rsidRPr="00FB2F3D">
        <w:rPr>
          <w:rFonts w:ascii="Arial" w:hAnsi="Arial" w:cs="Arial"/>
          <w:sz w:val="22"/>
          <w:szCs w:val="22"/>
        </w:rPr>
        <w:t>Securities</w:t>
      </w:r>
      <w:r w:rsidRPr="00FB2F3D">
        <w:rPr>
          <w:rFonts w:ascii="Arial" w:hAnsi="Arial" w:cs="Arial"/>
          <w:sz w:val="22"/>
          <w:szCs w:val="22"/>
        </w:rPr>
        <w:t xml:space="preserve"> were acquired by any Person in reliance of the Prospectus, he had taken all such steps as it was reasonable for him to have taken to secure that a correction was promptly brought to the attention of Persons likely to acquire the </w:t>
      </w:r>
      <w:r w:rsidR="004B46BD" w:rsidRPr="00FB2F3D">
        <w:rPr>
          <w:rFonts w:ascii="Arial" w:hAnsi="Arial" w:cs="Arial"/>
          <w:sz w:val="22"/>
          <w:szCs w:val="22"/>
        </w:rPr>
        <w:t>Securities</w:t>
      </w:r>
      <w:r w:rsidRPr="00FB2F3D">
        <w:rPr>
          <w:rFonts w:ascii="Arial" w:hAnsi="Arial" w:cs="Arial"/>
          <w:sz w:val="22"/>
          <w:szCs w:val="22"/>
        </w:rPr>
        <w:t xml:space="preserve"> in question.</w:t>
      </w:r>
    </w:p>
    <w:p w14:paraId="5F4D02EF" w14:textId="77777777" w:rsidR="00162E0C" w:rsidRPr="00FB2F3D" w:rsidRDefault="00B42892" w:rsidP="00B42892">
      <w:pPr>
        <w:pStyle w:val="Heading4"/>
        <w:numPr>
          <w:ilvl w:val="0"/>
          <w:numId w:val="0"/>
        </w:numPr>
        <w:ind w:left="1440" w:hanging="720"/>
        <w:rPr>
          <w:rFonts w:ascii="Arial" w:hAnsi="Arial" w:cs="Arial"/>
          <w:sz w:val="22"/>
          <w:szCs w:val="22"/>
        </w:rPr>
      </w:pPr>
      <w:r w:rsidRPr="00FB2F3D">
        <w:rPr>
          <w:rFonts w:ascii="Arial" w:hAnsi="Arial" w:cs="Arial"/>
          <w:sz w:val="22"/>
          <w:szCs w:val="22"/>
        </w:rPr>
        <w:t>(4)</w:t>
      </w:r>
      <w:r w:rsidRPr="00FB2F3D">
        <w:rPr>
          <w:rFonts w:ascii="Arial" w:hAnsi="Arial" w:cs="Arial"/>
          <w:sz w:val="22"/>
          <w:szCs w:val="22"/>
        </w:rPr>
        <w:tab/>
      </w:r>
      <w:r w:rsidR="00162E0C" w:rsidRPr="00FB2F3D">
        <w:rPr>
          <w:rFonts w:ascii="Arial" w:hAnsi="Arial" w:cs="Arial"/>
          <w:sz w:val="22"/>
          <w:szCs w:val="22"/>
        </w:rPr>
        <w:t xml:space="preserve">Without prejudice to </w:t>
      </w:r>
      <w:r w:rsidR="00693841" w:rsidRPr="00FB2F3D">
        <w:rPr>
          <w:rFonts w:ascii="Arial" w:hAnsi="Arial" w:cs="Arial"/>
          <w:sz w:val="22"/>
          <w:szCs w:val="22"/>
        </w:rPr>
        <w:t>(2)</w:t>
      </w:r>
      <w:r w:rsidR="00B317F6" w:rsidRPr="00FB2F3D">
        <w:rPr>
          <w:rFonts w:ascii="Arial" w:hAnsi="Arial" w:cs="Arial"/>
          <w:sz w:val="22"/>
          <w:szCs w:val="22"/>
        </w:rPr>
        <w:t xml:space="preserve"> </w:t>
      </w:r>
      <w:r w:rsidR="00162E0C" w:rsidRPr="00FB2F3D">
        <w:rPr>
          <w:rFonts w:ascii="Arial" w:hAnsi="Arial" w:cs="Arial"/>
          <w:sz w:val="22"/>
          <w:szCs w:val="22"/>
        </w:rPr>
        <w:t xml:space="preserve">and </w:t>
      </w:r>
      <w:r w:rsidR="00693841" w:rsidRPr="00FB2F3D">
        <w:rPr>
          <w:rFonts w:ascii="Arial" w:hAnsi="Arial" w:cs="Arial"/>
          <w:sz w:val="22"/>
          <w:szCs w:val="22"/>
        </w:rPr>
        <w:t>(3)</w:t>
      </w:r>
      <w:r w:rsidR="00162E0C" w:rsidRPr="00FB2F3D">
        <w:rPr>
          <w:rFonts w:ascii="Arial" w:hAnsi="Arial" w:cs="Arial"/>
          <w:sz w:val="22"/>
          <w:szCs w:val="22"/>
        </w:rPr>
        <w:t xml:space="preserve">, a Person does not incur any liability under section </w:t>
      </w:r>
      <w:r w:rsidR="003C03DA" w:rsidRPr="00FB2F3D">
        <w:rPr>
          <w:rFonts w:ascii="Arial" w:hAnsi="Arial" w:cs="Arial"/>
          <w:sz w:val="22"/>
          <w:szCs w:val="22"/>
        </w:rPr>
        <w:t>7</w:t>
      </w:r>
      <w:r w:rsidR="00A64301" w:rsidRPr="00FB2F3D">
        <w:rPr>
          <w:rFonts w:ascii="Arial" w:hAnsi="Arial" w:cs="Arial"/>
          <w:sz w:val="22"/>
          <w:szCs w:val="22"/>
        </w:rPr>
        <w:t>0</w:t>
      </w:r>
      <w:r w:rsidR="003C03DA" w:rsidRPr="00FB2F3D">
        <w:rPr>
          <w:rFonts w:ascii="Arial" w:hAnsi="Arial" w:cs="Arial"/>
          <w:sz w:val="22"/>
          <w:szCs w:val="22"/>
        </w:rPr>
        <w:t>(1)</w:t>
      </w:r>
      <w:r w:rsidR="00162E0C" w:rsidRPr="00FB2F3D">
        <w:rPr>
          <w:rFonts w:ascii="Arial" w:hAnsi="Arial" w:cs="Arial"/>
          <w:sz w:val="22"/>
          <w:szCs w:val="22"/>
        </w:rPr>
        <w:t xml:space="preserve"> of the FSMR for any loss in respect of any </w:t>
      </w:r>
      <w:r w:rsidR="004B46BD" w:rsidRPr="00FB2F3D">
        <w:rPr>
          <w:rFonts w:ascii="Arial" w:hAnsi="Arial" w:cs="Arial"/>
          <w:sz w:val="22"/>
          <w:szCs w:val="22"/>
        </w:rPr>
        <w:t>Securities</w:t>
      </w:r>
      <w:r w:rsidR="00162E0C" w:rsidRPr="00FB2F3D">
        <w:rPr>
          <w:rFonts w:ascii="Arial" w:hAnsi="Arial" w:cs="Arial"/>
          <w:sz w:val="22"/>
          <w:szCs w:val="22"/>
        </w:rPr>
        <w:t xml:space="preserve"> caused by any statement or omission as is mentioned in that Article if:</w:t>
      </w:r>
    </w:p>
    <w:p w14:paraId="28766CD5" w14:textId="77777777" w:rsidR="00162E0C" w:rsidRPr="00FB2F3D" w:rsidRDefault="00162E0C" w:rsidP="00755725">
      <w:pPr>
        <w:pStyle w:val="Heading5"/>
        <w:numPr>
          <w:ilvl w:val="4"/>
          <w:numId w:val="88"/>
        </w:numPr>
        <w:rPr>
          <w:rFonts w:ascii="Arial" w:hAnsi="Arial" w:cs="Arial"/>
          <w:sz w:val="22"/>
          <w:szCs w:val="22"/>
        </w:rPr>
      </w:pPr>
      <w:r w:rsidRPr="00FB2F3D">
        <w:rPr>
          <w:rFonts w:ascii="Arial" w:hAnsi="Arial" w:cs="Arial"/>
          <w:sz w:val="22"/>
          <w:szCs w:val="22"/>
        </w:rPr>
        <w:t xml:space="preserve">before the </w:t>
      </w:r>
      <w:r w:rsidR="004B46BD" w:rsidRPr="00FB2F3D">
        <w:rPr>
          <w:rFonts w:ascii="Arial" w:hAnsi="Arial" w:cs="Arial"/>
          <w:sz w:val="22"/>
          <w:szCs w:val="22"/>
        </w:rPr>
        <w:t>Securities</w:t>
      </w:r>
      <w:r w:rsidRPr="00FB2F3D">
        <w:rPr>
          <w:rFonts w:ascii="Arial" w:hAnsi="Arial" w:cs="Arial"/>
          <w:sz w:val="22"/>
          <w:szCs w:val="22"/>
        </w:rPr>
        <w:t xml:space="preserve"> were acquired by any Person, a correction or, where the statement was such as is mentioned in </w:t>
      </w:r>
      <w:r w:rsidR="00693841" w:rsidRPr="00FB2F3D">
        <w:rPr>
          <w:rFonts w:ascii="Arial" w:hAnsi="Arial" w:cs="Arial"/>
          <w:sz w:val="22"/>
          <w:szCs w:val="22"/>
        </w:rPr>
        <w:t>(2)(c)</w:t>
      </w:r>
      <w:r w:rsidRPr="00FB2F3D">
        <w:rPr>
          <w:rFonts w:ascii="Arial" w:hAnsi="Arial" w:cs="Arial"/>
          <w:sz w:val="22"/>
          <w:szCs w:val="22"/>
        </w:rPr>
        <w:t xml:space="preserve">, the fact that the Expert was not competent or had not consented to the inclusion of the statement attributed to that Expert in the Prospectus had been published in a manner designed to bring to the attention of Persons likely to acquire the </w:t>
      </w:r>
      <w:r w:rsidR="004B46BD" w:rsidRPr="00FB2F3D">
        <w:rPr>
          <w:rFonts w:ascii="Arial" w:hAnsi="Arial" w:cs="Arial"/>
          <w:sz w:val="22"/>
          <w:szCs w:val="22"/>
        </w:rPr>
        <w:t>Securities</w:t>
      </w:r>
      <w:r w:rsidRPr="00FB2F3D">
        <w:rPr>
          <w:rFonts w:ascii="Arial" w:hAnsi="Arial" w:cs="Arial"/>
          <w:sz w:val="22"/>
          <w:szCs w:val="22"/>
        </w:rPr>
        <w:t xml:space="preserve"> in question; or</w:t>
      </w:r>
    </w:p>
    <w:p w14:paraId="6239F155"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 xml:space="preserve">he took all such steps as it was reasonable for him to take to secure such publication and believed on reasonable grounds that such a publication had taken place before the </w:t>
      </w:r>
      <w:r w:rsidR="004B46BD" w:rsidRPr="00FB2F3D">
        <w:rPr>
          <w:rFonts w:ascii="Arial" w:hAnsi="Arial" w:cs="Arial"/>
          <w:sz w:val="22"/>
          <w:szCs w:val="22"/>
        </w:rPr>
        <w:t>Securities</w:t>
      </w:r>
      <w:r w:rsidRPr="00FB2F3D">
        <w:rPr>
          <w:rFonts w:ascii="Arial" w:hAnsi="Arial" w:cs="Arial"/>
          <w:sz w:val="22"/>
          <w:szCs w:val="22"/>
        </w:rPr>
        <w:t xml:space="preserve"> were acquired.</w:t>
      </w:r>
    </w:p>
    <w:p w14:paraId="63EC2E6E" w14:textId="77777777" w:rsidR="00162E0C" w:rsidRPr="00FB2F3D" w:rsidRDefault="00B42892" w:rsidP="00B42892">
      <w:pPr>
        <w:pStyle w:val="Heading4"/>
        <w:numPr>
          <w:ilvl w:val="0"/>
          <w:numId w:val="0"/>
        </w:numPr>
        <w:ind w:left="1440" w:hanging="720"/>
        <w:rPr>
          <w:rFonts w:ascii="Arial" w:hAnsi="Arial" w:cs="Arial"/>
          <w:sz w:val="22"/>
          <w:szCs w:val="22"/>
        </w:rPr>
      </w:pPr>
      <w:r w:rsidRPr="00FB2F3D">
        <w:rPr>
          <w:rFonts w:ascii="Arial" w:hAnsi="Arial" w:cs="Arial"/>
          <w:sz w:val="22"/>
          <w:szCs w:val="22"/>
        </w:rPr>
        <w:t>(5)</w:t>
      </w:r>
      <w:r w:rsidRPr="00FB2F3D">
        <w:rPr>
          <w:rFonts w:ascii="Arial" w:hAnsi="Arial" w:cs="Arial"/>
          <w:sz w:val="22"/>
          <w:szCs w:val="22"/>
        </w:rPr>
        <w:tab/>
      </w:r>
      <w:r w:rsidR="00162E0C" w:rsidRPr="00FB2F3D">
        <w:rPr>
          <w:rFonts w:ascii="Arial" w:hAnsi="Arial" w:cs="Arial"/>
          <w:sz w:val="22"/>
          <w:szCs w:val="22"/>
        </w:rPr>
        <w:t xml:space="preserve">A Person does not incur any liability under section </w:t>
      </w:r>
      <w:r w:rsidR="00A64301" w:rsidRPr="00FB2F3D">
        <w:rPr>
          <w:rFonts w:ascii="Arial" w:hAnsi="Arial" w:cs="Arial"/>
          <w:sz w:val="22"/>
          <w:szCs w:val="22"/>
        </w:rPr>
        <w:t>70</w:t>
      </w:r>
      <w:r w:rsidR="00A1188A" w:rsidRPr="00FB2F3D">
        <w:rPr>
          <w:rFonts w:ascii="Arial" w:hAnsi="Arial" w:cs="Arial"/>
          <w:sz w:val="22"/>
          <w:szCs w:val="22"/>
        </w:rPr>
        <w:t>(1)</w:t>
      </w:r>
      <w:r w:rsidR="00162E0C" w:rsidRPr="00FB2F3D">
        <w:rPr>
          <w:rFonts w:ascii="Arial" w:hAnsi="Arial" w:cs="Arial"/>
          <w:sz w:val="22"/>
          <w:szCs w:val="22"/>
        </w:rPr>
        <w:t xml:space="preserve"> of the FSMR for any loss resulting from a statement made by a public official or contained in an official public document which is included in the Prospectus if the statement is accurately and fairly reproduced.</w:t>
      </w:r>
    </w:p>
    <w:p w14:paraId="76BE2905" w14:textId="77777777" w:rsidR="00162E0C" w:rsidRPr="00FB2F3D" w:rsidRDefault="00B42892" w:rsidP="00B42892">
      <w:pPr>
        <w:pStyle w:val="Heading4"/>
        <w:numPr>
          <w:ilvl w:val="0"/>
          <w:numId w:val="0"/>
        </w:numPr>
        <w:ind w:left="1440" w:hanging="720"/>
        <w:rPr>
          <w:rFonts w:ascii="Arial" w:hAnsi="Arial" w:cs="Arial"/>
          <w:sz w:val="22"/>
          <w:szCs w:val="22"/>
        </w:rPr>
      </w:pPr>
      <w:bookmarkStart w:id="491" w:name="_Ref410666737"/>
      <w:r w:rsidRPr="00FB2F3D">
        <w:rPr>
          <w:rFonts w:ascii="Arial" w:hAnsi="Arial" w:cs="Arial"/>
          <w:sz w:val="22"/>
          <w:szCs w:val="22"/>
        </w:rPr>
        <w:lastRenderedPageBreak/>
        <w:t>(6)</w:t>
      </w:r>
      <w:r w:rsidRPr="00FB2F3D">
        <w:rPr>
          <w:rFonts w:ascii="Arial" w:hAnsi="Arial" w:cs="Arial"/>
          <w:sz w:val="22"/>
          <w:szCs w:val="22"/>
        </w:rPr>
        <w:tab/>
      </w:r>
      <w:r w:rsidR="00162E0C" w:rsidRPr="00FB2F3D">
        <w:rPr>
          <w:rFonts w:ascii="Arial" w:hAnsi="Arial" w:cs="Arial"/>
          <w:sz w:val="22"/>
          <w:szCs w:val="22"/>
        </w:rPr>
        <w:t xml:space="preserve">A Person does not incur any liability under section </w:t>
      </w:r>
      <w:r w:rsidR="00A1188A" w:rsidRPr="00FB2F3D">
        <w:rPr>
          <w:rFonts w:ascii="Arial" w:hAnsi="Arial" w:cs="Arial"/>
          <w:sz w:val="22"/>
          <w:szCs w:val="22"/>
        </w:rPr>
        <w:t>7</w:t>
      </w:r>
      <w:r w:rsidR="00A64301" w:rsidRPr="00FB2F3D">
        <w:rPr>
          <w:rFonts w:ascii="Arial" w:hAnsi="Arial" w:cs="Arial"/>
          <w:sz w:val="22"/>
          <w:szCs w:val="22"/>
        </w:rPr>
        <w:t>0</w:t>
      </w:r>
      <w:r w:rsidR="00A1188A" w:rsidRPr="00FB2F3D">
        <w:rPr>
          <w:rFonts w:ascii="Arial" w:hAnsi="Arial" w:cs="Arial"/>
          <w:sz w:val="22"/>
          <w:szCs w:val="22"/>
        </w:rPr>
        <w:t>(1)</w:t>
      </w:r>
      <w:r w:rsidR="00162E0C" w:rsidRPr="00FB2F3D">
        <w:rPr>
          <w:rFonts w:ascii="Arial" w:hAnsi="Arial" w:cs="Arial"/>
          <w:sz w:val="22"/>
          <w:szCs w:val="22"/>
        </w:rPr>
        <w:t xml:space="preserve"> of the FSMR if the</w:t>
      </w:r>
      <w:r w:rsidR="00162E0C" w:rsidRPr="00FB2F3D">
        <w:rPr>
          <w:rFonts w:ascii="Arial" w:hAnsi="Arial" w:cs="Arial"/>
          <w:sz w:val="22"/>
          <w:szCs w:val="22"/>
          <w:lang w:eastAsia="ja-JP"/>
        </w:rPr>
        <w:t xml:space="preserve"> </w:t>
      </w:r>
      <w:r w:rsidR="00162E0C" w:rsidRPr="00FB2F3D">
        <w:rPr>
          <w:rFonts w:ascii="Arial" w:hAnsi="Arial" w:cs="Arial"/>
          <w:sz w:val="22"/>
          <w:szCs w:val="22"/>
        </w:rPr>
        <w:t xml:space="preserve">Person incurring the loss acquired the </w:t>
      </w:r>
      <w:r w:rsidR="004B46BD" w:rsidRPr="00FB2F3D">
        <w:rPr>
          <w:rFonts w:ascii="Arial" w:hAnsi="Arial" w:cs="Arial"/>
          <w:sz w:val="22"/>
          <w:szCs w:val="22"/>
        </w:rPr>
        <w:t>Securities</w:t>
      </w:r>
      <w:r w:rsidR="00162E0C" w:rsidRPr="00FB2F3D">
        <w:rPr>
          <w:rFonts w:ascii="Arial" w:hAnsi="Arial" w:cs="Arial"/>
          <w:sz w:val="22"/>
          <w:szCs w:val="22"/>
        </w:rPr>
        <w:t xml:space="preserve"> in question with knowledge:</w:t>
      </w:r>
      <w:bookmarkEnd w:id="491"/>
    </w:p>
    <w:p w14:paraId="783896B4" w14:textId="77777777" w:rsidR="00162E0C" w:rsidRPr="00FB2F3D" w:rsidRDefault="00162E0C" w:rsidP="00755725">
      <w:pPr>
        <w:pStyle w:val="Heading5"/>
        <w:numPr>
          <w:ilvl w:val="4"/>
          <w:numId w:val="89"/>
        </w:numPr>
        <w:rPr>
          <w:rFonts w:ascii="Arial" w:hAnsi="Arial" w:cs="Arial"/>
          <w:sz w:val="22"/>
          <w:szCs w:val="22"/>
          <w:lang w:eastAsia="ja-JP"/>
        </w:rPr>
      </w:pPr>
      <w:r w:rsidRPr="00FB2F3D">
        <w:rPr>
          <w:rFonts w:ascii="Arial" w:hAnsi="Arial" w:cs="Arial"/>
          <w:sz w:val="22"/>
          <w:szCs w:val="22"/>
        </w:rPr>
        <w:t xml:space="preserve">that the statement was </w:t>
      </w:r>
      <w:r w:rsidR="00EC3624" w:rsidRPr="00FB2F3D">
        <w:rPr>
          <w:rFonts w:ascii="Arial" w:hAnsi="Arial" w:cs="Arial"/>
          <w:sz w:val="22"/>
          <w:szCs w:val="22"/>
        </w:rPr>
        <w:t>false, misleading, or deceptive</w:t>
      </w:r>
      <w:r w:rsidRPr="00FB2F3D">
        <w:rPr>
          <w:rFonts w:ascii="Arial" w:hAnsi="Arial" w:cs="Arial"/>
          <w:sz w:val="22"/>
          <w:szCs w:val="22"/>
        </w:rPr>
        <w:t>;</w:t>
      </w:r>
    </w:p>
    <w:p w14:paraId="2DFA7B31" w14:textId="77777777" w:rsidR="00162E0C" w:rsidRPr="00FB2F3D" w:rsidRDefault="00162E0C" w:rsidP="0061693E">
      <w:pPr>
        <w:pStyle w:val="Heading5"/>
        <w:rPr>
          <w:rFonts w:ascii="Arial" w:hAnsi="Arial" w:cs="Arial"/>
          <w:sz w:val="22"/>
          <w:szCs w:val="22"/>
          <w:lang w:eastAsia="ja-JP"/>
        </w:rPr>
      </w:pPr>
      <w:r w:rsidRPr="00FB2F3D">
        <w:rPr>
          <w:rFonts w:ascii="Arial" w:hAnsi="Arial" w:cs="Arial"/>
          <w:sz w:val="22"/>
          <w:szCs w:val="22"/>
        </w:rPr>
        <w:t>of the omitted matter or of the change; or</w:t>
      </w:r>
    </w:p>
    <w:p w14:paraId="7D54CDC1"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of the new matter or inaccuracy.</w:t>
      </w:r>
    </w:p>
    <w:p w14:paraId="396665D7" w14:textId="77777777" w:rsidR="00162E0C" w:rsidRPr="00FB2F3D" w:rsidRDefault="00E9340A" w:rsidP="0061693E">
      <w:pPr>
        <w:pStyle w:val="Heading2"/>
        <w:rPr>
          <w:rFonts w:ascii="Arial" w:hAnsi="Arial" w:cs="Arial"/>
          <w:sz w:val="22"/>
          <w:szCs w:val="22"/>
        </w:rPr>
      </w:pPr>
      <w:bookmarkStart w:id="492" w:name="_Toc138325680"/>
      <w:r w:rsidRPr="00FB2F3D">
        <w:rPr>
          <w:rFonts w:ascii="Arial" w:hAnsi="Arial" w:cs="Arial"/>
          <w:sz w:val="22"/>
          <w:szCs w:val="22"/>
        </w:rPr>
        <w:t>Advertisements</w:t>
      </w:r>
      <w:bookmarkEnd w:id="492"/>
    </w:p>
    <w:p w14:paraId="285DC558" w14:textId="77777777" w:rsidR="00162E0C" w:rsidRPr="00FB2F3D" w:rsidRDefault="007441BA" w:rsidP="00384E67">
      <w:pPr>
        <w:pStyle w:val="Heading3"/>
        <w:ind w:left="1440" w:hanging="1440"/>
        <w:rPr>
          <w:rFonts w:ascii="Arial" w:hAnsi="Arial" w:cs="Arial"/>
          <w:sz w:val="22"/>
          <w:szCs w:val="22"/>
        </w:rPr>
      </w:pPr>
      <w:bookmarkStart w:id="493" w:name="_Ref410073138"/>
      <w:bookmarkStart w:id="494" w:name="_Ref410632081"/>
      <w:r w:rsidRPr="00FB2F3D">
        <w:rPr>
          <w:rFonts w:ascii="Arial" w:hAnsi="Arial" w:cs="Arial"/>
          <w:sz w:val="22"/>
          <w:szCs w:val="22"/>
        </w:rPr>
        <w:t>(1)</w:t>
      </w:r>
      <w:r w:rsidR="00384E67" w:rsidRPr="00FB2F3D">
        <w:rPr>
          <w:rFonts w:ascii="Arial" w:hAnsi="Arial" w:cs="Arial"/>
          <w:sz w:val="22"/>
          <w:szCs w:val="22"/>
        </w:rPr>
        <w:tab/>
      </w:r>
      <w:r w:rsidR="00162E0C" w:rsidRPr="00FB2F3D">
        <w:rPr>
          <w:rFonts w:ascii="Arial" w:hAnsi="Arial" w:cs="Arial"/>
          <w:sz w:val="22"/>
          <w:szCs w:val="22"/>
        </w:rPr>
        <w:t>A Person who makes a Prospectus Offer must not, and must ensure that any agent of that Person or a member of its Group or other Persons associated or connected with the Prospectus Offer do not, during the Offer Period, make a</w:t>
      </w:r>
      <w:r w:rsidR="00E9340A" w:rsidRPr="00FB2F3D">
        <w:rPr>
          <w:rFonts w:ascii="Arial" w:hAnsi="Arial" w:cs="Arial"/>
          <w:sz w:val="22"/>
          <w:szCs w:val="22"/>
        </w:rPr>
        <w:t>n</w:t>
      </w:r>
      <w:r w:rsidR="00162E0C" w:rsidRPr="00FB2F3D">
        <w:rPr>
          <w:rFonts w:ascii="Arial" w:hAnsi="Arial" w:cs="Arial"/>
          <w:sz w:val="22"/>
          <w:szCs w:val="22"/>
        </w:rPr>
        <w:t xml:space="preserve"> </w:t>
      </w:r>
      <w:r w:rsidR="00E9340A" w:rsidRPr="00FB2F3D">
        <w:rPr>
          <w:rFonts w:ascii="Arial" w:hAnsi="Arial" w:cs="Arial"/>
          <w:sz w:val="22"/>
          <w:szCs w:val="22"/>
        </w:rPr>
        <w:t>advertisement</w:t>
      </w:r>
      <w:r w:rsidR="00162E0C" w:rsidRPr="00FB2F3D">
        <w:rPr>
          <w:rFonts w:ascii="Arial" w:hAnsi="Arial" w:cs="Arial"/>
          <w:sz w:val="22"/>
          <w:szCs w:val="22"/>
        </w:rPr>
        <w:t xml:space="preserve"> relating to a Prospec</w:t>
      </w:r>
      <w:r w:rsidR="008A53FF" w:rsidRPr="00FB2F3D">
        <w:rPr>
          <w:rFonts w:ascii="Arial" w:hAnsi="Arial" w:cs="Arial"/>
          <w:sz w:val="22"/>
          <w:szCs w:val="22"/>
        </w:rPr>
        <w:t xml:space="preserve">tus Offer unless the </w:t>
      </w:r>
      <w:bookmarkEnd w:id="493"/>
      <w:r w:rsidR="00E9340A" w:rsidRPr="00FB2F3D">
        <w:rPr>
          <w:rFonts w:ascii="Arial" w:hAnsi="Arial" w:cs="Arial"/>
          <w:sz w:val="22"/>
          <w:szCs w:val="22"/>
        </w:rPr>
        <w:t>advertisement</w:t>
      </w:r>
      <w:r w:rsidR="00162E0C" w:rsidRPr="00FB2F3D">
        <w:rPr>
          <w:rFonts w:ascii="Arial" w:hAnsi="Arial" w:cs="Arial"/>
          <w:sz w:val="22"/>
          <w:szCs w:val="22"/>
        </w:rPr>
        <w:t>:</w:t>
      </w:r>
      <w:bookmarkEnd w:id="494"/>
    </w:p>
    <w:p w14:paraId="30688B73"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 xml:space="preserve">states that a Prospectus has been approved by the </w:t>
      </w:r>
      <w:r w:rsidR="0035335F" w:rsidRPr="00FB2F3D">
        <w:rPr>
          <w:rFonts w:ascii="Arial" w:hAnsi="Arial" w:cs="Arial"/>
          <w:sz w:val="22"/>
          <w:szCs w:val="22"/>
        </w:rPr>
        <w:t>Regulator</w:t>
      </w:r>
      <w:r w:rsidRPr="00FB2F3D">
        <w:rPr>
          <w:rFonts w:ascii="Arial" w:hAnsi="Arial" w:cs="Arial"/>
          <w:sz w:val="22"/>
          <w:szCs w:val="22"/>
        </w:rPr>
        <w:t xml:space="preserve"> and published or is to be published; and</w:t>
      </w:r>
    </w:p>
    <w:p w14:paraId="35BA8362" w14:textId="77777777" w:rsidR="00162E0C" w:rsidRPr="00FB2F3D" w:rsidRDefault="00162E0C" w:rsidP="0061693E">
      <w:pPr>
        <w:pStyle w:val="Heading5"/>
        <w:rPr>
          <w:rFonts w:ascii="Arial" w:hAnsi="Arial" w:cs="Arial"/>
          <w:sz w:val="22"/>
          <w:szCs w:val="22"/>
        </w:rPr>
      </w:pPr>
      <w:bookmarkStart w:id="495" w:name="_Ref410666830"/>
      <w:r w:rsidRPr="00FB2F3D">
        <w:rPr>
          <w:rFonts w:ascii="Arial" w:hAnsi="Arial" w:cs="Arial"/>
          <w:sz w:val="22"/>
          <w:szCs w:val="22"/>
        </w:rPr>
        <w:t>gives an address from which a Prospectus is or will be made available in the ADGM or provides a link to a website from which the Prospectus can be accessed.</w:t>
      </w:r>
      <w:bookmarkEnd w:id="495"/>
    </w:p>
    <w:p w14:paraId="4F4F20D1" w14:textId="77777777" w:rsidR="00162E0C" w:rsidRPr="00FB2F3D" w:rsidRDefault="00162E0C" w:rsidP="0061693E">
      <w:pPr>
        <w:pStyle w:val="Heading4"/>
        <w:rPr>
          <w:rFonts w:ascii="Arial" w:hAnsi="Arial" w:cs="Arial"/>
          <w:sz w:val="22"/>
          <w:szCs w:val="22"/>
        </w:rPr>
      </w:pPr>
      <w:r w:rsidRPr="00FB2F3D">
        <w:rPr>
          <w:rFonts w:ascii="Arial" w:hAnsi="Arial" w:cs="Arial"/>
          <w:sz w:val="22"/>
          <w:szCs w:val="22"/>
        </w:rPr>
        <w:t>Where a Person making a Prospectus Offer uses a Prospectus that comprises multiple documents as provided in Rule </w:t>
      </w:r>
      <w:r w:rsidR="00693841" w:rsidRPr="00FB2F3D">
        <w:rPr>
          <w:rFonts w:ascii="Arial" w:hAnsi="Arial" w:cs="Arial"/>
          <w:sz w:val="22"/>
          <w:szCs w:val="22"/>
        </w:rPr>
        <w:t>4.5.1(1)</w:t>
      </w:r>
      <w:r w:rsidRPr="00FB2F3D">
        <w:rPr>
          <w:rFonts w:ascii="Arial" w:hAnsi="Arial" w:cs="Arial"/>
          <w:sz w:val="22"/>
          <w:szCs w:val="22"/>
        </w:rPr>
        <w:t>, the obligation to</w:t>
      </w:r>
      <w:r w:rsidRPr="00FB2F3D">
        <w:rPr>
          <w:rFonts w:ascii="Arial" w:hAnsi="Arial" w:cs="Arial"/>
          <w:sz w:val="22"/>
          <w:szCs w:val="22"/>
          <w:lang w:eastAsia="ja-JP"/>
        </w:rPr>
        <w:t xml:space="preserve"> </w:t>
      </w:r>
      <w:r w:rsidRPr="00FB2F3D">
        <w:rPr>
          <w:rFonts w:ascii="Arial" w:hAnsi="Arial" w:cs="Arial"/>
          <w:sz w:val="22"/>
          <w:szCs w:val="22"/>
        </w:rPr>
        <w:t xml:space="preserve">give or provide access to a Prospectus in </w:t>
      </w:r>
      <w:r w:rsidR="00693841" w:rsidRPr="00FB2F3D">
        <w:rPr>
          <w:rFonts w:ascii="Arial" w:hAnsi="Arial" w:cs="Arial"/>
          <w:sz w:val="22"/>
          <w:szCs w:val="22"/>
        </w:rPr>
        <w:t>(b)</w:t>
      </w:r>
      <w:r w:rsidR="00B317F6" w:rsidRPr="00FB2F3D">
        <w:rPr>
          <w:rFonts w:ascii="Arial" w:hAnsi="Arial" w:cs="Arial"/>
          <w:sz w:val="22"/>
          <w:szCs w:val="22"/>
        </w:rPr>
        <w:t xml:space="preserve"> </w:t>
      </w:r>
      <w:r w:rsidRPr="00FB2F3D">
        <w:rPr>
          <w:rFonts w:ascii="Arial" w:hAnsi="Arial" w:cs="Arial"/>
          <w:sz w:val="22"/>
          <w:szCs w:val="22"/>
        </w:rPr>
        <w:t>means giving or providing access to all the documents comprising the Prospectus.</w:t>
      </w:r>
    </w:p>
    <w:p w14:paraId="29AAC014"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1697840D" w14:textId="77777777" w:rsidR="00162E0C" w:rsidRPr="00FB2F3D" w:rsidRDefault="008A53FF" w:rsidP="006207B8">
      <w:pPr>
        <w:pStyle w:val="UK12Block05"/>
        <w:rPr>
          <w:rFonts w:ascii="Arial" w:hAnsi="Arial" w:cs="Arial"/>
          <w:sz w:val="22"/>
          <w:szCs w:val="22"/>
        </w:rPr>
      </w:pPr>
      <w:r w:rsidRPr="00FB2F3D">
        <w:rPr>
          <w:rFonts w:ascii="Arial" w:hAnsi="Arial" w:cs="Arial"/>
          <w:sz w:val="22"/>
          <w:szCs w:val="22"/>
        </w:rPr>
        <w:t xml:space="preserve">The requirements relating to </w:t>
      </w:r>
      <w:r w:rsidR="00E9340A" w:rsidRPr="00FB2F3D">
        <w:rPr>
          <w:rFonts w:ascii="Arial" w:hAnsi="Arial" w:cs="Arial"/>
          <w:sz w:val="22"/>
          <w:szCs w:val="22"/>
        </w:rPr>
        <w:t>advertisements</w:t>
      </w:r>
      <w:r w:rsidR="00162E0C" w:rsidRPr="00FB2F3D">
        <w:rPr>
          <w:rFonts w:ascii="Arial" w:hAnsi="Arial" w:cs="Arial"/>
          <w:sz w:val="22"/>
          <w:szCs w:val="22"/>
        </w:rPr>
        <w:t xml:space="preserve"> in Rule </w:t>
      </w:r>
      <w:r w:rsidR="00693841" w:rsidRPr="00FB2F3D">
        <w:rPr>
          <w:rFonts w:ascii="Arial" w:hAnsi="Arial" w:cs="Arial"/>
          <w:sz w:val="22"/>
          <w:szCs w:val="22"/>
        </w:rPr>
        <w:t>4.12.1</w:t>
      </w:r>
      <w:r w:rsidR="00162E0C" w:rsidRPr="00FB2F3D">
        <w:rPr>
          <w:rFonts w:ascii="Arial" w:hAnsi="Arial" w:cs="Arial"/>
          <w:sz w:val="22"/>
          <w:szCs w:val="22"/>
        </w:rPr>
        <w:t xml:space="preserve"> do not apply, due to the definitional exclusion provided in section </w:t>
      </w:r>
      <w:r w:rsidR="00A64301" w:rsidRPr="00FB2F3D">
        <w:rPr>
          <w:rFonts w:ascii="Arial" w:hAnsi="Arial" w:cs="Arial"/>
          <w:sz w:val="22"/>
          <w:szCs w:val="22"/>
        </w:rPr>
        <w:t xml:space="preserve">59 </w:t>
      </w:r>
      <w:r w:rsidR="00162E0C" w:rsidRPr="00FB2F3D">
        <w:rPr>
          <w:rFonts w:ascii="Arial" w:hAnsi="Arial" w:cs="Arial"/>
          <w:sz w:val="22"/>
          <w:szCs w:val="22"/>
        </w:rPr>
        <w:t>of the FSMR, to any communication:</w:t>
      </w:r>
    </w:p>
    <w:p w14:paraId="4DB1B6D2" w14:textId="70A6E695" w:rsidR="00162E0C" w:rsidRPr="00FB2F3D" w:rsidRDefault="00162E0C" w:rsidP="00021641">
      <w:pPr>
        <w:pStyle w:val="GuidanceNotesnumbering"/>
        <w:numPr>
          <w:ilvl w:val="1"/>
          <w:numId w:val="30"/>
        </w:numPr>
        <w:ind w:left="1418" w:hanging="709"/>
        <w:rPr>
          <w:rFonts w:ascii="Arial" w:hAnsi="Arial" w:cs="Arial"/>
          <w:sz w:val="22"/>
          <w:szCs w:val="22"/>
        </w:rPr>
      </w:pPr>
      <w:r w:rsidRPr="00FB2F3D">
        <w:rPr>
          <w:rFonts w:ascii="Arial" w:hAnsi="Arial" w:cs="Arial"/>
          <w:sz w:val="22"/>
          <w:szCs w:val="22"/>
        </w:rPr>
        <w:t xml:space="preserve">made in connection with the trading of </w:t>
      </w:r>
      <w:r w:rsidR="004B46BD" w:rsidRPr="00FB2F3D">
        <w:rPr>
          <w:rFonts w:ascii="Arial" w:hAnsi="Arial" w:cs="Arial"/>
          <w:sz w:val="22"/>
          <w:szCs w:val="22"/>
        </w:rPr>
        <w:t>Securities</w:t>
      </w:r>
      <w:r w:rsidRPr="00FB2F3D">
        <w:rPr>
          <w:rFonts w:ascii="Arial" w:hAnsi="Arial" w:cs="Arial"/>
          <w:sz w:val="22"/>
          <w:szCs w:val="22"/>
        </w:rPr>
        <w:t xml:space="preserve"> on a Recognised </w:t>
      </w:r>
      <w:r w:rsidR="00B42892" w:rsidRPr="00FB2F3D">
        <w:rPr>
          <w:rFonts w:ascii="Arial" w:hAnsi="Arial" w:cs="Arial"/>
          <w:sz w:val="22"/>
          <w:szCs w:val="22"/>
        </w:rPr>
        <w:t>Investment Exchange</w:t>
      </w:r>
      <w:r w:rsidRPr="00FB2F3D">
        <w:rPr>
          <w:rFonts w:ascii="Arial" w:hAnsi="Arial" w:cs="Arial"/>
          <w:sz w:val="22"/>
          <w:szCs w:val="22"/>
        </w:rPr>
        <w:t xml:space="preserve"> or</w:t>
      </w:r>
      <w:r w:rsidRPr="00FB2F3D">
        <w:rPr>
          <w:rFonts w:ascii="Arial" w:hAnsi="Arial" w:cs="Arial"/>
          <w:sz w:val="22"/>
          <w:szCs w:val="22"/>
          <w:lang w:eastAsia="ja-JP"/>
        </w:rPr>
        <w:t xml:space="preserve"> </w:t>
      </w:r>
      <w:r w:rsidRPr="00FB2F3D">
        <w:rPr>
          <w:rFonts w:ascii="Arial" w:hAnsi="Arial" w:cs="Arial"/>
          <w:sz w:val="22"/>
          <w:szCs w:val="22"/>
        </w:rPr>
        <w:t>Regulated Exchange;</w:t>
      </w:r>
    </w:p>
    <w:p w14:paraId="35BF76CC" w14:textId="77777777" w:rsidR="00162E0C" w:rsidRPr="00FB2F3D" w:rsidRDefault="00162E0C" w:rsidP="00021641">
      <w:pPr>
        <w:pStyle w:val="GuidanceNotesnumbering"/>
        <w:numPr>
          <w:ilvl w:val="1"/>
          <w:numId w:val="30"/>
        </w:numPr>
        <w:ind w:left="1418" w:hanging="709"/>
        <w:rPr>
          <w:rFonts w:ascii="Arial" w:hAnsi="Arial" w:cs="Arial"/>
          <w:sz w:val="22"/>
          <w:szCs w:val="22"/>
        </w:rPr>
      </w:pPr>
      <w:r w:rsidRPr="00FB2F3D">
        <w:rPr>
          <w:rFonts w:ascii="Arial" w:hAnsi="Arial" w:cs="Arial"/>
          <w:sz w:val="22"/>
          <w:szCs w:val="22"/>
        </w:rPr>
        <w:t>made for the purposes of complying with the on</w:t>
      </w:r>
      <w:r w:rsidRPr="00FB2F3D">
        <w:rPr>
          <w:rFonts w:ascii="Arial" w:hAnsi="Arial" w:cs="Arial"/>
          <w:sz w:val="22"/>
          <w:szCs w:val="22"/>
        </w:rPr>
        <w:noBreakHyphen/>
        <w:t xml:space="preserve">going reporting requirements of a Recognised </w:t>
      </w:r>
      <w:r w:rsidR="00B42892" w:rsidRPr="00FB2F3D">
        <w:rPr>
          <w:rFonts w:ascii="Arial" w:hAnsi="Arial" w:cs="Arial"/>
          <w:sz w:val="22"/>
          <w:szCs w:val="22"/>
        </w:rPr>
        <w:t>Investment Exchange</w:t>
      </w:r>
      <w:r w:rsidRPr="00FB2F3D">
        <w:rPr>
          <w:rFonts w:ascii="Arial" w:hAnsi="Arial" w:cs="Arial"/>
          <w:sz w:val="22"/>
          <w:szCs w:val="22"/>
        </w:rPr>
        <w:t xml:space="preserve"> or the </w:t>
      </w:r>
      <w:r w:rsidR="0035335F" w:rsidRPr="00FB2F3D">
        <w:rPr>
          <w:rFonts w:ascii="Arial" w:hAnsi="Arial" w:cs="Arial"/>
          <w:sz w:val="22"/>
          <w:szCs w:val="22"/>
        </w:rPr>
        <w:t>Regulator</w:t>
      </w:r>
      <w:r w:rsidRPr="00FB2F3D">
        <w:rPr>
          <w:rFonts w:ascii="Arial" w:hAnsi="Arial" w:cs="Arial"/>
          <w:sz w:val="22"/>
          <w:szCs w:val="22"/>
        </w:rPr>
        <w:t>; or</w:t>
      </w:r>
    </w:p>
    <w:p w14:paraId="0D3D4827" w14:textId="77777777" w:rsidR="00162E0C" w:rsidRPr="00FB2F3D" w:rsidRDefault="00162E0C" w:rsidP="00021641">
      <w:pPr>
        <w:pStyle w:val="GuidanceNotesnumbering"/>
        <w:numPr>
          <w:ilvl w:val="1"/>
          <w:numId w:val="30"/>
        </w:numPr>
        <w:ind w:left="1418" w:hanging="709"/>
        <w:rPr>
          <w:rFonts w:ascii="Arial" w:hAnsi="Arial" w:cs="Arial"/>
          <w:sz w:val="22"/>
          <w:szCs w:val="22"/>
        </w:rPr>
      </w:pPr>
      <w:r w:rsidRPr="00FB2F3D">
        <w:rPr>
          <w:rFonts w:ascii="Arial" w:hAnsi="Arial" w:cs="Arial"/>
          <w:sz w:val="22"/>
          <w:szCs w:val="22"/>
        </w:rPr>
        <w:t>which is an Exempt Communication as defined in Rule </w:t>
      </w:r>
      <w:r w:rsidR="00693841" w:rsidRPr="00FB2F3D">
        <w:rPr>
          <w:rFonts w:ascii="Arial" w:hAnsi="Arial" w:cs="Arial"/>
          <w:sz w:val="22"/>
          <w:szCs w:val="22"/>
        </w:rPr>
        <w:t>4.2.1</w:t>
      </w:r>
      <w:r w:rsidRPr="00FB2F3D">
        <w:rPr>
          <w:rFonts w:ascii="Arial" w:hAnsi="Arial" w:cs="Arial"/>
          <w:sz w:val="22"/>
          <w:szCs w:val="22"/>
        </w:rPr>
        <w:t>.</w:t>
      </w:r>
    </w:p>
    <w:p w14:paraId="0305C40F" w14:textId="77777777" w:rsidR="00162E0C" w:rsidRPr="00FB2F3D" w:rsidRDefault="00162E0C" w:rsidP="0061693E">
      <w:pPr>
        <w:pStyle w:val="Heading2"/>
        <w:rPr>
          <w:rFonts w:ascii="Arial" w:hAnsi="Arial" w:cs="Arial"/>
          <w:sz w:val="22"/>
          <w:szCs w:val="22"/>
        </w:rPr>
      </w:pPr>
      <w:bookmarkStart w:id="496" w:name="_Toc409521831"/>
      <w:bookmarkStart w:id="497" w:name="_Toc410136228"/>
      <w:bookmarkStart w:id="498" w:name="_Toc410605937"/>
      <w:bookmarkStart w:id="499" w:name="_Toc410658873"/>
      <w:bookmarkStart w:id="500" w:name="_Toc410659000"/>
      <w:bookmarkStart w:id="501" w:name="_Toc410835547"/>
      <w:bookmarkStart w:id="502" w:name="_Toc138325681"/>
      <w:r w:rsidRPr="00FB2F3D">
        <w:rPr>
          <w:rFonts w:ascii="Arial" w:hAnsi="Arial" w:cs="Arial"/>
          <w:sz w:val="22"/>
          <w:szCs w:val="22"/>
        </w:rPr>
        <w:t>Miscellaneous</w:t>
      </w:r>
      <w:bookmarkEnd w:id="496"/>
      <w:bookmarkEnd w:id="497"/>
      <w:bookmarkEnd w:id="498"/>
      <w:bookmarkEnd w:id="499"/>
      <w:bookmarkEnd w:id="500"/>
      <w:bookmarkEnd w:id="501"/>
      <w:bookmarkEnd w:id="502"/>
    </w:p>
    <w:p w14:paraId="0F3F164B" w14:textId="77777777" w:rsidR="00162E0C" w:rsidRPr="00FB2F3D" w:rsidRDefault="00162E0C" w:rsidP="00923F59">
      <w:pPr>
        <w:pStyle w:val="Heading3"/>
        <w:rPr>
          <w:rFonts w:ascii="Arial" w:hAnsi="Arial" w:cs="Arial"/>
          <w:sz w:val="22"/>
          <w:szCs w:val="22"/>
        </w:rPr>
      </w:pPr>
      <w:r w:rsidRPr="00FB2F3D">
        <w:rPr>
          <w:rFonts w:ascii="Arial" w:hAnsi="Arial" w:cs="Arial"/>
          <w:sz w:val="22"/>
          <w:szCs w:val="22"/>
        </w:rPr>
        <w:t xml:space="preserve">The </w:t>
      </w:r>
      <w:r w:rsidR="0035335F" w:rsidRPr="00FB2F3D">
        <w:rPr>
          <w:rFonts w:ascii="Arial" w:hAnsi="Arial" w:cs="Arial"/>
          <w:sz w:val="22"/>
          <w:szCs w:val="22"/>
        </w:rPr>
        <w:t>Regulator</w:t>
      </w:r>
      <w:r w:rsidRPr="00FB2F3D">
        <w:rPr>
          <w:rFonts w:ascii="Arial" w:hAnsi="Arial" w:cs="Arial"/>
          <w:sz w:val="22"/>
          <w:szCs w:val="22"/>
        </w:rPr>
        <w:t xml:space="preserve"> may require a Prospectus Offer to be underwritten by an underwriter acceptable to the </w:t>
      </w:r>
      <w:r w:rsidR="0035335F" w:rsidRPr="00FB2F3D">
        <w:rPr>
          <w:rFonts w:ascii="Arial" w:hAnsi="Arial" w:cs="Arial"/>
          <w:sz w:val="22"/>
          <w:szCs w:val="22"/>
        </w:rPr>
        <w:t>Regulator</w:t>
      </w:r>
      <w:r w:rsidRPr="00FB2F3D">
        <w:rPr>
          <w:rFonts w:ascii="Arial" w:hAnsi="Arial" w:cs="Arial"/>
          <w:sz w:val="22"/>
          <w:szCs w:val="22"/>
        </w:rPr>
        <w:t>.</w:t>
      </w:r>
    </w:p>
    <w:p w14:paraId="0247007C" w14:textId="77777777" w:rsidR="00162E0C" w:rsidRPr="00FB2F3D" w:rsidRDefault="00162E0C" w:rsidP="0061693E">
      <w:pPr>
        <w:pStyle w:val="Heading3"/>
        <w:rPr>
          <w:rFonts w:ascii="Arial" w:hAnsi="Arial" w:cs="Arial"/>
          <w:sz w:val="22"/>
          <w:szCs w:val="22"/>
        </w:rPr>
      </w:pPr>
      <w:r w:rsidRPr="00FB2F3D">
        <w:rPr>
          <w:rFonts w:ascii="Arial" w:hAnsi="Arial" w:cs="Arial"/>
          <w:sz w:val="22"/>
          <w:szCs w:val="22"/>
        </w:rPr>
        <w:t>If one or more Directors of an Issuer are offering Shares they hold in the Issuer as part of a Prospectus Offer, an Issuer must ensure that the Prospectus contains a prominent statement of:</w:t>
      </w:r>
    </w:p>
    <w:p w14:paraId="78EA593A" w14:textId="77777777" w:rsidR="00162E0C" w:rsidRPr="00FB2F3D" w:rsidRDefault="00B42892" w:rsidP="00B42892">
      <w:pPr>
        <w:pStyle w:val="Heading5"/>
        <w:numPr>
          <w:ilvl w:val="0"/>
          <w:numId w:val="0"/>
        </w:numPr>
        <w:ind w:left="1440" w:hanging="720"/>
        <w:rPr>
          <w:rFonts w:ascii="Arial" w:hAnsi="Arial" w:cs="Arial"/>
          <w:sz w:val="22"/>
          <w:szCs w:val="22"/>
        </w:rPr>
      </w:pPr>
      <w:r w:rsidRPr="00FB2F3D">
        <w:rPr>
          <w:rFonts w:ascii="Arial" w:hAnsi="Arial" w:cs="Arial"/>
          <w:sz w:val="22"/>
          <w:szCs w:val="22"/>
        </w:rPr>
        <w:t>(1)</w:t>
      </w:r>
      <w:r w:rsidRPr="00FB2F3D">
        <w:rPr>
          <w:rFonts w:ascii="Arial" w:hAnsi="Arial" w:cs="Arial"/>
          <w:sz w:val="22"/>
          <w:szCs w:val="22"/>
        </w:rPr>
        <w:tab/>
      </w:r>
      <w:r w:rsidR="00162E0C" w:rsidRPr="00FB2F3D">
        <w:rPr>
          <w:rFonts w:ascii="Arial" w:hAnsi="Arial" w:cs="Arial"/>
          <w:sz w:val="22"/>
          <w:szCs w:val="22"/>
        </w:rPr>
        <w:t>the identity of each Director offering his Shares; and</w:t>
      </w:r>
    </w:p>
    <w:p w14:paraId="516E1183" w14:textId="77777777" w:rsidR="00162E0C" w:rsidRPr="00FB2F3D" w:rsidRDefault="00B42892" w:rsidP="00B42892">
      <w:pPr>
        <w:pStyle w:val="Heading5"/>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162E0C" w:rsidRPr="00FB2F3D">
        <w:rPr>
          <w:rFonts w:ascii="Arial" w:hAnsi="Arial" w:cs="Arial"/>
          <w:sz w:val="22"/>
          <w:szCs w:val="22"/>
        </w:rPr>
        <w:t>the number of Shares such a Director is offering, and the proportion of the</w:t>
      </w:r>
      <w:r w:rsidR="00162E0C" w:rsidRPr="00FB2F3D">
        <w:rPr>
          <w:rFonts w:ascii="Arial" w:hAnsi="Arial" w:cs="Arial"/>
          <w:sz w:val="22"/>
          <w:szCs w:val="22"/>
          <w:lang w:eastAsia="ja-JP"/>
        </w:rPr>
        <w:t xml:space="preserve"> </w:t>
      </w:r>
      <w:r w:rsidR="00162E0C" w:rsidRPr="00FB2F3D">
        <w:rPr>
          <w:rFonts w:ascii="Arial" w:hAnsi="Arial" w:cs="Arial"/>
          <w:sz w:val="22"/>
          <w:szCs w:val="22"/>
        </w:rPr>
        <w:t xml:space="preserve">Issuers </w:t>
      </w:r>
      <w:r w:rsidR="00CA15B4" w:rsidRPr="00FB2F3D">
        <w:rPr>
          <w:rFonts w:ascii="Arial" w:hAnsi="Arial" w:cs="Arial"/>
          <w:sz w:val="22"/>
          <w:szCs w:val="22"/>
        </w:rPr>
        <w:t>Share</w:t>
      </w:r>
      <w:r w:rsidR="00162E0C" w:rsidRPr="00FB2F3D">
        <w:rPr>
          <w:rFonts w:ascii="Arial" w:hAnsi="Arial" w:cs="Arial"/>
          <w:sz w:val="22"/>
          <w:szCs w:val="22"/>
        </w:rPr>
        <w:t xml:space="preserve"> capital represented by the holding of that Director.</w:t>
      </w:r>
    </w:p>
    <w:p w14:paraId="06A2C0B6" w14:textId="77777777" w:rsidR="00162E0C" w:rsidRPr="00FB2F3D" w:rsidRDefault="007441BA" w:rsidP="00384E67">
      <w:pPr>
        <w:pStyle w:val="Heading3"/>
        <w:ind w:left="1440" w:hanging="1440"/>
        <w:rPr>
          <w:rFonts w:ascii="Arial" w:hAnsi="Arial" w:cs="Arial"/>
          <w:sz w:val="22"/>
          <w:szCs w:val="22"/>
        </w:rPr>
      </w:pPr>
      <w:r w:rsidRPr="00FB2F3D">
        <w:rPr>
          <w:rFonts w:ascii="Arial" w:hAnsi="Arial" w:cs="Arial"/>
          <w:sz w:val="22"/>
          <w:szCs w:val="22"/>
        </w:rPr>
        <w:lastRenderedPageBreak/>
        <w:t>(1)</w:t>
      </w:r>
      <w:r w:rsidR="00384E67" w:rsidRPr="00FB2F3D">
        <w:rPr>
          <w:rFonts w:ascii="Arial" w:hAnsi="Arial" w:cs="Arial"/>
          <w:sz w:val="22"/>
          <w:szCs w:val="22"/>
        </w:rPr>
        <w:tab/>
      </w:r>
      <w:r w:rsidR="00162E0C" w:rsidRPr="00FB2F3D">
        <w:rPr>
          <w:rFonts w:ascii="Arial" w:hAnsi="Arial" w:cs="Arial"/>
          <w:sz w:val="22"/>
          <w:szCs w:val="22"/>
        </w:rPr>
        <w:t xml:space="preserve">The </w:t>
      </w:r>
      <w:r w:rsidR="0035335F" w:rsidRPr="00FB2F3D">
        <w:rPr>
          <w:rFonts w:ascii="Arial" w:hAnsi="Arial" w:cs="Arial"/>
          <w:sz w:val="22"/>
          <w:szCs w:val="22"/>
        </w:rPr>
        <w:t>Regulator</w:t>
      </w:r>
      <w:r w:rsidR="00162E0C" w:rsidRPr="00FB2F3D">
        <w:rPr>
          <w:rFonts w:ascii="Arial" w:hAnsi="Arial" w:cs="Arial"/>
          <w:sz w:val="22"/>
          <w:szCs w:val="22"/>
        </w:rPr>
        <w:t xml:space="preserve"> may, during the Offer Period or such other longer period as specified, impose a requirement that the monies held by a Person making a Prospectus Offer or his agent pursuant to the Prospectus Offer or issuance are held in an escrow account for a specified period and on specified terms.</w:t>
      </w:r>
    </w:p>
    <w:p w14:paraId="2CC7ABBC" w14:textId="77777777" w:rsidR="00162E0C" w:rsidRPr="00FB2F3D" w:rsidRDefault="00B42892" w:rsidP="00B42892">
      <w:pPr>
        <w:pStyle w:val="Heading4"/>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162E0C" w:rsidRPr="00FB2F3D">
        <w:rPr>
          <w:rFonts w:ascii="Arial" w:hAnsi="Arial" w:cs="Arial"/>
          <w:sz w:val="22"/>
          <w:szCs w:val="22"/>
        </w:rPr>
        <w:t xml:space="preserve">The </w:t>
      </w:r>
      <w:r w:rsidR="0035335F" w:rsidRPr="00FB2F3D">
        <w:rPr>
          <w:rFonts w:ascii="Arial" w:hAnsi="Arial" w:cs="Arial"/>
          <w:sz w:val="22"/>
          <w:szCs w:val="22"/>
        </w:rPr>
        <w:t>Regulator</w:t>
      </w:r>
      <w:r w:rsidR="00162E0C" w:rsidRPr="00FB2F3D">
        <w:rPr>
          <w:rFonts w:ascii="Arial" w:hAnsi="Arial" w:cs="Arial"/>
          <w:sz w:val="22"/>
          <w:szCs w:val="22"/>
        </w:rPr>
        <w:t xml:space="preserve"> may also require the appointment of a paying agent during the </w:t>
      </w:r>
      <w:r w:rsidR="00FB37F9" w:rsidRPr="00FB2F3D">
        <w:rPr>
          <w:rFonts w:ascii="Arial" w:hAnsi="Arial" w:cs="Arial"/>
          <w:sz w:val="22"/>
          <w:szCs w:val="22"/>
        </w:rPr>
        <w:t>Offer</w:t>
      </w:r>
      <w:r w:rsidR="00162E0C" w:rsidRPr="00FB2F3D">
        <w:rPr>
          <w:rFonts w:ascii="Arial" w:hAnsi="Arial" w:cs="Arial"/>
          <w:sz w:val="22"/>
          <w:szCs w:val="22"/>
        </w:rPr>
        <w:t xml:space="preserve"> period.</w:t>
      </w:r>
    </w:p>
    <w:p w14:paraId="031405D2"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322FF772" w14:textId="23DDC5B3" w:rsidR="00162E0C" w:rsidRDefault="00162E0C" w:rsidP="006207B8">
      <w:pPr>
        <w:pStyle w:val="UK12Block05"/>
        <w:rPr>
          <w:rFonts w:ascii="Arial" w:hAnsi="Arial" w:cs="Arial"/>
          <w:sz w:val="22"/>
          <w:szCs w:val="22"/>
        </w:rPr>
      </w:pPr>
      <w:r w:rsidRPr="00FB2F3D">
        <w:rPr>
          <w:rFonts w:ascii="Arial" w:hAnsi="Arial" w:cs="Arial"/>
          <w:sz w:val="22"/>
          <w:szCs w:val="22"/>
        </w:rPr>
        <w:t>See also Rule </w:t>
      </w:r>
      <w:r w:rsidR="00693841" w:rsidRPr="00FB2F3D">
        <w:rPr>
          <w:rFonts w:ascii="Arial" w:hAnsi="Arial" w:cs="Arial"/>
          <w:sz w:val="22"/>
          <w:szCs w:val="22"/>
        </w:rPr>
        <w:t>9.4</w:t>
      </w:r>
      <w:r w:rsidRPr="00FB2F3D">
        <w:rPr>
          <w:rFonts w:ascii="Arial" w:hAnsi="Arial" w:cs="Arial"/>
          <w:sz w:val="22"/>
          <w:szCs w:val="22"/>
        </w:rPr>
        <w:t xml:space="preserve"> which contains additional restrictions relating to dealings by Restricted Persons which may apply to executive Directors.</w:t>
      </w:r>
    </w:p>
    <w:p w14:paraId="354C7D66" w14:textId="102C8F8B" w:rsidR="00021641" w:rsidRPr="00232448" w:rsidRDefault="00021641" w:rsidP="00232448">
      <w:pPr>
        <w:pStyle w:val="Heading2"/>
        <w:rPr>
          <w:rFonts w:ascii="Arial" w:hAnsi="Arial" w:cs="Arial"/>
          <w:sz w:val="22"/>
          <w:szCs w:val="22"/>
        </w:rPr>
      </w:pPr>
      <w:bookmarkStart w:id="503" w:name="_Toc60412598"/>
      <w:bookmarkStart w:id="504" w:name="_Toc138325682"/>
      <w:r w:rsidRPr="0040746C">
        <w:rPr>
          <w:rFonts w:ascii="Arial" w:hAnsi="Arial" w:cs="Arial"/>
          <w:sz w:val="22"/>
          <w:szCs w:val="22"/>
        </w:rPr>
        <w:t>Retail Debentures or Sukuk</w:t>
      </w:r>
      <w:bookmarkEnd w:id="503"/>
      <w:bookmarkEnd w:id="504"/>
    </w:p>
    <w:p w14:paraId="52737AA9" w14:textId="77777777" w:rsidR="00021641" w:rsidRPr="00021641" w:rsidRDefault="00021641" w:rsidP="00021641">
      <w:pPr>
        <w:spacing w:after="240" w:line="246" w:lineRule="atLeast"/>
        <w:ind w:left="709" w:hanging="709"/>
        <w:rPr>
          <w:rFonts w:ascii="Arial" w:eastAsiaTheme="majorEastAsia" w:hAnsi="Arial" w:cs="Arial"/>
          <w:sz w:val="22"/>
          <w:szCs w:val="22"/>
        </w:rPr>
      </w:pPr>
      <w:r w:rsidRPr="00021641">
        <w:rPr>
          <w:rFonts w:ascii="Arial" w:eastAsiaTheme="majorEastAsia" w:hAnsi="Arial" w:cs="Arial"/>
          <w:sz w:val="22"/>
          <w:szCs w:val="22"/>
        </w:rPr>
        <w:t>4.14.1</w:t>
      </w:r>
      <w:r w:rsidRPr="00021641">
        <w:rPr>
          <w:rFonts w:ascii="Arial" w:eastAsiaTheme="majorEastAsia" w:hAnsi="Arial" w:cs="Arial"/>
          <w:sz w:val="22"/>
          <w:szCs w:val="22"/>
        </w:rPr>
        <w:tab/>
        <w:t>A Person may only make a Prospectus Offer of a Retail Debenture or Sukuk where:</w:t>
      </w:r>
    </w:p>
    <w:p w14:paraId="33357F9C" w14:textId="77777777" w:rsidR="00021641" w:rsidRPr="00021641" w:rsidRDefault="00021641" w:rsidP="00021641">
      <w:pPr>
        <w:spacing w:after="240" w:line="246" w:lineRule="atLeast"/>
        <w:ind w:left="1418" w:hanging="709"/>
        <w:jc w:val="both"/>
        <w:rPr>
          <w:rFonts w:ascii="Arial" w:eastAsiaTheme="majorEastAsia" w:hAnsi="Arial" w:cs="Arial"/>
          <w:sz w:val="22"/>
          <w:szCs w:val="22"/>
        </w:rPr>
      </w:pPr>
      <w:r w:rsidRPr="00021641">
        <w:rPr>
          <w:rFonts w:ascii="Arial" w:eastAsiaTheme="majorEastAsia" w:hAnsi="Arial" w:cs="Arial"/>
          <w:sz w:val="22"/>
          <w:szCs w:val="22"/>
        </w:rPr>
        <w:t xml:space="preserve">(1) </w:t>
      </w:r>
      <w:r w:rsidRPr="00021641">
        <w:rPr>
          <w:rFonts w:ascii="Arial" w:eastAsiaTheme="majorEastAsia" w:hAnsi="Arial" w:cs="Arial"/>
          <w:sz w:val="22"/>
          <w:szCs w:val="22"/>
        </w:rPr>
        <w:tab/>
        <w:t>the Issuer of the Retail Debenture or Sukuk has applied for its admission to trading on a Recognised Investment Exchange; and</w:t>
      </w:r>
    </w:p>
    <w:p w14:paraId="266D51D3" w14:textId="77777777" w:rsidR="00021641" w:rsidRPr="00021641" w:rsidRDefault="00021641" w:rsidP="00021641">
      <w:pPr>
        <w:spacing w:after="240" w:line="246" w:lineRule="atLeast"/>
        <w:ind w:left="1418" w:hanging="709"/>
        <w:jc w:val="both"/>
        <w:rPr>
          <w:rFonts w:ascii="Arial" w:eastAsiaTheme="majorEastAsia" w:hAnsi="Arial" w:cs="Arial"/>
          <w:sz w:val="22"/>
          <w:szCs w:val="22"/>
        </w:rPr>
      </w:pPr>
      <w:r w:rsidRPr="00021641">
        <w:rPr>
          <w:rFonts w:ascii="Arial" w:eastAsiaTheme="majorEastAsia" w:hAnsi="Arial" w:cs="Arial"/>
          <w:sz w:val="22"/>
          <w:szCs w:val="22"/>
        </w:rPr>
        <w:t>(2)</w:t>
      </w:r>
      <w:r w:rsidRPr="00021641">
        <w:rPr>
          <w:rFonts w:ascii="Arial" w:eastAsiaTheme="majorEastAsia" w:hAnsi="Arial" w:cs="Arial"/>
          <w:sz w:val="22"/>
          <w:szCs w:val="22"/>
        </w:rPr>
        <w:tab/>
        <w:t>the Issuer or guarantor of the Retail Debenture or Sukuk has received an investment grade credit rating from an authorised Credit Rating Agency or such other credit rating agency considered acceptable by the Regulator.</w:t>
      </w:r>
    </w:p>
    <w:p w14:paraId="4AE8D070" w14:textId="77777777" w:rsidR="00021641" w:rsidRPr="00021641" w:rsidRDefault="00021641" w:rsidP="00021641">
      <w:pPr>
        <w:pStyle w:val="TitleL"/>
        <w:rPr>
          <w:rFonts w:ascii="Arial" w:hAnsi="Arial" w:cs="Arial"/>
          <w:sz w:val="22"/>
          <w:szCs w:val="22"/>
        </w:rPr>
      </w:pPr>
      <w:r w:rsidRPr="00021641">
        <w:rPr>
          <w:rFonts w:ascii="Arial" w:hAnsi="Arial" w:cs="Arial"/>
          <w:sz w:val="22"/>
          <w:szCs w:val="22"/>
        </w:rPr>
        <w:t>Guidance</w:t>
      </w:r>
    </w:p>
    <w:p w14:paraId="609128C9" w14:textId="77777777" w:rsidR="00021641" w:rsidRDefault="00021641" w:rsidP="00021641">
      <w:pPr>
        <w:spacing w:after="240" w:line="246" w:lineRule="atLeast"/>
        <w:ind w:left="709"/>
        <w:rPr>
          <w:rFonts w:ascii="Arial" w:eastAsiaTheme="majorEastAsia" w:hAnsi="Arial" w:cs="Arial"/>
          <w:sz w:val="22"/>
          <w:szCs w:val="22"/>
        </w:rPr>
      </w:pPr>
      <w:r w:rsidRPr="00021641">
        <w:rPr>
          <w:rFonts w:ascii="Arial" w:eastAsiaTheme="majorEastAsia" w:hAnsi="Arial" w:cs="Arial"/>
          <w:sz w:val="22"/>
          <w:szCs w:val="22"/>
        </w:rPr>
        <w:t xml:space="preserve">The Regulator may consider a credit rating agency to be acceptable if it is regulated in a Zone 1 jurisdiction. </w:t>
      </w:r>
    </w:p>
    <w:p w14:paraId="71DF197A" w14:textId="272DD163" w:rsidR="00CD1398" w:rsidRPr="00232448" w:rsidRDefault="001041C0" w:rsidP="00232448">
      <w:pPr>
        <w:pStyle w:val="Heading2"/>
        <w:rPr>
          <w:rFonts w:ascii="Arial" w:hAnsi="Arial" w:cs="Arial"/>
          <w:sz w:val="22"/>
          <w:szCs w:val="22"/>
        </w:rPr>
      </w:pPr>
      <w:bookmarkStart w:id="505" w:name="_Ref138253394"/>
      <w:bookmarkStart w:id="506" w:name="_Toc138325683"/>
      <w:r w:rsidRPr="00232448">
        <w:rPr>
          <w:rFonts w:ascii="Arial" w:hAnsi="Arial" w:cs="Arial"/>
          <w:sz w:val="22"/>
          <w:szCs w:val="22"/>
        </w:rPr>
        <w:t>ADGM Green Debentures and ADGM Sustainability-Linked Debentures</w:t>
      </w:r>
      <w:bookmarkEnd w:id="505"/>
      <w:bookmarkEnd w:id="506"/>
    </w:p>
    <w:p w14:paraId="73C6A827" w14:textId="19AB8693" w:rsidR="004C277B" w:rsidRPr="00232448" w:rsidRDefault="0085797A" w:rsidP="0085797A">
      <w:pPr>
        <w:spacing w:after="240"/>
        <w:ind w:left="709"/>
        <w:rPr>
          <w:rFonts w:ascii="Arial" w:eastAsia="Times New Roman" w:hAnsi="Arial" w:cs="Arial"/>
          <w:b/>
          <w:bCs/>
          <w:sz w:val="22"/>
          <w:szCs w:val="22"/>
        </w:rPr>
      </w:pPr>
      <w:r w:rsidRPr="00232448">
        <w:rPr>
          <w:rFonts w:ascii="Arial" w:eastAsia="Times New Roman" w:hAnsi="Arial" w:cs="Arial"/>
          <w:b/>
          <w:bCs/>
          <w:sz w:val="22"/>
          <w:szCs w:val="22"/>
        </w:rPr>
        <w:t>Application</w:t>
      </w:r>
    </w:p>
    <w:p w14:paraId="7CA58FEB" w14:textId="45D5577B" w:rsidR="0085797A" w:rsidRDefault="002E60FF" w:rsidP="0085797A">
      <w:pPr>
        <w:pStyle w:val="Heading3"/>
        <w:rPr>
          <w:rFonts w:ascii="Arial" w:hAnsi="Arial" w:cs="Arial"/>
          <w:sz w:val="22"/>
          <w:szCs w:val="22"/>
        </w:rPr>
      </w:pPr>
      <w:bookmarkStart w:id="507" w:name="_Ref138253410"/>
      <w:r>
        <w:rPr>
          <w:rFonts w:ascii="Arial" w:hAnsi="Arial" w:cs="Arial"/>
          <w:sz w:val="22"/>
          <w:szCs w:val="22"/>
        </w:rPr>
        <w:t>This section sets out the requirements that apply to a Person making an Offer of Securities of ADGM Green Debentures.</w:t>
      </w:r>
      <w:bookmarkEnd w:id="507"/>
    </w:p>
    <w:p w14:paraId="7C64F161" w14:textId="07E02233" w:rsidR="002E60FF" w:rsidRPr="00232448" w:rsidRDefault="002E60FF" w:rsidP="002E60FF">
      <w:pPr>
        <w:pStyle w:val="Heading3"/>
        <w:numPr>
          <w:ilvl w:val="0"/>
          <w:numId w:val="0"/>
        </w:numPr>
        <w:ind w:left="720"/>
        <w:rPr>
          <w:rFonts w:ascii="Arial" w:hAnsi="Arial" w:cs="Arial"/>
          <w:b/>
          <w:bCs w:val="0"/>
          <w:sz w:val="22"/>
          <w:szCs w:val="22"/>
        </w:rPr>
      </w:pPr>
      <w:r w:rsidRPr="00232448">
        <w:rPr>
          <w:rFonts w:ascii="Arial" w:hAnsi="Arial" w:cs="Arial"/>
          <w:b/>
          <w:bCs w:val="0"/>
          <w:sz w:val="22"/>
          <w:szCs w:val="22"/>
        </w:rPr>
        <w:t>ADGM Green Debentures</w:t>
      </w:r>
    </w:p>
    <w:p w14:paraId="6F19196A" w14:textId="131F2524" w:rsidR="002E60FF" w:rsidRDefault="00A647E3" w:rsidP="00C64ABD">
      <w:pPr>
        <w:pStyle w:val="Heading3"/>
        <w:rPr>
          <w:rFonts w:ascii="Arial" w:hAnsi="Arial" w:cs="Arial"/>
          <w:sz w:val="22"/>
          <w:szCs w:val="22"/>
        </w:rPr>
      </w:pPr>
      <w:bookmarkStart w:id="508" w:name="_Ref138253334"/>
      <w:r>
        <w:rPr>
          <w:rFonts w:ascii="Arial" w:hAnsi="Arial" w:cs="Arial"/>
          <w:sz w:val="22"/>
          <w:szCs w:val="22"/>
        </w:rPr>
        <w:t>An ADGM Green Debenture is a Security falling within paragraph 88 or 90 of Schedule</w:t>
      </w:r>
      <w:r w:rsidR="00643630">
        <w:rPr>
          <w:rFonts w:ascii="Arial" w:hAnsi="Arial" w:cs="Arial"/>
          <w:sz w:val="22"/>
          <w:szCs w:val="22"/>
        </w:rPr>
        <w:t xml:space="preserve"> 1 of FSMR that:</w:t>
      </w:r>
      <w:bookmarkEnd w:id="508"/>
    </w:p>
    <w:p w14:paraId="62876065" w14:textId="76C90CE4" w:rsidR="00643630" w:rsidRDefault="00937E7D" w:rsidP="00643630">
      <w:pPr>
        <w:pStyle w:val="Heading4"/>
        <w:rPr>
          <w:rFonts w:ascii="Arial" w:hAnsi="Arial" w:cs="Arial"/>
          <w:sz w:val="22"/>
          <w:szCs w:val="22"/>
        </w:rPr>
      </w:pPr>
      <w:r>
        <w:rPr>
          <w:rFonts w:ascii="Arial" w:hAnsi="Arial" w:cs="Arial"/>
          <w:sz w:val="22"/>
          <w:szCs w:val="22"/>
        </w:rPr>
        <w:t>is</w:t>
      </w:r>
      <w:r w:rsidR="00643630">
        <w:rPr>
          <w:rFonts w:ascii="Arial" w:hAnsi="Arial" w:cs="Arial"/>
          <w:sz w:val="22"/>
          <w:szCs w:val="22"/>
        </w:rPr>
        <w:t xml:space="preserve"> the subject of an Offer of Securities;</w:t>
      </w:r>
    </w:p>
    <w:p w14:paraId="7B45778D" w14:textId="4BF71DE5" w:rsidR="00643630" w:rsidRDefault="00937E7D" w:rsidP="00937E7D">
      <w:pPr>
        <w:pStyle w:val="Heading4"/>
        <w:rPr>
          <w:rFonts w:ascii="Arial" w:hAnsi="Arial" w:cs="Arial"/>
          <w:sz w:val="22"/>
          <w:szCs w:val="22"/>
        </w:rPr>
      </w:pPr>
      <w:r>
        <w:rPr>
          <w:rFonts w:ascii="Arial" w:hAnsi="Arial" w:cs="Arial"/>
          <w:sz w:val="22"/>
          <w:szCs w:val="22"/>
        </w:rPr>
        <w:t xml:space="preserve">seeks </w:t>
      </w:r>
      <w:r w:rsidR="004D2C5F" w:rsidRPr="004D2C5F">
        <w:rPr>
          <w:rFonts w:ascii="Arial" w:hAnsi="Arial" w:cs="Arial"/>
          <w:sz w:val="22"/>
          <w:szCs w:val="22"/>
        </w:rPr>
        <w:t>to comply with the Qualifying Green Debenture Principles in Rule 4.15.4;</w:t>
      </w:r>
    </w:p>
    <w:p w14:paraId="3641333D" w14:textId="1A5E2750" w:rsidR="004D2C5F" w:rsidRDefault="001C5432" w:rsidP="00937E7D">
      <w:pPr>
        <w:pStyle w:val="Heading4"/>
        <w:rPr>
          <w:rFonts w:ascii="Arial" w:hAnsi="Arial" w:cs="Arial"/>
          <w:sz w:val="22"/>
          <w:szCs w:val="22"/>
        </w:rPr>
      </w:pPr>
      <w:r w:rsidRPr="001C5432">
        <w:rPr>
          <w:rFonts w:ascii="Arial" w:hAnsi="Arial" w:cs="Arial"/>
          <w:sz w:val="22"/>
          <w:szCs w:val="22"/>
        </w:rPr>
        <w:t>is subject to external review in accordance with Rule 4.15.6; and</w:t>
      </w:r>
    </w:p>
    <w:p w14:paraId="4C921493" w14:textId="440AEE62" w:rsidR="001C5432" w:rsidRDefault="001C5432" w:rsidP="00937E7D">
      <w:pPr>
        <w:pStyle w:val="Heading4"/>
        <w:rPr>
          <w:rFonts w:ascii="Arial" w:hAnsi="Arial" w:cs="Arial"/>
          <w:sz w:val="22"/>
          <w:szCs w:val="22"/>
        </w:rPr>
      </w:pPr>
      <w:r>
        <w:rPr>
          <w:rFonts w:ascii="Arial" w:hAnsi="Arial" w:cs="Arial"/>
          <w:sz w:val="22"/>
          <w:szCs w:val="22"/>
        </w:rPr>
        <w:t xml:space="preserve">has </w:t>
      </w:r>
      <w:r w:rsidR="007C3B93" w:rsidRPr="007C3B93">
        <w:rPr>
          <w:rFonts w:ascii="Arial" w:hAnsi="Arial" w:cs="Arial"/>
          <w:sz w:val="22"/>
          <w:szCs w:val="22"/>
        </w:rPr>
        <w:t xml:space="preserve">been granted an ADGM Green Bond Designation by the Regulator in accordance with Rules </w:t>
      </w:r>
      <w:r w:rsidR="00984AD3">
        <w:rPr>
          <w:rFonts w:ascii="Arial" w:hAnsi="Arial" w:cs="Arial"/>
          <w:sz w:val="22"/>
          <w:szCs w:val="22"/>
        </w:rPr>
        <w:fldChar w:fldCharType="begin"/>
      </w:r>
      <w:r w:rsidR="00984AD3">
        <w:rPr>
          <w:rFonts w:ascii="Arial" w:hAnsi="Arial" w:cs="Arial"/>
          <w:sz w:val="22"/>
          <w:szCs w:val="22"/>
        </w:rPr>
        <w:instrText xml:space="preserve"> REF _Ref138253138 \n \h </w:instrText>
      </w:r>
      <w:r w:rsidR="00984AD3">
        <w:rPr>
          <w:rFonts w:ascii="Arial" w:hAnsi="Arial" w:cs="Arial"/>
          <w:sz w:val="22"/>
          <w:szCs w:val="22"/>
        </w:rPr>
      </w:r>
      <w:r w:rsidR="00984AD3">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4.15.7</w:t>
      </w:r>
      <w:r w:rsidR="00984AD3">
        <w:rPr>
          <w:rFonts w:ascii="Arial" w:hAnsi="Arial" w:cs="Arial"/>
          <w:sz w:val="22"/>
          <w:szCs w:val="22"/>
        </w:rPr>
        <w:fldChar w:fldCharType="end"/>
      </w:r>
      <w:r w:rsidR="007C3B93" w:rsidRPr="007C3B93">
        <w:rPr>
          <w:rFonts w:ascii="Arial" w:hAnsi="Arial" w:cs="Arial"/>
          <w:sz w:val="22"/>
          <w:szCs w:val="22"/>
        </w:rPr>
        <w:t xml:space="preserve"> to </w:t>
      </w:r>
      <w:r w:rsidR="00984AD3">
        <w:rPr>
          <w:rFonts w:ascii="Arial" w:hAnsi="Arial" w:cs="Arial"/>
          <w:sz w:val="22"/>
          <w:szCs w:val="22"/>
        </w:rPr>
        <w:fldChar w:fldCharType="begin"/>
      </w:r>
      <w:r w:rsidR="00984AD3">
        <w:rPr>
          <w:rFonts w:ascii="Arial" w:hAnsi="Arial" w:cs="Arial"/>
          <w:sz w:val="22"/>
          <w:szCs w:val="22"/>
        </w:rPr>
        <w:instrText xml:space="preserve"> REF _Ref138253146 \n \h </w:instrText>
      </w:r>
      <w:r w:rsidR="00984AD3">
        <w:rPr>
          <w:rFonts w:ascii="Arial" w:hAnsi="Arial" w:cs="Arial"/>
          <w:sz w:val="22"/>
          <w:szCs w:val="22"/>
        </w:rPr>
      </w:r>
      <w:r w:rsidR="00984AD3">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4.15.11</w:t>
      </w:r>
      <w:r w:rsidR="00984AD3">
        <w:rPr>
          <w:rFonts w:ascii="Arial" w:hAnsi="Arial" w:cs="Arial"/>
          <w:sz w:val="22"/>
          <w:szCs w:val="22"/>
        </w:rPr>
        <w:fldChar w:fldCharType="end"/>
      </w:r>
      <w:r w:rsidR="007C3B93" w:rsidRPr="007C3B93">
        <w:rPr>
          <w:rFonts w:ascii="Arial" w:hAnsi="Arial" w:cs="Arial"/>
          <w:sz w:val="22"/>
          <w:szCs w:val="22"/>
        </w:rPr>
        <w:t>.</w:t>
      </w:r>
    </w:p>
    <w:p w14:paraId="62B26218" w14:textId="2B33A69F" w:rsidR="007C3B93" w:rsidRDefault="007C3B93" w:rsidP="007C3B93">
      <w:pPr>
        <w:pStyle w:val="Heading3"/>
        <w:numPr>
          <w:ilvl w:val="0"/>
          <w:numId w:val="0"/>
        </w:numPr>
        <w:ind w:left="720"/>
        <w:rPr>
          <w:rFonts w:ascii="Arial" w:hAnsi="Arial" w:cs="Arial"/>
          <w:b/>
          <w:bCs w:val="0"/>
          <w:sz w:val="22"/>
          <w:szCs w:val="22"/>
        </w:rPr>
      </w:pPr>
      <w:r w:rsidRPr="00232448">
        <w:rPr>
          <w:rFonts w:ascii="Arial" w:hAnsi="Arial" w:cs="Arial"/>
          <w:b/>
          <w:bCs w:val="0"/>
          <w:sz w:val="22"/>
          <w:szCs w:val="22"/>
        </w:rPr>
        <w:t>ADGM Sustainability-Linked Debentures</w:t>
      </w:r>
    </w:p>
    <w:p w14:paraId="17C5C654" w14:textId="4228C4AF" w:rsidR="0005298A" w:rsidRDefault="0005298A" w:rsidP="0005298A">
      <w:pPr>
        <w:pStyle w:val="Heading3"/>
        <w:rPr>
          <w:rFonts w:ascii="Arial" w:hAnsi="Arial" w:cs="Arial"/>
          <w:sz w:val="22"/>
          <w:szCs w:val="22"/>
        </w:rPr>
      </w:pPr>
      <w:bookmarkStart w:id="509" w:name="_Ref138253344"/>
      <w:r>
        <w:rPr>
          <w:rFonts w:ascii="Arial" w:hAnsi="Arial" w:cs="Arial"/>
          <w:sz w:val="22"/>
          <w:szCs w:val="22"/>
        </w:rPr>
        <w:t xml:space="preserve">An </w:t>
      </w:r>
      <w:r w:rsidR="00C41988" w:rsidRPr="00C41988">
        <w:rPr>
          <w:rFonts w:ascii="Arial" w:hAnsi="Arial" w:cs="Arial"/>
          <w:sz w:val="22"/>
          <w:szCs w:val="22"/>
        </w:rPr>
        <w:t>ADGM Sustainability-Linked Debenture is a Security falling within paragraph 88 or 90 of Schedule 1 of FSMR that:</w:t>
      </w:r>
      <w:bookmarkEnd w:id="509"/>
    </w:p>
    <w:p w14:paraId="7783DF64" w14:textId="7FB48DC4" w:rsidR="00C41988" w:rsidRDefault="00C41988" w:rsidP="00C41988">
      <w:pPr>
        <w:pStyle w:val="Heading4"/>
        <w:rPr>
          <w:rFonts w:ascii="Arial" w:hAnsi="Arial" w:cs="Arial"/>
          <w:sz w:val="22"/>
          <w:szCs w:val="22"/>
        </w:rPr>
      </w:pPr>
      <w:r>
        <w:rPr>
          <w:rFonts w:ascii="Arial" w:hAnsi="Arial" w:cs="Arial"/>
          <w:sz w:val="22"/>
          <w:szCs w:val="22"/>
        </w:rPr>
        <w:t xml:space="preserve">is </w:t>
      </w:r>
      <w:r w:rsidR="00076B8F" w:rsidRPr="00076B8F">
        <w:rPr>
          <w:rFonts w:ascii="Arial" w:hAnsi="Arial" w:cs="Arial"/>
          <w:sz w:val="22"/>
          <w:szCs w:val="22"/>
        </w:rPr>
        <w:t>the subject of an Offer of Securities;</w:t>
      </w:r>
    </w:p>
    <w:p w14:paraId="49E45B6F" w14:textId="1D320788" w:rsidR="00D3700C" w:rsidRDefault="00D3700C" w:rsidP="00C41988">
      <w:pPr>
        <w:pStyle w:val="Heading4"/>
        <w:rPr>
          <w:rFonts w:ascii="Arial" w:hAnsi="Arial" w:cs="Arial"/>
          <w:sz w:val="22"/>
          <w:szCs w:val="22"/>
        </w:rPr>
      </w:pPr>
      <w:r>
        <w:rPr>
          <w:rFonts w:ascii="Arial" w:hAnsi="Arial" w:cs="Arial"/>
          <w:sz w:val="22"/>
          <w:szCs w:val="22"/>
        </w:rPr>
        <w:lastRenderedPageBreak/>
        <w:t xml:space="preserve">seeks </w:t>
      </w:r>
      <w:r w:rsidRPr="00D3700C">
        <w:rPr>
          <w:rFonts w:ascii="Arial" w:hAnsi="Arial" w:cs="Arial"/>
          <w:sz w:val="22"/>
          <w:szCs w:val="22"/>
        </w:rPr>
        <w:t xml:space="preserve">to comply with the Qualifying Sustainability-Linked Debenture Principles in Rule </w:t>
      </w:r>
      <w:r w:rsidR="00984AD3">
        <w:rPr>
          <w:rFonts w:ascii="Arial" w:hAnsi="Arial" w:cs="Arial"/>
          <w:sz w:val="22"/>
          <w:szCs w:val="22"/>
        </w:rPr>
        <w:fldChar w:fldCharType="begin"/>
      </w:r>
      <w:r w:rsidR="00984AD3">
        <w:rPr>
          <w:rFonts w:ascii="Arial" w:hAnsi="Arial" w:cs="Arial"/>
          <w:sz w:val="22"/>
          <w:szCs w:val="22"/>
        </w:rPr>
        <w:instrText xml:space="preserve"> REF _Ref138253160 \n \h </w:instrText>
      </w:r>
      <w:r w:rsidR="00984AD3">
        <w:rPr>
          <w:rFonts w:ascii="Arial" w:hAnsi="Arial" w:cs="Arial"/>
          <w:sz w:val="22"/>
          <w:szCs w:val="22"/>
        </w:rPr>
      </w:r>
      <w:r w:rsidR="00984AD3">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4.15.5</w:t>
      </w:r>
      <w:r w:rsidR="00984AD3">
        <w:rPr>
          <w:rFonts w:ascii="Arial" w:hAnsi="Arial" w:cs="Arial"/>
          <w:sz w:val="22"/>
          <w:szCs w:val="22"/>
        </w:rPr>
        <w:fldChar w:fldCharType="end"/>
      </w:r>
      <w:r w:rsidRPr="00D3700C">
        <w:rPr>
          <w:rFonts w:ascii="Arial" w:hAnsi="Arial" w:cs="Arial"/>
          <w:sz w:val="22"/>
          <w:szCs w:val="22"/>
        </w:rPr>
        <w:t>;</w:t>
      </w:r>
    </w:p>
    <w:p w14:paraId="52FE75ED" w14:textId="76E4CD02" w:rsidR="00D3700C" w:rsidRDefault="00D3700C" w:rsidP="00C41988">
      <w:pPr>
        <w:pStyle w:val="Heading4"/>
        <w:rPr>
          <w:rFonts w:ascii="Arial" w:hAnsi="Arial" w:cs="Arial"/>
          <w:sz w:val="22"/>
          <w:szCs w:val="22"/>
        </w:rPr>
      </w:pPr>
      <w:r>
        <w:rPr>
          <w:rFonts w:ascii="Arial" w:hAnsi="Arial" w:cs="Arial"/>
          <w:sz w:val="22"/>
          <w:szCs w:val="22"/>
        </w:rPr>
        <w:t xml:space="preserve">is </w:t>
      </w:r>
      <w:r w:rsidR="007860F6" w:rsidRPr="007860F6">
        <w:rPr>
          <w:rFonts w:ascii="Arial" w:hAnsi="Arial" w:cs="Arial"/>
          <w:sz w:val="22"/>
          <w:szCs w:val="22"/>
        </w:rPr>
        <w:t xml:space="preserve">subject to external review in accordance with Rule </w:t>
      </w:r>
      <w:r w:rsidR="00984AD3">
        <w:rPr>
          <w:rFonts w:ascii="Arial" w:hAnsi="Arial" w:cs="Arial"/>
          <w:sz w:val="22"/>
          <w:szCs w:val="22"/>
        </w:rPr>
        <w:fldChar w:fldCharType="begin"/>
      </w:r>
      <w:r w:rsidR="00984AD3">
        <w:rPr>
          <w:rFonts w:ascii="Arial" w:hAnsi="Arial" w:cs="Arial"/>
          <w:sz w:val="22"/>
          <w:szCs w:val="22"/>
        </w:rPr>
        <w:instrText xml:space="preserve"> REF _Ref138253168 \n \h </w:instrText>
      </w:r>
      <w:r w:rsidR="00984AD3">
        <w:rPr>
          <w:rFonts w:ascii="Arial" w:hAnsi="Arial" w:cs="Arial"/>
          <w:sz w:val="22"/>
          <w:szCs w:val="22"/>
        </w:rPr>
      </w:r>
      <w:r w:rsidR="00984AD3">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4.15.6</w:t>
      </w:r>
      <w:r w:rsidR="00984AD3">
        <w:rPr>
          <w:rFonts w:ascii="Arial" w:hAnsi="Arial" w:cs="Arial"/>
          <w:sz w:val="22"/>
          <w:szCs w:val="22"/>
        </w:rPr>
        <w:fldChar w:fldCharType="end"/>
      </w:r>
      <w:r w:rsidR="007860F6" w:rsidRPr="007860F6">
        <w:rPr>
          <w:rFonts w:ascii="Arial" w:hAnsi="Arial" w:cs="Arial"/>
          <w:sz w:val="22"/>
          <w:szCs w:val="22"/>
        </w:rPr>
        <w:t>; and</w:t>
      </w:r>
    </w:p>
    <w:p w14:paraId="453DB5D4" w14:textId="7F6BABCD" w:rsidR="007860F6" w:rsidRDefault="007860F6" w:rsidP="00C41988">
      <w:pPr>
        <w:pStyle w:val="Heading4"/>
        <w:rPr>
          <w:rFonts w:ascii="Arial" w:hAnsi="Arial" w:cs="Arial"/>
          <w:sz w:val="22"/>
          <w:szCs w:val="22"/>
        </w:rPr>
      </w:pPr>
      <w:r>
        <w:rPr>
          <w:rFonts w:ascii="Arial" w:hAnsi="Arial" w:cs="Arial"/>
          <w:sz w:val="22"/>
          <w:szCs w:val="22"/>
        </w:rPr>
        <w:t xml:space="preserve">has </w:t>
      </w:r>
      <w:r w:rsidR="00C27F21" w:rsidRPr="00C27F21">
        <w:rPr>
          <w:rFonts w:ascii="Arial" w:hAnsi="Arial" w:cs="Arial"/>
          <w:sz w:val="22"/>
          <w:szCs w:val="22"/>
        </w:rPr>
        <w:t xml:space="preserve">been granted a ADGM Sustainability-Linked Bond Designation by the Regulator pursuant to Rules </w:t>
      </w:r>
      <w:r w:rsidR="00984AD3">
        <w:rPr>
          <w:rFonts w:ascii="Arial" w:hAnsi="Arial" w:cs="Arial"/>
          <w:sz w:val="22"/>
          <w:szCs w:val="22"/>
        </w:rPr>
        <w:fldChar w:fldCharType="begin"/>
      </w:r>
      <w:r w:rsidR="00984AD3">
        <w:rPr>
          <w:rFonts w:ascii="Arial" w:hAnsi="Arial" w:cs="Arial"/>
          <w:sz w:val="22"/>
          <w:szCs w:val="22"/>
        </w:rPr>
        <w:instrText xml:space="preserve"> REF _Ref138253138 \n \h </w:instrText>
      </w:r>
      <w:r w:rsidR="00984AD3">
        <w:rPr>
          <w:rFonts w:ascii="Arial" w:hAnsi="Arial" w:cs="Arial"/>
          <w:sz w:val="22"/>
          <w:szCs w:val="22"/>
        </w:rPr>
      </w:r>
      <w:r w:rsidR="00984AD3">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4.15.7</w:t>
      </w:r>
      <w:r w:rsidR="00984AD3">
        <w:rPr>
          <w:rFonts w:ascii="Arial" w:hAnsi="Arial" w:cs="Arial"/>
          <w:sz w:val="22"/>
          <w:szCs w:val="22"/>
        </w:rPr>
        <w:fldChar w:fldCharType="end"/>
      </w:r>
      <w:r w:rsidR="00C27F21" w:rsidRPr="00C27F21">
        <w:rPr>
          <w:rFonts w:ascii="Arial" w:hAnsi="Arial" w:cs="Arial"/>
          <w:sz w:val="22"/>
          <w:szCs w:val="22"/>
        </w:rPr>
        <w:t xml:space="preserve"> to </w:t>
      </w:r>
      <w:r w:rsidR="00984AD3">
        <w:rPr>
          <w:rFonts w:ascii="Arial" w:hAnsi="Arial" w:cs="Arial"/>
          <w:sz w:val="22"/>
          <w:szCs w:val="22"/>
        </w:rPr>
        <w:fldChar w:fldCharType="begin"/>
      </w:r>
      <w:r w:rsidR="00984AD3">
        <w:rPr>
          <w:rFonts w:ascii="Arial" w:hAnsi="Arial" w:cs="Arial"/>
          <w:sz w:val="22"/>
          <w:szCs w:val="22"/>
        </w:rPr>
        <w:instrText xml:space="preserve"> REF _Ref138253146 \n \h </w:instrText>
      </w:r>
      <w:r w:rsidR="00984AD3">
        <w:rPr>
          <w:rFonts w:ascii="Arial" w:hAnsi="Arial" w:cs="Arial"/>
          <w:sz w:val="22"/>
          <w:szCs w:val="22"/>
        </w:rPr>
      </w:r>
      <w:r w:rsidR="00984AD3">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4.15.11</w:t>
      </w:r>
      <w:r w:rsidR="00984AD3">
        <w:rPr>
          <w:rFonts w:ascii="Arial" w:hAnsi="Arial" w:cs="Arial"/>
          <w:sz w:val="22"/>
          <w:szCs w:val="22"/>
        </w:rPr>
        <w:fldChar w:fldCharType="end"/>
      </w:r>
      <w:r w:rsidR="00C27F21" w:rsidRPr="00C27F21">
        <w:rPr>
          <w:rFonts w:ascii="Arial" w:hAnsi="Arial" w:cs="Arial"/>
          <w:sz w:val="22"/>
          <w:szCs w:val="22"/>
        </w:rPr>
        <w:t>.</w:t>
      </w:r>
    </w:p>
    <w:p w14:paraId="74254DB0" w14:textId="486C89DE" w:rsidR="00C27F21" w:rsidRPr="00232448" w:rsidRDefault="00C27F21" w:rsidP="00C27F21">
      <w:pPr>
        <w:pStyle w:val="Heading4"/>
        <w:numPr>
          <w:ilvl w:val="0"/>
          <w:numId w:val="0"/>
        </w:numPr>
        <w:ind w:left="720"/>
        <w:rPr>
          <w:rFonts w:ascii="Arial" w:hAnsi="Arial" w:cs="Arial"/>
          <w:b/>
          <w:bCs w:val="0"/>
          <w:sz w:val="22"/>
          <w:szCs w:val="22"/>
        </w:rPr>
      </w:pPr>
      <w:r w:rsidRPr="00232448">
        <w:rPr>
          <w:rFonts w:ascii="Arial" w:hAnsi="Arial" w:cs="Arial"/>
          <w:b/>
          <w:bCs w:val="0"/>
          <w:sz w:val="22"/>
          <w:szCs w:val="22"/>
        </w:rPr>
        <w:t>Qualifying Green Debenture Principles</w:t>
      </w:r>
    </w:p>
    <w:p w14:paraId="2027B174" w14:textId="3789C0F0" w:rsidR="00C27F21" w:rsidRDefault="00041A26" w:rsidP="008C142F">
      <w:pPr>
        <w:pStyle w:val="Heading3"/>
        <w:rPr>
          <w:rFonts w:ascii="Arial" w:hAnsi="Arial" w:cs="Arial"/>
          <w:sz w:val="22"/>
          <w:szCs w:val="22"/>
        </w:rPr>
      </w:pPr>
      <w:bookmarkStart w:id="510" w:name="_Ref138253225"/>
      <w:r>
        <w:rPr>
          <w:rFonts w:ascii="Arial" w:hAnsi="Arial" w:cs="Arial"/>
          <w:sz w:val="22"/>
          <w:szCs w:val="22"/>
        </w:rPr>
        <w:t xml:space="preserve">A </w:t>
      </w:r>
      <w:r w:rsidR="00890B12" w:rsidRPr="00890B12">
        <w:rPr>
          <w:rFonts w:ascii="Arial" w:hAnsi="Arial" w:cs="Arial"/>
          <w:sz w:val="22"/>
          <w:szCs w:val="22"/>
        </w:rPr>
        <w:t>Security will comply with Qualifying Green Debenture Principles if it adheres to:</w:t>
      </w:r>
      <w:bookmarkEnd w:id="510"/>
    </w:p>
    <w:p w14:paraId="2BEBBB68" w14:textId="3E280BD5" w:rsidR="00890B12" w:rsidRDefault="00890B12" w:rsidP="00890B12">
      <w:pPr>
        <w:pStyle w:val="Heading4"/>
        <w:rPr>
          <w:rFonts w:ascii="Arial" w:hAnsi="Arial" w:cs="Arial"/>
          <w:sz w:val="22"/>
          <w:szCs w:val="22"/>
        </w:rPr>
      </w:pPr>
      <w:r>
        <w:rPr>
          <w:rFonts w:ascii="Arial" w:hAnsi="Arial" w:cs="Arial"/>
          <w:sz w:val="22"/>
          <w:szCs w:val="22"/>
        </w:rPr>
        <w:t xml:space="preserve">the </w:t>
      </w:r>
      <w:r w:rsidR="00B75980">
        <w:rPr>
          <w:rFonts w:ascii="Arial" w:hAnsi="Arial" w:cs="Arial"/>
          <w:sz w:val="22"/>
          <w:szCs w:val="22"/>
        </w:rPr>
        <w:t>ICMA Green Bond Principles;</w:t>
      </w:r>
    </w:p>
    <w:p w14:paraId="397E6573" w14:textId="62AC8B09" w:rsidR="00B75980" w:rsidRDefault="00B75980" w:rsidP="00890B12">
      <w:pPr>
        <w:pStyle w:val="Heading4"/>
        <w:rPr>
          <w:rFonts w:ascii="Arial" w:hAnsi="Arial" w:cs="Arial"/>
          <w:sz w:val="22"/>
          <w:szCs w:val="22"/>
        </w:rPr>
      </w:pPr>
      <w:r>
        <w:rPr>
          <w:rFonts w:ascii="Arial" w:hAnsi="Arial" w:cs="Arial"/>
          <w:sz w:val="22"/>
          <w:szCs w:val="22"/>
        </w:rPr>
        <w:t>the EU Green Bond Standard; or</w:t>
      </w:r>
    </w:p>
    <w:p w14:paraId="64C15BD3" w14:textId="3B43F5E8" w:rsidR="00B75980" w:rsidRDefault="00B75980" w:rsidP="00890B12">
      <w:pPr>
        <w:pStyle w:val="Heading4"/>
        <w:rPr>
          <w:rFonts w:ascii="Arial" w:hAnsi="Arial" w:cs="Arial"/>
          <w:sz w:val="22"/>
          <w:szCs w:val="22"/>
        </w:rPr>
      </w:pPr>
      <w:r>
        <w:rPr>
          <w:rFonts w:ascii="Arial" w:hAnsi="Arial" w:cs="Arial"/>
          <w:sz w:val="22"/>
          <w:szCs w:val="22"/>
        </w:rPr>
        <w:t>international principles equivalent to (1) or (2)</w:t>
      </w:r>
      <w:r w:rsidR="00CC1829">
        <w:rPr>
          <w:rFonts w:ascii="Arial" w:hAnsi="Arial" w:cs="Arial"/>
          <w:sz w:val="22"/>
          <w:szCs w:val="22"/>
        </w:rPr>
        <w:t>, which are approved by the Regulator.</w:t>
      </w:r>
    </w:p>
    <w:p w14:paraId="6FBD5930" w14:textId="0BF431CE" w:rsidR="00CC1829" w:rsidRPr="00232448" w:rsidRDefault="00CC1829" w:rsidP="00CC1829">
      <w:pPr>
        <w:pStyle w:val="Heading4"/>
        <w:numPr>
          <w:ilvl w:val="0"/>
          <w:numId w:val="0"/>
        </w:numPr>
        <w:ind w:left="720"/>
        <w:rPr>
          <w:rFonts w:ascii="Arial" w:hAnsi="Arial" w:cs="Arial"/>
          <w:b/>
          <w:bCs w:val="0"/>
          <w:sz w:val="22"/>
          <w:szCs w:val="22"/>
        </w:rPr>
      </w:pPr>
      <w:r w:rsidRPr="00232448">
        <w:rPr>
          <w:rFonts w:ascii="Arial" w:hAnsi="Arial" w:cs="Arial"/>
          <w:b/>
          <w:bCs w:val="0"/>
          <w:sz w:val="22"/>
          <w:szCs w:val="22"/>
        </w:rPr>
        <w:t>Qualifying Sustainability-Linked Debenture Principles</w:t>
      </w:r>
    </w:p>
    <w:p w14:paraId="74BE3D87" w14:textId="090E62A4" w:rsidR="00CC1829" w:rsidRDefault="00CC1829" w:rsidP="00CC1829">
      <w:pPr>
        <w:pStyle w:val="Heading3"/>
        <w:rPr>
          <w:rFonts w:ascii="Arial" w:hAnsi="Arial" w:cs="Arial"/>
          <w:sz w:val="22"/>
          <w:szCs w:val="22"/>
        </w:rPr>
      </w:pPr>
      <w:bookmarkStart w:id="511" w:name="_Ref138253160"/>
      <w:r>
        <w:rPr>
          <w:rFonts w:ascii="Arial" w:hAnsi="Arial" w:cs="Arial"/>
          <w:sz w:val="22"/>
          <w:szCs w:val="22"/>
        </w:rPr>
        <w:t xml:space="preserve">A </w:t>
      </w:r>
      <w:r w:rsidR="006A5F7E" w:rsidRPr="006A5F7E">
        <w:rPr>
          <w:rFonts w:ascii="Arial" w:hAnsi="Arial" w:cs="Arial"/>
          <w:sz w:val="22"/>
          <w:szCs w:val="22"/>
        </w:rPr>
        <w:t>Security will comply with Qualifying Green Sustainability-Linked Debenture Principles if it adheres to:</w:t>
      </w:r>
      <w:bookmarkEnd w:id="511"/>
    </w:p>
    <w:p w14:paraId="7457D577" w14:textId="782F6B28" w:rsidR="00C33F2F" w:rsidRDefault="00FE5A25" w:rsidP="00C33F2F">
      <w:pPr>
        <w:pStyle w:val="Heading4"/>
        <w:rPr>
          <w:rFonts w:ascii="Arial" w:hAnsi="Arial" w:cs="Arial"/>
          <w:sz w:val="22"/>
          <w:szCs w:val="22"/>
        </w:rPr>
      </w:pPr>
      <w:r>
        <w:rPr>
          <w:rFonts w:ascii="Arial" w:hAnsi="Arial" w:cs="Arial"/>
          <w:sz w:val="22"/>
          <w:szCs w:val="22"/>
        </w:rPr>
        <w:t>the ICMA Sustainability-Linked Bond Principles; or</w:t>
      </w:r>
    </w:p>
    <w:p w14:paraId="6C2D39C7" w14:textId="75E59A71" w:rsidR="00FE5A25" w:rsidRDefault="00FE5A25" w:rsidP="00C33F2F">
      <w:pPr>
        <w:pStyle w:val="Heading4"/>
        <w:rPr>
          <w:rFonts w:ascii="Arial" w:hAnsi="Arial" w:cs="Arial"/>
          <w:sz w:val="22"/>
          <w:szCs w:val="22"/>
        </w:rPr>
      </w:pPr>
      <w:r>
        <w:rPr>
          <w:rFonts w:ascii="Arial" w:hAnsi="Arial" w:cs="Arial"/>
          <w:sz w:val="22"/>
          <w:szCs w:val="22"/>
        </w:rPr>
        <w:t>international principles equivalent to (1) which are approved by the Regulator.</w:t>
      </w:r>
    </w:p>
    <w:p w14:paraId="2E620A66" w14:textId="0A782CB6" w:rsidR="00FE5A25" w:rsidRPr="00232448" w:rsidRDefault="00FE5A25" w:rsidP="00FE5A25">
      <w:pPr>
        <w:pStyle w:val="Heading4"/>
        <w:numPr>
          <w:ilvl w:val="0"/>
          <w:numId w:val="0"/>
        </w:numPr>
        <w:ind w:left="720"/>
        <w:rPr>
          <w:rFonts w:ascii="Arial" w:hAnsi="Arial" w:cs="Arial"/>
          <w:b/>
          <w:bCs w:val="0"/>
          <w:sz w:val="22"/>
          <w:szCs w:val="22"/>
        </w:rPr>
      </w:pPr>
      <w:r w:rsidRPr="00232448">
        <w:rPr>
          <w:rFonts w:ascii="Arial" w:hAnsi="Arial" w:cs="Arial"/>
          <w:b/>
          <w:bCs w:val="0"/>
          <w:sz w:val="22"/>
          <w:szCs w:val="22"/>
        </w:rPr>
        <w:t>Guidance</w:t>
      </w:r>
    </w:p>
    <w:p w14:paraId="316A011B" w14:textId="4F6264C8" w:rsidR="00FE5A25" w:rsidRDefault="00FE5A25" w:rsidP="00FE5A25">
      <w:pPr>
        <w:pStyle w:val="Heading4"/>
        <w:numPr>
          <w:ilvl w:val="0"/>
          <w:numId w:val="0"/>
        </w:numPr>
        <w:ind w:left="720"/>
        <w:rPr>
          <w:rFonts w:ascii="Arial" w:hAnsi="Arial" w:cs="Arial"/>
          <w:sz w:val="22"/>
          <w:szCs w:val="22"/>
        </w:rPr>
      </w:pPr>
      <w:r>
        <w:rPr>
          <w:rFonts w:ascii="Arial" w:hAnsi="Arial" w:cs="Arial"/>
          <w:sz w:val="22"/>
          <w:szCs w:val="22"/>
        </w:rPr>
        <w:t xml:space="preserve">For </w:t>
      </w:r>
      <w:r w:rsidR="00480332" w:rsidRPr="00480332">
        <w:rPr>
          <w:rFonts w:ascii="Arial" w:hAnsi="Arial" w:cs="Arial"/>
          <w:sz w:val="22"/>
          <w:szCs w:val="22"/>
        </w:rPr>
        <w:t xml:space="preserve">the purposes of Rules </w:t>
      </w:r>
      <w:r w:rsidR="00984AD3">
        <w:rPr>
          <w:rFonts w:ascii="Arial" w:hAnsi="Arial" w:cs="Arial"/>
          <w:sz w:val="22"/>
          <w:szCs w:val="22"/>
        </w:rPr>
        <w:fldChar w:fldCharType="begin"/>
      </w:r>
      <w:r w:rsidR="00984AD3">
        <w:rPr>
          <w:rFonts w:ascii="Arial" w:hAnsi="Arial" w:cs="Arial"/>
          <w:sz w:val="22"/>
          <w:szCs w:val="22"/>
        </w:rPr>
        <w:instrText xml:space="preserve"> REF _Ref138253225 \n \h </w:instrText>
      </w:r>
      <w:r w:rsidR="00984AD3">
        <w:rPr>
          <w:rFonts w:ascii="Arial" w:hAnsi="Arial" w:cs="Arial"/>
          <w:sz w:val="22"/>
          <w:szCs w:val="22"/>
        </w:rPr>
      </w:r>
      <w:r w:rsidR="00984AD3">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4.15.4</w:t>
      </w:r>
      <w:r w:rsidR="00984AD3">
        <w:rPr>
          <w:rFonts w:ascii="Arial" w:hAnsi="Arial" w:cs="Arial"/>
          <w:sz w:val="22"/>
          <w:szCs w:val="22"/>
        </w:rPr>
        <w:fldChar w:fldCharType="end"/>
      </w:r>
      <w:r w:rsidR="00480332" w:rsidRPr="00480332">
        <w:rPr>
          <w:rFonts w:ascii="Arial" w:hAnsi="Arial" w:cs="Arial"/>
          <w:sz w:val="22"/>
          <w:szCs w:val="22"/>
        </w:rPr>
        <w:t xml:space="preserve"> and </w:t>
      </w:r>
      <w:r w:rsidR="00984AD3">
        <w:rPr>
          <w:rFonts w:ascii="Arial" w:hAnsi="Arial" w:cs="Arial"/>
          <w:sz w:val="22"/>
          <w:szCs w:val="22"/>
        </w:rPr>
        <w:fldChar w:fldCharType="begin"/>
      </w:r>
      <w:r w:rsidR="00984AD3">
        <w:rPr>
          <w:rFonts w:ascii="Arial" w:hAnsi="Arial" w:cs="Arial"/>
          <w:sz w:val="22"/>
          <w:szCs w:val="22"/>
        </w:rPr>
        <w:instrText xml:space="preserve"> REF _Ref138253160 \n \h </w:instrText>
      </w:r>
      <w:r w:rsidR="00984AD3">
        <w:rPr>
          <w:rFonts w:ascii="Arial" w:hAnsi="Arial" w:cs="Arial"/>
          <w:sz w:val="22"/>
          <w:szCs w:val="22"/>
        </w:rPr>
      </w:r>
      <w:r w:rsidR="00984AD3">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4.15.5</w:t>
      </w:r>
      <w:r w:rsidR="00984AD3">
        <w:rPr>
          <w:rFonts w:ascii="Arial" w:hAnsi="Arial" w:cs="Arial"/>
          <w:sz w:val="22"/>
          <w:szCs w:val="22"/>
        </w:rPr>
        <w:fldChar w:fldCharType="end"/>
      </w:r>
      <w:r w:rsidR="00480332" w:rsidRPr="00480332">
        <w:rPr>
          <w:rFonts w:ascii="Arial" w:hAnsi="Arial" w:cs="Arial"/>
          <w:sz w:val="22"/>
          <w:szCs w:val="22"/>
        </w:rPr>
        <w:t>, the Regulator may approve other green principles or sustainability-linked principles as Qualifying Green Debenture Principles or Qualifying Sustainability-Linked Debenture Principles where:</w:t>
      </w:r>
    </w:p>
    <w:p w14:paraId="4BC4CE87" w14:textId="137DF0B3" w:rsidR="00480332" w:rsidRDefault="00480332" w:rsidP="00480332">
      <w:pPr>
        <w:pStyle w:val="Heading4"/>
        <w:numPr>
          <w:ilvl w:val="0"/>
          <w:numId w:val="646"/>
        </w:numPr>
        <w:rPr>
          <w:rFonts w:ascii="Arial" w:hAnsi="Arial" w:cs="Arial"/>
          <w:sz w:val="22"/>
          <w:szCs w:val="22"/>
        </w:rPr>
      </w:pPr>
      <w:r>
        <w:rPr>
          <w:rFonts w:ascii="Arial" w:hAnsi="Arial" w:cs="Arial"/>
          <w:sz w:val="22"/>
          <w:szCs w:val="22"/>
        </w:rPr>
        <w:t xml:space="preserve">the </w:t>
      </w:r>
      <w:r w:rsidR="00752881" w:rsidRPr="00752881">
        <w:rPr>
          <w:rFonts w:ascii="Arial" w:hAnsi="Arial" w:cs="Arial"/>
          <w:sz w:val="22"/>
          <w:szCs w:val="22"/>
        </w:rPr>
        <w:t>green principles or sustainability-linked principles are issued by a governmental body, reputable industry association or reputable investment exchange; and</w:t>
      </w:r>
    </w:p>
    <w:p w14:paraId="0B5795A4" w14:textId="54B52566" w:rsidR="00752881" w:rsidRDefault="00752881" w:rsidP="00480332">
      <w:pPr>
        <w:pStyle w:val="Heading4"/>
        <w:numPr>
          <w:ilvl w:val="0"/>
          <w:numId w:val="646"/>
        </w:numPr>
        <w:rPr>
          <w:rFonts w:ascii="Arial" w:hAnsi="Arial" w:cs="Arial"/>
          <w:sz w:val="22"/>
          <w:szCs w:val="22"/>
        </w:rPr>
      </w:pPr>
      <w:r>
        <w:rPr>
          <w:rFonts w:ascii="Arial" w:hAnsi="Arial" w:cs="Arial"/>
          <w:sz w:val="22"/>
          <w:szCs w:val="22"/>
        </w:rPr>
        <w:t xml:space="preserve">the </w:t>
      </w:r>
      <w:r w:rsidR="001E1448" w:rsidRPr="001E1448">
        <w:rPr>
          <w:rFonts w:ascii="Arial" w:hAnsi="Arial" w:cs="Arial"/>
          <w:sz w:val="22"/>
          <w:szCs w:val="22"/>
        </w:rPr>
        <w:t>green principles or sustainability-linked principles are published and freely available.</w:t>
      </w:r>
    </w:p>
    <w:p w14:paraId="7E15F0EE" w14:textId="4355E9CB" w:rsidR="001E1448" w:rsidRPr="00232448" w:rsidRDefault="001E1448" w:rsidP="001E1448">
      <w:pPr>
        <w:pStyle w:val="Heading4"/>
        <w:numPr>
          <w:ilvl w:val="0"/>
          <w:numId w:val="0"/>
        </w:numPr>
        <w:ind w:left="1440" w:hanging="720"/>
        <w:rPr>
          <w:rFonts w:ascii="Arial" w:hAnsi="Arial" w:cs="Arial"/>
          <w:b/>
          <w:bCs w:val="0"/>
          <w:sz w:val="22"/>
          <w:szCs w:val="22"/>
        </w:rPr>
      </w:pPr>
      <w:r w:rsidRPr="00232448">
        <w:rPr>
          <w:rFonts w:ascii="Arial" w:hAnsi="Arial" w:cs="Arial"/>
          <w:b/>
          <w:bCs w:val="0"/>
          <w:sz w:val="22"/>
          <w:szCs w:val="22"/>
        </w:rPr>
        <w:t>External review</w:t>
      </w:r>
    </w:p>
    <w:p w14:paraId="58F3E999" w14:textId="0A0DEB94" w:rsidR="001E1448" w:rsidRDefault="001E1448" w:rsidP="001E1448">
      <w:pPr>
        <w:pStyle w:val="Heading3"/>
        <w:rPr>
          <w:rFonts w:ascii="Arial" w:hAnsi="Arial" w:cs="Arial"/>
          <w:sz w:val="22"/>
          <w:szCs w:val="22"/>
        </w:rPr>
      </w:pPr>
      <w:bookmarkStart w:id="512" w:name="_Ref138253168"/>
      <w:r>
        <w:rPr>
          <w:rFonts w:ascii="Arial" w:hAnsi="Arial" w:cs="Arial"/>
          <w:sz w:val="22"/>
          <w:szCs w:val="22"/>
        </w:rPr>
        <w:t xml:space="preserve">A </w:t>
      </w:r>
      <w:r w:rsidR="00A14A18" w:rsidRPr="00A14A18">
        <w:rPr>
          <w:rFonts w:ascii="Arial" w:hAnsi="Arial" w:cs="Arial"/>
          <w:sz w:val="22"/>
          <w:szCs w:val="22"/>
        </w:rPr>
        <w:t>Security will be considered by the Regulator to be subject to external review if the Issuer appoints one or more external review providers to:</w:t>
      </w:r>
      <w:bookmarkEnd w:id="512"/>
    </w:p>
    <w:p w14:paraId="248996C0" w14:textId="77777777" w:rsidR="00E772A3" w:rsidRDefault="00A14A18" w:rsidP="00A14A18">
      <w:pPr>
        <w:pStyle w:val="Heading4"/>
        <w:rPr>
          <w:rFonts w:ascii="Arial" w:hAnsi="Arial" w:cs="Arial"/>
          <w:sz w:val="22"/>
          <w:szCs w:val="22"/>
        </w:rPr>
      </w:pPr>
      <w:r>
        <w:rPr>
          <w:rFonts w:ascii="Arial" w:hAnsi="Arial" w:cs="Arial"/>
          <w:sz w:val="22"/>
          <w:szCs w:val="22"/>
        </w:rPr>
        <w:t xml:space="preserve">assess </w:t>
      </w:r>
      <w:r w:rsidR="00E772A3" w:rsidRPr="00E772A3">
        <w:rPr>
          <w:rFonts w:ascii="Arial" w:hAnsi="Arial" w:cs="Arial"/>
          <w:sz w:val="22"/>
          <w:szCs w:val="22"/>
        </w:rPr>
        <w:t>through a pre-issuance external review the alignment of the Security with the requirements of the relevant Qualifying Green Debenture Principles or Qualifying Sustainability-Linked Debenture Principles; and</w:t>
      </w:r>
    </w:p>
    <w:p w14:paraId="34D6E487" w14:textId="77777777" w:rsidR="00B52821" w:rsidRDefault="00E772A3" w:rsidP="00A14A18">
      <w:pPr>
        <w:pStyle w:val="Heading4"/>
        <w:rPr>
          <w:rFonts w:ascii="Arial" w:hAnsi="Arial" w:cs="Arial"/>
          <w:sz w:val="22"/>
          <w:szCs w:val="22"/>
        </w:rPr>
      </w:pPr>
      <w:r>
        <w:rPr>
          <w:rFonts w:ascii="Arial" w:hAnsi="Arial" w:cs="Arial"/>
          <w:sz w:val="22"/>
          <w:szCs w:val="22"/>
        </w:rPr>
        <w:t xml:space="preserve">verify </w:t>
      </w:r>
      <w:r w:rsidR="00B52821" w:rsidRPr="00B52821">
        <w:rPr>
          <w:rFonts w:ascii="Arial" w:hAnsi="Arial" w:cs="Arial"/>
          <w:sz w:val="22"/>
          <w:szCs w:val="22"/>
        </w:rPr>
        <w:t>on a regular basis post-issuance the Security’s performance against applicable criteria outlined in the Qualifying Green Debenture Principles or Qualifying Sustainability-Linked Debenture Principles. Such verification must occur at least annually.</w:t>
      </w:r>
    </w:p>
    <w:p w14:paraId="307A8298" w14:textId="77777777" w:rsidR="00B52821" w:rsidRPr="00232448" w:rsidRDefault="00B52821" w:rsidP="00232448">
      <w:pPr>
        <w:pStyle w:val="Heading4"/>
        <w:keepNext/>
        <w:numPr>
          <w:ilvl w:val="0"/>
          <w:numId w:val="0"/>
        </w:numPr>
        <w:ind w:left="720"/>
        <w:rPr>
          <w:rFonts w:ascii="Arial" w:hAnsi="Arial" w:cs="Arial"/>
          <w:b/>
          <w:bCs w:val="0"/>
          <w:sz w:val="22"/>
          <w:szCs w:val="22"/>
        </w:rPr>
      </w:pPr>
      <w:r w:rsidRPr="00232448">
        <w:rPr>
          <w:rFonts w:ascii="Arial" w:hAnsi="Arial" w:cs="Arial"/>
          <w:b/>
          <w:bCs w:val="0"/>
          <w:sz w:val="22"/>
          <w:szCs w:val="22"/>
        </w:rPr>
        <w:lastRenderedPageBreak/>
        <w:t>Guidance</w:t>
      </w:r>
    </w:p>
    <w:p w14:paraId="5438B5A5" w14:textId="6B80EA31" w:rsidR="00A14A18" w:rsidRDefault="00A14A18" w:rsidP="00B52821">
      <w:pPr>
        <w:pStyle w:val="Heading4"/>
        <w:numPr>
          <w:ilvl w:val="0"/>
          <w:numId w:val="777"/>
        </w:numPr>
        <w:rPr>
          <w:rFonts w:ascii="Arial" w:hAnsi="Arial" w:cs="Arial"/>
          <w:sz w:val="22"/>
          <w:szCs w:val="22"/>
        </w:rPr>
      </w:pPr>
      <w:r>
        <w:rPr>
          <w:rFonts w:ascii="Arial" w:hAnsi="Arial" w:cs="Arial"/>
          <w:sz w:val="22"/>
          <w:szCs w:val="22"/>
        </w:rPr>
        <w:t xml:space="preserve"> </w:t>
      </w:r>
      <w:r w:rsidR="00C74BE0">
        <w:rPr>
          <w:rFonts w:ascii="Arial" w:hAnsi="Arial" w:cs="Arial"/>
          <w:sz w:val="22"/>
          <w:szCs w:val="22"/>
        </w:rPr>
        <w:t xml:space="preserve">Prior </w:t>
      </w:r>
      <w:r w:rsidR="009F0622" w:rsidRPr="009F0622">
        <w:rPr>
          <w:rFonts w:ascii="Arial" w:hAnsi="Arial" w:cs="Arial"/>
          <w:sz w:val="22"/>
          <w:szCs w:val="22"/>
        </w:rPr>
        <w:t xml:space="preserve">to the appointment of an external review provider under Rule </w:t>
      </w:r>
      <w:r w:rsidR="00984AD3">
        <w:rPr>
          <w:rFonts w:ascii="Arial" w:hAnsi="Arial" w:cs="Arial"/>
          <w:sz w:val="22"/>
          <w:szCs w:val="22"/>
        </w:rPr>
        <w:fldChar w:fldCharType="begin"/>
      </w:r>
      <w:r w:rsidR="00984AD3">
        <w:rPr>
          <w:rFonts w:ascii="Arial" w:hAnsi="Arial" w:cs="Arial"/>
          <w:sz w:val="22"/>
          <w:szCs w:val="22"/>
        </w:rPr>
        <w:instrText xml:space="preserve"> REF _Ref138253168 \n \h </w:instrText>
      </w:r>
      <w:r w:rsidR="00984AD3">
        <w:rPr>
          <w:rFonts w:ascii="Arial" w:hAnsi="Arial" w:cs="Arial"/>
          <w:sz w:val="22"/>
          <w:szCs w:val="22"/>
        </w:rPr>
      </w:r>
      <w:r w:rsidR="00984AD3">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4.15.6</w:t>
      </w:r>
      <w:r w:rsidR="00984AD3">
        <w:rPr>
          <w:rFonts w:ascii="Arial" w:hAnsi="Arial" w:cs="Arial"/>
          <w:sz w:val="22"/>
          <w:szCs w:val="22"/>
        </w:rPr>
        <w:fldChar w:fldCharType="end"/>
      </w:r>
      <w:r w:rsidR="009F0622" w:rsidRPr="009F0622">
        <w:rPr>
          <w:rFonts w:ascii="Arial" w:hAnsi="Arial" w:cs="Arial"/>
          <w:sz w:val="22"/>
          <w:szCs w:val="22"/>
        </w:rPr>
        <w:t xml:space="preserve"> an Issuer should take reasonable steps to ensure that the external review provider:</w:t>
      </w:r>
    </w:p>
    <w:p w14:paraId="2EA91298" w14:textId="5B8C4BE3" w:rsidR="009F0622" w:rsidRDefault="009F0622" w:rsidP="009F0622">
      <w:pPr>
        <w:pStyle w:val="Heading4"/>
        <w:numPr>
          <w:ilvl w:val="0"/>
          <w:numId w:val="798"/>
        </w:numPr>
        <w:rPr>
          <w:rFonts w:ascii="Arial" w:hAnsi="Arial" w:cs="Arial"/>
          <w:sz w:val="22"/>
          <w:szCs w:val="22"/>
        </w:rPr>
      </w:pPr>
      <w:r>
        <w:rPr>
          <w:rFonts w:ascii="Arial" w:hAnsi="Arial" w:cs="Arial"/>
          <w:sz w:val="22"/>
          <w:szCs w:val="22"/>
        </w:rPr>
        <w:t xml:space="preserve">has </w:t>
      </w:r>
      <w:r w:rsidR="00D50ACB" w:rsidRPr="00D50ACB">
        <w:rPr>
          <w:rFonts w:ascii="Arial" w:hAnsi="Arial" w:cs="Arial"/>
          <w:sz w:val="22"/>
          <w:szCs w:val="22"/>
        </w:rPr>
        <w:t>the required skills, resources and experience to undertake the review; and</w:t>
      </w:r>
    </w:p>
    <w:p w14:paraId="79220B67" w14:textId="018057EF" w:rsidR="00D50ACB" w:rsidRDefault="00D50ACB" w:rsidP="009F0622">
      <w:pPr>
        <w:pStyle w:val="Heading4"/>
        <w:numPr>
          <w:ilvl w:val="0"/>
          <w:numId w:val="798"/>
        </w:numPr>
        <w:rPr>
          <w:rFonts w:ascii="Arial" w:hAnsi="Arial" w:cs="Arial"/>
          <w:sz w:val="22"/>
          <w:szCs w:val="22"/>
        </w:rPr>
      </w:pPr>
      <w:r>
        <w:rPr>
          <w:rFonts w:ascii="Arial" w:hAnsi="Arial" w:cs="Arial"/>
          <w:sz w:val="22"/>
          <w:szCs w:val="22"/>
        </w:rPr>
        <w:t xml:space="preserve">is </w:t>
      </w:r>
      <w:r w:rsidR="000F7C15" w:rsidRPr="000F7C15">
        <w:rPr>
          <w:rFonts w:ascii="Arial" w:hAnsi="Arial" w:cs="Arial"/>
          <w:sz w:val="22"/>
          <w:szCs w:val="22"/>
        </w:rPr>
        <w:t>independent of, and not subject to, any conflict of interest with respect to the Issuer.</w:t>
      </w:r>
    </w:p>
    <w:p w14:paraId="151FB28E" w14:textId="1DF6F2AB" w:rsidR="000F7C15" w:rsidRDefault="000F7C15" w:rsidP="000F7C15">
      <w:pPr>
        <w:pStyle w:val="Heading4"/>
        <w:numPr>
          <w:ilvl w:val="0"/>
          <w:numId w:val="777"/>
        </w:numPr>
        <w:rPr>
          <w:rFonts w:ascii="Arial" w:hAnsi="Arial" w:cs="Arial"/>
          <w:sz w:val="22"/>
          <w:szCs w:val="22"/>
        </w:rPr>
      </w:pPr>
      <w:r>
        <w:rPr>
          <w:rFonts w:ascii="Arial" w:hAnsi="Arial" w:cs="Arial"/>
          <w:sz w:val="22"/>
          <w:szCs w:val="22"/>
        </w:rPr>
        <w:t xml:space="preserve">When </w:t>
      </w:r>
      <w:r w:rsidR="00A7424A" w:rsidRPr="00A7424A">
        <w:rPr>
          <w:rFonts w:ascii="Arial" w:hAnsi="Arial" w:cs="Arial"/>
          <w:sz w:val="22"/>
          <w:szCs w:val="22"/>
        </w:rPr>
        <w:t xml:space="preserve">arranging for an external review under Rule </w:t>
      </w:r>
      <w:r w:rsidR="00984AD3">
        <w:rPr>
          <w:rFonts w:ascii="Arial" w:hAnsi="Arial" w:cs="Arial"/>
          <w:sz w:val="22"/>
          <w:szCs w:val="22"/>
        </w:rPr>
        <w:fldChar w:fldCharType="begin"/>
      </w:r>
      <w:r w:rsidR="00984AD3">
        <w:rPr>
          <w:rFonts w:ascii="Arial" w:hAnsi="Arial" w:cs="Arial"/>
          <w:sz w:val="22"/>
          <w:szCs w:val="22"/>
        </w:rPr>
        <w:instrText xml:space="preserve"> REF _Ref138253168 \n \h </w:instrText>
      </w:r>
      <w:r w:rsidR="00984AD3">
        <w:rPr>
          <w:rFonts w:ascii="Arial" w:hAnsi="Arial" w:cs="Arial"/>
          <w:sz w:val="22"/>
          <w:szCs w:val="22"/>
        </w:rPr>
      </w:r>
      <w:r w:rsidR="00984AD3">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4.15.6</w:t>
      </w:r>
      <w:r w:rsidR="00984AD3">
        <w:rPr>
          <w:rFonts w:ascii="Arial" w:hAnsi="Arial" w:cs="Arial"/>
          <w:sz w:val="22"/>
          <w:szCs w:val="22"/>
        </w:rPr>
        <w:fldChar w:fldCharType="end"/>
      </w:r>
      <w:r w:rsidR="00A7424A" w:rsidRPr="00A7424A">
        <w:rPr>
          <w:rFonts w:ascii="Arial" w:hAnsi="Arial" w:cs="Arial"/>
          <w:sz w:val="22"/>
          <w:szCs w:val="22"/>
        </w:rPr>
        <w:t>, an Issuer should take into consideration the ICMA Guidelines for Green, Social and Sustainability Debentures Reviews.</w:t>
      </w:r>
    </w:p>
    <w:p w14:paraId="0C881B85" w14:textId="2B1861DB" w:rsidR="00A7424A" w:rsidRPr="00232448" w:rsidRDefault="00A7424A" w:rsidP="00A7424A">
      <w:pPr>
        <w:pStyle w:val="Heading4"/>
        <w:numPr>
          <w:ilvl w:val="0"/>
          <w:numId w:val="0"/>
        </w:numPr>
        <w:ind w:left="720"/>
        <w:rPr>
          <w:rFonts w:ascii="Arial" w:hAnsi="Arial" w:cs="Arial"/>
          <w:b/>
          <w:bCs w:val="0"/>
          <w:sz w:val="22"/>
          <w:szCs w:val="22"/>
        </w:rPr>
      </w:pPr>
      <w:r w:rsidRPr="00232448">
        <w:rPr>
          <w:rFonts w:ascii="Arial" w:hAnsi="Arial" w:cs="Arial"/>
          <w:b/>
          <w:bCs w:val="0"/>
          <w:sz w:val="22"/>
          <w:szCs w:val="22"/>
        </w:rPr>
        <w:t>Application for ADGM Green Bond Designation and ADGM Sustainability-Linked Bond Designation</w:t>
      </w:r>
    </w:p>
    <w:p w14:paraId="1829D81B" w14:textId="5DBEB849" w:rsidR="00A7424A" w:rsidRDefault="00A7424A" w:rsidP="00A7424A">
      <w:pPr>
        <w:pStyle w:val="Heading3"/>
        <w:rPr>
          <w:rFonts w:ascii="Arial" w:hAnsi="Arial" w:cs="Arial"/>
          <w:sz w:val="22"/>
          <w:szCs w:val="22"/>
        </w:rPr>
      </w:pPr>
      <w:bookmarkStart w:id="513" w:name="_Ref138253138"/>
      <w:r>
        <w:rPr>
          <w:rFonts w:ascii="Arial" w:hAnsi="Arial" w:cs="Arial"/>
          <w:sz w:val="22"/>
          <w:szCs w:val="22"/>
        </w:rPr>
        <w:t xml:space="preserve">A </w:t>
      </w:r>
      <w:r w:rsidR="002A67D6" w:rsidRPr="002A67D6">
        <w:rPr>
          <w:rFonts w:ascii="Arial" w:hAnsi="Arial" w:cs="Arial"/>
          <w:sz w:val="22"/>
          <w:szCs w:val="22"/>
        </w:rPr>
        <w:t>Security should not be promoted as an ADGM Green Debenture or an ADGM Sustainability-Linked Debenture by any Person unless the Issuer it has applied for and been granted an ADGM Green Bond Designation or ADGM Sustainability-Linked Bond Designation, as applicable, for the Security from the Regulator.</w:t>
      </w:r>
      <w:bookmarkEnd w:id="513"/>
    </w:p>
    <w:p w14:paraId="522E0B67" w14:textId="290EBEB1" w:rsidR="002A67D6" w:rsidRDefault="002A67D6" w:rsidP="00A7424A">
      <w:pPr>
        <w:pStyle w:val="Heading3"/>
        <w:rPr>
          <w:rFonts w:ascii="Arial" w:hAnsi="Arial" w:cs="Arial"/>
          <w:sz w:val="22"/>
          <w:szCs w:val="22"/>
        </w:rPr>
      </w:pPr>
      <w:bookmarkStart w:id="514" w:name="_Ref138253305"/>
      <w:r>
        <w:rPr>
          <w:rFonts w:ascii="Arial" w:hAnsi="Arial" w:cs="Arial"/>
          <w:sz w:val="22"/>
          <w:szCs w:val="22"/>
        </w:rPr>
        <w:t xml:space="preserve">The </w:t>
      </w:r>
      <w:r w:rsidR="00AB355D" w:rsidRPr="00AB355D">
        <w:rPr>
          <w:rFonts w:ascii="Arial" w:hAnsi="Arial" w:cs="Arial"/>
          <w:sz w:val="22"/>
          <w:szCs w:val="22"/>
        </w:rPr>
        <w:t>application must be in such form as the Regulator may prescribe and must be accompanied by:</w:t>
      </w:r>
      <w:bookmarkEnd w:id="514"/>
    </w:p>
    <w:p w14:paraId="738CE283" w14:textId="77777777" w:rsidR="00701DCE" w:rsidRDefault="00AB355D" w:rsidP="00AB355D">
      <w:pPr>
        <w:pStyle w:val="Heading4"/>
        <w:rPr>
          <w:rFonts w:ascii="Arial" w:hAnsi="Arial" w:cs="Arial"/>
          <w:sz w:val="22"/>
          <w:szCs w:val="22"/>
        </w:rPr>
      </w:pPr>
      <w:r>
        <w:rPr>
          <w:rFonts w:ascii="Arial" w:hAnsi="Arial" w:cs="Arial"/>
          <w:sz w:val="22"/>
          <w:szCs w:val="22"/>
        </w:rPr>
        <w:t xml:space="preserve">information </w:t>
      </w:r>
      <w:r w:rsidR="00701DCE" w:rsidRPr="00701DCE">
        <w:rPr>
          <w:rFonts w:ascii="Arial" w:hAnsi="Arial" w:cs="Arial"/>
          <w:sz w:val="22"/>
          <w:szCs w:val="22"/>
        </w:rPr>
        <w:t>on the Qualifying Green Debenture Principles or Qualifying Sustainability-Linked Principles which the Issuer intends the Security to comply with;</w:t>
      </w:r>
    </w:p>
    <w:p w14:paraId="69D0583F" w14:textId="77777777" w:rsidR="00E83D8C" w:rsidRDefault="00701DCE" w:rsidP="00AB355D">
      <w:pPr>
        <w:pStyle w:val="Heading4"/>
        <w:rPr>
          <w:rFonts w:ascii="Arial" w:hAnsi="Arial" w:cs="Arial"/>
          <w:sz w:val="22"/>
          <w:szCs w:val="22"/>
        </w:rPr>
      </w:pPr>
      <w:r>
        <w:rPr>
          <w:rFonts w:ascii="Arial" w:hAnsi="Arial" w:cs="Arial"/>
          <w:sz w:val="22"/>
          <w:szCs w:val="22"/>
        </w:rPr>
        <w:t xml:space="preserve">certification </w:t>
      </w:r>
      <w:r w:rsidR="00E83D8C" w:rsidRPr="00E83D8C">
        <w:rPr>
          <w:rFonts w:ascii="Arial" w:hAnsi="Arial" w:cs="Arial"/>
          <w:sz w:val="22"/>
          <w:szCs w:val="22"/>
        </w:rPr>
        <w:t xml:space="preserve">by the Issuer to the effect that the Security aligns with the requirements of the Qualifying Green Debenture Principles or Qualifying Sustainability-Linked Debenture Principles identified in (1); </w:t>
      </w:r>
    </w:p>
    <w:p w14:paraId="799CADFF" w14:textId="77777777" w:rsidR="008A74C4" w:rsidRDefault="00E83D8C" w:rsidP="00AB355D">
      <w:pPr>
        <w:pStyle w:val="Heading4"/>
        <w:rPr>
          <w:rFonts w:ascii="Arial" w:hAnsi="Arial" w:cs="Arial"/>
          <w:sz w:val="22"/>
          <w:szCs w:val="22"/>
        </w:rPr>
      </w:pPr>
      <w:r>
        <w:rPr>
          <w:rFonts w:ascii="Arial" w:hAnsi="Arial" w:cs="Arial"/>
          <w:sz w:val="22"/>
          <w:szCs w:val="22"/>
        </w:rPr>
        <w:t xml:space="preserve">information </w:t>
      </w:r>
      <w:r w:rsidR="008A74C4" w:rsidRPr="008A74C4">
        <w:rPr>
          <w:rFonts w:ascii="Arial" w:hAnsi="Arial" w:cs="Arial"/>
          <w:sz w:val="22"/>
          <w:szCs w:val="22"/>
        </w:rPr>
        <w:t>on the external review provider appointed to provide the pre-issuance external review; and</w:t>
      </w:r>
    </w:p>
    <w:p w14:paraId="7203CDB7" w14:textId="0DCA89F0" w:rsidR="00C74F71" w:rsidRDefault="008A74C4" w:rsidP="00AB355D">
      <w:pPr>
        <w:pStyle w:val="Heading4"/>
        <w:rPr>
          <w:rFonts w:ascii="Arial" w:hAnsi="Arial" w:cs="Arial"/>
          <w:sz w:val="22"/>
          <w:szCs w:val="22"/>
        </w:rPr>
      </w:pPr>
      <w:r>
        <w:rPr>
          <w:rFonts w:ascii="Arial" w:hAnsi="Arial" w:cs="Arial"/>
          <w:sz w:val="22"/>
          <w:szCs w:val="22"/>
        </w:rPr>
        <w:t xml:space="preserve">a copy </w:t>
      </w:r>
      <w:r w:rsidR="00C74F71" w:rsidRPr="00C74F71">
        <w:rPr>
          <w:rFonts w:ascii="Arial" w:hAnsi="Arial" w:cs="Arial"/>
          <w:sz w:val="22"/>
          <w:szCs w:val="22"/>
        </w:rPr>
        <w:t xml:space="preserve">of the pre-issuance external review undertaken in accordance with Rule </w:t>
      </w:r>
      <w:r w:rsidR="00A07CE7">
        <w:rPr>
          <w:rFonts w:ascii="Arial" w:hAnsi="Arial" w:cs="Arial"/>
          <w:sz w:val="22"/>
          <w:szCs w:val="22"/>
        </w:rPr>
        <w:fldChar w:fldCharType="begin"/>
      </w:r>
      <w:r w:rsidR="00A07CE7">
        <w:rPr>
          <w:rFonts w:ascii="Arial" w:hAnsi="Arial" w:cs="Arial"/>
          <w:sz w:val="22"/>
          <w:szCs w:val="22"/>
        </w:rPr>
        <w:instrText xml:space="preserve"> REF _Ref138253168 \n \h </w:instrText>
      </w:r>
      <w:r w:rsidR="00A07CE7">
        <w:rPr>
          <w:rFonts w:ascii="Arial" w:hAnsi="Arial" w:cs="Arial"/>
          <w:sz w:val="22"/>
          <w:szCs w:val="22"/>
        </w:rPr>
      </w:r>
      <w:r w:rsidR="00A07CE7">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4.15.6</w:t>
      </w:r>
      <w:r w:rsidR="00A07CE7">
        <w:rPr>
          <w:rFonts w:ascii="Arial" w:hAnsi="Arial" w:cs="Arial"/>
          <w:sz w:val="22"/>
          <w:szCs w:val="22"/>
        </w:rPr>
        <w:fldChar w:fldCharType="end"/>
      </w:r>
      <w:r w:rsidR="00C74F71" w:rsidRPr="00C74F71">
        <w:rPr>
          <w:rFonts w:ascii="Arial" w:hAnsi="Arial" w:cs="Arial"/>
          <w:sz w:val="22"/>
          <w:szCs w:val="22"/>
        </w:rPr>
        <w:t>(1).</w:t>
      </w:r>
    </w:p>
    <w:p w14:paraId="57BB6D16" w14:textId="2FACC351" w:rsidR="00AB355D" w:rsidRDefault="00AB355D" w:rsidP="00C74F71">
      <w:pPr>
        <w:pStyle w:val="Heading3"/>
        <w:rPr>
          <w:rFonts w:ascii="Arial" w:hAnsi="Arial" w:cs="Arial"/>
          <w:sz w:val="22"/>
          <w:szCs w:val="22"/>
        </w:rPr>
      </w:pPr>
      <w:r w:rsidRPr="00232448">
        <w:rPr>
          <w:rFonts w:ascii="Arial" w:hAnsi="Arial" w:cs="Arial"/>
          <w:sz w:val="22"/>
          <w:szCs w:val="22"/>
        </w:rPr>
        <w:t xml:space="preserve"> </w:t>
      </w:r>
      <w:r w:rsidR="00945BCC">
        <w:rPr>
          <w:rFonts w:ascii="Arial" w:hAnsi="Arial" w:cs="Arial"/>
          <w:sz w:val="22"/>
          <w:szCs w:val="22"/>
        </w:rPr>
        <w:t xml:space="preserve">If, </w:t>
      </w:r>
      <w:r w:rsidR="00255978" w:rsidRPr="00255978">
        <w:rPr>
          <w:rFonts w:ascii="Arial" w:hAnsi="Arial" w:cs="Arial"/>
          <w:sz w:val="22"/>
          <w:szCs w:val="22"/>
        </w:rPr>
        <w:t>at any time between the filing of an application and the grant of an ADGM Green Bond Designation or ADGM Sustainability-Linked Bond Designation, the Issuer becomes aware of any material change, error, or omission reasonably likely to be relevant to the application under consideration, it must inform the Regulator in writing of such change without delay.</w:t>
      </w:r>
    </w:p>
    <w:p w14:paraId="4B44980D" w14:textId="035F78CC" w:rsidR="00BD10DD" w:rsidRDefault="00BD10DD" w:rsidP="00BD10DD">
      <w:pPr>
        <w:pStyle w:val="Heading3"/>
        <w:tabs>
          <w:tab w:val="clear" w:pos="720"/>
          <w:tab w:val="num" w:pos="851"/>
        </w:tabs>
        <w:rPr>
          <w:rFonts w:ascii="Arial" w:hAnsi="Arial" w:cs="Arial"/>
          <w:sz w:val="22"/>
          <w:szCs w:val="22"/>
        </w:rPr>
      </w:pPr>
      <w:r>
        <w:rPr>
          <w:rFonts w:ascii="Arial" w:hAnsi="Arial" w:cs="Arial"/>
          <w:sz w:val="22"/>
          <w:szCs w:val="22"/>
        </w:rPr>
        <w:t>In assessing an application, the Regulator may:</w:t>
      </w:r>
    </w:p>
    <w:p w14:paraId="5A076F43" w14:textId="1088BD86" w:rsidR="00BD10DD" w:rsidRDefault="00BD10DD" w:rsidP="00BD10DD">
      <w:pPr>
        <w:pStyle w:val="Heading4"/>
        <w:rPr>
          <w:rFonts w:ascii="Arial" w:hAnsi="Arial" w:cs="Arial"/>
          <w:sz w:val="22"/>
          <w:szCs w:val="22"/>
        </w:rPr>
      </w:pPr>
      <w:r>
        <w:rPr>
          <w:rFonts w:ascii="Arial" w:hAnsi="Arial" w:cs="Arial"/>
          <w:sz w:val="22"/>
          <w:szCs w:val="22"/>
        </w:rPr>
        <w:t xml:space="preserve">make </w:t>
      </w:r>
      <w:r w:rsidR="009A7C3C" w:rsidRPr="009A7C3C">
        <w:rPr>
          <w:rFonts w:ascii="Arial" w:hAnsi="Arial" w:cs="Arial"/>
          <w:sz w:val="22"/>
          <w:szCs w:val="22"/>
        </w:rPr>
        <w:t>any enquiries which it considers appropriate, including enquiries independent of the Issuer; or</w:t>
      </w:r>
    </w:p>
    <w:p w14:paraId="4BB4408D" w14:textId="2567B218" w:rsidR="009A7C3C" w:rsidRDefault="009A7C3C" w:rsidP="00BD10DD">
      <w:pPr>
        <w:pStyle w:val="Heading4"/>
        <w:rPr>
          <w:rFonts w:ascii="Arial" w:hAnsi="Arial" w:cs="Arial"/>
          <w:sz w:val="22"/>
          <w:szCs w:val="22"/>
        </w:rPr>
      </w:pPr>
      <w:r>
        <w:rPr>
          <w:rFonts w:ascii="Arial" w:hAnsi="Arial" w:cs="Arial"/>
          <w:sz w:val="22"/>
          <w:szCs w:val="22"/>
        </w:rPr>
        <w:t xml:space="preserve">require </w:t>
      </w:r>
      <w:r w:rsidR="00996E24" w:rsidRPr="00996E24">
        <w:rPr>
          <w:rFonts w:ascii="Arial" w:hAnsi="Arial" w:cs="Arial"/>
          <w:sz w:val="22"/>
          <w:szCs w:val="22"/>
        </w:rPr>
        <w:t>the Issuer to provide further information.</w:t>
      </w:r>
    </w:p>
    <w:p w14:paraId="2511624A" w14:textId="38B49830" w:rsidR="00805F2B" w:rsidRDefault="00805F2B" w:rsidP="00805F2B">
      <w:pPr>
        <w:pStyle w:val="Heading3"/>
        <w:tabs>
          <w:tab w:val="clear" w:pos="720"/>
          <w:tab w:val="num" w:pos="851"/>
        </w:tabs>
        <w:rPr>
          <w:rFonts w:ascii="Arial" w:hAnsi="Arial" w:cs="Arial"/>
          <w:sz w:val="22"/>
          <w:szCs w:val="22"/>
        </w:rPr>
      </w:pPr>
      <w:bookmarkStart w:id="515" w:name="_Ref138253146"/>
      <w:r>
        <w:rPr>
          <w:rFonts w:ascii="Arial" w:hAnsi="Arial" w:cs="Arial"/>
          <w:sz w:val="22"/>
          <w:szCs w:val="22"/>
        </w:rPr>
        <w:t xml:space="preserve">Upon </w:t>
      </w:r>
      <w:r w:rsidR="00F1409F" w:rsidRPr="00F1409F">
        <w:rPr>
          <w:rFonts w:ascii="Arial" w:hAnsi="Arial" w:cs="Arial"/>
          <w:sz w:val="22"/>
          <w:szCs w:val="22"/>
        </w:rPr>
        <w:t>grant of an ADGM Green Bond Designation or ADGM Sustainability-Linked Bond Designation, the Regulator will publish the name and details of the Security on a register maintained on its website.</w:t>
      </w:r>
      <w:bookmarkEnd w:id="515"/>
    </w:p>
    <w:p w14:paraId="2616D64C" w14:textId="611EB1B8" w:rsidR="00F1409F" w:rsidRPr="00232448" w:rsidRDefault="00F1409F" w:rsidP="00F1409F">
      <w:pPr>
        <w:pStyle w:val="Heading3"/>
        <w:numPr>
          <w:ilvl w:val="0"/>
          <w:numId w:val="0"/>
        </w:numPr>
        <w:ind w:left="720"/>
        <w:rPr>
          <w:rFonts w:ascii="Arial" w:hAnsi="Arial" w:cs="Arial"/>
          <w:b/>
          <w:bCs w:val="0"/>
          <w:sz w:val="22"/>
          <w:szCs w:val="22"/>
        </w:rPr>
      </w:pPr>
      <w:r w:rsidRPr="00232448">
        <w:rPr>
          <w:rFonts w:ascii="Arial" w:hAnsi="Arial" w:cs="Arial"/>
          <w:b/>
          <w:bCs w:val="0"/>
          <w:sz w:val="22"/>
          <w:szCs w:val="22"/>
        </w:rPr>
        <w:lastRenderedPageBreak/>
        <w:t>Guidance</w:t>
      </w:r>
    </w:p>
    <w:p w14:paraId="0C7C14B4" w14:textId="38A08A45" w:rsidR="00F1409F" w:rsidRDefault="00F1409F" w:rsidP="00F1409F">
      <w:pPr>
        <w:pStyle w:val="Heading3"/>
        <w:numPr>
          <w:ilvl w:val="0"/>
          <w:numId w:val="1109"/>
        </w:numPr>
        <w:rPr>
          <w:rFonts w:ascii="Arial" w:hAnsi="Arial" w:cs="Arial"/>
          <w:sz w:val="22"/>
          <w:szCs w:val="22"/>
        </w:rPr>
      </w:pPr>
      <w:r>
        <w:rPr>
          <w:rFonts w:ascii="Arial" w:hAnsi="Arial" w:cs="Arial"/>
          <w:sz w:val="22"/>
          <w:szCs w:val="22"/>
        </w:rPr>
        <w:t xml:space="preserve">Once </w:t>
      </w:r>
      <w:r w:rsidR="004E7C3E" w:rsidRPr="004E7C3E">
        <w:rPr>
          <w:rFonts w:ascii="Arial" w:hAnsi="Arial" w:cs="Arial"/>
          <w:sz w:val="22"/>
          <w:szCs w:val="22"/>
        </w:rPr>
        <w:t>the Regulator has made a decision in relation to an application, it will without undue delay inform the Issuer in writing of its decision.</w:t>
      </w:r>
    </w:p>
    <w:p w14:paraId="153F3A57" w14:textId="235A05D8" w:rsidR="004E7C3E" w:rsidRDefault="004E7C3E" w:rsidP="00F1409F">
      <w:pPr>
        <w:pStyle w:val="Heading3"/>
        <w:numPr>
          <w:ilvl w:val="0"/>
          <w:numId w:val="1109"/>
        </w:numPr>
        <w:rPr>
          <w:rFonts w:ascii="Arial" w:hAnsi="Arial" w:cs="Arial"/>
          <w:sz w:val="22"/>
          <w:szCs w:val="22"/>
        </w:rPr>
      </w:pPr>
      <w:r>
        <w:rPr>
          <w:rFonts w:ascii="Arial" w:hAnsi="Arial" w:cs="Arial"/>
          <w:sz w:val="22"/>
          <w:szCs w:val="22"/>
        </w:rPr>
        <w:t xml:space="preserve">The </w:t>
      </w:r>
      <w:r w:rsidR="00B47184" w:rsidRPr="00B47184">
        <w:rPr>
          <w:rFonts w:ascii="Arial" w:hAnsi="Arial" w:cs="Arial"/>
          <w:sz w:val="22"/>
          <w:szCs w:val="22"/>
        </w:rPr>
        <w:t>Regulator may refuse to grant an application for an ADGM Green Bond Designation or an ADGM Sustainability-Linked Bond Designation if it is not satisfied that the requirements of this section have been met or will be met on an ongoing basis.</w:t>
      </w:r>
    </w:p>
    <w:p w14:paraId="4C4A0811" w14:textId="0107A507" w:rsidR="00B47184" w:rsidRPr="00232448" w:rsidRDefault="00B47184" w:rsidP="00B47184">
      <w:pPr>
        <w:pStyle w:val="Heading3"/>
        <w:numPr>
          <w:ilvl w:val="0"/>
          <w:numId w:val="0"/>
        </w:numPr>
        <w:ind w:left="720"/>
        <w:rPr>
          <w:rFonts w:ascii="Arial" w:hAnsi="Arial" w:cs="Arial"/>
          <w:b/>
          <w:bCs w:val="0"/>
          <w:sz w:val="22"/>
          <w:szCs w:val="22"/>
        </w:rPr>
      </w:pPr>
      <w:r w:rsidRPr="00232448">
        <w:rPr>
          <w:rFonts w:ascii="Arial" w:hAnsi="Arial" w:cs="Arial"/>
          <w:b/>
          <w:bCs w:val="0"/>
          <w:sz w:val="22"/>
          <w:szCs w:val="22"/>
        </w:rPr>
        <w:t>Annual submission</w:t>
      </w:r>
    </w:p>
    <w:p w14:paraId="3A8BA3DB" w14:textId="4970E4F4" w:rsidR="00B47184" w:rsidRDefault="00B47184" w:rsidP="00B47184">
      <w:pPr>
        <w:pStyle w:val="Heading3"/>
        <w:tabs>
          <w:tab w:val="clear" w:pos="720"/>
          <w:tab w:val="num" w:pos="851"/>
        </w:tabs>
        <w:rPr>
          <w:rFonts w:ascii="Arial" w:hAnsi="Arial" w:cs="Arial"/>
          <w:sz w:val="22"/>
          <w:szCs w:val="22"/>
        </w:rPr>
      </w:pPr>
      <w:r>
        <w:rPr>
          <w:rFonts w:ascii="Arial" w:hAnsi="Arial" w:cs="Arial"/>
          <w:sz w:val="22"/>
          <w:szCs w:val="22"/>
        </w:rPr>
        <w:t xml:space="preserve">In </w:t>
      </w:r>
      <w:r w:rsidR="001A72C6" w:rsidRPr="001A72C6">
        <w:rPr>
          <w:rFonts w:ascii="Arial" w:hAnsi="Arial" w:cs="Arial"/>
          <w:sz w:val="22"/>
          <w:szCs w:val="22"/>
        </w:rPr>
        <w:t xml:space="preserve">order to retain the ADGM Green Bond Designation or ADGM Sustainability-Linked Bond Designation, an Issuer must submit a copy of the post-issuance external review conducted under Rule </w:t>
      </w:r>
      <w:r w:rsidR="00A07CE7">
        <w:rPr>
          <w:rFonts w:ascii="Arial" w:hAnsi="Arial" w:cs="Arial"/>
          <w:sz w:val="22"/>
          <w:szCs w:val="22"/>
        </w:rPr>
        <w:fldChar w:fldCharType="begin"/>
      </w:r>
      <w:r w:rsidR="00A07CE7">
        <w:rPr>
          <w:rFonts w:ascii="Arial" w:hAnsi="Arial" w:cs="Arial"/>
          <w:sz w:val="22"/>
          <w:szCs w:val="22"/>
        </w:rPr>
        <w:instrText xml:space="preserve"> REF _Ref138253168 \n \h </w:instrText>
      </w:r>
      <w:r w:rsidR="00A07CE7">
        <w:rPr>
          <w:rFonts w:ascii="Arial" w:hAnsi="Arial" w:cs="Arial"/>
          <w:sz w:val="22"/>
          <w:szCs w:val="22"/>
        </w:rPr>
      </w:r>
      <w:r w:rsidR="00A07CE7">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4.15.6</w:t>
      </w:r>
      <w:r w:rsidR="00A07CE7">
        <w:rPr>
          <w:rFonts w:ascii="Arial" w:hAnsi="Arial" w:cs="Arial"/>
          <w:sz w:val="22"/>
          <w:szCs w:val="22"/>
        </w:rPr>
        <w:fldChar w:fldCharType="end"/>
      </w:r>
      <w:r w:rsidR="001A72C6" w:rsidRPr="001A72C6">
        <w:rPr>
          <w:rFonts w:ascii="Arial" w:hAnsi="Arial" w:cs="Arial"/>
          <w:sz w:val="22"/>
          <w:szCs w:val="22"/>
        </w:rPr>
        <w:t>(2) to the Regulator as soon as reasonably practicable following completion of the review.</w:t>
      </w:r>
    </w:p>
    <w:p w14:paraId="4B62D5A5" w14:textId="75CA4DC3" w:rsidR="001A72C6" w:rsidRPr="00232448" w:rsidRDefault="001A72C6" w:rsidP="001A72C6">
      <w:pPr>
        <w:pStyle w:val="Heading3"/>
        <w:numPr>
          <w:ilvl w:val="0"/>
          <w:numId w:val="0"/>
        </w:numPr>
        <w:ind w:left="720"/>
        <w:rPr>
          <w:rFonts w:ascii="Arial" w:hAnsi="Arial" w:cs="Arial"/>
          <w:b/>
          <w:bCs w:val="0"/>
          <w:sz w:val="22"/>
          <w:szCs w:val="22"/>
        </w:rPr>
      </w:pPr>
      <w:r w:rsidRPr="00232448">
        <w:rPr>
          <w:rFonts w:ascii="Arial" w:hAnsi="Arial" w:cs="Arial"/>
          <w:b/>
          <w:bCs w:val="0"/>
          <w:sz w:val="22"/>
          <w:szCs w:val="22"/>
        </w:rPr>
        <w:t>Withdrawal of approval</w:t>
      </w:r>
    </w:p>
    <w:p w14:paraId="666F781F" w14:textId="2C7933BD" w:rsidR="001A72C6" w:rsidRDefault="00DC738C" w:rsidP="001A72C6">
      <w:pPr>
        <w:pStyle w:val="Heading3"/>
        <w:tabs>
          <w:tab w:val="clear" w:pos="720"/>
          <w:tab w:val="num" w:pos="851"/>
        </w:tabs>
        <w:rPr>
          <w:rFonts w:ascii="Arial" w:hAnsi="Arial" w:cs="Arial"/>
          <w:sz w:val="22"/>
          <w:szCs w:val="22"/>
        </w:rPr>
      </w:pPr>
      <w:bookmarkStart w:id="516" w:name="_Ref138253380"/>
      <w:r>
        <w:rPr>
          <w:rFonts w:ascii="Arial" w:hAnsi="Arial" w:cs="Arial"/>
          <w:sz w:val="22"/>
          <w:szCs w:val="22"/>
        </w:rPr>
        <w:t xml:space="preserve">The </w:t>
      </w:r>
      <w:r w:rsidR="00BD63F6" w:rsidRPr="00BD63F6">
        <w:rPr>
          <w:rFonts w:ascii="Arial" w:hAnsi="Arial" w:cs="Arial"/>
          <w:sz w:val="22"/>
          <w:szCs w:val="22"/>
        </w:rPr>
        <w:t>Regulator may withdraw an ADGM Green Bond Designation or ADGM Sustainability-Linked Bond Designation:</w:t>
      </w:r>
      <w:bookmarkEnd w:id="516"/>
    </w:p>
    <w:p w14:paraId="3C520BB3" w14:textId="77777777" w:rsidR="00FD2D9B" w:rsidRDefault="00BD63F6" w:rsidP="00BD63F6">
      <w:pPr>
        <w:pStyle w:val="Heading4"/>
        <w:rPr>
          <w:rFonts w:ascii="Arial" w:hAnsi="Arial" w:cs="Arial"/>
          <w:sz w:val="22"/>
          <w:szCs w:val="22"/>
        </w:rPr>
      </w:pPr>
      <w:r>
        <w:rPr>
          <w:rFonts w:ascii="Arial" w:hAnsi="Arial" w:cs="Arial"/>
          <w:sz w:val="22"/>
          <w:szCs w:val="22"/>
        </w:rPr>
        <w:t xml:space="preserve">on </w:t>
      </w:r>
      <w:r w:rsidR="00FD2D9B" w:rsidRPr="00FD2D9B">
        <w:rPr>
          <w:rFonts w:ascii="Arial" w:hAnsi="Arial" w:cs="Arial"/>
          <w:sz w:val="22"/>
          <w:szCs w:val="22"/>
        </w:rPr>
        <w:t>its own initiative, if it appears to the Regulator that:</w:t>
      </w:r>
    </w:p>
    <w:p w14:paraId="1245D6E9" w14:textId="6EC5F1DD" w:rsidR="00BD63F6" w:rsidRDefault="00FD2D9B" w:rsidP="00FD2D9B">
      <w:pPr>
        <w:pStyle w:val="Heading5"/>
        <w:rPr>
          <w:rFonts w:ascii="Arial" w:hAnsi="Arial" w:cs="Arial"/>
          <w:sz w:val="22"/>
          <w:szCs w:val="22"/>
        </w:rPr>
      </w:pPr>
      <w:r>
        <w:rPr>
          <w:rFonts w:ascii="Arial" w:hAnsi="Arial" w:cs="Arial"/>
          <w:sz w:val="22"/>
          <w:szCs w:val="22"/>
        </w:rPr>
        <w:t xml:space="preserve">the </w:t>
      </w:r>
      <w:r w:rsidR="001C7E8B" w:rsidRPr="001C7E8B">
        <w:rPr>
          <w:rFonts w:ascii="Arial" w:hAnsi="Arial" w:cs="Arial"/>
          <w:sz w:val="22"/>
          <w:szCs w:val="22"/>
        </w:rPr>
        <w:t xml:space="preserve">Securities are not in compliance with, or unlikely to be in compliance with, the requirements of the Qualifying Green Debenture Principles or Qualifying Sustainability-Linked Debenture Principles specified in the application for approval under Rule </w:t>
      </w:r>
      <w:r w:rsidR="00A07CE7">
        <w:rPr>
          <w:rFonts w:ascii="Arial" w:hAnsi="Arial" w:cs="Arial"/>
          <w:sz w:val="22"/>
          <w:szCs w:val="22"/>
        </w:rPr>
        <w:fldChar w:fldCharType="begin"/>
      </w:r>
      <w:r w:rsidR="00A07CE7">
        <w:rPr>
          <w:rFonts w:ascii="Arial" w:hAnsi="Arial" w:cs="Arial"/>
          <w:sz w:val="22"/>
          <w:szCs w:val="22"/>
        </w:rPr>
        <w:instrText xml:space="preserve"> REF _Ref138253305 \n \h </w:instrText>
      </w:r>
      <w:r w:rsidR="00A07CE7">
        <w:rPr>
          <w:rFonts w:ascii="Arial" w:hAnsi="Arial" w:cs="Arial"/>
          <w:sz w:val="22"/>
          <w:szCs w:val="22"/>
        </w:rPr>
      </w:r>
      <w:r w:rsidR="00A07CE7">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4.15.8</w:t>
      </w:r>
      <w:r w:rsidR="00A07CE7">
        <w:rPr>
          <w:rFonts w:ascii="Arial" w:hAnsi="Arial" w:cs="Arial"/>
          <w:sz w:val="22"/>
          <w:szCs w:val="22"/>
        </w:rPr>
        <w:fldChar w:fldCharType="end"/>
      </w:r>
      <w:r w:rsidR="001C7E8B" w:rsidRPr="001C7E8B">
        <w:rPr>
          <w:rFonts w:ascii="Arial" w:hAnsi="Arial" w:cs="Arial"/>
          <w:sz w:val="22"/>
          <w:szCs w:val="22"/>
        </w:rPr>
        <w:t>;</w:t>
      </w:r>
    </w:p>
    <w:p w14:paraId="00AD2B6C" w14:textId="3AC57607" w:rsidR="001C7E8B" w:rsidRDefault="001C7E8B" w:rsidP="00FD2D9B">
      <w:pPr>
        <w:pStyle w:val="Heading5"/>
        <w:rPr>
          <w:rFonts w:ascii="Arial" w:hAnsi="Arial" w:cs="Arial"/>
          <w:sz w:val="22"/>
          <w:szCs w:val="22"/>
        </w:rPr>
      </w:pPr>
      <w:r>
        <w:rPr>
          <w:rFonts w:ascii="Arial" w:hAnsi="Arial" w:cs="Arial"/>
          <w:sz w:val="22"/>
          <w:szCs w:val="22"/>
        </w:rPr>
        <w:t xml:space="preserve">the </w:t>
      </w:r>
      <w:r w:rsidR="002F1532" w:rsidRPr="002F1532">
        <w:rPr>
          <w:rFonts w:ascii="Arial" w:hAnsi="Arial" w:cs="Arial"/>
          <w:sz w:val="22"/>
          <w:szCs w:val="22"/>
        </w:rPr>
        <w:t>Issuer or any Person promoting the Securities has committed a contravention of FSMR or the Rules; or</w:t>
      </w:r>
    </w:p>
    <w:p w14:paraId="7F1A8463" w14:textId="4397C1D9" w:rsidR="002F1532" w:rsidRDefault="002F1532" w:rsidP="00FD2D9B">
      <w:pPr>
        <w:pStyle w:val="Heading5"/>
        <w:rPr>
          <w:rFonts w:ascii="Arial" w:hAnsi="Arial" w:cs="Arial"/>
          <w:sz w:val="22"/>
          <w:szCs w:val="22"/>
        </w:rPr>
      </w:pPr>
      <w:r>
        <w:rPr>
          <w:rFonts w:ascii="Arial" w:hAnsi="Arial" w:cs="Arial"/>
          <w:sz w:val="22"/>
          <w:szCs w:val="22"/>
        </w:rPr>
        <w:t xml:space="preserve">it </w:t>
      </w:r>
      <w:r w:rsidR="00C826E9" w:rsidRPr="00C826E9">
        <w:rPr>
          <w:rFonts w:ascii="Arial" w:hAnsi="Arial" w:cs="Arial"/>
          <w:sz w:val="22"/>
          <w:szCs w:val="22"/>
        </w:rPr>
        <w:t>is desirable to do so in order to further one or more of the Regulator’s objectives; or</w:t>
      </w:r>
    </w:p>
    <w:p w14:paraId="34093CDC" w14:textId="5912135C" w:rsidR="00C826E9" w:rsidRDefault="00C826E9" w:rsidP="00C826E9">
      <w:pPr>
        <w:pStyle w:val="Heading4"/>
        <w:rPr>
          <w:rFonts w:ascii="Arial" w:hAnsi="Arial" w:cs="Arial"/>
          <w:sz w:val="22"/>
          <w:szCs w:val="22"/>
        </w:rPr>
      </w:pPr>
      <w:r>
        <w:rPr>
          <w:rFonts w:ascii="Arial" w:hAnsi="Arial" w:cs="Arial"/>
          <w:sz w:val="22"/>
          <w:szCs w:val="22"/>
        </w:rPr>
        <w:t xml:space="preserve">on </w:t>
      </w:r>
      <w:r w:rsidR="00A7055B" w:rsidRPr="00A7055B">
        <w:rPr>
          <w:rFonts w:ascii="Arial" w:hAnsi="Arial" w:cs="Arial"/>
          <w:sz w:val="22"/>
          <w:szCs w:val="22"/>
        </w:rPr>
        <w:t>the application of an Issuer, where the application for withdrawal has been made with the prior notification of Security holders,</w:t>
      </w:r>
    </w:p>
    <w:p w14:paraId="77E28752" w14:textId="2F95276F" w:rsidR="00A7055B" w:rsidRDefault="00A7055B" w:rsidP="00A7055B">
      <w:pPr>
        <w:pStyle w:val="Heading4"/>
        <w:numPr>
          <w:ilvl w:val="0"/>
          <w:numId w:val="0"/>
        </w:numPr>
        <w:ind w:left="720"/>
        <w:rPr>
          <w:rFonts w:ascii="Arial" w:hAnsi="Arial" w:cs="Arial"/>
          <w:sz w:val="22"/>
          <w:szCs w:val="22"/>
        </w:rPr>
      </w:pPr>
      <w:r>
        <w:rPr>
          <w:rFonts w:ascii="Arial" w:hAnsi="Arial" w:cs="Arial"/>
          <w:sz w:val="22"/>
          <w:szCs w:val="22"/>
        </w:rPr>
        <w:t>by delivery of written notification of the withdrawal to the Issuer.</w:t>
      </w:r>
    </w:p>
    <w:p w14:paraId="19A8418B" w14:textId="114748FB" w:rsidR="00A7055B" w:rsidRPr="00232448" w:rsidRDefault="00A7055B" w:rsidP="00A7055B">
      <w:pPr>
        <w:pStyle w:val="Heading4"/>
        <w:numPr>
          <w:ilvl w:val="0"/>
          <w:numId w:val="0"/>
        </w:numPr>
        <w:ind w:left="720"/>
        <w:rPr>
          <w:rFonts w:ascii="Arial" w:hAnsi="Arial" w:cs="Arial"/>
          <w:b/>
          <w:bCs w:val="0"/>
          <w:sz w:val="22"/>
          <w:szCs w:val="22"/>
        </w:rPr>
      </w:pPr>
      <w:r w:rsidRPr="00232448">
        <w:rPr>
          <w:rFonts w:ascii="Arial" w:hAnsi="Arial" w:cs="Arial"/>
          <w:b/>
          <w:bCs w:val="0"/>
          <w:sz w:val="22"/>
          <w:szCs w:val="22"/>
        </w:rPr>
        <w:t>Guidance</w:t>
      </w:r>
    </w:p>
    <w:p w14:paraId="13C65014" w14:textId="3C13A9F5" w:rsidR="00A7055B" w:rsidRDefault="00A7055B" w:rsidP="00A7055B">
      <w:pPr>
        <w:pStyle w:val="Heading4"/>
        <w:numPr>
          <w:ilvl w:val="0"/>
          <w:numId w:val="0"/>
        </w:numPr>
        <w:ind w:left="720"/>
        <w:rPr>
          <w:rFonts w:ascii="Arial" w:hAnsi="Arial" w:cs="Arial"/>
          <w:sz w:val="22"/>
          <w:szCs w:val="22"/>
        </w:rPr>
      </w:pPr>
      <w:r>
        <w:rPr>
          <w:rFonts w:ascii="Arial" w:hAnsi="Arial" w:cs="Arial"/>
          <w:sz w:val="22"/>
          <w:szCs w:val="22"/>
        </w:rPr>
        <w:t xml:space="preserve">The </w:t>
      </w:r>
      <w:r w:rsidR="0016037A" w:rsidRPr="0016037A">
        <w:rPr>
          <w:rFonts w:ascii="Arial" w:hAnsi="Arial" w:cs="Arial"/>
          <w:sz w:val="22"/>
          <w:szCs w:val="22"/>
        </w:rPr>
        <w:t xml:space="preserve">effect of a withdrawal under this Rule is that a Security is no longer provided an ADGM Green Debenture Designation or ADGM Sustainability-Linked Debenture Designation and will be removed from the FSRA register referenced at </w:t>
      </w:r>
      <w:r w:rsidR="00A07CE7">
        <w:rPr>
          <w:rFonts w:ascii="Arial" w:hAnsi="Arial" w:cs="Arial"/>
          <w:sz w:val="22"/>
          <w:szCs w:val="22"/>
        </w:rPr>
        <w:fldChar w:fldCharType="begin"/>
      </w:r>
      <w:r w:rsidR="00A07CE7">
        <w:rPr>
          <w:rFonts w:ascii="Arial" w:hAnsi="Arial" w:cs="Arial"/>
          <w:sz w:val="22"/>
          <w:szCs w:val="22"/>
        </w:rPr>
        <w:instrText xml:space="preserve"> REF _Ref138253146 \n \h </w:instrText>
      </w:r>
      <w:r w:rsidR="00A07CE7">
        <w:rPr>
          <w:rFonts w:ascii="Arial" w:hAnsi="Arial" w:cs="Arial"/>
          <w:sz w:val="22"/>
          <w:szCs w:val="22"/>
        </w:rPr>
      </w:r>
      <w:r w:rsidR="00A07CE7">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4.15.11</w:t>
      </w:r>
      <w:r w:rsidR="00A07CE7">
        <w:rPr>
          <w:rFonts w:ascii="Arial" w:hAnsi="Arial" w:cs="Arial"/>
          <w:sz w:val="22"/>
          <w:szCs w:val="22"/>
        </w:rPr>
        <w:fldChar w:fldCharType="end"/>
      </w:r>
      <w:r w:rsidR="0016037A" w:rsidRPr="0016037A">
        <w:rPr>
          <w:rFonts w:ascii="Arial" w:hAnsi="Arial" w:cs="Arial"/>
          <w:sz w:val="22"/>
          <w:szCs w:val="22"/>
        </w:rPr>
        <w:t xml:space="preserve"> above.</w:t>
      </w:r>
    </w:p>
    <w:p w14:paraId="24287AAE" w14:textId="555DD1C7" w:rsidR="0016037A" w:rsidRPr="00232448" w:rsidRDefault="0016037A" w:rsidP="00A7055B">
      <w:pPr>
        <w:pStyle w:val="Heading4"/>
        <w:numPr>
          <w:ilvl w:val="0"/>
          <w:numId w:val="0"/>
        </w:numPr>
        <w:ind w:left="720"/>
        <w:rPr>
          <w:rFonts w:ascii="Arial" w:hAnsi="Arial" w:cs="Arial"/>
          <w:b/>
          <w:bCs w:val="0"/>
          <w:sz w:val="22"/>
          <w:szCs w:val="22"/>
        </w:rPr>
      </w:pPr>
      <w:r w:rsidRPr="00232448">
        <w:rPr>
          <w:rFonts w:ascii="Arial" w:hAnsi="Arial" w:cs="Arial"/>
          <w:b/>
          <w:bCs w:val="0"/>
          <w:sz w:val="22"/>
          <w:szCs w:val="22"/>
        </w:rPr>
        <w:t>Notification by Issuer</w:t>
      </w:r>
    </w:p>
    <w:p w14:paraId="63EE06FD" w14:textId="61462456" w:rsidR="0016037A" w:rsidRDefault="0016037A" w:rsidP="005A450E">
      <w:pPr>
        <w:pStyle w:val="Heading3"/>
        <w:tabs>
          <w:tab w:val="clear" w:pos="720"/>
          <w:tab w:val="num" w:pos="993"/>
        </w:tabs>
        <w:ind w:left="993" w:hanging="993"/>
        <w:rPr>
          <w:rFonts w:ascii="Arial" w:hAnsi="Arial" w:cs="Arial"/>
          <w:sz w:val="22"/>
          <w:szCs w:val="22"/>
        </w:rPr>
      </w:pPr>
      <w:bookmarkStart w:id="517" w:name="_Ref138253371"/>
      <w:r>
        <w:rPr>
          <w:rFonts w:ascii="Arial" w:hAnsi="Arial" w:cs="Arial"/>
          <w:sz w:val="22"/>
          <w:szCs w:val="22"/>
        </w:rPr>
        <w:t xml:space="preserve">If, </w:t>
      </w:r>
      <w:r w:rsidR="005A450E" w:rsidRPr="005A450E">
        <w:rPr>
          <w:rFonts w:ascii="Arial" w:hAnsi="Arial" w:cs="Arial"/>
          <w:sz w:val="22"/>
          <w:szCs w:val="22"/>
        </w:rPr>
        <w:t xml:space="preserve">at any time after the granting of an ADGM Green Bond Designation or ADGM Sustainability-Linked Bond Designation, the Issuer becomes aware the Securities are no longer in compliance with the requirements under Rules </w:t>
      </w:r>
      <w:r w:rsidR="00A07CE7">
        <w:rPr>
          <w:rFonts w:ascii="Arial" w:hAnsi="Arial" w:cs="Arial"/>
          <w:sz w:val="22"/>
          <w:szCs w:val="22"/>
        </w:rPr>
        <w:fldChar w:fldCharType="begin"/>
      </w:r>
      <w:r w:rsidR="00A07CE7">
        <w:rPr>
          <w:rFonts w:ascii="Arial" w:hAnsi="Arial" w:cs="Arial"/>
          <w:sz w:val="22"/>
          <w:szCs w:val="22"/>
        </w:rPr>
        <w:instrText xml:space="preserve"> REF _Ref138253334 \n \h </w:instrText>
      </w:r>
      <w:r w:rsidR="00A07CE7">
        <w:rPr>
          <w:rFonts w:ascii="Arial" w:hAnsi="Arial" w:cs="Arial"/>
          <w:sz w:val="22"/>
          <w:szCs w:val="22"/>
        </w:rPr>
      </w:r>
      <w:r w:rsidR="00A07CE7">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4.15.2</w:t>
      </w:r>
      <w:r w:rsidR="00A07CE7">
        <w:rPr>
          <w:rFonts w:ascii="Arial" w:hAnsi="Arial" w:cs="Arial"/>
          <w:sz w:val="22"/>
          <w:szCs w:val="22"/>
        </w:rPr>
        <w:fldChar w:fldCharType="end"/>
      </w:r>
      <w:r w:rsidR="005A450E" w:rsidRPr="005A450E">
        <w:rPr>
          <w:rFonts w:ascii="Arial" w:hAnsi="Arial" w:cs="Arial"/>
          <w:sz w:val="22"/>
          <w:szCs w:val="22"/>
        </w:rPr>
        <w:t xml:space="preserve"> or Rule </w:t>
      </w:r>
      <w:r w:rsidR="00A07CE7">
        <w:rPr>
          <w:rFonts w:ascii="Arial" w:hAnsi="Arial" w:cs="Arial"/>
          <w:sz w:val="22"/>
          <w:szCs w:val="22"/>
        </w:rPr>
        <w:fldChar w:fldCharType="begin"/>
      </w:r>
      <w:r w:rsidR="00A07CE7">
        <w:rPr>
          <w:rFonts w:ascii="Arial" w:hAnsi="Arial" w:cs="Arial"/>
          <w:sz w:val="22"/>
          <w:szCs w:val="22"/>
        </w:rPr>
        <w:instrText xml:space="preserve"> REF _Ref138253344 \n \h </w:instrText>
      </w:r>
      <w:r w:rsidR="00A07CE7">
        <w:rPr>
          <w:rFonts w:ascii="Arial" w:hAnsi="Arial" w:cs="Arial"/>
          <w:sz w:val="22"/>
          <w:szCs w:val="22"/>
        </w:rPr>
      </w:r>
      <w:r w:rsidR="00A07CE7">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4.15.3</w:t>
      </w:r>
      <w:r w:rsidR="00A07CE7">
        <w:rPr>
          <w:rFonts w:ascii="Arial" w:hAnsi="Arial" w:cs="Arial"/>
          <w:sz w:val="22"/>
          <w:szCs w:val="22"/>
        </w:rPr>
        <w:fldChar w:fldCharType="end"/>
      </w:r>
      <w:r w:rsidR="005A450E" w:rsidRPr="005A450E">
        <w:rPr>
          <w:rFonts w:ascii="Arial" w:hAnsi="Arial" w:cs="Arial"/>
          <w:sz w:val="22"/>
          <w:szCs w:val="22"/>
        </w:rPr>
        <w:t>, it must notify the Regulator in writing without delay.</w:t>
      </w:r>
      <w:bookmarkEnd w:id="517"/>
    </w:p>
    <w:p w14:paraId="26A619AD" w14:textId="6398C4CF" w:rsidR="005A450E" w:rsidRPr="00232448" w:rsidRDefault="00D57099" w:rsidP="00232448">
      <w:pPr>
        <w:pStyle w:val="Heading3"/>
        <w:keepNext/>
        <w:numPr>
          <w:ilvl w:val="0"/>
          <w:numId w:val="0"/>
        </w:numPr>
        <w:ind w:left="992"/>
        <w:rPr>
          <w:rFonts w:ascii="Arial" w:hAnsi="Arial" w:cs="Arial"/>
          <w:b/>
          <w:bCs w:val="0"/>
          <w:sz w:val="22"/>
          <w:szCs w:val="22"/>
        </w:rPr>
      </w:pPr>
      <w:r w:rsidRPr="00232448">
        <w:rPr>
          <w:rFonts w:ascii="Arial" w:hAnsi="Arial" w:cs="Arial"/>
          <w:b/>
          <w:bCs w:val="0"/>
          <w:sz w:val="22"/>
          <w:szCs w:val="22"/>
        </w:rPr>
        <w:lastRenderedPageBreak/>
        <w:t>Guidance</w:t>
      </w:r>
    </w:p>
    <w:p w14:paraId="0417B4EC" w14:textId="6D450ACF" w:rsidR="00D57099" w:rsidRDefault="00D57099" w:rsidP="00D57099">
      <w:pPr>
        <w:pStyle w:val="Heading3"/>
        <w:numPr>
          <w:ilvl w:val="0"/>
          <w:numId w:val="0"/>
        </w:numPr>
        <w:ind w:left="993"/>
        <w:rPr>
          <w:rFonts w:ascii="Arial" w:hAnsi="Arial" w:cs="Arial"/>
          <w:sz w:val="22"/>
          <w:szCs w:val="22"/>
        </w:rPr>
      </w:pPr>
      <w:r>
        <w:rPr>
          <w:rFonts w:ascii="Arial" w:hAnsi="Arial" w:cs="Arial"/>
          <w:sz w:val="22"/>
          <w:szCs w:val="22"/>
        </w:rPr>
        <w:t xml:space="preserve">The </w:t>
      </w:r>
      <w:r w:rsidR="00454158" w:rsidRPr="00454158">
        <w:rPr>
          <w:rFonts w:ascii="Arial" w:hAnsi="Arial" w:cs="Arial"/>
          <w:sz w:val="22"/>
          <w:szCs w:val="22"/>
        </w:rPr>
        <w:t xml:space="preserve">Regulator may withdraw a ADGM Green Bond Designation or ADGM Sustainability-Linked Bond Designation upon notification in accordance with Rule </w:t>
      </w:r>
      <w:r w:rsidR="00A976EE">
        <w:rPr>
          <w:rFonts w:ascii="Arial" w:hAnsi="Arial" w:cs="Arial"/>
          <w:sz w:val="22"/>
          <w:szCs w:val="22"/>
        </w:rPr>
        <w:fldChar w:fldCharType="begin"/>
      </w:r>
      <w:r w:rsidR="00A976EE">
        <w:rPr>
          <w:rFonts w:ascii="Arial" w:hAnsi="Arial" w:cs="Arial"/>
          <w:sz w:val="22"/>
          <w:szCs w:val="22"/>
        </w:rPr>
        <w:instrText xml:space="preserve"> REF _Ref138253371 \n \h </w:instrText>
      </w:r>
      <w:r w:rsidR="00A976EE">
        <w:rPr>
          <w:rFonts w:ascii="Arial" w:hAnsi="Arial" w:cs="Arial"/>
          <w:sz w:val="22"/>
          <w:szCs w:val="22"/>
        </w:rPr>
      </w:r>
      <w:r w:rsidR="00A976EE">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4.15.14</w:t>
      </w:r>
      <w:r w:rsidR="00A976EE">
        <w:rPr>
          <w:rFonts w:ascii="Arial" w:hAnsi="Arial" w:cs="Arial"/>
          <w:sz w:val="22"/>
          <w:szCs w:val="22"/>
        </w:rPr>
        <w:fldChar w:fldCharType="end"/>
      </w:r>
      <w:r w:rsidR="00454158" w:rsidRPr="00454158">
        <w:rPr>
          <w:rFonts w:ascii="Arial" w:hAnsi="Arial" w:cs="Arial"/>
          <w:sz w:val="22"/>
          <w:szCs w:val="22"/>
        </w:rPr>
        <w:t xml:space="preserve">, pursuant to Rule </w:t>
      </w:r>
      <w:r w:rsidR="00A976EE">
        <w:rPr>
          <w:rFonts w:ascii="Arial" w:hAnsi="Arial" w:cs="Arial"/>
          <w:sz w:val="22"/>
          <w:szCs w:val="22"/>
        </w:rPr>
        <w:fldChar w:fldCharType="begin"/>
      </w:r>
      <w:r w:rsidR="00A976EE">
        <w:rPr>
          <w:rFonts w:ascii="Arial" w:hAnsi="Arial" w:cs="Arial"/>
          <w:sz w:val="22"/>
          <w:szCs w:val="22"/>
        </w:rPr>
        <w:instrText xml:space="preserve"> REF _Ref138253380 \n \h </w:instrText>
      </w:r>
      <w:r w:rsidR="00A976EE">
        <w:rPr>
          <w:rFonts w:ascii="Arial" w:hAnsi="Arial" w:cs="Arial"/>
          <w:sz w:val="22"/>
          <w:szCs w:val="22"/>
        </w:rPr>
      </w:r>
      <w:r w:rsidR="00A976EE">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4.15.13</w:t>
      </w:r>
      <w:r w:rsidR="00A976EE">
        <w:rPr>
          <w:rFonts w:ascii="Arial" w:hAnsi="Arial" w:cs="Arial"/>
          <w:sz w:val="22"/>
          <w:szCs w:val="22"/>
        </w:rPr>
        <w:fldChar w:fldCharType="end"/>
      </w:r>
      <w:r w:rsidR="00454158" w:rsidRPr="00454158">
        <w:rPr>
          <w:rFonts w:ascii="Arial" w:hAnsi="Arial" w:cs="Arial"/>
          <w:sz w:val="22"/>
          <w:szCs w:val="22"/>
        </w:rPr>
        <w:t>.</w:t>
      </w:r>
    </w:p>
    <w:p w14:paraId="2B0301EA" w14:textId="77A986AE" w:rsidR="00454158" w:rsidRDefault="00454158" w:rsidP="00454158">
      <w:pPr>
        <w:pStyle w:val="Heading2"/>
        <w:rPr>
          <w:rFonts w:ascii="Arial" w:hAnsi="Arial" w:cs="Arial"/>
          <w:sz w:val="22"/>
          <w:szCs w:val="22"/>
        </w:rPr>
      </w:pPr>
      <w:bookmarkStart w:id="518" w:name="_Toc138325684"/>
      <w:r>
        <w:rPr>
          <w:rFonts w:ascii="Arial" w:hAnsi="Arial" w:cs="Arial"/>
          <w:sz w:val="22"/>
          <w:szCs w:val="22"/>
        </w:rPr>
        <w:t>ADGM Green Sukuk and ADGM Sustainability-Linked Sukuk</w:t>
      </w:r>
      <w:bookmarkEnd w:id="518"/>
    </w:p>
    <w:p w14:paraId="62937BB8" w14:textId="243F06E2" w:rsidR="001A5578" w:rsidRPr="00232448" w:rsidRDefault="001A5578" w:rsidP="001A5578">
      <w:pPr>
        <w:pStyle w:val="Heading3"/>
        <w:numPr>
          <w:ilvl w:val="0"/>
          <w:numId w:val="0"/>
        </w:numPr>
        <w:ind w:left="720"/>
        <w:rPr>
          <w:rFonts w:ascii="Arial" w:hAnsi="Arial" w:cs="Arial"/>
          <w:b/>
          <w:bCs w:val="0"/>
          <w:sz w:val="22"/>
          <w:szCs w:val="22"/>
        </w:rPr>
      </w:pPr>
      <w:r w:rsidRPr="00232448">
        <w:rPr>
          <w:rFonts w:ascii="Arial" w:hAnsi="Arial" w:cs="Arial"/>
          <w:b/>
          <w:bCs w:val="0"/>
          <w:sz w:val="22"/>
          <w:szCs w:val="22"/>
        </w:rPr>
        <w:t>Application</w:t>
      </w:r>
    </w:p>
    <w:p w14:paraId="4AD9D954" w14:textId="1F0A95DE" w:rsidR="001A5578" w:rsidRDefault="001D08A6" w:rsidP="001A5578">
      <w:pPr>
        <w:pStyle w:val="Heading3"/>
        <w:rPr>
          <w:rFonts w:ascii="Arial" w:hAnsi="Arial" w:cs="Arial"/>
          <w:sz w:val="22"/>
          <w:szCs w:val="22"/>
        </w:rPr>
      </w:pPr>
      <w:r>
        <w:rPr>
          <w:rFonts w:ascii="Arial" w:hAnsi="Arial" w:cs="Arial"/>
          <w:sz w:val="22"/>
          <w:szCs w:val="22"/>
        </w:rPr>
        <w:t xml:space="preserve">The </w:t>
      </w:r>
      <w:r w:rsidR="00DC06CC" w:rsidRPr="00DC06CC">
        <w:rPr>
          <w:rFonts w:ascii="Arial" w:hAnsi="Arial" w:cs="Arial"/>
          <w:sz w:val="22"/>
          <w:szCs w:val="22"/>
        </w:rPr>
        <w:t xml:space="preserve">Rules and Guidance set out under section </w:t>
      </w:r>
      <w:r w:rsidR="00A976EE">
        <w:rPr>
          <w:rFonts w:ascii="Arial" w:hAnsi="Arial" w:cs="Arial"/>
          <w:sz w:val="22"/>
          <w:szCs w:val="22"/>
        </w:rPr>
        <w:fldChar w:fldCharType="begin"/>
      </w:r>
      <w:r w:rsidR="00A976EE">
        <w:rPr>
          <w:rFonts w:ascii="Arial" w:hAnsi="Arial" w:cs="Arial"/>
          <w:sz w:val="22"/>
          <w:szCs w:val="22"/>
        </w:rPr>
        <w:instrText xml:space="preserve"> REF _Ref138253394 \n \h </w:instrText>
      </w:r>
      <w:r w:rsidR="00A976EE">
        <w:rPr>
          <w:rFonts w:ascii="Arial" w:hAnsi="Arial" w:cs="Arial"/>
          <w:sz w:val="22"/>
          <w:szCs w:val="22"/>
        </w:rPr>
      </w:r>
      <w:r w:rsidR="00A976EE">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w:t>
      </w:r>
      <w:r w:rsidR="00A976EE">
        <w:rPr>
          <w:rFonts w:ascii="Arial" w:hAnsi="Arial" w:cs="Arial"/>
          <w:sz w:val="22"/>
          <w:szCs w:val="22"/>
        </w:rPr>
        <w:fldChar w:fldCharType="end"/>
      </w:r>
      <w:r w:rsidR="00DC06CC" w:rsidRPr="00DC06CC">
        <w:rPr>
          <w:rFonts w:ascii="Arial" w:hAnsi="Arial" w:cs="Arial"/>
          <w:sz w:val="22"/>
          <w:szCs w:val="22"/>
        </w:rPr>
        <w:t xml:space="preserve"> will apply to Sukuk in the same way as to Debentures, with all references to ‘Debenture’ in section </w:t>
      </w:r>
      <w:r w:rsidR="00A976EE">
        <w:rPr>
          <w:rFonts w:ascii="Arial" w:hAnsi="Arial" w:cs="Arial"/>
          <w:sz w:val="22"/>
          <w:szCs w:val="22"/>
        </w:rPr>
        <w:fldChar w:fldCharType="begin"/>
      </w:r>
      <w:r w:rsidR="00A976EE">
        <w:rPr>
          <w:rFonts w:ascii="Arial" w:hAnsi="Arial" w:cs="Arial"/>
          <w:sz w:val="22"/>
          <w:szCs w:val="22"/>
        </w:rPr>
        <w:instrText xml:space="preserve"> REF _Ref138253394 \n \h </w:instrText>
      </w:r>
      <w:r w:rsidR="00A976EE">
        <w:rPr>
          <w:rFonts w:ascii="Arial" w:hAnsi="Arial" w:cs="Arial"/>
          <w:sz w:val="22"/>
          <w:szCs w:val="22"/>
        </w:rPr>
      </w:r>
      <w:r w:rsidR="00A976EE">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w:t>
      </w:r>
      <w:r w:rsidR="00A976EE">
        <w:rPr>
          <w:rFonts w:ascii="Arial" w:hAnsi="Arial" w:cs="Arial"/>
          <w:sz w:val="22"/>
          <w:szCs w:val="22"/>
        </w:rPr>
        <w:fldChar w:fldCharType="end"/>
      </w:r>
      <w:r w:rsidR="00DC06CC" w:rsidRPr="00DC06CC">
        <w:rPr>
          <w:rFonts w:ascii="Arial" w:hAnsi="Arial" w:cs="Arial"/>
          <w:sz w:val="22"/>
          <w:szCs w:val="22"/>
        </w:rPr>
        <w:t xml:space="preserve"> being read as ‘Sukuk’, and the references in Rules </w:t>
      </w:r>
      <w:r w:rsidR="00A976EE">
        <w:rPr>
          <w:rFonts w:ascii="Arial" w:hAnsi="Arial" w:cs="Arial"/>
          <w:sz w:val="22"/>
          <w:szCs w:val="22"/>
        </w:rPr>
        <w:fldChar w:fldCharType="begin"/>
      </w:r>
      <w:r w:rsidR="00A976EE">
        <w:rPr>
          <w:rFonts w:ascii="Arial" w:hAnsi="Arial" w:cs="Arial"/>
          <w:sz w:val="22"/>
          <w:szCs w:val="22"/>
        </w:rPr>
        <w:instrText xml:space="preserve"> REF _Ref138253410 \n \h </w:instrText>
      </w:r>
      <w:r w:rsidR="00A976EE">
        <w:rPr>
          <w:rFonts w:ascii="Arial" w:hAnsi="Arial" w:cs="Arial"/>
          <w:sz w:val="22"/>
          <w:szCs w:val="22"/>
        </w:rPr>
      </w:r>
      <w:r w:rsidR="00A976EE">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4.15.1</w:t>
      </w:r>
      <w:r w:rsidR="00A976EE">
        <w:rPr>
          <w:rFonts w:ascii="Arial" w:hAnsi="Arial" w:cs="Arial"/>
          <w:sz w:val="22"/>
          <w:szCs w:val="22"/>
        </w:rPr>
        <w:fldChar w:fldCharType="end"/>
      </w:r>
      <w:r w:rsidR="00DC06CC" w:rsidRPr="00DC06CC">
        <w:rPr>
          <w:rFonts w:ascii="Arial" w:hAnsi="Arial" w:cs="Arial"/>
          <w:sz w:val="22"/>
          <w:szCs w:val="22"/>
        </w:rPr>
        <w:t xml:space="preserve"> to </w:t>
      </w:r>
      <w:r w:rsidR="00A976EE">
        <w:rPr>
          <w:rFonts w:ascii="Arial" w:hAnsi="Arial" w:cs="Arial"/>
          <w:sz w:val="22"/>
          <w:szCs w:val="22"/>
        </w:rPr>
        <w:fldChar w:fldCharType="begin"/>
      </w:r>
      <w:r w:rsidR="00A976EE">
        <w:rPr>
          <w:rFonts w:ascii="Arial" w:hAnsi="Arial" w:cs="Arial"/>
          <w:sz w:val="22"/>
          <w:szCs w:val="22"/>
        </w:rPr>
        <w:instrText xml:space="preserve"> REF _Ref138253344 \n \h </w:instrText>
      </w:r>
      <w:r w:rsidR="00A976EE">
        <w:rPr>
          <w:rFonts w:ascii="Arial" w:hAnsi="Arial" w:cs="Arial"/>
          <w:sz w:val="22"/>
          <w:szCs w:val="22"/>
        </w:rPr>
      </w:r>
      <w:r w:rsidR="00A976EE">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4.15.3</w:t>
      </w:r>
      <w:r w:rsidR="00A976EE">
        <w:rPr>
          <w:rFonts w:ascii="Arial" w:hAnsi="Arial" w:cs="Arial"/>
          <w:sz w:val="22"/>
          <w:szCs w:val="22"/>
        </w:rPr>
        <w:fldChar w:fldCharType="end"/>
      </w:r>
      <w:r w:rsidR="00DC06CC" w:rsidRPr="00DC06CC">
        <w:rPr>
          <w:rFonts w:ascii="Arial" w:hAnsi="Arial" w:cs="Arial"/>
          <w:sz w:val="22"/>
          <w:szCs w:val="22"/>
        </w:rPr>
        <w:t xml:space="preserve"> to paragraph 88 or 90 of Schedule 1 of FSMR being read as a reference to paragraph 89 of Schedule 1 of FSMR.</w:t>
      </w:r>
    </w:p>
    <w:p w14:paraId="5A81318C" w14:textId="4C719DB0" w:rsidR="00DC06CC" w:rsidRPr="00232448" w:rsidRDefault="00DC06CC" w:rsidP="00232448">
      <w:pPr>
        <w:pStyle w:val="Heading3"/>
        <w:rPr>
          <w:rFonts w:ascii="Arial" w:hAnsi="Arial" w:cs="Arial"/>
          <w:sz w:val="22"/>
          <w:szCs w:val="22"/>
        </w:rPr>
      </w:pPr>
      <w:r>
        <w:rPr>
          <w:rFonts w:ascii="Arial" w:hAnsi="Arial" w:cs="Arial"/>
          <w:sz w:val="22"/>
          <w:szCs w:val="22"/>
        </w:rPr>
        <w:t xml:space="preserve">An </w:t>
      </w:r>
      <w:r w:rsidR="005502EC" w:rsidRPr="005502EC">
        <w:rPr>
          <w:rFonts w:ascii="Arial" w:hAnsi="Arial" w:cs="Arial"/>
          <w:sz w:val="22"/>
          <w:szCs w:val="22"/>
        </w:rPr>
        <w:t xml:space="preserve">ADGM Green Sukuk or ADGM Sustainability-Linked Sukuk may apply for, and maintain, an ADGM Green Sukuk Designation or ADGM Sustainability-Linked Sukuk Designation in the same way as for Debentures, with all references to ‘Debenture’ or ‘Bond’ in Rules </w:t>
      </w:r>
      <w:r w:rsidR="00A976EE">
        <w:rPr>
          <w:rFonts w:ascii="Arial" w:hAnsi="Arial" w:cs="Arial"/>
          <w:sz w:val="22"/>
          <w:szCs w:val="22"/>
        </w:rPr>
        <w:fldChar w:fldCharType="begin"/>
      </w:r>
      <w:r w:rsidR="00A976EE">
        <w:rPr>
          <w:rFonts w:ascii="Arial" w:hAnsi="Arial" w:cs="Arial"/>
          <w:sz w:val="22"/>
          <w:szCs w:val="22"/>
        </w:rPr>
        <w:instrText xml:space="preserve"> REF _Ref138253138 \n \h </w:instrText>
      </w:r>
      <w:r w:rsidR="00A976EE">
        <w:rPr>
          <w:rFonts w:ascii="Arial" w:hAnsi="Arial" w:cs="Arial"/>
          <w:sz w:val="22"/>
          <w:szCs w:val="22"/>
        </w:rPr>
      </w:r>
      <w:r w:rsidR="00A976EE">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4.15.7</w:t>
      </w:r>
      <w:r w:rsidR="00A976EE">
        <w:rPr>
          <w:rFonts w:ascii="Arial" w:hAnsi="Arial" w:cs="Arial"/>
          <w:sz w:val="22"/>
          <w:szCs w:val="22"/>
        </w:rPr>
        <w:fldChar w:fldCharType="end"/>
      </w:r>
      <w:r w:rsidR="005502EC" w:rsidRPr="005502EC">
        <w:rPr>
          <w:rFonts w:ascii="Arial" w:hAnsi="Arial" w:cs="Arial"/>
          <w:sz w:val="22"/>
          <w:szCs w:val="22"/>
        </w:rPr>
        <w:t xml:space="preserve"> to </w:t>
      </w:r>
      <w:r w:rsidR="00A976EE">
        <w:rPr>
          <w:rFonts w:ascii="Arial" w:hAnsi="Arial" w:cs="Arial"/>
          <w:sz w:val="22"/>
          <w:szCs w:val="22"/>
        </w:rPr>
        <w:fldChar w:fldCharType="begin"/>
      </w:r>
      <w:r w:rsidR="00A976EE">
        <w:rPr>
          <w:rFonts w:ascii="Arial" w:hAnsi="Arial" w:cs="Arial"/>
          <w:sz w:val="22"/>
          <w:szCs w:val="22"/>
        </w:rPr>
        <w:instrText xml:space="preserve"> REF _Ref138253371 \n \h </w:instrText>
      </w:r>
      <w:r w:rsidR="00A976EE">
        <w:rPr>
          <w:rFonts w:ascii="Arial" w:hAnsi="Arial" w:cs="Arial"/>
          <w:sz w:val="22"/>
          <w:szCs w:val="22"/>
        </w:rPr>
      </w:r>
      <w:r w:rsidR="00A976EE">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4.15.14</w:t>
      </w:r>
      <w:r w:rsidR="00A976EE">
        <w:rPr>
          <w:rFonts w:ascii="Arial" w:hAnsi="Arial" w:cs="Arial"/>
          <w:sz w:val="22"/>
          <w:szCs w:val="22"/>
        </w:rPr>
        <w:fldChar w:fldCharType="end"/>
      </w:r>
      <w:r w:rsidR="005502EC" w:rsidRPr="005502EC">
        <w:rPr>
          <w:rFonts w:ascii="Arial" w:hAnsi="Arial" w:cs="Arial"/>
          <w:sz w:val="22"/>
          <w:szCs w:val="22"/>
        </w:rPr>
        <w:t xml:space="preserve"> being read as ‘Sukuk’.</w:t>
      </w:r>
    </w:p>
    <w:p w14:paraId="7534A60E" w14:textId="77777777" w:rsidR="00892AFD" w:rsidRPr="00FB2F3D" w:rsidRDefault="00892AFD" w:rsidP="00892AFD">
      <w:pPr>
        <w:pStyle w:val="Heading1"/>
        <w:rPr>
          <w:rFonts w:ascii="Arial" w:hAnsi="Arial" w:cs="Arial"/>
          <w:sz w:val="22"/>
          <w:szCs w:val="22"/>
        </w:rPr>
      </w:pPr>
      <w:bookmarkStart w:id="519" w:name="_Toc409521861"/>
      <w:bookmarkStart w:id="520" w:name="_Ref410075273"/>
      <w:bookmarkStart w:id="521" w:name="_Toc410136258"/>
      <w:bookmarkStart w:id="522" w:name="_Toc410605967"/>
      <w:bookmarkStart w:id="523" w:name="_Toc410658903"/>
      <w:bookmarkStart w:id="524" w:name="_Toc410659030"/>
      <w:bookmarkStart w:id="525" w:name="_Ref410664792"/>
      <w:bookmarkStart w:id="526" w:name="_Toc410835577"/>
      <w:bookmarkStart w:id="527" w:name="_Ref416750972"/>
      <w:bookmarkStart w:id="528" w:name="_Toc138325685"/>
      <w:bookmarkStart w:id="529" w:name="_Toc409521832"/>
      <w:bookmarkStart w:id="530" w:name="_Ref410049108"/>
      <w:bookmarkStart w:id="531" w:name="_Ref410059959"/>
      <w:bookmarkStart w:id="532" w:name="_Ref410075216"/>
      <w:bookmarkStart w:id="533" w:name="_Toc410136229"/>
      <w:bookmarkStart w:id="534" w:name="_Toc410605938"/>
      <w:bookmarkStart w:id="535" w:name="_Toc410658874"/>
      <w:bookmarkStart w:id="536" w:name="_Toc410659001"/>
      <w:bookmarkStart w:id="537" w:name="_Ref410664681"/>
      <w:bookmarkStart w:id="538" w:name="_Ref410669444"/>
      <w:bookmarkStart w:id="539" w:name="_Toc410835548"/>
      <w:bookmarkStart w:id="540" w:name="_Ref416750454"/>
      <w:bookmarkStart w:id="541" w:name="_Ref416751388"/>
      <w:r w:rsidRPr="00FB2F3D">
        <w:rPr>
          <w:rFonts w:ascii="Arial" w:hAnsi="Arial" w:cs="Arial"/>
          <w:sz w:val="22"/>
          <w:szCs w:val="22"/>
        </w:rPr>
        <w:t>SPONSORS AND COMPLIANCE ADVISERS</w:t>
      </w:r>
      <w:bookmarkEnd w:id="519"/>
      <w:bookmarkEnd w:id="520"/>
      <w:bookmarkEnd w:id="521"/>
      <w:bookmarkEnd w:id="522"/>
      <w:bookmarkEnd w:id="523"/>
      <w:bookmarkEnd w:id="524"/>
      <w:bookmarkEnd w:id="525"/>
      <w:bookmarkEnd w:id="526"/>
      <w:bookmarkEnd w:id="527"/>
      <w:bookmarkEnd w:id="528"/>
    </w:p>
    <w:p w14:paraId="7FD36F87" w14:textId="77777777" w:rsidR="00892AFD" w:rsidRPr="00FB2F3D" w:rsidRDefault="00892AFD" w:rsidP="00892AFD">
      <w:pPr>
        <w:pStyle w:val="Heading2"/>
        <w:rPr>
          <w:rFonts w:ascii="Arial" w:hAnsi="Arial" w:cs="Arial"/>
          <w:sz w:val="22"/>
          <w:szCs w:val="22"/>
        </w:rPr>
      </w:pPr>
      <w:bookmarkStart w:id="542" w:name="_Toc409521862"/>
      <w:bookmarkStart w:id="543" w:name="_Toc410136259"/>
      <w:bookmarkStart w:id="544" w:name="_Toc410605968"/>
      <w:bookmarkStart w:id="545" w:name="_Toc410658904"/>
      <w:bookmarkStart w:id="546" w:name="_Toc410659031"/>
      <w:bookmarkStart w:id="547" w:name="_Toc410835578"/>
      <w:bookmarkStart w:id="548" w:name="_Toc138325686"/>
      <w:r w:rsidRPr="00FB2F3D">
        <w:rPr>
          <w:rFonts w:ascii="Arial" w:hAnsi="Arial" w:cs="Arial"/>
          <w:sz w:val="22"/>
          <w:szCs w:val="22"/>
        </w:rPr>
        <w:t>Sponsors</w:t>
      </w:r>
      <w:bookmarkEnd w:id="542"/>
      <w:bookmarkEnd w:id="543"/>
      <w:bookmarkEnd w:id="544"/>
      <w:bookmarkEnd w:id="545"/>
      <w:bookmarkEnd w:id="546"/>
      <w:bookmarkEnd w:id="547"/>
      <w:bookmarkEnd w:id="548"/>
    </w:p>
    <w:p w14:paraId="6D6A8567"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Application</w:t>
      </w:r>
    </w:p>
    <w:p w14:paraId="2A8CA7E5"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This section applies to:</w:t>
      </w:r>
    </w:p>
    <w:p w14:paraId="7111D02F" w14:textId="51C47792" w:rsidR="00892AFD" w:rsidRPr="00FB2F3D" w:rsidRDefault="00B42892" w:rsidP="00B42892">
      <w:pPr>
        <w:pStyle w:val="Heading5"/>
        <w:numPr>
          <w:ilvl w:val="0"/>
          <w:numId w:val="0"/>
        </w:numPr>
        <w:ind w:left="1440" w:hanging="720"/>
        <w:rPr>
          <w:rFonts w:ascii="Arial" w:hAnsi="Arial" w:cs="Arial"/>
          <w:sz w:val="22"/>
          <w:szCs w:val="22"/>
        </w:rPr>
      </w:pPr>
      <w:r w:rsidRPr="00FB2F3D">
        <w:rPr>
          <w:rFonts w:ascii="Arial" w:hAnsi="Arial" w:cs="Arial"/>
          <w:sz w:val="22"/>
          <w:szCs w:val="22"/>
        </w:rPr>
        <w:t>(1)</w:t>
      </w:r>
      <w:r w:rsidRPr="00FB2F3D">
        <w:rPr>
          <w:rFonts w:ascii="Arial" w:hAnsi="Arial" w:cs="Arial"/>
          <w:sz w:val="22"/>
          <w:szCs w:val="22"/>
        </w:rPr>
        <w:tab/>
      </w:r>
      <w:r w:rsidR="00892AFD" w:rsidRPr="00FB2F3D">
        <w:rPr>
          <w:rFonts w:ascii="Arial" w:hAnsi="Arial" w:cs="Arial"/>
          <w:sz w:val="22"/>
          <w:szCs w:val="22"/>
        </w:rPr>
        <w:t>a Sponsor appointed pursuant to Rule </w:t>
      </w:r>
      <w:r w:rsidR="00A976EE">
        <w:rPr>
          <w:rFonts w:ascii="Arial" w:hAnsi="Arial" w:cs="Arial"/>
          <w:sz w:val="22"/>
          <w:szCs w:val="22"/>
        </w:rPr>
        <w:fldChar w:fldCharType="begin"/>
      </w:r>
      <w:r w:rsidR="00A976EE">
        <w:rPr>
          <w:rFonts w:ascii="Arial" w:hAnsi="Arial" w:cs="Arial"/>
          <w:sz w:val="22"/>
          <w:szCs w:val="22"/>
        </w:rPr>
        <w:instrText xml:space="preserve"> REF _Ref410630864 \n \h </w:instrText>
      </w:r>
      <w:r w:rsidR="00A976EE">
        <w:rPr>
          <w:rFonts w:ascii="Arial" w:hAnsi="Arial" w:cs="Arial"/>
          <w:sz w:val="22"/>
          <w:szCs w:val="22"/>
        </w:rPr>
      </w:r>
      <w:r w:rsidR="00A976EE">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5.1.2</w:t>
      </w:r>
      <w:r w:rsidR="00A976EE">
        <w:rPr>
          <w:rFonts w:ascii="Arial" w:hAnsi="Arial" w:cs="Arial"/>
          <w:sz w:val="22"/>
          <w:szCs w:val="22"/>
        </w:rPr>
        <w:fldChar w:fldCharType="end"/>
      </w:r>
      <w:r w:rsidR="00892AFD" w:rsidRPr="00FB2F3D">
        <w:rPr>
          <w:rFonts w:ascii="Arial" w:hAnsi="Arial" w:cs="Arial"/>
          <w:sz w:val="22"/>
          <w:szCs w:val="22"/>
        </w:rPr>
        <w:t>; and</w:t>
      </w:r>
    </w:p>
    <w:p w14:paraId="536C8CAA" w14:textId="4C075287" w:rsidR="00892AFD" w:rsidRDefault="00B42892" w:rsidP="00B42892">
      <w:pPr>
        <w:pStyle w:val="Heading5"/>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892AFD" w:rsidRPr="00FB2F3D">
        <w:rPr>
          <w:rFonts w:ascii="Arial" w:hAnsi="Arial" w:cs="Arial"/>
          <w:sz w:val="22"/>
          <w:szCs w:val="22"/>
        </w:rPr>
        <w:t xml:space="preserve">any </w:t>
      </w:r>
      <w:r w:rsidR="00021641">
        <w:rPr>
          <w:rFonts w:ascii="Arial" w:hAnsi="Arial" w:cs="Arial"/>
          <w:sz w:val="22"/>
          <w:szCs w:val="22"/>
        </w:rPr>
        <w:t>Issuer or Applicant seeking Securities to be admitted to the Official List,</w:t>
      </w:r>
      <w:r w:rsidR="00892AFD" w:rsidRPr="00FB2F3D">
        <w:rPr>
          <w:rFonts w:ascii="Arial" w:hAnsi="Arial" w:cs="Arial"/>
          <w:sz w:val="22"/>
          <w:szCs w:val="22"/>
        </w:rPr>
        <w:t xml:space="preserve"> that is required by the Regulator to appoint a Sponsor.</w:t>
      </w:r>
    </w:p>
    <w:p w14:paraId="299371D3" w14:textId="77777777" w:rsidR="00021641" w:rsidRPr="00021641" w:rsidRDefault="00021641" w:rsidP="00021641">
      <w:pPr>
        <w:pStyle w:val="TitleL"/>
        <w:rPr>
          <w:rFonts w:ascii="Arial" w:hAnsi="Arial" w:cs="Arial"/>
          <w:sz w:val="22"/>
          <w:szCs w:val="22"/>
        </w:rPr>
      </w:pPr>
      <w:r w:rsidRPr="00021641">
        <w:rPr>
          <w:rFonts w:ascii="Arial" w:hAnsi="Arial" w:cs="Arial"/>
          <w:sz w:val="22"/>
          <w:szCs w:val="22"/>
        </w:rPr>
        <w:t xml:space="preserve">Guidance </w:t>
      </w:r>
    </w:p>
    <w:p w14:paraId="5D403E62" w14:textId="77777777" w:rsidR="00021641" w:rsidRPr="00021641" w:rsidRDefault="00021641" w:rsidP="00021641">
      <w:pPr>
        <w:spacing w:after="240" w:line="246" w:lineRule="atLeast"/>
        <w:ind w:left="709"/>
        <w:rPr>
          <w:rFonts w:ascii="Arial" w:eastAsiaTheme="majorEastAsia" w:hAnsi="Arial" w:cs="Arial"/>
          <w:sz w:val="22"/>
          <w:szCs w:val="22"/>
        </w:rPr>
      </w:pPr>
      <w:r w:rsidRPr="00021641">
        <w:rPr>
          <w:rFonts w:ascii="Arial" w:eastAsiaTheme="majorEastAsia" w:hAnsi="Arial" w:cs="Arial"/>
          <w:sz w:val="22"/>
          <w:szCs w:val="22"/>
        </w:rPr>
        <w:t>A reference in this section to an Issuer refers also to an Applicant for admission of Securities to the Official List wherever the context requires.</w:t>
      </w:r>
    </w:p>
    <w:p w14:paraId="065D3DB0"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Appointment of Sponsors</w:t>
      </w:r>
    </w:p>
    <w:p w14:paraId="421439F1" w14:textId="77D3B30D" w:rsidR="00892AFD" w:rsidRPr="00FB2F3D" w:rsidRDefault="007441BA" w:rsidP="00892AFD">
      <w:pPr>
        <w:pStyle w:val="Heading3"/>
        <w:ind w:left="1440" w:hanging="1440"/>
        <w:rPr>
          <w:rFonts w:ascii="Arial" w:hAnsi="Arial" w:cs="Arial"/>
          <w:sz w:val="22"/>
          <w:szCs w:val="22"/>
        </w:rPr>
      </w:pPr>
      <w:bookmarkStart w:id="549" w:name="_Ref410059518"/>
      <w:bookmarkStart w:id="550" w:name="_Ref410630864"/>
      <w:r w:rsidRPr="00FB2F3D">
        <w:rPr>
          <w:rFonts w:ascii="Arial" w:hAnsi="Arial" w:cs="Arial"/>
          <w:sz w:val="22"/>
          <w:szCs w:val="22"/>
        </w:rPr>
        <w:t>(1)</w:t>
      </w:r>
      <w:r w:rsidR="00892AFD" w:rsidRPr="00FB2F3D">
        <w:rPr>
          <w:rFonts w:ascii="Arial" w:hAnsi="Arial" w:cs="Arial"/>
          <w:sz w:val="22"/>
          <w:szCs w:val="22"/>
        </w:rPr>
        <w:tab/>
        <w:t xml:space="preserve">Pursuant to section 83 of the FSMR, the Regulator may, where it considers it appropriate to do so, require </w:t>
      </w:r>
      <w:r w:rsidR="00021641">
        <w:rPr>
          <w:rFonts w:ascii="Arial" w:hAnsi="Arial" w:cs="Arial"/>
          <w:sz w:val="22"/>
          <w:szCs w:val="22"/>
        </w:rPr>
        <w:t>an Issuer or applicant seeking Securities to be admitted to the Official List, as applicable,</w:t>
      </w:r>
      <w:r w:rsidR="00892AFD" w:rsidRPr="00FB2F3D">
        <w:rPr>
          <w:rFonts w:ascii="Arial" w:hAnsi="Arial" w:cs="Arial"/>
          <w:sz w:val="22"/>
          <w:szCs w:val="22"/>
        </w:rPr>
        <w:t xml:space="preserve"> to</w:t>
      </w:r>
      <w:bookmarkEnd w:id="549"/>
      <w:r w:rsidR="00892AFD" w:rsidRPr="00FB2F3D">
        <w:rPr>
          <w:rFonts w:ascii="Arial" w:hAnsi="Arial" w:cs="Arial"/>
          <w:sz w:val="22"/>
          <w:szCs w:val="22"/>
        </w:rPr>
        <w:t>:</w:t>
      </w:r>
      <w:bookmarkEnd w:id="550"/>
    </w:p>
    <w:p w14:paraId="1CFFA473" w14:textId="2BAB96B1" w:rsidR="00892AFD" w:rsidRPr="00FB2F3D" w:rsidRDefault="00892AFD" w:rsidP="00892AFD">
      <w:pPr>
        <w:pStyle w:val="Heading5"/>
        <w:rPr>
          <w:rFonts w:ascii="Arial" w:hAnsi="Arial" w:cs="Arial"/>
          <w:sz w:val="22"/>
          <w:szCs w:val="22"/>
        </w:rPr>
      </w:pPr>
      <w:bookmarkStart w:id="551" w:name="_Ref410669289"/>
      <w:r w:rsidRPr="00FB2F3D">
        <w:rPr>
          <w:rFonts w:ascii="Arial" w:hAnsi="Arial" w:cs="Arial"/>
          <w:sz w:val="22"/>
          <w:szCs w:val="22"/>
        </w:rPr>
        <w:t xml:space="preserve">appoint a Sponsor </w:t>
      </w:r>
      <w:r w:rsidR="000D6D36">
        <w:rPr>
          <w:rFonts w:ascii="Arial" w:hAnsi="Arial" w:cs="Arial"/>
          <w:sz w:val="22"/>
          <w:szCs w:val="22"/>
        </w:rPr>
        <w:t>on each occasion that it submits to the Regulator an Application for admission</w:t>
      </w:r>
      <w:r w:rsidRPr="00FB2F3D">
        <w:rPr>
          <w:rFonts w:ascii="Arial" w:hAnsi="Arial" w:cs="Arial"/>
          <w:sz w:val="22"/>
          <w:szCs w:val="22"/>
        </w:rPr>
        <w:t xml:space="preserve"> of</w:t>
      </w:r>
      <w:r w:rsidR="000D6D36">
        <w:rPr>
          <w:rFonts w:ascii="Arial" w:hAnsi="Arial" w:cs="Arial"/>
          <w:sz w:val="22"/>
          <w:szCs w:val="22"/>
        </w:rPr>
        <w:t xml:space="preserve"> Securities to</w:t>
      </w:r>
      <w:r w:rsidRPr="00FB2F3D">
        <w:rPr>
          <w:rFonts w:ascii="Arial" w:hAnsi="Arial" w:cs="Arial"/>
          <w:sz w:val="22"/>
          <w:szCs w:val="22"/>
        </w:rPr>
        <w:t xml:space="preserve"> the </w:t>
      </w:r>
      <w:r w:rsidR="000D6D36">
        <w:rPr>
          <w:rFonts w:ascii="Arial" w:hAnsi="Arial" w:cs="Arial"/>
          <w:sz w:val="22"/>
          <w:szCs w:val="22"/>
        </w:rPr>
        <w:t>Official List</w:t>
      </w:r>
      <w:r w:rsidRPr="00FB2F3D">
        <w:rPr>
          <w:rFonts w:ascii="Arial" w:hAnsi="Arial" w:cs="Arial"/>
          <w:sz w:val="22"/>
          <w:szCs w:val="22"/>
        </w:rPr>
        <w:t>; or</w:t>
      </w:r>
      <w:bookmarkEnd w:id="551"/>
    </w:p>
    <w:p w14:paraId="165497B6" w14:textId="69E5D92D" w:rsidR="00892AFD" w:rsidRPr="00FB2F3D" w:rsidRDefault="00892AFD" w:rsidP="00892AFD">
      <w:pPr>
        <w:pStyle w:val="Heading5"/>
        <w:rPr>
          <w:rFonts w:ascii="Arial" w:hAnsi="Arial" w:cs="Arial"/>
          <w:sz w:val="22"/>
          <w:szCs w:val="22"/>
        </w:rPr>
      </w:pPr>
      <w:bookmarkStart w:id="552" w:name="_Ref410634207"/>
      <w:r w:rsidRPr="00FB2F3D">
        <w:rPr>
          <w:rFonts w:ascii="Arial" w:hAnsi="Arial" w:cs="Arial"/>
          <w:sz w:val="22"/>
          <w:szCs w:val="22"/>
        </w:rPr>
        <w:t xml:space="preserve">provide third party certification in respect of any specific matters relating to the </w:t>
      </w:r>
      <w:r w:rsidR="000D6D36">
        <w:rPr>
          <w:rFonts w:ascii="Arial" w:hAnsi="Arial" w:cs="Arial"/>
          <w:sz w:val="22"/>
          <w:szCs w:val="22"/>
        </w:rPr>
        <w:t>application for admission of Securities to the Official List</w:t>
      </w:r>
      <w:r w:rsidRPr="00FB2F3D">
        <w:rPr>
          <w:rFonts w:ascii="Arial" w:hAnsi="Arial" w:cs="Arial"/>
          <w:sz w:val="22"/>
          <w:szCs w:val="22"/>
        </w:rPr>
        <w:t>.</w:t>
      </w:r>
      <w:bookmarkEnd w:id="552"/>
    </w:p>
    <w:p w14:paraId="464CE2FB" w14:textId="77777777" w:rsidR="00892AFD" w:rsidRPr="00FB2F3D" w:rsidRDefault="00892AFD" w:rsidP="00892AFD">
      <w:pPr>
        <w:pStyle w:val="Heading4"/>
        <w:rPr>
          <w:rFonts w:ascii="Arial" w:hAnsi="Arial" w:cs="Arial"/>
          <w:sz w:val="22"/>
          <w:szCs w:val="22"/>
        </w:rPr>
      </w:pPr>
      <w:r w:rsidRPr="00FB2F3D">
        <w:rPr>
          <w:rFonts w:ascii="Arial" w:hAnsi="Arial" w:cs="Arial"/>
          <w:sz w:val="22"/>
          <w:szCs w:val="22"/>
        </w:rPr>
        <w:t xml:space="preserve">Where the Regulator requires a Sponsor to be appointed pursuant to </w:t>
      </w:r>
      <w:r w:rsidR="00693841" w:rsidRPr="00FB2F3D">
        <w:rPr>
          <w:rFonts w:ascii="Arial" w:hAnsi="Arial" w:cs="Arial"/>
          <w:sz w:val="22"/>
          <w:szCs w:val="22"/>
        </w:rPr>
        <w:t>(1)(a)</w:t>
      </w:r>
      <w:r w:rsidRPr="00FB2F3D">
        <w:rPr>
          <w:rFonts w:ascii="Arial" w:hAnsi="Arial" w:cs="Arial"/>
          <w:sz w:val="22"/>
          <w:szCs w:val="22"/>
        </w:rPr>
        <w:t>, the</w:t>
      </w:r>
      <w:r w:rsidRPr="00FB2F3D">
        <w:rPr>
          <w:rFonts w:ascii="Arial" w:hAnsi="Arial" w:cs="Arial"/>
          <w:sz w:val="22"/>
          <w:szCs w:val="22"/>
          <w:lang w:eastAsia="ja-JP"/>
        </w:rPr>
        <w:t xml:space="preserve"> </w:t>
      </w:r>
      <w:r w:rsidRPr="00FB2F3D">
        <w:rPr>
          <w:rFonts w:ascii="Arial" w:hAnsi="Arial" w:cs="Arial"/>
          <w:sz w:val="22"/>
          <w:szCs w:val="22"/>
        </w:rPr>
        <w:t>Regulator must:</w:t>
      </w:r>
    </w:p>
    <w:p w14:paraId="0EAC8410" w14:textId="31C976DB" w:rsidR="00892AFD" w:rsidRPr="00FB2F3D" w:rsidRDefault="00892AFD" w:rsidP="00892AFD">
      <w:pPr>
        <w:pStyle w:val="Heading5"/>
        <w:rPr>
          <w:rFonts w:ascii="Arial" w:hAnsi="Arial" w:cs="Arial"/>
          <w:sz w:val="22"/>
          <w:szCs w:val="22"/>
        </w:rPr>
      </w:pPr>
      <w:r w:rsidRPr="00FB2F3D">
        <w:rPr>
          <w:rFonts w:ascii="Arial" w:hAnsi="Arial" w:cs="Arial"/>
          <w:sz w:val="22"/>
          <w:szCs w:val="22"/>
        </w:rPr>
        <w:t xml:space="preserve">do so in sufficient time to enable the Sponsor to comply with the requirements in this </w:t>
      </w:r>
      <w:r w:rsidR="00C95481" w:rsidRPr="00FB2F3D">
        <w:rPr>
          <w:rFonts w:ascii="Arial" w:hAnsi="Arial" w:cs="Arial"/>
          <w:sz w:val="22"/>
          <w:szCs w:val="22"/>
        </w:rPr>
        <w:t>Chapter</w:t>
      </w:r>
      <w:r w:rsidR="000D6D36">
        <w:rPr>
          <w:rFonts w:ascii="Arial" w:hAnsi="Arial" w:cs="Arial"/>
          <w:sz w:val="22"/>
          <w:szCs w:val="22"/>
        </w:rPr>
        <w:t>;</w:t>
      </w:r>
      <w:r w:rsidRPr="00FB2F3D">
        <w:rPr>
          <w:rFonts w:ascii="Arial" w:hAnsi="Arial" w:cs="Arial"/>
          <w:sz w:val="22"/>
          <w:szCs w:val="22"/>
        </w:rPr>
        <w:t xml:space="preserve"> and</w:t>
      </w:r>
    </w:p>
    <w:p w14:paraId="0B531B3A" w14:textId="27FFF957" w:rsidR="00892AFD" w:rsidRPr="00FB2F3D" w:rsidRDefault="00892AFD" w:rsidP="00892AFD">
      <w:pPr>
        <w:pStyle w:val="Heading5"/>
        <w:rPr>
          <w:rFonts w:ascii="Arial" w:hAnsi="Arial" w:cs="Arial"/>
          <w:sz w:val="22"/>
          <w:szCs w:val="22"/>
        </w:rPr>
      </w:pPr>
      <w:r w:rsidRPr="00FB2F3D">
        <w:rPr>
          <w:rFonts w:ascii="Arial" w:hAnsi="Arial" w:cs="Arial"/>
          <w:sz w:val="22"/>
          <w:szCs w:val="22"/>
        </w:rPr>
        <w:lastRenderedPageBreak/>
        <w:t>require such appointment to be effective for the Offer Period</w:t>
      </w:r>
      <w:r w:rsidR="000D6D36">
        <w:rPr>
          <w:rFonts w:ascii="Arial" w:hAnsi="Arial" w:cs="Arial"/>
          <w:sz w:val="22"/>
          <w:szCs w:val="22"/>
        </w:rPr>
        <w:t xml:space="preserve"> (in relation to a Prospectus Offer document)</w:t>
      </w:r>
      <w:r w:rsidRPr="00FB2F3D">
        <w:rPr>
          <w:rFonts w:ascii="Arial" w:hAnsi="Arial" w:cs="Arial"/>
          <w:sz w:val="22"/>
          <w:szCs w:val="22"/>
        </w:rPr>
        <w:t xml:space="preserve"> or such other period </w:t>
      </w:r>
      <w:r w:rsidR="000D6D36">
        <w:rPr>
          <w:rFonts w:ascii="Arial" w:hAnsi="Arial" w:cs="Arial"/>
          <w:sz w:val="22"/>
          <w:szCs w:val="22"/>
        </w:rPr>
        <w:t xml:space="preserve">relevant to the application in Rule </w:t>
      </w:r>
      <w:r w:rsidR="00E92D58">
        <w:rPr>
          <w:rFonts w:ascii="Arial" w:hAnsi="Arial" w:cs="Arial"/>
          <w:sz w:val="22"/>
          <w:szCs w:val="22"/>
        </w:rPr>
        <w:fldChar w:fldCharType="begin"/>
      </w:r>
      <w:r w:rsidR="00E92D58">
        <w:rPr>
          <w:rFonts w:ascii="Arial" w:hAnsi="Arial" w:cs="Arial"/>
          <w:sz w:val="22"/>
          <w:szCs w:val="22"/>
        </w:rPr>
        <w:instrText xml:space="preserve"> REF _Ref410630864 \n \h </w:instrText>
      </w:r>
      <w:r w:rsidR="00E92D58">
        <w:rPr>
          <w:rFonts w:ascii="Arial" w:hAnsi="Arial" w:cs="Arial"/>
          <w:sz w:val="22"/>
          <w:szCs w:val="22"/>
        </w:rPr>
      </w:r>
      <w:r w:rsidR="00E92D58">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5.1.2</w:t>
      </w:r>
      <w:r w:rsidR="00E92D58">
        <w:rPr>
          <w:rFonts w:ascii="Arial" w:hAnsi="Arial" w:cs="Arial"/>
          <w:sz w:val="22"/>
          <w:szCs w:val="22"/>
        </w:rPr>
        <w:fldChar w:fldCharType="end"/>
      </w:r>
      <w:r w:rsidR="000D6D36">
        <w:rPr>
          <w:rFonts w:ascii="Arial" w:hAnsi="Arial" w:cs="Arial"/>
          <w:sz w:val="22"/>
          <w:szCs w:val="22"/>
        </w:rPr>
        <w:t xml:space="preserve">(1)(a), </w:t>
      </w:r>
      <w:r w:rsidRPr="00FB2F3D">
        <w:rPr>
          <w:rFonts w:ascii="Arial" w:hAnsi="Arial" w:cs="Arial"/>
          <w:sz w:val="22"/>
          <w:szCs w:val="22"/>
        </w:rPr>
        <w:t>as the Regulator determines as appropriate.</w:t>
      </w:r>
    </w:p>
    <w:p w14:paraId="0E484981"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06388DA5" w14:textId="503536FE" w:rsidR="00892AFD" w:rsidRPr="00FB2F3D" w:rsidRDefault="00892AFD" w:rsidP="00755725">
      <w:pPr>
        <w:pStyle w:val="GuidanceNotesnumbering"/>
        <w:numPr>
          <w:ilvl w:val="0"/>
          <w:numId w:val="46"/>
        </w:numPr>
        <w:rPr>
          <w:rFonts w:ascii="Arial" w:hAnsi="Arial" w:cs="Arial"/>
          <w:sz w:val="22"/>
          <w:szCs w:val="22"/>
        </w:rPr>
      </w:pPr>
      <w:r w:rsidRPr="00FB2F3D">
        <w:rPr>
          <w:rFonts w:ascii="Arial" w:hAnsi="Arial" w:cs="Arial"/>
          <w:sz w:val="22"/>
          <w:szCs w:val="22"/>
        </w:rPr>
        <w:t xml:space="preserve">The Regulator may require the appointment of a Sponsor as appropriate to the circumstances of an </w:t>
      </w:r>
      <w:r w:rsidR="000D6D36">
        <w:rPr>
          <w:rFonts w:ascii="Arial" w:hAnsi="Arial" w:cs="Arial"/>
          <w:sz w:val="22"/>
          <w:szCs w:val="22"/>
        </w:rPr>
        <w:t>Issuer and any Securities it seeks to be admitted to the Official List</w:t>
      </w:r>
      <w:r w:rsidRPr="00FB2F3D">
        <w:rPr>
          <w:rFonts w:ascii="Arial" w:hAnsi="Arial" w:cs="Arial"/>
          <w:sz w:val="22"/>
          <w:szCs w:val="22"/>
        </w:rPr>
        <w:t>.</w:t>
      </w:r>
    </w:p>
    <w:p w14:paraId="589768BE" w14:textId="73F2EB80" w:rsidR="00892AFD" w:rsidRPr="00FB2F3D" w:rsidRDefault="00892AFD" w:rsidP="00892AFD">
      <w:pPr>
        <w:pStyle w:val="GuidanceNotesnumbering"/>
        <w:rPr>
          <w:rFonts w:ascii="Arial" w:hAnsi="Arial" w:cs="Arial"/>
          <w:sz w:val="22"/>
          <w:szCs w:val="22"/>
        </w:rPr>
      </w:pPr>
      <w:r w:rsidRPr="00FB2F3D">
        <w:rPr>
          <w:rFonts w:ascii="Arial" w:hAnsi="Arial" w:cs="Arial"/>
          <w:sz w:val="22"/>
          <w:szCs w:val="22"/>
        </w:rPr>
        <w:t xml:space="preserve">Generally, the matters in relation to which the Regulator may require third party </w:t>
      </w:r>
      <w:r w:rsidR="000D6D36">
        <w:rPr>
          <w:rFonts w:ascii="Arial" w:hAnsi="Arial" w:cs="Arial"/>
          <w:sz w:val="22"/>
          <w:szCs w:val="22"/>
        </w:rPr>
        <w:t>certification</w:t>
      </w:r>
      <w:r w:rsidRPr="00FB2F3D">
        <w:rPr>
          <w:rFonts w:ascii="Arial" w:hAnsi="Arial" w:cs="Arial"/>
          <w:sz w:val="22"/>
          <w:szCs w:val="22"/>
        </w:rPr>
        <w:t xml:space="preserve"> pursuant to Rule </w:t>
      </w:r>
      <w:r w:rsidR="00E92D58">
        <w:rPr>
          <w:rFonts w:ascii="Arial" w:hAnsi="Arial" w:cs="Arial"/>
          <w:sz w:val="22"/>
          <w:szCs w:val="22"/>
        </w:rPr>
        <w:fldChar w:fldCharType="begin"/>
      </w:r>
      <w:r w:rsidR="00E92D58">
        <w:rPr>
          <w:rFonts w:ascii="Arial" w:hAnsi="Arial" w:cs="Arial"/>
          <w:sz w:val="22"/>
          <w:szCs w:val="22"/>
        </w:rPr>
        <w:instrText xml:space="preserve"> REF _Ref410630864 \n \h </w:instrText>
      </w:r>
      <w:r w:rsidR="00E92D58">
        <w:rPr>
          <w:rFonts w:ascii="Arial" w:hAnsi="Arial" w:cs="Arial"/>
          <w:sz w:val="22"/>
          <w:szCs w:val="22"/>
        </w:rPr>
      </w:r>
      <w:r w:rsidR="00E92D58">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5.1.2</w:t>
      </w:r>
      <w:r w:rsidR="00E92D58">
        <w:rPr>
          <w:rFonts w:ascii="Arial" w:hAnsi="Arial" w:cs="Arial"/>
          <w:sz w:val="22"/>
          <w:szCs w:val="22"/>
        </w:rPr>
        <w:fldChar w:fldCharType="end"/>
      </w:r>
      <w:r w:rsidR="00693841" w:rsidRPr="00FB2F3D">
        <w:rPr>
          <w:rFonts w:ascii="Arial" w:hAnsi="Arial" w:cs="Arial"/>
          <w:sz w:val="22"/>
          <w:szCs w:val="22"/>
        </w:rPr>
        <w:t>(1)(b)</w:t>
      </w:r>
      <w:r w:rsidRPr="00FB2F3D">
        <w:rPr>
          <w:rFonts w:ascii="Arial" w:hAnsi="Arial" w:cs="Arial"/>
          <w:sz w:val="22"/>
          <w:szCs w:val="22"/>
        </w:rPr>
        <w:t xml:space="preserve"> include matters relating to the adequacy of working capital and systems and controls in place for </w:t>
      </w:r>
      <w:r w:rsidR="000D6D36">
        <w:rPr>
          <w:rFonts w:ascii="Arial" w:hAnsi="Arial" w:cs="Arial"/>
          <w:sz w:val="22"/>
          <w:szCs w:val="22"/>
        </w:rPr>
        <w:t xml:space="preserve">continuous disclosure or </w:t>
      </w:r>
      <w:r w:rsidRPr="00FB2F3D">
        <w:rPr>
          <w:rFonts w:ascii="Arial" w:hAnsi="Arial" w:cs="Arial"/>
          <w:sz w:val="22"/>
          <w:szCs w:val="22"/>
        </w:rPr>
        <w:t>financial reporting by the Issuer</w:t>
      </w:r>
      <w:r w:rsidR="000D6D36">
        <w:rPr>
          <w:rFonts w:ascii="Arial" w:hAnsi="Arial" w:cs="Arial"/>
          <w:sz w:val="22"/>
          <w:szCs w:val="22"/>
        </w:rPr>
        <w:t xml:space="preserve"> seeking admission of its Securities to the Official List</w:t>
      </w:r>
      <w:r w:rsidRPr="00FB2F3D">
        <w:rPr>
          <w:rFonts w:ascii="Arial" w:hAnsi="Arial" w:cs="Arial"/>
          <w:sz w:val="22"/>
          <w:szCs w:val="22"/>
        </w:rPr>
        <w:t>. Such certification should be provided by a third party acceptable to the Regulator. To be acceptable to the Regulator, the third</w:t>
      </w:r>
      <w:r w:rsidRPr="00FB2F3D">
        <w:rPr>
          <w:rFonts w:ascii="Arial" w:hAnsi="Arial" w:cs="Arial"/>
          <w:sz w:val="22"/>
          <w:szCs w:val="22"/>
        </w:rPr>
        <w:noBreakHyphen/>
        <w:t>party should be independent of the Issuer and have relevant expertise relating to the matters on which certification of compliance is to be provided.</w:t>
      </w:r>
    </w:p>
    <w:p w14:paraId="0E411134" w14:textId="21BB06AD" w:rsidR="00892AFD" w:rsidRPr="00FB2F3D" w:rsidRDefault="00892AFD" w:rsidP="00892AFD">
      <w:pPr>
        <w:pStyle w:val="GuidanceNotesnumbering"/>
        <w:rPr>
          <w:rFonts w:ascii="Arial" w:hAnsi="Arial" w:cs="Arial"/>
          <w:sz w:val="22"/>
          <w:szCs w:val="22"/>
          <w:lang w:eastAsia="ja-JP"/>
        </w:rPr>
      </w:pPr>
      <w:r w:rsidRPr="00FB2F3D">
        <w:rPr>
          <w:rFonts w:ascii="Arial" w:hAnsi="Arial" w:cs="Arial"/>
          <w:sz w:val="22"/>
          <w:szCs w:val="22"/>
        </w:rPr>
        <w:t xml:space="preserve">In any event, the Sponsor must make certain inquiries and assume certain obligations under these Rules. A Sponsor should therefore be a Person familiar with the requirements of the FSMR and </w:t>
      </w:r>
      <w:r w:rsidR="000D6D36">
        <w:rPr>
          <w:rFonts w:ascii="Arial" w:hAnsi="Arial" w:cs="Arial"/>
          <w:sz w:val="22"/>
          <w:szCs w:val="22"/>
        </w:rPr>
        <w:t xml:space="preserve">the </w:t>
      </w:r>
      <w:r w:rsidRPr="00FB2F3D">
        <w:rPr>
          <w:rFonts w:ascii="Arial" w:hAnsi="Arial" w:cs="Arial"/>
          <w:sz w:val="22"/>
          <w:szCs w:val="22"/>
        </w:rPr>
        <w:t>Rules and who has the necessary knowledge,</w:t>
      </w:r>
      <w:r w:rsidRPr="00FB2F3D">
        <w:rPr>
          <w:rFonts w:ascii="Arial" w:hAnsi="Arial" w:cs="Arial"/>
          <w:sz w:val="22"/>
          <w:szCs w:val="22"/>
          <w:lang w:eastAsia="ja-JP"/>
        </w:rPr>
        <w:t xml:space="preserve"> </w:t>
      </w:r>
      <w:r w:rsidRPr="00FB2F3D">
        <w:rPr>
          <w:rFonts w:ascii="Arial" w:hAnsi="Arial" w:cs="Arial"/>
          <w:sz w:val="22"/>
          <w:szCs w:val="22"/>
        </w:rPr>
        <w:t xml:space="preserve">experience, qualifications and resources to assist the </w:t>
      </w:r>
      <w:r w:rsidR="000D6D36">
        <w:rPr>
          <w:rFonts w:ascii="Arial" w:hAnsi="Arial" w:cs="Arial"/>
          <w:sz w:val="22"/>
          <w:szCs w:val="22"/>
        </w:rPr>
        <w:t>Issu</w:t>
      </w:r>
      <w:r w:rsidRPr="00FB2F3D">
        <w:rPr>
          <w:rFonts w:ascii="Arial" w:hAnsi="Arial" w:cs="Arial"/>
          <w:sz w:val="22"/>
          <w:szCs w:val="22"/>
        </w:rPr>
        <w:t>er to comply with the various requirements.</w:t>
      </w:r>
    </w:p>
    <w:p w14:paraId="713DBE2C"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Procedures relating to appointment of Sponsors</w:t>
      </w:r>
    </w:p>
    <w:p w14:paraId="68B5865B" w14:textId="77777777" w:rsidR="00892AFD" w:rsidRPr="00FB2F3D" w:rsidRDefault="007441BA" w:rsidP="00892AFD">
      <w:pPr>
        <w:pStyle w:val="Heading3"/>
        <w:keepNext/>
        <w:ind w:left="1440" w:hanging="1440"/>
        <w:rPr>
          <w:rFonts w:ascii="Arial" w:hAnsi="Arial" w:cs="Arial"/>
          <w:sz w:val="22"/>
          <w:szCs w:val="22"/>
        </w:rPr>
      </w:pPr>
      <w:r w:rsidRPr="00FB2F3D">
        <w:rPr>
          <w:rFonts w:ascii="Arial" w:hAnsi="Arial" w:cs="Arial"/>
          <w:sz w:val="22"/>
          <w:szCs w:val="22"/>
        </w:rPr>
        <w:t>(1)</w:t>
      </w:r>
      <w:r w:rsidR="00892AFD" w:rsidRPr="00FB2F3D">
        <w:rPr>
          <w:rFonts w:ascii="Arial" w:hAnsi="Arial" w:cs="Arial"/>
          <w:sz w:val="22"/>
          <w:szCs w:val="22"/>
        </w:rPr>
        <w:tab/>
        <w:t>A Person required to appoint a Sponsor must, prior to appointing a Sponsor:</w:t>
      </w:r>
    </w:p>
    <w:p w14:paraId="16F05250"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take reasonable steps to ensure that the proposed Sponsor has the required knowledge, experience, qualifications and resources to carry out its obligations under these Rules; and</w:t>
      </w:r>
    </w:p>
    <w:p w14:paraId="1C928734" w14:textId="77777777" w:rsidR="00892AFD" w:rsidRPr="00FB2F3D" w:rsidRDefault="00892AFD" w:rsidP="002F5C28">
      <w:pPr>
        <w:pStyle w:val="Heading5"/>
        <w:rPr>
          <w:rFonts w:ascii="Arial" w:hAnsi="Arial" w:cs="Arial"/>
          <w:sz w:val="22"/>
          <w:szCs w:val="22"/>
        </w:rPr>
      </w:pPr>
      <w:r w:rsidRPr="00FB2F3D">
        <w:rPr>
          <w:rFonts w:ascii="Arial" w:hAnsi="Arial" w:cs="Arial"/>
          <w:sz w:val="22"/>
          <w:szCs w:val="22"/>
        </w:rPr>
        <w:t xml:space="preserve">notify the Regulator of the proposed Sponsor's name, its business address and an address in the </w:t>
      </w:r>
      <w:r w:rsidR="002F5C28" w:rsidRPr="00FB2F3D">
        <w:rPr>
          <w:rFonts w:ascii="Arial" w:hAnsi="Arial" w:cs="Arial"/>
          <w:sz w:val="22"/>
          <w:szCs w:val="22"/>
        </w:rPr>
        <w:t>ADGM</w:t>
      </w:r>
      <w:r w:rsidRPr="00FB2F3D">
        <w:rPr>
          <w:rFonts w:ascii="Arial" w:hAnsi="Arial" w:cs="Arial"/>
          <w:sz w:val="22"/>
          <w:szCs w:val="22"/>
        </w:rPr>
        <w:t xml:space="preserve"> for the service of documents.</w:t>
      </w:r>
    </w:p>
    <w:p w14:paraId="3C599BF3" w14:textId="43106A23" w:rsidR="00892AFD" w:rsidRPr="00FB2F3D" w:rsidRDefault="007F405E" w:rsidP="00892AFD">
      <w:pPr>
        <w:pStyle w:val="Heading4"/>
        <w:rPr>
          <w:rFonts w:ascii="Arial" w:hAnsi="Arial" w:cs="Arial"/>
          <w:sz w:val="22"/>
          <w:szCs w:val="22"/>
        </w:rPr>
      </w:pPr>
      <w:r>
        <w:rPr>
          <w:rFonts w:ascii="Arial" w:hAnsi="Arial" w:cs="Arial"/>
          <w:sz w:val="22"/>
          <w:szCs w:val="22"/>
        </w:rPr>
        <w:t>A</w:t>
      </w:r>
      <w:r w:rsidR="00892AFD" w:rsidRPr="00FB2F3D">
        <w:rPr>
          <w:rFonts w:ascii="Arial" w:hAnsi="Arial" w:cs="Arial"/>
          <w:sz w:val="22"/>
          <w:szCs w:val="22"/>
        </w:rPr>
        <w:t xml:space="preserve"> Person </w:t>
      </w:r>
      <w:r>
        <w:rPr>
          <w:rFonts w:ascii="Arial" w:hAnsi="Arial" w:cs="Arial"/>
          <w:sz w:val="22"/>
          <w:szCs w:val="22"/>
        </w:rPr>
        <w:t xml:space="preserve">required to appoint </w:t>
      </w:r>
      <w:r w:rsidR="00892AFD" w:rsidRPr="00FB2F3D">
        <w:rPr>
          <w:rFonts w:ascii="Arial" w:hAnsi="Arial" w:cs="Arial"/>
          <w:sz w:val="22"/>
          <w:szCs w:val="22"/>
        </w:rPr>
        <w:t xml:space="preserve">a Sponsor must provide the Regulator with information about the knowledge, experience, qualifications and resources of </w:t>
      </w:r>
      <w:r>
        <w:rPr>
          <w:rFonts w:ascii="Arial" w:hAnsi="Arial" w:cs="Arial"/>
          <w:sz w:val="22"/>
          <w:szCs w:val="22"/>
        </w:rPr>
        <w:t>a</w:t>
      </w:r>
      <w:r w:rsidR="00892AFD" w:rsidRPr="00FB2F3D">
        <w:rPr>
          <w:rFonts w:ascii="Arial" w:hAnsi="Arial" w:cs="Arial"/>
          <w:sz w:val="22"/>
          <w:szCs w:val="22"/>
        </w:rPr>
        <w:t xml:space="preserve"> proposed Sponsor.</w:t>
      </w:r>
    </w:p>
    <w:p w14:paraId="54C08CBF" w14:textId="77777777" w:rsidR="00892AFD" w:rsidRPr="00FB2F3D" w:rsidRDefault="007441BA" w:rsidP="00892AFD">
      <w:pPr>
        <w:pStyle w:val="Heading3"/>
        <w:ind w:left="1440" w:hanging="1440"/>
        <w:rPr>
          <w:rFonts w:ascii="Arial" w:hAnsi="Arial" w:cs="Arial"/>
          <w:sz w:val="22"/>
          <w:szCs w:val="22"/>
        </w:rPr>
      </w:pPr>
      <w:r w:rsidRPr="00FB2F3D">
        <w:rPr>
          <w:rFonts w:ascii="Arial" w:hAnsi="Arial" w:cs="Arial"/>
          <w:sz w:val="22"/>
          <w:szCs w:val="22"/>
        </w:rPr>
        <w:t>(1)</w:t>
      </w:r>
      <w:r w:rsidR="00892AFD" w:rsidRPr="00FB2F3D">
        <w:rPr>
          <w:rFonts w:ascii="Arial" w:hAnsi="Arial" w:cs="Arial"/>
          <w:sz w:val="22"/>
          <w:szCs w:val="22"/>
        </w:rPr>
        <w:tab/>
        <w:t xml:space="preserve">A Person must take reasonable steps to ensure that the relevant Sponsor and Employees of the Sponsor are independent </w:t>
      </w:r>
      <w:r w:rsidR="002F5C28" w:rsidRPr="00FB2F3D">
        <w:rPr>
          <w:rFonts w:ascii="Arial" w:hAnsi="Arial" w:cs="Arial"/>
          <w:sz w:val="22"/>
          <w:szCs w:val="22"/>
        </w:rPr>
        <w:t xml:space="preserve">of the Person </w:t>
      </w:r>
      <w:r w:rsidR="00892AFD" w:rsidRPr="00FB2F3D">
        <w:rPr>
          <w:rFonts w:ascii="Arial" w:hAnsi="Arial" w:cs="Arial"/>
          <w:sz w:val="22"/>
          <w:szCs w:val="22"/>
        </w:rPr>
        <w:t>and have appropriately managed any conflict of interest that may arise.</w:t>
      </w:r>
    </w:p>
    <w:p w14:paraId="79E4628F" w14:textId="77777777" w:rsidR="00892AFD" w:rsidRPr="00FB2F3D" w:rsidRDefault="002F5C28" w:rsidP="002F5C28">
      <w:pPr>
        <w:pStyle w:val="Heading4"/>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892AFD" w:rsidRPr="00FB2F3D">
        <w:rPr>
          <w:rFonts w:ascii="Arial" w:hAnsi="Arial" w:cs="Arial"/>
          <w:sz w:val="22"/>
          <w:szCs w:val="22"/>
        </w:rPr>
        <w:t xml:space="preserve">A Person must notify the Regulator if it becomes aware, or has reason to believe, that the Sponsor or relevant Employees of the Sponsor are no longer independent </w:t>
      </w:r>
      <w:r w:rsidRPr="00FB2F3D">
        <w:rPr>
          <w:rFonts w:ascii="Arial" w:hAnsi="Arial" w:cs="Arial"/>
          <w:sz w:val="22"/>
          <w:szCs w:val="22"/>
        </w:rPr>
        <w:t xml:space="preserve">of the Person </w:t>
      </w:r>
      <w:r w:rsidR="00892AFD" w:rsidRPr="00FB2F3D">
        <w:rPr>
          <w:rFonts w:ascii="Arial" w:hAnsi="Arial" w:cs="Arial"/>
          <w:sz w:val="22"/>
          <w:szCs w:val="22"/>
        </w:rPr>
        <w:t>or have a conflict of interest which has not been appropriately managed.</w:t>
      </w:r>
    </w:p>
    <w:p w14:paraId="0242E9F4" w14:textId="0AFB43A3" w:rsidR="00892AFD" w:rsidRPr="004B026C" w:rsidRDefault="00892AFD" w:rsidP="004B026C">
      <w:pPr>
        <w:pStyle w:val="Heading3"/>
        <w:ind w:left="709" w:hanging="709"/>
        <w:rPr>
          <w:rFonts w:ascii="Arial" w:hAnsi="Arial" w:cs="Arial"/>
          <w:sz w:val="22"/>
          <w:szCs w:val="22"/>
        </w:rPr>
      </w:pPr>
      <w:r w:rsidRPr="00FB2F3D">
        <w:rPr>
          <w:rFonts w:ascii="Arial" w:hAnsi="Arial" w:cs="Arial"/>
          <w:sz w:val="22"/>
          <w:szCs w:val="22"/>
        </w:rPr>
        <w:t>Where, in the opinion of the Regulator, a Sponsor appointed by a Person is not suitable, or where a Sponsor has resigned, the Regulator may direct the Person to replace or appoint a Sponsor.</w:t>
      </w:r>
    </w:p>
    <w:p w14:paraId="5C15F9D3"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lastRenderedPageBreak/>
        <w:t>Obligations of a Sponsor</w:t>
      </w:r>
    </w:p>
    <w:p w14:paraId="521DF8BB" w14:textId="6EE0F26F" w:rsidR="00892AFD" w:rsidRPr="00FB2F3D" w:rsidRDefault="00892AFD" w:rsidP="00892AFD">
      <w:pPr>
        <w:pStyle w:val="Heading3"/>
        <w:keepNext/>
        <w:rPr>
          <w:rFonts w:ascii="Arial" w:hAnsi="Arial" w:cs="Arial"/>
          <w:sz w:val="22"/>
          <w:szCs w:val="22"/>
        </w:rPr>
      </w:pPr>
      <w:r w:rsidRPr="00FB2F3D">
        <w:rPr>
          <w:rFonts w:ascii="Arial" w:hAnsi="Arial" w:cs="Arial"/>
          <w:sz w:val="22"/>
          <w:szCs w:val="22"/>
        </w:rPr>
        <w:t>A Sponsor appointed pursuant to Rule </w:t>
      </w:r>
      <w:r w:rsidR="00E92D58">
        <w:rPr>
          <w:rFonts w:ascii="Arial" w:hAnsi="Arial" w:cs="Arial"/>
          <w:sz w:val="22"/>
          <w:szCs w:val="22"/>
        </w:rPr>
        <w:fldChar w:fldCharType="begin"/>
      </w:r>
      <w:r w:rsidR="00E92D58">
        <w:rPr>
          <w:rFonts w:ascii="Arial" w:hAnsi="Arial" w:cs="Arial"/>
          <w:sz w:val="22"/>
          <w:szCs w:val="22"/>
        </w:rPr>
        <w:instrText xml:space="preserve"> REF _Ref410630864 \n \h </w:instrText>
      </w:r>
      <w:r w:rsidR="00E92D58">
        <w:rPr>
          <w:rFonts w:ascii="Arial" w:hAnsi="Arial" w:cs="Arial"/>
          <w:sz w:val="22"/>
          <w:szCs w:val="22"/>
        </w:rPr>
      </w:r>
      <w:r w:rsidR="00E92D58">
        <w:rPr>
          <w:rFonts w:ascii="Arial" w:hAnsi="Arial" w:cs="Arial"/>
          <w:sz w:val="22"/>
          <w:szCs w:val="22"/>
        </w:rPr>
        <w:fldChar w:fldCharType="separate"/>
      </w:r>
      <w:r w:rsidR="006B2C90">
        <w:rPr>
          <w:rFonts w:ascii="Arial" w:hAnsi="Arial" w:cs="Arial"/>
          <w:sz w:val="22"/>
          <w:szCs w:val="22"/>
          <w:cs/>
        </w:rPr>
        <w:t>‎</w:t>
      </w:r>
      <w:r w:rsidR="006B2C90">
        <w:rPr>
          <w:rFonts w:ascii="Arial" w:hAnsi="Arial" w:cs="Arial"/>
          <w:sz w:val="22"/>
          <w:szCs w:val="22"/>
        </w:rPr>
        <w:t>5.1.2</w:t>
      </w:r>
      <w:r w:rsidR="00E92D58">
        <w:rPr>
          <w:rFonts w:ascii="Arial" w:hAnsi="Arial" w:cs="Arial"/>
          <w:sz w:val="22"/>
          <w:szCs w:val="22"/>
        </w:rPr>
        <w:fldChar w:fldCharType="end"/>
      </w:r>
      <w:r w:rsidRPr="00FB2F3D">
        <w:rPr>
          <w:rFonts w:ascii="Arial" w:hAnsi="Arial" w:cs="Arial"/>
          <w:sz w:val="22"/>
          <w:szCs w:val="22"/>
        </w:rPr>
        <w:t xml:space="preserve"> must:</w:t>
      </w:r>
    </w:p>
    <w:p w14:paraId="62DC100C" w14:textId="6607B308" w:rsidR="00892AFD" w:rsidRPr="00FB2F3D" w:rsidRDefault="00F5610C" w:rsidP="007050B7">
      <w:pPr>
        <w:pStyle w:val="Heading4"/>
        <w:rPr>
          <w:rFonts w:ascii="Arial" w:hAnsi="Arial" w:cs="Arial"/>
          <w:sz w:val="22"/>
          <w:szCs w:val="22"/>
        </w:rPr>
      </w:pPr>
      <w:r>
        <w:rPr>
          <w:rFonts w:ascii="Arial" w:hAnsi="Arial" w:cs="Arial"/>
          <w:sz w:val="22"/>
          <w:szCs w:val="22"/>
        </w:rPr>
        <w:t>provide assurance to the Regulator that,</w:t>
      </w:r>
      <w:r w:rsidR="00892AFD" w:rsidRPr="00FB2F3D">
        <w:rPr>
          <w:rFonts w:ascii="Arial" w:hAnsi="Arial" w:cs="Arial"/>
          <w:sz w:val="22"/>
          <w:szCs w:val="22"/>
        </w:rPr>
        <w:t xml:space="preserve"> to the best of its knowledge and belief, having made due and careful enquiry</w:t>
      </w:r>
      <w:r>
        <w:rPr>
          <w:rFonts w:ascii="Arial" w:hAnsi="Arial" w:cs="Arial"/>
          <w:sz w:val="22"/>
          <w:szCs w:val="22"/>
        </w:rPr>
        <w:t xml:space="preserve">, the Issuer (as an applicant for its Securities to be admitted to the Official List) </w:t>
      </w:r>
      <w:r w:rsidR="00892AFD" w:rsidRPr="00FB2F3D">
        <w:rPr>
          <w:rFonts w:ascii="Arial" w:hAnsi="Arial" w:cs="Arial"/>
          <w:sz w:val="22"/>
          <w:szCs w:val="22"/>
        </w:rPr>
        <w:t xml:space="preserve">has satisfied all applicable conditions </w:t>
      </w:r>
      <w:r>
        <w:rPr>
          <w:rFonts w:ascii="Arial" w:hAnsi="Arial" w:cs="Arial"/>
          <w:sz w:val="22"/>
          <w:szCs w:val="22"/>
        </w:rPr>
        <w:t>within the Listing Rules and any</w:t>
      </w:r>
      <w:r w:rsidR="00892AFD" w:rsidRPr="00FB2F3D">
        <w:rPr>
          <w:rFonts w:ascii="Arial" w:hAnsi="Arial" w:cs="Arial"/>
          <w:sz w:val="22"/>
          <w:szCs w:val="22"/>
        </w:rPr>
        <w:t xml:space="preserve"> other relevant requirements under the FSMR and these Rules;</w:t>
      </w:r>
    </w:p>
    <w:p w14:paraId="2F608EB4" w14:textId="02F6A608" w:rsidR="00892AFD" w:rsidRPr="00FB2F3D" w:rsidRDefault="00892AFD" w:rsidP="007050B7">
      <w:pPr>
        <w:pStyle w:val="Heading4"/>
        <w:rPr>
          <w:rFonts w:ascii="Arial" w:hAnsi="Arial" w:cs="Arial"/>
          <w:sz w:val="22"/>
          <w:szCs w:val="22"/>
        </w:rPr>
      </w:pPr>
      <w:r w:rsidRPr="00FB2F3D">
        <w:rPr>
          <w:rFonts w:ascii="Arial" w:hAnsi="Arial" w:cs="Arial"/>
          <w:sz w:val="22"/>
          <w:szCs w:val="22"/>
        </w:rPr>
        <w:t xml:space="preserve">provide to the Regulator any explanation </w:t>
      </w:r>
      <w:r w:rsidR="00F5610C">
        <w:rPr>
          <w:rFonts w:ascii="Arial" w:hAnsi="Arial" w:cs="Arial"/>
          <w:sz w:val="22"/>
          <w:szCs w:val="22"/>
        </w:rPr>
        <w:t>or confirmation</w:t>
      </w:r>
      <w:r w:rsidRPr="00FB2F3D">
        <w:rPr>
          <w:rFonts w:ascii="Arial" w:hAnsi="Arial" w:cs="Arial"/>
          <w:sz w:val="22"/>
          <w:szCs w:val="22"/>
        </w:rPr>
        <w:t xml:space="preserve"> in such form and within such time limit as the Regulator may require for the purpose of verifying </w:t>
      </w:r>
      <w:r w:rsidR="00F5610C">
        <w:rPr>
          <w:rFonts w:ascii="Arial" w:hAnsi="Arial" w:cs="Arial"/>
          <w:sz w:val="22"/>
          <w:szCs w:val="22"/>
        </w:rPr>
        <w:t xml:space="preserve">that the Issuer and its Securities comply, </w:t>
      </w:r>
      <w:r w:rsidRPr="00FB2F3D">
        <w:rPr>
          <w:rFonts w:ascii="Arial" w:hAnsi="Arial" w:cs="Arial"/>
          <w:sz w:val="22"/>
          <w:szCs w:val="22"/>
        </w:rPr>
        <w:t xml:space="preserve">or has complied, with the </w:t>
      </w:r>
      <w:r w:rsidR="00F5610C">
        <w:rPr>
          <w:rFonts w:ascii="Arial" w:hAnsi="Arial" w:cs="Arial"/>
          <w:sz w:val="22"/>
          <w:szCs w:val="22"/>
        </w:rPr>
        <w:t xml:space="preserve">Listing Rules or any other </w:t>
      </w:r>
      <w:r w:rsidRPr="00FB2F3D">
        <w:rPr>
          <w:rFonts w:ascii="Arial" w:hAnsi="Arial" w:cs="Arial"/>
          <w:sz w:val="22"/>
          <w:szCs w:val="22"/>
        </w:rPr>
        <w:t>applicable requirements in the FSMR and these Rules;</w:t>
      </w:r>
    </w:p>
    <w:p w14:paraId="3C03FED0" w14:textId="77777777" w:rsidR="00F5610C" w:rsidRDefault="00F5610C" w:rsidP="007050B7">
      <w:pPr>
        <w:pStyle w:val="Heading4"/>
        <w:rPr>
          <w:rFonts w:ascii="Arial" w:hAnsi="Arial" w:cs="Arial"/>
          <w:sz w:val="22"/>
          <w:szCs w:val="22"/>
        </w:rPr>
      </w:pPr>
      <w:r>
        <w:rPr>
          <w:rFonts w:ascii="Arial" w:hAnsi="Arial" w:cs="Arial"/>
          <w:sz w:val="22"/>
          <w:szCs w:val="22"/>
        </w:rPr>
        <w:t xml:space="preserve">provide guidance to the Issuer in relation to the applicable requirements under the Listing Rules, the FSMR and these Rules; and </w:t>
      </w:r>
    </w:p>
    <w:p w14:paraId="264F49E9" w14:textId="6F4EE977" w:rsidR="00892AFD" w:rsidRPr="00FB2F3D" w:rsidRDefault="00892AFD" w:rsidP="007050B7">
      <w:pPr>
        <w:pStyle w:val="Heading4"/>
        <w:rPr>
          <w:rFonts w:ascii="Arial" w:hAnsi="Arial" w:cs="Arial"/>
          <w:sz w:val="22"/>
          <w:szCs w:val="22"/>
        </w:rPr>
      </w:pPr>
      <w:r w:rsidRPr="00FB2F3D">
        <w:rPr>
          <w:rFonts w:ascii="Arial" w:hAnsi="Arial" w:cs="Arial"/>
          <w:sz w:val="22"/>
          <w:szCs w:val="22"/>
        </w:rPr>
        <w:t>take</w:t>
      </w:r>
      <w:r w:rsidR="00F5610C">
        <w:rPr>
          <w:rFonts w:ascii="Arial" w:hAnsi="Arial" w:cs="Arial"/>
          <w:sz w:val="22"/>
          <w:szCs w:val="22"/>
        </w:rPr>
        <w:t xml:space="preserve"> such</w:t>
      </w:r>
      <w:r w:rsidRPr="00FB2F3D">
        <w:rPr>
          <w:rFonts w:ascii="Arial" w:hAnsi="Arial" w:cs="Arial"/>
          <w:sz w:val="22"/>
          <w:szCs w:val="22"/>
        </w:rPr>
        <w:t xml:space="preserve"> other steps</w:t>
      </w:r>
      <w:r w:rsidR="00F5610C">
        <w:rPr>
          <w:rFonts w:ascii="Arial" w:hAnsi="Arial" w:cs="Arial"/>
          <w:sz w:val="22"/>
          <w:szCs w:val="22"/>
        </w:rPr>
        <w:t xml:space="preserve"> as may be </w:t>
      </w:r>
      <w:r w:rsidRPr="00FB2F3D">
        <w:rPr>
          <w:rFonts w:ascii="Arial" w:hAnsi="Arial" w:cs="Arial"/>
          <w:sz w:val="22"/>
          <w:szCs w:val="22"/>
        </w:rPr>
        <w:t>required in writing by the Regulator.</w:t>
      </w:r>
    </w:p>
    <w:p w14:paraId="5A43AC70" w14:textId="77777777" w:rsidR="0009761D" w:rsidRDefault="0009761D" w:rsidP="00892AFD">
      <w:pPr>
        <w:pStyle w:val="Heading3"/>
        <w:rPr>
          <w:rFonts w:ascii="Arial" w:hAnsi="Arial" w:cs="Arial"/>
          <w:sz w:val="22"/>
          <w:szCs w:val="22"/>
        </w:rPr>
      </w:pPr>
      <w:r>
        <w:rPr>
          <w:rFonts w:ascii="Arial" w:hAnsi="Arial" w:cs="Arial"/>
          <w:sz w:val="22"/>
          <w:szCs w:val="22"/>
        </w:rPr>
        <w:t>A</w:t>
      </w:r>
      <w:r w:rsidR="00892AFD" w:rsidRPr="00FB2F3D">
        <w:rPr>
          <w:rFonts w:ascii="Arial" w:hAnsi="Arial" w:cs="Arial"/>
          <w:sz w:val="22"/>
          <w:szCs w:val="22"/>
        </w:rPr>
        <w:t xml:space="preserve"> Sponsor </w:t>
      </w:r>
      <w:r>
        <w:rPr>
          <w:rFonts w:ascii="Arial" w:hAnsi="Arial" w:cs="Arial"/>
          <w:sz w:val="22"/>
          <w:szCs w:val="22"/>
        </w:rPr>
        <w:t>must:</w:t>
      </w:r>
    </w:p>
    <w:p w14:paraId="4AD3442A" w14:textId="08EC9360" w:rsidR="00892AFD" w:rsidRPr="00FB2F3D" w:rsidRDefault="0009761D" w:rsidP="00123A49">
      <w:pPr>
        <w:pStyle w:val="Heading3"/>
        <w:numPr>
          <w:ilvl w:val="0"/>
          <w:numId w:val="0"/>
        </w:numPr>
        <w:ind w:left="1418" w:hanging="709"/>
        <w:rPr>
          <w:rFonts w:ascii="Arial" w:hAnsi="Arial" w:cs="Arial"/>
          <w:sz w:val="22"/>
          <w:szCs w:val="22"/>
        </w:rPr>
      </w:pPr>
      <w:r>
        <w:rPr>
          <w:rFonts w:ascii="Arial" w:hAnsi="Arial" w:cs="Arial"/>
          <w:sz w:val="22"/>
          <w:szCs w:val="22"/>
        </w:rPr>
        <w:t>(1)</w:t>
      </w:r>
      <w:r>
        <w:rPr>
          <w:rFonts w:ascii="Arial" w:hAnsi="Arial" w:cs="Arial"/>
          <w:sz w:val="22"/>
          <w:szCs w:val="22"/>
        </w:rPr>
        <w:tab/>
        <w:t xml:space="preserve">where it </w:t>
      </w:r>
      <w:r w:rsidR="00892AFD" w:rsidRPr="00FB2F3D">
        <w:rPr>
          <w:rFonts w:ascii="Arial" w:hAnsi="Arial" w:cs="Arial"/>
          <w:sz w:val="22"/>
          <w:szCs w:val="22"/>
        </w:rPr>
        <w:t xml:space="preserve">becomes aware of a failure by the </w:t>
      </w:r>
      <w:r>
        <w:rPr>
          <w:rFonts w:ascii="Arial" w:hAnsi="Arial" w:cs="Arial"/>
          <w:sz w:val="22"/>
          <w:szCs w:val="22"/>
        </w:rPr>
        <w:t>Issuer</w:t>
      </w:r>
      <w:r w:rsidR="00892AFD" w:rsidRPr="00FB2F3D">
        <w:rPr>
          <w:rFonts w:ascii="Arial" w:hAnsi="Arial" w:cs="Arial"/>
          <w:sz w:val="22"/>
          <w:szCs w:val="22"/>
        </w:rPr>
        <w:t xml:space="preserve"> to comply with its obligations under the FSMR and these Rules, without undue delay:</w:t>
      </w:r>
    </w:p>
    <w:p w14:paraId="25EAD4E7" w14:textId="7BAF2B65" w:rsidR="00892AFD" w:rsidRPr="00FB2F3D" w:rsidRDefault="00123A49" w:rsidP="00123A49">
      <w:pPr>
        <w:pStyle w:val="Heading4"/>
        <w:numPr>
          <w:ilvl w:val="0"/>
          <w:numId w:val="0"/>
        </w:numPr>
        <w:ind w:left="2127" w:hanging="709"/>
        <w:rPr>
          <w:rFonts w:ascii="Arial" w:hAnsi="Arial" w:cs="Arial"/>
          <w:sz w:val="22"/>
          <w:szCs w:val="22"/>
        </w:rPr>
      </w:pPr>
      <w:r>
        <w:rPr>
          <w:rFonts w:ascii="Arial" w:hAnsi="Arial" w:cs="Arial"/>
          <w:sz w:val="22"/>
          <w:szCs w:val="22"/>
        </w:rPr>
        <w:t>(a)</w:t>
      </w:r>
      <w:r>
        <w:rPr>
          <w:rFonts w:ascii="Arial" w:hAnsi="Arial" w:cs="Arial"/>
          <w:sz w:val="22"/>
          <w:szCs w:val="22"/>
        </w:rPr>
        <w:tab/>
      </w:r>
      <w:r w:rsidR="00892AFD" w:rsidRPr="00FB2F3D">
        <w:rPr>
          <w:rFonts w:ascii="Arial" w:hAnsi="Arial" w:cs="Arial"/>
          <w:sz w:val="22"/>
          <w:szCs w:val="22"/>
        </w:rPr>
        <w:t xml:space="preserve">notify the </w:t>
      </w:r>
      <w:r>
        <w:rPr>
          <w:rFonts w:ascii="Arial" w:hAnsi="Arial" w:cs="Arial"/>
          <w:sz w:val="22"/>
          <w:szCs w:val="22"/>
        </w:rPr>
        <w:t>Issuer</w:t>
      </w:r>
      <w:r w:rsidR="00892AFD" w:rsidRPr="00FB2F3D">
        <w:rPr>
          <w:rFonts w:ascii="Arial" w:hAnsi="Arial" w:cs="Arial"/>
          <w:sz w:val="22"/>
          <w:szCs w:val="22"/>
        </w:rPr>
        <w:t xml:space="preserve"> of the failure and take reasonable steps to ensure it rectifies the failure within a reasonable time; and</w:t>
      </w:r>
    </w:p>
    <w:p w14:paraId="3CF66CFF" w14:textId="7B3A7457" w:rsidR="00892AFD" w:rsidRDefault="00892AFD" w:rsidP="00755725">
      <w:pPr>
        <w:pStyle w:val="Heading5"/>
        <w:numPr>
          <w:ilvl w:val="4"/>
          <w:numId w:val="106"/>
        </w:numPr>
        <w:rPr>
          <w:rFonts w:ascii="Arial" w:hAnsi="Arial" w:cs="Arial"/>
          <w:sz w:val="22"/>
          <w:szCs w:val="22"/>
        </w:rPr>
      </w:pPr>
      <w:r w:rsidRPr="00123A49">
        <w:rPr>
          <w:rFonts w:ascii="Arial" w:hAnsi="Arial" w:cs="Arial"/>
          <w:sz w:val="22"/>
          <w:szCs w:val="22"/>
        </w:rPr>
        <w:t xml:space="preserve">if the </w:t>
      </w:r>
      <w:r w:rsidR="00123A49">
        <w:rPr>
          <w:rFonts w:ascii="Arial" w:hAnsi="Arial" w:cs="Arial"/>
          <w:sz w:val="22"/>
          <w:szCs w:val="22"/>
        </w:rPr>
        <w:t>Issuer</w:t>
      </w:r>
      <w:r w:rsidRPr="00123A49">
        <w:rPr>
          <w:rFonts w:ascii="Arial" w:hAnsi="Arial" w:cs="Arial"/>
          <w:sz w:val="22"/>
          <w:szCs w:val="22"/>
        </w:rPr>
        <w:t xml:space="preserve"> does not or is unable to rectify the failure as soon as practicable</w:t>
      </w:r>
      <w:r w:rsidR="00123A49">
        <w:rPr>
          <w:rFonts w:ascii="Arial" w:hAnsi="Arial" w:cs="Arial"/>
          <w:sz w:val="22"/>
          <w:szCs w:val="22"/>
        </w:rPr>
        <w:t>,</w:t>
      </w:r>
      <w:r w:rsidRPr="00123A49">
        <w:rPr>
          <w:rFonts w:ascii="Arial" w:hAnsi="Arial" w:cs="Arial"/>
          <w:sz w:val="22"/>
          <w:szCs w:val="22"/>
        </w:rPr>
        <w:t xml:space="preserve"> notify the Regulator of that fact.</w:t>
      </w:r>
    </w:p>
    <w:p w14:paraId="50E9344D" w14:textId="67821CB4" w:rsidR="002E384F" w:rsidRPr="002E384F" w:rsidRDefault="002E384F" w:rsidP="002E384F">
      <w:pPr>
        <w:pStyle w:val="Heading4"/>
        <w:numPr>
          <w:ilvl w:val="0"/>
          <w:numId w:val="0"/>
        </w:numPr>
        <w:ind w:left="1440" w:hanging="731"/>
        <w:rPr>
          <w:rFonts w:ascii="Arial" w:hAnsi="Arial" w:cs="Arial"/>
          <w:sz w:val="22"/>
          <w:szCs w:val="22"/>
        </w:rPr>
      </w:pPr>
      <w:r w:rsidRPr="002E384F">
        <w:rPr>
          <w:rFonts w:ascii="Arial" w:hAnsi="Arial" w:cs="Arial"/>
          <w:sz w:val="22"/>
          <w:szCs w:val="22"/>
        </w:rPr>
        <w:t>(2)</w:t>
      </w:r>
      <w:r w:rsidRPr="002E384F">
        <w:rPr>
          <w:rFonts w:ascii="Arial" w:hAnsi="Arial" w:cs="Arial"/>
          <w:sz w:val="22"/>
          <w:szCs w:val="22"/>
        </w:rPr>
        <w:tab/>
        <w:t xml:space="preserve">for so long as it is appointed in such capacity in respect of an Issuer (as an applicant for Securities to be admitted to the Official List): </w:t>
      </w:r>
    </w:p>
    <w:p w14:paraId="1D88481D" w14:textId="77777777" w:rsidR="002E384F" w:rsidRPr="002E384F" w:rsidRDefault="002E384F" w:rsidP="002E384F">
      <w:pPr>
        <w:pStyle w:val="Heading4"/>
        <w:numPr>
          <w:ilvl w:val="0"/>
          <w:numId w:val="0"/>
        </w:numPr>
        <w:ind w:left="2127" w:hanging="709"/>
        <w:rPr>
          <w:rFonts w:ascii="Arial" w:hAnsi="Arial" w:cs="Arial"/>
          <w:sz w:val="22"/>
          <w:szCs w:val="22"/>
        </w:rPr>
      </w:pPr>
      <w:r w:rsidRPr="002E384F">
        <w:rPr>
          <w:rFonts w:ascii="Arial" w:hAnsi="Arial" w:cs="Arial"/>
          <w:sz w:val="22"/>
          <w:szCs w:val="22"/>
        </w:rPr>
        <w:t xml:space="preserve">(a) </w:t>
      </w:r>
      <w:r w:rsidRPr="002E384F">
        <w:rPr>
          <w:rFonts w:ascii="Arial" w:hAnsi="Arial" w:cs="Arial"/>
          <w:sz w:val="22"/>
          <w:szCs w:val="22"/>
        </w:rPr>
        <w:tab/>
        <w:t xml:space="preserve">take such reasonable steps that are required to ensure that any communication or information it provides to the Regulator when carrying out its duties is, to the best of its knowledge and belief, accurate and complete in all material respects; and </w:t>
      </w:r>
    </w:p>
    <w:p w14:paraId="0C8E1F33" w14:textId="05940F0B" w:rsidR="002E384F" w:rsidRPr="002E384F" w:rsidRDefault="002E384F" w:rsidP="002E384F">
      <w:pPr>
        <w:pStyle w:val="Heading4"/>
        <w:numPr>
          <w:ilvl w:val="0"/>
          <w:numId w:val="0"/>
        </w:numPr>
        <w:ind w:left="2127" w:hanging="720"/>
        <w:rPr>
          <w:rFonts w:ascii="Arial" w:hAnsi="Arial" w:cs="Arial"/>
          <w:sz w:val="22"/>
          <w:szCs w:val="22"/>
        </w:rPr>
      </w:pPr>
      <w:r w:rsidRPr="002E384F">
        <w:rPr>
          <w:rFonts w:ascii="Arial" w:hAnsi="Arial" w:cs="Arial"/>
          <w:sz w:val="22"/>
          <w:szCs w:val="22"/>
        </w:rPr>
        <w:t xml:space="preserve">(b) </w:t>
      </w:r>
      <w:r w:rsidRPr="002E384F">
        <w:rPr>
          <w:rFonts w:ascii="Arial" w:hAnsi="Arial" w:cs="Arial"/>
          <w:sz w:val="22"/>
          <w:szCs w:val="22"/>
        </w:rPr>
        <w:tab/>
        <w:t>as soon as possible following it becoming aware of any information that materially affects the accuracy or completeness of information it has previously provided to the Regulator provide same to the Regulator.</w:t>
      </w:r>
    </w:p>
    <w:p w14:paraId="54C04CA0"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Duty of care of Sponsors</w:t>
      </w:r>
    </w:p>
    <w:p w14:paraId="704875BB"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A Sponsor has a duty of care to the Person which has made its appointment.</w:t>
      </w:r>
    </w:p>
    <w:p w14:paraId="26D97E72"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Co</w:t>
      </w:r>
      <w:r w:rsidRPr="00FB2F3D">
        <w:rPr>
          <w:rFonts w:ascii="Arial" w:hAnsi="Arial" w:cs="Arial"/>
          <w:sz w:val="22"/>
          <w:szCs w:val="22"/>
        </w:rPr>
        <w:noBreakHyphen/>
        <w:t>operation with Sponsors</w:t>
      </w:r>
    </w:p>
    <w:p w14:paraId="00D4AA78" w14:textId="71367630" w:rsidR="00892AFD" w:rsidRPr="00FB2F3D" w:rsidRDefault="00892AFD" w:rsidP="00892AFD">
      <w:pPr>
        <w:pStyle w:val="Heading3"/>
        <w:rPr>
          <w:rFonts w:ascii="Arial" w:hAnsi="Arial" w:cs="Arial"/>
          <w:sz w:val="22"/>
          <w:szCs w:val="22"/>
        </w:rPr>
      </w:pPr>
      <w:r w:rsidRPr="00FB2F3D">
        <w:rPr>
          <w:rFonts w:ascii="Arial" w:hAnsi="Arial" w:cs="Arial"/>
          <w:sz w:val="22"/>
          <w:szCs w:val="22"/>
        </w:rPr>
        <w:t xml:space="preserve">A Person who is required to appoint a Sponsor </w:t>
      </w:r>
      <w:r w:rsidR="002E384F">
        <w:rPr>
          <w:rFonts w:ascii="Arial" w:hAnsi="Arial" w:cs="Arial"/>
          <w:sz w:val="22"/>
          <w:szCs w:val="22"/>
        </w:rPr>
        <w:t>pursuant to Rule 5.1.2</w:t>
      </w:r>
      <w:r w:rsidRPr="00FB2F3D">
        <w:rPr>
          <w:rFonts w:ascii="Arial" w:hAnsi="Arial" w:cs="Arial"/>
          <w:sz w:val="22"/>
          <w:szCs w:val="22"/>
        </w:rPr>
        <w:t xml:space="preserve"> must take reasonable steps to ensure that it and its Employees:</w:t>
      </w:r>
    </w:p>
    <w:p w14:paraId="799C62E8"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provide such assistance as the Sponsor reasonably requires to discharge its duties;</w:t>
      </w:r>
    </w:p>
    <w:p w14:paraId="7F8B49A7"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lastRenderedPageBreak/>
        <w:t>give the Sponsor right of access at all reasonable times to relevant records and information;</w:t>
      </w:r>
    </w:p>
    <w:p w14:paraId="1D957C4A"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do not interfere with the Sponsor's ability to discharge its duties;</w:t>
      </w:r>
    </w:p>
    <w:p w14:paraId="0ACDD6A9"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 xml:space="preserve">do not provide </w:t>
      </w:r>
      <w:r w:rsidR="00EC3624" w:rsidRPr="00FB2F3D">
        <w:rPr>
          <w:rFonts w:ascii="Arial" w:hAnsi="Arial" w:cs="Arial"/>
          <w:sz w:val="22"/>
          <w:szCs w:val="22"/>
        </w:rPr>
        <w:t>false, misleading, or deceptive</w:t>
      </w:r>
      <w:r w:rsidRPr="00FB2F3D">
        <w:rPr>
          <w:rFonts w:ascii="Arial" w:hAnsi="Arial" w:cs="Arial"/>
          <w:sz w:val="22"/>
          <w:szCs w:val="22"/>
        </w:rPr>
        <w:t xml:space="preserve"> information to the Sponsor; and</w:t>
      </w:r>
    </w:p>
    <w:p w14:paraId="15B0D894" w14:textId="5D670448" w:rsidR="00892AFD" w:rsidRPr="00FB2F3D" w:rsidRDefault="00892AFD" w:rsidP="00424270">
      <w:pPr>
        <w:pStyle w:val="Heading4"/>
        <w:rPr>
          <w:rFonts w:ascii="Arial" w:hAnsi="Arial" w:cs="Arial"/>
          <w:sz w:val="22"/>
          <w:szCs w:val="22"/>
        </w:rPr>
      </w:pPr>
      <w:r w:rsidRPr="00FB2F3D">
        <w:rPr>
          <w:rFonts w:ascii="Arial" w:hAnsi="Arial" w:cs="Arial"/>
          <w:sz w:val="22"/>
          <w:szCs w:val="22"/>
        </w:rPr>
        <w:t xml:space="preserve">report to the Sponsor any matter which may significantly affect the financial position of the </w:t>
      </w:r>
      <w:r w:rsidR="002E384F">
        <w:rPr>
          <w:rFonts w:ascii="Arial" w:hAnsi="Arial" w:cs="Arial"/>
          <w:sz w:val="22"/>
          <w:szCs w:val="22"/>
        </w:rPr>
        <w:t>Issuer (as an Applicant seeking admission of</w:t>
      </w:r>
      <w:r w:rsidRPr="00FB2F3D">
        <w:rPr>
          <w:rFonts w:ascii="Arial" w:hAnsi="Arial" w:cs="Arial"/>
          <w:sz w:val="22"/>
          <w:szCs w:val="22"/>
        </w:rPr>
        <w:t xml:space="preserve"> Securities</w:t>
      </w:r>
      <w:r w:rsidR="002E384F">
        <w:rPr>
          <w:rFonts w:ascii="Arial" w:hAnsi="Arial" w:cs="Arial"/>
          <w:sz w:val="22"/>
          <w:szCs w:val="22"/>
        </w:rPr>
        <w:t xml:space="preserve"> to the Official List)</w:t>
      </w:r>
      <w:r w:rsidRPr="00FB2F3D">
        <w:rPr>
          <w:rFonts w:ascii="Arial" w:hAnsi="Arial" w:cs="Arial"/>
          <w:sz w:val="22"/>
          <w:szCs w:val="22"/>
        </w:rPr>
        <w:t xml:space="preserve"> or the price or value of the</w:t>
      </w:r>
      <w:r w:rsidR="002E384F">
        <w:rPr>
          <w:rFonts w:ascii="Arial" w:hAnsi="Arial" w:cs="Arial"/>
          <w:sz w:val="22"/>
          <w:szCs w:val="22"/>
        </w:rPr>
        <w:t xml:space="preserve"> relevant</w:t>
      </w:r>
      <w:r w:rsidRPr="00FB2F3D">
        <w:rPr>
          <w:rFonts w:ascii="Arial" w:hAnsi="Arial" w:cs="Arial"/>
          <w:sz w:val="22"/>
          <w:szCs w:val="22"/>
        </w:rPr>
        <w:t xml:space="preserve"> Securities.</w:t>
      </w:r>
    </w:p>
    <w:p w14:paraId="3C716EAC"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A Sponsor must notify the Regulator of any non</w:t>
      </w:r>
      <w:r w:rsidRPr="00FB2F3D">
        <w:rPr>
          <w:rFonts w:ascii="Arial" w:hAnsi="Arial" w:cs="Arial"/>
          <w:sz w:val="22"/>
          <w:szCs w:val="22"/>
        </w:rPr>
        <w:noBreakHyphen/>
        <w:t>cooperation by the Person making the</w:t>
      </w:r>
      <w:r w:rsidRPr="00FB2F3D">
        <w:rPr>
          <w:rFonts w:ascii="Arial" w:hAnsi="Arial" w:cs="Arial"/>
          <w:sz w:val="22"/>
          <w:szCs w:val="22"/>
          <w:lang w:eastAsia="ja-JP"/>
        </w:rPr>
        <w:t xml:space="preserve"> </w:t>
      </w:r>
      <w:r w:rsidRPr="00FB2F3D">
        <w:rPr>
          <w:rFonts w:ascii="Arial" w:hAnsi="Arial" w:cs="Arial"/>
          <w:sz w:val="22"/>
          <w:szCs w:val="22"/>
        </w:rPr>
        <w:t>Prospectus Offer or the Employees of that Person.</w:t>
      </w:r>
    </w:p>
    <w:p w14:paraId="66AF8C35"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Termination of appointment</w:t>
      </w:r>
    </w:p>
    <w:p w14:paraId="77A2B148"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Where a Person who is required to appoint a Sponsor dismisses the Sponsor, the Person must advise the Regulator in writing without delay of the dismissal, giving details of any relevant facts and circumstances.</w:t>
      </w:r>
    </w:p>
    <w:p w14:paraId="377803CE"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Where a Sponsor resigns, it must advise the Regulator in writing without delay of the resignation, giving details of any relevant facts and circumstances.</w:t>
      </w:r>
    </w:p>
    <w:p w14:paraId="1236B800" w14:textId="77777777" w:rsidR="00892AFD" w:rsidRPr="00FB2F3D" w:rsidRDefault="00892AFD" w:rsidP="00892AFD">
      <w:pPr>
        <w:pStyle w:val="Heading2"/>
        <w:rPr>
          <w:rFonts w:ascii="Arial" w:hAnsi="Arial" w:cs="Arial"/>
          <w:sz w:val="22"/>
          <w:szCs w:val="22"/>
        </w:rPr>
      </w:pPr>
      <w:bookmarkStart w:id="553" w:name="_Toc409521863"/>
      <w:bookmarkStart w:id="554" w:name="_Toc410136260"/>
      <w:bookmarkStart w:id="555" w:name="_Toc410605969"/>
      <w:bookmarkStart w:id="556" w:name="_Toc410658905"/>
      <w:bookmarkStart w:id="557" w:name="_Toc410659032"/>
      <w:bookmarkStart w:id="558" w:name="_Toc410835579"/>
      <w:bookmarkStart w:id="559" w:name="_Toc138325687"/>
      <w:r w:rsidRPr="00FB2F3D">
        <w:rPr>
          <w:rFonts w:ascii="Arial" w:hAnsi="Arial" w:cs="Arial"/>
          <w:sz w:val="22"/>
          <w:szCs w:val="22"/>
        </w:rPr>
        <w:t>Compliance advisers</w:t>
      </w:r>
      <w:bookmarkEnd w:id="553"/>
      <w:bookmarkEnd w:id="554"/>
      <w:bookmarkEnd w:id="555"/>
      <w:bookmarkEnd w:id="556"/>
      <w:bookmarkEnd w:id="557"/>
      <w:bookmarkEnd w:id="558"/>
      <w:bookmarkEnd w:id="559"/>
    </w:p>
    <w:p w14:paraId="583D9A63"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Application</w:t>
      </w:r>
    </w:p>
    <w:p w14:paraId="4E589F41"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This section applies to a Reporting Entity that is required by the ADGM to appoint a compliance adviser.</w:t>
      </w:r>
    </w:p>
    <w:p w14:paraId="38E271E8"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Guidance</w:t>
      </w:r>
    </w:p>
    <w:p w14:paraId="62389D55" w14:textId="5672308E" w:rsidR="00892AFD" w:rsidRPr="00FB2F3D" w:rsidRDefault="00892AFD" w:rsidP="002F5C28">
      <w:pPr>
        <w:pStyle w:val="UK12Block05"/>
        <w:rPr>
          <w:rFonts w:ascii="Arial" w:hAnsi="Arial" w:cs="Arial"/>
          <w:sz w:val="22"/>
          <w:szCs w:val="22"/>
        </w:rPr>
      </w:pPr>
      <w:r w:rsidRPr="00FB2F3D">
        <w:rPr>
          <w:rFonts w:ascii="Arial" w:hAnsi="Arial" w:cs="Arial"/>
          <w:sz w:val="22"/>
          <w:szCs w:val="22"/>
        </w:rPr>
        <w:t xml:space="preserve">The requirement for the appointment of a compliance adviser is designed to ensure that a Reporting Entity is aware of and complies with its continuing obligations under the FSMR and this </w:t>
      </w:r>
      <w:r w:rsidR="002F5C28" w:rsidRPr="00FB2F3D">
        <w:rPr>
          <w:rFonts w:ascii="Arial" w:hAnsi="Arial" w:cs="Arial"/>
          <w:sz w:val="22"/>
          <w:szCs w:val="22"/>
        </w:rPr>
        <w:t>Rulebook</w:t>
      </w:r>
      <w:r w:rsidRPr="00FB2F3D">
        <w:rPr>
          <w:rFonts w:ascii="Arial" w:hAnsi="Arial" w:cs="Arial"/>
          <w:sz w:val="22"/>
          <w:szCs w:val="22"/>
        </w:rPr>
        <w:t xml:space="preserve">. A compliance adviser should therefore be a </w:t>
      </w:r>
      <w:r w:rsidR="002E384F">
        <w:rPr>
          <w:rFonts w:ascii="Arial" w:hAnsi="Arial" w:cs="Arial"/>
          <w:sz w:val="22"/>
          <w:szCs w:val="22"/>
        </w:rPr>
        <w:t>P</w:t>
      </w:r>
      <w:r w:rsidRPr="00FB2F3D">
        <w:rPr>
          <w:rFonts w:ascii="Arial" w:hAnsi="Arial" w:cs="Arial"/>
          <w:sz w:val="22"/>
          <w:szCs w:val="22"/>
        </w:rPr>
        <w:t xml:space="preserve">erson familiar with the requirements of the FSMR and this </w:t>
      </w:r>
      <w:r w:rsidR="002F5C28" w:rsidRPr="00FB2F3D">
        <w:rPr>
          <w:rFonts w:ascii="Arial" w:hAnsi="Arial" w:cs="Arial"/>
          <w:sz w:val="22"/>
          <w:szCs w:val="22"/>
        </w:rPr>
        <w:t>Rulebook</w:t>
      </w:r>
      <w:r w:rsidRPr="00FB2F3D">
        <w:rPr>
          <w:rFonts w:ascii="Arial" w:hAnsi="Arial" w:cs="Arial"/>
          <w:sz w:val="22"/>
          <w:szCs w:val="22"/>
        </w:rPr>
        <w:t xml:space="preserve"> and should have the necessary knowledge, experience, qualifications and resources to assist a Reporting Entity to comply with its regulatory obligations.</w:t>
      </w:r>
    </w:p>
    <w:p w14:paraId="30F8ADBB"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Appointment of a compliance adviser</w:t>
      </w:r>
    </w:p>
    <w:p w14:paraId="4F2DAF55" w14:textId="77777777" w:rsidR="00892AFD" w:rsidRPr="00FB2F3D" w:rsidRDefault="00892AFD" w:rsidP="00892AFD">
      <w:pPr>
        <w:pStyle w:val="Heading3"/>
        <w:keepNext/>
        <w:rPr>
          <w:rFonts w:ascii="Arial" w:hAnsi="Arial" w:cs="Arial"/>
          <w:sz w:val="22"/>
          <w:szCs w:val="22"/>
        </w:rPr>
      </w:pPr>
      <w:r w:rsidRPr="00FB2F3D">
        <w:rPr>
          <w:rFonts w:ascii="Arial" w:hAnsi="Arial" w:cs="Arial"/>
          <w:sz w:val="22"/>
          <w:szCs w:val="22"/>
        </w:rPr>
        <w:t>The Regulator may require a Reporting Entity to:</w:t>
      </w:r>
    </w:p>
    <w:p w14:paraId="26AC25E6"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appoint a compliance adviser; or</w:t>
      </w:r>
    </w:p>
    <w:p w14:paraId="3536B01D"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replace a compliance adviser already appointed.</w:t>
      </w:r>
    </w:p>
    <w:p w14:paraId="0E0F0DEC" w14:textId="77777777" w:rsidR="00892AFD" w:rsidRPr="00FB2F3D" w:rsidRDefault="007441BA" w:rsidP="00892AFD">
      <w:pPr>
        <w:pStyle w:val="Heading3"/>
        <w:ind w:left="1440" w:hanging="1440"/>
        <w:rPr>
          <w:rFonts w:ascii="Arial" w:hAnsi="Arial" w:cs="Arial"/>
          <w:sz w:val="22"/>
          <w:szCs w:val="22"/>
        </w:rPr>
      </w:pPr>
      <w:r w:rsidRPr="00FB2F3D">
        <w:rPr>
          <w:rFonts w:ascii="Arial" w:hAnsi="Arial" w:cs="Arial"/>
          <w:sz w:val="22"/>
          <w:szCs w:val="22"/>
        </w:rPr>
        <w:t>(1)</w:t>
      </w:r>
      <w:r w:rsidR="00892AFD" w:rsidRPr="00FB2F3D">
        <w:rPr>
          <w:rFonts w:ascii="Arial" w:hAnsi="Arial" w:cs="Arial"/>
          <w:sz w:val="22"/>
          <w:szCs w:val="22"/>
        </w:rPr>
        <w:tab/>
        <w:t>A Reporting Entity required to appoint a compliance adviser must, prior to making the appointment:</w:t>
      </w:r>
    </w:p>
    <w:p w14:paraId="7295D1DA"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take reasonable steps to ensure that the proposed compliance adviser has the required knowledge, experience, qualifications and resources to carry out its obligations under these Rules;</w:t>
      </w:r>
    </w:p>
    <w:p w14:paraId="78A07E18"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t>notify the Regulator of the proposed compliance adviser's name and business address; and</w:t>
      </w:r>
    </w:p>
    <w:p w14:paraId="4012601F" w14:textId="77777777" w:rsidR="00892AFD" w:rsidRPr="00FB2F3D" w:rsidRDefault="00892AFD" w:rsidP="00892AFD">
      <w:pPr>
        <w:pStyle w:val="Heading5"/>
        <w:rPr>
          <w:rFonts w:ascii="Arial" w:hAnsi="Arial" w:cs="Arial"/>
          <w:sz w:val="22"/>
          <w:szCs w:val="22"/>
        </w:rPr>
      </w:pPr>
      <w:r w:rsidRPr="00FB2F3D">
        <w:rPr>
          <w:rFonts w:ascii="Arial" w:hAnsi="Arial" w:cs="Arial"/>
          <w:sz w:val="22"/>
          <w:szCs w:val="22"/>
        </w:rPr>
        <w:lastRenderedPageBreak/>
        <w:t>take reasonable steps to ensure that the proposed compliance adviser and its relevant Employees are independent and that any conflicts of interest are appropriately managed.</w:t>
      </w:r>
    </w:p>
    <w:p w14:paraId="1BFE536A" w14:textId="77777777" w:rsidR="00892AFD" w:rsidRPr="00FB2F3D" w:rsidRDefault="00892AFD" w:rsidP="00892AFD">
      <w:pPr>
        <w:pStyle w:val="Heading4"/>
        <w:rPr>
          <w:rFonts w:ascii="Arial" w:hAnsi="Arial" w:cs="Arial"/>
          <w:sz w:val="22"/>
          <w:szCs w:val="22"/>
        </w:rPr>
      </w:pPr>
      <w:r w:rsidRPr="00FB2F3D">
        <w:rPr>
          <w:rFonts w:ascii="Arial" w:hAnsi="Arial" w:cs="Arial"/>
          <w:sz w:val="22"/>
          <w:szCs w:val="22"/>
        </w:rPr>
        <w:t>If requested by the Regulator, a Reporting Entity appointing a compliance adviser must provide the Regulator with such information as it may require including information regarding knowledge, experience, qualifications and resources of the compliance adviser.</w:t>
      </w:r>
    </w:p>
    <w:p w14:paraId="06D2CE4C" w14:textId="77777777" w:rsidR="00892AFD" w:rsidRPr="00FB2F3D" w:rsidRDefault="00892AFD" w:rsidP="00892AFD">
      <w:pPr>
        <w:pStyle w:val="Heading4"/>
        <w:rPr>
          <w:rFonts w:ascii="Arial" w:hAnsi="Arial" w:cs="Arial"/>
          <w:sz w:val="22"/>
          <w:szCs w:val="22"/>
        </w:rPr>
      </w:pPr>
      <w:r w:rsidRPr="00FB2F3D">
        <w:rPr>
          <w:rFonts w:ascii="Arial" w:hAnsi="Arial" w:cs="Arial"/>
          <w:sz w:val="22"/>
          <w:szCs w:val="22"/>
        </w:rPr>
        <w:t>A Reporting Entity must notify the Regulator if it becomes aware, or has reason to believe, that the compliance adviser or its relevant Employees have a conflict of interest which has not been appropriately managed.</w:t>
      </w:r>
    </w:p>
    <w:p w14:paraId="6040E358" w14:textId="77777777" w:rsidR="00892AFD" w:rsidRPr="00FB2F3D" w:rsidRDefault="007441BA" w:rsidP="002F5C28">
      <w:pPr>
        <w:pStyle w:val="Heading3"/>
        <w:ind w:left="1440" w:hanging="1440"/>
        <w:rPr>
          <w:rFonts w:ascii="Arial" w:hAnsi="Arial" w:cs="Arial"/>
          <w:sz w:val="22"/>
          <w:szCs w:val="22"/>
        </w:rPr>
      </w:pPr>
      <w:r w:rsidRPr="00FB2F3D">
        <w:rPr>
          <w:rFonts w:ascii="Arial" w:hAnsi="Arial" w:cs="Arial"/>
          <w:sz w:val="22"/>
          <w:szCs w:val="22"/>
        </w:rPr>
        <w:t>(1)</w:t>
      </w:r>
      <w:r w:rsidR="00892AFD" w:rsidRPr="00FB2F3D">
        <w:rPr>
          <w:rFonts w:ascii="Arial" w:hAnsi="Arial" w:cs="Arial"/>
          <w:sz w:val="22"/>
          <w:szCs w:val="22"/>
        </w:rPr>
        <w:tab/>
        <w:t>The Regulator may, by written notice, require a Reporting Entity to appoint a</w:t>
      </w:r>
      <w:r w:rsidR="00892AFD" w:rsidRPr="00FB2F3D">
        <w:rPr>
          <w:rFonts w:ascii="Arial" w:hAnsi="Arial" w:cs="Arial"/>
          <w:sz w:val="22"/>
          <w:szCs w:val="22"/>
          <w:lang w:eastAsia="ja-JP"/>
        </w:rPr>
        <w:t xml:space="preserve"> </w:t>
      </w:r>
      <w:r w:rsidR="00892AFD" w:rsidRPr="00FB2F3D">
        <w:rPr>
          <w:rFonts w:ascii="Arial" w:hAnsi="Arial" w:cs="Arial"/>
          <w:sz w:val="22"/>
          <w:szCs w:val="22"/>
        </w:rPr>
        <w:t>compliance adviser for a specified period to assist the Reporting Entity in</w:t>
      </w:r>
      <w:r w:rsidR="00892AFD" w:rsidRPr="00FB2F3D">
        <w:rPr>
          <w:rFonts w:ascii="Arial" w:hAnsi="Arial" w:cs="Arial"/>
          <w:sz w:val="22"/>
          <w:szCs w:val="22"/>
          <w:lang w:eastAsia="ja-JP"/>
        </w:rPr>
        <w:t xml:space="preserve"> </w:t>
      </w:r>
      <w:r w:rsidR="00892AFD" w:rsidRPr="00FB2F3D">
        <w:rPr>
          <w:rFonts w:ascii="Arial" w:hAnsi="Arial" w:cs="Arial"/>
          <w:sz w:val="22"/>
          <w:szCs w:val="22"/>
        </w:rPr>
        <w:t xml:space="preserve">meeting its continuing obligations under the </w:t>
      </w:r>
      <w:r w:rsidR="002F5C28" w:rsidRPr="00FB2F3D">
        <w:rPr>
          <w:rFonts w:ascii="Arial" w:hAnsi="Arial" w:cs="Arial"/>
          <w:sz w:val="22"/>
          <w:szCs w:val="22"/>
        </w:rPr>
        <w:t xml:space="preserve">FSMR </w:t>
      </w:r>
      <w:r w:rsidR="00892AFD" w:rsidRPr="00FB2F3D">
        <w:rPr>
          <w:rFonts w:ascii="Arial" w:hAnsi="Arial" w:cs="Arial"/>
          <w:sz w:val="22"/>
          <w:szCs w:val="22"/>
        </w:rPr>
        <w:t>and these Rules.</w:t>
      </w:r>
    </w:p>
    <w:p w14:paraId="345E877A" w14:textId="77777777" w:rsidR="00892AFD" w:rsidRPr="00FB2F3D" w:rsidRDefault="002F5C28" w:rsidP="002F5C28">
      <w:pPr>
        <w:pStyle w:val="Heading4"/>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892AFD" w:rsidRPr="00FB2F3D">
        <w:rPr>
          <w:rFonts w:ascii="Arial" w:hAnsi="Arial" w:cs="Arial"/>
          <w:sz w:val="22"/>
          <w:szCs w:val="22"/>
        </w:rPr>
        <w:t>A Reporting Entity that is required to appoint a compliance adviser in accordance with the requirements in this section must ensure that a</w:t>
      </w:r>
      <w:r w:rsidR="00892AFD" w:rsidRPr="00FB2F3D">
        <w:rPr>
          <w:rFonts w:ascii="Arial" w:hAnsi="Arial" w:cs="Arial"/>
          <w:sz w:val="22"/>
          <w:szCs w:val="22"/>
          <w:lang w:eastAsia="ja-JP"/>
        </w:rPr>
        <w:t xml:space="preserve"> </w:t>
      </w:r>
      <w:r w:rsidR="00892AFD" w:rsidRPr="00FB2F3D">
        <w:rPr>
          <w:rFonts w:ascii="Arial" w:hAnsi="Arial" w:cs="Arial"/>
          <w:sz w:val="22"/>
          <w:szCs w:val="22"/>
        </w:rPr>
        <w:t>compliance adviser continues to fulfil the role of compliance adviser until such</w:t>
      </w:r>
      <w:r w:rsidR="00892AFD" w:rsidRPr="00FB2F3D">
        <w:rPr>
          <w:rFonts w:ascii="Arial" w:hAnsi="Arial" w:cs="Arial"/>
          <w:sz w:val="22"/>
          <w:szCs w:val="22"/>
          <w:lang w:eastAsia="ja-JP"/>
        </w:rPr>
        <w:t xml:space="preserve"> </w:t>
      </w:r>
      <w:r w:rsidR="00892AFD" w:rsidRPr="00FB2F3D">
        <w:rPr>
          <w:rFonts w:ascii="Arial" w:hAnsi="Arial" w:cs="Arial"/>
          <w:sz w:val="22"/>
          <w:szCs w:val="22"/>
        </w:rPr>
        <w:t>time as the Regulator advises the Reporting Entity in writing that a compliance adviser is no longer required.</w:t>
      </w:r>
    </w:p>
    <w:p w14:paraId="29802B5D"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Obligations of a Reporting Entity in relation to its compliance adviser</w:t>
      </w:r>
    </w:p>
    <w:p w14:paraId="350C52AC"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Where a Reporting Entity is advised by its compliance adviser that it is failing or has failed to comply with its obligations under the FSMR and these Rules, the Reporting Entity must without undue delay:</w:t>
      </w:r>
    </w:p>
    <w:p w14:paraId="34CC59B1"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take reasonable steps to rectify the failure as soon as practicable; and</w:t>
      </w:r>
    </w:p>
    <w:p w14:paraId="1E99A089"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if the Reporting Entity does not or is unable to rectify the failure as soon as practicable notify the Regulator of that fact.</w:t>
      </w:r>
    </w:p>
    <w:p w14:paraId="06B07B52" w14:textId="0C3BEC8C" w:rsidR="00892AFD" w:rsidRPr="00FB2F3D" w:rsidRDefault="00892AFD" w:rsidP="00892AFD">
      <w:pPr>
        <w:pStyle w:val="Heading3"/>
        <w:rPr>
          <w:rFonts w:ascii="Arial" w:hAnsi="Arial" w:cs="Arial"/>
          <w:sz w:val="22"/>
          <w:szCs w:val="22"/>
        </w:rPr>
      </w:pPr>
      <w:r w:rsidRPr="00FB2F3D">
        <w:rPr>
          <w:rFonts w:ascii="Arial" w:hAnsi="Arial" w:cs="Arial"/>
          <w:sz w:val="22"/>
          <w:szCs w:val="22"/>
        </w:rPr>
        <w:t>A Reporting Entity must provide to the Regulator any information in such form and within such time as the Regulator may require regarding its compliance adviser or any advice the compliance adviser is providing, or has provided, to the Reporting Entity regarding its continuing obligations under the FSMR and these Rules.</w:t>
      </w:r>
    </w:p>
    <w:p w14:paraId="3B779A35"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A Reporting Entity must take reasonable steps to ensure its compliance adviser cooperates in any investigation conducted by the Regulator including answering promptly and openly any questions addressed to the compliance adviser, promptly producing the originals or copies of any relevant documents and attending before any meeting or hearing at which the compliance adviser is requested to appear.</w:t>
      </w:r>
    </w:p>
    <w:p w14:paraId="7663BD8A"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Co</w:t>
      </w:r>
      <w:r w:rsidRPr="00FB2F3D">
        <w:rPr>
          <w:rFonts w:ascii="Arial" w:hAnsi="Arial" w:cs="Arial"/>
          <w:sz w:val="22"/>
          <w:szCs w:val="22"/>
        </w:rPr>
        <w:noBreakHyphen/>
        <w:t>operation with compliance advisers</w:t>
      </w:r>
    </w:p>
    <w:p w14:paraId="6B6B529D" w14:textId="77777777" w:rsidR="00892AFD" w:rsidRPr="00FB2F3D" w:rsidRDefault="00892AFD" w:rsidP="00892AFD">
      <w:pPr>
        <w:pStyle w:val="Heading3"/>
        <w:keepNext/>
        <w:rPr>
          <w:rFonts w:ascii="Arial" w:hAnsi="Arial" w:cs="Arial"/>
          <w:sz w:val="22"/>
          <w:szCs w:val="22"/>
        </w:rPr>
      </w:pPr>
      <w:r w:rsidRPr="00FB2F3D">
        <w:rPr>
          <w:rFonts w:ascii="Arial" w:hAnsi="Arial" w:cs="Arial"/>
          <w:sz w:val="22"/>
          <w:szCs w:val="22"/>
        </w:rPr>
        <w:t>A Reporting Entity must take reasonable steps to ensure that it and its Employees:</w:t>
      </w:r>
    </w:p>
    <w:p w14:paraId="0F4D3811"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provide such assistance as the compliance adviser reasonably requires to discharge its duties;</w:t>
      </w:r>
    </w:p>
    <w:p w14:paraId="206C8E5D"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give the compliance adviser right of access at all reasonable times to relevant records and information;</w:t>
      </w:r>
    </w:p>
    <w:p w14:paraId="7F9E435F"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lastRenderedPageBreak/>
        <w:t>do not hinder or interfere with the compliance adviser's ability to discharge its duties;</w:t>
      </w:r>
    </w:p>
    <w:p w14:paraId="758B9F8D"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do not withhold information that would assist the compliance adviser advising the Reporting Entity of its duties;</w:t>
      </w:r>
    </w:p>
    <w:p w14:paraId="0874D0CC"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 xml:space="preserve">do not provide </w:t>
      </w:r>
      <w:r w:rsidR="00EC3624" w:rsidRPr="00FB2F3D">
        <w:rPr>
          <w:rFonts w:ascii="Arial" w:hAnsi="Arial" w:cs="Arial"/>
          <w:sz w:val="22"/>
          <w:szCs w:val="22"/>
        </w:rPr>
        <w:t>false, misleading, or deceptive</w:t>
      </w:r>
      <w:r w:rsidR="00F2734C" w:rsidRPr="00FB2F3D">
        <w:rPr>
          <w:rFonts w:ascii="Arial" w:hAnsi="Arial" w:cs="Arial"/>
          <w:sz w:val="22"/>
          <w:szCs w:val="22"/>
        </w:rPr>
        <w:t xml:space="preserve"> </w:t>
      </w:r>
      <w:r w:rsidRPr="00FB2F3D">
        <w:rPr>
          <w:rFonts w:ascii="Arial" w:hAnsi="Arial" w:cs="Arial"/>
          <w:sz w:val="22"/>
          <w:szCs w:val="22"/>
        </w:rPr>
        <w:t>information to the compliance adviser; and</w:t>
      </w:r>
    </w:p>
    <w:p w14:paraId="047ADD3B" w14:textId="77777777" w:rsidR="00892AFD" w:rsidRPr="00FB2F3D" w:rsidRDefault="00892AFD" w:rsidP="00424270">
      <w:pPr>
        <w:pStyle w:val="Heading4"/>
        <w:rPr>
          <w:rFonts w:ascii="Arial" w:hAnsi="Arial" w:cs="Arial"/>
          <w:sz w:val="22"/>
          <w:szCs w:val="22"/>
        </w:rPr>
      </w:pPr>
      <w:r w:rsidRPr="00FB2F3D">
        <w:rPr>
          <w:rFonts w:ascii="Arial" w:hAnsi="Arial" w:cs="Arial"/>
          <w:sz w:val="22"/>
          <w:szCs w:val="22"/>
        </w:rPr>
        <w:t>report to the compliance adviser any matter which may significantly affect the financial position of the Reporting Entity or the price or value of the Securities.</w:t>
      </w:r>
    </w:p>
    <w:p w14:paraId="7885DFF8" w14:textId="77777777" w:rsidR="00892AFD" w:rsidRPr="00FB2F3D" w:rsidRDefault="00892AFD" w:rsidP="00892AFD">
      <w:pPr>
        <w:pStyle w:val="TitleL"/>
        <w:rPr>
          <w:rFonts w:ascii="Arial" w:hAnsi="Arial" w:cs="Arial"/>
          <w:sz w:val="22"/>
          <w:szCs w:val="22"/>
        </w:rPr>
      </w:pPr>
      <w:r w:rsidRPr="00FB2F3D">
        <w:rPr>
          <w:rFonts w:ascii="Arial" w:hAnsi="Arial" w:cs="Arial"/>
          <w:sz w:val="22"/>
          <w:szCs w:val="22"/>
        </w:rPr>
        <w:t>Termination of compliance adviser</w:t>
      </w:r>
    </w:p>
    <w:p w14:paraId="42EE2E7F"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Where a Reporting Entity dismisses its compliance adviser, the Reporting Entity must advise the Regulator in writing without delay of the dismissal, giving details of all relevant facts and circumstances.</w:t>
      </w:r>
    </w:p>
    <w:p w14:paraId="467A8C49" w14:textId="77777777" w:rsidR="00892AFD" w:rsidRPr="00FB2F3D" w:rsidRDefault="00892AFD" w:rsidP="00892AFD">
      <w:pPr>
        <w:pStyle w:val="Heading3"/>
        <w:rPr>
          <w:rFonts w:ascii="Arial" w:hAnsi="Arial" w:cs="Arial"/>
          <w:sz w:val="22"/>
          <w:szCs w:val="22"/>
        </w:rPr>
      </w:pPr>
      <w:r w:rsidRPr="00FB2F3D">
        <w:rPr>
          <w:rFonts w:ascii="Arial" w:hAnsi="Arial" w:cs="Arial"/>
          <w:sz w:val="22"/>
          <w:szCs w:val="22"/>
        </w:rPr>
        <w:t>Where a compliance adviser resigns, the Reporting Entity must without delay advise the Regulator in writing of the resignation, giving details of all relevant facts and circumstances.</w:t>
      </w:r>
    </w:p>
    <w:p w14:paraId="6664B7AA" w14:textId="77777777" w:rsidR="003B6092" w:rsidRPr="00FB2F3D" w:rsidRDefault="003B6092" w:rsidP="003B6092">
      <w:pPr>
        <w:pStyle w:val="Heading1"/>
        <w:rPr>
          <w:rFonts w:ascii="Arial" w:hAnsi="Arial" w:cs="Arial"/>
          <w:sz w:val="22"/>
          <w:szCs w:val="22"/>
        </w:rPr>
      </w:pPr>
      <w:bookmarkStart w:id="560" w:name="_Toc410605981"/>
      <w:bookmarkStart w:id="561" w:name="_Toc410658917"/>
      <w:bookmarkStart w:id="562" w:name="_Toc410659044"/>
      <w:bookmarkStart w:id="563" w:name="_Toc410835591"/>
      <w:bookmarkStart w:id="564" w:name="_Ref422757588"/>
      <w:bookmarkStart w:id="565" w:name="_Toc138325688"/>
      <w:r w:rsidRPr="00FB2F3D">
        <w:rPr>
          <w:rFonts w:ascii="Arial" w:hAnsi="Arial" w:cs="Arial"/>
          <w:sz w:val="22"/>
          <w:szCs w:val="22"/>
        </w:rPr>
        <w:t>MARKET ABUSE</w:t>
      </w:r>
      <w:bookmarkEnd w:id="560"/>
      <w:bookmarkEnd w:id="561"/>
      <w:bookmarkEnd w:id="562"/>
      <w:bookmarkEnd w:id="563"/>
      <w:r w:rsidRPr="00FB2F3D">
        <w:rPr>
          <w:rFonts w:ascii="Arial" w:hAnsi="Arial" w:cs="Arial"/>
          <w:sz w:val="22"/>
          <w:szCs w:val="22"/>
        </w:rPr>
        <w:t xml:space="preserve">, PRICE STABILISATION AND BUY-BACK </w:t>
      </w:r>
      <w:bookmarkEnd w:id="564"/>
      <w:r w:rsidR="005E3274" w:rsidRPr="00FB2F3D">
        <w:rPr>
          <w:rFonts w:ascii="Arial" w:hAnsi="Arial" w:cs="Arial"/>
          <w:sz w:val="22"/>
          <w:szCs w:val="22"/>
        </w:rPr>
        <w:t>PROGRAMMES</w:t>
      </w:r>
      <w:bookmarkEnd w:id="565"/>
      <w:r w:rsidRPr="00FB2F3D">
        <w:rPr>
          <w:rFonts w:ascii="Arial" w:hAnsi="Arial" w:cs="Arial"/>
          <w:sz w:val="22"/>
          <w:szCs w:val="22"/>
        </w:rPr>
        <w:t xml:space="preserve"> </w:t>
      </w:r>
    </w:p>
    <w:p w14:paraId="40E6EB38" w14:textId="77777777" w:rsidR="003B6092" w:rsidRPr="00FB2F3D" w:rsidRDefault="003B6092" w:rsidP="003B6092">
      <w:pPr>
        <w:pStyle w:val="Heading2"/>
        <w:rPr>
          <w:rFonts w:ascii="Arial" w:hAnsi="Arial" w:cs="Arial"/>
          <w:sz w:val="22"/>
          <w:szCs w:val="22"/>
        </w:rPr>
      </w:pPr>
      <w:bookmarkStart w:id="566" w:name="_Toc138325689"/>
      <w:r w:rsidRPr="00FB2F3D">
        <w:rPr>
          <w:rFonts w:ascii="Arial" w:hAnsi="Arial" w:cs="Arial"/>
          <w:sz w:val="22"/>
          <w:szCs w:val="22"/>
        </w:rPr>
        <w:t>Market Abuse</w:t>
      </w:r>
      <w:bookmarkEnd w:id="566"/>
    </w:p>
    <w:p w14:paraId="75DAA3D9" w14:textId="78A21260" w:rsidR="003B6092" w:rsidRPr="00FB2F3D" w:rsidRDefault="003B6092" w:rsidP="003B6092">
      <w:pPr>
        <w:pStyle w:val="TitleL"/>
        <w:rPr>
          <w:rFonts w:ascii="Arial" w:hAnsi="Arial" w:cs="Arial"/>
          <w:sz w:val="22"/>
          <w:szCs w:val="22"/>
        </w:rPr>
      </w:pPr>
      <w:r w:rsidRPr="00FB2F3D">
        <w:rPr>
          <w:rFonts w:ascii="Arial" w:hAnsi="Arial" w:cs="Arial"/>
          <w:sz w:val="22"/>
          <w:szCs w:val="22"/>
        </w:rPr>
        <w:t xml:space="preserve">Application of the </w:t>
      </w:r>
      <w:r w:rsidR="00CE304F">
        <w:rPr>
          <w:rFonts w:ascii="Arial" w:hAnsi="Arial" w:cs="Arial"/>
          <w:sz w:val="22"/>
          <w:szCs w:val="22"/>
        </w:rPr>
        <w:t>Code</w:t>
      </w:r>
      <w:r w:rsidRPr="00FB2F3D">
        <w:rPr>
          <w:rFonts w:ascii="Arial" w:hAnsi="Arial" w:cs="Arial"/>
          <w:sz w:val="22"/>
          <w:szCs w:val="22"/>
        </w:rPr>
        <w:t xml:space="preserve"> of Market Conduct</w:t>
      </w:r>
    </w:p>
    <w:p w14:paraId="5FCCBA3C" w14:textId="7874935B" w:rsidR="003B6092" w:rsidRPr="00FB2F3D" w:rsidRDefault="007441BA" w:rsidP="003B6092">
      <w:pPr>
        <w:pStyle w:val="Heading3"/>
        <w:ind w:left="1440" w:hanging="1440"/>
        <w:rPr>
          <w:rFonts w:ascii="Arial" w:hAnsi="Arial" w:cs="Arial"/>
          <w:sz w:val="22"/>
          <w:szCs w:val="22"/>
        </w:rPr>
      </w:pPr>
      <w:r w:rsidRPr="00FB2F3D">
        <w:rPr>
          <w:rFonts w:ascii="Arial" w:hAnsi="Arial" w:cs="Arial"/>
          <w:sz w:val="22"/>
          <w:szCs w:val="22"/>
          <w:lang w:eastAsia="ja-JP"/>
        </w:rPr>
        <w:t>(1)</w:t>
      </w:r>
      <w:r w:rsidR="003B6092" w:rsidRPr="00FB2F3D">
        <w:rPr>
          <w:rFonts w:ascii="Arial" w:hAnsi="Arial" w:cs="Arial"/>
          <w:sz w:val="22"/>
          <w:szCs w:val="22"/>
          <w:lang w:eastAsia="ja-JP"/>
        </w:rPr>
        <w:tab/>
      </w:r>
      <w:r w:rsidR="003B6092" w:rsidRPr="00FB2F3D">
        <w:rPr>
          <w:rFonts w:ascii="Arial" w:hAnsi="Arial" w:cs="Arial"/>
          <w:sz w:val="22"/>
          <w:szCs w:val="22"/>
        </w:rPr>
        <w:t xml:space="preserve">The </w:t>
      </w:r>
      <w:r w:rsidR="00CE304F">
        <w:rPr>
          <w:rFonts w:ascii="Arial" w:hAnsi="Arial" w:cs="Arial"/>
          <w:sz w:val="22"/>
          <w:szCs w:val="22"/>
        </w:rPr>
        <w:t>Code</w:t>
      </w:r>
      <w:r w:rsidR="003B6092" w:rsidRPr="00FB2F3D">
        <w:rPr>
          <w:rFonts w:ascii="Arial" w:hAnsi="Arial" w:cs="Arial"/>
          <w:sz w:val="22"/>
          <w:szCs w:val="22"/>
        </w:rPr>
        <w:t xml:space="preserve"> of Market Conduct ("</w:t>
      </w:r>
      <w:r w:rsidR="00CE304F">
        <w:rPr>
          <w:rFonts w:ascii="Arial" w:hAnsi="Arial" w:cs="Arial"/>
          <w:b/>
          <w:sz w:val="22"/>
          <w:szCs w:val="22"/>
        </w:rPr>
        <w:t>C</w:t>
      </w:r>
      <w:r w:rsidR="003B6092" w:rsidRPr="00FB2F3D">
        <w:rPr>
          <w:rFonts w:ascii="Arial" w:hAnsi="Arial" w:cs="Arial"/>
          <w:b/>
          <w:sz w:val="22"/>
          <w:szCs w:val="22"/>
        </w:rPr>
        <w:t>MC</w:t>
      </w:r>
      <w:r w:rsidR="003B6092" w:rsidRPr="00FB2F3D">
        <w:rPr>
          <w:rFonts w:ascii="Arial" w:hAnsi="Arial" w:cs="Arial"/>
          <w:sz w:val="22"/>
          <w:szCs w:val="22"/>
        </w:rPr>
        <w:t>") is issued as Guidance to the Market Abuse provisions in Part 8 of the FSMR.</w:t>
      </w:r>
    </w:p>
    <w:p w14:paraId="4C117A1F" w14:textId="39047E16" w:rsidR="003B6092" w:rsidRPr="00FB2F3D" w:rsidRDefault="002F5C28" w:rsidP="002F5C28">
      <w:pPr>
        <w:pStyle w:val="Heading4"/>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3B6092" w:rsidRPr="00FB2F3D">
        <w:rPr>
          <w:rFonts w:ascii="Arial" w:hAnsi="Arial" w:cs="Arial"/>
          <w:sz w:val="22"/>
          <w:szCs w:val="22"/>
        </w:rPr>
        <w:t xml:space="preserve">The </w:t>
      </w:r>
      <w:r w:rsidR="00CE304F">
        <w:rPr>
          <w:rFonts w:ascii="Arial" w:hAnsi="Arial" w:cs="Arial"/>
          <w:sz w:val="22"/>
          <w:szCs w:val="22"/>
        </w:rPr>
        <w:t>C</w:t>
      </w:r>
      <w:r w:rsidR="003B6092" w:rsidRPr="00FB2F3D">
        <w:rPr>
          <w:rFonts w:ascii="Arial" w:hAnsi="Arial" w:cs="Arial"/>
          <w:sz w:val="22"/>
          <w:szCs w:val="22"/>
        </w:rPr>
        <w:t xml:space="preserve">MC applies to Persons in respect of conduct that occurs in the ADGM or </w:t>
      </w:r>
      <w:r w:rsidRPr="00FB2F3D">
        <w:rPr>
          <w:rFonts w:ascii="Arial" w:hAnsi="Arial" w:cs="Arial"/>
          <w:sz w:val="22"/>
          <w:szCs w:val="22"/>
        </w:rPr>
        <w:t xml:space="preserve">elsewhere, however it only applies to conduct that occurs outside the ADGM if the conduct affects </w:t>
      </w:r>
      <w:r w:rsidR="003B6092" w:rsidRPr="00FB2F3D">
        <w:rPr>
          <w:rFonts w:ascii="Arial" w:hAnsi="Arial" w:cs="Arial"/>
          <w:sz w:val="22"/>
          <w:szCs w:val="22"/>
        </w:rPr>
        <w:t>ADGM</w:t>
      </w:r>
      <w:r w:rsidRPr="00FB2F3D">
        <w:rPr>
          <w:rFonts w:ascii="Arial" w:hAnsi="Arial" w:cs="Arial"/>
          <w:sz w:val="22"/>
          <w:szCs w:val="22"/>
        </w:rPr>
        <w:t xml:space="preserve"> markets or users of ADGM markets</w:t>
      </w:r>
      <w:r w:rsidR="003B6092" w:rsidRPr="00FB2F3D">
        <w:rPr>
          <w:rFonts w:ascii="Arial" w:hAnsi="Arial" w:cs="Arial"/>
          <w:sz w:val="22"/>
          <w:szCs w:val="22"/>
        </w:rPr>
        <w:t xml:space="preserve">. </w:t>
      </w:r>
    </w:p>
    <w:p w14:paraId="5586C76F" w14:textId="77777777" w:rsidR="003B6092" w:rsidRPr="00FB2F3D" w:rsidRDefault="003B6092" w:rsidP="003B6092">
      <w:pPr>
        <w:pStyle w:val="TitleL"/>
        <w:rPr>
          <w:rFonts w:ascii="Arial" w:hAnsi="Arial" w:cs="Arial"/>
          <w:sz w:val="22"/>
          <w:szCs w:val="22"/>
        </w:rPr>
      </w:pPr>
      <w:r w:rsidRPr="00FB2F3D">
        <w:rPr>
          <w:rFonts w:ascii="Arial" w:hAnsi="Arial" w:cs="Arial"/>
          <w:sz w:val="22"/>
          <w:szCs w:val="22"/>
        </w:rPr>
        <w:t>Guidance</w:t>
      </w:r>
    </w:p>
    <w:p w14:paraId="2E9DD4CD" w14:textId="6E0F30CC" w:rsidR="003B6092" w:rsidRPr="00FB2F3D" w:rsidRDefault="003B6092" w:rsidP="00755725">
      <w:pPr>
        <w:pStyle w:val="GuidanceNotesnumbering"/>
        <w:numPr>
          <w:ilvl w:val="0"/>
          <w:numId w:val="57"/>
        </w:numPr>
        <w:rPr>
          <w:rFonts w:ascii="Arial" w:hAnsi="Arial" w:cs="Arial"/>
          <w:sz w:val="22"/>
          <w:szCs w:val="22"/>
        </w:rPr>
      </w:pPr>
      <w:r w:rsidRPr="00FB2F3D">
        <w:rPr>
          <w:rFonts w:ascii="Arial" w:hAnsi="Arial" w:cs="Arial"/>
          <w:sz w:val="22"/>
          <w:szCs w:val="22"/>
        </w:rPr>
        <w:t xml:space="preserve">The </w:t>
      </w:r>
      <w:r w:rsidR="00CE304F">
        <w:rPr>
          <w:rFonts w:ascii="Arial" w:hAnsi="Arial" w:cs="Arial"/>
          <w:sz w:val="22"/>
          <w:szCs w:val="22"/>
        </w:rPr>
        <w:t>C</w:t>
      </w:r>
      <w:r w:rsidRPr="00FB2F3D">
        <w:rPr>
          <w:rFonts w:ascii="Arial" w:hAnsi="Arial" w:cs="Arial"/>
          <w:sz w:val="22"/>
          <w:szCs w:val="22"/>
        </w:rPr>
        <w:t>MC is intended to prevent Market Abuse by providing further clarity about what activities the Regulator might regard as constituting Market Abuse under the FSMR.</w:t>
      </w:r>
    </w:p>
    <w:p w14:paraId="77F99064" w14:textId="5AEE1F76" w:rsidR="003B6092" w:rsidRPr="00FB2F3D" w:rsidRDefault="003B6092" w:rsidP="003B6092">
      <w:pPr>
        <w:pStyle w:val="GuidanceNotesnumbering"/>
        <w:rPr>
          <w:rFonts w:ascii="Arial" w:hAnsi="Arial" w:cs="Arial"/>
          <w:sz w:val="22"/>
          <w:szCs w:val="22"/>
        </w:rPr>
      </w:pPr>
      <w:r w:rsidRPr="00FB2F3D">
        <w:rPr>
          <w:rFonts w:ascii="Arial" w:hAnsi="Arial" w:cs="Arial"/>
          <w:sz w:val="22"/>
          <w:szCs w:val="22"/>
        </w:rPr>
        <w:t xml:space="preserve">The </w:t>
      </w:r>
      <w:r w:rsidR="00CE304F">
        <w:rPr>
          <w:rFonts w:ascii="Arial" w:hAnsi="Arial" w:cs="Arial"/>
          <w:sz w:val="22"/>
          <w:szCs w:val="22"/>
        </w:rPr>
        <w:t>C</w:t>
      </w:r>
      <w:r w:rsidRPr="00FB2F3D">
        <w:rPr>
          <w:rFonts w:ascii="Arial" w:hAnsi="Arial" w:cs="Arial"/>
          <w:sz w:val="22"/>
          <w:szCs w:val="22"/>
        </w:rPr>
        <w:t xml:space="preserve">MC applies to </w:t>
      </w:r>
      <w:r w:rsidR="00CE304F">
        <w:rPr>
          <w:rFonts w:ascii="Arial" w:hAnsi="Arial" w:cs="Arial"/>
          <w:sz w:val="22"/>
          <w:szCs w:val="22"/>
        </w:rPr>
        <w:t>P</w:t>
      </w:r>
      <w:r w:rsidRPr="00FB2F3D">
        <w:rPr>
          <w:rFonts w:ascii="Arial" w:hAnsi="Arial" w:cs="Arial"/>
          <w:sz w:val="22"/>
          <w:szCs w:val="22"/>
        </w:rPr>
        <w:t xml:space="preserve">ersons to whom Part 8 of the FSMR applies, that is, it applies to </w:t>
      </w:r>
      <w:r w:rsidR="00CE304F">
        <w:rPr>
          <w:rFonts w:ascii="Arial" w:hAnsi="Arial" w:cs="Arial"/>
          <w:sz w:val="22"/>
          <w:szCs w:val="22"/>
        </w:rPr>
        <w:t>P</w:t>
      </w:r>
      <w:r w:rsidRPr="00FB2F3D">
        <w:rPr>
          <w:rFonts w:ascii="Arial" w:hAnsi="Arial" w:cs="Arial"/>
          <w:sz w:val="22"/>
          <w:szCs w:val="22"/>
        </w:rPr>
        <w:t>ersons generally whether individuals or bodies corporate and whether or not regulated.</w:t>
      </w:r>
    </w:p>
    <w:p w14:paraId="3C2536F4" w14:textId="54A6DE1E" w:rsidR="003B6092" w:rsidRPr="00FB2F3D" w:rsidRDefault="003B6092" w:rsidP="003B6092">
      <w:pPr>
        <w:pStyle w:val="GuidanceNotesnumbering"/>
        <w:rPr>
          <w:rFonts w:ascii="Arial" w:hAnsi="Arial" w:cs="Arial"/>
          <w:sz w:val="22"/>
          <w:szCs w:val="22"/>
        </w:rPr>
      </w:pPr>
      <w:r w:rsidRPr="00FB2F3D">
        <w:rPr>
          <w:rFonts w:ascii="Arial" w:hAnsi="Arial" w:cs="Arial"/>
          <w:sz w:val="22"/>
          <w:szCs w:val="22"/>
        </w:rPr>
        <w:t xml:space="preserve">Examples in the </w:t>
      </w:r>
      <w:r w:rsidR="00CE304F">
        <w:rPr>
          <w:rFonts w:ascii="Arial" w:hAnsi="Arial" w:cs="Arial"/>
          <w:sz w:val="22"/>
          <w:szCs w:val="22"/>
        </w:rPr>
        <w:t>C</w:t>
      </w:r>
      <w:r w:rsidRPr="00FB2F3D">
        <w:rPr>
          <w:rFonts w:ascii="Arial" w:hAnsi="Arial" w:cs="Arial"/>
          <w:sz w:val="22"/>
          <w:szCs w:val="22"/>
        </w:rPr>
        <w:t>MC are not intended to be exhaustive. There may be other circumstances in which conduct may contravene the Market Abuse provisions.</w:t>
      </w:r>
    </w:p>
    <w:p w14:paraId="7AB9F465" w14:textId="77777777" w:rsidR="003B6092" w:rsidRPr="00FB2F3D" w:rsidRDefault="003B6092" w:rsidP="003B6092">
      <w:pPr>
        <w:pStyle w:val="Heading2"/>
        <w:rPr>
          <w:rFonts w:ascii="Arial" w:hAnsi="Arial" w:cs="Arial"/>
          <w:sz w:val="22"/>
          <w:szCs w:val="22"/>
          <w:lang w:eastAsia="ja-JP"/>
        </w:rPr>
      </w:pPr>
      <w:bookmarkStart w:id="567" w:name="_Toc138325690"/>
      <w:r w:rsidRPr="00FB2F3D">
        <w:rPr>
          <w:rFonts w:ascii="Arial" w:hAnsi="Arial" w:cs="Arial"/>
          <w:sz w:val="22"/>
          <w:szCs w:val="22"/>
          <w:lang w:eastAsia="ja-JP"/>
        </w:rPr>
        <w:t>Price Stabilisation and Buy-back Programmes</w:t>
      </w:r>
      <w:bookmarkEnd w:id="567"/>
    </w:p>
    <w:p w14:paraId="4AE1CB04" w14:textId="77777777" w:rsidR="003B6092" w:rsidRPr="00FB2F3D" w:rsidRDefault="003B6092" w:rsidP="003B6092">
      <w:pPr>
        <w:pStyle w:val="Heading3"/>
        <w:rPr>
          <w:rFonts w:ascii="Arial" w:hAnsi="Arial" w:cs="Arial"/>
          <w:b/>
          <w:sz w:val="22"/>
          <w:szCs w:val="22"/>
          <w:lang w:eastAsia="ja-JP"/>
        </w:rPr>
      </w:pPr>
      <w:r w:rsidRPr="00FB2F3D">
        <w:rPr>
          <w:rFonts w:ascii="Arial" w:hAnsi="Arial" w:cs="Arial"/>
          <w:b/>
          <w:sz w:val="22"/>
          <w:szCs w:val="22"/>
          <w:lang w:eastAsia="ja-JP"/>
        </w:rPr>
        <w:t>Subject matter</w:t>
      </w:r>
    </w:p>
    <w:p w14:paraId="533629E6" w14:textId="77777777" w:rsidR="003B6092" w:rsidRPr="00FB2F3D" w:rsidRDefault="00753E86" w:rsidP="00ED3D2C">
      <w:pPr>
        <w:pStyle w:val="UK12Block05"/>
        <w:rPr>
          <w:rFonts w:ascii="Arial" w:hAnsi="Arial" w:cs="Arial"/>
          <w:b/>
          <w:bCs/>
          <w:sz w:val="22"/>
          <w:szCs w:val="22"/>
          <w:lang w:eastAsia="ja-JP"/>
        </w:rPr>
      </w:pPr>
      <w:r w:rsidRPr="00FB2F3D">
        <w:rPr>
          <w:rFonts w:ascii="Arial" w:hAnsi="Arial" w:cs="Arial"/>
          <w:sz w:val="22"/>
          <w:szCs w:val="22"/>
          <w:lang w:eastAsia="ja-JP"/>
        </w:rPr>
        <w:t>The remainder of this c</w:t>
      </w:r>
      <w:r w:rsidR="003B6092" w:rsidRPr="00FB2F3D">
        <w:rPr>
          <w:rFonts w:ascii="Arial" w:hAnsi="Arial" w:cs="Arial"/>
          <w:sz w:val="22"/>
          <w:szCs w:val="22"/>
          <w:lang w:eastAsia="ja-JP"/>
        </w:rPr>
        <w:t xml:space="preserve">hapter sets out the conditions to be met by Buy-back Programmes and the </w:t>
      </w:r>
      <w:r w:rsidR="00ED3D2C" w:rsidRPr="00FB2F3D">
        <w:rPr>
          <w:rFonts w:ascii="Arial" w:hAnsi="Arial" w:cs="Arial"/>
          <w:sz w:val="22"/>
          <w:szCs w:val="22"/>
          <w:lang w:eastAsia="ja-JP"/>
        </w:rPr>
        <w:t xml:space="preserve">Price </w:t>
      </w:r>
      <w:r w:rsidR="003B6092" w:rsidRPr="00FB2F3D">
        <w:rPr>
          <w:rFonts w:ascii="Arial" w:hAnsi="Arial" w:cs="Arial"/>
          <w:sz w:val="22"/>
          <w:szCs w:val="22"/>
          <w:lang w:eastAsia="ja-JP"/>
        </w:rPr>
        <w:t xml:space="preserve">Stabilisation of </w:t>
      </w:r>
      <w:r w:rsidR="00ED3D2C" w:rsidRPr="00FB2F3D">
        <w:rPr>
          <w:rFonts w:ascii="Arial" w:hAnsi="Arial" w:cs="Arial"/>
          <w:sz w:val="22"/>
          <w:szCs w:val="22"/>
          <w:lang w:eastAsia="ja-JP"/>
        </w:rPr>
        <w:t>Relevant Securities</w:t>
      </w:r>
      <w:r w:rsidR="003B6092" w:rsidRPr="00FB2F3D">
        <w:rPr>
          <w:rFonts w:ascii="Arial" w:hAnsi="Arial" w:cs="Arial"/>
          <w:sz w:val="22"/>
          <w:szCs w:val="22"/>
          <w:lang w:eastAsia="ja-JP"/>
        </w:rPr>
        <w:t xml:space="preserve"> in order to benefit from </w:t>
      </w:r>
      <w:r w:rsidR="003B6092" w:rsidRPr="00FB2F3D">
        <w:rPr>
          <w:rFonts w:ascii="Arial" w:hAnsi="Arial" w:cs="Arial"/>
          <w:sz w:val="22"/>
          <w:szCs w:val="22"/>
          <w:lang w:eastAsia="ja-JP"/>
        </w:rPr>
        <w:lastRenderedPageBreak/>
        <w:t xml:space="preserve">the exemption to Market Abuse provided for in </w:t>
      </w:r>
      <w:r w:rsidR="00ED3D2C" w:rsidRPr="00FB2F3D">
        <w:rPr>
          <w:rFonts w:ascii="Arial" w:hAnsi="Arial" w:cs="Arial"/>
          <w:sz w:val="22"/>
          <w:szCs w:val="22"/>
          <w:lang w:eastAsia="ja-JP"/>
        </w:rPr>
        <w:t xml:space="preserve">sections 93(3)(a) and (b) </w:t>
      </w:r>
      <w:r w:rsidR="003B6092" w:rsidRPr="00FB2F3D">
        <w:rPr>
          <w:rFonts w:ascii="Arial" w:hAnsi="Arial" w:cs="Arial"/>
          <w:sz w:val="22"/>
          <w:szCs w:val="22"/>
          <w:lang w:eastAsia="ja-JP"/>
        </w:rPr>
        <w:t>of the FSMR</w:t>
      </w:r>
      <w:r w:rsidR="00ED3D2C" w:rsidRPr="00FB2F3D">
        <w:rPr>
          <w:rFonts w:ascii="Arial" w:hAnsi="Arial" w:cs="Arial"/>
          <w:sz w:val="22"/>
          <w:szCs w:val="22"/>
          <w:lang w:eastAsia="ja-JP"/>
        </w:rPr>
        <w:t>, respectively</w:t>
      </w:r>
      <w:r w:rsidR="003B6092" w:rsidRPr="00FB2F3D">
        <w:rPr>
          <w:rFonts w:ascii="Arial" w:hAnsi="Arial" w:cs="Arial"/>
          <w:sz w:val="22"/>
          <w:szCs w:val="22"/>
          <w:lang w:eastAsia="ja-JP"/>
        </w:rPr>
        <w:t xml:space="preserve">. </w:t>
      </w:r>
    </w:p>
    <w:p w14:paraId="5FF24767" w14:textId="77777777" w:rsidR="003B6092" w:rsidRPr="00FB2F3D" w:rsidRDefault="003B6092" w:rsidP="003B6092">
      <w:pPr>
        <w:pStyle w:val="Heading3"/>
        <w:rPr>
          <w:rFonts w:ascii="Arial" w:hAnsi="Arial" w:cs="Arial"/>
          <w:b/>
          <w:sz w:val="22"/>
          <w:szCs w:val="22"/>
          <w:lang w:eastAsia="ja-JP"/>
        </w:rPr>
      </w:pPr>
      <w:r w:rsidRPr="00FB2F3D">
        <w:rPr>
          <w:rFonts w:ascii="Arial" w:hAnsi="Arial" w:cs="Arial"/>
          <w:b/>
          <w:sz w:val="22"/>
          <w:szCs w:val="22"/>
          <w:lang w:eastAsia="ja-JP"/>
        </w:rPr>
        <w:t>Definitions</w:t>
      </w:r>
    </w:p>
    <w:p w14:paraId="6CAA1501" w14:textId="77777777" w:rsidR="003B6092" w:rsidRPr="00FB2F3D" w:rsidRDefault="008149DA" w:rsidP="008149DA">
      <w:pPr>
        <w:pStyle w:val="Heading5"/>
        <w:numPr>
          <w:ilvl w:val="0"/>
          <w:numId w:val="0"/>
        </w:numPr>
        <w:ind w:left="720"/>
        <w:rPr>
          <w:rFonts w:ascii="Arial" w:hAnsi="Arial" w:cs="Arial"/>
          <w:sz w:val="22"/>
          <w:szCs w:val="22"/>
        </w:rPr>
      </w:pPr>
      <w:r w:rsidRPr="00FB2F3D">
        <w:rPr>
          <w:rFonts w:ascii="Arial" w:hAnsi="Arial" w:cs="Arial"/>
          <w:sz w:val="22"/>
          <w:szCs w:val="22"/>
        </w:rPr>
        <w:t>Deleted.</w:t>
      </w:r>
    </w:p>
    <w:p w14:paraId="53F4B85B" w14:textId="77777777" w:rsidR="003B6092" w:rsidRPr="00FB2F3D" w:rsidRDefault="003B6092" w:rsidP="003B6092">
      <w:pPr>
        <w:pStyle w:val="Heading3"/>
        <w:rPr>
          <w:rFonts w:ascii="Arial" w:hAnsi="Arial" w:cs="Arial"/>
          <w:b/>
          <w:sz w:val="22"/>
          <w:szCs w:val="22"/>
        </w:rPr>
      </w:pPr>
      <w:r w:rsidRPr="00FB2F3D">
        <w:rPr>
          <w:rFonts w:ascii="Arial" w:hAnsi="Arial" w:cs="Arial"/>
          <w:b/>
          <w:sz w:val="22"/>
          <w:szCs w:val="22"/>
        </w:rPr>
        <w:t>Objectives of Buy-back Programmes</w:t>
      </w:r>
    </w:p>
    <w:p w14:paraId="6E515199" w14:textId="4B84E0B2" w:rsidR="003B6092" w:rsidRPr="00FB2F3D" w:rsidRDefault="003B6092" w:rsidP="003B6092">
      <w:pPr>
        <w:pStyle w:val="UK12Block05"/>
        <w:rPr>
          <w:rFonts w:ascii="Arial" w:hAnsi="Arial" w:cs="Arial"/>
          <w:b/>
          <w:bCs/>
          <w:sz w:val="22"/>
          <w:szCs w:val="22"/>
        </w:rPr>
      </w:pPr>
      <w:r w:rsidRPr="00FB2F3D">
        <w:rPr>
          <w:rFonts w:ascii="Arial" w:hAnsi="Arial" w:cs="Arial"/>
          <w:sz w:val="22"/>
          <w:szCs w:val="22"/>
        </w:rPr>
        <w:t xml:space="preserve">In order to benefit from the exemption provided for in the </w:t>
      </w:r>
      <w:r w:rsidR="008F239B">
        <w:rPr>
          <w:rFonts w:ascii="Arial" w:hAnsi="Arial" w:cs="Arial"/>
          <w:sz w:val="22"/>
          <w:szCs w:val="22"/>
        </w:rPr>
        <w:t>FSMR</w:t>
      </w:r>
      <w:r w:rsidRPr="00FB2F3D">
        <w:rPr>
          <w:rFonts w:ascii="Arial" w:hAnsi="Arial" w:cs="Arial"/>
          <w:sz w:val="22"/>
          <w:szCs w:val="22"/>
        </w:rPr>
        <w:t xml:space="preserve">, a Buy-back Programme must comply with Rules </w:t>
      </w:r>
      <w:r w:rsidR="00693841" w:rsidRPr="00FB2F3D">
        <w:rPr>
          <w:rFonts w:ascii="Arial" w:hAnsi="Arial" w:cs="Arial"/>
          <w:sz w:val="22"/>
          <w:szCs w:val="22"/>
        </w:rPr>
        <w:t>6.2.4</w:t>
      </w:r>
      <w:r w:rsidRPr="00FB2F3D">
        <w:rPr>
          <w:rFonts w:ascii="Arial" w:hAnsi="Arial" w:cs="Arial"/>
          <w:sz w:val="22"/>
          <w:szCs w:val="22"/>
        </w:rPr>
        <w:t xml:space="preserve">, </w:t>
      </w:r>
      <w:r w:rsidR="00693841" w:rsidRPr="00FB2F3D">
        <w:rPr>
          <w:rFonts w:ascii="Arial" w:hAnsi="Arial" w:cs="Arial"/>
          <w:sz w:val="22"/>
          <w:szCs w:val="22"/>
        </w:rPr>
        <w:t>6.2.5</w:t>
      </w:r>
      <w:r w:rsidRPr="00FB2F3D">
        <w:rPr>
          <w:rFonts w:ascii="Arial" w:hAnsi="Arial" w:cs="Arial"/>
          <w:sz w:val="22"/>
          <w:szCs w:val="22"/>
        </w:rPr>
        <w:t xml:space="preserve"> and </w:t>
      </w:r>
      <w:r w:rsidR="00693841" w:rsidRPr="00FB2F3D">
        <w:rPr>
          <w:rFonts w:ascii="Arial" w:hAnsi="Arial" w:cs="Arial"/>
          <w:sz w:val="22"/>
          <w:szCs w:val="22"/>
        </w:rPr>
        <w:t>6.2.6</w:t>
      </w:r>
      <w:r w:rsidRPr="00FB2F3D">
        <w:rPr>
          <w:rFonts w:ascii="Arial" w:hAnsi="Arial" w:cs="Arial"/>
          <w:sz w:val="22"/>
          <w:szCs w:val="22"/>
        </w:rPr>
        <w:t xml:space="preserve"> o</w:t>
      </w:r>
      <w:r w:rsidR="00753E86" w:rsidRPr="00FB2F3D">
        <w:rPr>
          <w:rFonts w:ascii="Arial" w:hAnsi="Arial" w:cs="Arial"/>
          <w:sz w:val="22"/>
          <w:szCs w:val="22"/>
        </w:rPr>
        <w:t>f this c</w:t>
      </w:r>
      <w:r w:rsidRPr="00FB2F3D">
        <w:rPr>
          <w:rFonts w:ascii="Arial" w:hAnsi="Arial" w:cs="Arial"/>
          <w:sz w:val="22"/>
          <w:szCs w:val="22"/>
        </w:rPr>
        <w:t xml:space="preserve">hapter and the sole purpose of that Buy-back programme must be to reduce the capital of an Issuer </w:t>
      </w:r>
      <w:r w:rsidR="008F239B">
        <w:rPr>
          <w:rFonts w:ascii="Arial" w:hAnsi="Arial" w:cs="Arial"/>
          <w:sz w:val="22"/>
          <w:szCs w:val="22"/>
        </w:rPr>
        <w:t xml:space="preserve">or Listed Entity </w:t>
      </w:r>
      <w:r w:rsidRPr="00FB2F3D">
        <w:rPr>
          <w:rFonts w:ascii="Arial" w:hAnsi="Arial" w:cs="Arial"/>
          <w:sz w:val="22"/>
          <w:szCs w:val="22"/>
        </w:rPr>
        <w:t>(in value or in number of Shares) or to meet obligations arising from either of the following:</w:t>
      </w:r>
    </w:p>
    <w:p w14:paraId="40B452EB" w14:textId="062B4248" w:rsidR="003B6092" w:rsidRPr="00FB2F3D" w:rsidRDefault="008F239B" w:rsidP="00424270">
      <w:pPr>
        <w:pStyle w:val="Heading4"/>
        <w:rPr>
          <w:rFonts w:ascii="Arial" w:hAnsi="Arial" w:cs="Arial"/>
          <w:sz w:val="22"/>
          <w:szCs w:val="22"/>
        </w:rPr>
      </w:pPr>
      <w:r>
        <w:rPr>
          <w:rFonts w:ascii="Arial" w:hAnsi="Arial" w:cs="Arial"/>
          <w:sz w:val="22"/>
          <w:szCs w:val="22"/>
        </w:rPr>
        <w:t>Debentures or Sukuk</w:t>
      </w:r>
      <w:r w:rsidR="003B6092" w:rsidRPr="00FB2F3D">
        <w:rPr>
          <w:rFonts w:ascii="Arial" w:hAnsi="Arial" w:cs="Arial"/>
          <w:sz w:val="22"/>
          <w:szCs w:val="22"/>
        </w:rPr>
        <w:t xml:space="preserve"> exchangeable into </w:t>
      </w:r>
      <w:r>
        <w:rPr>
          <w:rFonts w:ascii="Arial" w:hAnsi="Arial" w:cs="Arial"/>
          <w:sz w:val="22"/>
          <w:szCs w:val="22"/>
        </w:rPr>
        <w:t>E</w:t>
      </w:r>
      <w:r w:rsidR="003B6092" w:rsidRPr="00FB2F3D">
        <w:rPr>
          <w:rFonts w:ascii="Arial" w:hAnsi="Arial" w:cs="Arial"/>
          <w:sz w:val="22"/>
          <w:szCs w:val="22"/>
        </w:rPr>
        <w:t xml:space="preserve">quity </w:t>
      </w:r>
      <w:r>
        <w:rPr>
          <w:rFonts w:ascii="Arial" w:hAnsi="Arial" w:cs="Arial"/>
          <w:sz w:val="22"/>
          <w:szCs w:val="22"/>
        </w:rPr>
        <w:t>Securitie</w:t>
      </w:r>
      <w:r w:rsidR="003B6092" w:rsidRPr="00FB2F3D">
        <w:rPr>
          <w:rFonts w:ascii="Arial" w:hAnsi="Arial" w:cs="Arial"/>
          <w:sz w:val="22"/>
          <w:szCs w:val="22"/>
        </w:rPr>
        <w:t>s; and</w:t>
      </w:r>
    </w:p>
    <w:p w14:paraId="60DDD06B" w14:textId="676881DB" w:rsidR="003B6092" w:rsidRPr="00FB2F3D" w:rsidRDefault="003B6092" w:rsidP="00424270">
      <w:pPr>
        <w:pStyle w:val="Heading4"/>
        <w:rPr>
          <w:rFonts w:ascii="Arial" w:hAnsi="Arial" w:cs="Arial"/>
          <w:sz w:val="22"/>
          <w:szCs w:val="22"/>
        </w:rPr>
      </w:pPr>
      <w:r w:rsidRPr="00FB2F3D">
        <w:rPr>
          <w:rFonts w:ascii="Arial" w:hAnsi="Arial" w:cs="Arial"/>
          <w:sz w:val="22"/>
          <w:szCs w:val="22"/>
        </w:rPr>
        <w:t xml:space="preserve">Employee </w:t>
      </w:r>
      <w:r w:rsidR="008E1028">
        <w:rPr>
          <w:rFonts w:ascii="Arial" w:hAnsi="Arial" w:cs="Arial"/>
          <w:sz w:val="22"/>
          <w:szCs w:val="22"/>
        </w:rPr>
        <w:t>Incentive Schemes</w:t>
      </w:r>
      <w:r w:rsidRPr="00FB2F3D">
        <w:rPr>
          <w:rFonts w:ascii="Arial" w:hAnsi="Arial" w:cs="Arial"/>
          <w:sz w:val="22"/>
          <w:szCs w:val="22"/>
        </w:rPr>
        <w:t xml:space="preserve"> or other allocations of Shares to Employees of the Issuer or of an associate Company.</w:t>
      </w:r>
    </w:p>
    <w:p w14:paraId="38918AEA" w14:textId="281DED01" w:rsidR="003B6092" w:rsidRPr="00FB2F3D" w:rsidRDefault="003B6092" w:rsidP="003B6092">
      <w:pPr>
        <w:pStyle w:val="Heading3"/>
        <w:rPr>
          <w:rFonts w:ascii="Arial" w:hAnsi="Arial" w:cs="Arial"/>
          <w:b/>
          <w:sz w:val="22"/>
          <w:szCs w:val="22"/>
        </w:rPr>
      </w:pPr>
      <w:bookmarkStart w:id="568" w:name="_Ref416956055"/>
      <w:r w:rsidRPr="00FB2F3D">
        <w:rPr>
          <w:rFonts w:ascii="Arial" w:hAnsi="Arial" w:cs="Arial"/>
          <w:b/>
          <w:sz w:val="22"/>
          <w:szCs w:val="22"/>
        </w:rPr>
        <w:t>Conditions for</w:t>
      </w:r>
      <w:r w:rsidR="008E1028">
        <w:rPr>
          <w:rFonts w:ascii="Arial" w:hAnsi="Arial" w:cs="Arial"/>
          <w:b/>
          <w:sz w:val="22"/>
          <w:szCs w:val="22"/>
        </w:rPr>
        <w:t xml:space="preserve">, and Disclosure of, </w:t>
      </w:r>
      <w:r w:rsidRPr="00FB2F3D">
        <w:rPr>
          <w:rFonts w:ascii="Arial" w:hAnsi="Arial" w:cs="Arial"/>
          <w:b/>
          <w:sz w:val="22"/>
          <w:szCs w:val="22"/>
        </w:rPr>
        <w:t xml:space="preserve">Buy-back Programmes </w:t>
      </w:r>
      <w:bookmarkEnd w:id="568"/>
    </w:p>
    <w:p w14:paraId="428AF804" w14:textId="77777777" w:rsidR="003B6092" w:rsidRPr="00FB2F3D" w:rsidRDefault="003B6092" w:rsidP="003B6092">
      <w:pPr>
        <w:pStyle w:val="Heading4"/>
        <w:rPr>
          <w:rFonts w:ascii="Arial" w:hAnsi="Arial" w:cs="Arial"/>
          <w:sz w:val="22"/>
          <w:szCs w:val="22"/>
        </w:rPr>
      </w:pPr>
      <w:r w:rsidRPr="00FB2F3D">
        <w:rPr>
          <w:rFonts w:ascii="Arial" w:hAnsi="Arial" w:cs="Arial"/>
          <w:sz w:val="22"/>
          <w:szCs w:val="22"/>
        </w:rPr>
        <w:t>The Buy-back Programme must comply with the following conditions:</w:t>
      </w:r>
    </w:p>
    <w:p w14:paraId="68599674" w14:textId="66B359E2" w:rsidR="003B6092" w:rsidRPr="00FB2F3D" w:rsidRDefault="003B6092" w:rsidP="003B6092">
      <w:pPr>
        <w:pStyle w:val="Heading5"/>
        <w:rPr>
          <w:rFonts w:ascii="Arial" w:hAnsi="Arial" w:cs="Arial"/>
          <w:sz w:val="22"/>
          <w:szCs w:val="22"/>
        </w:rPr>
      </w:pPr>
      <w:bookmarkStart w:id="569" w:name="_Ref416956142"/>
      <w:r w:rsidRPr="00FB2F3D">
        <w:rPr>
          <w:rFonts w:ascii="Arial" w:hAnsi="Arial" w:cs="Arial"/>
          <w:sz w:val="22"/>
          <w:szCs w:val="22"/>
        </w:rPr>
        <w:t xml:space="preserve">authorisation shall be given by </w:t>
      </w:r>
      <w:r w:rsidR="00A73CFE">
        <w:rPr>
          <w:rFonts w:ascii="Arial" w:hAnsi="Arial" w:cs="Arial"/>
          <w:sz w:val="22"/>
          <w:szCs w:val="22"/>
        </w:rPr>
        <w:t>a</w:t>
      </w:r>
      <w:r w:rsidRPr="00FB2F3D">
        <w:rPr>
          <w:rFonts w:ascii="Arial" w:hAnsi="Arial" w:cs="Arial"/>
          <w:sz w:val="22"/>
          <w:szCs w:val="22"/>
        </w:rPr>
        <w:t xml:space="preserve"> general meeting</w:t>
      </w:r>
      <w:r w:rsidR="00A73CFE">
        <w:rPr>
          <w:rFonts w:ascii="Arial" w:hAnsi="Arial" w:cs="Arial"/>
          <w:sz w:val="22"/>
          <w:szCs w:val="22"/>
        </w:rPr>
        <w:t xml:space="preserve"> of the Listed Entity</w:t>
      </w:r>
      <w:r w:rsidRPr="00FB2F3D">
        <w:rPr>
          <w:rFonts w:ascii="Arial" w:hAnsi="Arial" w:cs="Arial"/>
          <w:sz w:val="22"/>
          <w:szCs w:val="22"/>
        </w:rPr>
        <w:t>, which shall determine the terms and conditions of such acquisitions, and in particular the maximum number of Shares to be acquired, the duration of the period for which the authorisation is given which may not exceed 18 months and, in the case of</w:t>
      </w:r>
      <w:r w:rsidR="00BC0BDA" w:rsidRPr="00FB2F3D">
        <w:rPr>
          <w:rFonts w:ascii="Arial" w:hAnsi="Arial" w:cs="Arial"/>
          <w:sz w:val="22"/>
          <w:szCs w:val="22"/>
        </w:rPr>
        <w:t xml:space="preserve"> an</w:t>
      </w:r>
      <w:r w:rsidRPr="00FB2F3D">
        <w:rPr>
          <w:rFonts w:ascii="Arial" w:hAnsi="Arial" w:cs="Arial"/>
          <w:sz w:val="22"/>
          <w:szCs w:val="22"/>
        </w:rPr>
        <w:t xml:space="preserve"> acquisition for value, the maximum and minimum consideration. Members of the administrative or management body shall be required to satisfy themselves that at the time when each authorised acquisition is effected the conditions referred to in subparagraphs </w:t>
      </w:r>
      <w:r w:rsidR="00693841" w:rsidRPr="00FB2F3D">
        <w:rPr>
          <w:rFonts w:ascii="Arial" w:hAnsi="Arial" w:cs="Arial"/>
          <w:sz w:val="22"/>
          <w:szCs w:val="22"/>
        </w:rPr>
        <w:t>(a)</w:t>
      </w:r>
      <w:r w:rsidRPr="00FB2F3D">
        <w:rPr>
          <w:rFonts w:ascii="Arial" w:hAnsi="Arial" w:cs="Arial"/>
          <w:sz w:val="22"/>
          <w:szCs w:val="22"/>
        </w:rPr>
        <w:t xml:space="preserve">, </w:t>
      </w:r>
      <w:r w:rsidR="00693841" w:rsidRPr="00FB2F3D">
        <w:rPr>
          <w:rFonts w:ascii="Arial" w:hAnsi="Arial" w:cs="Arial"/>
          <w:sz w:val="22"/>
          <w:szCs w:val="22"/>
        </w:rPr>
        <w:t>(b)</w:t>
      </w:r>
      <w:r w:rsidRPr="00FB2F3D">
        <w:rPr>
          <w:rFonts w:ascii="Arial" w:hAnsi="Arial" w:cs="Arial"/>
          <w:sz w:val="22"/>
          <w:szCs w:val="22"/>
        </w:rPr>
        <w:t xml:space="preserve"> and </w:t>
      </w:r>
      <w:r w:rsidR="00693841" w:rsidRPr="00FB2F3D">
        <w:rPr>
          <w:rFonts w:ascii="Arial" w:hAnsi="Arial" w:cs="Arial"/>
          <w:sz w:val="22"/>
          <w:szCs w:val="22"/>
        </w:rPr>
        <w:t>(c)</w:t>
      </w:r>
      <w:r w:rsidRPr="00FB2F3D">
        <w:rPr>
          <w:rFonts w:ascii="Arial" w:hAnsi="Arial" w:cs="Arial"/>
          <w:sz w:val="22"/>
          <w:szCs w:val="22"/>
        </w:rPr>
        <w:t xml:space="preserve"> are respected;</w:t>
      </w:r>
      <w:bookmarkEnd w:id="569"/>
    </w:p>
    <w:p w14:paraId="4FEDDAA6" w14:textId="75B1F816" w:rsidR="003B6092" w:rsidRPr="00FB2F3D" w:rsidRDefault="003B6092" w:rsidP="003B6092">
      <w:pPr>
        <w:pStyle w:val="Heading5"/>
        <w:rPr>
          <w:rFonts w:ascii="Arial" w:hAnsi="Arial" w:cs="Arial"/>
          <w:sz w:val="22"/>
          <w:szCs w:val="22"/>
        </w:rPr>
      </w:pPr>
      <w:bookmarkStart w:id="570" w:name="_Ref416956144"/>
      <w:r w:rsidRPr="00FB2F3D">
        <w:rPr>
          <w:rFonts w:ascii="Arial" w:hAnsi="Arial" w:cs="Arial"/>
          <w:sz w:val="22"/>
          <w:szCs w:val="22"/>
        </w:rPr>
        <w:t xml:space="preserve">the nominal value or, in the absence thereof, the accountable par of the acquired Shares, including Shares previously acquired by the </w:t>
      </w:r>
      <w:r w:rsidR="00E15E3E">
        <w:rPr>
          <w:rFonts w:ascii="Arial" w:hAnsi="Arial" w:cs="Arial"/>
          <w:sz w:val="22"/>
          <w:szCs w:val="22"/>
        </w:rPr>
        <w:t>Listed Entity</w:t>
      </w:r>
      <w:r w:rsidRPr="00FB2F3D">
        <w:rPr>
          <w:rFonts w:ascii="Arial" w:hAnsi="Arial" w:cs="Arial"/>
          <w:sz w:val="22"/>
          <w:szCs w:val="22"/>
        </w:rPr>
        <w:t xml:space="preserve"> and held by it, and Shares acquired by a </w:t>
      </w:r>
      <w:r w:rsidR="00E15E3E">
        <w:rPr>
          <w:rFonts w:ascii="Arial" w:hAnsi="Arial" w:cs="Arial"/>
          <w:sz w:val="22"/>
          <w:szCs w:val="22"/>
        </w:rPr>
        <w:t>P</w:t>
      </w:r>
      <w:r w:rsidRPr="00FB2F3D">
        <w:rPr>
          <w:rFonts w:ascii="Arial" w:hAnsi="Arial" w:cs="Arial"/>
          <w:sz w:val="22"/>
          <w:szCs w:val="22"/>
        </w:rPr>
        <w:t xml:space="preserve">erson acting in his own name but on the </w:t>
      </w:r>
      <w:r w:rsidR="00E15E3E">
        <w:rPr>
          <w:rFonts w:ascii="Arial" w:hAnsi="Arial" w:cs="Arial"/>
          <w:sz w:val="22"/>
          <w:szCs w:val="22"/>
        </w:rPr>
        <w:t>Listed Entity</w:t>
      </w:r>
      <w:r w:rsidRPr="00FB2F3D">
        <w:rPr>
          <w:rFonts w:ascii="Arial" w:hAnsi="Arial" w:cs="Arial"/>
          <w:sz w:val="22"/>
          <w:szCs w:val="22"/>
        </w:rPr>
        <w:t>'s behalf, may not exceed 10% of the subscribed capital;</w:t>
      </w:r>
      <w:bookmarkEnd w:id="570"/>
    </w:p>
    <w:p w14:paraId="72E9EB77" w14:textId="222C352F" w:rsidR="003B6092" w:rsidRPr="00FB2F3D" w:rsidRDefault="003B6092" w:rsidP="003B6092">
      <w:pPr>
        <w:pStyle w:val="Heading5"/>
        <w:rPr>
          <w:rFonts w:ascii="Arial" w:hAnsi="Arial" w:cs="Arial"/>
          <w:sz w:val="22"/>
          <w:szCs w:val="22"/>
        </w:rPr>
      </w:pPr>
      <w:bookmarkStart w:id="571" w:name="_Ref416956145"/>
      <w:r w:rsidRPr="00FB2F3D">
        <w:rPr>
          <w:rFonts w:ascii="Arial" w:hAnsi="Arial" w:cs="Arial"/>
          <w:sz w:val="22"/>
          <w:szCs w:val="22"/>
        </w:rPr>
        <w:t xml:space="preserve">the acquisitions may not have the effect of reducing the net assets below an amount when on the closing date of the last financial year the net assets as set out in the </w:t>
      </w:r>
      <w:r w:rsidR="00E15E3E">
        <w:rPr>
          <w:rFonts w:ascii="Arial" w:hAnsi="Arial" w:cs="Arial"/>
          <w:sz w:val="22"/>
          <w:szCs w:val="22"/>
        </w:rPr>
        <w:t>Listed Entity</w:t>
      </w:r>
      <w:r w:rsidRPr="00FB2F3D">
        <w:rPr>
          <w:rFonts w:ascii="Arial" w:hAnsi="Arial" w:cs="Arial"/>
          <w:sz w:val="22"/>
          <w:szCs w:val="22"/>
        </w:rPr>
        <w:t xml:space="preserve">'s annual accounts are, or following such a distribution would become, lower than the amount of the subscribed capital plus those reserves which may not be distributed under applicable enactments or the statutes of the </w:t>
      </w:r>
      <w:r w:rsidR="00E15E3E">
        <w:rPr>
          <w:rFonts w:ascii="Arial" w:hAnsi="Arial" w:cs="Arial"/>
          <w:sz w:val="22"/>
          <w:szCs w:val="22"/>
        </w:rPr>
        <w:t>Listed Entity</w:t>
      </w:r>
      <w:r w:rsidRPr="00FB2F3D">
        <w:rPr>
          <w:rFonts w:ascii="Arial" w:hAnsi="Arial" w:cs="Arial"/>
          <w:sz w:val="22"/>
          <w:szCs w:val="22"/>
        </w:rPr>
        <w:t>;</w:t>
      </w:r>
      <w:bookmarkEnd w:id="571"/>
      <w:r w:rsidR="004B7462" w:rsidRPr="00FB2F3D">
        <w:rPr>
          <w:rFonts w:ascii="Arial" w:hAnsi="Arial" w:cs="Arial"/>
          <w:sz w:val="22"/>
          <w:szCs w:val="22"/>
        </w:rPr>
        <w:t xml:space="preserve"> and</w:t>
      </w:r>
    </w:p>
    <w:p w14:paraId="12FB3A48"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only fully paid-up Shares may be included in the transaction.</w:t>
      </w:r>
    </w:p>
    <w:p w14:paraId="4AF78DFC" w14:textId="7BEA784F" w:rsidR="003B6092" w:rsidRPr="00FB2F3D" w:rsidRDefault="003B6092" w:rsidP="003B6092">
      <w:pPr>
        <w:pStyle w:val="Heading4"/>
        <w:rPr>
          <w:rFonts w:ascii="Arial" w:hAnsi="Arial" w:cs="Arial"/>
          <w:sz w:val="22"/>
          <w:szCs w:val="22"/>
        </w:rPr>
      </w:pPr>
      <w:r w:rsidRPr="00FB2F3D">
        <w:rPr>
          <w:rFonts w:ascii="Arial" w:hAnsi="Arial" w:cs="Arial"/>
          <w:sz w:val="22"/>
          <w:szCs w:val="22"/>
        </w:rPr>
        <w:t xml:space="preserve">Prior to the start of trading, full details of the programme must be </w:t>
      </w:r>
      <w:r w:rsidR="00E15E3E">
        <w:rPr>
          <w:rFonts w:ascii="Arial" w:hAnsi="Arial" w:cs="Arial"/>
          <w:sz w:val="22"/>
          <w:szCs w:val="22"/>
        </w:rPr>
        <w:t>Disclosed</w:t>
      </w:r>
      <w:r w:rsidRPr="00FB2F3D">
        <w:rPr>
          <w:rFonts w:ascii="Arial" w:hAnsi="Arial" w:cs="Arial"/>
          <w:sz w:val="22"/>
          <w:szCs w:val="22"/>
        </w:rPr>
        <w:t xml:space="preserve">. Those details must include the objective of the programme, the maximum consideration, the maximum number of Shares to be acquired and the duration of the period for which authorisation for the programme has been given. Subsequent changes to the programme must be </w:t>
      </w:r>
      <w:r w:rsidR="00E15E3E">
        <w:rPr>
          <w:rFonts w:ascii="Arial" w:hAnsi="Arial" w:cs="Arial"/>
          <w:sz w:val="22"/>
          <w:szCs w:val="22"/>
        </w:rPr>
        <w:t>Disclosed</w:t>
      </w:r>
      <w:r w:rsidRPr="00FB2F3D">
        <w:rPr>
          <w:rFonts w:ascii="Arial" w:hAnsi="Arial" w:cs="Arial"/>
          <w:sz w:val="22"/>
          <w:szCs w:val="22"/>
        </w:rPr>
        <w:t>.</w:t>
      </w:r>
    </w:p>
    <w:p w14:paraId="160ECE5F" w14:textId="33E18D3B" w:rsidR="003B6092" w:rsidRPr="00FB2F3D" w:rsidRDefault="003B6092" w:rsidP="003B6092">
      <w:pPr>
        <w:pStyle w:val="Heading4"/>
        <w:rPr>
          <w:rFonts w:ascii="Arial" w:hAnsi="Arial" w:cs="Arial"/>
          <w:sz w:val="22"/>
          <w:szCs w:val="22"/>
        </w:rPr>
      </w:pPr>
      <w:bookmarkStart w:id="572" w:name="_Ref416956174"/>
      <w:r w:rsidRPr="00FB2F3D">
        <w:rPr>
          <w:rFonts w:ascii="Arial" w:hAnsi="Arial" w:cs="Arial"/>
          <w:sz w:val="22"/>
          <w:szCs w:val="22"/>
        </w:rPr>
        <w:lastRenderedPageBreak/>
        <w:t xml:space="preserve">The </w:t>
      </w:r>
      <w:r w:rsidR="00677655">
        <w:rPr>
          <w:rFonts w:ascii="Arial" w:hAnsi="Arial" w:cs="Arial"/>
          <w:sz w:val="22"/>
          <w:szCs w:val="22"/>
        </w:rPr>
        <w:t>Reporting Entity</w:t>
      </w:r>
      <w:r w:rsidRPr="00FB2F3D">
        <w:rPr>
          <w:rFonts w:ascii="Arial" w:hAnsi="Arial" w:cs="Arial"/>
          <w:sz w:val="22"/>
          <w:szCs w:val="22"/>
        </w:rPr>
        <w:t xml:space="preserve"> must have in place the mechanisms ensuring that it fulfils trade reporting obligations</w:t>
      </w:r>
      <w:r w:rsidR="008149DA" w:rsidRPr="00FB2F3D">
        <w:rPr>
          <w:rFonts w:ascii="Arial" w:hAnsi="Arial" w:cs="Arial"/>
          <w:sz w:val="22"/>
          <w:szCs w:val="22"/>
        </w:rPr>
        <w:t xml:space="preserve"> to</w:t>
      </w:r>
      <w:r w:rsidRPr="00FB2F3D">
        <w:rPr>
          <w:rFonts w:ascii="Arial" w:hAnsi="Arial" w:cs="Arial"/>
          <w:sz w:val="22"/>
          <w:szCs w:val="22"/>
        </w:rPr>
        <w:t xml:space="preserve"> the Regulator. These mechanisms must record each transaction related to Buy-back Programmes.</w:t>
      </w:r>
      <w:bookmarkEnd w:id="572"/>
    </w:p>
    <w:p w14:paraId="510FD379" w14:textId="45D7C192" w:rsidR="003B6092" w:rsidRPr="00FB2F3D" w:rsidRDefault="003B6092" w:rsidP="003B6092">
      <w:pPr>
        <w:pStyle w:val="Heading4"/>
        <w:rPr>
          <w:rFonts w:ascii="Arial" w:hAnsi="Arial" w:cs="Arial"/>
          <w:sz w:val="22"/>
          <w:szCs w:val="22"/>
        </w:rPr>
      </w:pPr>
      <w:r w:rsidRPr="00FB2F3D">
        <w:rPr>
          <w:rFonts w:ascii="Arial" w:hAnsi="Arial" w:cs="Arial"/>
          <w:sz w:val="22"/>
          <w:szCs w:val="22"/>
        </w:rPr>
        <w:t xml:space="preserve">The </w:t>
      </w:r>
      <w:r w:rsidR="00677655">
        <w:rPr>
          <w:rFonts w:ascii="Arial" w:hAnsi="Arial" w:cs="Arial"/>
          <w:sz w:val="22"/>
          <w:szCs w:val="22"/>
        </w:rPr>
        <w:t>Reporting Entity</w:t>
      </w:r>
      <w:r w:rsidRPr="00FB2F3D">
        <w:rPr>
          <w:rFonts w:ascii="Arial" w:hAnsi="Arial" w:cs="Arial"/>
          <w:sz w:val="22"/>
          <w:szCs w:val="22"/>
        </w:rPr>
        <w:t xml:space="preserve"> must </w:t>
      </w:r>
      <w:r w:rsidR="00677655">
        <w:rPr>
          <w:rFonts w:ascii="Arial" w:hAnsi="Arial" w:cs="Arial"/>
          <w:sz w:val="22"/>
          <w:szCs w:val="22"/>
        </w:rPr>
        <w:t>D</w:t>
      </w:r>
      <w:r w:rsidRPr="00FB2F3D">
        <w:rPr>
          <w:rFonts w:ascii="Arial" w:hAnsi="Arial" w:cs="Arial"/>
          <w:sz w:val="22"/>
          <w:szCs w:val="22"/>
        </w:rPr>
        <w:t xml:space="preserve">isclose details of all transactions as referred to in paragraph </w:t>
      </w:r>
      <w:r w:rsidR="00693841" w:rsidRPr="00FB2F3D">
        <w:rPr>
          <w:rFonts w:ascii="Arial" w:hAnsi="Arial" w:cs="Arial"/>
          <w:sz w:val="22"/>
          <w:szCs w:val="22"/>
        </w:rPr>
        <w:t>(3)</w:t>
      </w:r>
      <w:r w:rsidRPr="00FB2F3D">
        <w:rPr>
          <w:rFonts w:ascii="Arial" w:hAnsi="Arial" w:cs="Arial"/>
          <w:sz w:val="22"/>
          <w:szCs w:val="22"/>
        </w:rPr>
        <w:t xml:space="preserve"> no later than the end of the seventh Business Day following the date of execution of such transactions.</w:t>
      </w:r>
    </w:p>
    <w:p w14:paraId="6730B54D" w14:textId="77777777" w:rsidR="003B6092" w:rsidRPr="00FB2F3D" w:rsidRDefault="003B6092" w:rsidP="003B6092">
      <w:pPr>
        <w:pStyle w:val="Heading3"/>
        <w:rPr>
          <w:rFonts w:ascii="Arial" w:hAnsi="Arial" w:cs="Arial"/>
          <w:b/>
          <w:sz w:val="22"/>
          <w:szCs w:val="22"/>
        </w:rPr>
      </w:pPr>
      <w:bookmarkStart w:id="573" w:name="_Ref416956057"/>
      <w:r w:rsidRPr="00FB2F3D">
        <w:rPr>
          <w:rFonts w:ascii="Arial" w:hAnsi="Arial" w:cs="Arial"/>
          <w:b/>
          <w:sz w:val="22"/>
          <w:szCs w:val="22"/>
        </w:rPr>
        <w:t>Conditions for trading</w:t>
      </w:r>
      <w:bookmarkEnd w:id="573"/>
    </w:p>
    <w:p w14:paraId="52A83DD6" w14:textId="06FAA431" w:rsidR="003B6092" w:rsidRPr="00FB2F3D" w:rsidRDefault="003B6092" w:rsidP="003B6092">
      <w:pPr>
        <w:pStyle w:val="Heading4"/>
        <w:rPr>
          <w:rFonts w:ascii="Arial" w:hAnsi="Arial" w:cs="Arial"/>
          <w:sz w:val="22"/>
          <w:szCs w:val="22"/>
        </w:rPr>
      </w:pPr>
      <w:r w:rsidRPr="00FB2F3D">
        <w:rPr>
          <w:rFonts w:ascii="Arial" w:hAnsi="Arial" w:cs="Arial"/>
          <w:sz w:val="22"/>
          <w:szCs w:val="22"/>
        </w:rPr>
        <w:t xml:space="preserve">Insofar as prices are concerned, the </w:t>
      </w:r>
      <w:r w:rsidR="00677655">
        <w:rPr>
          <w:rFonts w:ascii="Arial" w:hAnsi="Arial" w:cs="Arial"/>
          <w:sz w:val="22"/>
          <w:szCs w:val="22"/>
        </w:rPr>
        <w:t>Listed Entity</w:t>
      </w:r>
      <w:r w:rsidRPr="00FB2F3D">
        <w:rPr>
          <w:rFonts w:ascii="Arial" w:hAnsi="Arial" w:cs="Arial"/>
          <w:sz w:val="22"/>
          <w:szCs w:val="22"/>
        </w:rPr>
        <w:t xml:space="preserve"> must not, when executing trades under a Buy-back Programme, purchase Shares at a price higher than the higher of the price of the last independent trade and the highest current independent bid on the trading venues where the purchase is carried out.</w:t>
      </w:r>
    </w:p>
    <w:p w14:paraId="1B59260B" w14:textId="77777777" w:rsidR="003B6092" w:rsidRPr="00FB2F3D" w:rsidRDefault="003B6092" w:rsidP="003B6092">
      <w:pPr>
        <w:pStyle w:val="Heading4"/>
        <w:rPr>
          <w:rFonts w:ascii="Arial" w:hAnsi="Arial" w:cs="Arial"/>
          <w:sz w:val="22"/>
          <w:szCs w:val="22"/>
        </w:rPr>
      </w:pPr>
      <w:r w:rsidRPr="00FB2F3D">
        <w:rPr>
          <w:rFonts w:ascii="Arial" w:hAnsi="Arial" w:cs="Arial"/>
          <w:sz w:val="22"/>
          <w:szCs w:val="22"/>
        </w:rPr>
        <w:t>If the trading venue is not a Recognised Investment Exchange, the price of the last independent trade or the highest current independent bid taken in reference shall be the one of the Recognised Investment Exchange.</w:t>
      </w:r>
    </w:p>
    <w:p w14:paraId="46152BAB" w14:textId="40FDC31F" w:rsidR="003B6092" w:rsidRPr="00FB2F3D" w:rsidRDefault="003B6092" w:rsidP="003B6092">
      <w:pPr>
        <w:pStyle w:val="Heading4"/>
        <w:rPr>
          <w:rFonts w:ascii="Arial" w:hAnsi="Arial" w:cs="Arial"/>
          <w:sz w:val="22"/>
          <w:szCs w:val="22"/>
        </w:rPr>
      </w:pPr>
      <w:bookmarkStart w:id="574" w:name="_Ref416956212"/>
      <w:r w:rsidRPr="00FB2F3D">
        <w:rPr>
          <w:rFonts w:ascii="Arial" w:hAnsi="Arial" w:cs="Arial"/>
          <w:sz w:val="22"/>
          <w:szCs w:val="22"/>
        </w:rPr>
        <w:t xml:space="preserve">Where the </w:t>
      </w:r>
      <w:r w:rsidR="00677655">
        <w:rPr>
          <w:rFonts w:ascii="Arial" w:hAnsi="Arial" w:cs="Arial"/>
          <w:sz w:val="22"/>
          <w:szCs w:val="22"/>
        </w:rPr>
        <w:t xml:space="preserve">Listed Entity </w:t>
      </w:r>
      <w:r w:rsidRPr="00FB2F3D">
        <w:rPr>
          <w:rFonts w:ascii="Arial" w:hAnsi="Arial" w:cs="Arial"/>
          <w:sz w:val="22"/>
          <w:szCs w:val="22"/>
        </w:rPr>
        <w:t xml:space="preserve">carries out the purchase of own Shares through </w:t>
      </w:r>
      <w:r w:rsidR="00677655">
        <w:rPr>
          <w:rFonts w:ascii="Arial" w:hAnsi="Arial" w:cs="Arial"/>
          <w:sz w:val="22"/>
          <w:szCs w:val="22"/>
        </w:rPr>
        <w:t>Derivatives</w:t>
      </w:r>
      <w:r w:rsidRPr="00FB2F3D">
        <w:rPr>
          <w:rFonts w:ascii="Arial" w:hAnsi="Arial" w:cs="Arial"/>
          <w:sz w:val="22"/>
          <w:szCs w:val="22"/>
        </w:rPr>
        <w:t xml:space="preserve">, the exercise price of those </w:t>
      </w:r>
      <w:r w:rsidR="00677655">
        <w:rPr>
          <w:rFonts w:ascii="Arial" w:hAnsi="Arial" w:cs="Arial"/>
          <w:sz w:val="22"/>
          <w:szCs w:val="22"/>
        </w:rPr>
        <w:t>D</w:t>
      </w:r>
      <w:r w:rsidRPr="00FB2F3D">
        <w:rPr>
          <w:rFonts w:ascii="Arial" w:hAnsi="Arial" w:cs="Arial"/>
          <w:sz w:val="22"/>
          <w:szCs w:val="22"/>
        </w:rPr>
        <w:t>erivative</w:t>
      </w:r>
      <w:r w:rsidR="00677655">
        <w:rPr>
          <w:rFonts w:ascii="Arial" w:hAnsi="Arial" w:cs="Arial"/>
          <w:sz w:val="22"/>
          <w:szCs w:val="22"/>
        </w:rPr>
        <w:t>s</w:t>
      </w:r>
      <w:r w:rsidRPr="00FB2F3D">
        <w:rPr>
          <w:rFonts w:ascii="Arial" w:hAnsi="Arial" w:cs="Arial"/>
          <w:sz w:val="22"/>
          <w:szCs w:val="22"/>
        </w:rPr>
        <w:t xml:space="preserve"> shall not be above the higher of the price of the last independent trade and the highest current independent bid.</w:t>
      </w:r>
      <w:bookmarkEnd w:id="574"/>
    </w:p>
    <w:p w14:paraId="35391763" w14:textId="15C4A3F9" w:rsidR="003B6092" w:rsidRPr="00FB2F3D" w:rsidRDefault="003B6092" w:rsidP="003B6092">
      <w:pPr>
        <w:pStyle w:val="Heading4"/>
        <w:rPr>
          <w:rFonts w:ascii="Arial" w:hAnsi="Arial" w:cs="Arial"/>
          <w:sz w:val="22"/>
          <w:szCs w:val="22"/>
        </w:rPr>
      </w:pPr>
      <w:r w:rsidRPr="00FB2F3D">
        <w:rPr>
          <w:rFonts w:ascii="Arial" w:hAnsi="Arial" w:cs="Arial"/>
          <w:sz w:val="22"/>
          <w:szCs w:val="22"/>
        </w:rPr>
        <w:t>I</w:t>
      </w:r>
      <w:r w:rsidR="004F1363">
        <w:rPr>
          <w:rFonts w:ascii="Arial" w:hAnsi="Arial" w:cs="Arial"/>
          <w:sz w:val="22"/>
          <w:szCs w:val="22"/>
        </w:rPr>
        <w:t>n</w:t>
      </w:r>
      <w:r w:rsidRPr="00FB2F3D">
        <w:rPr>
          <w:rFonts w:ascii="Arial" w:hAnsi="Arial" w:cs="Arial"/>
          <w:sz w:val="22"/>
          <w:szCs w:val="22"/>
        </w:rPr>
        <w:t xml:space="preserve">sofar as volume is concerned, the </w:t>
      </w:r>
      <w:r w:rsidR="004F1363">
        <w:rPr>
          <w:rFonts w:ascii="Arial" w:hAnsi="Arial" w:cs="Arial"/>
          <w:sz w:val="22"/>
          <w:szCs w:val="22"/>
        </w:rPr>
        <w:t>Listed Entity</w:t>
      </w:r>
      <w:r w:rsidRPr="00FB2F3D">
        <w:rPr>
          <w:rFonts w:ascii="Arial" w:hAnsi="Arial" w:cs="Arial"/>
          <w:sz w:val="22"/>
          <w:szCs w:val="22"/>
        </w:rPr>
        <w:t xml:space="preserve"> must not purchase more than 25% of the average daily volume of the Shares in any one day on the Recognised Investment Exchange on which the purchase is carried out.</w:t>
      </w:r>
    </w:p>
    <w:p w14:paraId="6A4309C1" w14:textId="128B390E" w:rsidR="003B6092" w:rsidRPr="00FB2F3D" w:rsidRDefault="003B6092" w:rsidP="003B6092">
      <w:pPr>
        <w:pStyle w:val="Heading4"/>
        <w:rPr>
          <w:rFonts w:ascii="Arial" w:hAnsi="Arial" w:cs="Arial"/>
          <w:sz w:val="22"/>
          <w:szCs w:val="22"/>
        </w:rPr>
      </w:pPr>
      <w:r w:rsidRPr="00FB2F3D">
        <w:rPr>
          <w:rFonts w:ascii="Arial" w:hAnsi="Arial" w:cs="Arial"/>
          <w:sz w:val="22"/>
          <w:szCs w:val="22"/>
        </w:rPr>
        <w:t xml:space="preserve">The average daily volume figure must be based on the average daily volume traded in the month preceding the month of </w:t>
      </w:r>
      <w:r w:rsidR="004F1363">
        <w:rPr>
          <w:rFonts w:ascii="Arial" w:hAnsi="Arial" w:cs="Arial"/>
          <w:sz w:val="22"/>
          <w:szCs w:val="22"/>
        </w:rPr>
        <w:t>D</w:t>
      </w:r>
      <w:r w:rsidRPr="00FB2F3D">
        <w:rPr>
          <w:rFonts w:ascii="Arial" w:hAnsi="Arial" w:cs="Arial"/>
          <w:sz w:val="22"/>
          <w:szCs w:val="22"/>
        </w:rPr>
        <w:t>isclosure of that programme and fixed on that basis for the authorised period of the programme.</w:t>
      </w:r>
    </w:p>
    <w:p w14:paraId="28DA1452" w14:textId="77777777" w:rsidR="003B6092" w:rsidRPr="00FB2F3D" w:rsidRDefault="003B6092" w:rsidP="003B6092">
      <w:pPr>
        <w:pStyle w:val="Heading4"/>
        <w:rPr>
          <w:rFonts w:ascii="Arial" w:hAnsi="Arial" w:cs="Arial"/>
          <w:sz w:val="22"/>
          <w:szCs w:val="22"/>
        </w:rPr>
      </w:pPr>
      <w:r w:rsidRPr="00FB2F3D">
        <w:rPr>
          <w:rFonts w:ascii="Arial" w:hAnsi="Arial" w:cs="Arial"/>
          <w:sz w:val="22"/>
          <w:szCs w:val="22"/>
        </w:rPr>
        <w:t>Where the programme makes no reference to that volume, the average daily volume figure must be based on the average daily volume traded in the 20 trading days preceding the date of purchase.</w:t>
      </w:r>
    </w:p>
    <w:p w14:paraId="514A5425" w14:textId="5A3A4F26" w:rsidR="003B6092" w:rsidRPr="00FB2F3D" w:rsidRDefault="003B6092" w:rsidP="003B6092">
      <w:pPr>
        <w:pStyle w:val="Heading4"/>
        <w:rPr>
          <w:rFonts w:ascii="Arial" w:hAnsi="Arial" w:cs="Arial"/>
          <w:sz w:val="22"/>
          <w:szCs w:val="22"/>
        </w:rPr>
      </w:pPr>
      <w:r w:rsidRPr="00FB2F3D">
        <w:rPr>
          <w:rFonts w:ascii="Arial" w:hAnsi="Arial" w:cs="Arial"/>
          <w:sz w:val="22"/>
          <w:szCs w:val="22"/>
        </w:rPr>
        <w:t xml:space="preserve">For the purposes of paragraph </w:t>
      </w:r>
      <w:r w:rsidR="00693841" w:rsidRPr="00FB2F3D">
        <w:rPr>
          <w:rFonts w:ascii="Arial" w:hAnsi="Arial" w:cs="Arial"/>
          <w:sz w:val="22"/>
          <w:szCs w:val="22"/>
        </w:rPr>
        <w:t>(</w:t>
      </w:r>
      <w:r w:rsidR="004F1363">
        <w:rPr>
          <w:rFonts w:ascii="Arial" w:hAnsi="Arial" w:cs="Arial"/>
          <w:sz w:val="22"/>
          <w:szCs w:val="22"/>
        </w:rPr>
        <w:t>4</w:t>
      </w:r>
      <w:r w:rsidR="00693841" w:rsidRPr="00FB2F3D">
        <w:rPr>
          <w:rFonts w:ascii="Arial" w:hAnsi="Arial" w:cs="Arial"/>
          <w:sz w:val="22"/>
          <w:szCs w:val="22"/>
        </w:rPr>
        <w:t>)</w:t>
      </w:r>
      <w:r w:rsidRPr="00FB2F3D">
        <w:rPr>
          <w:rFonts w:ascii="Arial" w:hAnsi="Arial" w:cs="Arial"/>
          <w:sz w:val="22"/>
          <w:szCs w:val="22"/>
        </w:rPr>
        <w:t>, in cases of extreme</w:t>
      </w:r>
      <w:r w:rsidR="004F1363">
        <w:rPr>
          <w:rFonts w:ascii="Arial" w:hAnsi="Arial" w:cs="Arial"/>
          <w:sz w:val="22"/>
          <w:szCs w:val="22"/>
        </w:rPr>
        <w:t>ly</w:t>
      </w:r>
      <w:r w:rsidRPr="00FB2F3D">
        <w:rPr>
          <w:rFonts w:ascii="Arial" w:hAnsi="Arial" w:cs="Arial"/>
          <w:sz w:val="22"/>
          <w:szCs w:val="22"/>
        </w:rPr>
        <w:t xml:space="preserve"> low liquidity on the relevant Recognised Investment Exchange, the </w:t>
      </w:r>
      <w:r w:rsidR="004F1363">
        <w:rPr>
          <w:rFonts w:ascii="Arial" w:hAnsi="Arial" w:cs="Arial"/>
          <w:sz w:val="22"/>
          <w:szCs w:val="22"/>
        </w:rPr>
        <w:t>Listed Entity</w:t>
      </w:r>
      <w:r w:rsidRPr="00FB2F3D">
        <w:rPr>
          <w:rFonts w:ascii="Arial" w:hAnsi="Arial" w:cs="Arial"/>
          <w:sz w:val="22"/>
          <w:szCs w:val="22"/>
        </w:rPr>
        <w:t xml:space="preserve"> may exceed the 25% limit, provided that the following conditions are met:</w:t>
      </w:r>
    </w:p>
    <w:p w14:paraId="2B8AFEC9" w14:textId="4DA4A52B" w:rsidR="003B6092" w:rsidRPr="00FB2F3D" w:rsidRDefault="003B6092" w:rsidP="003B6092">
      <w:pPr>
        <w:pStyle w:val="Heading5"/>
        <w:rPr>
          <w:rFonts w:ascii="Arial" w:hAnsi="Arial" w:cs="Arial"/>
          <w:sz w:val="22"/>
          <w:szCs w:val="22"/>
        </w:rPr>
      </w:pPr>
      <w:r w:rsidRPr="00FB2F3D">
        <w:rPr>
          <w:rFonts w:ascii="Arial" w:hAnsi="Arial" w:cs="Arial"/>
          <w:sz w:val="22"/>
          <w:szCs w:val="22"/>
        </w:rPr>
        <w:t xml:space="preserve">the </w:t>
      </w:r>
      <w:r w:rsidR="004F1363">
        <w:rPr>
          <w:rFonts w:ascii="Arial" w:hAnsi="Arial" w:cs="Arial"/>
          <w:sz w:val="22"/>
          <w:szCs w:val="22"/>
        </w:rPr>
        <w:t>Listed Entity</w:t>
      </w:r>
      <w:r w:rsidRPr="00FB2F3D">
        <w:rPr>
          <w:rFonts w:ascii="Arial" w:hAnsi="Arial" w:cs="Arial"/>
          <w:sz w:val="22"/>
          <w:szCs w:val="22"/>
        </w:rPr>
        <w:t xml:space="preserve"> informs the Regulator, in advance, of its intention to deviate from the 25% limit;</w:t>
      </w:r>
    </w:p>
    <w:p w14:paraId="0E5D3BB7" w14:textId="6FE6768F" w:rsidR="003B6092" w:rsidRPr="00FB2F3D" w:rsidRDefault="003B6092" w:rsidP="003B6092">
      <w:pPr>
        <w:pStyle w:val="Heading5"/>
        <w:rPr>
          <w:rFonts w:ascii="Arial" w:hAnsi="Arial" w:cs="Arial"/>
          <w:sz w:val="22"/>
          <w:szCs w:val="22"/>
        </w:rPr>
      </w:pPr>
      <w:r w:rsidRPr="00FB2F3D">
        <w:rPr>
          <w:rFonts w:ascii="Arial" w:hAnsi="Arial" w:cs="Arial"/>
          <w:sz w:val="22"/>
          <w:szCs w:val="22"/>
        </w:rPr>
        <w:t xml:space="preserve">the </w:t>
      </w:r>
      <w:r w:rsidR="004F1363">
        <w:rPr>
          <w:rFonts w:ascii="Arial" w:hAnsi="Arial" w:cs="Arial"/>
          <w:sz w:val="22"/>
          <w:szCs w:val="22"/>
        </w:rPr>
        <w:t>Reporting Entity Discloses</w:t>
      </w:r>
      <w:r w:rsidRPr="00FB2F3D">
        <w:rPr>
          <w:rFonts w:ascii="Arial" w:hAnsi="Arial" w:cs="Arial"/>
          <w:sz w:val="22"/>
          <w:szCs w:val="22"/>
        </w:rPr>
        <w:t xml:space="preserve"> the fact that</w:t>
      </w:r>
      <w:r w:rsidR="004F1363">
        <w:rPr>
          <w:rFonts w:ascii="Arial" w:hAnsi="Arial" w:cs="Arial"/>
          <w:sz w:val="22"/>
          <w:szCs w:val="22"/>
        </w:rPr>
        <w:t xml:space="preserve"> the Listed Entity</w:t>
      </w:r>
      <w:r w:rsidRPr="00FB2F3D">
        <w:rPr>
          <w:rFonts w:ascii="Arial" w:hAnsi="Arial" w:cs="Arial"/>
          <w:sz w:val="22"/>
          <w:szCs w:val="22"/>
        </w:rPr>
        <w:t xml:space="preserve"> may deviate from the 25% limit;</w:t>
      </w:r>
      <w:r w:rsidR="00E7570A" w:rsidRPr="00FB2F3D">
        <w:rPr>
          <w:rFonts w:ascii="Arial" w:hAnsi="Arial" w:cs="Arial"/>
          <w:sz w:val="22"/>
          <w:szCs w:val="22"/>
        </w:rPr>
        <w:t xml:space="preserve"> and</w:t>
      </w:r>
    </w:p>
    <w:p w14:paraId="29C89507" w14:textId="6B0DC379" w:rsidR="003B6092" w:rsidRPr="00FB2F3D" w:rsidRDefault="003B6092" w:rsidP="003B6092">
      <w:pPr>
        <w:pStyle w:val="Heading5"/>
        <w:rPr>
          <w:rFonts w:ascii="Arial" w:hAnsi="Arial" w:cs="Arial"/>
          <w:sz w:val="22"/>
          <w:szCs w:val="22"/>
        </w:rPr>
      </w:pPr>
      <w:r w:rsidRPr="00FB2F3D">
        <w:rPr>
          <w:rFonts w:ascii="Arial" w:hAnsi="Arial" w:cs="Arial"/>
          <w:sz w:val="22"/>
          <w:szCs w:val="22"/>
        </w:rPr>
        <w:t xml:space="preserve">the </w:t>
      </w:r>
      <w:r w:rsidR="004F1363">
        <w:rPr>
          <w:rFonts w:ascii="Arial" w:hAnsi="Arial" w:cs="Arial"/>
          <w:sz w:val="22"/>
          <w:szCs w:val="22"/>
        </w:rPr>
        <w:t>Listed Entity</w:t>
      </w:r>
      <w:r w:rsidRPr="00FB2F3D">
        <w:rPr>
          <w:rFonts w:ascii="Arial" w:hAnsi="Arial" w:cs="Arial"/>
          <w:sz w:val="22"/>
          <w:szCs w:val="22"/>
        </w:rPr>
        <w:t xml:space="preserve"> does not exceed 50% of the average daily volume.</w:t>
      </w:r>
    </w:p>
    <w:p w14:paraId="0F09F434" w14:textId="77777777" w:rsidR="003B6092" w:rsidRPr="00FB2F3D" w:rsidRDefault="003B6092" w:rsidP="003B6092">
      <w:pPr>
        <w:pStyle w:val="Heading3"/>
        <w:rPr>
          <w:rFonts w:ascii="Arial" w:hAnsi="Arial" w:cs="Arial"/>
          <w:b/>
          <w:sz w:val="22"/>
          <w:szCs w:val="22"/>
        </w:rPr>
      </w:pPr>
      <w:bookmarkStart w:id="575" w:name="_Ref416956058"/>
      <w:r w:rsidRPr="00FB2F3D">
        <w:rPr>
          <w:rFonts w:ascii="Arial" w:hAnsi="Arial" w:cs="Arial"/>
          <w:b/>
          <w:sz w:val="22"/>
          <w:szCs w:val="22"/>
        </w:rPr>
        <w:t>Restrictions</w:t>
      </w:r>
      <w:bookmarkEnd w:id="575"/>
    </w:p>
    <w:p w14:paraId="0BEA2D62" w14:textId="73769DDC" w:rsidR="003B6092" w:rsidRPr="00FB2F3D" w:rsidRDefault="003B6092" w:rsidP="003B6092">
      <w:pPr>
        <w:pStyle w:val="Heading4"/>
        <w:rPr>
          <w:rFonts w:ascii="Arial" w:hAnsi="Arial" w:cs="Arial"/>
          <w:sz w:val="22"/>
          <w:szCs w:val="22"/>
        </w:rPr>
      </w:pPr>
      <w:bookmarkStart w:id="576" w:name="_Ref416956234"/>
      <w:r w:rsidRPr="00FB2F3D">
        <w:rPr>
          <w:rFonts w:ascii="Arial" w:hAnsi="Arial" w:cs="Arial"/>
          <w:sz w:val="22"/>
          <w:szCs w:val="22"/>
        </w:rPr>
        <w:t xml:space="preserve">In order to benefit from the exemption provided by the </w:t>
      </w:r>
      <w:r w:rsidR="00BE6061">
        <w:rPr>
          <w:rFonts w:ascii="Arial" w:hAnsi="Arial" w:cs="Arial"/>
          <w:sz w:val="22"/>
          <w:szCs w:val="22"/>
        </w:rPr>
        <w:t>FSMR</w:t>
      </w:r>
      <w:r w:rsidRPr="00FB2F3D">
        <w:rPr>
          <w:rFonts w:ascii="Arial" w:hAnsi="Arial" w:cs="Arial"/>
          <w:sz w:val="22"/>
          <w:szCs w:val="22"/>
        </w:rPr>
        <w:t xml:space="preserve">, the </w:t>
      </w:r>
      <w:r w:rsidR="00BE6061">
        <w:rPr>
          <w:rFonts w:ascii="Arial" w:hAnsi="Arial" w:cs="Arial"/>
          <w:sz w:val="22"/>
          <w:szCs w:val="22"/>
        </w:rPr>
        <w:t>Listed Entity</w:t>
      </w:r>
      <w:r w:rsidRPr="00FB2F3D">
        <w:rPr>
          <w:rFonts w:ascii="Arial" w:hAnsi="Arial" w:cs="Arial"/>
          <w:sz w:val="22"/>
          <w:szCs w:val="22"/>
        </w:rPr>
        <w:t xml:space="preserve"> shall not, during its participation in a Buy-back Programme, engage in the following:</w:t>
      </w:r>
      <w:bookmarkEnd w:id="576"/>
    </w:p>
    <w:p w14:paraId="31DBCED0" w14:textId="387FDB28" w:rsidR="003B6092" w:rsidRPr="00FB2F3D" w:rsidRDefault="003B6092" w:rsidP="003B6092">
      <w:pPr>
        <w:pStyle w:val="Heading5"/>
        <w:rPr>
          <w:rFonts w:ascii="Arial" w:hAnsi="Arial" w:cs="Arial"/>
          <w:sz w:val="22"/>
          <w:szCs w:val="22"/>
        </w:rPr>
      </w:pPr>
      <w:bookmarkStart w:id="577" w:name="_Ref416956236"/>
      <w:r w:rsidRPr="00FB2F3D">
        <w:rPr>
          <w:rFonts w:ascii="Arial" w:hAnsi="Arial" w:cs="Arial"/>
          <w:sz w:val="22"/>
          <w:szCs w:val="22"/>
        </w:rPr>
        <w:t xml:space="preserve">selling of own Shares during the life of the </w:t>
      </w:r>
      <w:r w:rsidR="00A2742B">
        <w:rPr>
          <w:rFonts w:ascii="Arial" w:hAnsi="Arial" w:cs="Arial"/>
          <w:sz w:val="22"/>
          <w:szCs w:val="22"/>
        </w:rPr>
        <w:t>Buy-back P</w:t>
      </w:r>
      <w:r w:rsidRPr="00FB2F3D">
        <w:rPr>
          <w:rFonts w:ascii="Arial" w:hAnsi="Arial" w:cs="Arial"/>
          <w:sz w:val="22"/>
          <w:szCs w:val="22"/>
        </w:rPr>
        <w:t>rogramme;</w:t>
      </w:r>
      <w:bookmarkEnd w:id="577"/>
    </w:p>
    <w:p w14:paraId="5899BC9B" w14:textId="67571F46" w:rsidR="003B6092" w:rsidRPr="00FB2F3D" w:rsidRDefault="003B6092" w:rsidP="003B6092">
      <w:pPr>
        <w:pStyle w:val="Heading5"/>
        <w:rPr>
          <w:rFonts w:ascii="Arial" w:hAnsi="Arial" w:cs="Arial"/>
          <w:sz w:val="22"/>
          <w:szCs w:val="22"/>
        </w:rPr>
      </w:pPr>
      <w:bookmarkStart w:id="578" w:name="_Ref416956255"/>
      <w:r w:rsidRPr="00FB2F3D">
        <w:rPr>
          <w:rFonts w:ascii="Arial" w:hAnsi="Arial" w:cs="Arial"/>
          <w:sz w:val="22"/>
          <w:szCs w:val="22"/>
        </w:rPr>
        <w:lastRenderedPageBreak/>
        <w:t xml:space="preserve">trading during a </w:t>
      </w:r>
      <w:r w:rsidR="00A2742B">
        <w:rPr>
          <w:rFonts w:ascii="Arial" w:hAnsi="Arial" w:cs="Arial"/>
          <w:sz w:val="22"/>
          <w:szCs w:val="22"/>
        </w:rPr>
        <w:t>C</w:t>
      </w:r>
      <w:r w:rsidRPr="00FB2F3D">
        <w:rPr>
          <w:rFonts w:ascii="Arial" w:hAnsi="Arial" w:cs="Arial"/>
          <w:sz w:val="22"/>
          <w:szCs w:val="22"/>
        </w:rPr>
        <w:t>lose period;</w:t>
      </w:r>
      <w:bookmarkEnd w:id="578"/>
      <w:r w:rsidRPr="00FB2F3D">
        <w:rPr>
          <w:rFonts w:ascii="Arial" w:hAnsi="Arial" w:cs="Arial"/>
          <w:sz w:val="22"/>
          <w:szCs w:val="22"/>
        </w:rPr>
        <w:t xml:space="preserve"> or</w:t>
      </w:r>
    </w:p>
    <w:p w14:paraId="1CE5653F" w14:textId="34F5DCDC" w:rsidR="003B6092" w:rsidRPr="00FB2F3D" w:rsidRDefault="003B6092" w:rsidP="003B6092">
      <w:pPr>
        <w:pStyle w:val="Heading5"/>
        <w:rPr>
          <w:rFonts w:ascii="Arial" w:hAnsi="Arial" w:cs="Arial"/>
          <w:sz w:val="22"/>
          <w:szCs w:val="22"/>
        </w:rPr>
      </w:pPr>
      <w:bookmarkStart w:id="579" w:name="_Ref416956257"/>
      <w:r w:rsidRPr="00FB2F3D">
        <w:rPr>
          <w:rFonts w:ascii="Arial" w:hAnsi="Arial" w:cs="Arial"/>
          <w:sz w:val="22"/>
          <w:szCs w:val="22"/>
        </w:rPr>
        <w:t xml:space="preserve">trading where the </w:t>
      </w:r>
      <w:r w:rsidR="00A2742B">
        <w:rPr>
          <w:rFonts w:ascii="Arial" w:hAnsi="Arial" w:cs="Arial"/>
          <w:sz w:val="22"/>
          <w:szCs w:val="22"/>
        </w:rPr>
        <w:t xml:space="preserve">Reporting Entity </w:t>
      </w:r>
      <w:r w:rsidRPr="00FB2F3D">
        <w:rPr>
          <w:rFonts w:ascii="Arial" w:hAnsi="Arial" w:cs="Arial"/>
          <w:sz w:val="22"/>
          <w:szCs w:val="22"/>
        </w:rPr>
        <w:t xml:space="preserve">has decided to delay the </w:t>
      </w:r>
      <w:r w:rsidR="00A2742B">
        <w:rPr>
          <w:rFonts w:ascii="Arial" w:hAnsi="Arial" w:cs="Arial"/>
          <w:sz w:val="22"/>
          <w:szCs w:val="22"/>
        </w:rPr>
        <w:t>D</w:t>
      </w:r>
      <w:r w:rsidRPr="00FB2F3D">
        <w:rPr>
          <w:rFonts w:ascii="Arial" w:hAnsi="Arial" w:cs="Arial"/>
          <w:sz w:val="22"/>
          <w:szCs w:val="22"/>
        </w:rPr>
        <w:t xml:space="preserve">isclosure of Inside Information in accordance with </w:t>
      </w:r>
      <w:r w:rsidR="00A2742B">
        <w:rPr>
          <w:rFonts w:ascii="Arial" w:hAnsi="Arial" w:cs="Arial"/>
          <w:sz w:val="22"/>
          <w:szCs w:val="22"/>
        </w:rPr>
        <w:t xml:space="preserve">chapter 7 and </w:t>
      </w:r>
      <w:r w:rsidRPr="00FB2F3D">
        <w:rPr>
          <w:rFonts w:ascii="Arial" w:hAnsi="Arial" w:cs="Arial"/>
          <w:sz w:val="22"/>
          <w:szCs w:val="22"/>
        </w:rPr>
        <w:t xml:space="preserve">the </w:t>
      </w:r>
      <w:r w:rsidR="00A2742B">
        <w:rPr>
          <w:rFonts w:ascii="Arial" w:hAnsi="Arial" w:cs="Arial"/>
          <w:sz w:val="22"/>
          <w:szCs w:val="22"/>
        </w:rPr>
        <w:t>FSMR</w:t>
      </w:r>
      <w:r w:rsidRPr="00FB2F3D">
        <w:rPr>
          <w:rFonts w:ascii="Arial" w:hAnsi="Arial" w:cs="Arial"/>
          <w:sz w:val="22"/>
          <w:szCs w:val="22"/>
        </w:rPr>
        <w:t>.</w:t>
      </w:r>
      <w:bookmarkEnd w:id="579"/>
    </w:p>
    <w:p w14:paraId="2769DAAF" w14:textId="357B23FD" w:rsidR="003B6092" w:rsidRPr="00FB2F3D" w:rsidRDefault="003B6092" w:rsidP="003B6092">
      <w:pPr>
        <w:pStyle w:val="Heading4"/>
        <w:rPr>
          <w:rFonts w:ascii="Arial" w:hAnsi="Arial" w:cs="Arial"/>
          <w:sz w:val="22"/>
          <w:szCs w:val="22"/>
        </w:rPr>
      </w:pPr>
      <w:r w:rsidRPr="00FB2F3D">
        <w:rPr>
          <w:rFonts w:ascii="Arial" w:hAnsi="Arial" w:cs="Arial"/>
          <w:sz w:val="22"/>
          <w:szCs w:val="22"/>
        </w:rPr>
        <w:t xml:space="preserve">Paragraph </w:t>
      </w:r>
      <w:r w:rsidR="00693841" w:rsidRPr="00FB2F3D">
        <w:rPr>
          <w:rFonts w:ascii="Arial" w:hAnsi="Arial" w:cs="Arial"/>
          <w:sz w:val="22"/>
          <w:szCs w:val="22"/>
        </w:rPr>
        <w:t>(1)(a)</w:t>
      </w:r>
      <w:r w:rsidRPr="00FB2F3D">
        <w:rPr>
          <w:rFonts w:ascii="Arial" w:hAnsi="Arial" w:cs="Arial"/>
          <w:sz w:val="22"/>
          <w:szCs w:val="22"/>
        </w:rPr>
        <w:t xml:space="preserve"> shall not apply if the </w:t>
      </w:r>
      <w:r w:rsidR="00A2742B">
        <w:rPr>
          <w:rFonts w:ascii="Arial" w:hAnsi="Arial" w:cs="Arial"/>
          <w:sz w:val="22"/>
          <w:szCs w:val="22"/>
        </w:rPr>
        <w:t>Listed Entity</w:t>
      </w:r>
      <w:r w:rsidRPr="00FB2F3D">
        <w:rPr>
          <w:rFonts w:ascii="Arial" w:hAnsi="Arial" w:cs="Arial"/>
          <w:sz w:val="22"/>
          <w:szCs w:val="22"/>
        </w:rPr>
        <w:t xml:space="preserve"> is a Reporting Entity and has established effective information barriers subject to supervision by the Regulator, between those responsible for the handling of Inside Information related directly or indirectly to the </w:t>
      </w:r>
      <w:r w:rsidR="00A2742B">
        <w:rPr>
          <w:rFonts w:ascii="Arial" w:hAnsi="Arial" w:cs="Arial"/>
          <w:sz w:val="22"/>
          <w:szCs w:val="22"/>
        </w:rPr>
        <w:t>Listed Entity</w:t>
      </w:r>
      <w:r w:rsidRPr="00FB2F3D">
        <w:rPr>
          <w:rFonts w:ascii="Arial" w:hAnsi="Arial" w:cs="Arial"/>
          <w:sz w:val="22"/>
          <w:szCs w:val="22"/>
        </w:rPr>
        <w:t xml:space="preserve"> and those responsible for any decision relating to the trading of own Shares (including the trading of own Shares on behalf of Clients), when trading in own Shares on the basis of such any decision.</w:t>
      </w:r>
    </w:p>
    <w:p w14:paraId="22F73947" w14:textId="55D0A09E" w:rsidR="003B6092" w:rsidRPr="00FB2F3D" w:rsidRDefault="003B6092" w:rsidP="003B6092">
      <w:pPr>
        <w:pStyle w:val="Heading4"/>
        <w:rPr>
          <w:rFonts w:ascii="Arial" w:hAnsi="Arial" w:cs="Arial"/>
          <w:sz w:val="22"/>
          <w:szCs w:val="22"/>
        </w:rPr>
      </w:pPr>
      <w:r w:rsidRPr="00FB2F3D">
        <w:rPr>
          <w:rFonts w:ascii="Arial" w:hAnsi="Arial" w:cs="Arial"/>
          <w:sz w:val="22"/>
          <w:szCs w:val="22"/>
        </w:rPr>
        <w:t xml:space="preserve">Paragraphs </w:t>
      </w:r>
      <w:r w:rsidR="00693841" w:rsidRPr="00FB2F3D">
        <w:rPr>
          <w:rFonts w:ascii="Arial" w:hAnsi="Arial" w:cs="Arial"/>
          <w:sz w:val="22"/>
          <w:szCs w:val="22"/>
        </w:rPr>
        <w:t>(1)(b)</w:t>
      </w:r>
      <w:r w:rsidRPr="00FB2F3D">
        <w:rPr>
          <w:rFonts w:ascii="Arial" w:hAnsi="Arial" w:cs="Arial"/>
          <w:sz w:val="22"/>
          <w:szCs w:val="22"/>
        </w:rPr>
        <w:t xml:space="preserve"> and </w:t>
      </w:r>
      <w:r w:rsidR="00693841" w:rsidRPr="00FB2F3D">
        <w:rPr>
          <w:rFonts w:ascii="Arial" w:hAnsi="Arial" w:cs="Arial"/>
          <w:sz w:val="22"/>
          <w:szCs w:val="22"/>
        </w:rPr>
        <w:t>(c)</w:t>
      </w:r>
      <w:r w:rsidRPr="00FB2F3D">
        <w:rPr>
          <w:rFonts w:ascii="Arial" w:hAnsi="Arial" w:cs="Arial"/>
          <w:sz w:val="22"/>
          <w:szCs w:val="22"/>
        </w:rPr>
        <w:t xml:space="preserve"> shall not apply if the </w:t>
      </w:r>
      <w:r w:rsidR="00A2742B">
        <w:rPr>
          <w:rFonts w:ascii="Arial" w:hAnsi="Arial" w:cs="Arial"/>
          <w:sz w:val="22"/>
          <w:szCs w:val="22"/>
        </w:rPr>
        <w:t>Listed Entity</w:t>
      </w:r>
      <w:r w:rsidRPr="00FB2F3D">
        <w:rPr>
          <w:rFonts w:ascii="Arial" w:hAnsi="Arial" w:cs="Arial"/>
          <w:sz w:val="22"/>
          <w:szCs w:val="22"/>
        </w:rPr>
        <w:t xml:space="preserve"> is a Reporting Entity and has established effective information barriers subject to supervision by the Regulator, between those responsible for the handling of Inside Information related directly or indirectly to the </w:t>
      </w:r>
      <w:r w:rsidR="00F3127B">
        <w:rPr>
          <w:rFonts w:ascii="Arial" w:hAnsi="Arial" w:cs="Arial"/>
          <w:sz w:val="22"/>
          <w:szCs w:val="22"/>
        </w:rPr>
        <w:t xml:space="preserve">Listed Entity </w:t>
      </w:r>
      <w:r w:rsidRPr="00FB2F3D">
        <w:rPr>
          <w:rFonts w:ascii="Arial" w:hAnsi="Arial" w:cs="Arial"/>
          <w:sz w:val="22"/>
          <w:szCs w:val="22"/>
        </w:rPr>
        <w:t>(including trading decisions under the Buy-back Programme) and those responsible for the trading of own Shares on behalf of Clients, when trading in own Shares on behalf of those Clients.</w:t>
      </w:r>
    </w:p>
    <w:p w14:paraId="015D1A22" w14:textId="177E2561" w:rsidR="003B6092" w:rsidRPr="00FB2F3D" w:rsidRDefault="003B6092" w:rsidP="003B6092">
      <w:pPr>
        <w:pStyle w:val="Heading4"/>
        <w:rPr>
          <w:rFonts w:ascii="Arial" w:hAnsi="Arial" w:cs="Arial"/>
          <w:sz w:val="22"/>
          <w:szCs w:val="22"/>
        </w:rPr>
      </w:pPr>
      <w:r w:rsidRPr="00FB2F3D">
        <w:rPr>
          <w:rFonts w:ascii="Arial" w:hAnsi="Arial" w:cs="Arial"/>
          <w:sz w:val="22"/>
          <w:szCs w:val="22"/>
        </w:rPr>
        <w:t xml:space="preserve">Paragraph </w:t>
      </w:r>
      <w:r w:rsidR="00693841" w:rsidRPr="00FB2F3D">
        <w:rPr>
          <w:rFonts w:ascii="Arial" w:hAnsi="Arial" w:cs="Arial"/>
          <w:sz w:val="22"/>
          <w:szCs w:val="22"/>
        </w:rPr>
        <w:t>(1)</w:t>
      </w:r>
      <w:r w:rsidRPr="00FB2F3D">
        <w:rPr>
          <w:rFonts w:ascii="Arial" w:hAnsi="Arial" w:cs="Arial"/>
          <w:sz w:val="22"/>
          <w:szCs w:val="22"/>
        </w:rPr>
        <w:t xml:space="preserve"> shall not apply if</w:t>
      </w:r>
      <w:r w:rsidR="00F3127B">
        <w:rPr>
          <w:rFonts w:ascii="Arial" w:hAnsi="Arial" w:cs="Arial"/>
          <w:sz w:val="22"/>
          <w:szCs w:val="22"/>
        </w:rPr>
        <w:t xml:space="preserve"> the</w:t>
      </w:r>
      <w:r w:rsidRPr="00FB2F3D">
        <w:rPr>
          <w:rFonts w:ascii="Arial" w:hAnsi="Arial" w:cs="Arial"/>
          <w:sz w:val="22"/>
          <w:szCs w:val="22"/>
        </w:rPr>
        <w:t>:</w:t>
      </w:r>
    </w:p>
    <w:p w14:paraId="6BC04CD0" w14:textId="40678A9A" w:rsidR="003B6092" w:rsidRPr="00FB2F3D" w:rsidRDefault="00F3127B" w:rsidP="003B6092">
      <w:pPr>
        <w:pStyle w:val="Heading5"/>
        <w:rPr>
          <w:rFonts w:ascii="Arial" w:hAnsi="Arial" w:cs="Arial"/>
          <w:sz w:val="22"/>
          <w:szCs w:val="22"/>
        </w:rPr>
      </w:pPr>
      <w:r>
        <w:rPr>
          <w:rFonts w:ascii="Arial" w:hAnsi="Arial" w:cs="Arial"/>
          <w:sz w:val="22"/>
          <w:szCs w:val="22"/>
        </w:rPr>
        <w:t>Listed Entity</w:t>
      </w:r>
      <w:r w:rsidR="003B6092" w:rsidRPr="00FB2F3D">
        <w:rPr>
          <w:rFonts w:ascii="Arial" w:hAnsi="Arial" w:cs="Arial"/>
          <w:sz w:val="22"/>
          <w:szCs w:val="22"/>
        </w:rPr>
        <w:t xml:space="preserve"> has in place a Time-scheduled Buy-back Programme; or</w:t>
      </w:r>
    </w:p>
    <w:p w14:paraId="4B4FA5D3" w14:textId="038F9CF5" w:rsidR="003B6092" w:rsidRPr="00FB2F3D" w:rsidRDefault="003B6092" w:rsidP="003B6092">
      <w:pPr>
        <w:pStyle w:val="Heading5"/>
        <w:rPr>
          <w:rFonts w:ascii="Arial" w:hAnsi="Arial" w:cs="Arial"/>
          <w:sz w:val="22"/>
          <w:szCs w:val="22"/>
        </w:rPr>
      </w:pPr>
      <w:r w:rsidRPr="00FB2F3D">
        <w:rPr>
          <w:rFonts w:ascii="Arial" w:hAnsi="Arial" w:cs="Arial"/>
          <w:sz w:val="22"/>
          <w:szCs w:val="22"/>
        </w:rPr>
        <w:t xml:space="preserve">Buy-back Programme is lead-managed by a Reporting Entity which makes its trading decisions in relation to the </w:t>
      </w:r>
      <w:r w:rsidR="00F3127B">
        <w:rPr>
          <w:rFonts w:ascii="Arial" w:hAnsi="Arial" w:cs="Arial"/>
          <w:sz w:val="22"/>
          <w:szCs w:val="22"/>
        </w:rPr>
        <w:t>Listed Entity</w:t>
      </w:r>
      <w:r w:rsidRPr="00FB2F3D">
        <w:rPr>
          <w:rFonts w:ascii="Arial" w:hAnsi="Arial" w:cs="Arial"/>
          <w:sz w:val="22"/>
          <w:szCs w:val="22"/>
        </w:rPr>
        <w:t xml:space="preserve">'s Shares independently of, and without influence by, the </w:t>
      </w:r>
      <w:r w:rsidR="00F3127B">
        <w:rPr>
          <w:rFonts w:ascii="Arial" w:hAnsi="Arial" w:cs="Arial"/>
          <w:sz w:val="22"/>
          <w:szCs w:val="22"/>
        </w:rPr>
        <w:t>Listed Entity</w:t>
      </w:r>
      <w:r w:rsidRPr="00FB2F3D">
        <w:rPr>
          <w:rFonts w:ascii="Arial" w:hAnsi="Arial" w:cs="Arial"/>
          <w:sz w:val="22"/>
          <w:szCs w:val="22"/>
        </w:rPr>
        <w:t xml:space="preserve"> with regard to the timing of the purchases.</w:t>
      </w:r>
    </w:p>
    <w:p w14:paraId="49996200" w14:textId="39D3B5C8" w:rsidR="003B6092" w:rsidRPr="00FB2F3D" w:rsidRDefault="003B6092" w:rsidP="003B6092">
      <w:pPr>
        <w:pStyle w:val="Heading3"/>
        <w:rPr>
          <w:rFonts w:ascii="Arial" w:hAnsi="Arial" w:cs="Arial"/>
          <w:b/>
          <w:sz w:val="22"/>
          <w:szCs w:val="22"/>
        </w:rPr>
      </w:pPr>
      <w:r w:rsidRPr="00FB2F3D">
        <w:rPr>
          <w:rFonts w:ascii="Arial" w:hAnsi="Arial" w:cs="Arial"/>
          <w:b/>
          <w:sz w:val="22"/>
          <w:szCs w:val="22"/>
        </w:rPr>
        <w:t xml:space="preserve">Conditions for </w:t>
      </w:r>
      <w:r w:rsidR="00F3127B">
        <w:rPr>
          <w:rFonts w:ascii="Arial" w:hAnsi="Arial" w:cs="Arial"/>
          <w:b/>
          <w:sz w:val="22"/>
          <w:szCs w:val="22"/>
        </w:rPr>
        <w:t xml:space="preserve">Price </w:t>
      </w:r>
      <w:r w:rsidRPr="00FB2F3D">
        <w:rPr>
          <w:rFonts w:ascii="Arial" w:hAnsi="Arial" w:cs="Arial"/>
          <w:b/>
          <w:sz w:val="22"/>
          <w:szCs w:val="22"/>
        </w:rPr>
        <w:t>Stabilisation</w:t>
      </w:r>
    </w:p>
    <w:p w14:paraId="1C516561" w14:textId="4066E560" w:rsidR="003B6092" w:rsidRPr="00FB2F3D" w:rsidRDefault="008149DA" w:rsidP="008149DA">
      <w:pPr>
        <w:pStyle w:val="UK12Block05"/>
        <w:ind w:left="1440" w:hanging="720"/>
        <w:rPr>
          <w:rFonts w:ascii="Arial" w:hAnsi="Arial" w:cs="Arial"/>
          <w:sz w:val="22"/>
          <w:szCs w:val="22"/>
        </w:rPr>
      </w:pPr>
      <w:r w:rsidRPr="00FB2F3D">
        <w:rPr>
          <w:rFonts w:ascii="Arial" w:hAnsi="Arial" w:cs="Arial"/>
          <w:sz w:val="22"/>
          <w:szCs w:val="22"/>
        </w:rPr>
        <w:t>(1)</w:t>
      </w:r>
      <w:r w:rsidRPr="00FB2F3D">
        <w:rPr>
          <w:rFonts w:ascii="Arial" w:hAnsi="Arial" w:cs="Arial"/>
          <w:sz w:val="22"/>
          <w:szCs w:val="22"/>
        </w:rPr>
        <w:tab/>
      </w:r>
      <w:r w:rsidR="003B6092" w:rsidRPr="00FB2F3D">
        <w:rPr>
          <w:rFonts w:ascii="Arial" w:hAnsi="Arial" w:cs="Arial"/>
          <w:sz w:val="22"/>
          <w:szCs w:val="22"/>
        </w:rPr>
        <w:t xml:space="preserve">In order to benefit from the exemption provided for in </w:t>
      </w:r>
      <w:r w:rsidRPr="00FB2F3D">
        <w:rPr>
          <w:rFonts w:ascii="Arial" w:hAnsi="Arial" w:cs="Arial"/>
          <w:sz w:val="22"/>
          <w:szCs w:val="22"/>
        </w:rPr>
        <w:t xml:space="preserve">sections 93(3) and 97(1) of </w:t>
      </w:r>
      <w:r w:rsidR="003B6092" w:rsidRPr="00FB2F3D">
        <w:rPr>
          <w:rFonts w:ascii="Arial" w:hAnsi="Arial" w:cs="Arial"/>
          <w:sz w:val="22"/>
          <w:szCs w:val="22"/>
        </w:rPr>
        <w:t>the FSMR</w:t>
      </w:r>
      <w:r w:rsidRPr="00FB2F3D">
        <w:rPr>
          <w:rFonts w:ascii="Arial" w:hAnsi="Arial" w:cs="Arial"/>
          <w:sz w:val="22"/>
          <w:szCs w:val="22"/>
        </w:rPr>
        <w:t xml:space="preserve"> and </w:t>
      </w:r>
      <w:r w:rsidR="00F3127B">
        <w:rPr>
          <w:rFonts w:ascii="Arial" w:hAnsi="Arial" w:cs="Arial"/>
          <w:sz w:val="22"/>
          <w:szCs w:val="22"/>
        </w:rPr>
        <w:t>C</w:t>
      </w:r>
      <w:r w:rsidRPr="00FB2F3D">
        <w:rPr>
          <w:rFonts w:ascii="Arial" w:hAnsi="Arial" w:cs="Arial"/>
          <w:sz w:val="22"/>
          <w:szCs w:val="22"/>
        </w:rPr>
        <w:t>MC 8(4)</w:t>
      </w:r>
      <w:r w:rsidR="003B6092" w:rsidRPr="00FB2F3D">
        <w:rPr>
          <w:rFonts w:ascii="Arial" w:hAnsi="Arial" w:cs="Arial"/>
          <w:sz w:val="22"/>
          <w:szCs w:val="22"/>
        </w:rPr>
        <w:t xml:space="preserve">, </w:t>
      </w:r>
      <w:r w:rsidRPr="00FB2F3D">
        <w:rPr>
          <w:rFonts w:ascii="Arial" w:hAnsi="Arial" w:cs="Arial"/>
          <w:sz w:val="22"/>
          <w:szCs w:val="22"/>
        </w:rPr>
        <w:t xml:space="preserve">Price </w:t>
      </w:r>
      <w:r w:rsidR="003B6092" w:rsidRPr="00FB2F3D">
        <w:rPr>
          <w:rFonts w:ascii="Arial" w:hAnsi="Arial" w:cs="Arial"/>
          <w:sz w:val="22"/>
          <w:szCs w:val="22"/>
        </w:rPr>
        <w:t xml:space="preserve">Stabilisation of a </w:t>
      </w:r>
      <w:r w:rsidRPr="00FB2F3D">
        <w:rPr>
          <w:rFonts w:ascii="Arial" w:hAnsi="Arial" w:cs="Arial"/>
          <w:sz w:val="22"/>
          <w:szCs w:val="22"/>
        </w:rPr>
        <w:t>Relevant Security</w:t>
      </w:r>
      <w:r w:rsidR="003B6092" w:rsidRPr="00FB2F3D">
        <w:rPr>
          <w:rFonts w:ascii="Arial" w:hAnsi="Arial" w:cs="Arial"/>
          <w:sz w:val="22"/>
          <w:szCs w:val="22"/>
        </w:rPr>
        <w:t xml:space="preserve"> must be carried out in accordance with Rules </w:t>
      </w:r>
      <w:r w:rsidR="00693841" w:rsidRPr="00FB2F3D">
        <w:rPr>
          <w:rFonts w:ascii="Arial" w:hAnsi="Arial" w:cs="Arial"/>
          <w:sz w:val="22"/>
          <w:szCs w:val="22"/>
        </w:rPr>
        <w:t>6.2.8</w:t>
      </w:r>
      <w:r w:rsidR="003B6092" w:rsidRPr="00FB2F3D">
        <w:rPr>
          <w:rFonts w:ascii="Arial" w:hAnsi="Arial" w:cs="Arial"/>
          <w:sz w:val="22"/>
          <w:szCs w:val="22"/>
        </w:rPr>
        <w:t xml:space="preserve">, </w:t>
      </w:r>
      <w:r w:rsidR="00693841" w:rsidRPr="00FB2F3D">
        <w:rPr>
          <w:rFonts w:ascii="Arial" w:hAnsi="Arial" w:cs="Arial"/>
          <w:sz w:val="22"/>
          <w:szCs w:val="22"/>
        </w:rPr>
        <w:t>6.2.9</w:t>
      </w:r>
      <w:r w:rsidR="003B6092" w:rsidRPr="00FB2F3D">
        <w:rPr>
          <w:rFonts w:ascii="Arial" w:hAnsi="Arial" w:cs="Arial"/>
          <w:sz w:val="22"/>
          <w:szCs w:val="22"/>
        </w:rPr>
        <w:t xml:space="preserve"> and </w:t>
      </w:r>
      <w:r w:rsidR="00693841" w:rsidRPr="00FB2F3D">
        <w:rPr>
          <w:rFonts w:ascii="Arial" w:hAnsi="Arial" w:cs="Arial"/>
          <w:sz w:val="22"/>
          <w:szCs w:val="22"/>
        </w:rPr>
        <w:t>6.2.10</w:t>
      </w:r>
      <w:r w:rsidR="003B6092" w:rsidRPr="00FB2F3D">
        <w:rPr>
          <w:rFonts w:ascii="Arial" w:hAnsi="Arial" w:cs="Arial"/>
          <w:sz w:val="22"/>
          <w:szCs w:val="22"/>
        </w:rPr>
        <w:t>.</w:t>
      </w:r>
    </w:p>
    <w:p w14:paraId="79AB09BC" w14:textId="77777777" w:rsidR="008149DA" w:rsidRPr="00FB2F3D" w:rsidRDefault="008149DA" w:rsidP="008149DA">
      <w:pPr>
        <w:pStyle w:val="Heading4"/>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t xml:space="preserve">The Person conducting the Price Stabilisation must be the Stabilisation Manager or any of his Stabilisation Agents. </w:t>
      </w:r>
    </w:p>
    <w:p w14:paraId="31A166C9" w14:textId="22A24BF3" w:rsidR="008149DA" w:rsidRPr="00FB2F3D" w:rsidRDefault="008149DA" w:rsidP="008149DA">
      <w:pPr>
        <w:pStyle w:val="Heading4"/>
        <w:numPr>
          <w:ilvl w:val="0"/>
          <w:numId w:val="0"/>
        </w:numPr>
        <w:ind w:left="1440" w:hanging="720"/>
        <w:rPr>
          <w:rFonts w:ascii="Arial" w:hAnsi="Arial" w:cs="Arial"/>
          <w:sz w:val="22"/>
          <w:szCs w:val="22"/>
        </w:rPr>
      </w:pPr>
      <w:r w:rsidRPr="00FB2F3D">
        <w:rPr>
          <w:rFonts w:ascii="Arial" w:hAnsi="Arial" w:cs="Arial"/>
          <w:sz w:val="22"/>
          <w:szCs w:val="22"/>
        </w:rPr>
        <w:t>(3)</w:t>
      </w:r>
      <w:r w:rsidRPr="00FB2F3D">
        <w:rPr>
          <w:rFonts w:ascii="Arial" w:hAnsi="Arial" w:cs="Arial"/>
          <w:sz w:val="22"/>
          <w:szCs w:val="22"/>
        </w:rPr>
        <w:tab/>
        <w:t xml:space="preserve">The Recognised Investment Exchange or other exchange on which the Relevant Securities are admitted to trading must be </w:t>
      </w:r>
      <w:r w:rsidR="00F3127B">
        <w:rPr>
          <w:rFonts w:ascii="Arial" w:hAnsi="Arial" w:cs="Arial"/>
          <w:sz w:val="22"/>
          <w:szCs w:val="22"/>
        </w:rPr>
        <w:t>notified</w:t>
      </w:r>
      <w:r w:rsidRPr="00FB2F3D">
        <w:rPr>
          <w:rFonts w:ascii="Arial" w:hAnsi="Arial" w:cs="Arial"/>
          <w:sz w:val="22"/>
          <w:szCs w:val="22"/>
        </w:rPr>
        <w:t xml:space="preserve"> that Price Stabilisation in those Relevant Securities may take place during the Stabilisation Window.</w:t>
      </w:r>
    </w:p>
    <w:p w14:paraId="17F0FFAB" w14:textId="77777777" w:rsidR="008149DA" w:rsidRPr="00FB2F3D" w:rsidRDefault="008149DA" w:rsidP="008149DA">
      <w:pPr>
        <w:pStyle w:val="Heading4"/>
        <w:numPr>
          <w:ilvl w:val="0"/>
          <w:numId w:val="0"/>
        </w:numPr>
        <w:ind w:left="1440" w:hanging="720"/>
        <w:rPr>
          <w:rFonts w:ascii="Arial" w:hAnsi="Arial" w:cs="Arial"/>
          <w:sz w:val="22"/>
          <w:szCs w:val="22"/>
        </w:rPr>
      </w:pPr>
      <w:r w:rsidRPr="00FB2F3D">
        <w:rPr>
          <w:rFonts w:ascii="Arial" w:hAnsi="Arial" w:cs="Arial"/>
          <w:sz w:val="22"/>
          <w:szCs w:val="22"/>
        </w:rPr>
        <w:t>(4)</w:t>
      </w:r>
      <w:r w:rsidRPr="00FB2F3D">
        <w:rPr>
          <w:rFonts w:ascii="Arial" w:hAnsi="Arial" w:cs="Arial"/>
          <w:sz w:val="22"/>
          <w:szCs w:val="22"/>
        </w:rPr>
        <w:tab/>
        <w:t>Price Stabilisation may be carried out either on or off the central order book of the relevant Recognised Investment Exchange.</w:t>
      </w:r>
    </w:p>
    <w:p w14:paraId="138D0403" w14:textId="77777777" w:rsidR="008149DA" w:rsidRPr="00FB2F3D" w:rsidRDefault="008149DA" w:rsidP="008149DA">
      <w:pPr>
        <w:pStyle w:val="Heading4"/>
        <w:numPr>
          <w:ilvl w:val="0"/>
          <w:numId w:val="0"/>
        </w:numPr>
        <w:ind w:left="720"/>
        <w:rPr>
          <w:rFonts w:ascii="Arial" w:hAnsi="Arial" w:cs="Arial"/>
          <w:b/>
          <w:sz w:val="22"/>
          <w:szCs w:val="22"/>
        </w:rPr>
      </w:pPr>
      <w:r w:rsidRPr="00FB2F3D">
        <w:rPr>
          <w:rFonts w:ascii="Arial" w:hAnsi="Arial" w:cs="Arial"/>
          <w:b/>
          <w:bCs w:val="0"/>
          <w:sz w:val="22"/>
          <w:szCs w:val="22"/>
        </w:rPr>
        <w:t>Guidance</w:t>
      </w:r>
    </w:p>
    <w:p w14:paraId="23DFA61B" w14:textId="376D4258" w:rsidR="008149DA" w:rsidRPr="00FB2F3D" w:rsidRDefault="008149DA" w:rsidP="008149DA">
      <w:pPr>
        <w:pStyle w:val="Heading4"/>
        <w:numPr>
          <w:ilvl w:val="0"/>
          <w:numId w:val="0"/>
        </w:numPr>
        <w:ind w:left="720"/>
        <w:rPr>
          <w:rFonts w:ascii="Arial" w:hAnsi="Arial" w:cs="Arial"/>
          <w:sz w:val="22"/>
          <w:szCs w:val="22"/>
        </w:rPr>
      </w:pPr>
      <w:r w:rsidRPr="00FB2F3D">
        <w:rPr>
          <w:rFonts w:ascii="Arial" w:hAnsi="Arial" w:cs="Arial"/>
          <w:sz w:val="22"/>
          <w:szCs w:val="22"/>
        </w:rPr>
        <w:t>Rules 6.2.7 to 6.2.10 constitute the prescribed Price Stabilis</w:t>
      </w:r>
      <w:r w:rsidR="004977F2">
        <w:rPr>
          <w:rFonts w:ascii="Arial" w:hAnsi="Arial" w:cs="Arial"/>
          <w:sz w:val="22"/>
          <w:szCs w:val="22"/>
        </w:rPr>
        <w:t>ation</w:t>
      </w:r>
      <w:r w:rsidRPr="00FB2F3D">
        <w:rPr>
          <w:rFonts w:ascii="Arial" w:hAnsi="Arial" w:cs="Arial"/>
          <w:sz w:val="22"/>
          <w:szCs w:val="22"/>
        </w:rPr>
        <w:t xml:space="preserve"> Rules for the purposes of Section 7(4) of the FSMR.</w:t>
      </w:r>
    </w:p>
    <w:p w14:paraId="55F42A6E" w14:textId="77777777" w:rsidR="003B6092" w:rsidRPr="00FB2F3D" w:rsidRDefault="003B6092" w:rsidP="003B6092">
      <w:pPr>
        <w:pStyle w:val="Heading3"/>
        <w:rPr>
          <w:rFonts w:ascii="Arial" w:hAnsi="Arial" w:cs="Arial"/>
          <w:b/>
          <w:sz w:val="22"/>
          <w:szCs w:val="22"/>
        </w:rPr>
      </w:pPr>
      <w:bookmarkStart w:id="580" w:name="_Ref416956285"/>
      <w:r w:rsidRPr="00FB2F3D">
        <w:rPr>
          <w:rFonts w:ascii="Arial" w:hAnsi="Arial" w:cs="Arial"/>
          <w:b/>
          <w:sz w:val="22"/>
          <w:szCs w:val="22"/>
        </w:rPr>
        <w:t xml:space="preserve">Time-related conditions for </w:t>
      </w:r>
      <w:r w:rsidR="008149DA" w:rsidRPr="00FB2F3D">
        <w:rPr>
          <w:rFonts w:ascii="Arial" w:hAnsi="Arial" w:cs="Arial"/>
          <w:b/>
          <w:sz w:val="22"/>
          <w:szCs w:val="22"/>
        </w:rPr>
        <w:t xml:space="preserve">Price </w:t>
      </w:r>
      <w:r w:rsidRPr="00FB2F3D">
        <w:rPr>
          <w:rFonts w:ascii="Arial" w:hAnsi="Arial" w:cs="Arial"/>
          <w:b/>
          <w:sz w:val="22"/>
          <w:szCs w:val="22"/>
        </w:rPr>
        <w:t>Stabilisation</w:t>
      </w:r>
      <w:bookmarkEnd w:id="580"/>
    </w:p>
    <w:p w14:paraId="130CA8E3" w14:textId="77777777" w:rsidR="003B6092" w:rsidRPr="00FB2F3D" w:rsidRDefault="008149DA" w:rsidP="008149DA">
      <w:pPr>
        <w:pStyle w:val="Heading4"/>
        <w:numPr>
          <w:ilvl w:val="0"/>
          <w:numId w:val="0"/>
        </w:numPr>
        <w:ind w:left="720"/>
        <w:rPr>
          <w:rFonts w:ascii="Arial" w:hAnsi="Arial" w:cs="Arial"/>
          <w:sz w:val="22"/>
          <w:szCs w:val="22"/>
        </w:rPr>
      </w:pPr>
      <w:bookmarkStart w:id="581" w:name="_Ref416956317"/>
      <w:r w:rsidRPr="00FB2F3D">
        <w:rPr>
          <w:rFonts w:ascii="Arial" w:hAnsi="Arial" w:cs="Arial"/>
          <w:sz w:val="22"/>
          <w:szCs w:val="22"/>
        </w:rPr>
        <w:lastRenderedPageBreak/>
        <w:t>The period covered by the Stabilisation Window is the period beginning on the date of admission to trading of Relevant Securities on a Recognised Investment Exchange and ending no later than thirty (30) days thereafter</w:t>
      </w:r>
      <w:r w:rsidR="003B6092" w:rsidRPr="00FB2F3D">
        <w:rPr>
          <w:rFonts w:ascii="Arial" w:hAnsi="Arial" w:cs="Arial"/>
          <w:sz w:val="22"/>
          <w:szCs w:val="22"/>
        </w:rPr>
        <w:t>.</w:t>
      </w:r>
      <w:bookmarkEnd w:id="581"/>
    </w:p>
    <w:p w14:paraId="67B7C7A8" w14:textId="77777777" w:rsidR="003B6092" w:rsidRPr="00FB2F3D" w:rsidRDefault="003B6092" w:rsidP="003B6092">
      <w:pPr>
        <w:pStyle w:val="Heading3"/>
        <w:rPr>
          <w:rFonts w:ascii="Arial" w:hAnsi="Arial" w:cs="Arial"/>
          <w:b/>
          <w:sz w:val="22"/>
          <w:szCs w:val="22"/>
        </w:rPr>
      </w:pPr>
      <w:bookmarkStart w:id="582" w:name="_Ref416956287"/>
      <w:r w:rsidRPr="00FB2F3D">
        <w:rPr>
          <w:rFonts w:ascii="Arial" w:hAnsi="Arial" w:cs="Arial"/>
          <w:b/>
          <w:sz w:val="22"/>
          <w:szCs w:val="22"/>
        </w:rPr>
        <w:t xml:space="preserve">Disclosure and reporting conditions for </w:t>
      </w:r>
      <w:r w:rsidR="008149DA" w:rsidRPr="00FB2F3D">
        <w:rPr>
          <w:rFonts w:ascii="Arial" w:hAnsi="Arial" w:cs="Arial"/>
          <w:b/>
          <w:sz w:val="22"/>
          <w:szCs w:val="22"/>
        </w:rPr>
        <w:t xml:space="preserve">Price </w:t>
      </w:r>
      <w:r w:rsidRPr="00FB2F3D">
        <w:rPr>
          <w:rFonts w:ascii="Arial" w:hAnsi="Arial" w:cs="Arial"/>
          <w:b/>
          <w:sz w:val="22"/>
          <w:szCs w:val="22"/>
        </w:rPr>
        <w:t>Stabilisation</w:t>
      </w:r>
      <w:bookmarkEnd w:id="582"/>
    </w:p>
    <w:p w14:paraId="107364E8" w14:textId="77777777" w:rsidR="003B6092" w:rsidRPr="00FB2F3D" w:rsidRDefault="003B6092" w:rsidP="008149DA">
      <w:pPr>
        <w:pStyle w:val="Heading4"/>
        <w:rPr>
          <w:rFonts w:ascii="Arial" w:hAnsi="Arial" w:cs="Arial"/>
          <w:sz w:val="22"/>
          <w:szCs w:val="22"/>
        </w:rPr>
      </w:pPr>
      <w:r w:rsidRPr="00FB2F3D">
        <w:rPr>
          <w:rFonts w:ascii="Arial" w:hAnsi="Arial" w:cs="Arial"/>
          <w:sz w:val="22"/>
          <w:szCs w:val="22"/>
        </w:rPr>
        <w:t xml:space="preserve">The following information shall be adequately publicly disclosed by Issuers, Offerors, or </w:t>
      </w:r>
      <w:r w:rsidR="008149DA" w:rsidRPr="00FB2F3D">
        <w:rPr>
          <w:rFonts w:ascii="Arial" w:hAnsi="Arial" w:cs="Arial"/>
          <w:sz w:val="22"/>
          <w:szCs w:val="22"/>
        </w:rPr>
        <w:t>Stabilisation Manager</w:t>
      </w:r>
      <w:r w:rsidRPr="00FB2F3D">
        <w:rPr>
          <w:rFonts w:ascii="Arial" w:hAnsi="Arial" w:cs="Arial"/>
          <w:sz w:val="22"/>
          <w:szCs w:val="22"/>
        </w:rPr>
        <w:t>, before the opening of the Offer period of the Relevant Securities:</w:t>
      </w:r>
    </w:p>
    <w:p w14:paraId="35F2C8D6"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 xml:space="preserve">the fact that </w:t>
      </w:r>
      <w:r w:rsidR="008149DA" w:rsidRPr="00FB2F3D">
        <w:rPr>
          <w:rFonts w:ascii="Arial" w:hAnsi="Arial" w:cs="Arial"/>
          <w:sz w:val="22"/>
          <w:szCs w:val="22"/>
        </w:rPr>
        <w:t xml:space="preserve">Price </w:t>
      </w:r>
      <w:r w:rsidRPr="00FB2F3D">
        <w:rPr>
          <w:rFonts w:ascii="Arial" w:hAnsi="Arial" w:cs="Arial"/>
          <w:sz w:val="22"/>
          <w:szCs w:val="22"/>
        </w:rPr>
        <w:t>Stabilisation may be undertaken, that there is no assurance that it will be undertaken and that it may be stopped at any time;</w:t>
      </w:r>
    </w:p>
    <w:p w14:paraId="3E0F8831"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 xml:space="preserve">the fact that </w:t>
      </w:r>
      <w:r w:rsidR="008149DA" w:rsidRPr="00FB2F3D">
        <w:rPr>
          <w:rFonts w:ascii="Arial" w:hAnsi="Arial" w:cs="Arial"/>
          <w:sz w:val="22"/>
          <w:szCs w:val="22"/>
        </w:rPr>
        <w:t xml:space="preserve">Price </w:t>
      </w:r>
      <w:r w:rsidRPr="00FB2F3D">
        <w:rPr>
          <w:rFonts w:ascii="Arial" w:hAnsi="Arial" w:cs="Arial"/>
          <w:sz w:val="22"/>
          <w:szCs w:val="22"/>
        </w:rPr>
        <w:t>Stabilisation transactions are aimed to support the market price of the Relevant Securities;</w:t>
      </w:r>
    </w:p>
    <w:p w14:paraId="74E8A075"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 xml:space="preserve">the beginning and end of the period during which </w:t>
      </w:r>
      <w:r w:rsidR="008149DA" w:rsidRPr="00FB2F3D">
        <w:rPr>
          <w:rFonts w:ascii="Arial" w:hAnsi="Arial" w:cs="Arial"/>
          <w:sz w:val="22"/>
          <w:szCs w:val="22"/>
        </w:rPr>
        <w:t xml:space="preserve">Price </w:t>
      </w:r>
      <w:r w:rsidRPr="00FB2F3D">
        <w:rPr>
          <w:rFonts w:ascii="Arial" w:hAnsi="Arial" w:cs="Arial"/>
          <w:sz w:val="22"/>
          <w:szCs w:val="22"/>
        </w:rPr>
        <w:t>Stabilisation may occur;</w:t>
      </w:r>
    </w:p>
    <w:p w14:paraId="1B608E7C" w14:textId="77777777" w:rsidR="003B6092" w:rsidRPr="00FB2F3D" w:rsidRDefault="003B6092" w:rsidP="008149DA">
      <w:pPr>
        <w:pStyle w:val="Heading5"/>
        <w:rPr>
          <w:rFonts w:ascii="Arial" w:hAnsi="Arial" w:cs="Arial"/>
          <w:sz w:val="22"/>
          <w:szCs w:val="22"/>
        </w:rPr>
      </w:pPr>
      <w:r w:rsidRPr="00FB2F3D">
        <w:rPr>
          <w:rFonts w:ascii="Arial" w:hAnsi="Arial" w:cs="Arial"/>
          <w:sz w:val="22"/>
          <w:szCs w:val="22"/>
        </w:rPr>
        <w:t xml:space="preserve">the identity of the Stabilisation </w:t>
      </w:r>
      <w:r w:rsidR="008149DA" w:rsidRPr="00FB2F3D">
        <w:rPr>
          <w:rFonts w:ascii="Arial" w:hAnsi="Arial" w:cs="Arial"/>
          <w:sz w:val="22"/>
          <w:szCs w:val="22"/>
        </w:rPr>
        <w:t>M</w:t>
      </w:r>
      <w:r w:rsidRPr="00FB2F3D">
        <w:rPr>
          <w:rFonts w:ascii="Arial" w:hAnsi="Arial" w:cs="Arial"/>
          <w:sz w:val="22"/>
          <w:szCs w:val="22"/>
        </w:rPr>
        <w:t>anager, unless this is not known at the time of publication in which case it must be publicly disclosed before any</w:t>
      </w:r>
      <w:r w:rsidR="008149DA" w:rsidRPr="00FB2F3D">
        <w:rPr>
          <w:rFonts w:ascii="Arial" w:hAnsi="Arial" w:cs="Arial"/>
          <w:sz w:val="22"/>
          <w:szCs w:val="22"/>
        </w:rPr>
        <w:t xml:space="preserve"> Price</w:t>
      </w:r>
      <w:r w:rsidRPr="00FB2F3D">
        <w:rPr>
          <w:rFonts w:ascii="Arial" w:hAnsi="Arial" w:cs="Arial"/>
          <w:sz w:val="22"/>
          <w:szCs w:val="22"/>
        </w:rPr>
        <w:t xml:space="preserve"> Stabilisation activity begins; and</w:t>
      </w:r>
    </w:p>
    <w:p w14:paraId="6246E6C3"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the existence and maximum size of any Overallotment Facility or Greenshoe Option, the exercise period of the Greenshoe Option and any conditions for the use of the Overallotment Facility or exercise of the Greenshoe Option.</w:t>
      </w:r>
    </w:p>
    <w:p w14:paraId="550FBE20" w14:textId="77777777" w:rsidR="003B6092" w:rsidRPr="00FB2F3D" w:rsidRDefault="003B6092" w:rsidP="005E4E93">
      <w:pPr>
        <w:pStyle w:val="Heading4"/>
        <w:rPr>
          <w:rFonts w:ascii="Arial" w:hAnsi="Arial" w:cs="Arial"/>
          <w:sz w:val="22"/>
          <w:szCs w:val="22"/>
        </w:rPr>
      </w:pPr>
      <w:r w:rsidRPr="00FB2F3D">
        <w:rPr>
          <w:rFonts w:ascii="Arial" w:hAnsi="Arial" w:cs="Arial"/>
          <w:sz w:val="22"/>
          <w:szCs w:val="22"/>
        </w:rPr>
        <w:t xml:space="preserve">The details of all </w:t>
      </w:r>
      <w:r w:rsidR="008149DA" w:rsidRPr="00FB2F3D">
        <w:rPr>
          <w:rFonts w:ascii="Arial" w:hAnsi="Arial" w:cs="Arial"/>
          <w:sz w:val="22"/>
          <w:szCs w:val="22"/>
        </w:rPr>
        <w:t xml:space="preserve">Price </w:t>
      </w:r>
      <w:r w:rsidRPr="00FB2F3D">
        <w:rPr>
          <w:rFonts w:ascii="Arial" w:hAnsi="Arial" w:cs="Arial"/>
          <w:sz w:val="22"/>
          <w:szCs w:val="22"/>
        </w:rPr>
        <w:t xml:space="preserve">Stabilisation transactions must be notified by </w:t>
      </w:r>
      <w:r w:rsidR="005E4E93" w:rsidRPr="00FB2F3D">
        <w:rPr>
          <w:rFonts w:ascii="Arial" w:hAnsi="Arial" w:cs="Arial"/>
          <w:sz w:val="22"/>
          <w:szCs w:val="22"/>
        </w:rPr>
        <w:t xml:space="preserve">the Stabilisation Manager </w:t>
      </w:r>
      <w:r w:rsidRPr="00FB2F3D">
        <w:rPr>
          <w:rFonts w:ascii="Arial" w:hAnsi="Arial" w:cs="Arial"/>
          <w:sz w:val="22"/>
          <w:szCs w:val="22"/>
        </w:rPr>
        <w:t>to the Regulator no later than the end of the seventh daily market session following the date of execution of such transactions.</w:t>
      </w:r>
    </w:p>
    <w:p w14:paraId="57FDB20E" w14:textId="77777777" w:rsidR="005E4E93" w:rsidRPr="00FB2F3D" w:rsidRDefault="005E4E93" w:rsidP="005E4E93">
      <w:pPr>
        <w:pStyle w:val="Heading4"/>
        <w:numPr>
          <w:ilvl w:val="0"/>
          <w:numId w:val="0"/>
        </w:numPr>
        <w:ind w:left="2160" w:hanging="720"/>
        <w:rPr>
          <w:rFonts w:ascii="Arial" w:hAnsi="Arial" w:cs="Arial"/>
          <w:b/>
          <w:bCs w:val="0"/>
          <w:sz w:val="22"/>
          <w:szCs w:val="22"/>
        </w:rPr>
      </w:pPr>
      <w:r w:rsidRPr="00FB2F3D">
        <w:rPr>
          <w:rFonts w:ascii="Arial" w:hAnsi="Arial" w:cs="Arial"/>
          <w:b/>
          <w:bCs w:val="0"/>
          <w:sz w:val="22"/>
          <w:szCs w:val="22"/>
        </w:rPr>
        <w:t>Guidance</w:t>
      </w:r>
    </w:p>
    <w:p w14:paraId="3AA4BA86" w14:textId="77777777" w:rsidR="005E4E93" w:rsidRPr="00FB2F3D" w:rsidRDefault="005E4E93" w:rsidP="005E4E93">
      <w:pPr>
        <w:pStyle w:val="Heading4"/>
        <w:numPr>
          <w:ilvl w:val="0"/>
          <w:numId w:val="0"/>
        </w:numPr>
        <w:ind w:left="1440"/>
        <w:rPr>
          <w:rFonts w:ascii="Arial" w:hAnsi="Arial" w:cs="Arial"/>
          <w:sz w:val="22"/>
          <w:szCs w:val="22"/>
        </w:rPr>
      </w:pPr>
      <w:r w:rsidRPr="00FB2F3D">
        <w:rPr>
          <w:rFonts w:ascii="Arial" w:hAnsi="Arial" w:cs="Arial"/>
          <w:sz w:val="22"/>
          <w:szCs w:val="22"/>
        </w:rPr>
        <w:t>To be adequately disclosed in a Prospectus, the information should appear under its own separate heading in the first few pages of the Prospectus.</w:t>
      </w:r>
    </w:p>
    <w:p w14:paraId="5C946EAF" w14:textId="3B7A44E4" w:rsidR="005E4E93" w:rsidRPr="00FB2F3D" w:rsidRDefault="005E4E93" w:rsidP="005E4E93">
      <w:pPr>
        <w:pStyle w:val="Heading4"/>
        <w:numPr>
          <w:ilvl w:val="0"/>
          <w:numId w:val="0"/>
        </w:numPr>
        <w:ind w:left="1440"/>
        <w:rPr>
          <w:rFonts w:ascii="Arial" w:hAnsi="Arial" w:cs="Arial"/>
          <w:b/>
          <w:bCs w:val="0"/>
          <w:sz w:val="22"/>
          <w:szCs w:val="22"/>
        </w:rPr>
      </w:pPr>
      <w:r w:rsidRPr="00FB2F3D">
        <w:rPr>
          <w:rFonts w:ascii="Arial" w:hAnsi="Arial" w:cs="Arial"/>
          <w:b/>
          <w:bCs w:val="0"/>
          <w:sz w:val="22"/>
          <w:szCs w:val="22"/>
        </w:rPr>
        <w:t>Post-</w:t>
      </w:r>
      <w:r w:rsidR="004977F2">
        <w:rPr>
          <w:rFonts w:ascii="Arial" w:hAnsi="Arial" w:cs="Arial"/>
          <w:b/>
          <w:bCs w:val="0"/>
          <w:sz w:val="22"/>
          <w:szCs w:val="22"/>
        </w:rPr>
        <w:t>P</w:t>
      </w:r>
      <w:r w:rsidRPr="00FB2F3D">
        <w:rPr>
          <w:rFonts w:ascii="Arial" w:hAnsi="Arial" w:cs="Arial"/>
          <w:b/>
          <w:bCs w:val="0"/>
          <w:sz w:val="22"/>
          <w:szCs w:val="22"/>
        </w:rPr>
        <w:t>rice Stabilisation Disclosure</w:t>
      </w:r>
    </w:p>
    <w:p w14:paraId="45671EC5" w14:textId="34666DF2" w:rsidR="005E4E93" w:rsidRPr="00FB2F3D" w:rsidRDefault="005E4E93" w:rsidP="005E4E93">
      <w:pPr>
        <w:pStyle w:val="Heading4"/>
        <w:numPr>
          <w:ilvl w:val="0"/>
          <w:numId w:val="0"/>
        </w:numPr>
        <w:ind w:left="1440" w:hanging="720"/>
        <w:rPr>
          <w:rFonts w:ascii="Arial" w:eastAsia="Constantia" w:hAnsi="Arial" w:cs="Arial"/>
          <w:iCs w:val="0"/>
          <w:color w:val="000000"/>
          <w:sz w:val="22"/>
          <w:szCs w:val="22"/>
        </w:rPr>
      </w:pPr>
      <w:r w:rsidRPr="00FB2F3D">
        <w:rPr>
          <w:rFonts w:ascii="Arial" w:eastAsia="Constantia" w:hAnsi="Arial" w:cs="Arial"/>
          <w:iCs w:val="0"/>
          <w:color w:val="000000"/>
          <w:sz w:val="22"/>
          <w:szCs w:val="22"/>
        </w:rPr>
        <w:t>(3)</w:t>
      </w:r>
      <w:r w:rsidRPr="00FB2F3D">
        <w:rPr>
          <w:rFonts w:ascii="Arial" w:eastAsia="Constantia" w:hAnsi="Arial" w:cs="Arial"/>
          <w:iCs w:val="0"/>
          <w:color w:val="000000"/>
          <w:sz w:val="22"/>
          <w:szCs w:val="22"/>
        </w:rPr>
        <w:tab/>
        <w:t xml:space="preserve">If a Stabilisation Manager has conducted Price Stabilisation during the Stabilisation Window, then he must, within </w:t>
      </w:r>
      <w:r w:rsidR="004977F2">
        <w:rPr>
          <w:rFonts w:ascii="Arial" w:eastAsia="Constantia" w:hAnsi="Arial" w:cs="Arial"/>
          <w:iCs w:val="0"/>
          <w:color w:val="000000"/>
          <w:sz w:val="22"/>
          <w:szCs w:val="22"/>
        </w:rPr>
        <w:t>two B</w:t>
      </w:r>
      <w:r w:rsidRPr="00FB2F3D">
        <w:rPr>
          <w:rFonts w:ascii="Arial" w:eastAsia="Constantia" w:hAnsi="Arial" w:cs="Arial"/>
          <w:iCs w:val="0"/>
          <w:color w:val="000000"/>
          <w:sz w:val="22"/>
          <w:szCs w:val="22"/>
        </w:rPr>
        <w:t xml:space="preserve">usiness </w:t>
      </w:r>
      <w:r w:rsidR="004977F2">
        <w:rPr>
          <w:rFonts w:ascii="Arial" w:eastAsia="Constantia" w:hAnsi="Arial" w:cs="Arial"/>
          <w:iCs w:val="0"/>
          <w:color w:val="000000"/>
          <w:sz w:val="22"/>
          <w:szCs w:val="22"/>
        </w:rPr>
        <w:t>D</w:t>
      </w:r>
      <w:r w:rsidRPr="00FB2F3D">
        <w:rPr>
          <w:rFonts w:ascii="Arial" w:eastAsia="Constantia" w:hAnsi="Arial" w:cs="Arial"/>
          <w:iCs w:val="0"/>
          <w:color w:val="000000"/>
          <w:sz w:val="22"/>
          <w:szCs w:val="22"/>
        </w:rPr>
        <w:t>ays following a Price Stabilisation transaction, disclose to the Regulator the following details:</w:t>
      </w:r>
    </w:p>
    <w:p w14:paraId="20143453" w14:textId="77777777" w:rsidR="005E4E93" w:rsidRPr="00FB2F3D" w:rsidRDefault="005E4E93" w:rsidP="005E4E93">
      <w:pPr>
        <w:pStyle w:val="Heading5"/>
        <w:tabs>
          <w:tab w:val="clear" w:pos="2160"/>
          <w:tab w:val="num" w:pos="1560"/>
        </w:tabs>
        <w:ind w:left="2127"/>
        <w:rPr>
          <w:rFonts w:ascii="Arial" w:eastAsia="Constantia" w:hAnsi="Arial" w:cs="Arial"/>
          <w:color w:val="000000"/>
          <w:sz w:val="22"/>
          <w:szCs w:val="22"/>
        </w:rPr>
      </w:pPr>
      <w:r w:rsidRPr="00FB2F3D">
        <w:rPr>
          <w:rFonts w:ascii="Arial" w:eastAsia="Constantia" w:hAnsi="Arial" w:cs="Arial"/>
          <w:color w:val="000000"/>
          <w:sz w:val="22"/>
          <w:szCs w:val="22"/>
        </w:rPr>
        <w:t xml:space="preserve">the total number of Relevant Securities transacted by the Stabilisation Manager and any </w:t>
      </w:r>
      <w:r w:rsidRPr="00FB2F3D">
        <w:rPr>
          <w:rFonts w:ascii="Arial" w:hAnsi="Arial" w:cs="Arial"/>
          <w:sz w:val="22"/>
          <w:szCs w:val="22"/>
        </w:rPr>
        <w:t>Stabilisation</w:t>
      </w:r>
      <w:r w:rsidRPr="00FB2F3D">
        <w:rPr>
          <w:rFonts w:ascii="Arial" w:eastAsia="Constantia" w:hAnsi="Arial" w:cs="Arial"/>
          <w:color w:val="000000"/>
          <w:sz w:val="22"/>
          <w:szCs w:val="22"/>
        </w:rPr>
        <w:t xml:space="preserve"> Agents;</w:t>
      </w:r>
    </w:p>
    <w:p w14:paraId="422815F1" w14:textId="77777777" w:rsidR="005E4E93" w:rsidRPr="00FB2F3D" w:rsidRDefault="005E4E93" w:rsidP="005E4E93">
      <w:pPr>
        <w:pStyle w:val="Heading5"/>
        <w:tabs>
          <w:tab w:val="clear" w:pos="2160"/>
          <w:tab w:val="num" w:pos="1560"/>
        </w:tabs>
        <w:ind w:left="2127"/>
        <w:rPr>
          <w:rFonts w:ascii="Arial" w:eastAsia="Constantia" w:hAnsi="Arial" w:cs="Arial"/>
          <w:color w:val="000000"/>
          <w:sz w:val="22"/>
          <w:szCs w:val="22"/>
        </w:rPr>
      </w:pPr>
      <w:r w:rsidRPr="00FB2F3D">
        <w:rPr>
          <w:rFonts w:ascii="Arial" w:eastAsia="Constantia" w:hAnsi="Arial" w:cs="Arial"/>
          <w:color w:val="000000"/>
          <w:sz w:val="22"/>
          <w:szCs w:val="22"/>
        </w:rPr>
        <w:t>the average price of Relevant Securities transacted during the Price Stabilisation;</w:t>
      </w:r>
    </w:p>
    <w:p w14:paraId="16DE8476" w14:textId="77777777" w:rsidR="005E4E93" w:rsidRPr="00FB2F3D" w:rsidRDefault="005E4E93" w:rsidP="005E4E93">
      <w:pPr>
        <w:pStyle w:val="Heading5"/>
        <w:tabs>
          <w:tab w:val="clear" w:pos="2160"/>
          <w:tab w:val="num" w:pos="1560"/>
        </w:tabs>
        <w:ind w:left="2127"/>
        <w:rPr>
          <w:rFonts w:ascii="Arial" w:eastAsia="Constantia" w:hAnsi="Arial" w:cs="Arial"/>
          <w:color w:val="000000"/>
          <w:sz w:val="22"/>
          <w:szCs w:val="22"/>
        </w:rPr>
      </w:pPr>
      <w:r w:rsidRPr="00FB2F3D">
        <w:rPr>
          <w:rFonts w:ascii="Arial" w:eastAsia="Constantia" w:hAnsi="Arial" w:cs="Arial"/>
          <w:color w:val="000000"/>
          <w:sz w:val="22"/>
          <w:szCs w:val="22"/>
        </w:rPr>
        <w:t>whether a Price Stabilisation transaction was undertaken otherwise than through the central order book of the relevant Recognised Investment Exchange;</w:t>
      </w:r>
    </w:p>
    <w:p w14:paraId="718C6866" w14:textId="3EC23288" w:rsidR="005E4E93" w:rsidRPr="00FB2F3D" w:rsidRDefault="005E4E93" w:rsidP="005E4E93">
      <w:pPr>
        <w:pStyle w:val="Heading5"/>
        <w:tabs>
          <w:tab w:val="clear" w:pos="2160"/>
          <w:tab w:val="num" w:pos="1560"/>
        </w:tabs>
        <w:ind w:left="2127"/>
        <w:rPr>
          <w:rFonts w:ascii="Arial" w:eastAsia="Constantia" w:hAnsi="Arial" w:cs="Arial"/>
          <w:color w:val="000000"/>
          <w:sz w:val="22"/>
          <w:szCs w:val="22"/>
        </w:rPr>
      </w:pPr>
      <w:r w:rsidRPr="00FB2F3D">
        <w:rPr>
          <w:rFonts w:ascii="Arial" w:eastAsia="Constantia" w:hAnsi="Arial" w:cs="Arial"/>
          <w:color w:val="000000"/>
          <w:sz w:val="22"/>
          <w:szCs w:val="22"/>
        </w:rPr>
        <w:lastRenderedPageBreak/>
        <w:t>if the Stabilisation Manager has an outstanding short position, the number of Relevant Securities in that short position;</w:t>
      </w:r>
      <w:r w:rsidR="004977F2">
        <w:rPr>
          <w:rFonts w:ascii="Arial" w:eastAsia="Constantia" w:hAnsi="Arial" w:cs="Arial"/>
          <w:color w:val="000000"/>
          <w:sz w:val="22"/>
          <w:szCs w:val="22"/>
        </w:rPr>
        <w:t xml:space="preserve"> and</w:t>
      </w:r>
    </w:p>
    <w:p w14:paraId="328E0079" w14:textId="77777777" w:rsidR="005E4E93" w:rsidRPr="00FB2F3D" w:rsidRDefault="005E4E93" w:rsidP="005E4E93">
      <w:pPr>
        <w:pStyle w:val="Heading5"/>
        <w:tabs>
          <w:tab w:val="clear" w:pos="2160"/>
          <w:tab w:val="num" w:pos="1560"/>
        </w:tabs>
        <w:ind w:left="2127"/>
        <w:rPr>
          <w:rFonts w:ascii="Arial" w:eastAsia="Constantia" w:hAnsi="Arial" w:cs="Arial"/>
          <w:color w:val="000000"/>
          <w:sz w:val="22"/>
          <w:szCs w:val="22"/>
        </w:rPr>
      </w:pPr>
      <w:r w:rsidRPr="00FB2F3D">
        <w:rPr>
          <w:rFonts w:ascii="Arial" w:eastAsia="Constantia" w:hAnsi="Arial" w:cs="Arial"/>
          <w:color w:val="000000"/>
          <w:sz w:val="22"/>
          <w:szCs w:val="22"/>
        </w:rPr>
        <w:t xml:space="preserve">any additional information the Regulator requires the Stabilisation Manager to disclose. </w:t>
      </w:r>
    </w:p>
    <w:p w14:paraId="0CB4FFB2" w14:textId="77777777" w:rsidR="005E4E93" w:rsidRPr="00FB2F3D" w:rsidRDefault="005E4E93" w:rsidP="005E4E93">
      <w:pPr>
        <w:autoSpaceDE w:val="0"/>
        <w:autoSpaceDN w:val="0"/>
        <w:adjustRightInd w:val="0"/>
        <w:ind w:left="1080" w:firstLine="327"/>
        <w:contextualSpacing/>
        <w:jc w:val="both"/>
        <w:rPr>
          <w:rFonts w:ascii="Arial" w:eastAsia="Constantia" w:hAnsi="Arial" w:cs="Arial"/>
          <w:b/>
          <w:bCs/>
          <w:color w:val="000000"/>
          <w:sz w:val="22"/>
          <w:szCs w:val="22"/>
        </w:rPr>
      </w:pPr>
      <w:r w:rsidRPr="00FB2F3D">
        <w:rPr>
          <w:rFonts w:ascii="Arial" w:eastAsia="Constantia" w:hAnsi="Arial" w:cs="Arial"/>
          <w:b/>
          <w:bCs/>
          <w:color w:val="000000"/>
          <w:sz w:val="22"/>
          <w:szCs w:val="22"/>
        </w:rPr>
        <w:t>Guidance</w:t>
      </w:r>
    </w:p>
    <w:p w14:paraId="16C20C0F" w14:textId="77777777" w:rsidR="005E4E93" w:rsidRPr="00FB2F3D" w:rsidRDefault="005E4E93" w:rsidP="005E4E93">
      <w:pPr>
        <w:autoSpaceDE w:val="0"/>
        <w:autoSpaceDN w:val="0"/>
        <w:adjustRightInd w:val="0"/>
        <w:ind w:left="1080"/>
        <w:contextualSpacing/>
        <w:jc w:val="both"/>
        <w:rPr>
          <w:rFonts w:ascii="Arial" w:eastAsia="Constantia" w:hAnsi="Arial" w:cs="Arial"/>
          <w:color w:val="000000"/>
          <w:sz w:val="22"/>
          <w:szCs w:val="22"/>
        </w:rPr>
      </w:pPr>
    </w:p>
    <w:p w14:paraId="2D555E5D" w14:textId="77777777" w:rsidR="005E4E93" w:rsidRPr="00FB2F3D" w:rsidRDefault="005E4E93" w:rsidP="005E4E93">
      <w:pPr>
        <w:autoSpaceDE w:val="0"/>
        <w:autoSpaceDN w:val="0"/>
        <w:adjustRightInd w:val="0"/>
        <w:ind w:left="1407"/>
        <w:contextualSpacing/>
        <w:jc w:val="both"/>
        <w:rPr>
          <w:rFonts w:ascii="Arial" w:eastAsia="Constantia" w:hAnsi="Arial" w:cs="Arial"/>
          <w:color w:val="000000"/>
          <w:sz w:val="22"/>
          <w:szCs w:val="22"/>
        </w:rPr>
      </w:pPr>
      <w:r w:rsidRPr="00FB2F3D">
        <w:rPr>
          <w:rFonts w:ascii="Arial" w:eastAsia="Constantia" w:hAnsi="Arial" w:cs="Arial"/>
          <w:color w:val="000000"/>
          <w:sz w:val="22"/>
          <w:szCs w:val="22"/>
        </w:rPr>
        <w:t>Rule 6.2.9(3) requires a Stabilisation Manager to disclose to the Regulator details of each Price Stabilisation transaction conducted during the Stabilisation Window. The purpose of this Rule is to provide the Regulator with an understanding of the price support afforded the Relevant Securities during the Stabilisation Window and the manner in which Price Stabilisation occurred.</w:t>
      </w:r>
    </w:p>
    <w:p w14:paraId="3F11D121" w14:textId="77777777" w:rsidR="005E4E93" w:rsidRPr="00FB2F3D" w:rsidRDefault="005E4E93" w:rsidP="005E4E93">
      <w:pPr>
        <w:autoSpaceDE w:val="0"/>
        <w:autoSpaceDN w:val="0"/>
        <w:adjustRightInd w:val="0"/>
        <w:ind w:left="1407"/>
        <w:contextualSpacing/>
        <w:jc w:val="both"/>
        <w:rPr>
          <w:rFonts w:ascii="Arial" w:eastAsia="Constantia" w:hAnsi="Arial" w:cs="Arial"/>
          <w:color w:val="000000"/>
          <w:sz w:val="22"/>
          <w:szCs w:val="22"/>
          <w:u w:val="single"/>
        </w:rPr>
      </w:pPr>
    </w:p>
    <w:p w14:paraId="2990B36F" w14:textId="77777777" w:rsidR="003B6092" w:rsidRPr="00FB2F3D" w:rsidRDefault="005E4E93" w:rsidP="005E4E93">
      <w:pPr>
        <w:pStyle w:val="Heading4"/>
        <w:numPr>
          <w:ilvl w:val="0"/>
          <w:numId w:val="0"/>
        </w:numPr>
        <w:ind w:left="1440" w:hanging="720"/>
        <w:rPr>
          <w:rFonts w:ascii="Arial" w:hAnsi="Arial" w:cs="Arial"/>
          <w:sz w:val="22"/>
          <w:szCs w:val="22"/>
        </w:rPr>
      </w:pPr>
      <w:r w:rsidRPr="00FB2F3D">
        <w:rPr>
          <w:rFonts w:ascii="Arial" w:hAnsi="Arial" w:cs="Arial"/>
          <w:sz w:val="22"/>
          <w:szCs w:val="22"/>
        </w:rPr>
        <w:t>(4)</w:t>
      </w:r>
      <w:r w:rsidRPr="00FB2F3D">
        <w:rPr>
          <w:rFonts w:ascii="Arial" w:hAnsi="Arial" w:cs="Arial"/>
          <w:sz w:val="22"/>
          <w:szCs w:val="22"/>
        </w:rPr>
        <w:tab/>
      </w:r>
      <w:r w:rsidR="003B6092" w:rsidRPr="00FB2F3D">
        <w:rPr>
          <w:rFonts w:ascii="Arial" w:hAnsi="Arial" w:cs="Arial"/>
          <w:sz w:val="22"/>
          <w:szCs w:val="22"/>
        </w:rPr>
        <w:t xml:space="preserve">Within one week of the end of the </w:t>
      </w:r>
      <w:r w:rsidRPr="00FB2F3D">
        <w:rPr>
          <w:rFonts w:ascii="Arial" w:hAnsi="Arial" w:cs="Arial"/>
          <w:sz w:val="22"/>
          <w:szCs w:val="22"/>
        </w:rPr>
        <w:t xml:space="preserve">Price </w:t>
      </w:r>
      <w:r w:rsidR="003B6092" w:rsidRPr="00FB2F3D">
        <w:rPr>
          <w:rFonts w:ascii="Arial" w:hAnsi="Arial" w:cs="Arial"/>
          <w:sz w:val="22"/>
          <w:szCs w:val="22"/>
        </w:rPr>
        <w:t xml:space="preserve">Stabilisation period, the following information must be adequately disclosed to the public by </w:t>
      </w:r>
      <w:r w:rsidRPr="00FB2F3D">
        <w:rPr>
          <w:rFonts w:ascii="Arial" w:hAnsi="Arial" w:cs="Arial"/>
          <w:sz w:val="22"/>
          <w:szCs w:val="22"/>
        </w:rPr>
        <w:t>the Stabilisation Manager</w:t>
      </w:r>
      <w:r w:rsidR="003B6092" w:rsidRPr="00FB2F3D">
        <w:rPr>
          <w:rFonts w:ascii="Arial" w:hAnsi="Arial" w:cs="Arial"/>
          <w:sz w:val="22"/>
          <w:szCs w:val="22"/>
        </w:rPr>
        <w:t>:</w:t>
      </w:r>
    </w:p>
    <w:p w14:paraId="2F407800" w14:textId="77777777" w:rsidR="003B6092" w:rsidRPr="00FB2F3D" w:rsidRDefault="003B6092" w:rsidP="00755725">
      <w:pPr>
        <w:pStyle w:val="Heading5"/>
        <w:numPr>
          <w:ilvl w:val="4"/>
          <w:numId w:val="90"/>
        </w:numPr>
        <w:rPr>
          <w:rFonts w:ascii="Arial" w:hAnsi="Arial" w:cs="Arial"/>
          <w:sz w:val="22"/>
          <w:szCs w:val="22"/>
        </w:rPr>
      </w:pPr>
      <w:r w:rsidRPr="00FB2F3D">
        <w:rPr>
          <w:rFonts w:ascii="Arial" w:hAnsi="Arial" w:cs="Arial"/>
          <w:sz w:val="22"/>
          <w:szCs w:val="22"/>
        </w:rPr>
        <w:t>whether or not</w:t>
      </w:r>
      <w:r w:rsidR="005E4E93" w:rsidRPr="00FB2F3D">
        <w:rPr>
          <w:rFonts w:ascii="Arial" w:hAnsi="Arial" w:cs="Arial"/>
          <w:sz w:val="22"/>
          <w:szCs w:val="22"/>
        </w:rPr>
        <w:t xml:space="preserve"> Price</w:t>
      </w:r>
      <w:r w:rsidRPr="00FB2F3D">
        <w:rPr>
          <w:rFonts w:ascii="Arial" w:hAnsi="Arial" w:cs="Arial"/>
          <w:sz w:val="22"/>
          <w:szCs w:val="22"/>
        </w:rPr>
        <w:t xml:space="preserve"> Stabilisation was undertaken;</w:t>
      </w:r>
    </w:p>
    <w:p w14:paraId="57486733"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 xml:space="preserve">the date at which </w:t>
      </w:r>
      <w:r w:rsidR="005E4E93" w:rsidRPr="00FB2F3D">
        <w:rPr>
          <w:rFonts w:ascii="Arial" w:hAnsi="Arial" w:cs="Arial"/>
          <w:sz w:val="22"/>
          <w:szCs w:val="22"/>
        </w:rPr>
        <w:t xml:space="preserve">Price </w:t>
      </w:r>
      <w:r w:rsidRPr="00FB2F3D">
        <w:rPr>
          <w:rFonts w:ascii="Arial" w:hAnsi="Arial" w:cs="Arial"/>
          <w:sz w:val="22"/>
          <w:szCs w:val="22"/>
        </w:rPr>
        <w:t>Stabilisation started;</w:t>
      </w:r>
    </w:p>
    <w:p w14:paraId="0FABE925"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the date at which</w:t>
      </w:r>
      <w:r w:rsidR="005E4E93" w:rsidRPr="00FB2F3D">
        <w:rPr>
          <w:rFonts w:ascii="Arial" w:hAnsi="Arial" w:cs="Arial"/>
          <w:sz w:val="22"/>
          <w:szCs w:val="22"/>
        </w:rPr>
        <w:t xml:space="preserve"> Price</w:t>
      </w:r>
      <w:r w:rsidRPr="00FB2F3D">
        <w:rPr>
          <w:rFonts w:ascii="Arial" w:hAnsi="Arial" w:cs="Arial"/>
          <w:sz w:val="22"/>
          <w:szCs w:val="22"/>
        </w:rPr>
        <w:t xml:space="preserve"> </w:t>
      </w:r>
      <w:r w:rsidR="005E4E93" w:rsidRPr="00FB2F3D">
        <w:rPr>
          <w:rFonts w:ascii="Arial" w:hAnsi="Arial" w:cs="Arial"/>
          <w:sz w:val="22"/>
          <w:szCs w:val="22"/>
        </w:rPr>
        <w:t xml:space="preserve">Stabilisation last occurred; </w:t>
      </w:r>
    </w:p>
    <w:p w14:paraId="511BED35" w14:textId="77777777" w:rsidR="00BC4A50" w:rsidRPr="00FB2F3D" w:rsidRDefault="00BC4A50" w:rsidP="00BC4A50">
      <w:pPr>
        <w:pStyle w:val="Heading5"/>
        <w:numPr>
          <w:ilvl w:val="0"/>
          <w:numId w:val="0"/>
        </w:numPr>
        <w:tabs>
          <w:tab w:val="num" w:pos="1418"/>
        </w:tabs>
        <w:ind w:left="2127" w:hanging="709"/>
        <w:rPr>
          <w:rFonts w:ascii="Arial" w:hAnsi="Arial" w:cs="Arial"/>
          <w:sz w:val="22"/>
          <w:szCs w:val="22"/>
        </w:rPr>
      </w:pPr>
      <w:r w:rsidRPr="00FB2F3D">
        <w:rPr>
          <w:rFonts w:ascii="Arial" w:hAnsi="Arial" w:cs="Arial"/>
          <w:sz w:val="22"/>
          <w:szCs w:val="22"/>
        </w:rPr>
        <w:t>(d)</w:t>
      </w:r>
      <w:r w:rsidRPr="00FB2F3D">
        <w:rPr>
          <w:rFonts w:ascii="Arial" w:hAnsi="Arial" w:cs="Arial"/>
          <w:sz w:val="22"/>
          <w:szCs w:val="22"/>
        </w:rPr>
        <w:tab/>
        <w:t>the total number of Relevant Securities bought by the Stabilisation Manager and Stabilisation Agents during the Stabilisation Window;</w:t>
      </w:r>
    </w:p>
    <w:p w14:paraId="3767F002" w14:textId="77777777" w:rsidR="00BC4A50" w:rsidRPr="00FB2F3D" w:rsidRDefault="00BC4A50" w:rsidP="00BC4A50">
      <w:pPr>
        <w:pStyle w:val="Heading5"/>
        <w:numPr>
          <w:ilvl w:val="0"/>
          <w:numId w:val="0"/>
        </w:numPr>
        <w:ind w:left="2127" w:hanging="709"/>
        <w:rPr>
          <w:rFonts w:ascii="Arial" w:hAnsi="Arial" w:cs="Arial"/>
          <w:sz w:val="22"/>
          <w:szCs w:val="22"/>
        </w:rPr>
      </w:pPr>
      <w:r w:rsidRPr="00FB2F3D">
        <w:rPr>
          <w:rFonts w:ascii="Arial" w:hAnsi="Arial" w:cs="Arial"/>
          <w:sz w:val="22"/>
          <w:szCs w:val="22"/>
        </w:rPr>
        <w:t>(e)</w:t>
      </w:r>
      <w:r w:rsidRPr="00FB2F3D">
        <w:rPr>
          <w:rFonts w:ascii="Arial" w:hAnsi="Arial" w:cs="Arial"/>
          <w:sz w:val="22"/>
          <w:szCs w:val="22"/>
        </w:rPr>
        <w:tab/>
        <w:t>whether a Price Stabilisation transaction was undertaken otherwise than through the central order book of the relevant Recognised Investment Exchange;</w:t>
      </w:r>
    </w:p>
    <w:p w14:paraId="296F49D4" w14:textId="77777777" w:rsidR="00BC4A50" w:rsidRPr="00FB2F3D" w:rsidRDefault="00BC4A50" w:rsidP="00BC4A50">
      <w:pPr>
        <w:pStyle w:val="Heading5"/>
        <w:numPr>
          <w:ilvl w:val="0"/>
          <w:numId w:val="0"/>
        </w:numPr>
        <w:ind w:left="2127" w:hanging="709"/>
        <w:rPr>
          <w:rFonts w:ascii="Arial" w:hAnsi="Arial" w:cs="Arial"/>
          <w:sz w:val="22"/>
          <w:szCs w:val="22"/>
        </w:rPr>
      </w:pPr>
      <w:r w:rsidRPr="00FB2F3D">
        <w:rPr>
          <w:rFonts w:ascii="Arial" w:hAnsi="Arial" w:cs="Arial"/>
          <w:sz w:val="22"/>
          <w:szCs w:val="22"/>
        </w:rPr>
        <w:t>(f)</w:t>
      </w:r>
      <w:r w:rsidRPr="00FB2F3D">
        <w:rPr>
          <w:rFonts w:ascii="Arial" w:hAnsi="Arial" w:cs="Arial"/>
          <w:sz w:val="22"/>
          <w:szCs w:val="22"/>
        </w:rPr>
        <w:tab/>
        <w:t>if the Stabilisation Manager has an outstanding short position, the number of Relevant Securities in that short position;</w:t>
      </w:r>
    </w:p>
    <w:p w14:paraId="2D702056" w14:textId="77777777" w:rsidR="003B6092" w:rsidRPr="00FB2F3D" w:rsidRDefault="00BC4A50" w:rsidP="00BC4A50">
      <w:pPr>
        <w:pStyle w:val="Heading5"/>
        <w:numPr>
          <w:ilvl w:val="0"/>
          <w:numId w:val="0"/>
        </w:numPr>
        <w:ind w:left="2160" w:hanging="720"/>
        <w:rPr>
          <w:rFonts w:ascii="Arial" w:hAnsi="Arial" w:cs="Arial"/>
          <w:sz w:val="22"/>
          <w:szCs w:val="22"/>
        </w:rPr>
      </w:pPr>
      <w:r w:rsidRPr="00FB2F3D">
        <w:rPr>
          <w:rFonts w:ascii="Arial" w:hAnsi="Arial" w:cs="Arial"/>
          <w:sz w:val="22"/>
          <w:szCs w:val="22"/>
        </w:rPr>
        <w:t>(g)</w:t>
      </w:r>
      <w:r w:rsidRPr="00FB2F3D">
        <w:rPr>
          <w:rFonts w:ascii="Arial" w:hAnsi="Arial" w:cs="Arial"/>
          <w:sz w:val="22"/>
          <w:szCs w:val="22"/>
        </w:rPr>
        <w:tab/>
      </w:r>
      <w:r w:rsidR="003B6092" w:rsidRPr="00FB2F3D">
        <w:rPr>
          <w:rFonts w:ascii="Arial" w:hAnsi="Arial" w:cs="Arial"/>
          <w:sz w:val="22"/>
          <w:szCs w:val="22"/>
        </w:rPr>
        <w:t xml:space="preserve">the price range within which </w:t>
      </w:r>
      <w:r w:rsidRPr="00FB2F3D">
        <w:rPr>
          <w:rFonts w:ascii="Arial" w:hAnsi="Arial" w:cs="Arial"/>
          <w:sz w:val="22"/>
          <w:szCs w:val="22"/>
        </w:rPr>
        <w:t xml:space="preserve">Price </w:t>
      </w:r>
      <w:r w:rsidR="003B6092" w:rsidRPr="00FB2F3D">
        <w:rPr>
          <w:rFonts w:ascii="Arial" w:hAnsi="Arial" w:cs="Arial"/>
          <w:sz w:val="22"/>
          <w:szCs w:val="22"/>
        </w:rPr>
        <w:t>Stabilisation was carried out, for each of the dates during which</w:t>
      </w:r>
      <w:r w:rsidRPr="00FB2F3D">
        <w:rPr>
          <w:rFonts w:ascii="Arial" w:hAnsi="Arial" w:cs="Arial"/>
          <w:sz w:val="22"/>
          <w:szCs w:val="22"/>
        </w:rPr>
        <w:t xml:space="preserve"> Price</w:t>
      </w:r>
      <w:r w:rsidR="003B6092" w:rsidRPr="00FB2F3D">
        <w:rPr>
          <w:rFonts w:ascii="Arial" w:hAnsi="Arial" w:cs="Arial"/>
          <w:sz w:val="22"/>
          <w:szCs w:val="22"/>
        </w:rPr>
        <w:t xml:space="preserve"> Stabilisatio</w:t>
      </w:r>
      <w:r w:rsidR="0009268B" w:rsidRPr="00FB2F3D">
        <w:rPr>
          <w:rFonts w:ascii="Arial" w:hAnsi="Arial" w:cs="Arial"/>
          <w:sz w:val="22"/>
          <w:szCs w:val="22"/>
        </w:rPr>
        <w:t>n transactions were carried out; and</w:t>
      </w:r>
    </w:p>
    <w:p w14:paraId="4195404F" w14:textId="77777777" w:rsidR="0009268B" w:rsidRPr="00FB2F3D" w:rsidRDefault="0009268B" w:rsidP="00BC4A50">
      <w:pPr>
        <w:pStyle w:val="Heading5"/>
        <w:numPr>
          <w:ilvl w:val="0"/>
          <w:numId w:val="0"/>
        </w:numPr>
        <w:ind w:left="2160" w:hanging="720"/>
        <w:rPr>
          <w:rFonts w:ascii="Arial" w:hAnsi="Arial" w:cs="Arial"/>
          <w:sz w:val="22"/>
          <w:szCs w:val="22"/>
        </w:rPr>
      </w:pPr>
      <w:r w:rsidRPr="00FB2F3D">
        <w:rPr>
          <w:rFonts w:ascii="Arial" w:hAnsi="Arial" w:cs="Arial"/>
          <w:sz w:val="22"/>
          <w:szCs w:val="22"/>
        </w:rPr>
        <w:t>(h)</w:t>
      </w:r>
      <w:r w:rsidRPr="00FB2F3D">
        <w:rPr>
          <w:rFonts w:ascii="Arial" w:hAnsi="Arial" w:cs="Arial"/>
          <w:sz w:val="22"/>
          <w:szCs w:val="22"/>
        </w:rPr>
        <w:tab/>
        <w:t>any additional information which the Regulator requires the Stabilisation Manager to disclose.</w:t>
      </w:r>
    </w:p>
    <w:p w14:paraId="15D0F1F7" w14:textId="77777777" w:rsidR="003B6092" w:rsidRPr="00FB2F3D" w:rsidRDefault="0009268B" w:rsidP="0009268B">
      <w:pPr>
        <w:pStyle w:val="Heading4"/>
        <w:numPr>
          <w:ilvl w:val="0"/>
          <w:numId w:val="0"/>
        </w:numPr>
        <w:ind w:left="1440" w:hanging="720"/>
        <w:rPr>
          <w:rFonts w:ascii="Arial" w:hAnsi="Arial" w:cs="Arial"/>
          <w:sz w:val="22"/>
          <w:szCs w:val="22"/>
        </w:rPr>
      </w:pPr>
      <w:r w:rsidRPr="00FB2F3D">
        <w:rPr>
          <w:rFonts w:ascii="Arial" w:hAnsi="Arial" w:cs="Arial"/>
          <w:sz w:val="22"/>
          <w:szCs w:val="22"/>
        </w:rPr>
        <w:t>(5)</w:t>
      </w:r>
      <w:r w:rsidRPr="00FB2F3D">
        <w:rPr>
          <w:rFonts w:ascii="Arial" w:hAnsi="Arial" w:cs="Arial"/>
          <w:sz w:val="22"/>
          <w:szCs w:val="22"/>
        </w:rPr>
        <w:tab/>
        <w:t>The Stabilisation Manager</w:t>
      </w:r>
      <w:r w:rsidR="003B6092" w:rsidRPr="00FB2F3D">
        <w:rPr>
          <w:rFonts w:ascii="Arial" w:hAnsi="Arial" w:cs="Arial"/>
          <w:sz w:val="22"/>
          <w:szCs w:val="22"/>
        </w:rPr>
        <w:t xml:space="preserve"> shall act as central point of inquiry for any request from the Regulator.</w:t>
      </w:r>
    </w:p>
    <w:p w14:paraId="0BDF4D5A" w14:textId="77777777" w:rsidR="003B6092" w:rsidRPr="00FB2F3D" w:rsidRDefault="003B6092" w:rsidP="003B6092">
      <w:pPr>
        <w:pStyle w:val="Heading3"/>
        <w:rPr>
          <w:rFonts w:ascii="Arial" w:hAnsi="Arial" w:cs="Arial"/>
          <w:b/>
          <w:sz w:val="22"/>
          <w:szCs w:val="22"/>
        </w:rPr>
      </w:pPr>
      <w:bookmarkStart w:id="583" w:name="_Ref416956288"/>
      <w:r w:rsidRPr="00FB2F3D">
        <w:rPr>
          <w:rFonts w:ascii="Arial" w:hAnsi="Arial" w:cs="Arial"/>
          <w:b/>
          <w:sz w:val="22"/>
          <w:szCs w:val="22"/>
        </w:rPr>
        <w:t>Specific price conditions</w:t>
      </w:r>
      <w:bookmarkEnd w:id="583"/>
    </w:p>
    <w:p w14:paraId="10A72727" w14:textId="2943FA43" w:rsidR="0009268B" w:rsidRPr="00FB2F3D" w:rsidRDefault="0009268B" w:rsidP="0009268B">
      <w:pPr>
        <w:pStyle w:val="Heading4"/>
        <w:rPr>
          <w:rFonts w:ascii="Arial" w:hAnsi="Arial" w:cs="Arial"/>
          <w:sz w:val="22"/>
          <w:szCs w:val="22"/>
        </w:rPr>
      </w:pPr>
      <w:bookmarkStart w:id="584" w:name="_Ref416956351"/>
      <w:r w:rsidRPr="00FB2F3D">
        <w:rPr>
          <w:rFonts w:ascii="Arial" w:hAnsi="Arial" w:cs="Arial"/>
          <w:sz w:val="22"/>
          <w:szCs w:val="22"/>
        </w:rPr>
        <w:t xml:space="preserve">In the case of an Offer of Shares or other Securities equivalent to Shares, Price Stabilisation of the Relevant Securities shall not in any circumstances be executed above the </w:t>
      </w:r>
      <w:r w:rsidR="004977F2">
        <w:rPr>
          <w:rFonts w:ascii="Arial" w:hAnsi="Arial" w:cs="Arial"/>
          <w:sz w:val="22"/>
          <w:szCs w:val="22"/>
        </w:rPr>
        <w:t>Offer</w:t>
      </w:r>
      <w:r w:rsidRPr="00FB2F3D">
        <w:rPr>
          <w:rFonts w:ascii="Arial" w:hAnsi="Arial" w:cs="Arial"/>
          <w:sz w:val="22"/>
          <w:szCs w:val="22"/>
        </w:rPr>
        <w:t xml:space="preserve"> price.</w:t>
      </w:r>
      <w:bookmarkEnd w:id="584"/>
    </w:p>
    <w:p w14:paraId="7795B225" w14:textId="0BE77D77" w:rsidR="0009268B" w:rsidRPr="00FB2F3D" w:rsidRDefault="0009268B" w:rsidP="0009268B">
      <w:pPr>
        <w:pStyle w:val="Heading4"/>
        <w:rPr>
          <w:rFonts w:ascii="Arial" w:hAnsi="Arial" w:cs="Arial"/>
          <w:sz w:val="22"/>
          <w:szCs w:val="22"/>
        </w:rPr>
      </w:pPr>
      <w:r w:rsidRPr="00FB2F3D">
        <w:rPr>
          <w:rFonts w:ascii="Arial" w:hAnsi="Arial" w:cs="Arial"/>
          <w:sz w:val="22"/>
          <w:szCs w:val="22"/>
        </w:rPr>
        <w:t xml:space="preserve">In the case of an Offer of securitised </w:t>
      </w:r>
      <w:r w:rsidR="004977F2">
        <w:rPr>
          <w:rFonts w:ascii="Arial" w:hAnsi="Arial" w:cs="Arial"/>
          <w:sz w:val="22"/>
          <w:szCs w:val="22"/>
        </w:rPr>
        <w:t>Debentures</w:t>
      </w:r>
      <w:r w:rsidRPr="00FB2F3D">
        <w:rPr>
          <w:rFonts w:ascii="Arial" w:hAnsi="Arial" w:cs="Arial"/>
          <w:sz w:val="22"/>
          <w:szCs w:val="22"/>
        </w:rPr>
        <w:t xml:space="preserve"> convertible or exchangeable into </w:t>
      </w:r>
      <w:r w:rsidR="004977F2">
        <w:rPr>
          <w:rFonts w:ascii="Arial" w:hAnsi="Arial" w:cs="Arial"/>
          <w:sz w:val="22"/>
          <w:szCs w:val="22"/>
        </w:rPr>
        <w:t xml:space="preserve">Financial </w:t>
      </w:r>
      <w:r w:rsidRPr="00FB2F3D">
        <w:rPr>
          <w:rFonts w:ascii="Arial" w:hAnsi="Arial" w:cs="Arial"/>
          <w:sz w:val="22"/>
          <w:szCs w:val="22"/>
        </w:rPr>
        <w:t xml:space="preserve">Instruments as referred to in paragraph (1), Price Stabilisation of those </w:t>
      </w:r>
      <w:r w:rsidR="004977F2">
        <w:rPr>
          <w:rFonts w:ascii="Arial" w:hAnsi="Arial" w:cs="Arial"/>
          <w:sz w:val="22"/>
          <w:szCs w:val="22"/>
        </w:rPr>
        <w:t xml:space="preserve">Financial </w:t>
      </w:r>
      <w:r w:rsidRPr="00FB2F3D">
        <w:rPr>
          <w:rFonts w:ascii="Arial" w:hAnsi="Arial" w:cs="Arial"/>
          <w:sz w:val="22"/>
          <w:szCs w:val="22"/>
        </w:rPr>
        <w:t>Instruments shall not in any circumstances be executed above the market price of those</w:t>
      </w:r>
      <w:r w:rsidR="004977F2">
        <w:rPr>
          <w:rFonts w:ascii="Arial" w:hAnsi="Arial" w:cs="Arial"/>
          <w:sz w:val="22"/>
          <w:szCs w:val="22"/>
        </w:rPr>
        <w:t xml:space="preserve"> Financial</w:t>
      </w:r>
      <w:r w:rsidRPr="00FB2F3D">
        <w:rPr>
          <w:rFonts w:ascii="Arial" w:hAnsi="Arial" w:cs="Arial"/>
          <w:sz w:val="22"/>
          <w:szCs w:val="22"/>
        </w:rPr>
        <w:t xml:space="preserve"> Instruments at the time of the public disclosure of the final terms of the new Offer.</w:t>
      </w:r>
    </w:p>
    <w:p w14:paraId="44E0315F" w14:textId="77777777" w:rsidR="0009268B" w:rsidRPr="00FB2F3D" w:rsidRDefault="0009268B" w:rsidP="003B6092">
      <w:pPr>
        <w:pStyle w:val="Heading3"/>
        <w:rPr>
          <w:rFonts w:ascii="Arial" w:hAnsi="Arial" w:cs="Arial"/>
          <w:b/>
          <w:sz w:val="22"/>
          <w:szCs w:val="22"/>
        </w:rPr>
      </w:pPr>
      <w:r w:rsidRPr="00FB2F3D">
        <w:rPr>
          <w:rFonts w:ascii="Arial" w:hAnsi="Arial" w:cs="Arial"/>
          <w:b/>
          <w:sz w:val="22"/>
          <w:szCs w:val="22"/>
        </w:rPr>
        <w:lastRenderedPageBreak/>
        <w:t>Permitted Price Stabilisation</w:t>
      </w:r>
    </w:p>
    <w:p w14:paraId="67D2F422" w14:textId="77777777" w:rsidR="0009268B" w:rsidRPr="00FB2F3D" w:rsidRDefault="0009268B" w:rsidP="0009268B">
      <w:pPr>
        <w:pStyle w:val="Heading4"/>
        <w:numPr>
          <w:ilvl w:val="0"/>
          <w:numId w:val="0"/>
        </w:numPr>
        <w:ind w:left="1440" w:hanging="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(1)</w:t>
      </w:r>
      <w:r w:rsidRPr="00FB2F3D">
        <w:rPr>
          <w:rFonts w:ascii="Arial" w:eastAsia="Times New Roman" w:hAnsi="Arial" w:cs="Arial"/>
          <w:color w:val="000000"/>
          <w:sz w:val="22"/>
          <w:szCs w:val="22"/>
          <w:lang w:eastAsia="ar-SA"/>
        </w:rPr>
        <w:tab/>
        <w:t xml:space="preserve">A </w:t>
      </w:r>
      <w:r w:rsidRPr="00FB2F3D">
        <w:rPr>
          <w:rFonts w:ascii="Arial" w:hAnsi="Arial" w:cs="Arial"/>
          <w:sz w:val="22"/>
          <w:szCs w:val="22"/>
        </w:rPr>
        <w:t>Stabilisation</w:t>
      </w:r>
      <w:r w:rsidRPr="00FB2F3D">
        <w:rPr>
          <w:rFonts w:ascii="Arial" w:eastAsia="Times New Roman" w:hAnsi="Arial" w:cs="Arial"/>
          <w:color w:val="000000"/>
          <w:sz w:val="22"/>
          <w:szCs w:val="22"/>
          <w:lang w:eastAsia="ar-SA"/>
        </w:rPr>
        <w:t xml:space="preserve"> Manager and, if applicable, his Stabilisation Agents may in respect of Relevant Securities:</w:t>
      </w:r>
    </w:p>
    <w:p w14:paraId="22ECA866" w14:textId="77777777" w:rsidR="0009268B" w:rsidRPr="00FB2F3D" w:rsidRDefault="0009268B" w:rsidP="0009268B">
      <w:pPr>
        <w:pStyle w:val="Heading5"/>
        <w:numPr>
          <w:ilvl w:val="0"/>
          <w:numId w:val="0"/>
        </w:numPr>
        <w:ind w:left="2160" w:hanging="720"/>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(a)</w:t>
      </w:r>
      <w:r w:rsidRPr="00FB2F3D">
        <w:rPr>
          <w:rFonts w:ascii="Arial" w:eastAsia="Times New Roman" w:hAnsi="Arial" w:cs="Arial"/>
          <w:iCs/>
          <w:color w:val="000000"/>
          <w:sz w:val="22"/>
          <w:szCs w:val="22"/>
          <w:lang w:eastAsia="ar-SA"/>
        </w:rPr>
        <w:tab/>
        <w:t>purchase, or agree to purchase, such Relevant Securities; or</w:t>
      </w:r>
    </w:p>
    <w:p w14:paraId="6C05280B" w14:textId="77777777" w:rsidR="0009268B" w:rsidRPr="00FB2F3D" w:rsidRDefault="0009268B" w:rsidP="0009268B">
      <w:pPr>
        <w:pStyle w:val="Heading5"/>
        <w:numPr>
          <w:ilvl w:val="0"/>
          <w:numId w:val="0"/>
        </w:numPr>
        <w:ind w:left="2160" w:hanging="720"/>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(b)</w:t>
      </w:r>
      <w:r w:rsidRPr="00FB2F3D">
        <w:rPr>
          <w:rFonts w:ascii="Arial" w:eastAsia="Times New Roman" w:hAnsi="Arial" w:cs="Arial"/>
          <w:iCs/>
          <w:color w:val="000000"/>
          <w:sz w:val="22"/>
          <w:szCs w:val="22"/>
          <w:lang w:eastAsia="ar-SA"/>
        </w:rPr>
        <w:tab/>
        <w:t>offer or attempt to do anything in (i) with a view to stabilising the market price of such Relevant Securities.</w:t>
      </w:r>
    </w:p>
    <w:p w14:paraId="1CDE29C8" w14:textId="77777777" w:rsidR="0009268B" w:rsidRPr="00FB2F3D" w:rsidRDefault="0009268B" w:rsidP="0009268B">
      <w:pPr>
        <w:pStyle w:val="Heading4"/>
        <w:numPr>
          <w:ilvl w:val="0"/>
          <w:numId w:val="0"/>
        </w:numPr>
        <w:ind w:left="1440" w:hanging="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(2)</w:t>
      </w:r>
      <w:r w:rsidRPr="00FB2F3D">
        <w:rPr>
          <w:rFonts w:ascii="Arial" w:eastAsia="Times New Roman" w:hAnsi="Arial" w:cs="Arial"/>
          <w:color w:val="000000"/>
          <w:sz w:val="22"/>
          <w:szCs w:val="22"/>
          <w:lang w:eastAsia="ar-SA"/>
        </w:rPr>
        <w:tab/>
        <w:t xml:space="preserve">A Stabilisation </w:t>
      </w:r>
      <w:r w:rsidRPr="00FB2F3D">
        <w:rPr>
          <w:rFonts w:ascii="Arial" w:hAnsi="Arial" w:cs="Arial"/>
          <w:sz w:val="22"/>
          <w:szCs w:val="22"/>
        </w:rPr>
        <w:t>Manager</w:t>
      </w:r>
      <w:r w:rsidRPr="00FB2F3D">
        <w:rPr>
          <w:rFonts w:ascii="Arial" w:eastAsia="Times New Roman" w:hAnsi="Arial" w:cs="Arial"/>
          <w:color w:val="000000"/>
          <w:sz w:val="22"/>
          <w:szCs w:val="22"/>
          <w:lang w:eastAsia="ar-SA"/>
        </w:rPr>
        <w:t xml:space="preserve"> and his Stabilisation Agents may, in respect of Relevant Securities:</w:t>
      </w:r>
    </w:p>
    <w:p w14:paraId="11F593D5" w14:textId="77777777" w:rsidR="0009268B" w:rsidRPr="00FB2F3D" w:rsidRDefault="0009268B" w:rsidP="0009268B">
      <w:pPr>
        <w:pStyle w:val="Heading5"/>
        <w:numPr>
          <w:ilvl w:val="0"/>
          <w:numId w:val="0"/>
        </w:numPr>
        <w:ind w:left="2127" w:hanging="709"/>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(a)</w:t>
      </w:r>
      <w:r w:rsidRPr="00FB2F3D">
        <w:rPr>
          <w:rFonts w:ascii="Arial" w:eastAsia="Times New Roman" w:hAnsi="Arial" w:cs="Arial"/>
          <w:iCs/>
          <w:color w:val="000000"/>
          <w:sz w:val="22"/>
          <w:szCs w:val="22"/>
          <w:lang w:eastAsia="ar-SA"/>
        </w:rPr>
        <w:tab/>
        <w:t>make allotments of a greater number of the Relevant Securities than were offered (‘over-allotment’);</w:t>
      </w:r>
    </w:p>
    <w:p w14:paraId="1535125F" w14:textId="77777777" w:rsidR="0009268B" w:rsidRPr="00FB2F3D" w:rsidRDefault="0009268B" w:rsidP="0009268B">
      <w:pPr>
        <w:pStyle w:val="Heading5"/>
        <w:numPr>
          <w:ilvl w:val="0"/>
          <w:numId w:val="0"/>
        </w:numPr>
        <w:ind w:left="2127" w:hanging="709"/>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(b)</w:t>
      </w:r>
      <w:r w:rsidRPr="00FB2F3D">
        <w:rPr>
          <w:rFonts w:ascii="Arial" w:eastAsia="Times New Roman" w:hAnsi="Arial" w:cs="Arial"/>
          <w:iCs/>
          <w:color w:val="000000"/>
          <w:sz w:val="22"/>
          <w:szCs w:val="22"/>
          <w:lang w:eastAsia="ar-SA"/>
        </w:rPr>
        <w:tab/>
        <w:t>sell or agree to sell the Relevant Securities in order to establish a short position in them;</w:t>
      </w:r>
    </w:p>
    <w:p w14:paraId="300E7EA2" w14:textId="77777777" w:rsidR="0009268B" w:rsidRPr="00FB2F3D" w:rsidRDefault="0009268B" w:rsidP="0009268B">
      <w:pPr>
        <w:pStyle w:val="Heading5"/>
        <w:numPr>
          <w:ilvl w:val="0"/>
          <w:numId w:val="0"/>
        </w:numPr>
        <w:ind w:left="2127" w:hanging="709"/>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(c)</w:t>
      </w:r>
      <w:r w:rsidRPr="00FB2F3D">
        <w:rPr>
          <w:rFonts w:ascii="Arial" w:eastAsia="Times New Roman" w:hAnsi="Arial" w:cs="Arial"/>
          <w:iCs/>
          <w:color w:val="000000"/>
          <w:sz w:val="22"/>
          <w:szCs w:val="22"/>
          <w:lang w:eastAsia="ar-SA"/>
        </w:rPr>
        <w:tab/>
        <w:t>buy or agree to buy the Relevant Securities in order to close out or liquidate any position that has been established by Price Stabilisation under (a) or (b);</w:t>
      </w:r>
    </w:p>
    <w:p w14:paraId="371CE891" w14:textId="77777777" w:rsidR="0009268B" w:rsidRPr="00FB2F3D" w:rsidRDefault="0009268B" w:rsidP="0009268B">
      <w:pPr>
        <w:pStyle w:val="Heading5"/>
        <w:numPr>
          <w:ilvl w:val="0"/>
          <w:numId w:val="0"/>
        </w:numPr>
        <w:ind w:left="2127" w:hanging="709"/>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(d)</w:t>
      </w:r>
      <w:r w:rsidRPr="00FB2F3D">
        <w:rPr>
          <w:rFonts w:ascii="Arial" w:eastAsia="Times New Roman" w:hAnsi="Arial" w:cs="Arial"/>
          <w:iCs/>
          <w:color w:val="000000"/>
          <w:sz w:val="22"/>
          <w:szCs w:val="22"/>
          <w:lang w:eastAsia="ar-SA"/>
        </w:rPr>
        <w:tab/>
        <w:t>sell or agree to sell the Relevant Securities in order to close out or liquidate any position that has been established by Price Stabilisation under (a) or (b); or</w:t>
      </w:r>
    </w:p>
    <w:p w14:paraId="6B12C2BD" w14:textId="77777777" w:rsidR="0009268B" w:rsidRPr="00FB2F3D" w:rsidRDefault="0009268B" w:rsidP="0009268B">
      <w:pPr>
        <w:pStyle w:val="Heading5"/>
        <w:numPr>
          <w:ilvl w:val="0"/>
          <w:numId w:val="0"/>
        </w:numPr>
        <w:tabs>
          <w:tab w:val="num" w:pos="1560"/>
        </w:tabs>
        <w:ind w:left="2127" w:hanging="709"/>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(e)</w:t>
      </w:r>
      <w:r w:rsidRPr="00FB2F3D">
        <w:rPr>
          <w:rFonts w:ascii="Arial" w:eastAsia="Times New Roman" w:hAnsi="Arial" w:cs="Arial"/>
          <w:iCs/>
          <w:color w:val="000000"/>
          <w:sz w:val="22"/>
          <w:szCs w:val="22"/>
          <w:lang w:eastAsia="ar-SA"/>
        </w:rPr>
        <w:tab/>
        <w:t>offer or attempt to do anything permitted by (a), (b), (c) or (d).</w:t>
      </w:r>
    </w:p>
    <w:p w14:paraId="49C5B21D" w14:textId="77777777" w:rsidR="0009268B" w:rsidRPr="00FB2F3D" w:rsidRDefault="0009268B" w:rsidP="0009268B">
      <w:pPr>
        <w:pStyle w:val="Heading4"/>
        <w:numPr>
          <w:ilvl w:val="0"/>
          <w:numId w:val="0"/>
        </w:numPr>
        <w:ind w:left="1440" w:hanging="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(3)</w:t>
      </w:r>
      <w:r w:rsidRPr="00FB2F3D">
        <w:rPr>
          <w:rFonts w:ascii="Arial" w:eastAsia="Times New Roman" w:hAnsi="Arial" w:cs="Arial"/>
          <w:color w:val="000000"/>
          <w:sz w:val="22"/>
          <w:szCs w:val="22"/>
          <w:lang w:eastAsia="ar-SA"/>
        </w:rPr>
        <w:tab/>
        <w:t>The Stabilisation Manager must not conduct, nor allow his Stabilisation Agent to conduct, Price Stabilisation in any case where:</w:t>
      </w:r>
    </w:p>
    <w:p w14:paraId="404EDA47" w14:textId="77777777" w:rsidR="0009268B" w:rsidRPr="00FB2F3D" w:rsidRDefault="0009268B" w:rsidP="0009268B">
      <w:pPr>
        <w:pStyle w:val="Heading5"/>
        <w:numPr>
          <w:ilvl w:val="0"/>
          <w:numId w:val="0"/>
        </w:numPr>
        <w:ind w:left="2127" w:hanging="709"/>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(a)</w:t>
      </w:r>
      <w:r w:rsidRPr="00FB2F3D">
        <w:rPr>
          <w:rFonts w:ascii="Arial" w:eastAsia="Times New Roman" w:hAnsi="Arial" w:cs="Arial"/>
          <w:iCs/>
          <w:color w:val="000000"/>
          <w:sz w:val="22"/>
          <w:szCs w:val="22"/>
          <w:lang w:eastAsia="ar-SA"/>
        </w:rPr>
        <w:tab/>
        <w:t>the market price of the Relevant Securities is falsely higher than the price which would otherwise prevail; and</w:t>
      </w:r>
    </w:p>
    <w:p w14:paraId="2C18A42B" w14:textId="77777777" w:rsidR="0009268B" w:rsidRPr="00FB2F3D" w:rsidRDefault="0009268B" w:rsidP="0009268B">
      <w:pPr>
        <w:pStyle w:val="Heading5"/>
        <w:numPr>
          <w:ilvl w:val="0"/>
          <w:numId w:val="0"/>
        </w:numPr>
        <w:ind w:left="2127" w:hanging="709"/>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(b)</w:t>
      </w:r>
      <w:r w:rsidRPr="00FB2F3D">
        <w:rPr>
          <w:rFonts w:ascii="Arial" w:eastAsia="Times New Roman" w:hAnsi="Arial" w:cs="Arial"/>
          <w:iCs/>
          <w:color w:val="000000"/>
          <w:sz w:val="22"/>
          <w:szCs w:val="22"/>
          <w:lang w:eastAsia="ar-SA"/>
        </w:rPr>
        <w:tab/>
        <w:t>the Stabilisation Manage knows or ought reasonably to have known that the falsity in the market price was attributable in whole or in part to any conduct by a Person who was in breach of the Market Abuse provisions; or</w:t>
      </w:r>
    </w:p>
    <w:p w14:paraId="485EDF4F" w14:textId="77777777" w:rsidR="0009268B" w:rsidRPr="00FB2F3D" w:rsidRDefault="0009268B" w:rsidP="0009268B">
      <w:pPr>
        <w:pStyle w:val="Heading5"/>
        <w:numPr>
          <w:ilvl w:val="0"/>
          <w:numId w:val="0"/>
        </w:numPr>
        <w:ind w:left="2127" w:hanging="709"/>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(c)</w:t>
      </w:r>
      <w:r w:rsidRPr="00FB2F3D">
        <w:rPr>
          <w:rFonts w:ascii="Arial" w:eastAsia="Times New Roman" w:hAnsi="Arial" w:cs="Arial"/>
          <w:iCs/>
          <w:color w:val="000000"/>
          <w:sz w:val="22"/>
          <w:szCs w:val="22"/>
          <w:lang w:eastAsia="ar-SA"/>
        </w:rPr>
        <w:tab/>
        <w:t>any requirements of a Recognised Investment Exchange or any other exchange have not been complied with.</w:t>
      </w:r>
    </w:p>
    <w:p w14:paraId="7AA9C3CB" w14:textId="77777777" w:rsidR="003B6092" w:rsidRPr="00FB2F3D" w:rsidRDefault="003B6092" w:rsidP="003B6092">
      <w:pPr>
        <w:pStyle w:val="Heading3"/>
        <w:rPr>
          <w:rFonts w:ascii="Arial" w:hAnsi="Arial" w:cs="Arial"/>
          <w:b/>
          <w:sz w:val="22"/>
          <w:szCs w:val="22"/>
        </w:rPr>
      </w:pPr>
      <w:r w:rsidRPr="00FB2F3D">
        <w:rPr>
          <w:rFonts w:ascii="Arial" w:hAnsi="Arial" w:cs="Arial"/>
          <w:b/>
          <w:sz w:val="22"/>
          <w:szCs w:val="22"/>
        </w:rPr>
        <w:t xml:space="preserve"> Conditions for Ancillary Stabilisation</w:t>
      </w:r>
    </w:p>
    <w:p w14:paraId="5DC94ABD" w14:textId="77777777" w:rsidR="003B6092" w:rsidRPr="00FB2F3D" w:rsidRDefault="003B6092" w:rsidP="00193FCA">
      <w:pPr>
        <w:pStyle w:val="UK12Block05"/>
        <w:rPr>
          <w:rFonts w:ascii="Arial" w:hAnsi="Arial" w:cs="Arial"/>
          <w:sz w:val="22"/>
          <w:szCs w:val="22"/>
        </w:rPr>
      </w:pPr>
      <w:r w:rsidRPr="00FB2F3D">
        <w:rPr>
          <w:rFonts w:ascii="Arial" w:hAnsi="Arial" w:cs="Arial"/>
          <w:sz w:val="22"/>
          <w:szCs w:val="22"/>
        </w:rPr>
        <w:t xml:space="preserve">Ancillary Stabilisation must be undertaken in accordance with Rule </w:t>
      </w:r>
      <w:r w:rsidR="00693841" w:rsidRPr="00FB2F3D">
        <w:rPr>
          <w:rFonts w:ascii="Arial" w:hAnsi="Arial" w:cs="Arial"/>
          <w:sz w:val="22"/>
          <w:szCs w:val="22"/>
        </w:rPr>
        <w:t>6.2.8</w:t>
      </w:r>
      <w:r w:rsidRPr="00FB2F3D">
        <w:rPr>
          <w:rFonts w:ascii="Arial" w:hAnsi="Arial" w:cs="Arial"/>
          <w:sz w:val="22"/>
          <w:szCs w:val="22"/>
        </w:rPr>
        <w:t xml:space="preserve"> and with the following:</w:t>
      </w:r>
    </w:p>
    <w:p w14:paraId="0E452894" w14:textId="77777777" w:rsidR="003B6092" w:rsidRPr="00FB2F3D" w:rsidRDefault="003B6092" w:rsidP="00424270">
      <w:pPr>
        <w:pStyle w:val="Heading4"/>
        <w:rPr>
          <w:rFonts w:ascii="Arial" w:hAnsi="Arial" w:cs="Arial"/>
          <w:sz w:val="22"/>
          <w:szCs w:val="22"/>
        </w:rPr>
      </w:pPr>
      <w:r w:rsidRPr="00FB2F3D">
        <w:rPr>
          <w:rFonts w:ascii="Arial" w:hAnsi="Arial" w:cs="Arial"/>
          <w:sz w:val="22"/>
          <w:szCs w:val="22"/>
        </w:rPr>
        <w:t xml:space="preserve">Relevant Securities may be </w:t>
      </w:r>
      <w:r w:rsidR="00BD765C" w:rsidRPr="00FB2F3D">
        <w:rPr>
          <w:rFonts w:ascii="Arial" w:hAnsi="Arial" w:cs="Arial"/>
          <w:sz w:val="22"/>
          <w:szCs w:val="22"/>
        </w:rPr>
        <w:t>over allotted</w:t>
      </w:r>
      <w:r w:rsidRPr="00FB2F3D">
        <w:rPr>
          <w:rFonts w:ascii="Arial" w:hAnsi="Arial" w:cs="Arial"/>
          <w:sz w:val="22"/>
          <w:szCs w:val="22"/>
        </w:rPr>
        <w:t xml:space="preserve"> only during the subscription period and at the Offer price;</w:t>
      </w:r>
    </w:p>
    <w:p w14:paraId="0E32692B" w14:textId="77777777" w:rsidR="003B6092" w:rsidRPr="00FB2F3D" w:rsidRDefault="003B6092" w:rsidP="00424270">
      <w:pPr>
        <w:pStyle w:val="Heading4"/>
        <w:rPr>
          <w:rFonts w:ascii="Arial" w:hAnsi="Arial" w:cs="Arial"/>
          <w:sz w:val="22"/>
          <w:szCs w:val="22"/>
        </w:rPr>
      </w:pPr>
      <w:r w:rsidRPr="00FB2F3D">
        <w:rPr>
          <w:rFonts w:ascii="Arial" w:hAnsi="Arial" w:cs="Arial"/>
          <w:sz w:val="22"/>
          <w:szCs w:val="22"/>
        </w:rPr>
        <w:t>a position resulting from the exercise of an Overallotment Facility by a Reporting Entity which is not covered by the Greenshoe Option may not exceed 5% of the original Offer;</w:t>
      </w:r>
    </w:p>
    <w:p w14:paraId="3EF96153" w14:textId="77777777" w:rsidR="003B6092" w:rsidRPr="00FB2F3D" w:rsidRDefault="003B6092" w:rsidP="00424270">
      <w:pPr>
        <w:pStyle w:val="Heading4"/>
        <w:rPr>
          <w:rFonts w:ascii="Arial" w:hAnsi="Arial" w:cs="Arial"/>
          <w:sz w:val="22"/>
          <w:szCs w:val="22"/>
        </w:rPr>
      </w:pPr>
      <w:r w:rsidRPr="00FB2F3D">
        <w:rPr>
          <w:rFonts w:ascii="Arial" w:hAnsi="Arial" w:cs="Arial"/>
          <w:sz w:val="22"/>
          <w:szCs w:val="22"/>
        </w:rPr>
        <w:lastRenderedPageBreak/>
        <w:t xml:space="preserve">the Greenshoe Option may be exercised by the beneficiaries of such an option only where Relevant Securities have been </w:t>
      </w:r>
      <w:r w:rsidR="00BD765C" w:rsidRPr="00FB2F3D">
        <w:rPr>
          <w:rFonts w:ascii="Arial" w:hAnsi="Arial" w:cs="Arial"/>
          <w:sz w:val="22"/>
          <w:szCs w:val="22"/>
        </w:rPr>
        <w:t>over allotted</w:t>
      </w:r>
      <w:r w:rsidRPr="00FB2F3D">
        <w:rPr>
          <w:rFonts w:ascii="Arial" w:hAnsi="Arial" w:cs="Arial"/>
          <w:sz w:val="22"/>
          <w:szCs w:val="22"/>
        </w:rPr>
        <w:t>;</w:t>
      </w:r>
    </w:p>
    <w:p w14:paraId="00178AAB" w14:textId="77777777" w:rsidR="003B6092" w:rsidRPr="00FB2F3D" w:rsidRDefault="003B6092" w:rsidP="00424270">
      <w:pPr>
        <w:pStyle w:val="Heading4"/>
        <w:rPr>
          <w:rFonts w:ascii="Arial" w:hAnsi="Arial" w:cs="Arial"/>
          <w:sz w:val="22"/>
          <w:szCs w:val="22"/>
        </w:rPr>
      </w:pPr>
      <w:r w:rsidRPr="00FB2F3D">
        <w:rPr>
          <w:rFonts w:ascii="Arial" w:hAnsi="Arial" w:cs="Arial"/>
          <w:sz w:val="22"/>
          <w:szCs w:val="22"/>
        </w:rPr>
        <w:t>the Greenshoe Option may not amount to more than 15% of the original Offer;</w:t>
      </w:r>
    </w:p>
    <w:p w14:paraId="222F699C" w14:textId="77777777" w:rsidR="003B6092" w:rsidRPr="00FB2F3D" w:rsidRDefault="003B6092" w:rsidP="00193FCA">
      <w:pPr>
        <w:pStyle w:val="Heading4"/>
        <w:rPr>
          <w:rFonts w:ascii="Arial" w:hAnsi="Arial" w:cs="Arial"/>
          <w:sz w:val="22"/>
          <w:szCs w:val="22"/>
        </w:rPr>
      </w:pPr>
      <w:r w:rsidRPr="00FB2F3D">
        <w:rPr>
          <w:rFonts w:ascii="Arial" w:hAnsi="Arial" w:cs="Arial"/>
          <w:sz w:val="22"/>
          <w:szCs w:val="22"/>
        </w:rPr>
        <w:t xml:space="preserve">the exercise period of the Greenshoe Option must be the same as </w:t>
      </w:r>
      <w:r w:rsidR="005E3274" w:rsidRPr="00FB2F3D">
        <w:rPr>
          <w:rFonts w:ascii="Arial" w:hAnsi="Arial" w:cs="Arial"/>
          <w:sz w:val="22"/>
          <w:szCs w:val="22"/>
        </w:rPr>
        <w:t>the</w:t>
      </w:r>
      <w:r w:rsidRPr="00FB2F3D">
        <w:rPr>
          <w:rFonts w:ascii="Arial" w:hAnsi="Arial" w:cs="Arial"/>
          <w:sz w:val="22"/>
          <w:szCs w:val="22"/>
        </w:rPr>
        <w:t xml:space="preserve"> Stabilisation </w:t>
      </w:r>
      <w:r w:rsidR="00193FCA" w:rsidRPr="00FB2F3D">
        <w:rPr>
          <w:rFonts w:ascii="Arial" w:hAnsi="Arial" w:cs="Arial"/>
          <w:sz w:val="22"/>
          <w:szCs w:val="22"/>
        </w:rPr>
        <w:t xml:space="preserve">Window </w:t>
      </w:r>
      <w:r w:rsidRPr="00FB2F3D">
        <w:rPr>
          <w:rFonts w:ascii="Arial" w:hAnsi="Arial" w:cs="Arial"/>
          <w:sz w:val="22"/>
          <w:szCs w:val="22"/>
        </w:rPr>
        <w:t xml:space="preserve">required under Rule </w:t>
      </w:r>
      <w:r w:rsidR="00693841" w:rsidRPr="00FB2F3D">
        <w:rPr>
          <w:rFonts w:ascii="Arial" w:hAnsi="Arial" w:cs="Arial"/>
          <w:sz w:val="22"/>
          <w:szCs w:val="22"/>
        </w:rPr>
        <w:t>6.2.8</w:t>
      </w:r>
      <w:r w:rsidRPr="00FB2F3D">
        <w:rPr>
          <w:rFonts w:ascii="Arial" w:hAnsi="Arial" w:cs="Arial"/>
          <w:sz w:val="22"/>
          <w:szCs w:val="22"/>
        </w:rPr>
        <w:t>; and</w:t>
      </w:r>
    </w:p>
    <w:p w14:paraId="0FF354F3" w14:textId="77777777" w:rsidR="003B6092" w:rsidRPr="00FB2F3D" w:rsidRDefault="003B6092" w:rsidP="00424270">
      <w:pPr>
        <w:pStyle w:val="Heading4"/>
        <w:rPr>
          <w:rFonts w:ascii="Arial" w:hAnsi="Arial" w:cs="Arial"/>
          <w:sz w:val="22"/>
          <w:szCs w:val="22"/>
        </w:rPr>
      </w:pPr>
      <w:r w:rsidRPr="00FB2F3D">
        <w:rPr>
          <w:rFonts w:ascii="Arial" w:hAnsi="Arial" w:cs="Arial"/>
          <w:sz w:val="22"/>
          <w:szCs w:val="22"/>
        </w:rPr>
        <w:t>the exercise of the Greenshoe Option must be disclosed to the public promptly, together with all appropriate details, including in particular the date of exercise and the number and nature of Relevant Securities involved.</w:t>
      </w:r>
    </w:p>
    <w:p w14:paraId="050EB623" w14:textId="77777777" w:rsidR="00193FCA" w:rsidRPr="00FB2F3D" w:rsidRDefault="00193FCA" w:rsidP="00193FCA">
      <w:pPr>
        <w:pStyle w:val="Heading4"/>
        <w:numPr>
          <w:ilvl w:val="0"/>
          <w:numId w:val="0"/>
        </w:numPr>
        <w:ind w:left="1440" w:hanging="720"/>
        <w:rPr>
          <w:rFonts w:ascii="Arial" w:hAnsi="Arial" w:cs="Arial"/>
          <w:b/>
          <w:bCs w:val="0"/>
          <w:sz w:val="22"/>
          <w:szCs w:val="22"/>
        </w:rPr>
      </w:pPr>
      <w:r w:rsidRPr="00FB2F3D">
        <w:rPr>
          <w:rFonts w:ascii="Arial" w:hAnsi="Arial" w:cs="Arial"/>
          <w:b/>
          <w:bCs w:val="0"/>
          <w:sz w:val="22"/>
          <w:szCs w:val="22"/>
        </w:rPr>
        <w:t>Guidance</w:t>
      </w:r>
    </w:p>
    <w:p w14:paraId="206E179C" w14:textId="77777777" w:rsidR="00193FCA" w:rsidRPr="00FB2F3D" w:rsidRDefault="00193FCA" w:rsidP="00193FCA">
      <w:pPr>
        <w:pStyle w:val="Heading4"/>
        <w:numPr>
          <w:ilvl w:val="0"/>
          <w:numId w:val="0"/>
        </w:numPr>
        <w:ind w:left="720"/>
        <w:rPr>
          <w:rFonts w:ascii="Arial" w:hAnsi="Arial" w:cs="Arial"/>
          <w:sz w:val="22"/>
          <w:szCs w:val="22"/>
        </w:rPr>
      </w:pPr>
      <w:r w:rsidRPr="00FB2F3D">
        <w:rPr>
          <w:rFonts w:ascii="Arial" w:hAnsi="Arial" w:cs="Arial"/>
          <w:sz w:val="22"/>
          <w:szCs w:val="22"/>
        </w:rPr>
        <w:t>The Stabilisation Manager may often be the lead manager in respect of an Offer, and can therefore over-allot Relevant Securities in the initial allocation and then facilitate the stabilisation by purchasing Relevant Securities during the Stabilisation Window.  A Stabilisation Manager and his Stabilisation Agents may also sell short on the market to facilitate Price Stabilisation or in order to close out or liquidate positions established by Price Stabilisation.</w:t>
      </w:r>
    </w:p>
    <w:p w14:paraId="3A8C8CAC" w14:textId="77777777" w:rsidR="00A92AB4" w:rsidRPr="00FB2F3D" w:rsidRDefault="00A92AB4" w:rsidP="00A92AB4">
      <w:pPr>
        <w:pStyle w:val="Heading4"/>
        <w:numPr>
          <w:ilvl w:val="0"/>
          <w:numId w:val="0"/>
        </w:numPr>
        <w:rPr>
          <w:rFonts w:ascii="Arial" w:hAnsi="Arial" w:cs="Arial"/>
          <w:b/>
          <w:sz w:val="22"/>
          <w:szCs w:val="22"/>
        </w:rPr>
      </w:pPr>
      <w:r w:rsidRPr="00FB2F3D">
        <w:rPr>
          <w:rFonts w:ascii="Arial" w:hAnsi="Arial" w:cs="Arial"/>
          <w:b/>
          <w:bCs w:val="0"/>
          <w:sz w:val="22"/>
          <w:szCs w:val="22"/>
        </w:rPr>
        <w:t>6.2.13</w:t>
      </w:r>
      <w:r w:rsidRPr="00FB2F3D">
        <w:rPr>
          <w:rFonts w:ascii="Arial" w:hAnsi="Arial" w:cs="Arial"/>
          <w:sz w:val="22"/>
          <w:szCs w:val="22"/>
        </w:rPr>
        <w:tab/>
      </w:r>
      <w:r w:rsidRPr="00FB2F3D">
        <w:rPr>
          <w:rFonts w:ascii="Arial" w:hAnsi="Arial" w:cs="Arial"/>
          <w:b/>
          <w:sz w:val="22"/>
          <w:szCs w:val="22"/>
        </w:rPr>
        <w:t>Appointment of Stabilisation Manager and Stabilisation Agents</w:t>
      </w:r>
    </w:p>
    <w:p w14:paraId="3CFD6386" w14:textId="4C8B8F6E" w:rsidR="00A92AB4" w:rsidRPr="00FB2F3D" w:rsidRDefault="00A92AB4" w:rsidP="00A92AB4">
      <w:pPr>
        <w:pStyle w:val="Heading4"/>
        <w:numPr>
          <w:ilvl w:val="0"/>
          <w:numId w:val="0"/>
        </w:numPr>
        <w:ind w:left="1440" w:hanging="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(1)</w:t>
      </w:r>
      <w:r w:rsidRPr="00FB2F3D">
        <w:rPr>
          <w:rFonts w:ascii="Arial" w:eastAsia="Times New Roman" w:hAnsi="Arial" w:cs="Arial"/>
          <w:color w:val="000000"/>
          <w:sz w:val="22"/>
          <w:szCs w:val="22"/>
          <w:lang w:eastAsia="ar-SA"/>
        </w:rPr>
        <w:tab/>
        <w:t xml:space="preserve">An </w:t>
      </w:r>
      <w:r w:rsidRPr="00FB2F3D">
        <w:rPr>
          <w:rFonts w:ascii="Arial" w:hAnsi="Arial" w:cs="Arial"/>
          <w:sz w:val="22"/>
          <w:szCs w:val="22"/>
        </w:rPr>
        <w:t>Issuer</w:t>
      </w:r>
      <w:r w:rsidRPr="00FB2F3D">
        <w:rPr>
          <w:rFonts w:ascii="Arial" w:eastAsia="Times New Roman" w:hAnsi="Arial" w:cs="Arial"/>
          <w:color w:val="000000"/>
          <w:sz w:val="22"/>
          <w:szCs w:val="22"/>
          <w:lang w:eastAsia="ar-SA"/>
        </w:rPr>
        <w:t>/Reporting Entity who intends to carry out Price Stabilisation of its Relevant Securities must:</w:t>
      </w:r>
    </w:p>
    <w:p w14:paraId="5FDFD8A1" w14:textId="77777777" w:rsidR="00A92AB4" w:rsidRPr="00FB2F3D" w:rsidRDefault="00A92AB4" w:rsidP="00A92AB4">
      <w:pPr>
        <w:pStyle w:val="Heading5"/>
        <w:tabs>
          <w:tab w:val="clear" w:pos="2160"/>
          <w:tab w:val="num" w:pos="1560"/>
        </w:tabs>
        <w:ind w:left="2127"/>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appoint in writing a Stabilisation Manager;</w:t>
      </w:r>
    </w:p>
    <w:p w14:paraId="2986873C" w14:textId="6B7D9A0B" w:rsidR="00A92AB4" w:rsidRPr="00FB2F3D" w:rsidRDefault="00A92AB4" w:rsidP="00A92AB4">
      <w:pPr>
        <w:pStyle w:val="Heading5"/>
        <w:tabs>
          <w:tab w:val="clear" w:pos="2160"/>
          <w:tab w:val="num" w:pos="1560"/>
        </w:tabs>
        <w:ind w:left="2127"/>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 xml:space="preserve">notify the </w:t>
      </w:r>
      <w:r w:rsidR="004977F2">
        <w:rPr>
          <w:rFonts w:ascii="Arial" w:eastAsia="Times New Roman" w:hAnsi="Arial" w:cs="Arial"/>
          <w:iCs/>
          <w:color w:val="000000"/>
          <w:sz w:val="22"/>
          <w:szCs w:val="22"/>
          <w:lang w:eastAsia="ar-SA"/>
        </w:rPr>
        <w:t>Regulator</w:t>
      </w:r>
      <w:r w:rsidRPr="00FB2F3D">
        <w:rPr>
          <w:rFonts w:ascii="Arial" w:eastAsia="Times New Roman" w:hAnsi="Arial" w:cs="Arial"/>
          <w:iCs/>
          <w:color w:val="000000"/>
          <w:sz w:val="22"/>
          <w:szCs w:val="22"/>
          <w:lang w:eastAsia="ar-SA"/>
        </w:rPr>
        <w:t xml:space="preserve"> of the appointment, including the name and business address of the Stabilisation Manager, the date of commencement of the appointment and an address for service in the ADGM of the Stabilisation Manager; and</w:t>
      </w:r>
    </w:p>
    <w:p w14:paraId="28FECE1B" w14:textId="77777777" w:rsidR="00A92AB4" w:rsidRPr="00FB2F3D" w:rsidRDefault="00A92AB4" w:rsidP="00A92AB4">
      <w:pPr>
        <w:pStyle w:val="Heading5"/>
        <w:tabs>
          <w:tab w:val="clear" w:pos="2160"/>
          <w:tab w:val="num" w:pos="1560"/>
        </w:tabs>
        <w:ind w:left="2127"/>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prior to the appointment of the Stabilisation Manager, take reasonable steps to ensure that the Stabilisation Manager has the required skills, resources and experience to conduct the functions of a Stabilisation Manager.</w:t>
      </w:r>
    </w:p>
    <w:p w14:paraId="5235BC52" w14:textId="3509B39D" w:rsidR="00A92AB4" w:rsidRPr="00FB2F3D" w:rsidRDefault="00A92AB4" w:rsidP="00A92AB4">
      <w:pPr>
        <w:pStyle w:val="Heading4"/>
        <w:numPr>
          <w:ilvl w:val="0"/>
          <w:numId w:val="0"/>
        </w:numPr>
        <w:ind w:left="1440" w:hanging="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(2)</w:t>
      </w:r>
      <w:r w:rsidRPr="00FB2F3D">
        <w:rPr>
          <w:rFonts w:ascii="Arial" w:eastAsia="Times New Roman" w:hAnsi="Arial" w:cs="Arial"/>
          <w:color w:val="000000"/>
          <w:sz w:val="22"/>
          <w:szCs w:val="22"/>
          <w:lang w:eastAsia="ar-SA"/>
        </w:rPr>
        <w:tab/>
        <w:t>An Issuer/</w:t>
      </w:r>
      <w:r w:rsidRPr="00FB2F3D">
        <w:rPr>
          <w:rFonts w:ascii="Arial" w:hAnsi="Arial" w:cs="Arial"/>
          <w:sz w:val="22"/>
          <w:szCs w:val="22"/>
        </w:rPr>
        <w:t>Reporting</w:t>
      </w:r>
      <w:r w:rsidRPr="00FB2F3D">
        <w:rPr>
          <w:rFonts w:ascii="Arial" w:eastAsia="Times New Roman" w:hAnsi="Arial" w:cs="Arial"/>
          <w:color w:val="000000"/>
          <w:sz w:val="22"/>
          <w:szCs w:val="22"/>
          <w:lang w:eastAsia="ar-SA"/>
        </w:rPr>
        <w:t xml:space="preserve"> Entity must notify the </w:t>
      </w:r>
      <w:r w:rsidR="004977F2">
        <w:rPr>
          <w:rFonts w:ascii="Arial" w:eastAsia="Times New Roman" w:hAnsi="Arial" w:cs="Arial"/>
          <w:color w:val="000000"/>
          <w:sz w:val="22"/>
          <w:szCs w:val="22"/>
          <w:lang w:eastAsia="ar-SA"/>
        </w:rPr>
        <w:t xml:space="preserve">Regulator </w:t>
      </w:r>
      <w:r w:rsidRPr="00FB2F3D">
        <w:rPr>
          <w:rFonts w:ascii="Arial" w:eastAsia="Times New Roman" w:hAnsi="Arial" w:cs="Arial"/>
          <w:color w:val="000000"/>
          <w:sz w:val="22"/>
          <w:szCs w:val="22"/>
          <w:lang w:eastAsia="ar-SA"/>
        </w:rPr>
        <w:t>immediately if the appointment of the Stabilisation Manager is to be terminated, or on the resignation of its Stabilisation Manager, giving the reasons for the cessation of the appointment.</w:t>
      </w:r>
    </w:p>
    <w:p w14:paraId="72867FCF" w14:textId="77777777" w:rsidR="00A92AB4" w:rsidRPr="00FB2F3D" w:rsidRDefault="00A92AB4" w:rsidP="00A92AB4">
      <w:pPr>
        <w:pStyle w:val="Heading4"/>
        <w:numPr>
          <w:ilvl w:val="0"/>
          <w:numId w:val="0"/>
        </w:numPr>
        <w:ind w:left="1440" w:hanging="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(3)</w:t>
      </w:r>
      <w:r w:rsidRPr="00FB2F3D">
        <w:rPr>
          <w:rFonts w:ascii="Arial" w:eastAsia="Times New Roman" w:hAnsi="Arial" w:cs="Arial"/>
          <w:color w:val="000000"/>
          <w:sz w:val="22"/>
          <w:szCs w:val="22"/>
          <w:lang w:eastAsia="ar-SA"/>
        </w:rPr>
        <w:tab/>
        <w:t>An Issuer/Reporting Entity must appoint a Stabilisation Manager to fill any vacancy in relation to the occurrence of an event specified in (2) and ensure that the replacement Stabilisation Manager can serve as such at the time the vacancy arises or as soon as reasonably practicable.</w:t>
      </w:r>
    </w:p>
    <w:p w14:paraId="2CE2293A" w14:textId="2DCF4B00" w:rsidR="00A92AB4" w:rsidRPr="00FB2F3D" w:rsidRDefault="00A92AB4" w:rsidP="00A92AB4">
      <w:pPr>
        <w:pStyle w:val="Heading4"/>
        <w:numPr>
          <w:ilvl w:val="0"/>
          <w:numId w:val="0"/>
        </w:numPr>
        <w:ind w:left="1440" w:hanging="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(4)</w:t>
      </w:r>
      <w:r w:rsidRPr="00FB2F3D">
        <w:rPr>
          <w:rFonts w:ascii="Arial" w:eastAsia="Times New Roman" w:hAnsi="Arial" w:cs="Arial"/>
          <w:color w:val="000000"/>
          <w:sz w:val="22"/>
          <w:szCs w:val="22"/>
          <w:lang w:eastAsia="ar-SA"/>
        </w:rPr>
        <w:tab/>
        <w:t xml:space="preserve">Where a Stabilisation Manager appointed by an Issuer/Reporting Entity is not suitable in the opinion of the </w:t>
      </w:r>
      <w:r w:rsidR="004977F2">
        <w:rPr>
          <w:rFonts w:ascii="Arial" w:eastAsia="Times New Roman" w:hAnsi="Arial" w:cs="Arial"/>
          <w:color w:val="000000"/>
          <w:sz w:val="22"/>
          <w:szCs w:val="22"/>
          <w:lang w:eastAsia="ar-SA"/>
        </w:rPr>
        <w:t>Regulator</w:t>
      </w:r>
      <w:r w:rsidRPr="00FB2F3D">
        <w:rPr>
          <w:rFonts w:ascii="Arial" w:eastAsia="Times New Roman" w:hAnsi="Arial" w:cs="Arial"/>
          <w:color w:val="000000"/>
          <w:sz w:val="22"/>
          <w:szCs w:val="22"/>
          <w:lang w:eastAsia="ar-SA"/>
        </w:rPr>
        <w:t xml:space="preserve">, or where a Stabilisation Manager has not been appointed, the </w:t>
      </w:r>
      <w:r w:rsidR="004977F2">
        <w:rPr>
          <w:rFonts w:ascii="Arial" w:eastAsia="Times New Roman" w:hAnsi="Arial" w:cs="Arial"/>
          <w:color w:val="000000"/>
          <w:sz w:val="22"/>
          <w:szCs w:val="22"/>
          <w:lang w:eastAsia="ar-SA"/>
        </w:rPr>
        <w:t>Regulator</w:t>
      </w:r>
      <w:r w:rsidRPr="00FB2F3D">
        <w:rPr>
          <w:rFonts w:ascii="Arial" w:eastAsia="Times New Roman" w:hAnsi="Arial" w:cs="Arial"/>
          <w:color w:val="000000"/>
          <w:sz w:val="22"/>
          <w:szCs w:val="22"/>
          <w:lang w:eastAsia="ar-SA"/>
        </w:rPr>
        <w:t xml:space="preserve"> may direct the Issuer/Reporting Entity to </w:t>
      </w:r>
      <w:r w:rsidR="004977F2">
        <w:rPr>
          <w:rFonts w:ascii="Arial" w:eastAsia="Times New Roman" w:hAnsi="Arial" w:cs="Arial"/>
          <w:color w:val="000000"/>
          <w:sz w:val="22"/>
          <w:szCs w:val="22"/>
          <w:lang w:eastAsia="ar-SA"/>
        </w:rPr>
        <w:t xml:space="preserve">appoint or </w:t>
      </w:r>
      <w:r w:rsidRPr="00FB2F3D">
        <w:rPr>
          <w:rFonts w:ascii="Arial" w:eastAsia="Times New Roman" w:hAnsi="Arial" w:cs="Arial"/>
          <w:color w:val="000000"/>
          <w:sz w:val="22"/>
          <w:szCs w:val="22"/>
          <w:lang w:eastAsia="ar-SA"/>
        </w:rPr>
        <w:t>replace a Stabilisation Manager in accordance with the requirements in MKT 6.2.</w:t>
      </w:r>
    </w:p>
    <w:p w14:paraId="7B5467D0" w14:textId="77777777" w:rsidR="00A92AB4" w:rsidRPr="00FB2F3D" w:rsidRDefault="00A92AB4" w:rsidP="00A92AB4">
      <w:pPr>
        <w:pStyle w:val="Heading3"/>
        <w:numPr>
          <w:ilvl w:val="0"/>
          <w:numId w:val="0"/>
        </w:numPr>
        <w:rPr>
          <w:rFonts w:ascii="Arial" w:hAnsi="Arial" w:cs="Arial"/>
          <w:b/>
          <w:bCs w:val="0"/>
          <w:sz w:val="22"/>
          <w:szCs w:val="22"/>
        </w:rPr>
      </w:pPr>
      <w:r w:rsidRPr="00FB2F3D">
        <w:rPr>
          <w:rFonts w:ascii="Arial" w:hAnsi="Arial" w:cs="Arial"/>
          <w:b/>
          <w:bCs w:val="0"/>
          <w:sz w:val="22"/>
          <w:szCs w:val="22"/>
        </w:rPr>
        <w:t>6.2.14</w:t>
      </w:r>
      <w:r w:rsidRPr="00FB2F3D">
        <w:rPr>
          <w:rFonts w:ascii="Arial" w:hAnsi="Arial" w:cs="Arial"/>
          <w:b/>
          <w:bCs w:val="0"/>
          <w:sz w:val="22"/>
          <w:szCs w:val="22"/>
        </w:rPr>
        <w:tab/>
        <w:t>Terms of Appointment for a Stabilisation Manager and Stabilisation Agents</w:t>
      </w:r>
    </w:p>
    <w:p w14:paraId="701F9D48" w14:textId="77777777" w:rsidR="00A92AB4" w:rsidRPr="00FB2F3D" w:rsidRDefault="00A92AB4" w:rsidP="00A92AB4">
      <w:pPr>
        <w:pStyle w:val="Heading4"/>
        <w:numPr>
          <w:ilvl w:val="0"/>
          <w:numId w:val="0"/>
        </w:numPr>
        <w:ind w:left="1440" w:hanging="720"/>
        <w:rPr>
          <w:rFonts w:ascii="Arial" w:eastAsia="Times New Roman" w:hAnsi="Arial" w:cs="Arial"/>
          <w:color w:val="000000"/>
          <w:sz w:val="22"/>
          <w:szCs w:val="22"/>
          <w:lang w:eastAsia="ar-SA"/>
        </w:rPr>
      </w:pPr>
      <w:r w:rsidRPr="00FB2F3D">
        <w:rPr>
          <w:rFonts w:ascii="Arial" w:eastAsia="Times New Roman" w:hAnsi="Arial" w:cs="Arial"/>
          <w:iCs w:val="0"/>
          <w:color w:val="000000"/>
          <w:sz w:val="22"/>
          <w:szCs w:val="22"/>
          <w:lang w:eastAsia="ar-SA"/>
        </w:rPr>
        <w:lastRenderedPageBreak/>
        <w:t>(1)</w:t>
      </w:r>
      <w:r w:rsidRPr="00FB2F3D">
        <w:rPr>
          <w:rFonts w:ascii="Arial" w:eastAsia="Times New Roman" w:hAnsi="Arial" w:cs="Arial"/>
          <w:iCs w:val="0"/>
          <w:color w:val="000000"/>
          <w:sz w:val="22"/>
          <w:szCs w:val="22"/>
          <w:lang w:eastAsia="ar-SA"/>
        </w:rPr>
        <w:tab/>
        <w:t xml:space="preserve">The terms of appointment of a Stabilisation Manager must include at least the following </w:t>
      </w:r>
      <w:r w:rsidRPr="00FB2F3D">
        <w:rPr>
          <w:rFonts w:ascii="Arial" w:hAnsi="Arial" w:cs="Arial"/>
          <w:iCs w:val="0"/>
          <w:sz w:val="22"/>
          <w:szCs w:val="22"/>
        </w:rPr>
        <w:t>information</w:t>
      </w:r>
      <w:r w:rsidRPr="00FB2F3D">
        <w:rPr>
          <w:rFonts w:ascii="Arial" w:eastAsia="Times New Roman" w:hAnsi="Arial" w:cs="Arial"/>
          <w:iCs w:val="0"/>
          <w:color w:val="000000"/>
          <w:sz w:val="22"/>
          <w:szCs w:val="22"/>
          <w:lang w:eastAsia="ar-SA"/>
        </w:rPr>
        <w:t>:</w:t>
      </w:r>
    </w:p>
    <w:p w14:paraId="07E1C3C7" w14:textId="77777777" w:rsidR="00A92AB4" w:rsidRPr="00FB2F3D" w:rsidRDefault="00A92AB4" w:rsidP="00A92AB4">
      <w:pPr>
        <w:pStyle w:val="Heading5"/>
        <w:numPr>
          <w:ilvl w:val="0"/>
          <w:numId w:val="0"/>
        </w:numPr>
        <w:ind w:left="720" w:firstLine="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(a)</w:t>
      </w:r>
      <w:r w:rsidRPr="00FB2F3D">
        <w:rPr>
          <w:rFonts w:ascii="Arial" w:eastAsia="Times New Roman" w:hAnsi="Arial" w:cs="Arial"/>
          <w:color w:val="000000"/>
          <w:sz w:val="22"/>
          <w:szCs w:val="22"/>
          <w:lang w:eastAsia="ar-SA"/>
        </w:rPr>
        <w:tab/>
        <w:t>the period of the Stabilisation Window;</w:t>
      </w:r>
    </w:p>
    <w:p w14:paraId="7B205D11" w14:textId="77777777" w:rsidR="00A92AB4" w:rsidRPr="00FB2F3D" w:rsidRDefault="00A92AB4" w:rsidP="00A92AB4">
      <w:pPr>
        <w:pStyle w:val="Heading5"/>
        <w:numPr>
          <w:ilvl w:val="0"/>
          <w:numId w:val="0"/>
        </w:numPr>
        <w:ind w:left="720" w:firstLine="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(b)</w:t>
      </w:r>
      <w:r w:rsidRPr="00FB2F3D">
        <w:rPr>
          <w:rFonts w:ascii="Arial" w:eastAsia="Times New Roman" w:hAnsi="Arial" w:cs="Arial"/>
          <w:color w:val="000000"/>
          <w:sz w:val="22"/>
          <w:szCs w:val="22"/>
          <w:lang w:eastAsia="ar-SA"/>
        </w:rPr>
        <w:tab/>
        <w:t>the Offer Price;</w:t>
      </w:r>
    </w:p>
    <w:p w14:paraId="239F42B9" w14:textId="77777777" w:rsidR="00A92AB4" w:rsidRPr="00FB2F3D" w:rsidRDefault="00A92AB4" w:rsidP="00A92AB4">
      <w:pPr>
        <w:pStyle w:val="Heading5"/>
        <w:numPr>
          <w:ilvl w:val="0"/>
          <w:numId w:val="0"/>
        </w:numPr>
        <w:ind w:left="2160" w:hanging="720"/>
        <w:rPr>
          <w:rFonts w:ascii="Arial" w:eastAsia="Times New Roman" w:hAnsi="Arial" w:cs="Arial"/>
          <w:iCs/>
          <w:color w:val="000000"/>
          <w:sz w:val="22"/>
          <w:szCs w:val="22"/>
          <w:lang w:eastAsia="ar-SA"/>
        </w:rPr>
      </w:pPr>
      <w:r w:rsidRPr="00FB2F3D">
        <w:rPr>
          <w:rFonts w:ascii="Arial" w:eastAsia="Times New Roman" w:hAnsi="Arial" w:cs="Arial"/>
          <w:color w:val="000000"/>
          <w:sz w:val="22"/>
          <w:szCs w:val="22"/>
          <w:lang w:eastAsia="ar-SA"/>
        </w:rPr>
        <w:t>(c)</w:t>
      </w:r>
      <w:r w:rsidRPr="00FB2F3D">
        <w:rPr>
          <w:rFonts w:ascii="Arial" w:eastAsia="Times New Roman" w:hAnsi="Arial" w:cs="Arial"/>
          <w:color w:val="000000"/>
          <w:sz w:val="22"/>
          <w:szCs w:val="22"/>
          <w:lang w:eastAsia="ar-SA"/>
        </w:rPr>
        <w:tab/>
        <w:t xml:space="preserve">whether </w:t>
      </w:r>
      <w:r w:rsidRPr="00FB2F3D">
        <w:rPr>
          <w:rFonts w:ascii="Arial" w:eastAsia="Times New Roman" w:hAnsi="Arial" w:cs="Arial"/>
          <w:iCs/>
          <w:color w:val="000000"/>
          <w:sz w:val="22"/>
          <w:szCs w:val="22"/>
          <w:lang w:eastAsia="ar-SA"/>
        </w:rPr>
        <w:t>the Stabilisation Manager has discretion to commence Price Stabilisation at the Offer Price;</w:t>
      </w:r>
    </w:p>
    <w:p w14:paraId="2FCF7C43" w14:textId="77777777" w:rsidR="00A92AB4" w:rsidRPr="00FB2F3D" w:rsidRDefault="00A92AB4" w:rsidP="00A92AB4">
      <w:pPr>
        <w:pStyle w:val="Heading5"/>
        <w:numPr>
          <w:ilvl w:val="0"/>
          <w:numId w:val="0"/>
        </w:numPr>
        <w:ind w:left="2160" w:hanging="720"/>
        <w:rPr>
          <w:rFonts w:ascii="Arial" w:eastAsia="Times New Roman" w:hAnsi="Arial" w:cs="Arial"/>
          <w:color w:val="000000"/>
          <w:sz w:val="22"/>
          <w:szCs w:val="22"/>
          <w:lang w:eastAsia="ar-SA"/>
        </w:rPr>
      </w:pPr>
      <w:r w:rsidRPr="00FB2F3D">
        <w:rPr>
          <w:rFonts w:ascii="Arial" w:eastAsia="Times New Roman" w:hAnsi="Arial" w:cs="Arial"/>
          <w:iCs/>
          <w:color w:val="000000"/>
          <w:sz w:val="22"/>
          <w:szCs w:val="22"/>
          <w:lang w:eastAsia="ar-SA"/>
        </w:rPr>
        <w:t>(d)</w:t>
      </w:r>
      <w:r w:rsidRPr="00FB2F3D">
        <w:rPr>
          <w:rFonts w:ascii="Arial" w:eastAsia="Times New Roman" w:hAnsi="Arial" w:cs="Arial"/>
          <w:iCs/>
          <w:color w:val="000000"/>
          <w:sz w:val="22"/>
          <w:szCs w:val="22"/>
          <w:lang w:eastAsia="ar-SA"/>
        </w:rPr>
        <w:tab/>
        <w:t xml:space="preserve">whether </w:t>
      </w:r>
      <w:r w:rsidRPr="00FB2F3D">
        <w:rPr>
          <w:rFonts w:ascii="Arial" w:eastAsia="Times New Roman" w:hAnsi="Arial" w:cs="Arial"/>
          <w:color w:val="000000"/>
          <w:sz w:val="22"/>
          <w:szCs w:val="22"/>
          <w:lang w:eastAsia="ar-SA"/>
        </w:rPr>
        <w:t>the Stabilisation Manager is permitted to appoint Stabilisation Agents;</w:t>
      </w:r>
    </w:p>
    <w:p w14:paraId="45DEF400" w14:textId="515118C9" w:rsidR="00A92AB4" w:rsidRPr="00FB2F3D" w:rsidRDefault="00A92AB4" w:rsidP="00A92AB4">
      <w:pPr>
        <w:pStyle w:val="Heading5"/>
        <w:numPr>
          <w:ilvl w:val="0"/>
          <w:numId w:val="0"/>
        </w:numPr>
        <w:ind w:left="2160" w:hanging="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(e)</w:t>
      </w:r>
      <w:r w:rsidRPr="00FB2F3D">
        <w:rPr>
          <w:rFonts w:ascii="Arial" w:eastAsia="Times New Roman" w:hAnsi="Arial" w:cs="Arial"/>
          <w:color w:val="000000"/>
          <w:sz w:val="22"/>
          <w:szCs w:val="22"/>
          <w:lang w:eastAsia="ar-SA"/>
        </w:rPr>
        <w:tab/>
        <w:t xml:space="preserve">a term whereby the Stabilisation Manager agrees unconditionally to submit to the jurisdiction of the </w:t>
      </w:r>
      <w:r w:rsidR="004977F2">
        <w:rPr>
          <w:rFonts w:ascii="Arial" w:eastAsia="Times New Roman" w:hAnsi="Arial" w:cs="Arial"/>
          <w:color w:val="000000"/>
          <w:sz w:val="22"/>
          <w:szCs w:val="22"/>
          <w:lang w:eastAsia="ar-SA"/>
        </w:rPr>
        <w:t>Regulator</w:t>
      </w:r>
      <w:r w:rsidRPr="00FB2F3D">
        <w:rPr>
          <w:rFonts w:ascii="Arial" w:eastAsia="Times New Roman" w:hAnsi="Arial" w:cs="Arial"/>
          <w:color w:val="000000"/>
          <w:sz w:val="22"/>
          <w:szCs w:val="22"/>
          <w:lang w:eastAsia="ar-SA"/>
        </w:rPr>
        <w:t xml:space="preserve"> and the ADGM Courts in relation to the activities of the Stabilisation Manager and his Stabilisation Agents in carrying out Price Stabilisation; and</w:t>
      </w:r>
    </w:p>
    <w:p w14:paraId="15437FCA" w14:textId="77777777" w:rsidR="00A92AB4" w:rsidRPr="00FB2F3D" w:rsidRDefault="00A92AB4" w:rsidP="00A92AB4">
      <w:pPr>
        <w:pStyle w:val="Heading5"/>
        <w:numPr>
          <w:ilvl w:val="0"/>
          <w:numId w:val="0"/>
        </w:numPr>
        <w:ind w:left="2160" w:hanging="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(f)</w:t>
      </w:r>
      <w:r w:rsidRPr="00FB2F3D">
        <w:rPr>
          <w:rFonts w:ascii="Arial" w:eastAsia="Times New Roman" w:hAnsi="Arial" w:cs="Arial"/>
          <w:color w:val="000000"/>
          <w:sz w:val="22"/>
          <w:szCs w:val="22"/>
          <w:lang w:eastAsia="ar-SA"/>
        </w:rPr>
        <w:tab/>
        <w:t>any other information that the Stabilisation Manager believes it will reasonably need to conduct Price Stabilisation effectively.</w:t>
      </w:r>
    </w:p>
    <w:p w14:paraId="598A2F6A" w14:textId="185CD2A5" w:rsidR="00A92AB4" w:rsidRPr="00FB2F3D" w:rsidRDefault="00A92AB4" w:rsidP="00A92AB4">
      <w:pPr>
        <w:pStyle w:val="Heading4"/>
        <w:numPr>
          <w:ilvl w:val="0"/>
          <w:numId w:val="0"/>
        </w:numPr>
        <w:ind w:left="1440" w:hanging="731"/>
        <w:rPr>
          <w:rFonts w:ascii="Arial" w:eastAsia="Times New Roman" w:hAnsi="Arial" w:cs="Arial"/>
          <w:iCs w:val="0"/>
          <w:color w:val="000000"/>
          <w:sz w:val="22"/>
          <w:szCs w:val="22"/>
          <w:lang w:eastAsia="ar-SA"/>
        </w:rPr>
      </w:pPr>
      <w:r w:rsidRPr="00FB2F3D">
        <w:rPr>
          <w:rFonts w:ascii="Arial" w:eastAsia="Times New Roman" w:hAnsi="Arial" w:cs="Arial"/>
          <w:iCs w:val="0"/>
          <w:color w:val="000000"/>
          <w:sz w:val="22"/>
          <w:szCs w:val="22"/>
          <w:lang w:eastAsia="ar-SA"/>
        </w:rPr>
        <w:t>(2)</w:t>
      </w:r>
      <w:r w:rsidRPr="00FB2F3D">
        <w:rPr>
          <w:rFonts w:ascii="Arial" w:eastAsia="Times New Roman" w:hAnsi="Arial" w:cs="Arial"/>
          <w:iCs w:val="0"/>
          <w:color w:val="000000"/>
          <w:sz w:val="22"/>
          <w:szCs w:val="22"/>
          <w:lang w:eastAsia="ar-SA"/>
        </w:rPr>
        <w:tab/>
        <w:t xml:space="preserve">The Stabilisation Manager may appoint in writing one or more Stabilisation Agents to assist </w:t>
      </w:r>
      <w:r w:rsidR="004977F2">
        <w:rPr>
          <w:rFonts w:ascii="Arial" w:eastAsia="Times New Roman" w:hAnsi="Arial" w:cs="Arial"/>
          <w:iCs w:val="0"/>
          <w:color w:val="000000"/>
          <w:sz w:val="22"/>
          <w:szCs w:val="22"/>
          <w:lang w:eastAsia="ar-SA"/>
        </w:rPr>
        <w:t>them</w:t>
      </w:r>
      <w:r w:rsidRPr="00FB2F3D">
        <w:rPr>
          <w:rFonts w:ascii="Arial" w:eastAsia="Times New Roman" w:hAnsi="Arial" w:cs="Arial"/>
          <w:iCs w:val="0"/>
          <w:color w:val="000000"/>
          <w:sz w:val="22"/>
          <w:szCs w:val="22"/>
          <w:lang w:eastAsia="ar-SA"/>
        </w:rPr>
        <w:t xml:space="preserve"> in conducting Price Stabilisation.</w:t>
      </w:r>
    </w:p>
    <w:p w14:paraId="2549D6D7" w14:textId="4CC4EDE4" w:rsidR="00A92AB4" w:rsidRPr="00FB2F3D" w:rsidRDefault="00A92AB4" w:rsidP="00A92AB4">
      <w:pPr>
        <w:pStyle w:val="Heading4"/>
        <w:numPr>
          <w:ilvl w:val="0"/>
          <w:numId w:val="0"/>
        </w:numPr>
        <w:ind w:left="1440" w:hanging="720"/>
        <w:rPr>
          <w:rFonts w:ascii="Arial" w:eastAsia="Times New Roman" w:hAnsi="Arial" w:cs="Arial"/>
          <w:color w:val="000000"/>
          <w:sz w:val="22"/>
          <w:szCs w:val="22"/>
          <w:lang w:eastAsia="ar-SA"/>
        </w:rPr>
      </w:pPr>
      <w:r w:rsidRPr="00FB2F3D">
        <w:rPr>
          <w:rFonts w:ascii="Arial" w:eastAsia="Times New Roman" w:hAnsi="Arial" w:cs="Arial"/>
          <w:iCs w:val="0"/>
          <w:color w:val="000000"/>
          <w:sz w:val="22"/>
          <w:szCs w:val="22"/>
          <w:lang w:eastAsia="ar-SA"/>
        </w:rPr>
        <w:t>(3)</w:t>
      </w:r>
      <w:r w:rsidRPr="00FB2F3D">
        <w:rPr>
          <w:rFonts w:ascii="Arial" w:eastAsia="Times New Roman" w:hAnsi="Arial" w:cs="Arial"/>
          <w:iCs w:val="0"/>
          <w:color w:val="000000"/>
          <w:sz w:val="22"/>
          <w:szCs w:val="22"/>
          <w:lang w:eastAsia="ar-SA"/>
        </w:rPr>
        <w:tab/>
        <w:t xml:space="preserve">The terms of appointment of a Stabilisation Agent must not create a legal relationship other than that of principal and agent whereby the Stabilisation Manager as principal is responsible and liable for any </w:t>
      </w:r>
      <w:r w:rsidR="004977F2">
        <w:rPr>
          <w:rFonts w:ascii="Arial" w:eastAsia="Times New Roman" w:hAnsi="Arial" w:cs="Arial"/>
          <w:iCs w:val="0"/>
          <w:color w:val="000000"/>
          <w:sz w:val="22"/>
          <w:szCs w:val="22"/>
          <w:lang w:eastAsia="ar-SA"/>
        </w:rPr>
        <w:t xml:space="preserve">and all </w:t>
      </w:r>
      <w:r w:rsidRPr="00FB2F3D">
        <w:rPr>
          <w:rFonts w:ascii="Arial" w:eastAsia="Times New Roman" w:hAnsi="Arial" w:cs="Arial"/>
          <w:iCs w:val="0"/>
          <w:color w:val="000000"/>
          <w:sz w:val="22"/>
          <w:szCs w:val="22"/>
          <w:lang w:eastAsia="ar-SA"/>
        </w:rPr>
        <w:t xml:space="preserve">acts carried out by </w:t>
      </w:r>
      <w:r w:rsidR="006304A2">
        <w:rPr>
          <w:rFonts w:ascii="Arial" w:eastAsia="Times New Roman" w:hAnsi="Arial" w:cs="Arial"/>
          <w:iCs w:val="0"/>
          <w:color w:val="000000"/>
          <w:sz w:val="22"/>
          <w:szCs w:val="22"/>
          <w:lang w:eastAsia="ar-SA"/>
        </w:rPr>
        <w:t>its</w:t>
      </w:r>
      <w:r w:rsidRPr="00FB2F3D">
        <w:rPr>
          <w:rFonts w:ascii="Arial" w:eastAsia="Times New Roman" w:hAnsi="Arial" w:cs="Arial"/>
          <w:iCs w:val="0"/>
          <w:color w:val="000000"/>
          <w:sz w:val="22"/>
          <w:szCs w:val="22"/>
          <w:lang w:eastAsia="ar-SA"/>
        </w:rPr>
        <w:t xml:space="preserve"> Stabilisation Agent.</w:t>
      </w:r>
    </w:p>
    <w:p w14:paraId="1CC3CE13" w14:textId="77777777" w:rsidR="00A92AB4" w:rsidRPr="00FB2F3D" w:rsidRDefault="00A92AB4" w:rsidP="00A92AB4">
      <w:pPr>
        <w:pStyle w:val="Heading4"/>
        <w:numPr>
          <w:ilvl w:val="0"/>
          <w:numId w:val="0"/>
        </w:numPr>
        <w:ind w:left="1440" w:hanging="720"/>
        <w:rPr>
          <w:rFonts w:ascii="Arial" w:eastAsia="Times New Roman" w:hAnsi="Arial" w:cs="Arial"/>
          <w:bCs w:val="0"/>
          <w:iCs w:val="0"/>
          <w:color w:val="000000"/>
          <w:sz w:val="22"/>
          <w:szCs w:val="22"/>
          <w:lang w:eastAsia="ar-SA"/>
        </w:rPr>
      </w:pPr>
      <w:r w:rsidRPr="00FB2F3D">
        <w:rPr>
          <w:rFonts w:ascii="Arial" w:eastAsia="Times New Roman" w:hAnsi="Arial" w:cs="Arial"/>
          <w:bCs w:val="0"/>
          <w:iCs w:val="0"/>
          <w:color w:val="000000"/>
          <w:sz w:val="22"/>
          <w:szCs w:val="22"/>
          <w:lang w:eastAsia="ar-SA"/>
        </w:rPr>
        <w:t>(4)</w:t>
      </w:r>
      <w:r w:rsidRPr="00FB2F3D">
        <w:rPr>
          <w:rFonts w:ascii="Arial" w:eastAsia="Times New Roman" w:hAnsi="Arial" w:cs="Arial"/>
          <w:bCs w:val="0"/>
          <w:iCs w:val="0"/>
          <w:color w:val="000000"/>
          <w:sz w:val="22"/>
          <w:szCs w:val="22"/>
          <w:lang w:eastAsia="ar-SA"/>
        </w:rPr>
        <w:tab/>
        <w:t xml:space="preserve">The </w:t>
      </w:r>
      <w:r w:rsidRPr="00FB2F3D">
        <w:rPr>
          <w:rFonts w:ascii="Arial" w:eastAsia="Times New Roman" w:hAnsi="Arial" w:cs="Arial"/>
          <w:iCs w:val="0"/>
          <w:color w:val="000000"/>
          <w:sz w:val="22"/>
          <w:szCs w:val="22"/>
          <w:lang w:eastAsia="ar-SA"/>
        </w:rPr>
        <w:t>Stabilisation</w:t>
      </w:r>
      <w:r w:rsidRPr="00FB2F3D">
        <w:rPr>
          <w:rFonts w:ascii="Arial" w:eastAsia="Times New Roman" w:hAnsi="Arial" w:cs="Arial"/>
          <w:bCs w:val="0"/>
          <w:iCs w:val="0"/>
          <w:color w:val="000000"/>
          <w:sz w:val="22"/>
          <w:szCs w:val="22"/>
          <w:lang w:eastAsia="ar-SA"/>
        </w:rPr>
        <w:t xml:space="preserve"> Manager must establish a Price Stabilisation register and take reasonable steps to satisfy himself that the mechanisms required to update the register are in place.</w:t>
      </w:r>
    </w:p>
    <w:p w14:paraId="1EC56BD2" w14:textId="77777777" w:rsidR="00A92AB4" w:rsidRPr="00FB2F3D" w:rsidRDefault="00A92AB4" w:rsidP="00A92AB4">
      <w:pPr>
        <w:pStyle w:val="Heading3"/>
        <w:numPr>
          <w:ilvl w:val="0"/>
          <w:numId w:val="0"/>
        </w:numPr>
        <w:ind w:left="709" w:hanging="709"/>
        <w:rPr>
          <w:rFonts w:ascii="Arial" w:hAnsi="Arial" w:cs="Arial"/>
          <w:b/>
          <w:bCs w:val="0"/>
          <w:sz w:val="22"/>
          <w:szCs w:val="22"/>
        </w:rPr>
      </w:pPr>
      <w:r w:rsidRPr="00FB2F3D">
        <w:rPr>
          <w:rFonts w:ascii="Arial" w:hAnsi="Arial" w:cs="Arial"/>
          <w:b/>
          <w:bCs w:val="0"/>
          <w:sz w:val="22"/>
          <w:szCs w:val="22"/>
        </w:rPr>
        <w:t>6.2.15</w:t>
      </w:r>
      <w:r w:rsidRPr="00FB2F3D">
        <w:rPr>
          <w:rFonts w:ascii="Arial" w:hAnsi="Arial" w:cs="Arial"/>
          <w:b/>
          <w:bCs w:val="0"/>
          <w:sz w:val="22"/>
          <w:szCs w:val="22"/>
        </w:rPr>
        <w:tab/>
      </w:r>
      <w:r w:rsidRPr="00FB2F3D">
        <w:rPr>
          <w:rFonts w:ascii="Arial" w:hAnsi="Arial" w:cs="Arial"/>
          <w:b/>
          <w:bCs w:val="0"/>
          <w:sz w:val="22"/>
          <w:szCs w:val="22"/>
        </w:rPr>
        <w:tab/>
        <w:t>Restrictions on transactions with Stabilisation Agents</w:t>
      </w:r>
    </w:p>
    <w:p w14:paraId="16C6249E" w14:textId="77777777" w:rsidR="00A92AB4" w:rsidRPr="00FB2F3D" w:rsidRDefault="00A92AB4" w:rsidP="00A92AB4">
      <w:pPr>
        <w:pStyle w:val="Heading4"/>
        <w:numPr>
          <w:ilvl w:val="0"/>
          <w:numId w:val="0"/>
        </w:numPr>
        <w:ind w:left="1418" w:hanging="709"/>
        <w:rPr>
          <w:rFonts w:ascii="Arial" w:eastAsia="Times New Roman" w:hAnsi="Arial" w:cs="Arial"/>
          <w:color w:val="000000"/>
          <w:sz w:val="22"/>
          <w:szCs w:val="22"/>
          <w:lang w:eastAsia="ar-SA"/>
        </w:rPr>
      </w:pPr>
      <w:r w:rsidRPr="00FB2F3D">
        <w:rPr>
          <w:rFonts w:ascii="Arial" w:eastAsia="Times New Roman" w:hAnsi="Arial" w:cs="Arial"/>
          <w:bCs w:val="0"/>
          <w:color w:val="000000"/>
          <w:sz w:val="22"/>
          <w:szCs w:val="22"/>
          <w:lang w:eastAsia="ar-SA"/>
        </w:rPr>
        <w:t>(1)</w:t>
      </w:r>
      <w:r w:rsidRPr="00FB2F3D">
        <w:rPr>
          <w:rFonts w:ascii="Arial" w:eastAsia="Times New Roman" w:hAnsi="Arial" w:cs="Arial"/>
          <w:bCs w:val="0"/>
          <w:color w:val="000000"/>
          <w:sz w:val="22"/>
          <w:szCs w:val="22"/>
          <w:lang w:eastAsia="ar-SA"/>
        </w:rPr>
        <w:tab/>
        <w:t xml:space="preserve">A Stabilisation Manager must not during the Stabilisation Window enter into a transaction as principal with </w:t>
      </w:r>
      <w:r w:rsidRPr="00FB2F3D">
        <w:rPr>
          <w:rFonts w:ascii="Arial" w:eastAsia="Times New Roman" w:hAnsi="Arial" w:cs="Arial"/>
          <w:bCs w:val="0"/>
          <w:iCs w:val="0"/>
          <w:color w:val="000000"/>
          <w:sz w:val="22"/>
          <w:szCs w:val="22"/>
          <w:lang w:eastAsia="ar-SA"/>
        </w:rPr>
        <w:t>any</w:t>
      </w:r>
      <w:r w:rsidRPr="00FB2F3D">
        <w:rPr>
          <w:rFonts w:ascii="Arial" w:eastAsia="Times New Roman" w:hAnsi="Arial" w:cs="Arial"/>
          <w:bCs w:val="0"/>
          <w:color w:val="000000"/>
          <w:sz w:val="22"/>
          <w:szCs w:val="22"/>
          <w:lang w:eastAsia="ar-SA"/>
        </w:rPr>
        <w:t xml:space="preserve"> of his Stabilisation Agents in the Relevant Securities which are the subject of Price Stabilisation.</w:t>
      </w:r>
    </w:p>
    <w:p w14:paraId="4A778642" w14:textId="77777777" w:rsidR="00A92AB4" w:rsidRPr="00FB2F3D" w:rsidRDefault="00A92AB4" w:rsidP="00A92AB4">
      <w:pPr>
        <w:pStyle w:val="Heading4"/>
        <w:numPr>
          <w:ilvl w:val="0"/>
          <w:numId w:val="0"/>
        </w:numPr>
        <w:ind w:left="1418" w:hanging="709"/>
        <w:rPr>
          <w:rFonts w:ascii="Arial" w:eastAsia="Times New Roman" w:hAnsi="Arial" w:cs="Arial"/>
          <w:bCs w:val="0"/>
          <w:color w:val="000000"/>
          <w:sz w:val="22"/>
          <w:szCs w:val="22"/>
          <w:lang w:eastAsia="ar-SA"/>
        </w:rPr>
      </w:pPr>
      <w:r w:rsidRPr="00FB2F3D">
        <w:rPr>
          <w:rFonts w:ascii="Arial" w:eastAsia="Times New Roman" w:hAnsi="Arial" w:cs="Arial"/>
          <w:bCs w:val="0"/>
          <w:color w:val="000000"/>
          <w:sz w:val="22"/>
          <w:szCs w:val="22"/>
          <w:lang w:eastAsia="ar-SA"/>
        </w:rPr>
        <w:t>(2)</w:t>
      </w:r>
      <w:r w:rsidRPr="00FB2F3D">
        <w:rPr>
          <w:rFonts w:ascii="Arial" w:eastAsia="Times New Roman" w:hAnsi="Arial" w:cs="Arial"/>
          <w:bCs w:val="0"/>
          <w:color w:val="000000"/>
          <w:sz w:val="22"/>
          <w:szCs w:val="22"/>
          <w:lang w:eastAsia="ar-SA"/>
        </w:rPr>
        <w:tab/>
        <w:t>The requirement in (1) does not apply:</w:t>
      </w:r>
    </w:p>
    <w:p w14:paraId="6666690B" w14:textId="77777777" w:rsidR="00A92AB4" w:rsidRPr="00FB2F3D" w:rsidRDefault="00A92AB4" w:rsidP="00A92AB4">
      <w:pPr>
        <w:pStyle w:val="Heading5"/>
        <w:numPr>
          <w:ilvl w:val="0"/>
          <w:numId w:val="0"/>
        </w:numPr>
        <w:ind w:left="2127" w:hanging="709"/>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(a)</w:t>
      </w:r>
      <w:r w:rsidRPr="00FB2F3D">
        <w:rPr>
          <w:rFonts w:ascii="Arial" w:eastAsia="Times New Roman" w:hAnsi="Arial" w:cs="Arial"/>
          <w:iCs/>
          <w:color w:val="000000"/>
          <w:sz w:val="22"/>
          <w:szCs w:val="22"/>
          <w:lang w:eastAsia="ar-SA"/>
        </w:rPr>
        <w:tab/>
        <w:t>if at the time of the transaction, neither the Stabilisation Manager nor his Stabilisation Agent knew or could reasonably have known the identity of his counterparty; or</w:t>
      </w:r>
    </w:p>
    <w:p w14:paraId="01D8A763" w14:textId="77777777" w:rsidR="00A92AB4" w:rsidRPr="00FB2F3D" w:rsidRDefault="00A92AB4" w:rsidP="00A92AB4">
      <w:pPr>
        <w:pStyle w:val="Heading5"/>
        <w:numPr>
          <w:ilvl w:val="0"/>
          <w:numId w:val="0"/>
        </w:numPr>
        <w:ind w:left="2127" w:hanging="709"/>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(b)</w:t>
      </w:r>
      <w:r w:rsidRPr="00FB2F3D">
        <w:rPr>
          <w:rFonts w:ascii="Arial" w:eastAsia="Times New Roman" w:hAnsi="Arial" w:cs="Arial"/>
          <w:iCs/>
          <w:color w:val="000000"/>
          <w:sz w:val="22"/>
          <w:szCs w:val="22"/>
          <w:lang w:eastAsia="ar-SA"/>
        </w:rPr>
        <w:tab/>
        <w:t>where the transaction between the Stabilisation Manager and his Stabilisation Agent is undertaken solely for the purpose of reallocating the risk of positions that were taken by the Stabilisation Manager and his Stabilisation Agent in the course of Price Stabilisation and the transaction is priced accordingly.</w:t>
      </w:r>
    </w:p>
    <w:p w14:paraId="6F9A3304" w14:textId="77777777" w:rsidR="00A92AB4" w:rsidRPr="00FB2F3D" w:rsidRDefault="00A92AB4" w:rsidP="00A92AB4">
      <w:pPr>
        <w:pStyle w:val="Heading5"/>
        <w:numPr>
          <w:ilvl w:val="0"/>
          <w:numId w:val="0"/>
        </w:numPr>
        <w:ind w:left="720"/>
        <w:rPr>
          <w:rFonts w:ascii="Arial" w:eastAsia="Times New Roman" w:hAnsi="Arial" w:cs="Arial"/>
          <w:b/>
          <w:bCs/>
          <w:iCs/>
          <w:color w:val="000000"/>
          <w:sz w:val="22"/>
          <w:szCs w:val="22"/>
          <w:lang w:eastAsia="ar-SA"/>
        </w:rPr>
      </w:pPr>
      <w:r w:rsidRPr="00FB2F3D">
        <w:rPr>
          <w:rFonts w:ascii="Arial" w:eastAsia="Times New Roman" w:hAnsi="Arial" w:cs="Arial"/>
          <w:b/>
          <w:bCs/>
          <w:iCs/>
          <w:color w:val="000000"/>
          <w:sz w:val="22"/>
          <w:szCs w:val="22"/>
          <w:lang w:eastAsia="ar-SA"/>
        </w:rPr>
        <w:t>Guidance</w:t>
      </w:r>
    </w:p>
    <w:p w14:paraId="09A40730" w14:textId="7504E127" w:rsidR="00A92AB4" w:rsidRPr="00FB2F3D" w:rsidRDefault="00A92AB4" w:rsidP="00A92AB4">
      <w:pPr>
        <w:pStyle w:val="Heading5"/>
        <w:numPr>
          <w:ilvl w:val="0"/>
          <w:numId w:val="0"/>
        </w:numPr>
        <w:ind w:left="720"/>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 xml:space="preserve">Some participants in the Price Stabilisation may have accrued positions during stabilisation and Rule 6.2.15 permits transactions to ‘square-off’ the positions between </w:t>
      </w:r>
      <w:r w:rsidRPr="00FB2F3D">
        <w:rPr>
          <w:rFonts w:ascii="Arial" w:eastAsia="Times New Roman" w:hAnsi="Arial" w:cs="Arial"/>
          <w:iCs/>
          <w:color w:val="000000"/>
          <w:sz w:val="22"/>
          <w:szCs w:val="22"/>
          <w:lang w:eastAsia="ar-SA"/>
        </w:rPr>
        <w:lastRenderedPageBreak/>
        <w:t xml:space="preserve">participants.  The terms on which these transactions may be carried may often be agreed in the terms of engagement between the Stabilisation Manager and his Stabilisation Agents. The </w:t>
      </w:r>
      <w:r w:rsidR="006304A2">
        <w:rPr>
          <w:rFonts w:ascii="Arial" w:eastAsia="Times New Roman" w:hAnsi="Arial" w:cs="Arial"/>
          <w:iCs/>
          <w:color w:val="000000"/>
          <w:sz w:val="22"/>
          <w:szCs w:val="22"/>
          <w:lang w:eastAsia="ar-SA"/>
        </w:rPr>
        <w:t>Regulator</w:t>
      </w:r>
      <w:r w:rsidRPr="00FB2F3D">
        <w:rPr>
          <w:rFonts w:ascii="Arial" w:eastAsia="Times New Roman" w:hAnsi="Arial" w:cs="Arial"/>
          <w:iCs/>
          <w:color w:val="000000"/>
          <w:sz w:val="22"/>
          <w:szCs w:val="22"/>
          <w:lang w:eastAsia="ar-SA"/>
        </w:rPr>
        <w:t xml:space="preserve"> may when inspecting records kept relating to stabilisation seek the rationale for any of these transactions and the price at which they were conducted.</w:t>
      </w:r>
    </w:p>
    <w:p w14:paraId="74B461AD" w14:textId="77777777" w:rsidR="00A92AB4" w:rsidRPr="00FB2F3D" w:rsidRDefault="00A92AB4" w:rsidP="00A92AB4">
      <w:pPr>
        <w:pStyle w:val="Heading3"/>
        <w:numPr>
          <w:ilvl w:val="0"/>
          <w:numId w:val="0"/>
        </w:numPr>
        <w:ind w:left="709" w:hanging="709"/>
        <w:rPr>
          <w:rFonts w:ascii="Arial" w:hAnsi="Arial" w:cs="Arial"/>
          <w:b/>
          <w:sz w:val="22"/>
          <w:szCs w:val="22"/>
        </w:rPr>
      </w:pPr>
      <w:r w:rsidRPr="00FB2F3D">
        <w:rPr>
          <w:rFonts w:ascii="Arial" w:hAnsi="Arial" w:cs="Arial"/>
          <w:b/>
          <w:sz w:val="22"/>
          <w:szCs w:val="22"/>
        </w:rPr>
        <w:t>6.2.16</w:t>
      </w:r>
      <w:r w:rsidRPr="00FB2F3D">
        <w:rPr>
          <w:rFonts w:ascii="Arial" w:hAnsi="Arial" w:cs="Arial"/>
          <w:b/>
          <w:sz w:val="22"/>
          <w:szCs w:val="22"/>
        </w:rPr>
        <w:tab/>
      </w:r>
      <w:r w:rsidRPr="00FB2F3D">
        <w:rPr>
          <w:rFonts w:ascii="Arial" w:hAnsi="Arial" w:cs="Arial"/>
          <w:b/>
          <w:sz w:val="22"/>
          <w:szCs w:val="22"/>
        </w:rPr>
        <w:tab/>
        <w:t>Price Stabilisation Register</w:t>
      </w:r>
    </w:p>
    <w:p w14:paraId="47140E40" w14:textId="77777777" w:rsidR="00A92AB4" w:rsidRPr="00FB2F3D" w:rsidRDefault="00A92AB4" w:rsidP="00A92AB4">
      <w:pPr>
        <w:pStyle w:val="Heading3"/>
        <w:numPr>
          <w:ilvl w:val="0"/>
          <w:numId w:val="0"/>
        </w:numPr>
        <w:ind w:left="709" w:hanging="709"/>
        <w:rPr>
          <w:rFonts w:ascii="Arial" w:hAnsi="Arial" w:cs="Arial"/>
          <w:bCs w:val="0"/>
          <w:sz w:val="22"/>
          <w:szCs w:val="22"/>
        </w:rPr>
      </w:pPr>
      <w:r w:rsidRPr="00FB2F3D">
        <w:rPr>
          <w:rFonts w:ascii="Arial" w:hAnsi="Arial" w:cs="Arial"/>
          <w:b/>
          <w:sz w:val="22"/>
          <w:szCs w:val="22"/>
        </w:rPr>
        <w:tab/>
      </w:r>
      <w:r w:rsidRPr="00FB2F3D">
        <w:rPr>
          <w:rFonts w:ascii="Arial" w:hAnsi="Arial" w:cs="Arial"/>
          <w:bCs w:val="0"/>
          <w:sz w:val="22"/>
          <w:szCs w:val="22"/>
        </w:rPr>
        <w:t>(1)</w:t>
      </w:r>
      <w:r w:rsidRPr="00FB2F3D">
        <w:rPr>
          <w:rFonts w:ascii="Arial" w:hAnsi="Arial" w:cs="Arial"/>
          <w:bCs w:val="0"/>
          <w:sz w:val="22"/>
          <w:szCs w:val="22"/>
        </w:rPr>
        <w:tab/>
        <w:t xml:space="preserve">The </w:t>
      </w:r>
      <w:r w:rsidRPr="00FB2F3D">
        <w:rPr>
          <w:rFonts w:ascii="Arial" w:eastAsia="Times New Roman" w:hAnsi="Arial" w:cs="Arial"/>
          <w:bCs w:val="0"/>
          <w:color w:val="000000"/>
          <w:sz w:val="22"/>
          <w:szCs w:val="22"/>
          <w:lang w:eastAsia="ar-SA"/>
        </w:rPr>
        <w:t>Stabilisation</w:t>
      </w:r>
      <w:r w:rsidRPr="00FB2F3D">
        <w:rPr>
          <w:rFonts w:ascii="Arial" w:eastAsia="Times New Roman" w:hAnsi="Arial" w:cs="Arial"/>
          <w:color w:val="000000"/>
          <w:sz w:val="22"/>
          <w:szCs w:val="22"/>
          <w:lang w:eastAsia="ar-SA"/>
        </w:rPr>
        <w:t xml:space="preserve"> Manager must, before carrying out any Price Stabilisation:</w:t>
      </w:r>
    </w:p>
    <w:p w14:paraId="6773965F" w14:textId="77777777" w:rsidR="00A92AB4" w:rsidRPr="00FB2F3D" w:rsidRDefault="00A92AB4" w:rsidP="00A92AB4">
      <w:pPr>
        <w:pStyle w:val="Heading3"/>
        <w:numPr>
          <w:ilvl w:val="0"/>
          <w:numId w:val="0"/>
        </w:numPr>
        <w:ind w:left="2160" w:hanging="720"/>
        <w:rPr>
          <w:rFonts w:ascii="Arial" w:eastAsia="Times New Roman" w:hAnsi="Arial" w:cs="Arial"/>
          <w:iCs/>
          <w:color w:val="000000"/>
          <w:sz w:val="22"/>
          <w:szCs w:val="22"/>
          <w:lang w:eastAsia="ar-SA"/>
        </w:rPr>
      </w:pPr>
      <w:r w:rsidRPr="00FB2F3D">
        <w:rPr>
          <w:rFonts w:ascii="Arial" w:hAnsi="Arial" w:cs="Arial"/>
          <w:bCs w:val="0"/>
          <w:sz w:val="22"/>
          <w:szCs w:val="22"/>
        </w:rPr>
        <w:t>(a)</w:t>
      </w:r>
      <w:r w:rsidRPr="00FB2F3D">
        <w:rPr>
          <w:rFonts w:ascii="Arial" w:hAnsi="Arial" w:cs="Arial"/>
          <w:bCs w:val="0"/>
          <w:sz w:val="22"/>
          <w:szCs w:val="22"/>
        </w:rPr>
        <w:tab/>
        <w:t xml:space="preserve">create </w:t>
      </w:r>
      <w:r w:rsidRPr="00FB2F3D">
        <w:rPr>
          <w:rFonts w:ascii="Arial" w:eastAsia="Times New Roman" w:hAnsi="Arial" w:cs="Arial"/>
          <w:iCs/>
          <w:color w:val="000000"/>
          <w:sz w:val="22"/>
          <w:szCs w:val="22"/>
          <w:lang w:eastAsia="ar-SA"/>
        </w:rPr>
        <w:t>a register to record the details relating to the Price Stabilisation as required by Rule 6.2.7 to 6.2.16; and</w:t>
      </w:r>
    </w:p>
    <w:p w14:paraId="585CB4A5" w14:textId="77777777" w:rsidR="00A92AB4" w:rsidRPr="00FB2F3D" w:rsidRDefault="00A92AB4" w:rsidP="00A92AB4">
      <w:pPr>
        <w:pStyle w:val="Heading3"/>
        <w:numPr>
          <w:ilvl w:val="0"/>
          <w:numId w:val="0"/>
        </w:numPr>
        <w:ind w:left="2160" w:hanging="720"/>
        <w:rPr>
          <w:rFonts w:ascii="Arial" w:hAnsi="Arial" w:cs="Arial"/>
          <w:bCs w:val="0"/>
          <w:sz w:val="22"/>
          <w:szCs w:val="22"/>
        </w:rPr>
      </w:pPr>
      <w:r w:rsidRPr="00FB2F3D">
        <w:rPr>
          <w:rFonts w:ascii="Arial" w:hAnsi="Arial" w:cs="Arial"/>
          <w:bCs w:val="0"/>
          <w:sz w:val="22"/>
          <w:szCs w:val="22"/>
        </w:rPr>
        <w:t>(b)</w:t>
      </w:r>
      <w:r w:rsidRPr="00FB2F3D">
        <w:rPr>
          <w:rFonts w:ascii="Arial" w:hAnsi="Arial" w:cs="Arial"/>
          <w:bCs w:val="0"/>
          <w:sz w:val="22"/>
          <w:szCs w:val="22"/>
        </w:rPr>
        <w:tab/>
        <w:t xml:space="preserve">establish and </w:t>
      </w:r>
      <w:r w:rsidRPr="00FB2F3D">
        <w:rPr>
          <w:rFonts w:ascii="Arial" w:eastAsia="Times New Roman" w:hAnsi="Arial" w:cs="Arial"/>
          <w:iCs/>
          <w:color w:val="000000"/>
          <w:sz w:val="22"/>
          <w:szCs w:val="22"/>
          <w:lang w:eastAsia="ar-SA"/>
        </w:rPr>
        <w:t>implement systems and controls to keep the register updated.</w:t>
      </w:r>
    </w:p>
    <w:p w14:paraId="778AFAA0" w14:textId="77777777" w:rsidR="00A92AB4" w:rsidRPr="00FB2F3D" w:rsidRDefault="00A92AB4" w:rsidP="00A92AB4">
      <w:pPr>
        <w:pStyle w:val="Heading4"/>
        <w:numPr>
          <w:ilvl w:val="0"/>
          <w:numId w:val="0"/>
        </w:numPr>
        <w:ind w:left="1440" w:hanging="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(2)</w:t>
      </w:r>
      <w:r w:rsidRPr="00FB2F3D">
        <w:rPr>
          <w:rFonts w:ascii="Arial" w:eastAsia="Times New Roman" w:hAnsi="Arial" w:cs="Arial"/>
          <w:color w:val="000000"/>
          <w:sz w:val="22"/>
          <w:szCs w:val="22"/>
          <w:lang w:eastAsia="ar-SA"/>
        </w:rPr>
        <w:tab/>
        <w:t xml:space="preserve">The Stabilisation </w:t>
      </w:r>
      <w:r w:rsidRPr="00FB2F3D">
        <w:rPr>
          <w:rFonts w:ascii="Arial" w:eastAsia="Times New Roman" w:hAnsi="Arial" w:cs="Arial"/>
          <w:bCs w:val="0"/>
          <w:color w:val="000000"/>
          <w:sz w:val="22"/>
          <w:szCs w:val="22"/>
          <w:lang w:eastAsia="ar-SA"/>
        </w:rPr>
        <w:t>Manager</w:t>
      </w:r>
      <w:r w:rsidRPr="00FB2F3D">
        <w:rPr>
          <w:rFonts w:ascii="Arial" w:eastAsia="Times New Roman" w:hAnsi="Arial" w:cs="Arial"/>
          <w:color w:val="000000"/>
          <w:sz w:val="22"/>
          <w:szCs w:val="22"/>
          <w:lang w:eastAsia="ar-SA"/>
        </w:rPr>
        <w:t xml:space="preserve"> must ensure that the register contains either on a real-time or daily updated basis the following information:</w:t>
      </w:r>
    </w:p>
    <w:p w14:paraId="29BDC06A" w14:textId="77777777" w:rsidR="00A92AB4" w:rsidRPr="00FB2F3D" w:rsidRDefault="00A92AB4" w:rsidP="00A92AB4">
      <w:pPr>
        <w:pStyle w:val="Heading3"/>
        <w:numPr>
          <w:ilvl w:val="0"/>
          <w:numId w:val="0"/>
        </w:numPr>
        <w:ind w:left="2160" w:hanging="720"/>
        <w:rPr>
          <w:rFonts w:ascii="Arial" w:hAnsi="Arial" w:cs="Arial"/>
          <w:bCs w:val="0"/>
          <w:sz w:val="22"/>
          <w:szCs w:val="22"/>
        </w:rPr>
      </w:pPr>
      <w:r w:rsidRPr="00FB2F3D">
        <w:rPr>
          <w:rFonts w:ascii="Arial" w:hAnsi="Arial" w:cs="Arial"/>
          <w:bCs w:val="0"/>
          <w:sz w:val="22"/>
          <w:szCs w:val="22"/>
        </w:rPr>
        <w:t>(a)</w:t>
      </w:r>
      <w:r w:rsidRPr="00FB2F3D">
        <w:rPr>
          <w:rFonts w:ascii="Arial" w:hAnsi="Arial" w:cs="Arial"/>
          <w:bCs w:val="0"/>
          <w:sz w:val="22"/>
          <w:szCs w:val="22"/>
        </w:rPr>
        <w:tab/>
        <w:t>the names and contact details of all Stabilisation Agents appointed by him;</w:t>
      </w:r>
    </w:p>
    <w:p w14:paraId="6F8B78BF" w14:textId="77777777" w:rsidR="00A92AB4" w:rsidRPr="00FB2F3D" w:rsidRDefault="00A92AB4" w:rsidP="00A92AB4">
      <w:pPr>
        <w:pStyle w:val="Heading3"/>
        <w:numPr>
          <w:ilvl w:val="0"/>
          <w:numId w:val="0"/>
        </w:numPr>
        <w:ind w:left="2160" w:hanging="720"/>
        <w:rPr>
          <w:rFonts w:ascii="Arial" w:eastAsia="Times New Roman" w:hAnsi="Arial" w:cs="Arial"/>
          <w:iCs/>
          <w:color w:val="000000"/>
          <w:sz w:val="22"/>
          <w:szCs w:val="22"/>
          <w:lang w:eastAsia="ar-SA"/>
        </w:rPr>
      </w:pPr>
      <w:r w:rsidRPr="00FB2F3D">
        <w:rPr>
          <w:rFonts w:ascii="Arial" w:hAnsi="Arial" w:cs="Arial"/>
          <w:bCs w:val="0"/>
          <w:sz w:val="22"/>
          <w:szCs w:val="22"/>
        </w:rPr>
        <w:t>(b)</w:t>
      </w:r>
      <w:r w:rsidRPr="00FB2F3D">
        <w:rPr>
          <w:rFonts w:ascii="Arial" w:hAnsi="Arial" w:cs="Arial"/>
          <w:bCs w:val="0"/>
          <w:sz w:val="22"/>
          <w:szCs w:val="22"/>
        </w:rPr>
        <w:tab/>
      </w:r>
      <w:r w:rsidRPr="00FB2F3D">
        <w:rPr>
          <w:rFonts w:ascii="Arial" w:eastAsia="Times New Roman" w:hAnsi="Arial" w:cs="Arial"/>
          <w:iCs/>
          <w:color w:val="000000"/>
          <w:sz w:val="22"/>
          <w:szCs w:val="22"/>
          <w:lang w:eastAsia="ar-SA"/>
        </w:rPr>
        <w:t>details of the appointment of each Stabilisation Agent, including the date of the appointment;</w:t>
      </w:r>
    </w:p>
    <w:p w14:paraId="54A43A36" w14:textId="77777777" w:rsidR="00A92AB4" w:rsidRPr="00FB2F3D" w:rsidRDefault="00A92AB4" w:rsidP="00A92AB4">
      <w:pPr>
        <w:pStyle w:val="Heading3"/>
        <w:numPr>
          <w:ilvl w:val="0"/>
          <w:numId w:val="0"/>
        </w:numPr>
        <w:ind w:left="2160" w:hanging="720"/>
        <w:rPr>
          <w:rFonts w:ascii="Arial" w:eastAsia="Times New Roman" w:hAnsi="Arial" w:cs="Arial"/>
          <w:iCs/>
          <w:color w:val="000000"/>
          <w:sz w:val="22"/>
          <w:szCs w:val="22"/>
          <w:lang w:eastAsia="ar-SA"/>
        </w:rPr>
      </w:pPr>
      <w:r w:rsidRPr="00FB2F3D">
        <w:rPr>
          <w:rFonts w:ascii="Arial" w:hAnsi="Arial" w:cs="Arial"/>
          <w:bCs w:val="0"/>
          <w:sz w:val="22"/>
          <w:szCs w:val="22"/>
        </w:rPr>
        <w:t>(c)</w:t>
      </w:r>
      <w:r w:rsidRPr="00FB2F3D">
        <w:rPr>
          <w:rFonts w:ascii="Arial" w:hAnsi="Arial" w:cs="Arial"/>
          <w:bCs w:val="0"/>
          <w:sz w:val="22"/>
          <w:szCs w:val="22"/>
        </w:rPr>
        <w:tab/>
        <w:t xml:space="preserve">the </w:t>
      </w:r>
      <w:r w:rsidRPr="00FB2F3D">
        <w:rPr>
          <w:rFonts w:ascii="Arial" w:eastAsia="Times New Roman" w:hAnsi="Arial" w:cs="Arial"/>
          <w:iCs/>
          <w:color w:val="000000"/>
          <w:sz w:val="22"/>
          <w:szCs w:val="22"/>
          <w:lang w:eastAsia="ar-SA"/>
        </w:rPr>
        <w:t>general terms and instructions (including details of the price floor and Stabilisation Window) determined by the Stabilisation Manager for his Stabilisation Agents and the date and time of the communication, variation or revocation of that information and instructions;</w:t>
      </w:r>
    </w:p>
    <w:p w14:paraId="3B5A0927" w14:textId="77777777" w:rsidR="00A92AB4" w:rsidRPr="00FB2F3D" w:rsidRDefault="00A92AB4" w:rsidP="00A92AB4">
      <w:pPr>
        <w:pStyle w:val="Heading3"/>
        <w:numPr>
          <w:ilvl w:val="0"/>
          <w:numId w:val="0"/>
        </w:numPr>
        <w:ind w:left="2160" w:hanging="720"/>
        <w:rPr>
          <w:rFonts w:ascii="Arial" w:eastAsia="Times New Roman" w:hAnsi="Arial" w:cs="Arial"/>
          <w:iCs/>
          <w:color w:val="000000"/>
          <w:sz w:val="22"/>
          <w:szCs w:val="22"/>
          <w:lang w:eastAsia="ar-SA"/>
        </w:rPr>
      </w:pPr>
      <w:r w:rsidRPr="00FB2F3D">
        <w:rPr>
          <w:rFonts w:ascii="Arial" w:hAnsi="Arial" w:cs="Arial"/>
          <w:bCs w:val="0"/>
          <w:sz w:val="22"/>
          <w:szCs w:val="22"/>
        </w:rPr>
        <w:t>(d)</w:t>
      </w:r>
      <w:r w:rsidRPr="00FB2F3D">
        <w:rPr>
          <w:rFonts w:ascii="Arial" w:hAnsi="Arial" w:cs="Arial"/>
          <w:bCs w:val="0"/>
          <w:sz w:val="22"/>
          <w:szCs w:val="22"/>
        </w:rPr>
        <w:tab/>
        <w:t xml:space="preserve">details of </w:t>
      </w:r>
      <w:r w:rsidRPr="00FB2F3D">
        <w:rPr>
          <w:rFonts w:ascii="Arial" w:eastAsia="Times New Roman" w:hAnsi="Arial" w:cs="Arial"/>
          <w:iCs/>
          <w:color w:val="000000"/>
          <w:sz w:val="22"/>
          <w:szCs w:val="22"/>
          <w:lang w:eastAsia="ar-SA"/>
        </w:rPr>
        <w:t>all correspondence passing between the Stabilisation Manager and his Stabilisation Agents relating to the Price Stabilisation, including all instructions and variations or revocations of appointments;</w:t>
      </w:r>
    </w:p>
    <w:p w14:paraId="081DE75A" w14:textId="77777777" w:rsidR="00A92AB4" w:rsidRPr="00FB2F3D" w:rsidRDefault="00A92AB4" w:rsidP="00A92AB4">
      <w:pPr>
        <w:pStyle w:val="Heading3"/>
        <w:numPr>
          <w:ilvl w:val="0"/>
          <w:numId w:val="0"/>
        </w:numPr>
        <w:ind w:left="2160" w:hanging="720"/>
        <w:rPr>
          <w:rFonts w:ascii="Arial" w:eastAsia="Times New Roman" w:hAnsi="Arial" w:cs="Arial"/>
          <w:iCs/>
          <w:color w:val="000000"/>
          <w:sz w:val="22"/>
          <w:szCs w:val="22"/>
          <w:lang w:eastAsia="ar-SA"/>
        </w:rPr>
      </w:pPr>
      <w:r w:rsidRPr="00FB2F3D">
        <w:rPr>
          <w:rFonts w:ascii="Arial" w:hAnsi="Arial" w:cs="Arial"/>
          <w:bCs w:val="0"/>
          <w:sz w:val="22"/>
          <w:szCs w:val="22"/>
        </w:rPr>
        <w:t>(e)</w:t>
      </w:r>
      <w:r w:rsidRPr="00FB2F3D">
        <w:rPr>
          <w:rFonts w:ascii="Arial" w:hAnsi="Arial" w:cs="Arial"/>
          <w:bCs w:val="0"/>
          <w:sz w:val="22"/>
          <w:szCs w:val="22"/>
        </w:rPr>
        <w:tab/>
        <w:t xml:space="preserve">each </w:t>
      </w:r>
      <w:r w:rsidRPr="00FB2F3D">
        <w:rPr>
          <w:rFonts w:ascii="Arial" w:eastAsia="Times New Roman" w:hAnsi="Arial" w:cs="Arial"/>
          <w:iCs/>
          <w:color w:val="000000"/>
          <w:sz w:val="22"/>
          <w:szCs w:val="22"/>
          <w:lang w:eastAsia="ar-SA"/>
        </w:rPr>
        <w:t>and every transaction undertaken by the Stabilisation Manager and Stabilisation Agents in the course of the Price Stabilisation, including but not limited to the following transaction details:</w:t>
      </w:r>
    </w:p>
    <w:p w14:paraId="7E41146D" w14:textId="77777777" w:rsidR="00A92AB4" w:rsidRPr="00FB2F3D" w:rsidRDefault="00A92AB4" w:rsidP="00A92AB4">
      <w:pPr>
        <w:pStyle w:val="Heading3"/>
        <w:numPr>
          <w:ilvl w:val="0"/>
          <w:numId w:val="0"/>
        </w:numPr>
        <w:ind w:left="2880" w:hanging="720"/>
        <w:rPr>
          <w:rFonts w:ascii="Arial" w:hAnsi="Arial" w:cs="Arial"/>
          <w:bCs w:val="0"/>
          <w:sz w:val="22"/>
          <w:szCs w:val="22"/>
        </w:rPr>
      </w:pPr>
      <w:r w:rsidRPr="00FB2F3D">
        <w:rPr>
          <w:rFonts w:ascii="Arial" w:hAnsi="Arial" w:cs="Arial"/>
          <w:bCs w:val="0"/>
          <w:sz w:val="22"/>
          <w:szCs w:val="22"/>
        </w:rPr>
        <w:t>(i)</w:t>
      </w:r>
      <w:r w:rsidRPr="00FB2F3D">
        <w:rPr>
          <w:rFonts w:ascii="Arial" w:hAnsi="Arial" w:cs="Arial"/>
          <w:bCs w:val="0"/>
          <w:sz w:val="22"/>
          <w:szCs w:val="22"/>
        </w:rPr>
        <w:tab/>
        <w:t>the type of Relevant Securities;</w:t>
      </w:r>
    </w:p>
    <w:p w14:paraId="21B9844C" w14:textId="77777777" w:rsidR="00A92AB4" w:rsidRPr="00FB2F3D" w:rsidRDefault="00A92AB4" w:rsidP="00A92AB4">
      <w:pPr>
        <w:pStyle w:val="Heading3"/>
        <w:numPr>
          <w:ilvl w:val="0"/>
          <w:numId w:val="0"/>
        </w:numPr>
        <w:ind w:left="2880" w:hanging="720"/>
        <w:rPr>
          <w:rFonts w:ascii="Arial" w:hAnsi="Arial" w:cs="Arial"/>
          <w:bCs w:val="0"/>
          <w:sz w:val="22"/>
          <w:szCs w:val="22"/>
        </w:rPr>
      </w:pPr>
      <w:r w:rsidRPr="00FB2F3D">
        <w:rPr>
          <w:rFonts w:ascii="Arial" w:hAnsi="Arial" w:cs="Arial"/>
          <w:bCs w:val="0"/>
          <w:sz w:val="22"/>
          <w:szCs w:val="22"/>
        </w:rPr>
        <w:t>(ii)</w:t>
      </w:r>
      <w:r w:rsidRPr="00FB2F3D">
        <w:rPr>
          <w:rFonts w:ascii="Arial" w:hAnsi="Arial" w:cs="Arial"/>
          <w:bCs w:val="0"/>
          <w:sz w:val="22"/>
          <w:szCs w:val="22"/>
        </w:rPr>
        <w:tab/>
        <w:t>the price;</w:t>
      </w:r>
    </w:p>
    <w:p w14:paraId="65152442" w14:textId="77777777" w:rsidR="00A92AB4" w:rsidRPr="00FB2F3D" w:rsidRDefault="00A92AB4" w:rsidP="00A92AB4">
      <w:pPr>
        <w:pStyle w:val="Heading3"/>
        <w:numPr>
          <w:ilvl w:val="0"/>
          <w:numId w:val="0"/>
        </w:numPr>
        <w:ind w:left="2880" w:hanging="720"/>
        <w:rPr>
          <w:rFonts w:ascii="Arial" w:hAnsi="Arial" w:cs="Arial"/>
          <w:bCs w:val="0"/>
          <w:sz w:val="22"/>
          <w:szCs w:val="22"/>
        </w:rPr>
      </w:pPr>
      <w:r w:rsidRPr="00FB2F3D">
        <w:rPr>
          <w:rFonts w:ascii="Arial" w:hAnsi="Arial" w:cs="Arial"/>
          <w:bCs w:val="0"/>
          <w:sz w:val="22"/>
          <w:szCs w:val="22"/>
        </w:rPr>
        <w:t>(iii)</w:t>
      </w:r>
      <w:r w:rsidRPr="00FB2F3D">
        <w:rPr>
          <w:rFonts w:ascii="Arial" w:hAnsi="Arial" w:cs="Arial"/>
          <w:bCs w:val="0"/>
          <w:sz w:val="22"/>
          <w:szCs w:val="22"/>
        </w:rPr>
        <w:tab/>
        <w:t>the size;</w:t>
      </w:r>
    </w:p>
    <w:p w14:paraId="771CF135" w14:textId="77777777" w:rsidR="00A92AB4" w:rsidRPr="00FB2F3D" w:rsidRDefault="00A92AB4" w:rsidP="00A92AB4">
      <w:pPr>
        <w:pStyle w:val="Heading3"/>
        <w:numPr>
          <w:ilvl w:val="0"/>
          <w:numId w:val="0"/>
        </w:numPr>
        <w:ind w:left="2880" w:hanging="720"/>
        <w:rPr>
          <w:rFonts w:ascii="Arial" w:hAnsi="Arial" w:cs="Arial"/>
          <w:bCs w:val="0"/>
          <w:sz w:val="22"/>
          <w:szCs w:val="22"/>
        </w:rPr>
      </w:pPr>
      <w:r w:rsidRPr="00FB2F3D">
        <w:rPr>
          <w:rFonts w:ascii="Arial" w:hAnsi="Arial" w:cs="Arial"/>
          <w:bCs w:val="0"/>
          <w:sz w:val="22"/>
          <w:szCs w:val="22"/>
        </w:rPr>
        <w:t>(iv)</w:t>
      </w:r>
      <w:r w:rsidRPr="00FB2F3D">
        <w:rPr>
          <w:rFonts w:ascii="Arial" w:hAnsi="Arial" w:cs="Arial"/>
          <w:bCs w:val="0"/>
          <w:sz w:val="22"/>
          <w:szCs w:val="22"/>
        </w:rPr>
        <w:tab/>
        <w:t>whether the transactions were undertaken on or off the central order book of the relevant Recognised Investment Exchange;</w:t>
      </w:r>
    </w:p>
    <w:p w14:paraId="2C5E7A69" w14:textId="77777777" w:rsidR="00A92AB4" w:rsidRPr="00FB2F3D" w:rsidRDefault="00A92AB4" w:rsidP="00A92AB4">
      <w:pPr>
        <w:pStyle w:val="Heading3"/>
        <w:numPr>
          <w:ilvl w:val="0"/>
          <w:numId w:val="0"/>
        </w:numPr>
        <w:ind w:left="2880" w:hanging="720"/>
        <w:rPr>
          <w:rFonts w:ascii="Arial" w:hAnsi="Arial" w:cs="Arial"/>
          <w:bCs w:val="0"/>
          <w:sz w:val="22"/>
          <w:szCs w:val="22"/>
        </w:rPr>
      </w:pPr>
      <w:r w:rsidRPr="00FB2F3D">
        <w:rPr>
          <w:rFonts w:ascii="Arial" w:hAnsi="Arial" w:cs="Arial"/>
          <w:bCs w:val="0"/>
          <w:sz w:val="22"/>
          <w:szCs w:val="22"/>
        </w:rPr>
        <w:t>(v)</w:t>
      </w:r>
      <w:r w:rsidRPr="00FB2F3D">
        <w:rPr>
          <w:rFonts w:ascii="Arial" w:hAnsi="Arial" w:cs="Arial"/>
          <w:bCs w:val="0"/>
          <w:sz w:val="22"/>
          <w:szCs w:val="22"/>
        </w:rPr>
        <w:tab/>
        <w:t>the date and time;</w:t>
      </w:r>
    </w:p>
    <w:p w14:paraId="3F8AE73C" w14:textId="77777777" w:rsidR="00A92AB4" w:rsidRPr="00FB2F3D" w:rsidRDefault="00A92AB4" w:rsidP="00A92AB4">
      <w:pPr>
        <w:pStyle w:val="Heading3"/>
        <w:numPr>
          <w:ilvl w:val="0"/>
          <w:numId w:val="0"/>
        </w:numPr>
        <w:ind w:left="2880" w:hanging="720"/>
        <w:rPr>
          <w:rFonts w:ascii="Arial" w:hAnsi="Arial" w:cs="Arial"/>
          <w:bCs w:val="0"/>
          <w:sz w:val="22"/>
          <w:szCs w:val="22"/>
        </w:rPr>
      </w:pPr>
      <w:r w:rsidRPr="00FB2F3D">
        <w:rPr>
          <w:rFonts w:ascii="Arial" w:hAnsi="Arial" w:cs="Arial"/>
          <w:bCs w:val="0"/>
          <w:sz w:val="22"/>
          <w:szCs w:val="22"/>
        </w:rPr>
        <w:t>(vi)</w:t>
      </w:r>
      <w:r w:rsidRPr="00FB2F3D">
        <w:rPr>
          <w:rFonts w:ascii="Arial" w:hAnsi="Arial" w:cs="Arial"/>
          <w:bCs w:val="0"/>
          <w:sz w:val="22"/>
          <w:szCs w:val="22"/>
        </w:rPr>
        <w:tab/>
        <w:t>details of the counterparty (if known); and</w:t>
      </w:r>
    </w:p>
    <w:p w14:paraId="4ED5C183" w14:textId="77777777" w:rsidR="00A92AB4" w:rsidRPr="00FB2F3D" w:rsidRDefault="00A92AB4" w:rsidP="00A92AB4">
      <w:pPr>
        <w:pStyle w:val="Heading3"/>
        <w:numPr>
          <w:ilvl w:val="0"/>
          <w:numId w:val="0"/>
        </w:numPr>
        <w:ind w:left="2880" w:hanging="720"/>
        <w:rPr>
          <w:rFonts w:ascii="Arial" w:hAnsi="Arial" w:cs="Arial"/>
          <w:bCs w:val="0"/>
          <w:sz w:val="22"/>
          <w:szCs w:val="22"/>
        </w:rPr>
      </w:pPr>
      <w:r w:rsidRPr="00FB2F3D">
        <w:rPr>
          <w:rFonts w:ascii="Arial" w:hAnsi="Arial" w:cs="Arial"/>
          <w:bCs w:val="0"/>
          <w:sz w:val="22"/>
          <w:szCs w:val="22"/>
        </w:rPr>
        <w:t>(vii)</w:t>
      </w:r>
      <w:r w:rsidRPr="00FB2F3D">
        <w:rPr>
          <w:rFonts w:ascii="Arial" w:hAnsi="Arial" w:cs="Arial"/>
          <w:bCs w:val="0"/>
          <w:sz w:val="22"/>
          <w:szCs w:val="22"/>
        </w:rPr>
        <w:tab/>
        <w:t>details of the allotment of the Relevant Securities.</w:t>
      </w:r>
    </w:p>
    <w:p w14:paraId="4E2E4224" w14:textId="77777777" w:rsidR="00A92AB4" w:rsidRPr="00FB2F3D" w:rsidRDefault="00A92AB4" w:rsidP="00A92AB4">
      <w:pPr>
        <w:ind w:left="1701" w:hanging="981"/>
        <w:jc w:val="both"/>
        <w:rPr>
          <w:rFonts w:ascii="Arial" w:eastAsia="Times New Roman" w:hAnsi="Arial" w:cs="Arial"/>
          <w:iCs/>
          <w:color w:val="000000"/>
          <w:sz w:val="22"/>
          <w:szCs w:val="22"/>
          <w:highlight w:val="green"/>
          <w:lang w:eastAsia="ar-SA"/>
        </w:rPr>
      </w:pPr>
    </w:p>
    <w:p w14:paraId="5FAC4EDF" w14:textId="72BEAB5B" w:rsidR="00A92AB4" w:rsidRPr="00FB2F3D" w:rsidRDefault="00A92AB4" w:rsidP="00A92AB4">
      <w:pPr>
        <w:pStyle w:val="Heading4"/>
        <w:numPr>
          <w:ilvl w:val="0"/>
          <w:numId w:val="0"/>
        </w:numPr>
        <w:ind w:left="1418" w:hanging="698"/>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(3)</w:t>
      </w:r>
      <w:r w:rsidRPr="00FB2F3D">
        <w:rPr>
          <w:rFonts w:ascii="Arial" w:eastAsia="Times New Roman" w:hAnsi="Arial" w:cs="Arial"/>
          <w:color w:val="000000"/>
          <w:sz w:val="22"/>
          <w:szCs w:val="22"/>
          <w:lang w:eastAsia="ar-SA"/>
        </w:rPr>
        <w:tab/>
        <w:t xml:space="preserve">The Stabilisation Manager must keep the register in the English language and keep it in a location that would allow for it, or a certified copy, to be available </w:t>
      </w:r>
      <w:r w:rsidRPr="00FB2F3D">
        <w:rPr>
          <w:rFonts w:ascii="Arial" w:eastAsia="Times New Roman" w:hAnsi="Arial" w:cs="Arial"/>
          <w:color w:val="000000"/>
          <w:sz w:val="22"/>
          <w:szCs w:val="22"/>
          <w:lang w:eastAsia="ar-SA"/>
        </w:rPr>
        <w:lastRenderedPageBreak/>
        <w:t xml:space="preserve">within three </w:t>
      </w:r>
      <w:r w:rsidR="006304A2">
        <w:rPr>
          <w:rFonts w:ascii="Arial" w:eastAsia="Times New Roman" w:hAnsi="Arial" w:cs="Arial"/>
          <w:color w:val="000000"/>
          <w:sz w:val="22"/>
          <w:szCs w:val="22"/>
          <w:lang w:eastAsia="ar-SA"/>
        </w:rPr>
        <w:t>B</w:t>
      </w:r>
      <w:r w:rsidRPr="00FB2F3D">
        <w:rPr>
          <w:rFonts w:ascii="Arial" w:eastAsia="Times New Roman" w:hAnsi="Arial" w:cs="Arial"/>
          <w:color w:val="000000"/>
          <w:sz w:val="22"/>
          <w:szCs w:val="22"/>
          <w:lang w:eastAsia="ar-SA"/>
        </w:rPr>
        <w:t xml:space="preserve">usiness </w:t>
      </w:r>
      <w:r w:rsidR="006304A2">
        <w:rPr>
          <w:rFonts w:ascii="Arial" w:eastAsia="Times New Roman" w:hAnsi="Arial" w:cs="Arial"/>
          <w:color w:val="000000"/>
          <w:sz w:val="22"/>
          <w:szCs w:val="22"/>
          <w:lang w:eastAsia="ar-SA"/>
        </w:rPr>
        <w:t>D</w:t>
      </w:r>
      <w:r w:rsidRPr="00FB2F3D">
        <w:rPr>
          <w:rFonts w:ascii="Arial" w:eastAsia="Times New Roman" w:hAnsi="Arial" w:cs="Arial"/>
          <w:color w:val="000000"/>
          <w:sz w:val="22"/>
          <w:szCs w:val="22"/>
          <w:lang w:eastAsia="ar-SA"/>
        </w:rPr>
        <w:t xml:space="preserve">ays to any </w:t>
      </w:r>
      <w:r w:rsidR="006304A2">
        <w:rPr>
          <w:rFonts w:ascii="Arial" w:eastAsia="Times New Roman" w:hAnsi="Arial" w:cs="Arial"/>
          <w:color w:val="000000"/>
          <w:sz w:val="22"/>
          <w:szCs w:val="22"/>
          <w:lang w:eastAsia="ar-SA"/>
        </w:rPr>
        <w:t>P</w:t>
      </w:r>
      <w:r w:rsidRPr="00FB2F3D">
        <w:rPr>
          <w:rFonts w:ascii="Arial" w:eastAsia="Times New Roman" w:hAnsi="Arial" w:cs="Arial"/>
          <w:color w:val="000000"/>
          <w:sz w:val="22"/>
          <w:szCs w:val="22"/>
          <w:lang w:eastAsia="ar-SA"/>
        </w:rPr>
        <w:t>erson permitted by Rules 6.2.16(4) and 6.2.16(5) to inspect it.</w:t>
      </w:r>
    </w:p>
    <w:p w14:paraId="705A9B26" w14:textId="5670F28A" w:rsidR="00A92AB4" w:rsidRPr="00FB2F3D" w:rsidRDefault="00A92AB4" w:rsidP="00A92AB4">
      <w:pPr>
        <w:pStyle w:val="Heading4"/>
        <w:numPr>
          <w:ilvl w:val="0"/>
          <w:numId w:val="0"/>
        </w:numPr>
        <w:ind w:left="1418" w:hanging="698"/>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(4)</w:t>
      </w:r>
      <w:r w:rsidRPr="00FB2F3D">
        <w:rPr>
          <w:rFonts w:ascii="Arial" w:eastAsia="Times New Roman" w:hAnsi="Arial" w:cs="Arial"/>
          <w:color w:val="000000"/>
          <w:sz w:val="22"/>
          <w:szCs w:val="22"/>
          <w:lang w:eastAsia="ar-SA"/>
        </w:rPr>
        <w:tab/>
        <w:t xml:space="preserve">The following </w:t>
      </w:r>
      <w:r w:rsidR="006304A2">
        <w:rPr>
          <w:rFonts w:ascii="Arial" w:eastAsia="Times New Roman" w:hAnsi="Arial" w:cs="Arial"/>
          <w:color w:val="000000"/>
          <w:sz w:val="22"/>
          <w:szCs w:val="22"/>
          <w:lang w:eastAsia="ar-SA"/>
        </w:rPr>
        <w:t>P</w:t>
      </w:r>
      <w:r w:rsidRPr="00FB2F3D">
        <w:rPr>
          <w:rFonts w:ascii="Arial" w:eastAsia="Times New Roman" w:hAnsi="Arial" w:cs="Arial"/>
          <w:color w:val="000000"/>
          <w:sz w:val="22"/>
          <w:szCs w:val="22"/>
          <w:lang w:eastAsia="ar-SA"/>
        </w:rPr>
        <w:t>ersons are permitted to inspect the register upon written request:</w:t>
      </w:r>
    </w:p>
    <w:p w14:paraId="5EFEEE59" w14:textId="77777777" w:rsidR="00A92AB4" w:rsidRPr="00FB2F3D" w:rsidRDefault="00A92AB4" w:rsidP="00A92AB4">
      <w:pPr>
        <w:pStyle w:val="Heading5"/>
        <w:numPr>
          <w:ilvl w:val="0"/>
          <w:numId w:val="0"/>
        </w:numPr>
        <w:ind w:left="2127" w:hanging="709"/>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(a)</w:t>
      </w:r>
      <w:r w:rsidRPr="00FB2F3D">
        <w:rPr>
          <w:rFonts w:ascii="Arial" w:eastAsia="Times New Roman" w:hAnsi="Arial" w:cs="Arial"/>
          <w:iCs/>
          <w:color w:val="000000"/>
          <w:sz w:val="22"/>
          <w:szCs w:val="22"/>
          <w:lang w:eastAsia="ar-SA"/>
        </w:rPr>
        <w:tab/>
        <w:t>the Regulator;</w:t>
      </w:r>
    </w:p>
    <w:p w14:paraId="750ABBBF" w14:textId="77777777" w:rsidR="00A92AB4" w:rsidRPr="00FB2F3D" w:rsidRDefault="00A92AB4" w:rsidP="00A92AB4">
      <w:pPr>
        <w:pStyle w:val="Heading5"/>
        <w:numPr>
          <w:ilvl w:val="0"/>
          <w:numId w:val="0"/>
        </w:numPr>
        <w:ind w:left="2127" w:hanging="709"/>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(b)</w:t>
      </w:r>
      <w:r w:rsidRPr="00FB2F3D">
        <w:rPr>
          <w:rFonts w:ascii="Arial" w:eastAsia="Times New Roman" w:hAnsi="Arial" w:cs="Arial"/>
          <w:iCs/>
          <w:color w:val="000000"/>
          <w:sz w:val="22"/>
          <w:szCs w:val="22"/>
          <w:lang w:eastAsia="ar-SA"/>
        </w:rPr>
        <w:tab/>
        <w:t>the Recognised Investment Exchange upon which the Relevant Securities are admitted to trading; and</w:t>
      </w:r>
    </w:p>
    <w:p w14:paraId="37D19269" w14:textId="3E9FDC31" w:rsidR="00A92AB4" w:rsidRPr="00FB2F3D" w:rsidRDefault="00A92AB4" w:rsidP="00A92AB4">
      <w:pPr>
        <w:pStyle w:val="Heading5"/>
        <w:numPr>
          <w:ilvl w:val="0"/>
          <w:numId w:val="0"/>
        </w:numPr>
        <w:ind w:left="2127" w:hanging="709"/>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(c)</w:t>
      </w:r>
      <w:r w:rsidRPr="00FB2F3D">
        <w:rPr>
          <w:rFonts w:ascii="Arial" w:eastAsia="Times New Roman" w:hAnsi="Arial" w:cs="Arial"/>
          <w:iCs/>
          <w:color w:val="000000"/>
          <w:sz w:val="22"/>
          <w:szCs w:val="22"/>
          <w:lang w:eastAsia="ar-SA"/>
        </w:rPr>
        <w:tab/>
        <w:t xml:space="preserve">any other </w:t>
      </w:r>
      <w:r w:rsidR="006304A2">
        <w:rPr>
          <w:rFonts w:ascii="Arial" w:eastAsia="Times New Roman" w:hAnsi="Arial" w:cs="Arial"/>
          <w:iCs/>
          <w:color w:val="000000"/>
          <w:sz w:val="22"/>
          <w:szCs w:val="22"/>
          <w:lang w:eastAsia="ar-SA"/>
        </w:rPr>
        <w:t>P</w:t>
      </w:r>
      <w:r w:rsidRPr="00FB2F3D">
        <w:rPr>
          <w:rFonts w:ascii="Arial" w:eastAsia="Times New Roman" w:hAnsi="Arial" w:cs="Arial"/>
          <w:iCs/>
          <w:color w:val="000000"/>
          <w:sz w:val="22"/>
          <w:szCs w:val="22"/>
          <w:lang w:eastAsia="ar-SA"/>
        </w:rPr>
        <w:t>erson the Regulator considers appropriate.</w:t>
      </w:r>
    </w:p>
    <w:p w14:paraId="7DEAA214" w14:textId="1ECEEEFA" w:rsidR="00A92AB4" w:rsidRPr="00FB2F3D" w:rsidRDefault="00A92AB4" w:rsidP="00A92AB4">
      <w:pPr>
        <w:pStyle w:val="Heading4"/>
        <w:numPr>
          <w:ilvl w:val="0"/>
          <w:numId w:val="0"/>
        </w:numPr>
        <w:ind w:left="1440" w:hanging="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(5)</w:t>
      </w:r>
      <w:r w:rsidRPr="00FB2F3D">
        <w:rPr>
          <w:rFonts w:ascii="Arial" w:eastAsia="Times New Roman" w:hAnsi="Arial" w:cs="Arial"/>
          <w:color w:val="000000"/>
          <w:sz w:val="22"/>
          <w:szCs w:val="22"/>
          <w:lang w:eastAsia="ar-SA"/>
        </w:rPr>
        <w:tab/>
        <w:t xml:space="preserve">During the Stabilisation Window and within three months from the end of the Stabilisation Window, the Stabilisation Manager must, on any </w:t>
      </w:r>
      <w:r w:rsidR="006304A2">
        <w:rPr>
          <w:rFonts w:ascii="Arial" w:eastAsia="Times New Roman" w:hAnsi="Arial" w:cs="Arial"/>
          <w:color w:val="000000"/>
          <w:sz w:val="22"/>
          <w:szCs w:val="22"/>
          <w:lang w:eastAsia="ar-SA"/>
        </w:rPr>
        <w:t>B</w:t>
      </w:r>
      <w:r w:rsidRPr="00FB2F3D">
        <w:rPr>
          <w:rFonts w:ascii="Arial" w:eastAsia="Times New Roman" w:hAnsi="Arial" w:cs="Arial"/>
          <w:color w:val="000000"/>
          <w:sz w:val="22"/>
          <w:szCs w:val="22"/>
          <w:lang w:eastAsia="ar-SA"/>
        </w:rPr>
        <w:t xml:space="preserve">usiness </w:t>
      </w:r>
      <w:r w:rsidR="006304A2">
        <w:rPr>
          <w:rFonts w:ascii="Arial" w:eastAsia="Times New Roman" w:hAnsi="Arial" w:cs="Arial"/>
          <w:color w:val="000000"/>
          <w:sz w:val="22"/>
          <w:szCs w:val="22"/>
          <w:lang w:eastAsia="ar-SA"/>
        </w:rPr>
        <w:t>D</w:t>
      </w:r>
      <w:r w:rsidRPr="00FB2F3D">
        <w:rPr>
          <w:rFonts w:ascii="Arial" w:eastAsia="Times New Roman" w:hAnsi="Arial" w:cs="Arial"/>
          <w:color w:val="000000"/>
          <w:sz w:val="22"/>
          <w:szCs w:val="22"/>
          <w:lang w:eastAsia="ar-SA"/>
        </w:rPr>
        <w:t>ay, permit the Issuer of the Relevant Securities to which the Price Stabilisation Rules apply to inspect the part of the register kept in accordance with Rule 6.2.16(2)(e).</w:t>
      </w:r>
    </w:p>
    <w:p w14:paraId="2D58D499" w14:textId="694E8F17" w:rsidR="00A92AB4" w:rsidRDefault="00A92AB4" w:rsidP="00A92AB4">
      <w:pPr>
        <w:pStyle w:val="Heading4"/>
        <w:numPr>
          <w:ilvl w:val="0"/>
          <w:numId w:val="0"/>
        </w:numPr>
        <w:ind w:left="1440" w:hanging="720"/>
        <w:rPr>
          <w:rFonts w:ascii="Arial" w:eastAsia="Times New Roman" w:hAnsi="Arial" w:cs="Arial"/>
          <w:bCs w:val="0"/>
          <w:color w:val="000000"/>
          <w:sz w:val="22"/>
          <w:szCs w:val="22"/>
          <w:lang w:eastAsia="ar-SA"/>
        </w:rPr>
      </w:pPr>
      <w:r w:rsidRPr="00FB2F3D">
        <w:rPr>
          <w:rFonts w:ascii="Arial" w:eastAsia="Times New Roman" w:hAnsi="Arial" w:cs="Arial"/>
          <w:bCs w:val="0"/>
          <w:color w:val="000000"/>
          <w:sz w:val="22"/>
          <w:szCs w:val="22"/>
          <w:lang w:eastAsia="ar-SA"/>
        </w:rPr>
        <w:t>(6)</w:t>
      </w:r>
      <w:r w:rsidRPr="00FB2F3D">
        <w:rPr>
          <w:rFonts w:ascii="Arial" w:eastAsia="Times New Roman" w:hAnsi="Arial" w:cs="Arial"/>
          <w:bCs w:val="0"/>
          <w:color w:val="000000"/>
          <w:sz w:val="22"/>
          <w:szCs w:val="22"/>
          <w:lang w:eastAsia="ar-SA"/>
        </w:rPr>
        <w:tab/>
        <w:t xml:space="preserve">The </w:t>
      </w:r>
      <w:r w:rsidRPr="00FB2F3D">
        <w:rPr>
          <w:rFonts w:ascii="Arial" w:eastAsia="Times New Roman" w:hAnsi="Arial" w:cs="Arial"/>
          <w:color w:val="000000"/>
          <w:sz w:val="22"/>
          <w:szCs w:val="22"/>
          <w:lang w:eastAsia="ar-SA"/>
        </w:rPr>
        <w:t>Stabilisation</w:t>
      </w:r>
      <w:r w:rsidRPr="00FB2F3D">
        <w:rPr>
          <w:rFonts w:ascii="Arial" w:eastAsia="Times New Roman" w:hAnsi="Arial" w:cs="Arial"/>
          <w:bCs w:val="0"/>
          <w:color w:val="000000"/>
          <w:sz w:val="22"/>
          <w:szCs w:val="22"/>
          <w:lang w:eastAsia="ar-SA"/>
        </w:rPr>
        <w:t xml:space="preserve"> Manager must keep the register for a period of six years from the end of the Stabilisation Window.</w:t>
      </w:r>
    </w:p>
    <w:p w14:paraId="3DA56F03" w14:textId="77777777" w:rsidR="006304A2" w:rsidRPr="008C5F28" w:rsidRDefault="006304A2" w:rsidP="006304A2">
      <w:pPr>
        <w:ind w:left="720"/>
        <w:jc w:val="both"/>
        <w:rPr>
          <w:rFonts w:ascii="Arial" w:eastAsia="Times New Roman" w:hAnsi="Arial" w:cs="Arial"/>
          <w:b/>
          <w:bCs/>
          <w:iCs/>
          <w:color w:val="000000"/>
          <w:sz w:val="22"/>
          <w:szCs w:val="22"/>
          <w:lang w:eastAsia="ar-SA"/>
        </w:rPr>
      </w:pPr>
      <w:r w:rsidRPr="008C5F28">
        <w:rPr>
          <w:rFonts w:ascii="Arial" w:eastAsia="Times New Roman" w:hAnsi="Arial" w:cs="Arial"/>
          <w:b/>
          <w:bCs/>
          <w:iCs/>
          <w:color w:val="000000"/>
          <w:sz w:val="22"/>
          <w:szCs w:val="22"/>
          <w:lang w:eastAsia="ar-SA"/>
        </w:rPr>
        <w:t>Guidance</w:t>
      </w:r>
    </w:p>
    <w:p w14:paraId="0EA0A8D9" w14:textId="77777777" w:rsidR="006304A2" w:rsidRPr="008C5F28" w:rsidRDefault="006304A2" w:rsidP="006304A2">
      <w:pPr>
        <w:ind w:left="720"/>
        <w:jc w:val="both"/>
        <w:rPr>
          <w:rFonts w:ascii="Arial" w:eastAsia="Times New Roman" w:hAnsi="Arial" w:cs="Arial"/>
          <w:iCs/>
          <w:color w:val="000000"/>
          <w:sz w:val="22"/>
          <w:szCs w:val="22"/>
          <w:lang w:eastAsia="ar-SA"/>
        </w:rPr>
      </w:pPr>
    </w:p>
    <w:p w14:paraId="447A4FBE" w14:textId="77777777" w:rsidR="006304A2" w:rsidRPr="008C5F28" w:rsidRDefault="006304A2" w:rsidP="006304A2">
      <w:pPr>
        <w:ind w:left="720"/>
        <w:jc w:val="both"/>
        <w:rPr>
          <w:rFonts w:ascii="Arial" w:eastAsia="Times New Roman" w:hAnsi="Arial" w:cs="Arial"/>
          <w:iCs/>
          <w:color w:val="000000"/>
          <w:sz w:val="22"/>
          <w:szCs w:val="22"/>
          <w:lang w:eastAsia="ar-SA"/>
        </w:rPr>
      </w:pPr>
      <w:r w:rsidRPr="008C5F28">
        <w:rPr>
          <w:rFonts w:ascii="Arial" w:eastAsia="Times New Roman" w:hAnsi="Arial" w:cs="Arial"/>
          <w:iCs/>
          <w:color w:val="000000"/>
          <w:sz w:val="22"/>
          <w:szCs w:val="22"/>
          <w:lang w:eastAsia="ar-SA"/>
        </w:rPr>
        <w:t>Rule 6.2.16(1)(e)(vi) recognises that some Recognised Investment Exchanges using, for example, anonymous order books or anonymous indications of interest, allow for the identity of counterparties to sometimes be unknown prior to the effecting of transactions.</w:t>
      </w:r>
    </w:p>
    <w:p w14:paraId="23520DBB" w14:textId="77777777" w:rsidR="006304A2" w:rsidRPr="008C5F28" w:rsidRDefault="006304A2" w:rsidP="006304A2">
      <w:pPr>
        <w:ind w:left="720"/>
        <w:jc w:val="both"/>
        <w:rPr>
          <w:rFonts w:ascii="Arial" w:eastAsia="Times New Roman" w:hAnsi="Arial" w:cs="Arial"/>
          <w:iCs/>
          <w:color w:val="000000"/>
          <w:sz w:val="22"/>
          <w:szCs w:val="22"/>
          <w:lang w:eastAsia="ar-SA"/>
        </w:rPr>
      </w:pPr>
    </w:p>
    <w:p w14:paraId="1DE59361" w14:textId="01ACD88F" w:rsidR="006304A2" w:rsidRDefault="006304A2" w:rsidP="006304A2">
      <w:pPr>
        <w:ind w:left="720"/>
        <w:jc w:val="both"/>
        <w:rPr>
          <w:rFonts w:ascii="Arial" w:eastAsia="Times New Roman" w:hAnsi="Arial" w:cs="Arial"/>
          <w:iCs/>
          <w:color w:val="000000"/>
          <w:sz w:val="22"/>
          <w:szCs w:val="22"/>
          <w:lang w:eastAsia="ar-SA"/>
        </w:rPr>
      </w:pPr>
      <w:r w:rsidRPr="008C5F28">
        <w:rPr>
          <w:rFonts w:ascii="Arial" w:eastAsia="Times New Roman" w:hAnsi="Arial" w:cs="Arial"/>
          <w:iCs/>
          <w:color w:val="000000"/>
          <w:sz w:val="22"/>
          <w:szCs w:val="22"/>
          <w:lang w:eastAsia="ar-SA"/>
        </w:rPr>
        <w:t>Rule 6.2.16 also accepts that some participants in the Price Stabilisation may have accrued uneconomic positions during Price Stabilisation and therefore permits a single transaction, probably at the end-of-day, to ‘square-off’ the positions between participants. The terms on which these transactions can be carried may often be agreed in the terms of engagement between the Stabilisation Manager and the Stabilisation Agents.  The Regulator may when inspecting records kept relating to Price Stabilisation seek the rationale for any of these transactions and the price at which they were conducted.</w:t>
      </w:r>
    </w:p>
    <w:p w14:paraId="5EFC9C92" w14:textId="77777777" w:rsidR="008C5F28" w:rsidRPr="008C5F28" w:rsidRDefault="008C5F28" w:rsidP="006304A2">
      <w:pPr>
        <w:ind w:left="720"/>
        <w:jc w:val="both"/>
        <w:rPr>
          <w:rFonts w:ascii="Arial" w:eastAsia="Times New Roman" w:hAnsi="Arial" w:cs="Arial"/>
          <w:iCs/>
          <w:color w:val="000000"/>
          <w:sz w:val="22"/>
          <w:szCs w:val="22"/>
          <w:lang w:eastAsia="ar-SA"/>
        </w:rPr>
      </w:pPr>
    </w:p>
    <w:p w14:paraId="43E0CAD2" w14:textId="77777777" w:rsidR="00A92AB4" w:rsidRPr="00FB2F3D" w:rsidRDefault="00A92AB4" w:rsidP="00A92AB4">
      <w:pPr>
        <w:pStyle w:val="Heading3"/>
        <w:numPr>
          <w:ilvl w:val="0"/>
          <w:numId w:val="0"/>
        </w:numPr>
        <w:rPr>
          <w:rFonts w:ascii="Arial" w:hAnsi="Arial" w:cs="Arial"/>
          <w:b/>
          <w:bCs w:val="0"/>
          <w:sz w:val="22"/>
          <w:szCs w:val="22"/>
        </w:rPr>
      </w:pPr>
      <w:r w:rsidRPr="00FB2F3D">
        <w:rPr>
          <w:rFonts w:ascii="Arial" w:hAnsi="Arial" w:cs="Arial"/>
          <w:b/>
          <w:bCs w:val="0"/>
          <w:sz w:val="22"/>
          <w:szCs w:val="22"/>
        </w:rPr>
        <w:t>6.2.17</w:t>
      </w:r>
      <w:r w:rsidRPr="00FB2F3D">
        <w:rPr>
          <w:rFonts w:ascii="Arial" w:hAnsi="Arial" w:cs="Arial"/>
          <w:b/>
          <w:bCs w:val="0"/>
          <w:sz w:val="22"/>
          <w:szCs w:val="22"/>
        </w:rPr>
        <w:tab/>
        <w:t>Price Stabilisation and Dual-listings</w:t>
      </w:r>
    </w:p>
    <w:p w14:paraId="21D1C0F1" w14:textId="6F605CE6" w:rsidR="00A92AB4" w:rsidRPr="00FB2F3D" w:rsidRDefault="00A92AB4" w:rsidP="00A92AB4">
      <w:pPr>
        <w:pStyle w:val="Heading4"/>
        <w:numPr>
          <w:ilvl w:val="0"/>
          <w:numId w:val="0"/>
        </w:numPr>
        <w:ind w:left="1440" w:hanging="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(1)</w:t>
      </w:r>
      <w:r w:rsidRPr="00FB2F3D">
        <w:rPr>
          <w:rFonts w:ascii="Arial" w:eastAsia="Times New Roman" w:hAnsi="Arial" w:cs="Arial"/>
          <w:color w:val="000000"/>
          <w:sz w:val="22"/>
          <w:szCs w:val="22"/>
          <w:lang w:eastAsia="ar-SA"/>
        </w:rPr>
        <w:tab/>
      </w:r>
      <w:r w:rsidR="008C5F28">
        <w:rPr>
          <w:rFonts w:ascii="Arial" w:eastAsia="Times New Roman" w:hAnsi="Arial" w:cs="Arial"/>
          <w:color w:val="000000"/>
          <w:sz w:val="22"/>
          <w:szCs w:val="22"/>
          <w:lang w:eastAsia="ar-SA"/>
        </w:rPr>
        <w:t xml:space="preserve">This </w:t>
      </w:r>
      <w:r w:rsidRPr="00FB2F3D">
        <w:rPr>
          <w:rFonts w:ascii="Arial" w:eastAsia="Times New Roman" w:hAnsi="Arial" w:cs="Arial"/>
          <w:color w:val="000000"/>
          <w:sz w:val="22"/>
          <w:szCs w:val="22"/>
          <w:lang w:eastAsia="ar-SA"/>
        </w:rPr>
        <w:t>Rule applies to a Person who carries out Price Stabilisation of dual-listed Relevant Securities.</w:t>
      </w:r>
    </w:p>
    <w:p w14:paraId="06E3B18D" w14:textId="5ED8E242" w:rsidR="00A92AB4" w:rsidRPr="00FB2F3D" w:rsidRDefault="00A92AB4" w:rsidP="00A92AB4">
      <w:pPr>
        <w:pStyle w:val="Heading4"/>
        <w:numPr>
          <w:ilvl w:val="0"/>
          <w:numId w:val="0"/>
        </w:numPr>
        <w:ind w:left="1440" w:hanging="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(2)</w:t>
      </w:r>
      <w:r w:rsidRPr="00FB2F3D">
        <w:rPr>
          <w:rFonts w:ascii="Arial" w:eastAsia="Times New Roman" w:hAnsi="Arial" w:cs="Arial"/>
          <w:color w:val="000000"/>
          <w:sz w:val="22"/>
          <w:szCs w:val="22"/>
          <w:lang w:eastAsia="ar-SA"/>
        </w:rPr>
        <w:tab/>
        <w:t xml:space="preserve">For the purposes of (1), ‘dual-listed Relevant Securities’ are Relevant Securities which are listed concurrently on a Recognised Investment Exchange and on either a Remote Investment Exchange or an exchange in a jurisdiction other than the ADGM. </w:t>
      </w:r>
    </w:p>
    <w:p w14:paraId="681F1316" w14:textId="77777777" w:rsidR="00A92AB4" w:rsidRPr="00FB2F3D" w:rsidRDefault="00A92AB4" w:rsidP="00A92AB4">
      <w:pPr>
        <w:pStyle w:val="Heading3"/>
        <w:numPr>
          <w:ilvl w:val="0"/>
          <w:numId w:val="0"/>
        </w:numPr>
        <w:ind w:left="720"/>
        <w:rPr>
          <w:rFonts w:ascii="Arial" w:eastAsia="Times New Roman" w:hAnsi="Arial" w:cs="Arial"/>
          <w:b/>
          <w:iCs/>
          <w:color w:val="000000"/>
          <w:sz w:val="22"/>
          <w:szCs w:val="22"/>
          <w:lang w:eastAsia="ar-SA"/>
        </w:rPr>
      </w:pPr>
      <w:r w:rsidRPr="00FB2F3D">
        <w:rPr>
          <w:rFonts w:ascii="Arial" w:eastAsia="Times New Roman" w:hAnsi="Arial" w:cs="Arial"/>
          <w:b/>
          <w:iCs/>
          <w:color w:val="000000"/>
          <w:sz w:val="22"/>
          <w:szCs w:val="22"/>
          <w:lang w:eastAsia="ar-SA"/>
        </w:rPr>
        <w:t>Guidance</w:t>
      </w:r>
    </w:p>
    <w:p w14:paraId="0B2C1AEC" w14:textId="77777777" w:rsidR="00A92AB4" w:rsidRPr="00FB2F3D" w:rsidRDefault="00A92AB4" w:rsidP="00A92AB4">
      <w:pPr>
        <w:pStyle w:val="Heading3"/>
        <w:numPr>
          <w:ilvl w:val="0"/>
          <w:numId w:val="0"/>
        </w:numPr>
        <w:ind w:left="720"/>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 xml:space="preserve">‘Dual-listed Relevant Securities’ in (2) would, in relation to one Listed Security, include Certificates (e.g., global depository receipts) and Warrants </w:t>
      </w:r>
      <w:r w:rsidR="003F6753" w:rsidRPr="00FB2F3D">
        <w:rPr>
          <w:rFonts w:ascii="Arial" w:eastAsia="Times New Roman" w:hAnsi="Arial" w:cs="Arial"/>
          <w:iCs/>
          <w:color w:val="000000"/>
          <w:sz w:val="22"/>
          <w:szCs w:val="22"/>
          <w:lang w:eastAsia="ar-SA"/>
        </w:rPr>
        <w:t>over the other Listed S</w:t>
      </w:r>
      <w:r w:rsidRPr="00FB2F3D">
        <w:rPr>
          <w:rFonts w:ascii="Arial" w:eastAsia="Times New Roman" w:hAnsi="Arial" w:cs="Arial"/>
          <w:iCs/>
          <w:color w:val="000000"/>
          <w:sz w:val="22"/>
          <w:szCs w:val="22"/>
          <w:lang w:eastAsia="ar-SA"/>
        </w:rPr>
        <w:t>ecurity.</w:t>
      </w:r>
    </w:p>
    <w:p w14:paraId="361180BD" w14:textId="77777777" w:rsidR="00A92AB4" w:rsidRPr="00FB2F3D" w:rsidRDefault="00A92AB4" w:rsidP="00A92AB4">
      <w:pPr>
        <w:pStyle w:val="Heading3"/>
        <w:numPr>
          <w:ilvl w:val="0"/>
          <w:numId w:val="0"/>
        </w:numPr>
        <w:ind w:firstLine="720"/>
        <w:contextualSpacing/>
        <w:rPr>
          <w:rFonts w:ascii="Arial" w:eastAsia="Times New Roman" w:hAnsi="Arial" w:cs="Arial"/>
          <w:b/>
          <w:iCs/>
          <w:color w:val="000000"/>
          <w:sz w:val="22"/>
          <w:szCs w:val="22"/>
          <w:lang w:eastAsia="ar-SA"/>
        </w:rPr>
      </w:pPr>
      <w:r w:rsidRPr="00FB2F3D">
        <w:rPr>
          <w:rFonts w:ascii="Arial" w:eastAsia="Times New Roman" w:hAnsi="Arial" w:cs="Arial"/>
          <w:b/>
          <w:iCs/>
          <w:color w:val="000000"/>
          <w:sz w:val="22"/>
          <w:szCs w:val="22"/>
          <w:lang w:eastAsia="ar-SA"/>
        </w:rPr>
        <w:t>Price Stabilisation in the ADGM</w:t>
      </w:r>
    </w:p>
    <w:p w14:paraId="5884A48E" w14:textId="77777777" w:rsidR="00A92AB4" w:rsidRPr="00FB2F3D" w:rsidRDefault="00A92AB4" w:rsidP="00A92AB4">
      <w:pPr>
        <w:ind w:left="1440" w:hanging="720"/>
        <w:contextualSpacing/>
        <w:jc w:val="both"/>
        <w:rPr>
          <w:rFonts w:ascii="Arial" w:eastAsia="Times New Roman" w:hAnsi="Arial" w:cs="Arial"/>
          <w:sz w:val="22"/>
          <w:szCs w:val="22"/>
          <w:lang w:eastAsia="ar-SA"/>
        </w:rPr>
      </w:pPr>
      <w:r w:rsidRPr="00FB2F3D">
        <w:rPr>
          <w:rFonts w:ascii="Arial" w:eastAsia="Times New Roman" w:hAnsi="Arial" w:cs="Arial"/>
          <w:iCs/>
          <w:color w:val="000000"/>
          <w:sz w:val="22"/>
          <w:szCs w:val="22"/>
          <w:lang w:eastAsia="ar-SA"/>
        </w:rPr>
        <w:lastRenderedPageBreak/>
        <w:t>(3)</w:t>
      </w:r>
      <w:r w:rsidRPr="00FB2F3D">
        <w:rPr>
          <w:rFonts w:ascii="Arial" w:eastAsia="Times New Roman" w:hAnsi="Arial" w:cs="Arial"/>
          <w:iCs/>
          <w:color w:val="000000"/>
          <w:sz w:val="22"/>
          <w:szCs w:val="22"/>
          <w:lang w:eastAsia="ar-SA"/>
        </w:rPr>
        <w:tab/>
        <w:t xml:space="preserve">Subject </w:t>
      </w:r>
      <w:r w:rsidRPr="00FB2F3D">
        <w:rPr>
          <w:rFonts w:ascii="Arial" w:eastAsia="Times New Roman" w:hAnsi="Arial" w:cs="Arial"/>
          <w:sz w:val="22"/>
          <w:szCs w:val="22"/>
          <w:lang w:eastAsia="ar-SA"/>
        </w:rPr>
        <w:t>to (4), a Person who conducts Price Stabilisation of dual-listed Relevant Securities in the ADGM must comply with Rules 6.2.9 to 6.2.16.</w:t>
      </w:r>
    </w:p>
    <w:p w14:paraId="73A9C9E1" w14:textId="77777777" w:rsidR="00A92AB4" w:rsidRPr="00FB2F3D" w:rsidRDefault="00A92AB4" w:rsidP="00A92AB4">
      <w:pPr>
        <w:ind w:left="720"/>
        <w:contextualSpacing/>
        <w:rPr>
          <w:rFonts w:ascii="Arial" w:eastAsia="Times New Roman" w:hAnsi="Arial" w:cs="Arial"/>
          <w:iCs/>
          <w:color w:val="000000"/>
          <w:sz w:val="22"/>
          <w:szCs w:val="22"/>
          <w:highlight w:val="green"/>
          <w:lang w:eastAsia="ar-SA"/>
        </w:rPr>
      </w:pPr>
    </w:p>
    <w:p w14:paraId="53B2A4F6" w14:textId="77777777" w:rsidR="00A92AB4" w:rsidRPr="00FB2F3D" w:rsidRDefault="00A92AB4" w:rsidP="00A92AB4">
      <w:pPr>
        <w:pStyle w:val="Heading4"/>
        <w:numPr>
          <w:ilvl w:val="0"/>
          <w:numId w:val="0"/>
        </w:numPr>
        <w:ind w:left="1440" w:hanging="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(4)</w:t>
      </w:r>
      <w:r w:rsidRPr="00FB2F3D">
        <w:rPr>
          <w:rFonts w:ascii="Arial" w:eastAsia="Times New Roman" w:hAnsi="Arial" w:cs="Arial"/>
          <w:color w:val="000000"/>
          <w:sz w:val="22"/>
          <w:szCs w:val="22"/>
          <w:lang w:eastAsia="ar-SA"/>
        </w:rPr>
        <w:tab/>
        <w:t>A Person who conducts Price Stabilisation in the ADGM of dual-listed Relevant Securities may, where the non-ADGM jurisdiction is a Zone 1 jurisdiction and where the prior consent of the Regulator has been obtained, conduct such Price Stabilisation in accordance with the law of that Zone 1 jurisdiction.</w:t>
      </w:r>
    </w:p>
    <w:p w14:paraId="076F64B0" w14:textId="77777777" w:rsidR="00A92AB4" w:rsidRPr="00FB2F3D" w:rsidRDefault="00A92AB4" w:rsidP="00A92AB4">
      <w:pPr>
        <w:pStyle w:val="Heading4"/>
        <w:numPr>
          <w:ilvl w:val="0"/>
          <w:numId w:val="0"/>
        </w:numPr>
        <w:ind w:left="1440" w:hanging="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(5)</w:t>
      </w:r>
      <w:r w:rsidRPr="00FB2F3D">
        <w:rPr>
          <w:rFonts w:ascii="Arial" w:eastAsia="Times New Roman" w:hAnsi="Arial" w:cs="Arial"/>
          <w:color w:val="000000"/>
          <w:sz w:val="22"/>
          <w:szCs w:val="22"/>
          <w:lang w:eastAsia="ar-SA"/>
        </w:rPr>
        <w:tab/>
        <w:t>The Regulator may give its consent to the conduct of Price Stabilisation referred to in (2) if it is satisfied that the jurisdiction is a Zone 1 jurisdiction and that the Price Stabilisation will be carried out in accordance with the law of that Zone 1 jurisdiction.</w:t>
      </w:r>
    </w:p>
    <w:p w14:paraId="577655F4" w14:textId="77777777" w:rsidR="00A92AB4" w:rsidRPr="00FB2F3D" w:rsidRDefault="00A92AB4" w:rsidP="00A92AB4">
      <w:pPr>
        <w:pStyle w:val="Heading4"/>
        <w:numPr>
          <w:ilvl w:val="0"/>
          <w:numId w:val="0"/>
        </w:numPr>
        <w:ind w:left="1440" w:hanging="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(6)</w:t>
      </w:r>
      <w:r w:rsidRPr="00FB2F3D">
        <w:rPr>
          <w:rFonts w:ascii="Arial" w:eastAsia="Times New Roman" w:hAnsi="Arial" w:cs="Arial"/>
          <w:color w:val="000000"/>
          <w:sz w:val="22"/>
          <w:szCs w:val="22"/>
          <w:lang w:eastAsia="ar-SA"/>
        </w:rPr>
        <w:tab/>
        <w:t>The Regulator may refuse to give its consent if it is not satisfied as to the matters referred to in (5).</w:t>
      </w:r>
    </w:p>
    <w:p w14:paraId="71CC5D4F" w14:textId="77777777" w:rsidR="00A92AB4" w:rsidRPr="00FB2F3D" w:rsidRDefault="00A92AB4" w:rsidP="00A92AB4">
      <w:pPr>
        <w:pStyle w:val="Heading4"/>
        <w:numPr>
          <w:ilvl w:val="0"/>
          <w:numId w:val="0"/>
        </w:numPr>
        <w:ind w:left="1440" w:hanging="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(7)</w:t>
      </w:r>
      <w:r w:rsidRPr="00FB2F3D">
        <w:rPr>
          <w:rFonts w:ascii="Arial" w:eastAsia="Times New Roman" w:hAnsi="Arial" w:cs="Arial"/>
          <w:color w:val="000000"/>
          <w:sz w:val="22"/>
          <w:szCs w:val="22"/>
          <w:lang w:eastAsia="ar-SA"/>
        </w:rPr>
        <w:tab/>
        <w:t>The Regulator may attach conditions to the consent given under this Rule.</w:t>
      </w:r>
    </w:p>
    <w:p w14:paraId="4824A093" w14:textId="77777777" w:rsidR="00A92AB4" w:rsidRPr="00FB2F3D" w:rsidRDefault="00A92AB4" w:rsidP="00A92AB4">
      <w:pPr>
        <w:pStyle w:val="Heading3"/>
        <w:numPr>
          <w:ilvl w:val="0"/>
          <w:numId w:val="0"/>
        </w:numPr>
        <w:ind w:left="720"/>
        <w:rPr>
          <w:rFonts w:ascii="Arial" w:eastAsia="Times New Roman" w:hAnsi="Arial" w:cs="Arial"/>
          <w:b/>
          <w:iCs/>
          <w:color w:val="000000"/>
          <w:sz w:val="22"/>
          <w:szCs w:val="22"/>
          <w:lang w:eastAsia="ar-SA"/>
        </w:rPr>
      </w:pPr>
      <w:r w:rsidRPr="00FB2F3D">
        <w:rPr>
          <w:rFonts w:ascii="Arial" w:eastAsia="Times New Roman" w:hAnsi="Arial" w:cs="Arial"/>
          <w:b/>
          <w:iCs/>
          <w:color w:val="000000"/>
          <w:sz w:val="22"/>
          <w:szCs w:val="22"/>
          <w:lang w:eastAsia="ar-SA"/>
        </w:rPr>
        <w:t>Guidance</w:t>
      </w:r>
    </w:p>
    <w:p w14:paraId="4031116D" w14:textId="77777777" w:rsidR="00A92AB4" w:rsidRPr="00FB2F3D" w:rsidRDefault="00A92AB4" w:rsidP="00A92AB4">
      <w:pPr>
        <w:pStyle w:val="Heading3"/>
        <w:numPr>
          <w:ilvl w:val="0"/>
          <w:numId w:val="0"/>
        </w:numPr>
        <w:ind w:left="720"/>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Rule 6.2.17 allows a Person who is acting as a Stabilisation Manager in respect of a dual-listing of Relevant Securities to rely on the Price Stabilisation Rules or on the laws of a Zone 1 jurisdiction to conduct those activities.  The Rule is intended to provide Stabilisation Managers with some limited flexibility in respect of their activities in the ADGM, so long as those activities are appropriately regulated.</w:t>
      </w:r>
    </w:p>
    <w:p w14:paraId="35765D43" w14:textId="77777777" w:rsidR="00A92AB4" w:rsidRPr="00FB2F3D" w:rsidRDefault="00A92AB4" w:rsidP="00A92AB4">
      <w:pPr>
        <w:pStyle w:val="Heading3"/>
        <w:numPr>
          <w:ilvl w:val="0"/>
          <w:numId w:val="0"/>
        </w:numPr>
        <w:ind w:left="709" w:hanging="720"/>
        <w:rPr>
          <w:rFonts w:ascii="Arial" w:eastAsia="Times New Roman" w:hAnsi="Arial" w:cs="Arial"/>
          <w:iCs/>
          <w:color w:val="000000"/>
          <w:sz w:val="22"/>
          <w:szCs w:val="22"/>
          <w:lang w:eastAsia="ar-SA"/>
        </w:rPr>
      </w:pPr>
      <w:r w:rsidRPr="00FB2F3D">
        <w:rPr>
          <w:rFonts w:ascii="Arial" w:eastAsia="Times New Roman" w:hAnsi="Arial" w:cs="Arial"/>
          <w:b/>
          <w:bCs w:val="0"/>
          <w:iCs/>
          <w:color w:val="000000"/>
          <w:sz w:val="22"/>
          <w:szCs w:val="22"/>
          <w:lang w:eastAsia="ar-SA"/>
        </w:rPr>
        <w:t>6.2.18</w:t>
      </w:r>
      <w:r w:rsidRPr="00FB2F3D">
        <w:rPr>
          <w:rFonts w:ascii="Arial" w:eastAsia="Times New Roman" w:hAnsi="Arial" w:cs="Arial"/>
          <w:iCs/>
          <w:color w:val="000000"/>
          <w:sz w:val="22"/>
          <w:szCs w:val="22"/>
          <w:lang w:eastAsia="ar-SA"/>
        </w:rPr>
        <w:tab/>
      </w:r>
      <w:r w:rsidRPr="00FB2F3D">
        <w:rPr>
          <w:rFonts w:ascii="Arial" w:eastAsia="Times New Roman" w:hAnsi="Arial" w:cs="Arial"/>
          <w:b/>
          <w:iCs/>
          <w:color w:val="000000"/>
          <w:sz w:val="22"/>
          <w:szCs w:val="22"/>
          <w:lang w:eastAsia="ar-SA"/>
        </w:rPr>
        <w:t>Price Stabilisation from the ADGM</w:t>
      </w:r>
    </w:p>
    <w:p w14:paraId="18E4A4F1" w14:textId="77777777" w:rsidR="00A92AB4" w:rsidRPr="00FB2F3D" w:rsidRDefault="00A92AB4" w:rsidP="00A92AB4">
      <w:pPr>
        <w:pStyle w:val="Heading4"/>
        <w:numPr>
          <w:ilvl w:val="0"/>
          <w:numId w:val="0"/>
        </w:numPr>
        <w:ind w:left="1440" w:hanging="720"/>
        <w:rPr>
          <w:rFonts w:ascii="Arial" w:eastAsia="Times New Roman" w:hAnsi="Arial" w:cs="Arial"/>
          <w:color w:val="000000"/>
          <w:sz w:val="22"/>
          <w:szCs w:val="22"/>
          <w:lang w:eastAsia="ar-SA"/>
        </w:rPr>
      </w:pPr>
      <w:r w:rsidRPr="00FB2F3D">
        <w:rPr>
          <w:rFonts w:ascii="Arial" w:eastAsia="Times New Roman" w:hAnsi="Arial" w:cs="Arial"/>
          <w:color w:val="000000"/>
          <w:sz w:val="22"/>
          <w:szCs w:val="22"/>
          <w:lang w:eastAsia="ar-SA"/>
        </w:rPr>
        <w:t>(1)</w:t>
      </w:r>
      <w:r w:rsidRPr="00FB2F3D">
        <w:rPr>
          <w:rFonts w:ascii="Arial" w:eastAsia="Times New Roman" w:hAnsi="Arial" w:cs="Arial"/>
          <w:color w:val="000000"/>
          <w:sz w:val="22"/>
          <w:szCs w:val="22"/>
          <w:lang w:eastAsia="ar-SA"/>
        </w:rPr>
        <w:tab/>
        <w:t>A Person who conducts, from the ADGM, Price Stabilisation of dual-listed Relevant Securities on a Remote Investment Exchange or an exchange outside the ADGM must:</w:t>
      </w:r>
    </w:p>
    <w:p w14:paraId="16985D9D" w14:textId="58040EC3" w:rsidR="00A92AB4" w:rsidRPr="00FB2F3D" w:rsidRDefault="00A92AB4" w:rsidP="00A92AB4">
      <w:pPr>
        <w:pStyle w:val="Heading5"/>
        <w:numPr>
          <w:ilvl w:val="0"/>
          <w:numId w:val="0"/>
        </w:numPr>
        <w:ind w:left="2127" w:hanging="709"/>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(a)</w:t>
      </w:r>
      <w:r w:rsidRPr="00FB2F3D">
        <w:rPr>
          <w:rFonts w:ascii="Arial" w:eastAsia="Times New Roman" w:hAnsi="Arial" w:cs="Arial"/>
          <w:iCs/>
          <w:color w:val="000000"/>
          <w:sz w:val="22"/>
          <w:szCs w:val="22"/>
          <w:lang w:eastAsia="ar-SA"/>
        </w:rPr>
        <w:tab/>
        <w:t>ensure that such Price Stabilisation is conducted in accordance with the law of tha</w:t>
      </w:r>
      <w:r w:rsidR="00DE24DD">
        <w:rPr>
          <w:rFonts w:ascii="Arial" w:eastAsia="Times New Roman" w:hAnsi="Arial" w:cs="Arial"/>
          <w:iCs/>
          <w:color w:val="000000"/>
          <w:sz w:val="22"/>
          <w:szCs w:val="22"/>
          <w:lang w:eastAsia="ar-SA"/>
        </w:rPr>
        <w:t>t</w:t>
      </w:r>
      <w:r w:rsidRPr="00FB2F3D">
        <w:rPr>
          <w:rFonts w:ascii="Arial" w:eastAsia="Times New Roman" w:hAnsi="Arial" w:cs="Arial"/>
          <w:iCs/>
          <w:color w:val="000000"/>
          <w:sz w:val="22"/>
          <w:szCs w:val="22"/>
          <w:lang w:eastAsia="ar-SA"/>
        </w:rPr>
        <w:t xml:space="preserve"> non-ADGM jurisdiction; and</w:t>
      </w:r>
    </w:p>
    <w:p w14:paraId="6E4BFC04" w14:textId="2A384A0E" w:rsidR="00A92AB4" w:rsidRPr="00FB2F3D" w:rsidRDefault="00A92AB4" w:rsidP="00A92AB4">
      <w:pPr>
        <w:pStyle w:val="Heading5"/>
        <w:numPr>
          <w:ilvl w:val="0"/>
          <w:numId w:val="0"/>
        </w:numPr>
        <w:ind w:left="2127" w:hanging="709"/>
        <w:rPr>
          <w:rFonts w:ascii="Arial" w:eastAsia="Times New Roman" w:hAnsi="Arial" w:cs="Arial"/>
          <w:iCs/>
          <w:color w:val="000000"/>
          <w:sz w:val="22"/>
          <w:szCs w:val="22"/>
          <w:lang w:eastAsia="ar-SA"/>
        </w:rPr>
      </w:pPr>
      <w:r w:rsidRPr="00FB2F3D">
        <w:rPr>
          <w:rFonts w:ascii="Arial" w:eastAsia="Times New Roman" w:hAnsi="Arial" w:cs="Arial"/>
          <w:iCs/>
          <w:color w:val="000000"/>
          <w:sz w:val="22"/>
          <w:szCs w:val="22"/>
          <w:lang w:eastAsia="ar-SA"/>
        </w:rPr>
        <w:t>(b)</w:t>
      </w:r>
      <w:r w:rsidRPr="00FB2F3D">
        <w:rPr>
          <w:rFonts w:ascii="Arial" w:eastAsia="Times New Roman" w:hAnsi="Arial" w:cs="Arial"/>
          <w:iCs/>
          <w:color w:val="000000"/>
          <w:sz w:val="22"/>
          <w:szCs w:val="22"/>
          <w:lang w:eastAsia="ar-SA"/>
        </w:rPr>
        <w:tab/>
        <w:t xml:space="preserve">provide the </w:t>
      </w:r>
      <w:r w:rsidR="00DE24DD">
        <w:rPr>
          <w:rFonts w:ascii="Arial" w:eastAsia="Times New Roman" w:hAnsi="Arial" w:cs="Arial"/>
          <w:iCs/>
          <w:color w:val="000000"/>
          <w:sz w:val="22"/>
          <w:szCs w:val="22"/>
          <w:lang w:eastAsia="ar-SA"/>
        </w:rPr>
        <w:t>Regulator</w:t>
      </w:r>
      <w:r w:rsidRPr="00FB2F3D">
        <w:rPr>
          <w:rFonts w:ascii="Arial" w:eastAsia="Times New Roman" w:hAnsi="Arial" w:cs="Arial"/>
          <w:iCs/>
          <w:color w:val="000000"/>
          <w:sz w:val="22"/>
          <w:szCs w:val="22"/>
          <w:lang w:eastAsia="ar-SA"/>
        </w:rPr>
        <w:t xml:space="preserve"> adequate prior notification of such Price Stabilisation.</w:t>
      </w:r>
    </w:p>
    <w:p w14:paraId="74101731" w14:textId="77777777" w:rsidR="00A92AB4" w:rsidRPr="00FB2F3D" w:rsidRDefault="00A92AB4" w:rsidP="00A92AB4">
      <w:pPr>
        <w:pStyle w:val="Heading3"/>
        <w:numPr>
          <w:ilvl w:val="0"/>
          <w:numId w:val="0"/>
        </w:numPr>
        <w:ind w:left="1288" w:hanging="720"/>
        <w:rPr>
          <w:rFonts w:ascii="Arial" w:eastAsia="Times New Roman" w:hAnsi="Arial" w:cs="Arial"/>
          <w:b/>
          <w:iCs/>
          <w:color w:val="000000"/>
          <w:sz w:val="22"/>
          <w:szCs w:val="22"/>
          <w:lang w:eastAsia="ar-SA"/>
        </w:rPr>
      </w:pPr>
      <w:r w:rsidRPr="00FB2F3D">
        <w:rPr>
          <w:rFonts w:ascii="Arial" w:eastAsia="Times New Roman" w:hAnsi="Arial" w:cs="Arial"/>
          <w:b/>
          <w:iCs/>
          <w:color w:val="000000"/>
          <w:sz w:val="22"/>
          <w:szCs w:val="22"/>
          <w:lang w:eastAsia="ar-SA"/>
        </w:rPr>
        <w:t>Guidance</w:t>
      </w:r>
    </w:p>
    <w:p w14:paraId="2856A8D1" w14:textId="77777777" w:rsidR="00A92AB4" w:rsidRPr="00FB2F3D" w:rsidRDefault="00A92AB4" w:rsidP="00A92AB4">
      <w:pPr>
        <w:pStyle w:val="Heading3"/>
        <w:numPr>
          <w:ilvl w:val="0"/>
          <w:numId w:val="0"/>
        </w:numPr>
        <w:ind w:left="567" w:firstLine="1"/>
        <w:rPr>
          <w:rFonts w:ascii="Arial" w:eastAsia="Times New Roman" w:hAnsi="Arial" w:cs="Arial"/>
          <w:bCs w:val="0"/>
          <w:iCs/>
          <w:color w:val="000000"/>
          <w:sz w:val="22"/>
          <w:szCs w:val="22"/>
          <w:lang w:eastAsia="ar-SA"/>
        </w:rPr>
      </w:pPr>
      <w:r w:rsidRPr="00FB2F3D">
        <w:rPr>
          <w:rFonts w:ascii="Arial" w:eastAsia="Times New Roman" w:hAnsi="Arial" w:cs="Arial"/>
          <w:bCs w:val="0"/>
          <w:iCs/>
          <w:color w:val="000000"/>
          <w:sz w:val="22"/>
          <w:szCs w:val="22"/>
          <w:lang w:eastAsia="ar-SA"/>
        </w:rPr>
        <w:t>Rule 6.2.18 allows a Person who is acting as a Stabilisation Manager in respect of a dual-listing of Relevant Securities to rely on the laws of another jurisdiction to conduct those activities outside the ADGM.  The Rule is intended to provide Stabilisation Managers with some limited flexibility in respect of their activities outside the ADGM.</w:t>
      </w:r>
    </w:p>
    <w:p w14:paraId="1F9710B3" w14:textId="1C15B9F7" w:rsidR="003B6092" w:rsidRPr="00FB2F3D" w:rsidRDefault="00DE24DD" w:rsidP="003B6092">
      <w:pPr>
        <w:pStyle w:val="Heading1"/>
        <w:rPr>
          <w:rFonts w:ascii="Arial" w:hAnsi="Arial" w:cs="Arial"/>
          <w:sz w:val="22"/>
          <w:szCs w:val="22"/>
        </w:rPr>
      </w:pPr>
      <w:bookmarkStart w:id="585" w:name="_Toc409521838"/>
      <w:bookmarkStart w:id="586" w:name="_Ref410075226"/>
      <w:bookmarkStart w:id="587" w:name="_Toc410136235"/>
      <w:bookmarkStart w:id="588" w:name="_Toc410605944"/>
      <w:bookmarkStart w:id="589" w:name="_Toc410658880"/>
      <w:bookmarkStart w:id="590" w:name="_Toc410659007"/>
      <w:bookmarkStart w:id="591" w:name="_Ref410664728"/>
      <w:bookmarkStart w:id="592" w:name="_Toc410835554"/>
      <w:bookmarkStart w:id="593" w:name="_Ref416750852"/>
      <w:bookmarkStart w:id="594" w:name="_Toc138325691"/>
      <w:r>
        <w:rPr>
          <w:rFonts w:ascii="Arial" w:hAnsi="Arial" w:cs="Arial"/>
          <w:sz w:val="22"/>
          <w:szCs w:val="22"/>
        </w:rPr>
        <w:t>CONTINUOUS</w:t>
      </w:r>
      <w:r w:rsidR="003B6092" w:rsidRPr="00FB2F3D">
        <w:rPr>
          <w:rFonts w:ascii="Arial" w:hAnsi="Arial" w:cs="Arial"/>
          <w:sz w:val="22"/>
          <w:szCs w:val="22"/>
        </w:rPr>
        <w:t xml:space="preserve"> DISCLOSURE</w:t>
      </w:r>
      <w:bookmarkEnd w:id="585"/>
      <w:bookmarkEnd w:id="586"/>
      <w:bookmarkEnd w:id="587"/>
      <w:bookmarkEnd w:id="588"/>
      <w:bookmarkEnd w:id="589"/>
      <w:bookmarkEnd w:id="590"/>
      <w:bookmarkEnd w:id="591"/>
      <w:bookmarkEnd w:id="592"/>
      <w:bookmarkEnd w:id="593"/>
      <w:bookmarkEnd w:id="594"/>
    </w:p>
    <w:p w14:paraId="01687467" w14:textId="77777777" w:rsidR="003B6092" w:rsidRPr="00FB2F3D" w:rsidRDefault="003B6092" w:rsidP="003B6092">
      <w:pPr>
        <w:pStyle w:val="Heading2"/>
        <w:rPr>
          <w:rFonts w:ascii="Arial" w:hAnsi="Arial" w:cs="Arial"/>
          <w:sz w:val="22"/>
          <w:szCs w:val="22"/>
        </w:rPr>
      </w:pPr>
      <w:bookmarkStart w:id="595" w:name="_Toc409521839"/>
      <w:bookmarkStart w:id="596" w:name="_Toc410136236"/>
      <w:bookmarkStart w:id="597" w:name="_Toc410605945"/>
      <w:bookmarkStart w:id="598" w:name="_Toc410658881"/>
      <w:bookmarkStart w:id="599" w:name="_Toc410659008"/>
      <w:bookmarkStart w:id="600" w:name="_Toc410835555"/>
      <w:bookmarkStart w:id="601" w:name="_Toc138325692"/>
      <w:r w:rsidRPr="00FB2F3D">
        <w:rPr>
          <w:rFonts w:ascii="Arial" w:hAnsi="Arial" w:cs="Arial"/>
          <w:sz w:val="22"/>
          <w:szCs w:val="22"/>
        </w:rPr>
        <w:t>Application</w:t>
      </w:r>
      <w:bookmarkEnd w:id="595"/>
      <w:bookmarkEnd w:id="596"/>
      <w:bookmarkEnd w:id="597"/>
      <w:bookmarkEnd w:id="598"/>
      <w:bookmarkEnd w:id="599"/>
      <w:bookmarkEnd w:id="600"/>
      <w:bookmarkEnd w:id="601"/>
    </w:p>
    <w:p w14:paraId="1F4650F0" w14:textId="088BF20E" w:rsidR="003B6092" w:rsidRPr="00FB2F3D" w:rsidRDefault="007441BA" w:rsidP="003B6092">
      <w:pPr>
        <w:pStyle w:val="Heading3"/>
        <w:ind w:left="1440" w:hanging="1440"/>
        <w:rPr>
          <w:rFonts w:ascii="Arial" w:hAnsi="Arial" w:cs="Arial"/>
          <w:sz w:val="22"/>
          <w:szCs w:val="22"/>
        </w:rPr>
      </w:pPr>
      <w:r w:rsidRPr="00FB2F3D">
        <w:rPr>
          <w:rFonts w:ascii="Arial" w:hAnsi="Arial" w:cs="Arial"/>
          <w:sz w:val="22"/>
          <w:szCs w:val="22"/>
        </w:rPr>
        <w:t>(1)</w:t>
      </w:r>
      <w:r w:rsidR="003B6092" w:rsidRPr="00FB2F3D">
        <w:rPr>
          <w:rFonts w:ascii="Arial" w:hAnsi="Arial" w:cs="Arial"/>
          <w:sz w:val="22"/>
          <w:szCs w:val="22"/>
        </w:rPr>
        <w:tab/>
        <w:t xml:space="preserve">This chapter applies, subject to </w:t>
      </w:r>
      <w:r w:rsidR="00693841" w:rsidRPr="00FB2F3D">
        <w:rPr>
          <w:rFonts w:ascii="Arial" w:hAnsi="Arial" w:cs="Arial"/>
          <w:sz w:val="22"/>
          <w:szCs w:val="22"/>
        </w:rPr>
        <w:t>(2)</w:t>
      </w:r>
      <w:r w:rsidR="003B6092" w:rsidRPr="00FB2F3D">
        <w:rPr>
          <w:rFonts w:ascii="Arial" w:hAnsi="Arial" w:cs="Arial"/>
          <w:sz w:val="22"/>
          <w:szCs w:val="22"/>
        </w:rPr>
        <w:t>, to every Reporting Entity.</w:t>
      </w:r>
    </w:p>
    <w:p w14:paraId="679BBF88" w14:textId="371366F6" w:rsidR="003B6092" w:rsidRPr="00FB2F3D" w:rsidRDefault="00A92AB4" w:rsidP="00A92AB4">
      <w:pPr>
        <w:pStyle w:val="Heading4"/>
        <w:numPr>
          <w:ilvl w:val="0"/>
          <w:numId w:val="0"/>
        </w:numPr>
        <w:ind w:left="1440" w:hanging="720"/>
        <w:rPr>
          <w:rFonts w:ascii="Arial" w:hAnsi="Arial" w:cs="Arial"/>
          <w:sz w:val="22"/>
          <w:szCs w:val="22"/>
        </w:rPr>
      </w:pPr>
      <w:bookmarkStart w:id="602" w:name="_Ref410667536"/>
      <w:r w:rsidRPr="00FB2F3D">
        <w:rPr>
          <w:rFonts w:ascii="Arial" w:hAnsi="Arial" w:cs="Arial"/>
          <w:sz w:val="22"/>
          <w:szCs w:val="22"/>
        </w:rPr>
        <w:t>(2)</w:t>
      </w:r>
      <w:r w:rsidRPr="00FB2F3D">
        <w:rPr>
          <w:rFonts w:ascii="Arial" w:hAnsi="Arial" w:cs="Arial"/>
          <w:sz w:val="22"/>
          <w:szCs w:val="22"/>
        </w:rPr>
        <w:tab/>
      </w:r>
      <w:r w:rsidR="003B6092" w:rsidRPr="00FB2F3D">
        <w:rPr>
          <w:rFonts w:ascii="Arial" w:hAnsi="Arial" w:cs="Arial"/>
          <w:sz w:val="22"/>
          <w:szCs w:val="22"/>
        </w:rPr>
        <w:t xml:space="preserve">The requirements in this section do not apply to a Reporting Entity if the relevant </w:t>
      </w:r>
      <w:r w:rsidR="00DE24DD">
        <w:rPr>
          <w:rFonts w:ascii="Arial" w:hAnsi="Arial" w:cs="Arial"/>
          <w:sz w:val="22"/>
          <w:szCs w:val="22"/>
        </w:rPr>
        <w:t>D</w:t>
      </w:r>
      <w:r w:rsidR="003B6092" w:rsidRPr="00FB2F3D">
        <w:rPr>
          <w:rFonts w:ascii="Arial" w:hAnsi="Arial" w:cs="Arial"/>
          <w:sz w:val="22"/>
          <w:szCs w:val="22"/>
        </w:rPr>
        <w:t>isclosure has already been made in relation to the Financial Instruments either by another Person or in relation to other Financial Instruments.</w:t>
      </w:r>
      <w:bookmarkEnd w:id="602"/>
    </w:p>
    <w:p w14:paraId="4C36E48C" w14:textId="77777777" w:rsidR="003B6092" w:rsidRPr="00FB2F3D" w:rsidRDefault="003B6092" w:rsidP="003B6092">
      <w:pPr>
        <w:pStyle w:val="Heading2"/>
        <w:rPr>
          <w:rFonts w:ascii="Arial" w:hAnsi="Arial" w:cs="Arial"/>
          <w:sz w:val="22"/>
          <w:szCs w:val="22"/>
        </w:rPr>
      </w:pPr>
      <w:bookmarkStart w:id="603" w:name="_Toc409521840"/>
      <w:bookmarkStart w:id="604" w:name="_Ref410075687"/>
      <w:bookmarkStart w:id="605" w:name="_Toc410136237"/>
      <w:bookmarkStart w:id="606" w:name="_Toc410605946"/>
      <w:bookmarkStart w:id="607" w:name="_Ref410630998"/>
      <w:bookmarkStart w:id="608" w:name="_Toc410658882"/>
      <w:bookmarkStart w:id="609" w:name="_Toc410659009"/>
      <w:bookmarkStart w:id="610" w:name="_Toc410835556"/>
      <w:bookmarkStart w:id="611" w:name="_Ref416813995"/>
      <w:bookmarkStart w:id="612" w:name="_Toc138325693"/>
      <w:r w:rsidRPr="00FB2F3D">
        <w:rPr>
          <w:rFonts w:ascii="Arial" w:hAnsi="Arial" w:cs="Arial"/>
          <w:sz w:val="22"/>
          <w:szCs w:val="22"/>
        </w:rPr>
        <w:lastRenderedPageBreak/>
        <w:t>Disclosure of Inside Information</w:t>
      </w:r>
      <w:bookmarkEnd w:id="603"/>
      <w:bookmarkEnd w:id="604"/>
      <w:bookmarkEnd w:id="605"/>
      <w:bookmarkEnd w:id="606"/>
      <w:bookmarkEnd w:id="607"/>
      <w:bookmarkEnd w:id="608"/>
      <w:bookmarkEnd w:id="609"/>
      <w:bookmarkEnd w:id="610"/>
      <w:bookmarkEnd w:id="611"/>
      <w:bookmarkEnd w:id="612"/>
    </w:p>
    <w:p w14:paraId="70EAB6B5" w14:textId="5E4F1B6A" w:rsidR="003B6092" w:rsidRPr="00FB2F3D" w:rsidRDefault="00DE24DD" w:rsidP="003B6092">
      <w:pPr>
        <w:pStyle w:val="TitleL"/>
        <w:rPr>
          <w:rFonts w:ascii="Arial" w:hAnsi="Arial" w:cs="Arial"/>
          <w:sz w:val="22"/>
          <w:szCs w:val="22"/>
        </w:rPr>
      </w:pPr>
      <w:r>
        <w:rPr>
          <w:rFonts w:ascii="Arial" w:hAnsi="Arial" w:cs="Arial"/>
          <w:sz w:val="22"/>
          <w:szCs w:val="22"/>
        </w:rPr>
        <w:t>Immediate Disclosure of Inside Information</w:t>
      </w:r>
    </w:p>
    <w:p w14:paraId="77703483" w14:textId="310EB823" w:rsidR="003B6092" w:rsidRPr="00FB2F3D" w:rsidRDefault="007441BA" w:rsidP="003B6092">
      <w:pPr>
        <w:pStyle w:val="Heading3"/>
        <w:ind w:left="1440" w:hanging="1440"/>
        <w:rPr>
          <w:rFonts w:ascii="Arial" w:hAnsi="Arial" w:cs="Arial"/>
          <w:sz w:val="22"/>
          <w:szCs w:val="22"/>
        </w:rPr>
      </w:pPr>
      <w:bookmarkStart w:id="613" w:name="_Ref410053870"/>
      <w:r w:rsidRPr="00FB2F3D">
        <w:rPr>
          <w:rFonts w:ascii="Arial" w:hAnsi="Arial" w:cs="Arial"/>
          <w:sz w:val="22"/>
          <w:szCs w:val="22"/>
        </w:rPr>
        <w:t>(1)</w:t>
      </w:r>
      <w:r w:rsidR="003B6092" w:rsidRPr="00FB2F3D">
        <w:rPr>
          <w:rFonts w:ascii="Arial" w:hAnsi="Arial" w:cs="Arial"/>
          <w:sz w:val="22"/>
          <w:szCs w:val="22"/>
        </w:rPr>
        <w:tab/>
      </w:r>
      <w:r w:rsidR="00DE24DD">
        <w:rPr>
          <w:rFonts w:ascii="Arial" w:hAnsi="Arial" w:cs="Arial"/>
          <w:sz w:val="22"/>
          <w:szCs w:val="22"/>
        </w:rPr>
        <w:t xml:space="preserve">Subject to Rule 7.2.1(4), once a </w:t>
      </w:r>
      <w:r w:rsidR="003B6092" w:rsidRPr="00FB2F3D">
        <w:rPr>
          <w:rFonts w:ascii="Arial" w:hAnsi="Arial" w:cs="Arial"/>
          <w:sz w:val="22"/>
          <w:szCs w:val="22"/>
        </w:rPr>
        <w:t>Reporting Entity</w:t>
      </w:r>
      <w:r w:rsidR="001775C6">
        <w:rPr>
          <w:rFonts w:ascii="Arial" w:hAnsi="Arial" w:cs="Arial"/>
          <w:sz w:val="22"/>
          <w:szCs w:val="22"/>
        </w:rPr>
        <w:t xml:space="preserve"> is, or becomes, aware of Inside Information, it</w:t>
      </w:r>
      <w:r w:rsidR="003B6092" w:rsidRPr="00FB2F3D">
        <w:rPr>
          <w:rFonts w:ascii="Arial" w:hAnsi="Arial" w:cs="Arial"/>
          <w:sz w:val="22"/>
          <w:szCs w:val="22"/>
        </w:rPr>
        <w:t xml:space="preserve"> must </w:t>
      </w:r>
      <w:r w:rsidR="001775C6">
        <w:rPr>
          <w:rFonts w:ascii="Arial" w:hAnsi="Arial" w:cs="Arial"/>
          <w:sz w:val="22"/>
          <w:szCs w:val="22"/>
        </w:rPr>
        <w:t>immediately Disclose that</w:t>
      </w:r>
      <w:r w:rsidR="003B6092" w:rsidRPr="00FB2F3D">
        <w:rPr>
          <w:rFonts w:ascii="Arial" w:hAnsi="Arial" w:cs="Arial"/>
          <w:sz w:val="22"/>
          <w:szCs w:val="22"/>
        </w:rPr>
        <w:t xml:space="preserve"> Inside Information.</w:t>
      </w:r>
      <w:bookmarkEnd w:id="613"/>
    </w:p>
    <w:p w14:paraId="269B820C" w14:textId="063BDD3D" w:rsidR="003B6092" w:rsidRPr="00FB2F3D" w:rsidRDefault="00C55DF3" w:rsidP="00C55DF3">
      <w:pPr>
        <w:pStyle w:val="Heading4"/>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3B6092" w:rsidRPr="00FB2F3D">
        <w:rPr>
          <w:rFonts w:ascii="Arial" w:hAnsi="Arial" w:cs="Arial"/>
          <w:sz w:val="22"/>
          <w:szCs w:val="22"/>
        </w:rPr>
        <w:t xml:space="preserve">A Reporting Entity must ensure that the </w:t>
      </w:r>
      <w:r w:rsidR="001775C6">
        <w:rPr>
          <w:rFonts w:ascii="Arial" w:hAnsi="Arial" w:cs="Arial"/>
          <w:sz w:val="22"/>
          <w:szCs w:val="22"/>
        </w:rPr>
        <w:t>D</w:t>
      </w:r>
      <w:r w:rsidR="003B6092" w:rsidRPr="00FB2F3D">
        <w:rPr>
          <w:rFonts w:ascii="Arial" w:hAnsi="Arial" w:cs="Arial"/>
          <w:sz w:val="22"/>
          <w:szCs w:val="22"/>
        </w:rPr>
        <w:t xml:space="preserve">isclosure it makes pursuant to </w:t>
      </w:r>
      <w:r w:rsidR="00693841" w:rsidRPr="00FB2F3D">
        <w:rPr>
          <w:rFonts w:ascii="Arial" w:hAnsi="Arial" w:cs="Arial"/>
          <w:sz w:val="22"/>
          <w:szCs w:val="22"/>
        </w:rPr>
        <w:t>(1)</w:t>
      </w:r>
      <w:r w:rsidR="003B6092" w:rsidRPr="00FB2F3D">
        <w:rPr>
          <w:rFonts w:ascii="Arial" w:hAnsi="Arial" w:cs="Arial"/>
          <w:sz w:val="22"/>
          <w:szCs w:val="22"/>
        </w:rPr>
        <w:t xml:space="preserve"> is not </w:t>
      </w:r>
      <w:r w:rsidR="00EC3624" w:rsidRPr="00FB2F3D">
        <w:rPr>
          <w:rFonts w:ascii="Arial" w:hAnsi="Arial" w:cs="Arial"/>
          <w:sz w:val="22"/>
          <w:szCs w:val="22"/>
        </w:rPr>
        <w:t>false, misleading, or deceptive</w:t>
      </w:r>
      <w:r w:rsidR="003B6092" w:rsidRPr="00FB2F3D">
        <w:rPr>
          <w:rFonts w:ascii="Arial" w:hAnsi="Arial" w:cs="Arial"/>
          <w:sz w:val="22"/>
          <w:szCs w:val="22"/>
        </w:rPr>
        <w:t xml:space="preserve"> and does not omit anything likely to affect the import of the </w:t>
      </w:r>
      <w:r w:rsidR="001775C6">
        <w:rPr>
          <w:rFonts w:ascii="Arial" w:hAnsi="Arial" w:cs="Arial"/>
          <w:sz w:val="22"/>
          <w:szCs w:val="22"/>
        </w:rPr>
        <w:t>Inside I</w:t>
      </w:r>
      <w:r w:rsidR="003B6092" w:rsidRPr="00FB2F3D">
        <w:rPr>
          <w:rFonts w:ascii="Arial" w:hAnsi="Arial" w:cs="Arial"/>
          <w:sz w:val="22"/>
          <w:szCs w:val="22"/>
        </w:rPr>
        <w:t>nformation.</w:t>
      </w:r>
    </w:p>
    <w:p w14:paraId="36D8D4F6" w14:textId="0F7F1293" w:rsidR="003B6092" w:rsidRDefault="00C55DF3" w:rsidP="00C55DF3">
      <w:pPr>
        <w:pStyle w:val="Heading4"/>
        <w:numPr>
          <w:ilvl w:val="0"/>
          <w:numId w:val="0"/>
        </w:numPr>
        <w:ind w:left="1440" w:hanging="720"/>
        <w:rPr>
          <w:rFonts w:ascii="Arial" w:hAnsi="Arial" w:cs="Arial"/>
          <w:sz w:val="22"/>
          <w:szCs w:val="22"/>
        </w:rPr>
      </w:pPr>
      <w:r w:rsidRPr="00FB2F3D">
        <w:rPr>
          <w:rFonts w:ascii="Arial" w:hAnsi="Arial" w:cs="Arial"/>
          <w:sz w:val="22"/>
          <w:szCs w:val="22"/>
        </w:rPr>
        <w:t>(3)</w:t>
      </w:r>
      <w:r w:rsidRPr="00FB2F3D">
        <w:rPr>
          <w:rFonts w:ascii="Arial" w:hAnsi="Arial" w:cs="Arial"/>
          <w:sz w:val="22"/>
          <w:szCs w:val="22"/>
        </w:rPr>
        <w:tab/>
      </w:r>
      <w:r w:rsidR="003B6092" w:rsidRPr="00FB2F3D">
        <w:rPr>
          <w:rFonts w:ascii="Arial" w:hAnsi="Arial" w:cs="Arial"/>
          <w:sz w:val="22"/>
          <w:szCs w:val="22"/>
        </w:rPr>
        <w:t xml:space="preserve">For the purposes of complying with the requirement in </w:t>
      </w:r>
      <w:r w:rsidR="00693841" w:rsidRPr="00FB2F3D">
        <w:rPr>
          <w:rFonts w:ascii="Arial" w:hAnsi="Arial" w:cs="Arial"/>
          <w:sz w:val="22"/>
          <w:szCs w:val="22"/>
        </w:rPr>
        <w:t>(1)</w:t>
      </w:r>
      <w:r w:rsidR="003B6092" w:rsidRPr="00FB2F3D">
        <w:rPr>
          <w:rFonts w:ascii="Arial" w:hAnsi="Arial" w:cs="Arial"/>
          <w:sz w:val="22"/>
          <w:szCs w:val="22"/>
        </w:rPr>
        <w:t>, the Reporting Entity must, subject to Rule </w:t>
      </w:r>
      <w:r w:rsidR="001775C6">
        <w:rPr>
          <w:rFonts w:ascii="Arial" w:hAnsi="Arial" w:cs="Arial"/>
          <w:sz w:val="22"/>
          <w:szCs w:val="22"/>
        </w:rPr>
        <w:t>7.2.1(</w:t>
      </w:r>
      <w:r w:rsidR="00693841" w:rsidRPr="00FB2F3D">
        <w:rPr>
          <w:rFonts w:ascii="Arial" w:hAnsi="Arial" w:cs="Arial"/>
          <w:sz w:val="22"/>
          <w:szCs w:val="22"/>
        </w:rPr>
        <w:t>4</w:t>
      </w:r>
      <w:r w:rsidR="001775C6">
        <w:rPr>
          <w:rFonts w:ascii="Arial" w:hAnsi="Arial" w:cs="Arial"/>
          <w:sz w:val="22"/>
          <w:szCs w:val="22"/>
        </w:rPr>
        <w:t>)</w:t>
      </w:r>
      <w:r w:rsidR="003B6092" w:rsidRPr="00FB2F3D">
        <w:rPr>
          <w:rFonts w:ascii="Arial" w:hAnsi="Arial" w:cs="Arial"/>
          <w:sz w:val="22"/>
          <w:szCs w:val="22"/>
        </w:rPr>
        <w:t>,</w:t>
      </w:r>
      <w:r w:rsidR="001775C6">
        <w:rPr>
          <w:rFonts w:ascii="Arial" w:hAnsi="Arial" w:cs="Arial"/>
          <w:sz w:val="22"/>
          <w:szCs w:val="22"/>
        </w:rPr>
        <w:t xml:space="preserve"> immediately</w:t>
      </w:r>
      <w:r w:rsidR="003B6092" w:rsidRPr="00FB2F3D">
        <w:rPr>
          <w:rFonts w:ascii="Arial" w:hAnsi="Arial" w:cs="Arial"/>
          <w:sz w:val="22"/>
          <w:szCs w:val="22"/>
        </w:rPr>
        <w:t xml:space="preserve"> make </w:t>
      </w:r>
      <w:r w:rsidR="001775C6">
        <w:rPr>
          <w:rFonts w:ascii="Arial" w:hAnsi="Arial" w:cs="Arial"/>
          <w:sz w:val="22"/>
          <w:szCs w:val="22"/>
        </w:rPr>
        <w:t>its Disclosure</w:t>
      </w:r>
      <w:r w:rsidR="003B6092" w:rsidRPr="00FB2F3D">
        <w:rPr>
          <w:rFonts w:ascii="Arial" w:hAnsi="Arial" w:cs="Arial"/>
          <w:sz w:val="22"/>
          <w:szCs w:val="22"/>
        </w:rPr>
        <w:t xml:space="preserve"> in the manner specified in Rule </w:t>
      </w:r>
      <w:r w:rsidR="00693841" w:rsidRPr="00FB2F3D">
        <w:rPr>
          <w:rFonts w:ascii="Arial" w:hAnsi="Arial" w:cs="Arial"/>
          <w:sz w:val="22"/>
          <w:szCs w:val="22"/>
        </w:rPr>
        <w:t>7.7.1</w:t>
      </w:r>
      <w:r w:rsidR="003B6092" w:rsidRPr="00FB2F3D">
        <w:rPr>
          <w:rFonts w:ascii="Arial" w:hAnsi="Arial" w:cs="Arial"/>
          <w:sz w:val="22"/>
          <w:szCs w:val="22"/>
        </w:rPr>
        <w:t>.</w:t>
      </w:r>
    </w:p>
    <w:p w14:paraId="6A31A01E" w14:textId="77777777" w:rsidR="001775C6" w:rsidRPr="001775C6" w:rsidRDefault="001775C6" w:rsidP="001775C6">
      <w:pPr>
        <w:pStyle w:val="TitleL"/>
        <w:rPr>
          <w:rFonts w:ascii="Arial" w:hAnsi="Arial" w:cs="Arial"/>
          <w:sz w:val="22"/>
          <w:szCs w:val="22"/>
        </w:rPr>
      </w:pPr>
      <w:r w:rsidRPr="001775C6">
        <w:rPr>
          <w:rFonts w:ascii="Arial" w:hAnsi="Arial" w:cs="Arial"/>
          <w:sz w:val="22"/>
          <w:szCs w:val="22"/>
        </w:rPr>
        <w:t>Exceptions to Rule 7.2.1</w:t>
      </w:r>
    </w:p>
    <w:p w14:paraId="0CD88ACC" w14:textId="77777777" w:rsidR="001775C6" w:rsidRPr="001775C6" w:rsidRDefault="001775C6" w:rsidP="001775C6">
      <w:pPr>
        <w:pStyle w:val="Heading3"/>
        <w:numPr>
          <w:ilvl w:val="0"/>
          <w:numId w:val="0"/>
        </w:numPr>
        <w:ind w:left="1418" w:hanging="720"/>
        <w:rPr>
          <w:rFonts w:ascii="Arial" w:hAnsi="Arial" w:cs="Arial"/>
          <w:sz w:val="22"/>
          <w:szCs w:val="22"/>
        </w:rPr>
      </w:pPr>
      <w:r w:rsidRPr="001775C6">
        <w:rPr>
          <w:rFonts w:ascii="Arial" w:hAnsi="Arial" w:cs="Arial"/>
          <w:sz w:val="22"/>
          <w:szCs w:val="22"/>
        </w:rPr>
        <w:t>(4)</w:t>
      </w:r>
      <w:r w:rsidRPr="001775C6">
        <w:rPr>
          <w:rFonts w:ascii="Arial" w:hAnsi="Arial" w:cs="Arial"/>
          <w:sz w:val="22"/>
          <w:szCs w:val="22"/>
        </w:rPr>
        <w:tab/>
        <w:t>Rule 7.2.1 does not apply to specific information where:</w:t>
      </w:r>
    </w:p>
    <w:p w14:paraId="6A517D2A" w14:textId="77777777" w:rsidR="001775C6" w:rsidRPr="001775C6" w:rsidRDefault="001775C6" w:rsidP="001775C6">
      <w:pPr>
        <w:pStyle w:val="Heading5"/>
        <w:numPr>
          <w:ilvl w:val="0"/>
          <w:numId w:val="0"/>
        </w:numPr>
        <w:ind w:left="2127" w:hanging="709"/>
        <w:rPr>
          <w:rFonts w:ascii="Arial" w:hAnsi="Arial" w:cs="Arial"/>
          <w:sz w:val="22"/>
          <w:szCs w:val="22"/>
        </w:rPr>
      </w:pPr>
      <w:r w:rsidRPr="001775C6">
        <w:rPr>
          <w:rFonts w:ascii="Arial" w:hAnsi="Arial" w:cs="Arial"/>
          <w:sz w:val="22"/>
          <w:szCs w:val="22"/>
        </w:rPr>
        <w:t>(a)</w:t>
      </w:r>
      <w:r w:rsidRPr="001775C6">
        <w:rPr>
          <w:rFonts w:ascii="Arial" w:hAnsi="Arial" w:cs="Arial"/>
          <w:sz w:val="22"/>
          <w:szCs w:val="22"/>
        </w:rPr>
        <w:tab/>
        <w:t>the information relates to an incomplete matter or negotiation;</w:t>
      </w:r>
    </w:p>
    <w:p w14:paraId="533B91EB" w14:textId="77777777" w:rsidR="001775C6" w:rsidRPr="001775C6" w:rsidRDefault="001775C6" w:rsidP="001775C6">
      <w:pPr>
        <w:pStyle w:val="Heading5"/>
        <w:numPr>
          <w:ilvl w:val="0"/>
          <w:numId w:val="0"/>
        </w:numPr>
        <w:ind w:left="2127" w:hanging="709"/>
        <w:rPr>
          <w:rFonts w:ascii="Arial" w:hAnsi="Arial" w:cs="Arial"/>
          <w:sz w:val="22"/>
          <w:szCs w:val="22"/>
        </w:rPr>
      </w:pPr>
      <w:r w:rsidRPr="001775C6">
        <w:rPr>
          <w:rFonts w:ascii="Arial" w:hAnsi="Arial" w:cs="Arial"/>
          <w:sz w:val="22"/>
          <w:szCs w:val="22"/>
        </w:rPr>
        <w:t>(b)</w:t>
      </w:r>
      <w:r w:rsidRPr="001775C6">
        <w:rPr>
          <w:rFonts w:ascii="Arial" w:hAnsi="Arial" w:cs="Arial"/>
          <w:sz w:val="22"/>
          <w:szCs w:val="22"/>
        </w:rPr>
        <w:tab/>
        <w:t>the Disclosure of the information would be in breach of a law or in contempt of court;</w:t>
      </w:r>
    </w:p>
    <w:p w14:paraId="2F59C029" w14:textId="77777777" w:rsidR="001775C6" w:rsidRPr="001775C6" w:rsidRDefault="001775C6" w:rsidP="001775C6">
      <w:pPr>
        <w:pStyle w:val="Heading5"/>
        <w:numPr>
          <w:ilvl w:val="0"/>
          <w:numId w:val="0"/>
        </w:numPr>
        <w:ind w:left="2127" w:hanging="709"/>
        <w:rPr>
          <w:rFonts w:ascii="Arial" w:hAnsi="Arial" w:cs="Arial"/>
          <w:sz w:val="22"/>
          <w:szCs w:val="22"/>
        </w:rPr>
      </w:pPr>
      <w:r w:rsidRPr="001775C6">
        <w:rPr>
          <w:rFonts w:ascii="Arial" w:hAnsi="Arial" w:cs="Arial"/>
          <w:sz w:val="22"/>
          <w:szCs w:val="22"/>
        </w:rPr>
        <w:t>(c)</w:t>
      </w:r>
      <w:r w:rsidRPr="001775C6">
        <w:rPr>
          <w:rFonts w:ascii="Arial" w:hAnsi="Arial" w:cs="Arial"/>
          <w:sz w:val="22"/>
          <w:szCs w:val="22"/>
        </w:rPr>
        <w:tab/>
        <w:t>the information comprises matters of supposition or is insufficiently certain or definite for it to be Disclosed;</w:t>
      </w:r>
    </w:p>
    <w:p w14:paraId="212DABEE" w14:textId="77777777" w:rsidR="001775C6" w:rsidRPr="001775C6" w:rsidRDefault="001775C6" w:rsidP="001775C6">
      <w:pPr>
        <w:pStyle w:val="Heading5"/>
        <w:numPr>
          <w:ilvl w:val="0"/>
          <w:numId w:val="0"/>
        </w:numPr>
        <w:ind w:left="2127" w:hanging="709"/>
        <w:rPr>
          <w:rFonts w:ascii="Arial" w:hAnsi="Arial" w:cs="Arial"/>
          <w:sz w:val="22"/>
          <w:szCs w:val="22"/>
        </w:rPr>
      </w:pPr>
      <w:r w:rsidRPr="001775C6">
        <w:rPr>
          <w:rFonts w:ascii="Arial" w:hAnsi="Arial" w:cs="Arial"/>
          <w:sz w:val="22"/>
          <w:szCs w:val="22"/>
        </w:rPr>
        <w:t>(d)</w:t>
      </w:r>
      <w:r w:rsidRPr="001775C6">
        <w:rPr>
          <w:rFonts w:ascii="Arial" w:hAnsi="Arial" w:cs="Arial"/>
          <w:sz w:val="22"/>
          <w:szCs w:val="22"/>
        </w:rPr>
        <w:tab/>
        <w:t>the information has been created for the internal management purposes of the Listed Entity; or</w:t>
      </w:r>
    </w:p>
    <w:p w14:paraId="7029846D" w14:textId="77777777" w:rsidR="001775C6" w:rsidRPr="001775C6" w:rsidRDefault="001775C6" w:rsidP="001775C6">
      <w:pPr>
        <w:pStyle w:val="Heading5"/>
        <w:numPr>
          <w:ilvl w:val="0"/>
          <w:numId w:val="0"/>
        </w:numPr>
        <w:ind w:left="2127" w:hanging="709"/>
        <w:rPr>
          <w:rFonts w:ascii="Arial" w:hAnsi="Arial" w:cs="Arial"/>
          <w:sz w:val="22"/>
          <w:szCs w:val="22"/>
        </w:rPr>
      </w:pPr>
      <w:r w:rsidRPr="001775C6">
        <w:rPr>
          <w:rFonts w:ascii="Arial" w:hAnsi="Arial" w:cs="Arial"/>
          <w:sz w:val="22"/>
          <w:szCs w:val="22"/>
        </w:rPr>
        <w:t>(e)</w:t>
      </w:r>
      <w:r w:rsidRPr="001775C6">
        <w:rPr>
          <w:rFonts w:ascii="Arial" w:hAnsi="Arial" w:cs="Arial"/>
          <w:sz w:val="22"/>
          <w:szCs w:val="22"/>
        </w:rPr>
        <w:tab/>
        <w:t xml:space="preserve">the information is a trade secret; </w:t>
      </w:r>
    </w:p>
    <w:p w14:paraId="03CA47EE" w14:textId="77777777" w:rsidR="001775C6" w:rsidRPr="001775C6" w:rsidRDefault="001775C6" w:rsidP="001775C6">
      <w:pPr>
        <w:pStyle w:val="Heading4"/>
        <w:numPr>
          <w:ilvl w:val="0"/>
          <w:numId w:val="0"/>
        </w:numPr>
        <w:ind w:left="1440" w:hanging="731"/>
        <w:rPr>
          <w:rFonts w:ascii="Arial" w:hAnsi="Arial" w:cs="Arial"/>
          <w:sz w:val="22"/>
          <w:szCs w:val="22"/>
        </w:rPr>
      </w:pPr>
      <w:r w:rsidRPr="001775C6">
        <w:rPr>
          <w:rFonts w:ascii="Arial" w:hAnsi="Arial" w:cs="Arial"/>
          <w:sz w:val="22"/>
          <w:szCs w:val="22"/>
        </w:rPr>
        <w:t>(5)</w:t>
      </w:r>
      <w:r w:rsidRPr="001775C6">
        <w:rPr>
          <w:rFonts w:ascii="Arial" w:hAnsi="Arial" w:cs="Arial"/>
          <w:sz w:val="22"/>
          <w:szCs w:val="22"/>
        </w:rPr>
        <w:tab/>
        <w:t>the information is confidential and the Regulator is not of the opinion that the information is no longer confidential; and</w:t>
      </w:r>
    </w:p>
    <w:p w14:paraId="02363288" w14:textId="77777777" w:rsidR="001775C6" w:rsidRPr="001775C6" w:rsidRDefault="001775C6" w:rsidP="001775C6">
      <w:pPr>
        <w:pStyle w:val="Heading4"/>
        <w:numPr>
          <w:ilvl w:val="0"/>
          <w:numId w:val="0"/>
        </w:numPr>
        <w:ind w:left="1440" w:hanging="731"/>
        <w:rPr>
          <w:rFonts w:ascii="Arial" w:hAnsi="Arial" w:cs="Arial"/>
          <w:sz w:val="22"/>
          <w:szCs w:val="22"/>
        </w:rPr>
      </w:pPr>
      <w:r w:rsidRPr="001775C6">
        <w:rPr>
          <w:rFonts w:ascii="Arial" w:hAnsi="Arial" w:cs="Arial"/>
          <w:sz w:val="22"/>
          <w:szCs w:val="22"/>
        </w:rPr>
        <w:t>(6)</w:t>
      </w:r>
      <w:r w:rsidRPr="001775C6">
        <w:rPr>
          <w:rFonts w:ascii="Arial" w:hAnsi="Arial" w:cs="Arial"/>
          <w:sz w:val="22"/>
          <w:szCs w:val="22"/>
        </w:rPr>
        <w:tab/>
        <w:t>a reasonable person would not expect the information to be Disclosed.</w:t>
      </w:r>
    </w:p>
    <w:p w14:paraId="676F9639" w14:textId="41859BAB" w:rsidR="003B6092" w:rsidRPr="001775C6" w:rsidRDefault="001775C6" w:rsidP="00424270">
      <w:pPr>
        <w:pStyle w:val="Heading3"/>
        <w:rPr>
          <w:rFonts w:ascii="Arial" w:hAnsi="Arial" w:cs="Arial"/>
          <w:sz w:val="22"/>
          <w:szCs w:val="22"/>
        </w:rPr>
      </w:pPr>
      <w:bookmarkStart w:id="614" w:name="_Ref410053423"/>
      <w:bookmarkStart w:id="615" w:name="_Ref416793605"/>
      <w:r w:rsidRPr="001775C6">
        <w:rPr>
          <w:rFonts w:ascii="Arial" w:hAnsi="Arial" w:cs="Arial"/>
          <w:sz w:val="22"/>
          <w:szCs w:val="22"/>
        </w:rPr>
        <w:t>[Deleted]</w:t>
      </w:r>
      <w:bookmarkEnd w:id="614"/>
      <w:bookmarkEnd w:id="615"/>
    </w:p>
    <w:p w14:paraId="3EE2ED30" w14:textId="67944141" w:rsidR="003B6092" w:rsidRPr="00FB2F3D" w:rsidRDefault="003B6092" w:rsidP="003B6092">
      <w:pPr>
        <w:pStyle w:val="TitleL"/>
        <w:rPr>
          <w:rFonts w:ascii="Arial" w:hAnsi="Arial" w:cs="Arial"/>
          <w:sz w:val="22"/>
          <w:szCs w:val="22"/>
        </w:rPr>
      </w:pPr>
      <w:r w:rsidRPr="00FB2F3D">
        <w:rPr>
          <w:rFonts w:ascii="Arial" w:hAnsi="Arial" w:cs="Arial"/>
          <w:sz w:val="22"/>
          <w:szCs w:val="22"/>
        </w:rPr>
        <w:t xml:space="preserve">Selective </w:t>
      </w:r>
      <w:r w:rsidR="001775C6">
        <w:rPr>
          <w:rFonts w:ascii="Arial" w:hAnsi="Arial" w:cs="Arial"/>
          <w:sz w:val="22"/>
          <w:szCs w:val="22"/>
        </w:rPr>
        <w:t>D</w:t>
      </w:r>
      <w:r w:rsidRPr="00FB2F3D">
        <w:rPr>
          <w:rFonts w:ascii="Arial" w:hAnsi="Arial" w:cs="Arial"/>
          <w:sz w:val="22"/>
          <w:szCs w:val="22"/>
        </w:rPr>
        <w:t>isclosure</w:t>
      </w:r>
    </w:p>
    <w:p w14:paraId="22B2142B" w14:textId="5A94C666" w:rsidR="003B6092" w:rsidRPr="00FB2F3D" w:rsidRDefault="007441BA" w:rsidP="003B6092">
      <w:pPr>
        <w:pStyle w:val="Heading3"/>
        <w:ind w:left="1440" w:hanging="1440"/>
        <w:rPr>
          <w:rFonts w:ascii="Arial" w:hAnsi="Arial" w:cs="Arial"/>
          <w:sz w:val="22"/>
          <w:szCs w:val="22"/>
        </w:rPr>
      </w:pPr>
      <w:bookmarkStart w:id="616" w:name="_Ref410053238"/>
      <w:bookmarkStart w:id="617" w:name="_Ref410632762"/>
      <w:r w:rsidRPr="00FB2F3D">
        <w:rPr>
          <w:rFonts w:ascii="Arial" w:hAnsi="Arial" w:cs="Arial"/>
          <w:sz w:val="22"/>
          <w:szCs w:val="22"/>
        </w:rPr>
        <w:t>(1)</w:t>
      </w:r>
      <w:r w:rsidR="003B6092" w:rsidRPr="00FB2F3D">
        <w:rPr>
          <w:rFonts w:ascii="Arial" w:hAnsi="Arial" w:cs="Arial"/>
          <w:sz w:val="22"/>
          <w:szCs w:val="22"/>
        </w:rPr>
        <w:tab/>
      </w:r>
      <w:r w:rsidR="009C57F1">
        <w:rPr>
          <w:rFonts w:ascii="Arial" w:hAnsi="Arial" w:cs="Arial"/>
          <w:sz w:val="22"/>
          <w:szCs w:val="22"/>
        </w:rPr>
        <w:t>A Reporting Entity may selectively Disclose Inside Information to a Person prior to making a Disclosure</w:t>
      </w:r>
      <w:r w:rsidR="003B6092" w:rsidRPr="00FB2F3D">
        <w:rPr>
          <w:rFonts w:ascii="Arial" w:hAnsi="Arial" w:cs="Arial"/>
          <w:sz w:val="22"/>
          <w:szCs w:val="22"/>
        </w:rPr>
        <w:t xml:space="preserve"> of such information only if</w:t>
      </w:r>
      <w:bookmarkEnd w:id="616"/>
      <w:r w:rsidR="003B6092" w:rsidRPr="00FB2F3D">
        <w:rPr>
          <w:rFonts w:ascii="Arial" w:hAnsi="Arial" w:cs="Arial"/>
          <w:sz w:val="22"/>
          <w:szCs w:val="22"/>
        </w:rPr>
        <w:t>:</w:t>
      </w:r>
      <w:bookmarkEnd w:id="617"/>
    </w:p>
    <w:p w14:paraId="24BC8546" w14:textId="77777777" w:rsidR="003B6092" w:rsidRPr="00FB2F3D" w:rsidRDefault="003B6092" w:rsidP="003B6092">
      <w:pPr>
        <w:pStyle w:val="Heading5"/>
        <w:rPr>
          <w:rFonts w:ascii="Arial" w:hAnsi="Arial" w:cs="Arial"/>
          <w:sz w:val="22"/>
          <w:szCs w:val="22"/>
        </w:rPr>
      </w:pPr>
      <w:bookmarkStart w:id="618" w:name="_Ref410667846"/>
      <w:r w:rsidRPr="00FB2F3D">
        <w:rPr>
          <w:rFonts w:ascii="Arial" w:hAnsi="Arial" w:cs="Arial"/>
          <w:sz w:val="22"/>
          <w:szCs w:val="22"/>
        </w:rPr>
        <w:t>it is for the purposes of the exercise by such a Person of his employment, profession or duties;</w:t>
      </w:r>
      <w:bookmarkEnd w:id="618"/>
    </w:p>
    <w:p w14:paraId="6F518520"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that Person owes to the Reporting Entity a duty of confidentiality, whether based on law, contract or otherwise; and</w:t>
      </w:r>
    </w:p>
    <w:p w14:paraId="256D0D65" w14:textId="77777777" w:rsidR="003B6092" w:rsidRPr="00FB2F3D" w:rsidRDefault="003B6092" w:rsidP="003B6092">
      <w:pPr>
        <w:pStyle w:val="Heading5"/>
        <w:rPr>
          <w:rFonts w:ascii="Arial" w:hAnsi="Arial" w:cs="Arial"/>
          <w:sz w:val="22"/>
          <w:szCs w:val="22"/>
        </w:rPr>
      </w:pPr>
      <w:bookmarkStart w:id="619" w:name="_Ref410667860"/>
      <w:r w:rsidRPr="00FB2F3D">
        <w:rPr>
          <w:rFonts w:ascii="Arial" w:hAnsi="Arial" w:cs="Arial"/>
          <w:sz w:val="22"/>
          <w:szCs w:val="22"/>
        </w:rPr>
        <w:t>the Reporting Entity has provided to that Person, except where that</w:t>
      </w:r>
      <w:r w:rsidRPr="00FB2F3D">
        <w:rPr>
          <w:rFonts w:ascii="Arial" w:hAnsi="Arial" w:cs="Arial"/>
          <w:sz w:val="22"/>
          <w:szCs w:val="22"/>
          <w:lang w:eastAsia="ja-JP"/>
        </w:rPr>
        <w:t xml:space="preserve"> </w:t>
      </w:r>
      <w:r w:rsidRPr="00FB2F3D">
        <w:rPr>
          <w:rFonts w:ascii="Arial" w:hAnsi="Arial" w:cs="Arial"/>
          <w:sz w:val="22"/>
          <w:szCs w:val="22"/>
        </w:rPr>
        <w:t xml:space="preserve">Person is the Regulator, a written notice as specified in </w:t>
      </w:r>
      <w:r w:rsidR="00693841" w:rsidRPr="00FB2F3D">
        <w:rPr>
          <w:rFonts w:ascii="Arial" w:hAnsi="Arial" w:cs="Arial"/>
          <w:sz w:val="22"/>
          <w:szCs w:val="22"/>
        </w:rPr>
        <w:t>(3)</w:t>
      </w:r>
      <w:r w:rsidRPr="00FB2F3D">
        <w:rPr>
          <w:rFonts w:ascii="Arial" w:hAnsi="Arial" w:cs="Arial"/>
          <w:sz w:val="22"/>
          <w:szCs w:val="22"/>
        </w:rPr>
        <w:t>.</w:t>
      </w:r>
      <w:bookmarkEnd w:id="619"/>
    </w:p>
    <w:p w14:paraId="63A79D67" w14:textId="26275E20" w:rsidR="003B6092" w:rsidRPr="00FB2F3D" w:rsidRDefault="003B6092" w:rsidP="003B6092">
      <w:pPr>
        <w:pStyle w:val="Heading4"/>
        <w:rPr>
          <w:rFonts w:ascii="Arial" w:hAnsi="Arial" w:cs="Arial"/>
          <w:sz w:val="22"/>
          <w:szCs w:val="22"/>
        </w:rPr>
      </w:pPr>
      <w:r w:rsidRPr="00FB2F3D">
        <w:rPr>
          <w:rFonts w:ascii="Arial" w:hAnsi="Arial" w:cs="Arial"/>
          <w:sz w:val="22"/>
          <w:szCs w:val="22"/>
        </w:rPr>
        <w:t xml:space="preserve">For the purposes of </w:t>
      </w:r>
      <w:r w:rsidR="001F793D" w:rsidRPr="00FB2F3D">
        <w:rPr>
          <w:rFonts w:ascii="Arial" w:hAnsi="Arial" w:cs="Arial"/>
          <w:sz w:val="22"/>
          <w:szCs w:val="22"/>
        </w:rPr>
        <w:t>(1)</w:t>
      </w:r>
      <w:r w:rsidR="00693841" w:rsidRPr="00FB2F3D">
        <w:rPr>
          <w:rFonts w:ascii="Arial" w:hAnsi="Arial" w:cs="Arial"/>
          <w:sz w:val="22"/>
          <w:szCs w:val="22"/>
        </w:rPr>
        <w:t>(a)</w:t>
      </w:r>
      <w:r w:rsidRPr="00FB2F3D">
        <w:rPr>
          <w:rFonts w:ascii="Arial" w:hAnsi="Arial" w:cs="Arial"/>
          <w:sz w:val="22"/>
          <w:szCs w:val="22"/>
        </w:rPr>
        <w:t xml:space="preserve">, the Persons whose exercise of employment, profession or duties may warrant selective </w:t>
      </w:r>
      <w:r w:rsidR="00634CC5">
        <w:rPr>
          <w:rFonts w:ascii="Arial" w:hAnsi="Arial" w:cs="Arial"/>
          <w:sz w:val="22"/>
          <w:szCs w:val="22"/>
        </w:rPr>
        <w:t>D</w:t>
      </w:r>
      <w:r w:rsidRPr="00FB2F3D">
        <w:rPr>
          <w:rFonts w:ascii="Arial" w:hAnsi="Arial" w:cs="Arial"/>
          <w:sz w:val="22"/>
          <w:szCs w:val="22"/>
        </w:rPr>
        <w:t>isclosure are as follows:</w:t>
      </w:r>
    </w:p>
    <w:p w14:paraId="304E5DB9"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lastRenderedPageBreak/>
        <w:t>any adviser, underwriter, Sponsor or compliance adviser;</w:t>
      </w:r>
    </w:p>
    <w:p w14:paraId="496E4BDC" w14:textId="3C452A6B" w:rsidR="003B6092" w:rsidRPr="00FB2F3D" w:rsidRDefault="003B6092" w:rsidP="003B6092">
      <w:pPr>
        <w:pStyle w:val="Heading5"/>
        <w:rPr>
          <w:rFonts w:ascii="Arial" w:hAnsi="Arial" w:cs="Arial"/>
          <w:sz w:val="22"/>
          <w:szCs w:val="22"/>
          <w:lang w:eastAsia="ja-JP"/>
        </w:rPr>
      </w:pPr>
      <w:r w:rsidRPr="00FB2F3D">
        <w:rPr>
          <w:rFonts w:ascii="Arial" w:hAnsi="Arial" w:cs="Arial"/>
          <w:sz w:val="22"/>
          <w:szCs w:val="22"/>
        </w:rPr>
        <w:t xml:space="preserve">an agent employed by the Reporting Entity to </w:t>
      </w:r>
      <w:r w:rsidR="00634CC5">
        <w:rPr>
          <w:rFonts w:ascii="Arial" w:hAnsi="Arial" w:cs="Arial"/>
          <w:sz w:val="22"/>
          <w:szCs w:val="22"/>
        </w:rPr>
        <w:t>Disclose</w:t>
      </w:r>
      <w:r w:rsidRPr="00FB2F3D">
        <w:rPr>
          <w:rFonts w:ascii="Arial" w:hAnsi="Arial" w:cs="Arial"/>
          <w:sz w:val="22"/>
          <w:szCs w:val="22"/>
        </w:rPr>
        <w:t xml:space="preserve"> the information;</w:t>
      </w:r>
    </w:p>
    <w:p w14:paraId="276125F8"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Persons with whom the Reporting Entity is negotiating with a view to</w:t>
      </w:r>
      <w:r w:rsidRPr="00FB2F3D">
        <w:rPr>
          <w:rFonts w:ascii="Arial" w:hAnsi="Arial" w:cs="Arial"/>
          <w:sz w:val="22"/>
          <w:szCs w:val="22"/>
          <w:lang w:eastAsia="ja-JP"/>
        </w:rPr>
        <w:t xml:space="preserve"> </w:t>
      </w:r>
      <w:r w:rsidRPr="00FB2F3D">
        <w:rPr>
          <w:rFonts w:ascii="Arial" w:hAnsi="Arial" w:cs="Arial"/>
          <w:sz w:val="22"/>
          <w:szCs w:val="22"/>
        </w:rPr>
        <w:t>effecting a transaction or raising finance, including prospective underwriters or Sponsors of an issue of Financial Instruments, providers of finance</w:t>
      </w:r>
      <w:r w:rsidRPr="00FB2F3D">
        <w:rPr>
          <w:rFonts w:ascii="Arial" w:hAnsi="Arial" w:cs="Arial"/>
          <w:sz w:val="22"/>
          <w:szCs w:val="22"/>
          <w:lang w:eastAsia="ja-JP"/>
        </w:rPr>
        <w:t xml:space="preserve"> </w:t>
      </w:r>
      <w:r w:rsidRPr="00FB2F3D">
        <w:rPr>
          <w:rFonts w:ascii="Arial" w:hAnsi="Arial" w:cs="Arial"/>
          <w:sz w:val="22"/>
          <w:szCs w:val="22"/>
        </w:rPr>
        <w:t>or loans or the placement of the balance of a rights issue not taken up</w:t>
      </w:r>
      <w:r w:rsidRPr="00FB2F3D">
        <w:rPr>
          <w:rFonts w:ascii="Arial" w:hAnsi="Arial" w:cs="Arial"/>
          <w:sz w:val="22"/>
          <w:szCs w:val="22"/>
          <w:lang w:eastAsia="ja-JP"/>
        </w:rPr>
        <w:t xml:space="preserve"> </w:t>
      </w:r>
      <w:r w:rsidRPr="00FB2F3D">
        <w:rPr>
          <w:rFonts w:ascii="Arial" w:hAnsi="Arial" w:cs="Arial"/>
          <w:sz w:val="22"/>
          <w:szCs w:val="22"/>
        </w:rPr>
        <w:t>by Shareholders;</w:t>
      </w:r>
    </w:p>
    <w:p w14:paraId="54FA55E9" w14:textId="3634A0B8" w:rsidR="003B6092" w:rsidRPr="00FB2F3D" w:rsidRDefault="003B6092" w:rsidP="003B6092">
      <w:pPr>
        <w:pStyle w:val="Heading5"/>
        <w:rPr>
          <w:rFonts w:ascii="Arial" w:hAnsi="Arial" w:cs="Arial"/>
          <w:sz w:val="22"/>
          <w:szCs w:val="22"/>
        </w:rPr>
      </w:pPr>
      <w:r w:rsidRPr="00FB2F3D">
        <w:rPr>
          <w:rFonts w:ascii="Arial" w:hAnsi="Arial" w:cs="Arial"/>
          <w:sz w:val="22"/>
          <w:szCs w:val="22"/>
        </w:rPr>
        <w:t xml:space="preserve">the Regulator where such disclosure is necessary or desirable for the </w:t>
      </w:r>
      <w:r w:rsidR="00634CC5">
        <w:rPr>
          <w:rFonts w:ascii="Arial" w:hAnsi="Arial" w:cs="Arial"/>
          <w:sz w:val="22"/>
          <w:szCs w:val="22"/>
        </w:rPr>
        <w:t>R</w:t>
      </w:r>
      <w:r w:rsidRPr="00FB2F3D">
        <w:rPr>
          <w:rFonts w:ascii="Arial" w:hAnsi="Arial" w:cs="Arial"/>
          <w:sz w:val="22"/>
          <w:szCs w:val="22"/>
        </w:rPr>
        <w:t>egulator to perform its functions;</w:t>
      </w:r>
    </w:p>
    <w:p w14:paraId="22BEBC0A"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a Person to whom the Reporting Entity discloses information in accordance with a lawful requirement;</w:t>
      </w:r>
    </w:p>
    <w:p w14:paraId="0A4090CC" w14:textId="313E56C3" w:rsidR="003B6092" w:rsidRPr="00FB2F3D" w:rsidRDefault="003B6092" w:rsidP="003B6092">
      <w:pPr>
        <w:pStyle w:val="Heading5"/>
        <w:rPr>
          <w:rFonts w:ascii="Arial" w:hAnsi="Arial" w:cs="Arial"/>
          <w:sz w:val="22"/>
          <w:szCs w:val="22"/>
        </w:rPr>
      </w:pPr>
      <w:r w:rsidRPr="00FB2F3D">
        <w:rPr>
          <w:rFonts w:ascii="Arial" w:hAnsi="Arial" w:cs="Arial"/>
          <w:sz w:val="22"/>
          <w:szCs w:val="22"/>
        </w:rPr>
        <w:t>a major Shareholder of the Reporting Entity</w:t>
      </w:r>
      <w:r w:rsidR="00634CC5">
        <w:rPr>
          <w:rFonts w:ascii="Arial" w:hAnsi="Arial" w:cs="Arial"/>
          <w:sz w:val="22"/>
          <w:szCs w:val="22"/>
        </w:rPr>
        <w:t>, the Trustee, Eligible Custodian or Persons providing an oversight function of a Listed Fund</w:t>
      </w:r>
      <w:r w:rsidRPr="00FB2F3D">
        <w:rPr>
          <w:rFonts w:ascii="Arial" w:hAnsi="Arial" w:cs="Arial"/>
          <w:sz w:val="22"/>
          <w:szCs w:val="22"/>
        </w:rPr>
        <w:t>; or</w:t>
      </w:r>
    </w:p>
    <w:p w14:paraId="69FF8852" w14:textId="78D514CD" w:rsidR="003B6092" w:rsidRPr="00FB2F3D" w:rsidRDefault="003B6092" w:rsidP="003B6092">
      <w:pPr>
        <w:pStyle w:val="Heading5"/>
        <w:rPr>
          <w:rFonts w:ascii="Arial" w:hAnsi="Arial" w:cs="Arial"/>
          <w:sz w:val="22"/>
          <w:szCs w:val="22"/>
        </w:rPr>
      </w:pPr>
      <w:r w:rsidRPr="00FB2F3D">
        <w:rPr>
          <w:rFonts w:ascii="Arial" w:hAnsi="Arial" w:cs="Arial"/>
          <w:sz w:val="22"/>
          <w:szCs w:val="22"/>
        </w:rPr>
        <w:t xml:space="preserve">any other Person to whom it is necessary to disclose the information in the ordinary course of business of the </w:t>
      </w:r>
      <w:r w:rsidR="00634CC5">
        <w:rPr>
          <w:rFonts w:ascii="Arial" w:hAnsi="Arial" w:cs="Arial"/>
          <w:sz w:val="22"/>
          <w:szCs w:val="22"/>
        </w:rPr>
        <w:t>Listed Entity/</w:t>
      </w:r>
      <w:r w:rsidRPr="00FB2F3D">
        <w:rPr>
          <w:rFonts w:ascii="Arial" w:hAnsi="Arial" w:cs="Arial"/>
          <w:sz w:val="22"/>
          <w:szCs w:val="22"/>
        </w:rPr>
        <w:t>Reporting Entity.</w:t>
      </w:r>
    </w:p>
    <w:p w14:paraId="0B1DA40F" w14:textId="15FABCCC" w:rsidR="003B6092" w:rsidRPr="00FB2F3D" w:rsidRDefault="003B6092" w:rsidP="003B6092">
      <w:pPr>
        <w:pStyle w:val="Heading4"/>
        <w:rPr>
          <w:rFonts w:ascii="Arial" w:hAnsi="Arial" w:cs="Arial"/>
          <w:sz w:val="22"/>
          <w:szCs w:val="22"/>
        </w:rPr>
      </w:pPr>
      <w:bookmarkStart w:id="620" w:name="_Ref410667835"/>
      <w:r w:rsidRPr="00FB2F3D">
        <w:rPr>
          <w:rFonts w:ascii="Arial" w:hAnsi="Arial" w:cs="Arial"/>
          <w:sz w:val="22"/>
          <w:szCs w:val="22"/>
        </w:rPr>
        <w:t xml:space="preserve">For the purposes of </w:t>
      </w:r>
      <w:r w:rsidR="00693841" w:rsidRPr="00FB2F3D">
        <w:rPr>
          <w:rFonts w:ascii="Arial" w:hAnsi="Arial" w:cs="Arial"/>
          <w:sz w:val="22"/>
          <w:szCs w:val="22"/>
        </w:rPr>
        <w:t>(1)(c)</w:t>
      </w:r>
      <w:r w:rsidRPr="00FB2F3D">
        <w:rPr>
          <w:rFonts w:ascii="Arial" w:hAnsi="Arial" w:cs="Arial"/>
          <w:sz w:val="22"/>
          <w:szCs w:val="22"/>
        </w:rPr>
        <w:t>, the Reporting Entity must, before making disclosure to a Person, provide to that Person a written notice that</w:t>
      </w:r>
      <w:r w:rsidR="00634CC5">
        <w:rPr>
          <w:rFonts w:ascii="Arial" w:hAnsi="Arial" w:cs="Arial"/>
          <w:sz w:val="22"/>
          <w:szCs w:val="22"/>
        </w:rPr>
        <w:t xml:space="preserve"> the</w:t>
      </w:r>
      <w:r w:rsidRPr="00FB2F3D">
        <w:rPr>
          <w:rFonts w:ascii="Arial" w:hAnsi="Arial" w:cs="Arial"/>
          <w:sz w:val="22"/>
          <w:szCs w:val="22"/>
        </w:rPr>
        <w:t>:</w:t>
      </w:r>
      <w:bookmarkEnd w:id="620"/>
    </w:p>
    <w:p w14:paraId="0B2B8701" w14:textId="4F29AA89" w:rsidR="003B6092" w:rsidRPr="00FB2F3D" w:rsidRDefault="003B6092" w:rsidP="003B6092">
      <w:pPr>
        <w:pStyle w:val="Heading5"/>
        <w:rPr>
          <w:rFonts w:ascii="Arial" w:hAnsi="Arial" w:cs="Arial"/>
          <w:sz w:val="22"/>
          <w:szCs w:val="22"/>
        </w:rPr>
      </w:pPr>
      <w:r w:rsidRPr="00FB2F3D">
        <w:rPr>
          <w:rFonts w:ascii="Arial" w:hAnsi="Arial" w:cs="Arial"/>
          <w:sz w:val="22"/>
          <w:szCs w:val="22"/>
        </w:rPr>
        <w:t>information is provided in confidence and must not be used or be allowed to be used for a purpose other than the purpose for which it is provided; and</w:t>
      </w:r>
    </w:p>
    <w:p w14:paraId="1FE6E3A4" w14:textId="27CFAA09" w:rsidR="003B6092" w:rsidRPr="00FB2F3D" w:rsidRDefault="003B6092" w:rsidP="003B6092">
      <w:pPr>
        <w:pStyle w:val="Heading5"/>
        <w:rPr>
          <w:rFonts w:ascii="Arial" w:hAnsi="Arial" w:cs="Arial"/>
          <w:sz w:val="22"/>
          <w:szCs w:val="22"/>
        </w:rPr>
      </w:pPr>
      <w:r w:rsidRPr="00FB2F3D">
        <w:rPr>
          <w:rFonts w:ascii="Arial" w:hAnsi="Arial" w:cs="Arial"/>
          <w:sz w:val="22"/>
          <w:szCs w:val="22"/>
        </w:rPr>
        <w:t xml:space="preserve">recipient must take reasonable steps to ensure that the recipient or any Person having access to the information through the recipient does not deal in the relevant Financial Instruments, or any other related investment, or disclose such information without legitimate reason, prior to </w:t>
      </w:r>
      <w:r w:rsidR="00634CC5">
        <w:rPr>
          <w:rFonts w:ascii="Arial" w:hAnsi="Arial" w:cs="Arial"/>
          <w:sz w:val="22"/>
          <w:szCs w:val="22"/>
        </w:rPr>
        <w:t>D</w:t>
      </w:r>
      <w:r w:rsidRPr="00FB2F3D">
        <w:rPr>
          <w:rFonts w:ascii="Arial" w:hAnsi="Arial" w:cs="Arial"/>
          <w:sz w:val="22"/>
          <w:szCs w:val="22"/>
        </w:rPr>
        <w:t>isclosure of that information by the Reporting Entity.</w:t>
      </w:r>
    </w:p>
    <w:p w14:paraId="77B7DFD8" w14:textId="2B430725" w:rsidR="003B6092" w:rsidRPr="00FB2F3D" w:rsidRDefault="003B6092" w:rsidP="003B6092">
      <w:pPr>
        <w:pStyle w:val="Heading4"/>
        <w:rPr>
          <w:rFonts w:ascii="Arial" w:hAnsi="Arial" w:cs="Arial"/>
          <w:sz w:val="22"/>
          <w:szCs w:val="22"/>
        </w:rPr>
      </w:pPr>
      <w:r w:rsidRPr="00FB2F3D">
        <w:rPr>
          <w:rFonts w:ascii="Arial" w:hAnsi="Arial" w:cs="Arial"/>
          <w:sz w:val="22"/>
          <w:szCs w:val="22"/>
        </w:rPr>
        <w:t xml:space="preserve">Where a Reporting Entity makes selective disclosure of Inside Information pursuant to </w:t>
      </w:r>
      <w:r w:rsidR="00693841" w:rsidRPr="00FB2F3D">
        <w:rPr>
          <w:rFonts w:ascii="Arial" w:hAnsi="Arial" w:cs="Arial"/>
          <w:sz w:val="22"/>
          <w:szCs w:val="22"/>
        </w:rPr>
        <w:t>(1)</w:t>
      </w:r>
      <w:r w:rsidRPr="00FB2F3D">
        <w:rPr>
          <w:rFonts w:ascii="Arial" w:hAnsi="Arial" w:cs="Arial"/>
          <w:sz w:val="22"/>
          <w:szCs w:val="22"/>
        </w:rPr>
        <w:t xml:space="preserve">, it must ensure that a full </w:t>
      </w:r>
      <w:r w:rsidR="00634CC5">
        <w:rPr>
          <w:rFonts w:ascii="Arial" w:hAnsi="Arial" w:cs="Arial"/>
          <w:sz w:val="22"/>
          <w:szCs w:val="22"/>
        </w:rPr>
        <w:t>Disclosure</w:t>
      </w:r>
      <w:r w:rsidRPr="00FB2F3D">
        <w:rPr>
          <w:rFonts w:ascii="Arial" w:hAnsi="Arial" w:cs="Arial"/>
          <w:sz w:val="22"/>
          <w:szCs w:val="22"/>
        </w:rPr>
        <w:t xml:space="preserve"> is made as soon as possible, and in any event, when it becomes aware or has reasonable grounds to suspect that such information has or may have come to the knowledge of any Person or Persons other than those to whom the selective disclosure was made.</w:t>
      </w:r>
    </w:p>
    <w:p w14:paraId="4A9AFA26" w14:textId="2C930F6C" w:rsidR="003B6092" w:rsidRPr="00634CC5" w:rsidRDefault="00634CC5" w:rsidP="003B6092">
      <w:pPr>
        <w:pStyle w:val="Heading3"/>
        <w:ind w:left="1440" w:hanging="1440"/>
        <w:rPr>
          <w:rFonts w:ascii="Arial" w:hAnsi="Arial" w:cs="Arial"/>
          <w:sz w:val="22"/>
          <w:szCs w:val="22"/>
        </w:rPr>
      </w:pPr>
      <w:bookmarkStart w:id="621" w:name="_Ref410053248"/>
      <w:bookmarkStart w:id="622" w:name="_Ref410631006"/>
      <w:r w:rsidRPr="00634CC5">
        <w:rPr>
          <w:rFonts w:ascii="Arial" w:hAnsi="Arial" w:cs="Arial"/>
          <w:sz w:val="22"/>
          <w:szCs w:val="22"/>
        </w:rPr>
        <w:t>[Deleted]</w:t>
      </w:r>
      <w:bookmarkEnd w:id="621"/>
      <w:bookmarkEnd w:id="622"/>
    </w:p>
    <w:p w14:paraId="2C3CE9CA" w14:textId="0225D296" w:rsidR="003B6092" w:rsidRPr="00634CC5" w:rsidRDefault="00634CC5" w:rsidP="00D82E48">
      <w:pPr>
        <w:pStyle w:val="Heading3"/>
        <w:rPr>
          <w:rFonts w:ascii="Arial" w:hAnsi="Arial" w:cs="Arial"/>
          <w:sz w:val="22"/>
          <w:szCs w:val="22"/>
        </w:rPr>
      </w:pPr>
      <w:bookmarkStart w:id="623" w:name="_Ref410071085"/>
      <w:r w:rsidRPr="00634CC5">
        <w:rPr>
          <w:rFonts w:ascii="Arial" w:hAnsi="Arial" w:cs="Arial"/>
          <w:sz w:val="22"/>
          <w:szCs w:val="22"/>
        </w:rPr>
        <w:t>[Deleted]</w:t>
      </w:r>
      <w:bookmarkEnd w:id="623"/>
    </w:p>
    <w:p w14:paraId="37E1A5BA" w14:textId="77777777" w:rsidR="003B6092" w:rsidRPr="00FB2F3D" w:rsidRDefault="003B6092" w:rsidP="003B6092">
      <w:pPr>
        <w:pStyle w:val="TitleL"/>
        <w:rPr>
          <w:rFonts w:ascii="Arial" w:hAnsi="Arial" w:cs="Arial"/>
          <w:sz w:val="22"/>
          <w:szCs w:val="22"/>
        </w:rPr>
      </w:pPr>
      <w:r w:rsidRPr="00FB2F3D">
        <w:rPr>
          <w:rFonts w:ascii="Arial" w:hAnsi="Arial" w:cs="Arial"/>
          <w:sz w:val="22"/>
          <w:szCs w:val="22"/>
        </w:rPr>
        <w:t>Control of Inside Information</w:t>
      </w:r>
    </w:p>
    <w:p w14:paraId="669FA503" w14:textId="77777777" w:rsidR="003B6092" w:rsidRPr="00FB2F3D" w:rsidRDefault="003B6092" w:rsidP="003B6092">
      <w:pPr>
        <w:pStyle w:val="Heading3"/>
        <w:rPr>
          <w:rFonts w:ascii="Arial" w:hAnsi="Arial" w:cs="Arial"/>
          <w:sz w:val="22"/>
          <w:szCs w:val="22"/>
        </w:rPr>
      </w:pPr>
      <w:bookmarkStart w:id="624" w:name="_Ref410053830"/>
      <w:r w:rsidRPr="00FB2F3D">
        <w:rPr>
          <w:rFonts w:ascii="Arial" w:hAnsi="Arial" w:cs="Arial"/>
          <w:sz w:val="22"/>
          <w:szCs w:val="22"/>
        </w:rPr>
        <w:t>A Reporting Entity must establish effective arrangements to deny access to Inside Information to Persons other than those who require it for the exercise of their functions within the Reporting Entity.</w:t>
      </w:r>
      <w:bookmarkEnd w:id="624"/>
    </w:p>
    <w:p w14:paraId="158A5921" w14:textId="77777777" w:rsidR="003B6092" w:rsidRPr="00FB2F3D" w:rsidRDefault="003B6092" w:rsidP="003B6092">
      <w:pPr>
        <w:pStyle w:val="Heading3"/>
        <w:rPr>
          <w:rFonts w:ascii="Arial" w:hAnsi="Arial" w:cs="Arial"/>
          <w:sz w:val="22"/>
          <w:szCs w:val="22"/>
        </w:rPr>
      </w:pPr>
      <w:bookmarkStart w:id="625" w:name="_Ref410053840"/>
      <w:r w:rsidRPr="00FB2F3D">
        <w:rPr>
          <w:rFonts w:ascii="Arial" w:hAnsi="Arial" w:cs="Arial"/>
          <w:sz w:val="22"/>
          <w:szCs w:val="22"/>
        </w:rPr>
        <w:t xml:space="preserve">A Reporting Entity must establish and maintain adequate systems and controls to enable it to identify at all times any Person working for it under a contract of </w:t>
      </w:r>
      <w:r w:rsidRPr="00FB2F3D">
        <w:rPr>
          <w:rFonts w:ascii="Arial" w:hAnsi="Arial" w:cs="Arial"/>
          <w:sz w:val="22"/>
          <w:szCs w:val="22"/>
        </w:rPr>
        <w:lastRenderedPageBreak/>
        <w:t>employment or otherwise, who has or may reasonably be likely to have access to Inside Information relating to the Reporting Entity, whether on a regular or occasional basis.</w:t>
      </w:r>
      <w:bookmarkEnd w:id="625"/>
    </w:p>
    <w:p w14:paraId="778A162F" w14:textId="77777777" w:rsidR="003B6092" w:rsidRPr="00FB2F3D" w:rsidRDefault="003B6092" w:rsidP="003B6092">
      <w:pPr>
        <w:pStyle w:val="Heading3"/>
        <w:rPr>
          <w:rFonts w:ascii="Arial" w:hAnsi="Arial" w:cs="Arial"/>
          <w:sz w:val="22"/>
          <w:szCs w:val="22"/>
        </w:rPr>
      </w:pPr>
      <w:r w:rsidRPr="00FB2F3D">
        <w:rPr>
          <w:rFonts w:ascii="Arial" w:hAnsi="Arial" w:cs="Arial"/>
          <w:sz w:val="22"/>
          <w:szCs w:val="22"/>
        </w:rPr>
        <w:t>A Reporting Entity must take the necessary measures to ensure that its Directors and Employees who have or may have access to Inside Information acknowledge the legal and regulatory duties entailed, including dealing restrictions in relation to the Reporting Entity's Financial Instruments or any related investments, and are aware of the sanctions attaching to the misuse or improper use or circulation of such information.</w:t>
      </w:r>
    </w:p>
    <w:p w14:paraId="0782090E" w14:textId="561A8169" w:rsidR="003B6092" w:rsidRPr="00FB2F3D" w:rsidRDefault="003B6092" w:rsidP="003B6092">
      <w:pPr>
        <w:pStyle w:val="Heading3"/>
        <w:rPr>
          <w:rFonts w:ascii="Arial" w:hAnsi="Arial" w:cs="Arial"/>
          <w:sz w:val="22"/>
          <w:szCs w:val="22"/>
        </w:rPr>
      </w:pPr>
      <w:r w:rsidRPr="00FB2F3D">
        <w:rPr>
          <w:rFonts w:ascii="Arial" w:hAnsi="Arial" w:cs="Arial"/>
          <w:sz w:val="22"/>
          <w:szCs w:val="22"/>
        </w:rPr>
        <w:t xml:space="preserve">A Reporting Entity must nominate two individuals to be its main points of contact with the Regulator in relation to </w:t>
      </w:r>
      <w:r w:rsidR="006A328C">
        <w:rPr>
          <w:rFonts w:ascii="Arial" w:hAnsi="Arial" w:cs="Arial"/>
          <w:sz w:val="22"/>
          <w:szCs w:val="22"/>
        </w:rPr>
        <w:t>its D</w:t>
      </w:r>
      <w:r w:rsidRPr="00FB2F3D">
        <w:rPr>
          <w:rFonts w:ascii="Arial" w:hAnsi="Arial" w:cs="Arial"/>
          <w:sz w:val="22"/>
          <w:szCs w:val="22"/>
        </w:rPr>
        <w:t>isclosure and other obligations under this chapter.</w:t>
      </w:r>
    </w:p>
    <w:p w14:paraId="26AFCD1E" w14:textId="77777777" w:rsidR="003B6092" w:rsidRPr="00FB2F3D" w:rsidRDefault="003B6092" w:rsidP="003B6092">
      <w:pPr>
        <w:pStyle w:val="Heading2"/>
        <w:rPr>
          <w:rFonts w:ascii="Arial" w:hAnsi="Arial" w:cs="Arial"/>
          <w:sz w:val="22"/>
          <w:szCs w:val="22"/>
        </w:rPr>
      </w:pPr>
      <w:bookmarkStart w:id="626" w:name="_Toc409521841"/>
      <w:bookmarkStart w:id="627" w:name="_Ref410055462"/>
      <w:bookmarkStart w:id="628" w:name="_Toc410136238"/>
      <w:bookmarkStart w:id="629" w:name="_Toc410605947"/>
      <w:bookmarkStart w:id="630" w:name="_Ref410630644"/>
      <w:bookmarkStart w:id="631" w:name="_Toc410658883"/>
      <w:bookmarkStart w:id="632" w:name="_Toc410659010"/>
      <w:bookmarkStart w:id="633" w:name="_Toc410835557"/>
      <w:bookmarkStart w:id="634" w:name="_Ref416794081"/>
      <w:bookmarkStart w:id="635" w:name="_Toc138325694"/>
      <w:r w:rsidRPr="00FB2F3D">
        <w:rPr>
          <w:rFonts w:ascii="Arial" w:hAnsi="Arial" w:cs="Arial"/>
          <w:sz w:val="22"/>
          <w:szCs w:val="22"/>
        </w:rPr>
        <w:t>Disclosure of interests by Connected Persons</w:t>
      </w:r>
      <w:bookmarkEnd w:id="626"/>
      <w:bookmarkEnd w:id="627"/>
      <w:bookmarkEnd w:id="628"/>
      <w:bookmarkEnd w:id="629"/>
      <w:bookmarkEnd w:id="630"/>
      <w:bookmarkEnd w:id="631"/>
      <w:bookmarkEnd w:id="632"/>
      <w:bookmarkEnd w:id="633"/>
      <w:bookmarkEnd w:id="634"/>
      <w:bookmarkEnd w:id="635"/>
    </w:p>
    <w:p w14:paraId="415CCD2B" w14:textId="77777777" w:rsidR="003B6092" w:rsidRPr="00FB2F3D" w:rsidRDefault="003B6092" w:rsidP="003B6092">
      <w:pPr>
        <w:pStyle w:val="TitleL"/>
        <w:rPr>
          <w:rFonts w:ascii="Arial" w:hAnsi="Arial" w:cs="Arial"/>
          <w:sz w:val="22"/>
          <w:szCs w:val="22"/>
        </w:rPr>
      </w:pPr>
      <w:r w:rsidRPr="00FB2F3D">
        <w:rPr>
          <w:rFonts w:ascii="Arial" w:hAnsi="Arial" w:cs="Arial"/>
          <w:sz w:val="22"/>
          <w:szCs w:val="22"/>
        </w:rPr>
        <w:t>Guidance</w:t>
      </w:r>
    </w:p>
    <w:p w14:paraId="2037B939" w14:textId="455EEB91" w:rsidR="003B6092" w:rsidRPr="00FB2F3D" w:rsidRDefault="003B6092" w:rsidP="003B6092">
      <w:pPr>
        <w:pStyle w:val="UK12Block05"/>
        <w:rPr>
          <w:rFonts w:ascii="Arial" w:hAnsi="Arial" w:cs="Arial"/>
          <w:sz w:val="22"/>
          <w:szCs w:val="22"/>
        </w:rPr>
      </w:pPr>
      <w:r w:rsidRPr="00FB2F3D">
        <w:rPr>
          <w:rFonts w:ascii="Arial" w:hAnsi="Arial" w:cs="Arial"/>
          <w:sz w:val="22"/>
          <w:szCs w:val="22"/>
        </w:rPr>
        <w:t xml:space="preserve">Section 76 of the FSMR requires certain </w:t>
      </w:r>
      <w:r w:rsidR="006A328C">
        <w:rPr>
          <w:rFonts w:ascii="Arial" w:hAnsi="Arial" w:cs="Arial"/>
          <w:sz w:val="22"/>
          <w:szCs w:val="22"/>
        </w:rPr>
        <w:t>P</w:t>
      </w:r>
      <w:r w:rsidRPr="00FB2F3D">
        <w:rPr>
          <w:rFonts w:ascii="Arial" w:hAnsi="Arial" w:cs="Arial"/>
          <w:sz w:val="22"/>
          <w:szCs w:val="22"/>
        </w:rPr>
        <w:t>ersons connected to a Reporting Entity to make certain disclosures to the Regulator and the Reporting Entity in accordance with the requirements prescribed in these Rules.</w:t>
      </w:r>
    </w:p>
    <w:p w14:paraId="14C987F1" w14:textId="77777777" w:rsidR="003B6092" w:rsidRPr="00FB2F3D" w:rsidRDefault="003B6092" w:rsidP="003B6092">
      <w:pPr>
        <w:pStyle w:val="TitleL"/>
        <w:rPr>
          <w:rFonts w:ascii="Arial" w:hAnsi="Arial" w:cs="Arial"/>
          <w:sz w:val="22"/>
          <w:szCs w:val="22"/>
        </w:rPr>
      </w:pPr>
      <w:r w:rsidRPr="00FB2F3D">
        <w:rPr>
          <w:rFonts w:ascii="Arial" w:hAnsi="Arial" w:cs="Arial"/>
          <w:sz w:val="22"/>
          <w:szCs w:val="22"/>
        </w:rPr>
        <w:t>Application</w:t>
      </w:r>
    </w:p>
    <w:p w14:paraId="1270DFED" w14:textId="77777777" w:rsidR="003B6092" w:rsidRPr="00FB2F3D" w:rsidRDefault="003B6092" w:rsidP="003B6092">
      <w:pPr>
        <w:pStyle w:val="Heading3"/>
        <w:rPr>
          <w:rFonts w:ascii="Arial" w:hAnsi="Arial" w:cs="Arial"/>
          <w:sz w:val="22"/>
          <w:szCs w:val="22"/>
        </w:rPr>
      </w:pPr>
      <w:r w:rsidRPr="00FB2F3D">
        <w:rPr>
          <w:rFonts w:ascii="Arial" w:hAnsi="Arial" w:cs="Arial"/>
          <w:sz w:val="22"/>
          <w:szCs w:val="22"/>
        </w:rPr>
        <w:t>This Rule applies to a Connected Person of a Reporting Entity other than that of a</w:t>
      </w:r>
      <w:r w:rsidRPr="00FB2F3D">
        <w:rPr>
          <w:rFonts w:ascii="Arial" w:hAnsi="Arial" w:cs="Arial"/>
          <w:sz w:val="22"/>
          <w:szCs w:val="22"/>
          <w:lang w:eastAsia="ja-JP"/>
        </w:rPr>
        <w:t xml:space="preserve"> </w:t>
      </w:r>
      <w:r w:rsidRPr="00FB2F3D">
        <w:rPr>
          <w:rFonts w:ascii="Arial" w:hAnsi="Arial" w:cs="Arial"/>
          <w:sz w:val="22"/>
          <w:szCs w:val="22"/>
        </w:rPr>
        <w:t>Listed Fund.</w:t>
      </w:r>
    </w:p>
    <w:p w14:paraId="0F4B437E" w14:textId="77777777" w:rsidR="003B6092" w:rsidRPr="00FB2F3D" w:rsidRDefault="003B6092" w:rsidP="003B6092">
      <w:pPr>
        <w:pStyle w:val="TitleL"/>
        <w:rPr>
          <w:rFonts w:ascii="Arial" w:hAnsi="Arial" w:cs="Arial"/>
          <w:sz w:val="22"/>
          <w:szCs w:val="22"/>
        </w:rPr>
      </w:pPr>
      <w:r w:rsidRPr="00FB2F3D">
        <w:rPr>
          <w:rFonts w:ascii="Arial" w:hAnsi="Arial" w:cs="Arial"/>
          <w:sz w:val="22"/>
          <w:szCs w:val="22"/>
        </w:rPr>
        <w:t>Guidance</w:t>
      </w:r>
    </w:p>
    <w:p w14:paraId="5568FBAF" w14:textId="174DF3AB" w:rsidR="003B6092" w:rsidRPr="00FB2F3D" w:rsidRDefault="006A328C" w:rsidP="003B6092">
      <w:pPr>
        <w:pStyle w:val="UK12Block05"/>
        <w:rPr>
          <w:rFonts w:ascii="Arial" w:hAnsi="Arial" w:cs="Arial"/>
          <w:sz w:val="22"/>
          <w:szCs w:val="22"/>
        </w:rPr>
      </w:pPr>
      <w:r>
        <w:rPr>
          <w:rFonts w:ascii="Arial" w:hAnsi="Arial" w:cs="Arial"/>
          <w:sz w:val="22"/>
          <w:szCs w:val="22"/>
        </w:rPr>
        <w:t xml:space="preserve">Rule </w:t>
      </w:r>
      <w:r w:rsidR="00693841" w:rsidRPr="00FB2F3D">
        <w:rPr>
          <w:rFonts w:ascii="Arial" w:hAnsi="Arial" w:cs="Arial"/>
          <w:sz w:val="22"/>
          <w:szCs w:val="22"/>
        </w:rPr>
        <w:t>3</w:t>
      </w:r>
      <w:r>
        <w:rPr>
          <w:rFonts w:ascii="Arial" w:hAnsi="Arial" w:cs="Arial"/>
          <w:sz w:val="22"/>
          <w:szCs w:val="22"/>
        </w:rPr>
        <w:t>.6</w:t>
      </w:r>
      <w:r w:rsidR="003B6092" w:rsidRPr="00FB2F3D">
        <w:rPr>
          <w:rFonts w:ascii="Arial" w:hAnsi="Arial" w:cs="Arial"/>
          <w:sz w:val="22"/>
          <w:szCs w:val="22"/>
        </w:rPr>
        <w:t xml:space="preserve"> contains</w:t>
      </w:r>
      <w:r>
        <w:rPr>
          <w:rFonts w:ascii="Arial" w:hAnsi="Arial" w:cs="Arial"/>
          <w:sz w:val="22"/>
          <w:szCs w:val="22"/>
        </w:rPr>
        <w:t xml:space="preserve"> the </w:t>
      </w:r>
      <w:r w:rsidR="003B6092" w:rsidRPr="00FB2F3D">
        <w:rPr>
          <w:rFonts w:ascii="Arial" w:hAnsi="Arial" w:cs="Arial"/>
          <w:sz w:val="22"/>
          <w:szCs w:val="22"/>
        </w:rPr>
        <w:t>Connected Person disclosure requirements relevant to Listed Funds.</w:t>
      </w:r>
    </w:p>
    <w:p w14:paraId="378C4A48" w14:textId="77777777" w:rsidR="003B6092" w:rsidRPr="00FB2F3D" w:rsidRDefault="003B6092" w:rsidP="003B6092">
      <w:pPr>
        <w:pStyle w:val="TitleL"/>
        <w:rPr>
          <w:rFonts w:ascii="Arial" w:hAnsi="Arial" w:cs="Arial"/>
          <w:sz w:val="22"/>
          <w:szCs w:val="22"/>
        </w:rPr>
      </w:pPr>
      <w:r w:rsidRPr="00FB2F3D">
        <w:rPr>
          <w:rFonts w:ascii="Arial" w:hAnsi="Arial" w:cs="Arial"/>
          <w:sz w:val="22"/>
          <w:szCs w:val="22"/>
        </w:rPr>
        <w:t>Definitions</w:t>
      </w:r>
    </w:p>
    <w:p w14:paraId="1C0A809A" w14:textId="4E7B2B90" w:rsidR="003B6092" w:rsidRPr="00FB2F3D" w:rsidRDefault="007441BA" w:rsidP="003B6092">
      <w:pPr>
        <w:pStyle w:val="Heading3"/>
        <w:ind w:left="1440" w:hanging="1440"/>
        <w:rPr>
          <w:rFonts w:ascii="Arial" w:hAnsi="Arial" w:cs="Arial"/>
          <w:sz w:val="22"/>
          <w:szCs w:val="22"/>
        </w:rPr>
      </w:pPr>
      <w:bookmarkStart w:id="636" w:name="_Ref410071298"/>
      <w:bookmarkStart w:id="637" w:name="_Ref410635065"/>
      <w:r w:rsidRPr="00FB2F3D">
        <w:rPr>
          <w:rFonts w:ascii="Arial" w:hAnsi="Arial" w:cs="Arial"/>
          <w:sz w:val="22"/>
          <w:szCs w:val="22"/>
        </w:rPr>
        <w:t>(1)</w:t>
      </w:r>
      <w:r w:rsidR="003B6092" w:rsidRPr="00FB2F3D">
        <w:rPr>
          <w:rFonts w:ascii="Arial" w:hAnsi="Arial" w:cs="Arial"/>
          <w:sz w:val="22"/>
          <w:szCs w:val="22"/>
        </w:rPr>
        <w:tab/>
      </w:r>
      <w:r w:rsidR="006A328C">
        <w:rPr>
          <w:rFonts w:ascii="Arial" w:hAnsi="Arial" w:cs="Arial"/>
          <w:sz w:val="22"/>
          <w:szCs w:val="22"/>
        </w:rPr>
        <w:t>A</w:t>
      </w:r>
      <w:r w:rsidR="003B6092" w:rsidRPr="00FB2F3D">
        <w:rPr>
          <w:rFonts w:ascii="Arial" w:hAnsi="Arial" w:cs="Arial"/>
          <w:sz w:val="22"/>
          <w:szCs w:val="22"/>
        </w:rPr>
        <w:t xml:space="preserve"> Person is hereby prescribed as a Connected Person of a Reporting Entity if that Person</w:t>
      </w:r>
      <w:bookmarkEnd w:id="636"/>
      <w:r w:rsidR="003B6092" w:rsidRPr="00FB2F3D">
        <w:rPr>
          <w:rFonts w:ascii="Arial" w:hAnsi="Arial" w:cs="Arial"/>
          <w:sz w:val="22"/>
          <w:szCs w:val="22"/>
        </w:rPr>
        <w:t>:</w:t>
      </w:r>
      <w:bookmarkEnd w:id="637"/>
    </w:p>
    <w:p w14:paraId="59F4629E" w14:textId="77777777" w:rsidR="003B6092" w:rsidRPr="00FB2F3D" w:rsidRDefault="003B6092" w:rsidP="003B6092">
      <w:pPr>
        <w:pStyle w:val="Heading5"/>
        <w:rPr>
          <w:rFonts w:ascii="Arial" w:hAnsi="Arial" w:cs="Arial"/>
          <w:sz w:val="22"/>
          <w:szCs w:val="22"/>
        </w:rPr>
      </w:pPr>
      <w:bookmarkStart w:id="638" w:name="_Ref410633097"/>
      <w:r w:rsidRPr="00FB2F3D">
        <w:rPr>
          <w:rFonts w:ascii="Arial" w:hAnsi="Arial" w:cs="Arial"/>
          <w:sz w:val="22"/>
          <w:szCs w:val="22"/>
        </w:rPr>
        <w:t>is a Director or an individual involved in the Senior Management of either:</w:t>
      </w:r>
      <w:bookmarkEnd w:id="638"/>
    </w:p>
    <w:p w14:paraId="0F783CF7" w14:textId="77777777" w:rsidR="003B6092" w:rsidRPr="00FB2F3D" w:rsidRDefault="003B6092" w:rsidP="003B6092">
      <w:pPr>
        <w:pStyle w:val="Heading6"/>
        <w:rPr>
          <w:rFonts w:ascii="Arial" w:hAnsi="Arial" w:cs="Arial"/>
          <w:sz w:val="22"/>
          <w:szCs w:val="22"/>
        </w:rPr>
      </w:pPr>
      <w:r w:rsidRPr="00FB2F3D">
        <w:rPr>
          <w:rFonts w:ascii="Arial" w:hAnsi="Arial" w:cs="Arial"/>
          <w:sz w:val="22"/>
          <w:szCs w:val="22"/>
        </w:rPr>
        <w:t>the Reporting Entity; or</w:t>
      </w:r>
    </w:p>
    <w:p w14:paraId="12C782FC" w14:textId="77777777" w:rsidR="003B6092" w:rsidRPr="00FB2F3D" w:rsidRDefault="003B6092" w:rsidP="003B6092">
      <w:pPr>
        <w:pStyle w:val="Heading6"/>
        <w:rPr>
          <w:rFonts w:ascii="Arial" w:hAnsi="Arial" w:cs="Arial"/>
          <w:sz w:val="22"/>
          <w:szCs w:val="22"/>
        </w:rPr>
      </w:pPr>
      <w:r w:rsidRPr="00FB2F3D">
        <w:rPr>
          <w:rFonts w:ascii="Arial" w:hAnsi="Arial" w:cs="Arial"/>
          <w:sz w:val="22"/>
          <w:szCs w:val="22"/>
        </w:rPr>
        <w:t>a Controller of the Reporting Entity; or</w:t>
      </w:r>
    </w:p>
    <w:p w14:paraId="0AF8BA51" w14:textId="77777777" w:rsidR="003B6092" w:rsidRPr="00FB2F3D" w:rsidRDefault="003B6092" w:rsidP="003B6092">
      <w:pPr>
        <w:pStyle w:val="Heading5"/>
        <w:rPr>
          <w:rFonts w:ascii="Arial" w:hAnsi="Arial" w:cs="Arial"/>
          <w:sz w:val="22"/>
          <w:szCs w:val="22"/>
        </w:rPr>
      </w:pPr>
      <w:bookmarkStart w:id="639" w:name="_Ref410633186"/>
      <w:r w:rsidRPr="00FB2F3D">
        <w:rPr>
          <w:rFonts w:ascii="Arial" w:hAnsi="Arial" w:cs="Arial"/>
          <w:sz w:val="22"/>
          <w:szCs w:val="22"/>
        </w:rPr>
        <w:t>owns, whether legally or beneficially, or controls, whether directly or indirectly, voting Securities carrying more than 5% of the voting rights attaching to all the voting Securities of either:</w:t>
      </w:r>
      <w:bookmarkEnd w:id="639"/>
    </w:p>
    <w:p w14:paraId="031074D2" w14:textId="77777777" w:rsidR="003B6092" w:rsidRPr="00FB2F3D" w:rsidRDefault="003B6092" w:rsidP="003B6092">
      <w:pPr>
        <w:pStyle w:val="Heading6"/>
        <w:rPr>
          <w:rFonts w:ascii="Arial" w:hAnsi="Arial" w:cs="Arial"/>
          <w:sz w:val="22"/>
          <w:szCs w:val="22"/>
        </w:rPr>
      </w:pPr>
      <w:r w:rsidRPr="00FB2F3D">
        <w:rPr>
          <w:rFonts w:ascii="Arial" w:hAnsi="Arial" w:cs="Arial"/>
          <w:sz w:val="22"/>
          <w:szCs w:val="22"/>
        </w:rPr>
        <w:t>the Reporting Entity; or</w:t>
      </w:r>
    </w:p>
    <w:p w14:paraId="295E4307" w14:textId="77777777" w:rsidR="003B6092" w:rsidRPr="00FB2F3D" w:rsidRDefault="003B6092" w:rsidP="003B6092">
      <w:pPr>
        <w:pStyle w:val="Heading6"/>
        <w:rPr>
          <w:rFonts w:ascii="Arial" w:hAnsi="Arial" w:cs="Arial"/>
          <w:sz w:val="22"/>
          <w:szCs w:val="22"/>
        </w:rPr>
      </w:pPr>
      <w:r w:rsidRPr="00FB2F3D">
        <w:rPr>
          <w:rFonts w:ascii="Arial" w:hAnsi="Arial" w:cs="Arial"/>
          <w:sz w:val="22"/>
          <w:szCs w:val="22"/>
        </w:rPr>
        <w:t>a Controller of the Reporting Entity.</w:t>
      </w:r>
    </w:p>
    <w:p w14:paraId="203E39DD" w14:textId="04268B52" w:rsidR="003B6092" w:rsidRPr="00FB2F3D" w:rsidRDefault="003B6092" w:rsidP="003B6092">
      <w:pPr>
        <w:pStyle w:val="Heading4"/>
        <w:rPr>
          <w:rFonts w:ascii="Arial" w:hAnsi="Arial" w:cs="Arial"/>
          <w:sz w:val="22"/>
          <w:szCs w:val="22"/>
        </w:rPr>
      </w:pPr>
      <w:bookmarkStart w:id="640" w:name="_Ref410668069"/>
      <w:r w:rsidRPr="00FB2F3D">
        <w:rPr>
          <w:rFonts w:ascii="Arial" w:hAnsi="Arial" w:cs="Arial"/>
          <w:sz w:val="22"/>
          <w:szCs w:val="22"/>
        </w:rPr>
        <w:t xml:space="preserve">In </w:t>
      </w:r>
      <w:r w:rsidR="00693841" w:rsidRPr="00FB2F3D">
        <w:rPr>
          <w:rFonts w:ascii="Arial" w:hAnsi="Arial" w:cs="Arial"/>
          <w:sz w:val="22"/>
          <w:szCs w:val="22"/>
        </w:rPr>
        <w:t>(1)</w:t>
      </w:r>
      <w:r w:rsidRPr="00FB2F3D">
        <w:rPr>
          <w:rFonts w:ascii="Arial" w:hAnsi="Arial" w:cs="Arial"/>
          <w:sz w:val="22"/>
          <w:szCs w:val="22"/>
        </w:rPr>
        <w:t xml:space="preserve">, a Person is a Controller of a Reporting Entity if that Person (the first </w:t>
      </w:r>
      <w:r w:rsidR="006A328C">
        <w:rPr>
          <w:rFonts w:ascii="Arial" w:hAnsi="Arial" w:cs="Arial"/>
          <w:sz w:val="22"/>
          <w:szCs w:val="22"/>
        </w:rPr>
        <w:t>P</w:t>
      </w:r>
      <w:r w:rsidRPr="00FB2F3D">
        <w:rPr>
          <w:rFonts w:ascii="Arial" w:hAnsi="Arial" w:cs="Arial"/>
          <w:sz w:val="22"/>
          <w:szCs w:val="22"/>
        </w:rPr>
        <w:t xml:space="preserve">erson), either alone or with his Associates, controls the majority of the voting rights in, or the right to appoint or remove the majority of the Board of, the Reporting Entity or any Person who has similar control over the first </w:t>
      </w:r>
      <w:r w:rsidR="006A328C">
        <w:rPr>
          <w:rFonts w:ascii="Arial" w:hAnsi="Arial" w:cs="Arial"/>
          <w:sz w:val="22"/>
          <w:szCs w:val="22"/>
        </w:rPr>
        <w:t>P</w:t>
      </w:r>
      <w:r w:rsidRPr="00FB2F3D">
        <w:rPr>
          <w:rFonts w:ascii="Arial" w:hAnsi="Arial" w:cs="Arial"/>
          <w:sz w:val="22"/>
          <w:szCs w:val="22"/>
        </w:rPr>
        <w:t xml:space="preserve">erson, including an ultimate Controller of the first </w:t>
      </w:r>
      <w:r w:rsidR="006A328C">
        <w:rPr>
          <w:rFonts w:ascii="Arial" w:hAnsi="Arial" w:cs="Arial"/>
          <w:sz w:val="22"/>
          <w:szCs w:val="22"/>
        </w:rPr>
        <w:t>P</w:t>
      </w:r>
      <w:r w:rsidRPr="00FB2F3D">
        <w:rPr>
          <w:rFonts w:ascii="Arial" w:hAnsi="Arial" w:cs="Arial"/>
          <w:sz w:val="22"/>
          <w:szCs w:val="22"/>
        </w:rPr>
        <w:t>erson.</w:t>
      </w:r>
      <w:bookmarkEnd w:id="640"/>
    </w:p>
    <w:p w14:paraId="0E3EA75C" w14:textId="77777777" w:rsidR="003B6092" w:rsidRPr="00FB2F3D" w:rsidRDefault="003B6092" w:rsidP="003B6092">
      <w:pPr>
        <w:pStyle w:val="Heading4"/>
        <w:keepNext/>
        <w:rPr>
          <w:rFonts w:ascii="Arial" w:hAnsi="Arial" w:cs="Arial"/>
          <w:sz w:val="22"/>
          <w:szCs w:val="22"/>
          <w:lang w:eastAsia="ja-JP"/>
        </w:rPr>
      </w:pPr>
      <w:bookmarkStart w:id="641" w:name="_Ref410668085"/>
      <w:r w:rsidRPr="00FB2F3D">
        <w:rPr>
          <w:rFonts w:ascii="Arial" w:hAnsi="Arial" w:cs="Arial"/>
          <w:sz w:val="22"/>
          <w:szCs w:val="22"/>
        </w:rPr>
        <w:lastRenderedPageBreak/>
        <w:t>For the purposes of determining whether a Person:</w:t>
      </w:r>
      <w:bookmarkEnd w:id="641"/>
    </w:p>
    <w:p w14:paraId="14A72042"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 xml:space="preserve">owns or controls voting Securities in </w:t>
      </w:r>
      <w:r w:rsidR="00693841" w:rsidRPr="00FB2F3D">
        <w:rPr>
          <w:rFonts w:ascii="Arial" w:hAnsi="Arial" w:cs="Arial"/>
          <w:sz w:val="22"/>
          <w:szCs w:val="22"/>
        </w:rPr>
        <w:t>(1)(b)</w:t>
      </w:r>
      <w:r w:rsidRPr="00FB2F3D">
        <w:rPr>
          <w:rFonts w:ascii="Arial" w:hAnsi="Arial" w:cs="Arial"/>
          <w:sz w:val="22"/>
          <w:szCs w:val="22"/>
        </w:rPr>
        <w:t>; or</w:t>
      </w:r>
    </w:p>
    <w:p w14:paraId="6A8D416A" w14:textId="77777777" w:rsidR="003B6092" w:rsidRPr="00FB2F3D" w:rsidRDefault="003B6092" w:rsidP="003B6092">
      <w:pPr>
        <w:pStyle w:val="Heading5"/>
        <w:rPr>
          <w:rFonts w:ascii="Arial" w:hAnsi="Arial" w:cs="Arial"/>
          <w:sz w:val="22"/>
          <w:szCs w:val="22"/>
        </w:rPr>
      </w:pPr>
      <w:bookmarkStart w:id="642" w:name="_Ref416816575"/>
      <w:r w:rsidRPr="00FB2F3D">
        <w:rPr>
          <w:rFonts w:ascii="Arial" w:hAnsi="Arial" w:cs="Arial"/>
          <w:sz w:val="22"/>
          <w:szCs w:val="22"/>
        </w:rPr>
        <w:t xml:space="preserve">controls the voting rights in or the right to appoint or remove the majority of the Board of a Reporting Entity or a Controller of a Reporting Entity in </w:t>
      </w:r>
      <w:r w:rsidR="00693841" w:rsidRPr="00FB2F3D">
        <w:rPr>
          <w:rFonts w:ascii="Arial" w:hAnsi="Arial" w:cs="Arial"/>
          <w:sz w:val="22"/>
          <w:szCs w:val="22"/>
        </w:rPr>
        <w:t>(2)</w:t>
      </w:r>
      <w:r w:rsidRPr="00FB2F3D">
        <w:rPr>
          <w:rFonts w:ascii="Arial" w:hAnsi="Arial" w:cs="Arial"/>
          <w:sz w:val="22"/>
          <w:szCs w:val="22"/>
        </w:rPr>
        <w:t>,</w:t>
      </w:r>
      <w:bookmarkEnd w:id="642"/>
    </w:p>
    <w:p w14:paraId="48137D9D" w14:textId="77777777" w:rsidR="003B6092" w:rsidRPr="00FB2F3D" w:rsidRDefault="003B6092" w:rsidP="003B6092">
      <w:pPr>
        <w:pStyle w:val="UK12Block10"/>
        <w:rPr>
          <w:rFonts w:ascii="Arial" w:hAnsi="Arial" w:cs="Arial"/>
          <w:sz w:val="22"/>
          <w:szCs w:val="22"/>
        </w:rPr>
      </w:pPr>
      <w:r w:rsidRPr="00FB2F3D">
        <w:rPr>
          <w:rFonts w:ascii="Arial" w:hAnsi="Arial" w:cs="Arial"/>
          <w:sz w:val="22"/>
          <w:szCs w:val="22"/>
        </w:rPr>
        <w:t xml:space="preserve">any Securities held by that Person and his Associates, including those in which that Person or an Associate of that Person has a beneficial interest, are deemed as his Securities except as specified in </w:t>
      </w:r>
      <w:r w:rsidR="00693841" w:rsidRPr="00FB2F3D">
        <w:rPr>
          <w:rFonts w:ascii="Arial" w:hAnsi="Arial" w:cs="Arial"/>
          <w:sz w:val="22"/>
          <w:szCs w:val="22"/>
        </w:rPr>
        <w:t>(3)</w:t>
      </w:r>
      <w:r w:rsidRPr="00FB2F3D">
        <w:rPr>
          <w:rFonts w:ascii="Arial" w:hAnsi="Arial" w:cs="Arial"/>
          <w:sz w:val="22"/>
          <w:szCs w:val="22"/>
        </w:rPr>
        <w:t>.</w:t>
      </w:r>
    </w:p>
    <w:p w14:paraId="2EC6BE69" w14:textId="77777777" w:rsidR="003B6092" w:rsidRPr="00FB2F3D" w:rsidRDefault="003B6092" w:rsidP="003B6092">
      <w:pPr>
        <w:pStyle w:val="Heading4"/>
        <w:keepNext/>
        <w:rPr>
          <w:rFonts w:ascii="Arial" w:hAnsi="Arial" w:cs="Arial"/>
          <w:sz w:val="22"/>
          <w:szCs w:val="22"/>
        </w:rPr>
      </w:pPr>
      <w:bookmarkStart w:id="643" w:name="_Ref410668079"/>
      <w:r w:rsidRPr="00FB2F3D">
        <w:rPr>
          <w:rFonts w:ascii="Arial" w:hAnsi="Arial" w:cs="Arial"/>
          <w:sz w:val="22"/>
          <w:szCs w:val="22"/>
        </w:rPr>
        <w:t xml:space="preserve">For the purposes of </w:t>
      </w:r>
      <w:r w:rsidR="00693841" w:rsidRPr="00FB2F3D">
        <w:rPr>
          <w:rFonts w:ascii="Arial" w:hAnsi="Arial" w:cs="Arial"/>
          <w:sz w:val="22"/>
          <w:szCs w:val="22"/>
        </w:rPr>
        <w:t>(3)</w:t>
      </w:r>
      <w:r w:rsidRPr="00FB2F3D">
        <w:rPr>
          <w:rFonts w:ascii="Arial" w:hAnsi="Arial" w:cs="Arial"/>
          <w:sz w:val="22"/>
          <w:szCs w:val="22"/>
        </w:rPr>
        <w:t>, Securities are not deemed as his Securities where:</w:t>
      </w:r>
      <w:bookmarkEnd w:id="643"/>
    </w:p>
    <w:p w14:paraId="19839BD6"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any such Securities are held by that Person on behalf of another</w:t>
      </w:r>
      <w:r w:rsidRPr="00FB2F3D">
        <w:rPr>
          <w:rFonts w:ascii="Arial" w:hAnsi="Arial" w:cs="Arial"/>
          <w:sz w:val="22"/>
          <w:szCs w:val="22"/>
          <w:lang w:eastAsia="ja-JP"/>
        </w:rPr>
        <w:t xml:space="preserve"> </w:t>
      </w:r>
      <w:r w:rsidRPr="00FB2F3D">
        <w:rPr>
          <w:rFonts w:ascii="Arial" w:hAnsi="Arial" w:cs="Arial"/>
          <w:sz w:val="22"/>
          <w:szCs w:val="22"/>
        </w:rPr>
        <w:t>Person who is not an Associate of that Person; and</w:t>
      </w:r>
    </w:p>
    <w:p w14:paraId="68FE247A"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the Person does not have control over the voting rights attaching to the Securities because some other Person exercises those rights or manages those Securities on a discretionary basis.</w:t>
      </w:r>
    </w:p>
    <w:p w14:paraId="78CA3DF3" w14:textId="77777777" w:rsidR="003B6092" w:rsidRPr="00FB2F3D" w:rsidRDefault="003B6092" w:rsidP="003B6092">
      <w:pPr>
        <w:pStyle w:val="Heading4"/>
        <w:rPr>
          <w:rFonts w:ascii="Arial" w:hAnsi="Arial" w:cs="Arial"/>
          <w:sz w:val="22"/>
          <w:szCs w:val="22"/>
        </w:rPr>
      </w:pPr>
      <w:r w:rsidRPr="00FB2F3D">
        <w:rPr>
          <w:rFonts w:ascii="Arial" w:hAnsi="Arial" w:cs="Arial"/>
          <w:sz w:val="22"/>
          <w:szCs w:val="22"/>
        </w:rPr>
        <w:t>A Person is not a Connected Person of a Reporting Entity merely by reason that:</w:t>
      </w:r>
    </w:p>
    <w:p w14:paraId="01B7871F" w14:textId="77777777" w:rsidR="003B6092" w:rsidRPr="00FB2F3D" w:rsidRDefault="003B6092" w:rsidP="00AF7E14">
      <w:pPr>
        <w:pStyle w:val="Heading5"/>
        <w:rPr>
          <w:rFonts w:ascii="Arial" w:hAnsi="Arial" w:cs="Arial"/>
          <w:sz w:val="22"/>
          <w:szCs w:val="22"/>
        </w:rPr>
      </w:pPr>
      <w:r w:rsidRPr="00FB2F3D">
        <w:rPr>
          <w:rFonts w:ascii="Arial" w:hAnsi="Arial" w:cs="Arial"/>
          <w:sz w:val="22"/>
          <w:szCs w:val="22"/>
        </w:rPr>
        <w:t xml:space="preserve">its Structured Products are admitted to trading on a Recognised </w:t>
      </w:r>
      <w:r w:rsidR="00AF7E14" w:rsidRPr="00FB2F3D">
        <w:rPr>
          <w:rFonts w:ascii="Arial" w:hAnsi="Arial" w:cs="Arial"/>
          <w:sz w:val="22"/>
          <w:szCs w:val="22"/>
        </w:rPr>
        <w:t>Investment Exchange</w:t>
      </w:r>
      <w:r w:rsidRPr="00FB2F3D">
        <w:rPr>
          <w:rFonts w:ascii="Arial" w:hAnsi="Arial" w:cs="Arial"/>
          <w:sz w:val="22"/>
          <w:szCs w:val="22"/>
        </w:rPr>
        <w:t>; or</w:t>
      </w:r>
    </w:p>
    <w:p w14:paraId="78C75CD7" w14:textId="77777777" w:rsidR="003B6092" w:rsidRPr="00FB2F3D" w:rsidRDefault="003B6092" w:rsidP="003B6092">
      <w:pPr>
        <w:pStyle w:val="Heading5"/>
        <w:keepNext/>
        <w:rPr>
          <w:rFonts w:ascii="Arial" w:hAnsi="Arial" w:cs="Arial"/>
          <w:sz w:val="22"/>
          <w:szCs w:val="22"/>
        </w:rPr>
      </w:pPr>
      <w:r w:rsidRPr="00FB2F3D">
        <w:rPr>
          <w:rFonts w:ascii="Arial" w:hAnsi="Arial" w:cs="Arial"/>
          <w:sz w:val="22"/>
          <w:szCs w:val="22"/>
        </w:rPr>
        <w:t>such Person:</w:t>
      </w:r>
    </w:p>
    <w:p w14:paraId="1341A73C" w14:textId="77777777" w:rsidR="003B6092" w:rsidRPr="00FB2F3D" w:rsidRDefault="003B6092" w:rsidP="003B6092">
      <w:pPr>
        <w:pStyle w:val="Heading6"/>
        <w:rPr>
          <w:rFonts w:ascii="Arial" w:hAnsi="Arial" w:cs="Arial"/>
          <w:sz w:val="22"/>
          <w:szCs w:val="22"/>
        </w:rPr>
      </w:pPr>
      <w:bookmarkStart w:id="644" w:name="_Ref410668103"/>
      <w:r w:rsidRPr="00FB2F3D">
        <w:rPr>
          <w:rFonts w:ascii="Arial" w:hAnsi="Arial" w:cs="Arial"/>
          <w:sz w:val="22"/>
          <w:szCs w:val="22"/>
        </w:rPr>
        <w:t>owns or holds voting Securities solely in its capacity as trustee, nominee or custodian under an agreement to hold such Securities; and</w:t>
      </w:r>
      <w:bookmarkEnd w:id="644"/>
    </w:p>
    <w:p w14:paraId="58B96E67" w14:textId="77777777" w:rsidR="003B6092" w:rsidRPr="00FB2F3D" w:rsidRDefault="003B6092" w:rsidP="003B6092">
      <w:pPr>
        <w:pStyle w:val="Heading6"/>
        <w:rPr>
          <w:rFonts w:ascii="Arial" w:hAnsi="Arial" w:cs="Arial"/>
          <w:sz w:val="22"/>
          <w:szCs w:val="22"/>
        </w:rPr>
      </w:pPr>
      <w:r w:rsidRPr="00FB2F3D">
        <w:rPr>
          <w:rFonts w:ascii="Arial" w:hAnsi="Arial" w:cs="Arial"/>
          <w:sz w:val="22"/>
          <w:szCs w:val="22"/>
        </w:rPr>
        <w:t xml:space="preserve">does not exercise any voting or other rights associated with the Securities except in accordance with the express instructions of the owner of the Securities or in accordance with the agreement in </w:t>
      </w:r>
      <w:r w:rsidR="00693841" w:rsidRPr="00FB2F3D">
        <w:rPr>
          <w:rFonts w:ascii="Arial" w:hAnsi="Arial" w:cs="Arial"/>
          <w:sz w:val="22"/>
          <w:szCs w:val="22"/>
        </w:rPr>
        <w:t>(i)</w:t>
      </w:r>
      <w:r w:rsidRPr="00FB2F3D">
        <w:rPr>
          <w:rFonts w:ascii="Arial" w:hAnsi="Arial" w:cs="Arial"/>
          <w:sz w:val="22"/>
          <w:szCs w:val="22"/>
        </w:rPr>
        <w:t>.</w:t>
      </w:r>
    </w:p>
    <w:p w14:paraId="5CCD5BCE" w14:textId="77777777" w:rsidR="003B6092" w:rsidRPr="00FB2F3D" w:rsidRDefault="003B6092" w:rsidP="003B6092">
      <w:pPr>
        <w:pStyle w:val="TitleL"/>
        <w:rPr>
          <w:rFonts w:ascii="Arial" w:hAnsi="Arial" w:cs="Arial"/>
          <w:sz w:val="22"/>
          <w:szCs w:val="22"/>
        </w:rPr>
      </w:pPr>
      <w:r w:rsidRPr="00FB2F3D">
        <w:rPr>
          <w:rFonts w:ascii="Arial" w:hAnsi="Arial" w:cs="Arial"/>
          <w:sz w:val="22"/>
          <w:szCs w:val="22"/>
        </w:rPr>
        <w:t>Events that trigger a disclosure</w:t>
      </w:r>
    </w:p>
    <w:p w14:paraId="4D47C760" w14:textId="571113CE" w:rsidR="003B6092" w:rsidRPr="00FB2F3D" w:rsidRDefault="007441BA" w:rsidP="00AF7E14">
      <w:pPr>
        <w:pStyle w:val="Heading3"/>
        <w:ind w:left="1440" w:hanging="1440"/>
        <w:rPr>
          <w:rFonts w:ascii="Arial" w:hAnsi="Arial" w:cs="Arial"/>
          <w:sz w:val="22"/>
          <w:szCs w:val="22"/>
        </w:rPr>
      </w:pPr>
      <w:r w:rsidRPr="00FB2F3D">
        <w:rPr>
          <w:rFonts w:ascii="Arial" w:hAnsi="Arial" w:cs="Arial"/>
          <w:sz w:val="22"/>
          <w:szCs w:val="22"/>
        </w:rPr>
        <w:t>(1)</w:t>
      </w:r>
      <w:r w:rsidR="003B6092" w:rsidRPr="00FB2F3D">
        <w:rPr>
          <w:rFonts w:ascii="Arial" w:hAnsi="Arial" w:cs="Arial"/>
          <w:sz w:val="22"/>
          <w:szCs w:val="22"/>
        </w:rPr>
        <w:tab/>
        <w:t>A Connected Person must make the disclosures required under section 76</w:t>
      </w:r>
      <w:r w:rsidR="00AF7E14" w:rsidRPr="00FB2F3D">
        <w:rPr>
          <w:rFonts w:ascii="Arial" w:hAnsi="Arial" w:cs="Arial"/>
          <w:sz w:val="22"/>
          <w:szCs w:val="22"/>
        </w:rPr>
        <w:t xml:space="preserve"> of the FSMR</w:t>
      </w:r>
      <w:r w:rsidR="003B6092" w:rsidRPr="00FB2F3D">
        <w:rPr>
          <w:rFonts w:ascii="Arial" w:hAnsi="Arial" w:cs="Arial"/>
          <w:sz w:val="22"/>
          <w:szCs w:val="22"/>
        </w:rPr>
        <w:t xml:space="preserve"> (the "</w:t>
      </w:r>
      <w:r w:rsidR="007250E2">
        <w:rPr>
          <w:rFonts w:ascii="Arial" w:hAnsi="Arial" w:cs="Arial"/>
          <w:sz w:val="22"/>
          <w:szCs w:val="22"/>
        </w:rPr>
        <w:t xml:space="preserve">Connected Person </w:t>
      </w:r>
      <w:r w:rsidR="003B6092" w:rsidRPr="00FB2F3D">
        <w:rPr>
          <w:rFonts w:ascii="Arial" w:hAnsi="Arial" w:cs="Arial"/>
          <w:sz w:val="22"/>
          <w:szCs w:val="22"/>
        </w:rPr>
        <w:t xml:space="preserve">Disclosure") </w:t>
      </w:r>
      <w:r w:rsidR="00AF7E14" w:rsidRPr="00FB2F3D">
        <w:rPr>
          <w:rFonts w:ascii="Arial" w:hAnsi="Arial" w:cs="Arial"/>
          <w:sz w:val="22"/>
          <w:szCs w:val="22"/>
        </w:rPr>
        <w:t>to</w:t>
      </w:r>
      <w:r w:rsidR="003B6092" w:rsidRPr="00FB2F3D">
        <w:rPr>
          <w:rFonts w:ascii="Arial" w:hAnsi="Arial" w:cs="Arial"/>
          <w:sz w:val="22"/>
          <w:szCs w:val="22"/>
        </w:rPr>
        <w:t xml:space="preserve"> the Regulator and the Reporting Entity within five Business Days of the occurrence of any of the events prescribed in </w:t>
      </w:r>
      <w:r w:rsidR="00693841" w:rsidRPr="00FB2F3D">
        <w:rPr>
          <w:rFonts w:ascii="Arial" w:hAnsi="Arial" w:cs="Arial"/>
          <w:sz w:val="22"/>
          <w:szCs w:val="22"/>
        </w:rPr>
        <w:t>(2)</w:t>
      </w:r>
      <w:r w:rsidR="003B6092" w:rsidRPr="00FB2F3D">
        <w:rPr>
          <w:rFonts w:ascii="Arial" w:hAnsi="Arial" w:cs="Arial"/>
          <w:sz w:val="22"/>
          <w:szCs w:val="22"/>
        </w:rPr>
        <w:t xml:space="preserve"> and </w:t>
      </w:r>
      <w:r w:rsidR="00693841" w:rsidRPr="00FB2F3D">
        <w:rPr>
          <w:rFonts w:ascii="Arial" w:hAnsi="Arial" w:cs="Arial"/>
          <w:sz w:val="22"/>
          <w:szCs w:val="22"/>
        </w:rPr>
        <w:t>(3)</w:t>
      </w:r>
      <w:r w:rsidR="003B6092" w:rsidRPr="00FB2F3D">
        <w:rPr>
          <w:rFonts w:ascii="Arial" w:hAnsi="Arial" w:cs="Arial"/>
          <w:sz w:val="22"/>
          <w:szCs w:val="22"/>
        </w:rPr>
        <w:t>.</w:t>
      </w:r>
    </w:p>
    <w:p w14:paraId="55B88A09" w14:textId="692370A8" w:rsidR="003B6092" w:rsidRPr="00FB2F3D" w:rsidRDefault="00AF7E14" w:rsidP="00AF7E14">
      <w:pPr>
        <w:pStyle w:val="Heading4"/>
        <w:numPr>
          <w:ilvl w:val="0"/>
          <w:numId w:val="0"/>
        </w:numPr>
        <w:ind w:left="1440" w:hanging="720"/>
        <w:rPr>
          <w:rFonts w:ascii="Arial" w:hAnsi="Arial" w:cs="Arial"/>
          <w:sz w:val="22"/>
          <w:szCs w:val="22"/>
        </w:rPr>
      </w:pPr>
      <w:bookmarkStart w:id="645" w:name="_Ref410668118"/>
      <w:r w:rsidRPr="00FB2F3D">
        <w:rPr>
          <w:rFonts w:ascii="Arial" w:hAnsi="Arial" w:cs="Arial"/>
          <w:sz w:val="22"/>
          <w:szCs w:val="22"/>
        </w:rPr>
        <w:t>(2)</w:t>
      </w:r>
      <w:r w:rsidRPr="00FB2F3D">
        <w:rPr>
          <w:rFonts w:ascii="Arial" w:hAnsi="Arial" w:cs="Arial"/>
          <w:sz w:val="22"/>
          <w:szCs w:val="22"/>
        </w:rPr>
        <w:tab/>
      </w:r>
      <w:r w:rsidR="003B6092" w:rsidRPr="00FB2F3D">
        <w:rPr>
          <w:rFonts w:ascii="Arial" w:hAnsi="Arial" w:cs="Arial"/>
          <w:sz w:val="22"/>
          <w:szCs w:val="22"/>
        </w:rPr>
        <w:t>In the case of a Person who is a Connected Person under Rule </w:t>
      </w:r>
      <w:r w:rsidR="00693841" w:rsidRPr="00FB2F3D">
        <w:rPr>
          <w:rFonts w:ascii="Arial" w:hAnsi="Arial" w:cs="Arial"/>
          <w:sz w:val="22"/>
          <w:szCs w:val="22"/>
        </w:rPr>
        <w:t>7.3.2(1)(a)</w:t>
      </w:r>
      <w:r w:rsidR="003B6092" w:rsidRPr="00FB2F3D">
        <w:rPr>
          <w:rFonts w:ascii="Arial" w:hAnsi="Arial" w:cs="Arial"/>
          <w:sz w:val="22"/>
          <w:szCs w:val="22"/>
        </w:rPr>
        <w:t xml:space="preserve">, that Person must make the </w:t>
      </w:r>
      <w:r w:rsidR="007250E2">
        <w:rPr>
          <w:rFonts w:ascii="Arial" w:hAnsi="Arial" w:cs="Arial"/>
          <w:sz w:val="22"/>
          <w:szCs w:val="22"/>
        </w:rPr>
        <w:t xml:space="preserve">Connected Person </w:t>
      </w:r>
      <w:r w:rsidR="003B6092" w:rsidRPr="00FB2F3D">
        <w:rPr>
          <w:rFonts w:ascii="Arial" w:hAnsi="Arial" w:cs="Arial"/>
          <w:sz w:val="22"/>
          <w:szCs w:val="22"/>
        </w:rPr>
        <w:t>Disclosure</w:t>
      </w:r>
      <w:r w:rsidRPr="00FB2F3D">
        <w:rPr>
          <w:rFonts w:ascii="Arial" w:hAnsi="Arial" w:cs="Arial"/>
          <w:sz w:val="22"/>
          <w:szCs w:val="22"/>
        </w:rPr>
        <w:t xml:space="preserve"> upon</w:t>
      </w:r>
      <w:r w:rsidR="003B6092" w:rsidRPr="00FB2F3D">
        <w:rPr>
          <w:rFonts w:ascii="Arial" w:hAnsi="Arial" w:cs="Arial"/>
          <w:sz w:val="22"/>
          <w:szCs w:val="22"/>
        </w:rPr>
        <w:t>:</w:t>
      </w:r>
      <w:bookmarkEnd w:id="645"/>
    </w:p>
    <w:p w14:paraId="23946525"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becoming or ceasing to be a Director of a Controller of the</w:t>
      </w:r>
      <w:r w:rsidRPr="00FB2F3D">
        <w:rPr>
          <w:rFonts w:ascii="Arial" w:hAnsi="Arial" w:cs="Arial"/>
          <w:sz w:val="22"/>
          <w:szCs w:val="22"/>
          <w:lang w:eastAsia="ja-JP"/>
        </w:rPr>
        <w:t xml:space="preserve"> </w:t>
      </w:r>
      <w:r w:rsidRPr="00FB2F3D">
        <w:rPr>
          <w:rFonts w:ascii="Arial" w:hAnsi="Arial" w:cs="Arial"/>
          <w:sz w:val="22"/>
          <w:szCs w:val="22"/>
        </w:rPr>
        <w:t>Reporting Entity;</w:t>
      </w:r>
    </w:p>
    <w:p w14:paraId="0EF9092C" w14:textId="77777777" w:rsidR="003B6092" w:rsidRPr="00FB2F3D" w:rsidRDefault="003B6092" w:rsidP="003B6092">
      <w:pPr>
        <w:pStyle w:val="Heading5"/>
        <w:rPr>
          <w:rFonts w:ascii="Arial" w:hAnsi="Arial" w:cs="Arial"/>
          <w:sz w:val="22"/>
          <w:szCs w:val="22"/>
        </w:rPr>
      </w:pPr>
      <w:bookmarkStart w:id="646" w:name="_Ref410668149"/>
      <w:r w:rsidRPr="00FB2F3D">
        <w:rPr>
          <w:rFonts w:ascii="Arial" w:hAnsi="Arial" w:cs="Arial"/>
          <w:sz w:val="22"/>
          <w:szCs w:val="22"/>
        </w:rPr>
        <w:t>acquiring or ceasing to hold either alone or with an Associate of the Person any Securities or other investments in or relating to the Reporting Entity or a Controller of the Reporting Entity; and</w:t>
      </w:r>
      <w:bookmarkEnd w:id="646"/>
    </w:p>
    <w:p w14:paraId="02E19077" w14:textId="77777777" w:rsidR="003B6092" w:rsidRPr="00FB2F3D" w:rsidRDefault="003B6092" w:rsidP="00AF7E14">
      <w:pPr>
        <w:pStyle w:val="Heading5"/>
        <w:rPr>
          <w:rFonts w:ascii="Arial" w:hAnsi="Arial" w:cs="Arial"/>
          <w:sz w:val="22"/>
          <w:szCs w:val="22"/>
        </w:rPr>
      </w:pPr>
      <w:r w:rsidRPr="00FB2F3D">
        <w:rPr>
          <w:rFonts w:ascii="Arial" w:hAnsi="Arial" w:cs="Arial"/>
          <w:sz w:val="22"/>
          <w:szCs w:val="22"/>
        </w:rPr>
        <w:t xml:space="preserve">an increase or decrease of the level of interest </w:t>
      </w:r>
      <w:r w:rsidR="00AF7E14" w:rsidRPr="00FB2F3D">
        <w:rPr>
          <w:rFonts w:ascii="Arial" w:hAnsi="Arial" w:cs="Arial"/>
          <w:sz w:val="22"/>
          <w:szCs w:val="22"/>
        </w:rPr>
        <w:t xml:space="preserve">referred to in </w:t>
      </w:r>
      <w:r w:rsidR="00693841" w:rsidRPr="00FB2F3D">
        <w:rPr>
          <w:rFonts w:ascii="Arial" w:hAnsi="Arial" w:cs="Arial"/>
          <w:sz w:val="22"/>
          <w:szCs w:val="22"/>
        </w:rPr>
        <w:t>(b)</w:t>
      </w:r>
      <w:r w:rsidRPr="00FB2F3D">
        <w:rPr>
          <w:rFonts w:ascii="Arial" w:hAnsi="Arial" w:cs="Arial"/>
          <w:sz w:val="22"/>
          <w:szCs w:val="22"/>
        </w:rPr>
        <w:t>.</w:t>
      </w:r>
    </w:p>
    <w:p w14:paraId="226FD08B" w14:textId="680E4503" w:rsidR="003B6092" w:rsidRPr="00FB2F3D" w:rsidRDefault="00AF7E14" w:rsidP="00AF7E14">
      <w:pPr>
        <w:pStyle w:val="Heading4"/>
        <w:numPr>
          <w:ilvl w:val="0"/>
          <w:numId w:val="0"/>
        </w:numPr>
        <w:ind w:left="1440" w:hanging="720"/>
        <w:rPr>
          <w:rFonts w:ascii="Arial" w:hAnsi="Arial" w:cs="Arial"/>
          <w:sz w:val="22"/>
          <w:szCs w:val="22"/>
        </w:rPr>
      </w:pPr>
      <w:bookmarkStart w:id="647" w:name="_Ref410668124"/>
      <w:r w:rsidRPr="00FB2F3D">
        <w:rPr>
          <w:rFonts w:ascii="Arial" w:hAnsi="Arial" w:cs="Arial"/>
          <w:sz w:val="22"/>
          <w:szCs w:val="22"/>
        </w:rPr>
        <w:lastRenderedPageBreak/>
        <w:t>(3)</w:t>
      </w:r>
      <w:r w:rsidRPr="00FB2F3D">
        <w:rPr>
          <w:rFonts w:ascii="Arial" w:hAnsi="Arial" w:cs="Arial"/>
          <w:sz w:val="22"/>
          <w:szCs w:val="22"/>
        </w:rPr>
        <w:tab/>
      </w:r>
      <w:r w:rsidR="003B6092" w:rsidRPr="00FB2F3D">
        <w:rPr>
          <w:rFonts w:ascii="Arial" w:hAnsi="Arial" w:cs="Arial"/>
          <w:sz w:val="22"/>
          <w:szCs w:val="22"/>
        </w:rPr>
        <w:t>In the case of a Person who is a Connected Person under Rule </w:t>
      </w:r>
      <w:r w:rsidR="00693841" w:rsidRPr="00FB2F3D">
        <w:rPr>
          <w:rFonts w:ascii="Arial" w:hAnsi="Arial" w:cs="Arial"/>
          <w:sz w:val="22"/>
          <w:szCs w:val="22"/>
        </w:rPr>
        <w:t>7.3.2(1)(b)</w:t>
      </w:r>
      <w:r w:rsidR="003B6092" w:rsidRPr="00FB2F3D">
        <w:rPr>
          <w:rFonts w:ascii="Arial" w:hAnsi="Arial" w:cs="Arial"/>
          <w:sz w:val="22"/>
          <w:szCs w:val="22"/>
        </w:rPr>
        <w:t xml:space="preserve">, that Person must make the </w:t>
      </w:r>
      <w:r w:rsidR="007250E2">
        <w:rPr>
          <w:rFonts w:ascii="Arial" w:hAnsi="Arial" w:cs="Arial"/>
          <w:sz w:val="22"/>
          <w:szCs w:val="22"/>
        </w:rPr>
        <w:t xml:space="preserve">Connected Person </w:t>
      </w:r>
      <w:r w:rsidR="003B6092" w:rsidRPr="00FB2F3D">
        <w:rPr>
          <w:rFonts w:ascii="Arial" w:hAnsi="Arial" w:cs="Arial"/>
          <w:sz w:val="22"/>
          <w:szCs w:val="22"/>
        </w:rPr>
        <w:t>Disclosure</w:t>
      </w:r>
      <w:r w:rsidRPr="00FB2F3D">
        <w:rPr>
          <w:rFonts w:ascii="Arial" w:hAnsi="Arial" w:cs="Arial"/>
          <w:sz w:val="22"/>
          <w:szCs w:val="22"/>
        </w:rPr>
        <w:t xml:space="preserve"> upon</w:t>
      </w:r>
      <w:r w:rsidR="003B6092" w:rsidRPr="00FB2F3D">
        <w:rPr>
          <w:rFonts w:ascii="Arial" w:hAnsi="Arial" w:cs="Arial"/>
          <w:sz w:val="22"/>
          <w:szCs w:val="22"/>
        </w:rPr>
        <w:t>:</w:t>
      </w:r>
      <w:bookmarkEnd w:id="647"/>
    </w:p>
    <w:p w14:paraId="36A01787" w14:textId="77777777" w:rsidR="003B6092" w:rsidRPr="00FB2F3D" w:rsidRDefault="003B6092" w:rsidP="00755725">
      <w:pPr>
        <w:pStyle w:val="Heading5"/>
        <w:numPr>
          <w:ilvl w:val="4"/>
          <w:numId w:val="91"/>
        </w:numPr>
        <w:rPr>
          <w:rFonts w:ascii="Arial" w:hAnsi="Arial" w:cs="Arial"/>
          <w:sz w:val="22"/>
          <w:szCs w:val="22"/>
        </w:rPr>
      </w:pPr>
      <w:bookmarkStart w:id="648" w:name="_Ref410668162"/>
      <w:r w:rsidRPr="00FB2F3D">
        <w:rPr>
          <w:rFonts w:ascii="Arial" w:hAnsi="Arial" w:cs="Arial"/>
          <w:sz w:val="22"/>
          <w:szCs w:val="22"/>
        </w:rPr>
        <w:t>acquiring or ceasing to hold voting Securities carrying more than</w:t>
      </w:r>
      <w:r w:rsidRPr="00FB2F3D">
        <w:rPr>
          <w:rFonts w:ascii="Arial" w:hAnsi="Arial" w:cs="Arial"/>
          <w:sz w:val="22"/>
          <w:szCs w:val="22"/>
          <w:lang w:eastAsia="ja-JP"/>
        </w:rPr>
        <w:t xml:space="preserve"> </w:t>
      </w:r>
      <w:r w:rsidRPr="00FB2F3D">
        <w:rPr>
          <w:rFonts w:ascii="Arial" w:hAnsi="Arial" w:cs="Arial"/>
          <w:sz w:val="22"/>
          <w:szCs w:val="22"/>
        </w:rPr>
        <w:t>5% of the voting rights attaching to all voting Securities of either the</w:t>
      </w:r>
      <w:r w:rsidRPr="00FB2F3D">
        <w:rPr>
          <w:rFonts w:ascii="Arial" w:hAnsi="Arial" w:cs="Arial"/>
          <w:sz w:val="22"/>
          <w:szCs w:val="22"/>
          <w:lang w:eastAsia="ja-JP"/>
        </w:rPr>
        <w:t xml:space="preserve"> </w:t>
      </w:r>
      <w:r w:rsidRPr="00FB2F3D">
        <w:rPr>
          <w:rFonts w:ascii="Arial" w:hAnsi="Arial" w:cs="Arial"/>
          <w:sz w:val="22"/>
          <w:szCs w:val="22"/>
        </w:rPr>
        <w:t>Reporting Entity or a Controller of the Reporting Entity; and</w:t>
      </w:r>
      <w:bookmarkEnd w:id="648"/>
    </w:p>
    <w:p w14:paraId="36B354E9"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 xml:space="preserve">an increase or decrease of at least 1% of the level of interest previously reported pursuant to </w:t>
      </w:r>
      <w:r w:rsidR="00693841" w:rsidRPr="00FB2F3D">
        <w:rPr>
          <w:rFonts w:ascii="Arial" w:hAnsi="Arial" w:cs="Arial"/>
          <w:sz w:val="22"/>
          <w:szCs w:val="22"/>
        </w:rPr>
        <w:t>(a)</w:t>
      </w:r>
      <w:r w:rsidRPr="00FB2F3D">
        <w:rPr>
          <w:rFonts w:ascii="Arial" w:hAnsi="Arial" w:cs="Arial"/>
          <w:sz w:val="22"/>
          <w:szCs w:val="22"/>
        </w:rPr>
        <w:t>.</w:t>
      </w:r>
    </w:p>
    <w:p w14:paraId="18CD3155" w14:textId="77777777" w:rsidR="00AF7E14" w:rsidRPr="00FB2F3D" w:rsidRDefault="00AF7E14" w:rsidP="00AF7E14">
      <w:pPr>
        <w:pStyle w:val="Heading3"/>
        <w:numPr>
          <w:ilvl w:val="0"/>
          <w:numId w:val="0"/>
        </w:numPr>
        <w:ind w:left="720" w:hanging="720"/>
        <w:rPr>
          <w:rFonts w:ascii="Arial" w:hAnsi="Arial" w:cs="Arial"/>
          <w:iCs/>
          <w:sz w:val="22"/>
          <w:szCs w:val="22"/>
        </w:rPr>
      </w:pPr>
      <w:r w:rsidRPr="00FB2F3D">
        <w:rPr>
          <w:rFonts w:ascii="Arial" w:eastAsia="Times New Roman" w:hAnsi="Arial" w:cs="Arial"/>
          <w:b/>
          <w:bCs w:val="0"/>
          <w:iCs/>
          <w:color w:val="000000" w:themeColor="text1"/>
          <w:sz w:val="22"/>
          <w:szCs w:val="22"/>
          <w:lang w:eastAsia="ar-SA"/>
        </w:rPr>
        <w:t>7.3.4</w:t>
      </w:r>
      <w:r w:rsidRPr="00FB2F3D">
        <w:rPr>
          <w:rFonts w:ascii="Arial" w:eastAsia="Times New Roman" w:hAnsi="Arial" w:cs="Arial"/>
          <w:iCs/>
          <w:color w:val="000000" w:themeColor="text1"/>
          <w:sz w:val="22"/>
          <w:szCs w:val="22"/>
          <w:lang w:eastAsia="ar-SA"/>
        </w:rPr>
        <w:tab/>
        <w:t>For the purposes of Rules 7.3.2 and 7.3.3, a Person is taken to hold Financial Instruments in or relating to a Reporting Entity, if the Person holds a Financial Instrument that on its maturity will confer on him:</w:t>
      </w:r>
    </w:p>
    <w:p w14:paraId="12EA56AF" w14:textId="77777777" w:rsidR="00AF7E14" w:rsidRPr="00FB2F3D" w:rsidRDefault="00AF7E14" w:rsidP="00AF7E14">
      <w:pPr>
        <w:pStyle w:val="Heading5"/>
        <w:numPr>
          <w:ilvl w:val="0"/>
          <w:numId w:val="0"/>
        </w:numPr>
        <w:ind w:left="1418" w:hanging="709"/>
        <w:rPr>
          <w:rFonts w:ascii="Arial" w:hAnsi="Arial" w:cs="Arial"/>
          <w:iCs/>
          <w:sz w:val="22"/>
          <w:szCs w:val="22"/>
        </w:rPr>
      </w:pPr>
      <w:r w:rsidRPr="00FB2F3D">
        <w:rPr>
          <w:rFonts w:ascii="Arial" w:eastAsia="Times New Roman" w:hAnsi="Arial" w:cs="Arial"/>
          <w:iCs/>
          <w:color w:val="000000" w:themeColor="text1"/>
          <w:sz w:val="22"/>
          <w:szCs w:val="22"/>
          <w:lang w:eastAsia="ar-SA"/>
        </w:rPr>
        <w:t>(1)</w:t>
      </w:r>
      <w:r w:rsidRPr="00FB2F3D">
        <w:rPr>
          <w:rFonts w:ascii="Arial" w:eastAsia="Times New Roman" w:hAnsi="Arial" w:cs="Arial"/>
          <w:iCs/>
          <w:color w:val="000000" w:themeColor="text1"/>
          <w:sz w:val="22"/>
          <w:szCs w:val="22"/>
          <w:lang w:eastAsia="ar-SA"/>
        </w:rPr>
        <w:tab/>
        <w:t>an unconditional right to acquire the Financial Instrument; or</w:t>
      </w:r>
    </w:p>
    <w:p w14:paraId="430C3205" w14:textId="77777777" w:rsidR="00AF7E14" w:rsidRPr="00FB2F3D" w:rsidRDefault="00AF7E14" w:rsidP="00AF7E14">
      <w:pPr>
        <w:pStyle w:val="Heading4"/>
        <w:numPr>
          <w:ilvl w:val="0"/>
          <w:numId w:val="0"/>
        </w:numPr>
        <w:tabs>
          <w:tab w:val="num" w:pos="1440"/>
        </w:tabs>
        <w:ind w:left="1440" w:hanging="720"/>
        <w:rPr>
          <w:rFonts w:ascii="Arial" w:hAnsi="Arial" w:cs="Arial"/>
          <w:sz w:val="22"/>
          <w:szCs w:val="22"/>
        </w:rPr>
      </w:pPr>
      <w:r w:rsidRPr="00FB2F3D">
        <w:rPr>
          <w:rFonts w:ascii="Arial" w:eastAsia="Times New Roman" w:hAnsi="Arial" w:cs="Arial"/>
          <w:color w:val="000000" w:themeColor="text1"/>
          <w:sz w:val="22"/>
          <w:szCs w:val="22"/>
          <w:lang w:eastAsia="ar-SA"/>
        </w:rPr>
        <w:t>(2)</w:t>
      </w:r>
      <w:r w:rsidRPr="00FB2F3D">
        <w:rPr>
          <w:rFonts w:ascii="Arial" w:eastAsia="Times New Roman" w:hAnsi="Arial" w:cs="Arial"/>
          <w:color w:val="000000" w:themeColor="text1"/>
          <w:sz w:val="22"/>
          <w:szCs w:val="22"/>
          <w:lang w:eastAsia="ar-SA"/>
        </w:rPr>
        <w:tab/>
        <w:t>the discretion as to his right to acquire the Financial Instrument.</w:t>
      </w:r>
    </w:p>
    <w:p w14:paraId="45E7B75E" w14:textId="054F75E5" w:rsidR="003B6092" w:rsidRPr="00FB2F3D" w:rsidRDefault="003B6092" w:rsidP="003B6092">
      <w:pPr>
        <w:pStyle w:val="TitleL"/>
        <w:rPr>
          <w:rFonts w:ascii="Arial" w:hAnsi="Arial" w:cs="Arial"/>
          <w:sz w:val="22"/>
          <w:szCs w:val="22"/>
        </w:rPr>
      </w:pPr>
      <w:r w:rsidRPr="00FB2F3D">
        <w:rPr>
          <w:rFonts w:ascii="Arial" w:hAnsi="Arial" w:cs="Arial"/>
          <w:sz w:val="22"/>
          <w:szCs w:val="22"/>
        </w:rPr>
        <w:t xml:space="preserve">Content of the </w:t>
      </w:r>
      <w:r w:rsidR="007250E2">
        <w:rPr>
          <w:rFonts w:ascii="Arial" w:hAnsi="Arial" w:cs="Arial"/>
          <w:sz w:val="22"/>
          <w:szCs w:val="22"/>
        </w:rPr>
        <w:t>Connected Person D</w:t>
      </w:r>
      <w:r w:rsidRPr="00FB2F3D">
        <w:rPr>
          <w:rFonts w:ascii="Arial" w:hAnsi="Arial" w:cs="Arial"/>
          <w:sz w:val="22"/>
          <w:szCs w:val="22"/>
        </w:rPr>
        <w:t>isclosure</w:t>
      </w:r>
    </w:p>
    <w:p w14:paraId="65726AE9" w14:textId="548A9529" w:rsidR="003B6092" w:rsidRPr="00FB2F3D" w:rsidRDefault="00AF7E14" w:rsidP="00AF7E14">
      <w:pPr>
        <w:pStyle w:val="Heading3"/>
        <w:keepNext/>
        <w:numPr>
          <w:ilvl w:val="0"/>
          <w:numId w:val="0"/>
        </w:numPr>
        <w:ind w:left="720" w:hanging="720"/>
        <w:rPr>
          <w:rFonts w:ascii="Arial" w:hAnsi="Arial" w:cs="Arial"/>
          <w:sz w:val="22"/>
          <w:szCs w:val="22"/>
        </w:rPr>
      </w:pPr>
      <w:bookmarkStart w:id="649" w:name="_Ref410074598"/>
      <w:bookmarkStart w:id="650" w:name="_Ref410635594"/>
      <w:r w:rsidRPr="00FB2F3D">
        <w:rPr>
          <w:rFonts w:ascii="Arial" w:eastAsia="Times New Roman" w:hAnsi="Arial" w:cs="Arial"/>
          <w:b/>
          <w:bCs w:val="0"/>
          <w:iCs/>
          <w:color w:val="000000" w:themeColor="text1"/>
          <w:sz w:val="22"/>
          <w:szCs w:val="22"/>
          <w:lang w:eastAsia="ar-SA"/>
        </w:rPr>
        <w:t>7.3.5</w:t>
      </w:r>
      <w:r w:rsidRPr="00FB2F3D">
        <w:rPr>
          <w:rFonts w:ascii="Arial" w:eastAsia="Times New Roman" w:hAnsi="Arial" w:cs="Arial"/>
          <w:b/>
          <w:bCs w:val="0"/>
          <w:iCs/>
          <w:color w:val="000000" w:themeColor="text1"/>
          <w:sz w:val="22"/>
          <w:szCs w:val="22"/>
          <w:lang w:eastAsia="ar-SA"/>
        </w:rPr>
        <w:tab/>
      </w:r>
      <w:r w:rsidR="003B6092" w:rsidRPr="00FB2F3D">
        <w:rPr>
          <w:rFonts w:ascii="Arial" w:hAnsi="Arial" w:cs="Arial"/>
          <w:sz w:val="22"/>
          <w:szCs w:val="22"/>
        </w:rPr>
        <w:t>A Connected Person</w:t>
      </w:r>
      <w:r w:rsidR="007250E2">
        <w:rPr>
          <w:rFonts w:ascii="Arial" w:hAnsi="Arial" w:cs="Arial"/>
          <w:sz w:val="22"/>
          <w:szCs w:val="22"/>
        </w:rPr>
        <w:t xml:space="preserve"> Disclosure</w:t>
      </w:r>
      <w:r w:rsidR="003B6092" w:rsidRPr="00FB2F3D">
        <w:rPr>
          <w:rFonts w:ascii="Arial" w:hAnsi="Arial" w:cs="Arial"/>
          <w:sz w:val="22"/>
          <w:szCs w:val="22"/>
        </w:rPr>
        <w:t xml:space="preserve"> must contain the following information</w:t>
      </w:r>
      <w:bookmarkEnd w:id="649"/>
      <w:r w:rsidR="003B6092" w:rsidRPr="00FB2F3D">
        <w:rPr>
          <w:rFonts w:ascii="Arial" w:hAnsi="Arial" w:cs="Arial"/>
          <w:sz w:val="22"/>
          <w:szCs w:val="22"/>
        </w:rPr>
        <w:t>:</w:t>
      </w:r>
      <w:bookmarkEnd w:id="650"/>
    </w:p>
    <w:p w14:paraId="717C5DB5" w14:textId="77777777" w:rsidR="003B6092" w:rsidRPr="00FB2F3D" w:rsidRDefault="003B6092" w:rsidP="00755725">
      <w:pPr>
        <w:pStyle w:val="Heading4"/>
        <w:numPr>
          <w:ilvl w:val="3"/>
          <w:numId w:val="92"/>
        </w:numPr>
        <w:rPr>
          <w:rFonts w:ascii="Arial" w:hAnsi="Arial" w:cs="Arial"/>
          <w:sz w:val="22"/>
          <w:szCs w:val="22"/>
        </w:rPr>
      </w:pPr>
      <w:r w:rsidRPr="00FB2F3D">
        <w:rPr>
          <w:rFonts w:ascii="Arial" w:hAnsi="Arial" w:cs="Arial"/>
          <w:sz w:val="22"/>
          <w:szCs w:val="22"/>
        </w:rPr>
        <w:t>the name and address of the Connected Person;</w:t>
      </w:r>
    </w:p>
    <w:p w14:paraId="4B23ECA1" w14:textId="638919F6" w:rsidR="003B6092" w:rsidRPr="00FB2F3D" w:rsidRDefault="003B6092" w:rsidP="00424270">
      <w:pPr>
        <w:pStyle w:val="Heading4"/>
        <w:rPr>
          <w:rFonts w:ascii="Arial" w:hAnsi="Arial" w:cs="Arial"/>
          <w:sz w:val="22"/>
          <w:szCs w:val="22"/>
        </w:rPr>
      </w:pPr>
      <w:r w:rsidRPr="00FB2F3D">
        <w:rPr>
          <w:rFonts w:ascii="Arial" w:hAnsi="Arial" w:cs="Arial"/>
          <w:sz w:val="22"/>
          <w:szCs w:val="22"/>
        </w:rPr>
        <w:t xml:space="preserve">the date on which the event giving rise to the obligation to make the </w:t>
      </w:r>
      <w:r w:rsidR="007250E2">
        <w:rPr>
          <w:rFonts w:ascii="Arial" w:hAnsi="Arial" w:cs="Arial"/>
          <w:sz w:val="22"/>
          <w:szCs w:val="22"/>
        </w:rPr>
        <w:t xml:space="preserve">Connected Person </w:t>
      </w:r>
      <w:r w:rsidRPr="00FB2F3D">
        <w:rPr>
          <w:rFonts w:ascii="Arial" w:hAnsi="Arial" w:cs="Arial"/>
          <w:sz w:val="22"/>
          <w:szCs w:val="22"/>
        </w:rPr>
        <w:t>Disclosure occurred;</w:t>
      </w:r>
    </w:p>
    <w:p w14:paraId="3C39AA57" w14:textId="77777777" w:rsidR="003B6092" w:rsidRPr="00FB2F3D" w:rsidRDefault="003B6092" w:rsidP="00424270">
      <w:pPr>
        <w:pStyle w:val="Heading4"/>
        <w:rPr>
          <w:rFonts w:ascii="Arial" w:hAnsi="Arial" w:cs="Arial"/>
          <w:sz w:val="22"/>
          <w:szCs w:val="22"/>
        </w:rPr>
      </w:pPr>
      <w:r w:rsidRPr="00FB2F3D">
        <w:rPr>
          <w:rFonts w:ascii="Arial" w:hAnsi="Arial" w:cs="Arial"/>
          <w:sz w:val="22"/>
          <w:szCs w:val="22"/>
        </w:rPr>
        <w:t>the date on which the filing was made; and</w:t>
      </w:r>
    </w:p>
    <w:p w14:paraId="0B489AE2" w14:textId="77777777" w:rsidR="003B6092" w:rsidRPr="00FB2F3D" w:rsidRDefault="003B6092" w:rsidP="00424270">
      <w:pPr>
        <w:pStyle w:val="Heading4"/>
        <w:rPr>
          <w:rFonts w:ascii="Arial" w:hAnsi="Arial" w:cs="Arial"/>
          <w:sz w:val="22"/>
          <w:szCs w:val="22"/>
        </w:rPr>
      </w:pPr>
      <w:r w:rsidRPr="00FB2F3D">
        <w:rPr>
          <w:rFonts w:ascii="Arial" w:hAnsi="Arial" w:cs="Arial"/>
          <w:sz w:val="22"/>
          <w:szCs w:val="22"/>
        </w:rPr>
        <w:t>the price, amount and class of Securities or other investments as is relevant in relation to the transaction or other event and the previous and new level of interest held.</w:t>
      </w:r>
    </w:p>
    <w:p w14:paraId="7B6A8A51" w14:textId="77777777" w:rsidR="003B6092" w:rsidRPr="00FB2F3D" w:rsidRDefault="003B6092" w:rsidP="003B6092">
      <w:pPr>
        <w:pStyle w:val="TitleL"/>
        <w:rPr>
          <w:rFonts w:ascii="Arial" w:hAnsi="Arial" w:cs="Arial"/>
          <w:sz w:val="22"/>
          <w:szCs w:val="22"/>
        </w:rPr>
      </w:pPr>
      <w:r w:rsidRPr="00FB2F3D">
        <w:rPr>
          <w:rFonts w:ascii="Arial" w:hAnsi="Arial" w:cs="Arial"/>
          <w:sz w:val="22"/>
          <w:szCs w:val="22"/>
        </w:rPr>
        <w:t>Market disclosure</w:t>
      </w:r>
    </w:p>
    <w:p w14:paraId="41494ACC" w14:textId="5DE59ED5" w:rsidR="003B6092" w:rsidRPr="00FB2F3D" w:rsidRDefault="00AF7E14" w:rsidP="00AF7E14">
      <w:pPr>
        <w:pStyle w:val="Heading3"/>
        <w:numPr>
          <w:ilvl w:val="0"/>
          <w:numId w:val="0"/>
        </w:numPr>
        <w:ind w:left="720" w:hanging="720"/>
        <w:rPr>
          <w:rFonts w:ascii="Arial" w:hAnsi="Arial" w:cs="Arial"/>
          <w:sz w:val="22"/>
          <w:szCs w:val="22"/>
        </w:rPr>
      </w:pPr>
      <w:r w:rsidRPr="00FB2F3D">
        <w:rPr>
          <w:rFonts w:ascii="Arial" w:eastAsia="Times New Roman" w:hAnsi="Arial" w:cs="Arial"/>
          <w:b/>
          <w:bCs w:val="0"/>
          <w:iCs/>
          <w:color w:val="000000" w:themeColor="text1"/>
          <w:sz w:val="22"/>
          <w:szCs w:val="22"/>
          <w:lang w:eastAsia="ar-SA"/>
        </w:rPr>
        <w:t>7.3.6</w:t>
      </w:r>
      <w:r w:rsidRPr="00FB2F3D">
        <w:rPr>
          <w:rFonts w:ascii="Arial" w:hAnsi="Arial" w:cs="Arial"/>
          <w:sz w:val="22"/>
          <w:szCs w:val="22"/>
        </w:rPr>
        <w:tab/>
      </w:r>
      <w:r w:rsidR="003B6092" w:rsidRPr="00FB2F3D">
        <w:rPr>
          <w:rFonts w:ascii="Arial" w:hAnsi="Arial" w:cs="Arial"/>
          <w:sz w:val="22"/>
          <w:szCs w:val="22"/>
        </w:rPr>
        <w:t xml:space="preserve">Upon a Connected Person making a </w:t>
      </w:r>
      <w:r w:rsidR="007250E2">
        <w:rPr>
          <w:rFonts w:ascii="Arial" w:hAnsi="Arial" w:cs="Arial"/>
          <w:sz w:val="22"/>
          <w:szCs w:val="22"/>
        </w:rPr>
        <w:t>Connected Person D</w:t>
      </w:r>
      <w:r w:rsidR="003B6092" w:rsidRPr="00FB2F3D">
        <w:rPr>
          <w:rFonts w:ascii="Arial" w:hAnsi="Arial" w:cs="Arial"/>
          <w:sz w:val="22"/>
          <w:szCs w:val="22"/>
        </w:rPr>
        <w:t>isclosure to the Reporting Entity, the Reporting Entity</w:t>
      </w:r>
      <w:r w:rsidR="002455EB" w:rsidRPr="00FB2F3D">
        <w:rPr>
          <w:rFonts w:ascii="Arial" w:hAnsi="Arial" w:cs="Arial"/>
          <w:sz w:val="22"/>
          <w:szCs w:val="22"/>
        </w:rPr>
        <w:t xml:space="preserve"> must</w:t>
      </w:r>
      <w:r w:rsidR="003B6092" w:rsidRPr="00FB2F3D">
        <w:rPr>
          <w:rFonts w:ascii="Arial" w:hAnsi="Arial" w:cs="Arial"/>
          <w:sz w:val="22"/>
          <w:szCs w:val="22"/>
        </w:rPr>
        <w:t xml:space="preserve">, as soon as possible, </w:t>
      </w:r>
      <w:r w:rsidR="007250E2">
        <w:rPr>
          <w:rFonts w:ascii="Arial" w:hAnsi="Arial" w:cs="Arial"/>
          <w:sz w:val="22"/>
          <w:szCs w:val="22"/>
        </w:rPr>
        <w:t>D</w:t>
      </w:r>
      <w:r w:rsidR="003B6092" w:rsidRPr="00FB2F3D">
        <w:rPr>
          <w:rFonts w:ascii="Arial" w:hAnsi="Arial" w:cs="Arial"/>
          <w:sz w:val="22"/>
          <w:szCs w:val="22"/>
        </w:rPr>
        <w:t>isclos</w:t>
      </w:r>
      <w:r w:rsidR="007250E2">
        <w:rPr>
          <w:rFonts w:ascii="Arial" w:hAnsi="Arial" w:cs="Arial"/>
          <w:sz w:val="22"/>
          <w:szCs w:val="22"/>
        </w:rPr>
        <w:t xml:space="preserve">e </w:t>
      </w:r>
      <w:r w:rsidR="003B6092" w:rsidRPr="00FB2F3D">
        <w:rPr>
          <w:rFonts w:ascii="Arial" w:hAnsi="Arial" w:cs="Arial"/>
          <w:sz w:val="22"/>
          <w:szCs w:val="22"/>
        </w:rPr>
        <w:t>that information in accordance with Rule </w:t>
      </w:r>
      <w:r w:rsidR="00693841" w:rsidRPr="00FB2F3D">
        <w:rPr>
          <w:rFonts w:ascii="Arial" w:hAnsi="Arial" w:cs="Arial"/>
          <w:sz w:val="22"/>
          <w:szCs w:val="22"/>
        </w:rPr>
        <w:t>7.7.1</w:t>
      </w:r>
      <w:r w:rsidR="003B6092" w:rsidRPr="00FB2F3D">
        <w:rPr>
          <w:rFonts w:ascii="Arial" w:hAnsi="Arial" w:cs="Arial"/>
          <w:sz w:val="22"/>
          <w:szCs w:val="22"/>
        </w:rPr>
        <w:t>.</w:t>
      </w:r>
    </w:p>
    <w:p w14:paraId="33C75A3D" w14:textId="77777777" w:rsidR="003B6092" w:rsidRPr="00FB2F3D" w:rsidRDefault="003B6092" w:rsidP="003B6092">
      <w:pPr>
        <w:pStyle w:val="Heading2"/>
        <w:rPr>
          <w:rFonts w:ascii="Arial" w:hAnsi="Arial" w:cs="Arial"/>
          <w:sz w:val="22"/>
          <w:szCs w:val="22"/>
        </w:rPr>
      </w:pPr>
      <w:bookmarkStart w:id="651" w:name="_Toc409521842"/>
      <w:bookmarkStart w:id="652" w:name="_Toc410136239"/>
      <w:bookmarkStart w:id="653" w:name="_Toc410605948"/>
      <w:bookmarkStart w:id="654" w:name="_Toc410658884"/>
      <w:bookmarkStart w:id="655" w:name="_Toc410659011"/>
      <w:bookmarkStart w:id="656" w:name="_Toc410835558"/>
      <w:bookmarkStart w:id="657" w:name="_Toc138325695"/>
      <w:r w:rsidRPr="00FB2F3D">
        <w:rPr>
          <w:rFonts w:ascii="Arial" w:hAnsi="Arial" w:cs="Arial"/>
          <w:sz w:val="22"/>
          <w:szCs w:val="22"/>
        </w:rPr>
        <w:t>Disclosure of Directors' notifiable interests</w:t>
      </w:r>
      <w:bookmarkEnd w:id="651"/>
      <w:bookmarkEnd w:id="652"/>
      <w:bookmarkEnd w:id="653"/>
      <w:bookmarkEnd w:id="654"/>
      <w:bookmarkEnd w:id="655"/>
      <w:bookmarkEnd w:id="656"/>
      <w:bookmarkEnd w:id="657"/>
    </w:p>
    <w:p w14:paraId="01DD9FBE" w14:textId="77777777" w:rsidR="003B6092" w:rsidRPr="00FB2F3D" w:rsidRDefault="003B6092" w:rsidP="003B6092">
      <w:pPr>
        <w:pStyle w:val="TitleL"/>
        <w:rPr>
          <w:rFonts w:ascii="Arial" w:hAnsi="Arial" w:cs="Arial"/>
          <w:sz w:val="22"/>
          <w:szCs w:val="22"/>
        </w:rPr>
      </w:pPr>
      <w:r w:rsidRPr="00FB2F3D">
        <w:rPr>
          <w:rFonts w:ascii="Arial" w:hAnsi="Arial" w:cs="Arial"/>
          <w:sz w:val="22"/>
          <w:szCs w:val="22"/>
        </w:rPr>
        <w:t>Guidance</w:t>
      </w:r>
    </w:p>
    <w:p w14:paraId="2E45FDBD" w14:textId="77777777" w:rsidR="003B6092" w:rsidRPr="00FB2F3D" w:rsidRDefault="003B6092" w:rsidP="003B6092">
      <w:pPr>
        <w:pStyle w:val="UK12Block05"/>
        <w:rPr>
          <w:rFonts w:ascii="Arial" w:hAnsi="Arial" w:cs="Arial"/>
          <w:sz w:val="22"/>
          <w:szCs w:val="22"/>
        </w:rPr>
      </w:pPr>
      <w:r w:rsidRPr="00FB2F3D">
        <w:rPr>
          <w:rFonts w:ascii="Arial" w:hAnsi="Arial" w:cs="Arial"/>
          <w:sz w:val="22"/>
          <w:szCs w:val="22"/>
        </w:rPr>
        <w:t>Persons with a notifiable interest in the Reporting Entity are required to give a notice relating to that interest in accordance with the requirements prescribed in these Rules.</w:t>
      </w:r>
    </w:p>
    <w:p w14:paraId="4E23FA9A" w14:textId="77777777" w:rsidR="003B6092" w:rsidRPr="00FB2F3D" w:rsidRDefault="003B6092" w:rsidP="003B6092">
      <w:pPr>
        <w:pStyle w:val="TitleL"/>
        <w:rPr>
          <w:rFonts w:ascii="Arial" w:hAnsi="Arial" w:cs="Arial"/>
          <w:sz w:val="22"/>
          <w:szCs w:val="22"/>
        </w:rPr>
      </w:pPr>
      <w:r w:rsidRPr="00FB2F3D">
        <w:rPr>
          <w:rFonts w:ascii="Arial" w:hAnsi="Arial" w:cs="Arial"/>
          <w:sz w:val="22"/>
          <w:szCs w:val="22"/>
        </w:rPr>
        <w:t>Application</w:t>
      </w:r>
    </w:p>
    <w:p w14:paraId="5551C69A" w14:textId="77777777" w:rsidR="003B6092" w:rsidRPr="00FB2F3D" w:rsidRDefault="003B6092" w:rsidP="003B6092">
      <w:pPr>
        <w:pStyle w:val="Heading3"/>
        <w:rPr>
          <w:rFonts w:ascii="Arial" w:hAnsi="Arial" w:cs="Arial"/>
          <w:sz w:val="22"/>
          <w:szCs w:val="22"/>
        </w:rPr>
      </w:pPr>
      <w:r w:rsidRPr="00FB2F3D">
        <w:rPr>
          <w:rFonts w:ascii="Arial" w:hAnsi="Arial" w:cs="Arial"/>
          <w:sz w:val="22"/>
          <w:szCs w:val="22"/>
        </w:rPr>
        <w:t>This section applies to every Reporting Entity other than that of a Listed Fund.</w:t>
      </w:r>
    </w:p>
    <w:p w14:paraId="3D3CE7EC" w14:textId="77777777" w:rsidR="003B6092" w:rsidRPr="00FB2F3D" w:rsidRDefault="003B6092" w:rsidP="003B6092">
      <w:pPr>
        <w:pStyle w:val="TitleL"/>
        <w:rPr>
          <w:rFonts w:ascii="Arial" w:hAnsi="Arial" w:cs="Arial"/>
          <w:sz w:val="22"/>
          <w:szCs w:val="22"/>
        </w:rPr>
      </w:pPr>
      <w:r w:rsidRPr="00FB2F3D">
        <w:rPr>
          <w:rFonts w:ascii="Arial" w:hAnsi="Arial" w:cs="Arial"/>
          <w:sz w:val="22"/>
          <w:szCs w:val="22"/>
        </w:rPr>
        <w:t>Guidance</w:t>
      </w:r>
    </w:p>
    <w:p w14:paraId="649A2ABD" w14:textId="23F20226" w:rsidR="003B6092" w:rsidRPr="00FB2F3D" w:rsidRDefault="007250E2" w:rsidP="003B6092">
      <w:pPr>
        <w:pStyle w:val="UK12Block05"/>
        <w:rPr>
          <w:rFonts w:ascii="Arial" w:hAnsi="Arial" w:cs="Arial"/>
          <w:sz w:val="22"/>
          <w:szCs w:val="22"/>
        </w:rPr>
      </w:pPr>
      <w:r>
        <w:rPr>
          <w:rFonts w:ascii="Arial" w:hAnsi="Arial" w:cs="Arial"/>
          <w:sz w:val="22"/>
          <w:szCs w:val="22"/>
        </w:rPr>
        <w:t xml:space="preserve">Rule </w:t>
      </w:r>
      <w:r w:rsidR="00693841" w:rsidRPr="00FB2F3D">
        <w:rPr>
          <w:rFonts w:ascii="Arial" w:hAnsi="Arial" w:cs="Arial"/>
          <w:sz w:val="22"/>
          <w:szCs w:val="22"/>
        </w:rPr>
        <w:t>3</w:t>
      </w:r>
      <w:r>
        <w:rPr>
          <w:rFonts w:ascii="Arial" w:hAnsi="Arial" w:cs="Arial"/>
          <w:sz w:val="22"/>
          <w:szCs w:val="22"/>
        </w:rPr>
        <w:t>.7</w:t>
      </w:r>
      <w:r w:rsidR="003B6092" w:rsidRPr="00FB2F3D">
        <w:rPr>
          <w:rFonts w:ascii="Arial" w:hAnsi="Arial" w:cs="Arial"/>
          <w:sz w:val="22"/>
          <w:szCs w:val="22"/>
        </w:rPr>
        <w:t xml:space="preserve"> contains the disclosure of notifiable interest</w:t>
      </w:r>
      <w:r>
        <w:rPr>
          <w:rFonts w:ascii="Arial" w:hAnsi="Arial" w:cs="Arial"/>
          <w:sz w:val="22"/>
          <w:szCs w:val="22"/>
        </w:rPr>
        <w:t>s</w:t>
      </w:r>
      <w:r w:rsidR="003B6092" w:rsidRPr="00FB2F3D">
        <w:rPr>
          <w:rFonts w:ascii="Arial" w:hAnsi="Arial" w:cs="Arial"/>
          <w:sz w:val="22"/>
          <w:szCs w:val="22"/>
        </w:rPr>
        <w:t xml:space="preserve"> applicable to a Listed Fund.</w:t>
      </w:r>
    </w:p>
    <w:p w14:paraId="096684FB" w14:textId="77777777" w:rsidR="003B6092" w:rsidRPr="00FB2F3D" w:rsidRDefault="003B6092" w:rsidP="003B6092">
      <w:pPr>
        <w:pStyle w:val="TitleL"/>
        <w:rPr>
          <w:rFonts w:ascii="Arial" w:hAnsi="Arial" w:cs="Arial"/>
          <w:sz w:val="22"/>
          <w:szCs w:val="22"/>
        </w:rPr>
      </w:pPr>
      <w:r w:rsidRPr="00FB2F3D">
        <w:rPr>
          <w:rFonts w:ascii="Arial" w:hAnsi="Arial" w:cs="Arial"/>
          <w:sz w:val="22"/>
          <w:szCs w:val="22"/>
        </w:rPr>
        <w:lastRenderedPageBreak/>
        <w:t>Definition of a notifiable interest</w:t>
      </w:r>
    </w:p>
    <w:p w14:paraId="3D084F60" w14:textId="77777777" w:rsidR="003B6092" w:rsidRPr="00FB2F3D" w:rsidRDefault="003B6092" w:rsidP="00AF7E14">
      <w:pPr>
        <w:pStyle w:val="Heading3"/>
        <w:rPr>
          <w:rFonts w:ascii="Arial" w:hAnsi="Arial" w:cs="Arial"/>
          <w:sz w:val="22"/>
          <w:szCs w:val="22"/>
        </w:rPr>
      </w:pPr>
      <w:bookmarkStart w:id="658" w:name="_Ref410055449"/>
      <w:bookmarkStart w:id="659" w:name="_Ref410633335"/>
      <w:r w:rsidRPr="00FB2F3D">
        <w:rPr>
          <w:rFonts w:ascii="Arial" w:hAnsi="Arial" w:cs="Arial"/>
          <w:sz w:val="22"/>
          <w:szCs w:val="22"/>
        </w:rPr>
        <w:t xml:space="preserve">A Director of a Reporting Entity has a notifiable interest in the Reporting Entity if that </w:t>
      </w:r>
      <w:r w:rsidR="00AF7E14" w:rsidRPr="00FB2F3D">
        <w:rPr>
          <w:rFonts w:ascii="Arial" w:hAnsi="Arial" w:cs="Arial"/>
          <w:sz w:val="22"/>
          <w:szCs w:val="22"/>
        </w:rPr>
        <w:t>P</w:t>
      </w:r>
      <w:r w:rsidRPr="00FB2F3D">
        <w:rPr>
          <w:rFonts w:ascii="Arial" w:hAnsi="Arial" w:cs="Arial"/>
          <w:sz w:val="22"/>
          <w:szCs w:val="22"/>
        </w:rPr>
        <w:t>erson has any interest arising through</w:t>
      </w:r>
      <w:bookmarkEnd w:id="658"/>
      <w:r w:rsidRPr="00FB2F3D">
        <w:rPr>
          <w:rFonts w:ascii="Arial" w:hAnsi="Arial" w:cs="Arial"/>
          <w:sz w:val="22"/>
          <w:szCs w:val="22"/>
        </w:rPr>
        <w:t>:</w:t>
      </w:r>
      <w:bookmarkEnd w:id="659"/>
    </w:p>
    <w:p w14:paraId="02D9E694" w14:textId="77777777" w:rsidR="003B6092" w:rsidRPr="00FB2F3D" w:rsidRDefault="003B6092" w:rsidP="00AF7E14">
      <w:pPr>
        <w:pStyle w:val="Heading4"/>
        <w:rPr>
          <w:rFonts w:ascii="Arial" w:hAnsi="Arial" w:cs="Arial"/>
          <w:sz w:val="22"/>
          <w:szCs w:val="22"/>
        </w:rPr>
      </w:pPr>
      <w:r w:rsidRPr="00FB2F3D">
        <w:rPr>
          <w:rFonts w:ascii="Arial" w:hAnsi="Arial" w:cs="Arial"/>
          <w:sz w:val="22"/>
          <w:szCs w:val="22"/>
        </w:rPr>
        <w:t xml:space="preserve">the direct or indirect ownership of, or beneficial ownership of, </w:t>
      </w:r>
      <w:r w:rsidR="00AF7E14" w:rsidRPr="00FB2F3D">
        <w:rPr>
          <w:rFonts w:ascii="Arial" w:hAnsi="Arial" w:cs="Arial"/>
          <w:sz w:val="22"/>
          <w:szCs w:val="22"/>
        </w:rPr>
        <w:t>I</w:t>
      </w:r>
      <w:r w:rsidRPr="00FB2F3D">
        <w:rPr>
          <w:rFonts w:ascii="Arial" w:hAnsi="Arial" w:cs="Arial"/>
          <w:sz w:val="22"/>
          <w:szCs w:val="22"/>
        </w:rPr>
        <w:t>nvestments in the Reporting Entity; or</w:t>
      </w:r>
    </w:p>
    <w:p w14:paraId="7C6F60ED" w14:textId="77777777" w:rsidR="003B6092" w:rsidRPr="00FB2F3D" w:rsidRDefault="003B6092" w:rsidP="00424270">
      <w:pPr>
        <w:pStyle w:val="Heading4"/>
        <w:rPr>
          <w:rFonts w:ascii="Arial" w:hAnsi="Arial" w:cs="Arial"/>
          <w:sz w:val="22"/>
          <w:szCs w:val="22"/>
        </w:rPr>
      </w:pPr>
      <w:r w:rsidRPr="00FB2F3D">
        <w:rPr>
          <w:rFonts w:ascii="Arial" w:hAnsi="Arial" w:cs="Arial"/>
          <w:sz w:val="22"/>
          <w:szCs w:val="22"/>
        </w:rPr>
        <w:t>any involvement in financial or commercial arrangement with or relating to the</w:t>
      </w:r>
      <w:r w:rsidRPr="00FB2F3D">
        <w:rPr>
          <w:rFonts w:ascii="Arial" w:hAnsi="Arial" w:cs="Arial"/>
          <w:sz w:val="22"/>
          <w:szCs w:val="22"/>
          <w:lang w:eastAsia="ja-JP"/>
        </w:rPr>
        <w:t xml:space="preserve"> </w:t>
      </w:r>
      <w:r w:rsidRPr="00FB2F3D">
        <w:rPr>
          <w:rFonts w:ascii="Arial" w:hAnsi="Arial" w:cs="Arial"/>
          <w:sz w:val="22"/>
          <w:szCs w:val="22"/>
        </w:rPr>
        <w:t>Reporting Entity.</w:t>
      </w:r>
    </w:p>
    <w:p w14:paraId="57E667E6" w14:textId="77777777" w:rsidR="003B6092" w:rsidRPr="00FB2F3D" w:rsidRDefault="003B6092" w:rsidP="003B6092">
      <w:pPr>
        <w:pStyle w:val="TitleL"/>
        <w:rPr>
          <w:rFonts w:ascii="Arial" w:hAnsi="Arial" w:cs="Arial"/>
          <w:sz w:val="22"/>
          <w:szCs w:val="22"/>
        </w:rPr>
      </w:pPr>
      <w:r w:rsidRPr="00FB2F3D">
        <w:rPr>
          <w:rFonts w:ascii="Arial" w:hAnsi="Arial" w:cs="Arial"/>
          <w:sz w:val="22"/>
          <w:szCs w:val="22"/>
        </w:rPr>
        <w:t>Content and procedures relating to the notice</w:t>
      </w:r>
    </w:p>
    <w:p w14:paraId="3D2CC071" w14:textId="77777777" w:rsidR="003B6092" w:rsidRPr="00FB2F3D" w:rsidRDefault="007441BA" w:rsidP="003B6092">
      <w:pPr>
        <w:pStyle w:val="Heading3"/>
        <w:ind w:left="1440" w:hanging="1440"/>
        <w:rPr>
          <w:rFonts w:ascii="Arial" w:hAnsi="Arial" w:cs="Arial"/>
          <w:sz w:val="22"/>
          <w:szCs w:val="22"/>
        </w:rPr>
      </w:pPr>
      <w:bookmarkStart w:id="660" w:name="_Ref410074607"/>
      <w:r w:rsidRPr="00FB2F3D">
        <w:rPr>
          <w:rFonts w:ascii="Arial" w:hAnsi="Arial" w:cs="Arial"/>
          <w:sz w:val="22"/>
          <w:szCs w:val="22"/>
        </w:rPr>
        <w:t>(1)</w:t>
      </w:r>
      <w:r w:rsidR="003B6092" w:rsidRPr="00FB2F3D">
        <w:rPr>
          <w:rFonts w:ascii="Arial" w:hAnsi="Arial" w:cs="Arial"/>
          <w:sz w:val="22"/>
          <w:szCs w:val="22"/>
        </w:rPr>
        <w:tab/>
        <w:t xml:space="preserve">Subject to </w:t>
      </w:r>
      <w:r w:rsidR="00693841" w:rsidRPr="00FB2F3D">
        <w:rPr>
          <w:rFonts w:ascii="Arial" w:hAnsi="Arial" w:cs="Arial"/>
          <w:sz w:val="22"/>
          <w:szCs w:val="22"/>
        </w:rPr>
        <w:t>(2)</w:t>
      </w:r>
      <w:r w:rsidR="003B6092" w:rsidRPr="00FB2F3D">
        <w:rPr>
          <w:rFonts w:ascii="Arial" w:hAnsi="Arial" w:cs="Arial"/>
          <w:sz w:val="22"/>
          <w:szCs w:val="22"/>
        </w:rPr>
        <w:t>, a notice relating to a notifiable interest must be given by a Person referred to in Rule </w:t>
      </w:r>
      <w:r w:rsidR="00693841" w:rsidRPr="00FB2F3D">
        <w:rPr>
          <w:rFonts w:ascii="Arial" w:hAnsi="Arial" w:cs="Arial"/>
          <w:sz w:val="22"/>
          <w:szCs w:val="22"/>
        </w:rPr>
        <w:t>7.4.2</w:t>
      </w:r>
      <w:r w:rsidR="003B6092" w:rsidRPr="00FB2F3D">
        <w:rPr>
          <w:rFonts w:ascii="Arial" w:hAnsi="Arial" w:cs="Arial"/>
          <w:sz w:val="22"/>
          <w:szCs w:val="22"/>
        </w:rPr>
        <w:t>, to the other Directors of the Reporting Entity within five Business Days of the notifiable interest arising or changing.</w:t>
      </w:r>
      <w:bookmarkEnd w:id="660"/>
    </w:p>
    <w:p w14:paraId="78DF7960" w14:textId="77777777" w:rsidR="003B6092" w:rsidRPr="00FB2F3D" w:rsidRDefault="00AF7E14" w:rsidP="00AF7E14">
      <w:pPr>
        <w:pStyle w:val="Heading4"/>
        <w:numPr>
          <w:ilvl w:val="0"/>
          <w:numId w:val="0"/>
        </w:numPr>
        <w:ind w:left="1440" w:hanging="720"/>
        <w:rPr>
          <w:rFonts w:ascii="Arial" w:hAnsi="Arial" w:cs="Arial"/>
          <w:sz w:val="22"/>
          <w:szCs w:val="22"/>
        </w:rPr>
      </w:pPr>
      <w:bookmarkStart w:id="661" w:name="_Ref410668208"/>
      <w:r w:rsidRPr="00FB2F3D">
        <w:rPr>
          <w:rFonts w:ascii="Arial" w:hAnsi="Arial" w:cs="Arial"/>
          <w:sz w:val="22"/>
          <w:szCs w:val="22"/>
        </w:rPr>
        <w:t>(2)</w:t>
      </w:r>
      <w:r w:rsidRPr="00FB2F3D">
        <w:rPr>
          <w:rFonts w:ascii="Arial" w:hAnsi="Arial" w:cs="Arial"/>
          <w:sz w:val="22"/>
          <w:szCs w:val="22"/>
        </w:rPr>
        <w:tab/>
      </w:r>
      <w:r w:rsidR="003B6092" w:rsidRPr="00FB2F3D">
        <w:rPr>
          <w:rFonts w:ascii="Arial" w:hAnsi="Arial" w:cs="Arial"/>
          <w:sz w:val="22"/>
          <w:szCs w:val="22"/>
        </w:rPr>
        <w:t xml:space="preserve">A Person referred to in </w:t>
      </w:r>
      <w:r w:rsidR="00693841" w:rsidRPr="00FB2F3D">
        <w:rPr>
          <w:rFonts w:ascii="Arial" w:hAnsi="Arial" w:cs="Arial"/>
          <w:sz w:val="22"/>
          <w:szCs w:val="22"/>
        </w:rPr>
        <w:t>(1)</w:t>
      </w:r>
      <w:r w:rsidR="003B6092" w:rsidRPr="00FB2F3D">
        <w:rPr>
          <w:rFonts w:ascii="Arial" w:hAnsi="Arial" w:cs="Arial"/>
          <w:sz w:val="22"/>
          <w:szCs w:val="22"/>
        </w:rPr>
        <w:t xml:space="preserve"> need not give a notice relating to a notifiable interest if the notifiable interest is required to be included in a report which that Person must provide by virtue of being a Connected Person under Rule </w:t>
      </w:r>
      <w:r w:rsidR="00693841" w:rsidRPr="00FB2F3D">
        <w:rPr>
          <w:rFonts w:ascii="Arial" w:hAnsi="Arial" w:cs="Arial"/>
          <w:sz w:val="22"/>
          <w:szCs w:val="22"/>
        </w:rPr>
        <w:t>7.3</w:t>
      </w:r>
      <w:r w:rsidR="003B6092" w:rsidRPr="00FB2F3D">
        <w:rPr>
          <w:rFonts w:ascii="Arial" w:hAnsi="Arial" w:cs="Arial"/>
          <w:sz w:val="22"/>
          <w:szCs w:val="22"/>
        </w:rPr>
        <w:t xml:space="preserve"> and the Person has complied with the requirement mentioned in that Rule.</w:t>
      </w:r>
      <w:bookmarkEnd w:id="661"/>
    </w:p>
    <w:p w14:paraId="30405F46" w14:textId="77777777" w:rsidR="003B6092" w:rsidRPr="00FB2F3D" w:rsidRDefault="00AF7E14" w:rsidP="00AF7E14">
      <w:pPr>
        <w:pStyle w:val="Heading4"/>
        <w:keepNext/>
        <w:numPr>
          <w:ilvl w:val="0"/>
          <w:numId w:val="0"/>
        </w:numPr>
        <w:ind w:left="1440" w:hanging="720"/>
        <w:rPr>
          <w:rFonts w:ascii="Arial" w:hAnsi="Arial" w:cs="Arial"/>
          <w:sz w:val="22"/>
          <w:szCs w:val="22"/>
        </w:rPr>
      </w:pPr>
      <w:bookmarkStart w:id="662" w:name="_Ref410635625"/>
      <w:r w:rsidRPr="00FB2F3D">
        <w:rPr>
          <w:rFonts w:ascii="Arial" w:hAnsi="Arial" w:cs="Arial"/>
          <w:sz w:val="22"/>
          <w:szCs w:val="22"/>
        </w:rPr>
        <w:t>(3)</w:t>
      </w:r>
      <w:r w:rsidRPr="00FB2F3D">
        <w:rPr>
          <w:rFonts w:ascii="Arial" w:hAnsi="Arial" w:cs="Arial"/>
          <w:sz w:val="22"/>
          <w:szCs w:val="22"/>
        </w:rPr>
        <w:tab/>
      </w:r>
      <w:r w:rsidR="003B6092" w:rsidRPr="00FB2F3D">
        <w:rPr>
          <w:rFonts w:ascii="Arial" w:hAnsi="Arial" w:cs="Arial"/>
          <w:sz w:val="22"/>
          <w:szCs w:val="22"/>
        </w:rPr>
        <w:t>A notice relating to a notifiable interest must contain:</w:t>
      </w:r>
      <w:bookmarkEnd w:id="662"/>
    </w:p>
    <w:p w14:paraId="3093BC99"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the name and address of the Person giving the notice; and</w:t>
      </w:r>
    </w:p>
    <w:p w14:paraId="2EB70DF4"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the details relating to the notifiable interest, including the date on which the notifiable interest arose or changed.</w:t>
      </w:r>
    </w:p>
    <w:p w14:paraId="3F9F1159" w14:textId="0F10D585" w:rsidR="003B6092" w:rsidRPr="00FB2F3D" w:rsidRDefault="003B6092" w:rsidP="003B6092">
      <w:pPr>
        <w:pStyle w:val="TitleL"/>
        <w:rPr>
          <w:rFonts w:ascii="Arial" w:hAnsi="Arial" w:cs="Arial"/>
          <w:sz w:val="22"/>
          <w:szCs w:val="22"/>
        </w:rPr>
      </w:pPr>
      <w:r w:rsidRPr="00FB2F3D">
        <w:rPr>
          <w:rFonts w:ascii="Arial" w:hAnsi="Arial" w:cs="Arial"/>
          <w:sz w:val="22"/>
          <w:szCs w:val="22"/>
        </w:rPr>
        <w:t xml:space="preserve">Market </w:t>
      </w:r>
      <w:r w:rsidR="007250E2">
        <w:rPr>
          <w:rFonts w:ascii="Arial" w:hAnsi="Arial" w:cs="Arial"/>
          <w:sz w:val="22"/>
          <w:szCs w:val="22"/>
        </w:rPr>
        <w:t>D</w:t>
      </w:r>
      <w:r w:rsidRPr="00FB2F3D">
        <w:rPr>
          <w:rFonts w:ascii="Arial" w:hAnsi="Arial" w:cs="Arial"/>
          <w:sz w:val="22"/>
          <w:szCs w:val="22"/>
        </w:rPr>
        <w:t>isclosure</w:t>
      </w:r>
    </w:p>
    <w:p w14:paraId="546956A7" w14:textId="0317DBB6" w:rsidR="003B6092" w:rsidRPr="00FB2F3D" w:rsidRDefault="003B6092" w:rsidP="003B6092">
      <w:pPr>
        <w:pStyle w:val="Heading3"/>
        <w:rPr>
          <w:rFonts w:ascii="Arial" w:hAnsi="Arial" w:cs="Arial"/>
          <w:sz w:val="22"/>
          <w:szCs w:val="22"/>
        </w:rPr>
      </w:pPr>
      <w:r w:rsidRPr="00FB2F3D">
        <w:rPr>
          <w:rFonts w:ascii="Arial" w:hAnsi="Arial" w:cs="Arial"/>
          <w:sz w:val="22"/>
          <w:szCs w:val="22"/>
        </w:rPr>
        <w:t xml:space="preserve">Upon receiving a notice relating to a notifiable interest, the Reporting Entity must, as soon as possible, make </w:t>
      </w:r>
      <w:r w:rsidR="007250E2">
        <w:rPr>
          <w:rFonts w:ascii="Arial" w:hAnsi="Arial" w:cs="Arial"/>
          <w:sz w:val="22"/>
          <w:szCs w:val="22"/>
        </w:rPr>
        <w:t>a D</w:t>
      </w:r>
      <w:r w:rsidRPr="00FB2F3D">
        <w:rPr>
          <w:rFonts w:ascii="Arial" w:hAnsi="Arial" w:cs="Arial"/>
          <w:sz w:val="22"/>
          <w:szCs w:val="22"/>
        </w:rPr>
        <w:t xml:space="preserve">isclosure of that </w:t>
      </w:r>
      <w:r w:rsidR="007250E2">
        <w:rPr>
          <w:rFonts w:ascii="Arial" w:hAnsi="Arial" w:cs="Arial"/>
          <w:sz w:val="22"/>
          <w:szCs w:val="22"/>
        </w:rPr>
        <w:t>notice</w:t>
      </w:r>
      <w:r w:rsidRPr="00FB2F3D">
        <w:rPr>
          <w:rFonts w:ascii="Arial" w:hAnsi="Arial" w:cs="Arial"/>
          <w:sz w:val="22"/>
          <w:szCs w:val="22"/>
        </w:rPr>
        <w:t xml:space="preserve"> in accordance with Rule </w:t>
      </w:r>
      <w:r w:rsidR="00693841" w:rsidRPr="00FB2F3D">
        <w:rPr>
          <w:rFonts w:ascii="Arial" w:hAnsi="Arial" w:cs="Arial"/>
          <w:sz w:val="22"/>
          <w:szCs w:val="22"/>
        </w:rPr>
        <w:t>7.7.1</w:t>
      </w:r>
      <w:r w:rsidRPr="00FB2F3D">
        <w:rPr>
          <w:rFonts w:ascii="Arial" w:hAnsi="Arial" w:cs="Arial"/>
          <w:sz w:val="22"/>
          <w:szCs w:val="22"/>
          <w:lang w:eastAsia="ja-JP"/>
        </w:rPr>
        <w:t>.</w:t>
      </w:r>
    </w:p>
    <w:p w14:paraId="682E1DE8" w14:textId="6EF57054" w:rsidR="003B6092" w:rsidRPr="00FB2F3D" w:rsidRDefault="003B6092" w:rsidP="003B6092">
      <w:pPr>
        <w:pStyle w:val="Heading2"/>
        <w:rPr>
          <w:rFonts w:ascii="Arial" w:hAnsi="Arial" w:cs="Arial"/>
          <w:sz w:val="22"/>
          <w:szCs w:val="22"/>
        </w:rPr>
      </w:pPr>
      <w:bookmarkStart w:id="663" w:name="_Toc409521843"/>
      <w:bookmarkStart w:id="664" w:name="_Toc410136240"/>
      <w:bookmarkStart w:id="665" w:name="_Toc410605949"/>
      <w:bookmarkStart w:id="666" w:name="_Toc410658885"/>
      <w:bookmarkStart w:id="667" w:name="_Toc410659012"/>
      <w:bookmarkStart w:id="668" w:name="_Toc410835559"/>
      <w:bookmarkStart w:id="669" w:name="_Toc138325696"/>
      <w:r w:rsidRPr="00FB2F3D">
        <w:rPr>
          <w:rFonts w:ascii="Arial" w:hAnsi="Arial" w:cs="Arial"/>
          <w:sz w:val="22"/>
          <w:szCs w:val="22"/>
        </w:rPr>
        <w:t xml:space="preserve">Power to direct </w:t>
      </w:r>
      <w:r w:rsidR="009707F2">
        <w:rPr>
          <w:rFonts w:ascii="Arial" w:hAnsi="Arial" w:cs="Arial"/>
          <w:sz w:val="22"/>
          <w:szCs w:val="22"/>
        </w:rPr>
        <w:t>D</w:t>
      </w:r>
      <w:r w:rsidRPr="00FB2F3D">
        <w:rPr>
          <w:rFonts w:ascii="Arial" w:hAnsi="Arial" w:cs="Arial"/>
          <w:sz w:val="22"/>
          <w:szCs w:val="22"/>
        </w:rPr>
        <w:t>isclosure</w:t>
      </w:r>
      <w:bookmarkEnd w:id="663"/>
      <w:bookmarkEnd w:id="664"/>
      <w:bookmarkEnd w:id="665"/>
      <w:bookmarkEnd w:id="666"/>
      <w:bookmarkEnd w:id="667"/>
      <w:bookmarkEnd w:id="668"/>
      <w:bookmarkEnd w:id="669"/>
    </w:p>
    <w:p w14:paraId="4C3E33EF" w14:textId="77777777" w:rsidR="003B6092" w:rsidRPr="00FB2F3D" w:rsidRDefault="003B6092" w:rsidP="003B6092">
      <w:pPr>
        <w:pStyle w:val="TitleL"/>
        <w:rPr>
          <w:rFonts w:ascii="Arial" w:hAnsi="Arial" w:cs="Arial"/>
          <w:sz w:val="22"/>
          <w:szCs w:val="22"/>
        </w:rPr>
      </w:pPr>
      <w:r w:rsidRPr="00FB2F3D">
        <w:rPr>
          <w:rFonts w:ascii="Arial" w:hAnsi="Arial" w:cs="Arial"/>
          <w:sz w:val="22"/>
          <w:szCs w:val="22"/>
        </w:rPr>
        <w:t>Guidance</w:t>
      </w:r>
    </w:p>
    <w:p w14:paraId="095B2BD3" w14:textId="356B8C6D" w:rsidR="003B6092" w:rsidRPr="00FB2F3D" w:rsidRDefault="003B6092" w:rsidP="00AF7E14">
      <w:pPr>
        <w:pStyle w:val="UK12Block05"/>
        <w:rPr>
          <w:rFonts w:ascii="Arial" w:hAnsi="Arial" w:cs="Arial"/>
          <w:sz w:val="22"/>
          <w:szCs w:val="22"/>
        </w:rPr>
      </w:pPr>
      <w:r w:rsidRPr="00FB2F3D">
        <w:rPr>
          <w:rFonts w:ascii="Arial" w:hAnsi="Arial" w:cs="Arial"/>
          <w:sz w:val="22"/>
          <w:szCs w:val="22"/>
        </w:rPr>
        <w:t xml:space="preserve">Section </w:t>
      </w:r>
      <w:r w:rsidR="00AF7E14" w:rsidRPr="00FB2F3D">
        <w:rPr>
          <w:rFonts w:ascii="Arial" w:hAnsi="Arial" w:cs="Arial"/>
          <w:sz w:val="22"/>
          <w:szCs w:val="22"/>
        </w:rPr>
        <w:t>84</w:t>
      </w:r>
      <w:r w:rsidRPr="00FB2F3D">
        <w:rPr>
          <w:rFonts w:ascii="Arial" w:hAnsi="Arial" w:cs="Arial"/>
          <w:sz w:val="22"/>
          <w:szCs w:val="22"/>
        </w:rPr>
        <w:t xml:space="preserve"> of the FSMR gives the Regulator the power to direct a Reporting Entity to </w:t>
      </w:r>
      <w:r w:rsidR="009707F2">
        <w:rPr>
          <w:rFonts w:ascii="Arial" w:hAnsi="Arial" w:cs="Arial"/>
          <w:sz w:val="22"/>
          <w:szCs w:val="22"/>
        </w:rPr>
        <w:t>D</w:t>
      </w:r>
      <w:r w:rsidRPr="00FB2F3D">
        <w:rPr>
          <w:rFonts w:ascii="Arial" w:hAnsi="Arial" w:cs="Arial"/>
          <w:sz w:val="22"/>
          <w:szCs w:val="22"/>
        </w:rPr>
        <w:t xml:space="preserve">isclose specified information or take such other steps as the Regulator considers appropriate where it is satisfied that it is in the interest of the ADGM to do so. </w:t>
      </w:r>
    </w:p>
    <w:p w14:paraId="09ACE285" w14:textId="79F6FFBF" w:rsidR="003B6092" w:rsidRPr="00FB2F3D" w:rsidRDefault="007441BA" w:rsidP="00AF7E14">
      <w:pPr>
        <w:pStyle w:val="Heading3"/>
        <w:ind w:left="1440" w:hanging="1440"/>
        <w:rPr>
          <w:rFonts w:ascii="Arial" w:hAnsi="Arial" w:cs="Arial"/>
          <w:sz w:val="22"/>
          <w:szCs w:val="22"/>
        </w:rPr>
      </w:pPr>
      <w:bookmarkStart w:id="670" w:name="_Ref410054517"/>
      <w:bookmarkStart w:id="671" w:name="_Ref410633074"/>
      <w:r w:rsidRPr="00FB2F3D">
        <w:rPr>
          <w:rFonts w:ascii="Arial" w:hAnsi="Arial" w:cs="Arial"/>
          <w:sz w:val="22"/>
          <w:szCs w:val="22"/>
        </w:rPr>
        <w:t>(1)</w:t>
      </w:r>
      <w:r w:rsidR="003B6092" w:rsidRPr="00FB2F3D">
        <w:rPr>
          <w:rFonts w:ascii="Arial" w:hAnsi="Arial" w:cs="Arial"/>
          <w:sz w:val="22"/>
          <w:szCs w:val="22"/>
        </w:rPr>
        <w:tab/>
        <w:t xml:space="preserve">The Regulator may, pursuant to its power under section </w:t>
      </w:r>
      <w:r w:rsidR="00AF7E14" w:rsidRPr="00FB2F3D">
        <w:rPr>
          <w:rFonts w:ascii="Arial" w:hAnsi="Arial" w:cs="Arial"/>
          <w:sz w:val="22"/>
          <w:szCs w:val="22"/>
        </w:rPr>
        <w:t>84</w:t>
      </w:r>
      <w:r w:rsidR="003B6092" w:rsidRPr="00FB2F3D">
        <w:rPr>
          <w:rFonts w:ascii="Arial" w:hAnsi="Arial" w:cs="Arial"/>
          <w:sz w:val="22"/>
          <w:szCs w:val="22"/>
        </w:rPr>
        <w:t xml:space="preserve"> of the FSMR, issue a written notice directing a Reporting Entity (a "</w:t>
      </w:r>
      <w:r w:rsidR="003B6092" w:rsidRPr="00FB2F3D">
        <w:rPr>
          <w:rFonts w:ascii="Arial" w:hAnsi="Arial" w:cs="Arial"/>
          <w:b/>
          <w:sz w:val="22"/>
          <w:szCs w:val="22"/>
        </w:rPr>
        <w:t>Direction Notice</w:t>
      </w:r>
      <w:r w:rsidR="003B6092" w:rsidRPr="00FB2F3D">
        <w:rPr>
          <w:rFonts w:ascii="Arial" w:hAnsi="Arial" w:cs="Arial"/>
          <w:sz w:val="22"/>
          <w:szCs w:val="22"/>
        </w:rPr>
        <w:t>") to disclose specified information and to take any other steps as the Regulator considers appropriate in the following circumstances</w:t>
      </w:r>
      <w:bookmarkEnd w:id="670"/>
      <w:r w:rsidR="003B6092" w:rsidRPr="00FB2F3D">
        <w:rPr>
          <w:rFonts w:ascii="Arial" w:hAnsi="Arial" w:cs="Arial"/>
          <w:sz w:val="22"/>
          <w:szCs w:val="22"/>
        </w:rPr>
        <w:t>:</w:t>
      </w:r>
      <w:bookmarkEnd w:id="671"/>
    </w:p>
    <w:p w14:paraId="487AC9E1" w14:textId="11284B5C" w:rsidR="003B6092" w:rsidRPr="00FB2F3D" w:rsidRDefault="003B6092" w:rsidP="003B6092">
      <w:pPr>
        <w:pStyle w:val="Heading5"/>
        <w:rPr>
          <w:rFonts w:ascii="Arial" w:hAnsi="Arial" w:cs="Arial"/>
          <w:sz w:val="22"/>
          <w:szCs w:val="22"/>
        </w:rPr>
      </w:pPr>
      <w:r w:rsidRPr="00FB2F3D">
        <w:rPr>
          <w:rFonts w:ascii="Arial" w:hAnsi="Arial" w:cs="Arial"/>
          <w:sz w:val="22"/>
          <w:szCs w:val="22"/>
        </w:rPr>
        <w:t xml:space="preserve">where a Reporting Entity fails to comply with an obligation to </w:t>
      </w:r>
      <w:r w:rsidR="009707F2">
        <w:rPr>
          <w:rFonts w:ascii="Arial" w:hAnsi="Arial" w:cs="Arial"/>
          <w:sz w:val="22"/>
          <w:szCs w:val="22"/>
        </w:rPr>
        <w:t>D</w:t>
      </w:r>
      <w:r w:rsidRPr="00FB2F3D">
        <w:rPr>
          <w:rFonts w:ascii="Arial" w:hAnsi="Arial" w:cs="Arial"/>
          <w:sz w:val="22"/>
          <w:szCs w:val="22"/>
        </w:rPr>
        <w:t>isclose any information under the FSMR and these Rules;</w:t>
      </w:r>
    </w:p>
    <w:p w14:paraId="299F941B" w14:textId="4B4BCC94" w:rsidR="003B6092" w:rsidRDefault="003B6092" w:rsidP="003B6092">
      <w:pPr>
        <w:pStyle w:val="Heading5"/>
        <w:rPr>
          <w:rFonts w:ascii="Arial" w:hAnsi="Arial" w:cs="Arial"/>
          <w:sz w:val="22"/>
          <w:szCs w:val="22"/>
        </w:rPr>
      </w:pPr>
      <w:r w:rsidRPr="00FB2F3D">
        <w:rPr>
          <w:rFonts w:ascii="Arial" w:hAnsi="Arial" w:cs="Arial"/>
          <w:sz w:val="22"/>
          <w:szCs w:val="22"/>
        </w:rPr>
        <w:t xml:space="preserve">to correct or prevent a false market if the Regulator considers that there is or is likely to be a false market in a </w:t>
      </w:r>
      <w:r w:rsidR="009707F2">
        <w:rPr>
          <w:rFonts w:ascii="Arial" w:hAnsi="Arial" w:cs="Arial"/>
          <w:sz w:val="22"/>
          <w:szCs w:val="22"/>
        </w:rPr>
        <w:t>Listed</w:t>
      </w:r>
      <w:r w:rsidRPr="00FB2F3D">
        <w:rPr>
          <w:rFonts w:ascii="Arial" w:hAnsi="Arial" w:cs="Arial"/>
          <w:sz w:val="22"/>
          <w:szCs w:val="22"/>
        </w:rPr>
        <w:t xml:space="preserve"> Entity's Securities;</w:t>
      </w:r>
    </w:p>
    <w:p w14:paraId="35F427BA" w14:textId="4310F031" w:rsidR="009707F2" w:rsidRPr="00FB2F3D" w:rsidRDefault="009707F2" w:rsidP="009707F2">
      <w:pPr>
        <w:pStyle w:val="TitleL"/>
        <w:rPr>
          <w:rFonts w:ascii="Arial" w:hAnsi="Arial" w:cs="Arial"/>
          <w:sz w:val="22"/>
          <w:szCs w:val="22"/>
        </w:rPr>
      </w:pPr>
      <w:r>
        <w:rPr>
          <w:rFonts w:ascii="Arial" w:hAnsi="Arial" w:cs="Arial"/>
          <w:sz w:val="22"/>
          <w:szCs w:val="22"/>
        </w:rPr>
        <w:lastRenderedPageBreak/>
        <w:t>Guidance</w:t>
      </w:r>
    </w:p>
    <w:p w14:paraId="341138F7" w14:textId="77777777" w:rsidR="006B1528" w:rsidRDefault="009707F2" w:rsidP="0016653A">
      <w:pPr>
        <w:pStyle w:val="Heading5"/>
        <w:numPr>
          <w:ilvl w:val="0"/>
          <w:numId w:val="0"/>
        </w:numPr>
        <w:ind w:left="709"/>
        <w:rPr>
          <w:rFonts w:ascii="Arial" w:hAnsi="Arial" w:cs="Arial"/>
          <w:sz w:val="22"/>
          <w:szCs w:val="22"/>
        </w:rPr>
      </w:pPr>
      <w:r>
        <w:rPr>
          <w:rFonts w:ascii="Arial" w:hAnsi="Arial" w:cs="Arial"/>
          <w:sz w:val="22"/>
          <w:szCs w:val="22"/>
        </w:rPr>
        <w:t xml:space="preserve">The Regulator would consider, for example, that </w:t>
      </w:r>
      <w:r w:rsidR="003B6092" w:rsidRPr="00FB2F3D">
        <w:rPr>
          <w:rFonts w:ascii="Arial" w:hAnsi="Arial" w:cs="Arial"/>
          <w:sz w:val="22"/>
          <w:szCs w:val="22"/>
        </w:rPr>
        <w:t>there is</w:t>
      </w:r>
      <w:r>
        <w:rPr>
          <w:rFonts w:ascii="Arial" w:hAnsi="Arial" w:cs="Arial"/>
          <w:sz w:val="22"/>
          <w:szCs w:val="22"/>
        </w:rPr>
        <w:t xml:space="preserve">, </w:t>
      </w:r>
      <w:r w:rsidR="003B6092" w:rsidRPr="00FB2F3D">
        <w:rPr>
          <w:rFonts w:ascii="Arial" w:hAnsi="Arial" w:cs="Arial"/>
          <w:sz w:val="22"/>
          <w:szCs w:val="22"/>
        </w:rPr>
        <w:t xml:space="preserve">or </w:t>
      </w:r>
      <w:r>
        <w:rPr>
          <w:rFonts w:ascii="Arial" w:hAnsi="Arial" w:cs="Arial"/>
          <w:sz w:val="22"/>
          <w:szCs w:val="22"/>
        </w:rPr>
        <w:t xml:space="preserve">is likely to be, a false market </w:t>
      </w:r>
      <w:r w:rsidR="003B6092" w:rsidRPr="00FB2F3D">
        <w:rPr>
          <w:rFonts w:ascii="Arial" w:hAnsi="Arial" w:cs="Arial"/>
          <w:sz w:val="22"/>
          <w:szCs w:val="22"/>
        </w:rPr>
        <w:t xml:space="preserve">in the </w:t>
      </w:r>
      <w:r>
        <w:rPr>
          <w:rFonts w:ascii="Arial" w:hAnsi="Arial" w:cs="Arial"/>
          <w:sz w:val="22"/>
          <w:szCs w:val="22"/>
        </w:rPr>
        <w:t>Listed Entity’s S</w:t>
      </w:r>
      <w:r w:rsidR="003B6092" w:rsidRPr="00FB2F3D">
        <w:rPr>
          <w:rFonts w:ascii="Arial" w:hAnsi="Arial" w:cs="Arial"/>
          <w:sz w:val="22"/>
          <w:szCs w:val="22"/>
        </w:rPr>
        <w:t>ecurities</w:t>
      </w:r>
      <w:r w:rsidR="006B1528">
        <w:rPr>
          <w:rFonts w:ascii="Arial" w:hAnsi="Arial" w:cs="Arial"/>
          <w:sz w:val="22"/>
          <w:szCs w:val="22"/>
        </w:rPr>
        <w:t xml:space="preserve"> if:</w:t>
      </w:r>
    </w:p>
    <w:p w14:paraId="200DB9D2" w14:textId="77777777" w:rsidR="0016653A" w:rsidRDefault="0016653A" w:rsidP="00D7292E">
      <w:pPr>
        <w:pStyle w:val="Heading5"/>
        <w:numPr>
          <w:ilvl w:val="0"/>
          <w:numId w:val="0"/>
        </w:numPr>
        <w:ind w:left="1418" w:hanging="709"/>
        <w:rPr>
          <w:rFonts w:ascii="Arial" w:hAnsi="Arial" w:cs="Arial"/>
          <w:sz w:val="22"/>
          <w:szCs w:val="22"/>
        </w:rPr>
      </w:pPr>
      <w:r>
        <w:rPr>
          <w:rFonts w:ascii="Arial" w:hAnsi="Arial" w:cs="Arial"/>
          <w:sz w:val="22"/>
          <w:szCs w:val="22"/>
        </w:rPr>
        <w:t>(i)</w:t>
      </w:r>
      <w:r>
        <w:rPr>
          <w:rFonts w:ascii="Arial" w:hAnsi="Arial" w:cs="Arial"/>
          <w:sz w:val="22"/>
          <w:szCs w:val="22"/>
        </w:rPr>
        <w:tab/>
        <w:t>a Listed Entity/Reporting Entity has information that has not been Disclosed, for example, due to Rule 7.2.1(4) applying;</w:t>
      </w:r>
    </w:p>
    <w:p w14:paraId="2CA2E94B" w14:textId="77777777" w:rsidR="0016653A" w:rsidRDefault="0016653A" w:rsidP="00D7292E">
      <w:pPr>
        <w:pStyle w:val="Heading5"/>
        <w:numPr>
          <w:ilvl w:val="0"/>
          <w:numId w:val="0"/>
        </w:numPr>
        <w:ind w:left="1418" w:hanging="709"/>
        <w:rPr>
          <w:rFonts w:ascii="Arial" w:hAnsi="Arial" w:cs="Arial"/>
          <w:sz w:val="22"/>
          <w:szCs w:val="22"/>
        </w:rPr>
      </w:pPr>
      <w:r>
        <w:rPr>
          <w:rFonts w:ascii="Arial" w:hAnsi="Arial" w:cs="Arial"/>
          <w:sz w:val="22"/>
          <w:szCs w:val="22"/>
        </w:rPr>
        <w:t>(ii)</w:t>
      </w:r>
      <w:r>
        <w:rPr>
          <w:rFonts w:ascii="Arial" w:hAnsi="Arial" w:cs="Arial"/>
          <w:sz w:val="22"/>
          <w:szCs w:val="22"/>
        </w:rPr>
        <w:tab/>
        <w:t>there is a reasonably specific media comment or rumour concerning the Listed Entity</w:t>
      </w:r>
      <w:r w:rsidR="003B6092" w:rsidRPr="00FB2F3D">
        <w:rPr>
          <w:rFonts w:ascii="Arial" w:hAnsi="Arial" w:cs="Arial"/>
          <w:sz w:val="22"/>
          <w:szCs w:val="22"/>
        </w:rPr>
        <w:t xml:space="preserve"> that has not been confirmed or clarified by </w:t>
      </w:r>
      <w:r>
        <w:rPr>
          <w:rFonts w:ascii="Arial" w:hAnsi="Arial" w:cs="Arial"/>
          <w:sz w:val="22"/>
          <w:szCs w:val="22"/>
        </w:rPr>
        <w:t>a Disclosure</w:t>
      </w:r>
      <w:r w:rsidR="003B6092" w:rsidRPr="00FB2F3D">
        <w:rPr>
          <w:rFonts w:ascii="Arial" w:hAnsi="Arial" w:cs="Arial"/>
          <w:sz w:val="22"/>
          <w:szCs w:val="22"/>
        </w:rPr>
        <w:t xml:space="preserve"> by the Reporting Entity</w:t>
      </w:r>
      <w:r>
        <w:rPr>
          <w:rFonts w:ascii="Arial" w:hAnsi="Arial" w:cs="Arial"/>
          <w:sz w:val="22"/>
          <w:szCs w:val="22"/>
        </w:rPr>
        <w:t xml:space="preserve">; </w:t>
      </w:r>
      <w:r w:rsidR="003B6092" w:rsidRPr="00FB2F3D">
        <w:rPr>
          <w:rFonts w:ascii="Arial" w:hAnsi="Arial" w:cs="Arial"/>
          <w:sz w:val="22"/>
          <w:szCs w:val="22"/>
        </w:rPr>
        <w:t xml:space="preserve">and </w:t>
      </w:r>
    </w:p>
    <w:p w14:paraId="6A01A1B4" w14:textId="34AE34AE" w:rsidR="003B6092" w:rsidRPr="00FB2F3D" w:rsidRDefault="0016653A" w:rsidP="00D7292E">
      <w:pPr>
        <w:pStyle w:val="Heading5"/>
        <w:numPr>
          <w:ilvl w:val="0"/>
          <w:numId w:val="0"/>
        </w:numPr>
        <w:ind w:left="1418" w:hanging="709"/>
        <w:rPr>
          <w:rFonts w:ascii="Arial" w:hAnsi="Arial" w:cs="Arial"/>
          <w:sz w:val="22"/>
          <w:szCs w:val="22"/>
        </w:rPr>
      </w:pPr>
      <w:r>
        <w:rPr>
          <w:rFonts w:ascii="Arial" w:hAnsi="Arial" w:cs="Arial"/>
          <w:sz w:val="22"/>
          <w:szCs w:val="22"/>
        </w:rPr>
        <w:t>(iii)</w:t>
      </w:r>
      <w:r>
        <w:rPr>
          <w:rFonts w:ascii="Arial" w:hAnsi="Arial" w:cs="Arial"/>
          <w:sz w:val="22"/>
          <w:szCs w:val="22"/>
        </w:rPr>
        <w:tab/>
        <w:t>there is evidence that the comment or</w:t>
      </w:r>
      <w:r w:rsidR="003B6092" w:rsidRPr="00FB2F3D">
        <w:rPr>
          <w:rFonts w:ascii="Arial" w:hAnsi="Arial" w:cs="Arial"/>
          <w:sz w:val="22"/>
          <w:szCs w:val="22"/>
        </w:rPr>
        <w:t xml:space="preserve"> rumour is </w:t>
      </w:r>
      <w:r>
        <w:rPr>
          <w:rFonts w:ascii="Arial" w:hAnsi="Arial" w:cs="Arial"/>
          <w:sz w:val="22"/>
          <w:szCs w:val="22"/>
        </w:rPr>
        <w:t xml:space="preserve">having, </w:t>
      </w:r>
      <w:r w:rsidR="003B6092" w:rsidRPr="00FB2F3D">
        <w:rPr>
          <w:rFonts w:ascii="Arial" w:hAnsi="Arial" w:cs="Arial"/>
          <w:sz w:val="22"/>
          <w:szCs w:val="22"/>
        </w:rPr>
        <w:t>or</w:t>
      </w:r>
      <w:r>
        <w:rPr>
          <w:rFonts w:ascii="Arial" w:hAnsi="Arial" w:cs="Arial"/>
          <w:sz w:val="22"/>
          <w:szCs w:val="22"/>
        </w:rPr>
        <w:t xml:space="preserve"> the Regulator considers that the comment or rumour is l</w:t>
      </w:r>
      <w:r w:rsidR="003B6092" w:rsidRPr="00FB2F3D">
        <w:rPr>
          <w:rFonts w:ascii="Arial" w:hAnsi="Arial" w:cs="Arial"/>
          <w:sz w:val="22"/>
          <w:szCs w:val="22"/>
        </w:rPr>
        <w:t>ikely to have</w:t>
      </w:r>
      <w:r>
        <w:rPr>
          <w:rFonts w:ascii="Arial" w:hAnsi="Arial" w:cs="Arial"/>
          <w:sz w:val="22"/>
          <w:szCs w:val="22"/>
        </w:rPr>
        <w:t xml:space="preserve">, a </w:t>
      </w:r>
      <w:r w:rsidR="00D7292E">
        <w:rPr>
          <w:rFonts w:ascii="Arial" w:hAnsi="Arial" w:cs="Arial"/>
          <w:sz w:val="22"/>
          <w:szCs w:val="22"/>
        </w:rPr>
        <w:t xml:space="preserve">significant </w:t>
      </w:r>
      <w:r w:rsidR="003B6092" w:rsidRPr="00FB2F3D">
        <w:rPr>
          <w:rFonts w:ascii="Arial" w:hAnsi="Arial" w:cs="Arial"/>
          <w:sz w:val="22"/>
          <w:szCs w:val="22"/>
        </w:rPr>
        <w:t>impact</w:t>
      </w:r>
      <w:r w:rsidR="00D7292E">
        <w:rPr>
          <w:rFonts w:ascii="Arial" w:hAnsi="Arial" w:cs="Arial"/>
          <w:sz w:val="22"/>
          <w:szCs w:val="22"/>
        </w:rPr>
        <w:t xml:space="preserve"> </w:t>
      </w:r>
      <w:r w:rsidR="003B6092" w:rsidRPr="00FB2F3D">
        <w:rPr>
          <w:rFonts w:ascii="Arial" w:hAnsi="Arial" w:cs="Arial"/>
          <w:sz w:val="22"/>
          <w:szCs w:val="22"/>
        </w:rPr>
        <w:t xml:space="preserve">on the price of the </w:t>
      </w:r>
      <w:r w:rsidR="00D7292E">
        <w:rPr>
          <w:rFonts w:ascii="Arial" w:hAnsi="Arial" w:cs="Arial"/>
          <w:sz w:val="22"/>
          <w:szCs w:val="22"/>
        </w:rPr>
        <w:t>Listed Entity’s</w:t>
      </w:r>
      <w:r w:rsidR="003B6092" w:rsidRPr="00FB2F3D">
        <w:rPr>
          <w:rFonts w:ascii="Arial" w:hAnsi="Arial" w:cs="Arial"/>
          <w:sz w:val="22"/>
          <w:szCs w:val="22"/>
        </w:rPr>
        <w:t xml:space="preserve"> Securities</w:t>
      </w:r>
      <w:r w:rsidR="00D7292E">
        <w:rPr>
          <w:rFonts w:ascii="Arial" w:hAnsi="Arial" w:cs="Arial"/>
          <w:sz w:val="22"/>
          <w:szCs w:val="22"/>
        </w:rPr>
        <w:t>.</w:t>
      </w:r>
      <w:r w:rsidR="003B6092" w:rsidRPr="00FB2F3D">
        <w:rPr>
          <w:rFonts w:ascii="Arial" w:hAnsi="Arial" w:cs="Arial"/>
          <w:sz w:val="22"/>
          <w:szCs w:val="22"/>
        </w:rPr>
        <w:t xml:space="preserve"> </w:t>
      </w:r>
    </w:p>
    <w:p w14:paraId="5BA564AF" w14:textId="77777777" w:rsidR="003B6092" w:rsidRPr="00FB2F3D" w:rsidRDefault="003B6092" w:rsidP="003B6092">
      <w:pPr>
        <w:pStyle w:val="Heading5"/>
        <w:keepNext/>
        <w:rPr>
          <w:rFonts w:ascii="Arial" w:hAnsi="Arial" w:cs="Arial"/>
          <w:sz w:val="22"/>
          <w:szCs w:val="22"/>
        </w:rPr>
      </w:pPr>
      <w:r w:rsidRPr="00FB2F3D">
        <w:rPr>
          <w:rFonts w:ascii="Arial" w:hAnsi="Arial" w:cs="Arial"/>
          <w:sz w:val="22"/>
          <w:szCs w:val="22"/>
        </w:rPr>
        <w:t>where it is in the interests of:</w:t>
      </w:r>
    </w:p>
    <w:p w14:paraId="731475CC" w14:textId="77777777" w:rsidR="003B6092" w:rsidRPr="00FB2F3D" w:rsidRDefault="003B6092" w:rsidP="003B6092">
      <w:pPr>
        <w:pStyle w:val="Heading6"/>
        <w:rPr>
          <w:rFonts w:ascii="Arial" w:hAnsi="Arial" w:cs="Arial"/>
          <w:sz w:val="22"/>
          <w:szCs w:val="22"/>
          <w:lang w:eastAsia="ja-JP"/>
        </w:rPr>
      </w:pPr>
      <w:r w:rsidRPr="00FB2F3D">
        <w:rPr>
          <w:rFonts w:ascii="Arial" w:hAnsi="Arial" w:cs="Arial"/>
          <w:sz w:val="22"/>
          <w:szCs w:val="22"/>
        </w:rPr>
        <w:t>actual or potential investors;</w:t>
      </w:r>
    </w:p>
    <w:p w14:paraId="72F80659" w14:textId="77777777" w:rsidR="003B6092" w:rsidRPr="00FB2F3D" w:rsidRDefault="003B6092" w:rsidP="003B6092">
      <w:pPr>
        <w:pStyle w:val="Heading6"/>
        <w:rPr>
          <w:rFonts w:ascii="Arial" w:hAnsi="Arial" w:cs="Arial"/>
          <w:sz w:val="22"/>
          <w:szCs w:val="22"/>
        </w:rPr>
      </w:pPr>
      <w:r w:rsidRPr="00FB2F3D">
        <w:rPr>
          <w:rFonts w:ascii="Arial" w:hAnsi="Arial" w:cs="Arial"/>
          <w:sz w:val="22"/>
          <w:szCs w:val="22"/>
        </w:rPr>
        <w:t>market integrity; or</w:t>
      </w:r>
    </w:p>
    <w:p w14:paraId="30186C42" w14:textId="77777777" w:rsidR="003B6092" w:rsidRPr="00FB2F3D" w:rsidRDefault="003B6092" w:rsidP="003B6092">
      <w:pPr>
        <w:pStyle w:val="Heading6"/>
        <w:rPr>
          <w:rFonts w:ascii="Arial" w:hAnsi="Arial" w:cs="Arial"/>
          <w:sz w:val="22"/>
          <w:szCs w:val="22"/>
        </w:rPr>
      </w:pPr>
      <w:r w:rsidRPr="00FB2F3D">
        <w:rPr>
          <w:rFonts w:ascii="Arial" w:hAnsi="Arial" w:cs="Arial"/>
          <w:sz w:val="22"/>
          <w:szCs w:val="22"/>
        </w:rPr>
        <w:t>the ADGM.</w:t>
      </w:r>
    </w:p>
    <w:p w14:paraId="33FDF76B" w14:textId="77777777" w:rsidR="003B6092" w:rsidRPr="00FB2F3D" w:rsidRDefault="003B6092" w:rsidP="003B6092">
      <w:pPr>
        <w:pStyle w:val="Heading4"/>
        <w:rPr>
          <w:rFonts w:ascii="Arial" w:hAnsi="Arial" w:cs="Arial"/>
          <w:sz w:val="22"/>
          <w:szCs w:val="22"/>
        </w:rPr>
      </w:pPr>
      <w:r w:rsidRPr="00FB2F3D">
        <w:rPr>
          <w:rFonts w:ascii="Arial" w:hAnsi="Arial" w:cs="Arial"/>
          <w:sz w:val="22"/>
          <w:szCs w:val="22"/>
        </w:rPr>
        <w:t xml:space="preserve">A Reporting Entity which receives a Direction Notice issued pursuant to </w:t>
      </w:r>
      <w:r w:rsidR="00693841" w:rsidRPr="00FB2F3D">
        <w:rPr>
          <w:rFonts w:ascii="Arial" w:hAnsi="Arial" w:cs="Arial"/>
          <w:sz w:val="22"/>
          <w:szCs w:val="22"/>
        </w:rPr>
        <w:t>(1)</w:t>
      </w:r>
      <w:r w:rsidRPr="00FB2F3D">
        <w:rPr>
          <w:rFonts w:ascii="Arial" w:hAnsi="Arial" w:cs="Arial"/>
          <w:sz w:val="22"/>
          <w:szCs w:val="22"/>
        </w:rPr>
        <w:t xml:space="preserve"> must comply with the terms of that notice.</w:t>
      </w:r>
    </w:p>
    <w:p w14:paraId="31099CBD" w14:textId="51381634" w:rsidR="003B6092" w:rsidRPr="00FB2F3D" w:rsidRDefault="003B6092" w:rsidP="003B6092">
      <w:pPr>
        <w:pStyle w:val="Heading2"/>
        <w:rPr>
          <w:rFonts w:ascii="Arial" w:hAnsi="Arial" w:cs="Arial"/>
          <w:sz w:val="22"/>
          <w:szCs w:val="22"/>
        </w:rPr>
      </w:pPr>
      <w:bookmarkStart w:id="672" w:name="_Toc409521844"/>
      <w:bookmarkStart w:id="673" w:name="_Ref410075601"/>
      <w:bookmarkStart w:id="674" w:name="_Toc410136241"/>
      <w:bookmarkStart w:id="675" w:name="_Toc410605950"/>
      <w:bookmarkStart w:id="676" w:name="_Ref410629040"/>
      <w:bookmarkStart w:id="677" w:name="_Toc410658886"/>
      <w:bookmarkStart w:id="678" w:name="_Toc410659013"/>
      <w:bookmarkStart w:id="679" w:name="_Toc410835560"/>
      <w:bookmarkStart w:id="680" w:name="_Toc138325697"/>
      <w:r w:rsidRPr="00FB2F3D">
        <w:rPr>
          <w:rFonts w:ascii="Arial" w:hAnsi="Arial" w:cs="Arial"/>
          <w:sz w:val="22"/>
          <w:szCs w:val="22"/>
        </w:rPr>
        <w:t xml:space="preserve">Other matters that require </w:t>
      </w:r>
      <w:r w:rsidR="00D7292E">
        <w:rPr>
          <w:rFonts w:ascii="Arial" w:hAnsi="Arial" w:cs="Arial"/>
          <w:sz w:val="22"/>
          <w:szCs w:val="22"/>
        </w:rPr>
        <w:t>D</w:t>
      </w:r>
      <w:r w:rsidRPr="00FB2F3D">
        <w:rPr>
          <w:rFonts w:ascii="Arial" w:hAnsi="Arial" w:cs="Arial"/>
          <w:sz w:val="22"/>
          <w:szCs w:val="22"/>
        </w:rPr>
        <w:t>isclosure</w:t>
      </w:r>
      <w:bookmarkEnd w:id="672"/>
      <w:bookmarkEnd w:id="673"/>
      <w:bookmarkEnd w:id="674"/>
      <w:bookmarkEnd w:id="675"/>
      <w:bookmarkEnd w:id="676"/>
      <w:bookmarkEnd w:id="677"/>
      <w:bookmarkEnd w:id="678"/>
      <w:bookmarkEnd w:id="679"/>
      <w:bookmarkEnd w:id="680"/>
    </w:p>
    <w:p w14:paraId="58CEC278" w14:textId="068BD2E5" w:rsidR="003B6092" w:rsidRPr="00FB2F3D" w:rsidRDefault="003B6092" w:rsidP="003B6092">
      <w:pPr>
        <w:pStyle w:val="Heading3"/>
        <w:rPr>
          <w:rFonts w:ascii="Arial" w:hAnsi="Arial" w:cs="Arial"/>
          <w:sz w:val="22"/>
          <w:szCs w:val="22"/>
        </w:rPr>
      </w:pPr>
      <w:bookmarkStart w:id="681" w:name="_Ref410074418"/>
      <w:r w:rsidRPr="00FB2F3D">
        <w:rPr>
          <w:rFonts w:ascii="Arial" w:hAnsi="Arial" w:cs="Arial"/>
          <w:sz w:val="22"/>
          <w:szCs w:val="22"/>
        </w:rPr>
        <w:t xml:space="preserve">A Reporting Entity must </w:t>
      </w:r>
      <w:r w:rsidR="00D7292E">
        <w:rPr>
          <w:rFonts w:ascii="Arial" w:hAnsi="Arial" w:cs="Arial"/>
          <w:sz w:val="22"/>
          <w:szCs w:val="22"/>
        </w:rPr>
        <w:t>Disclose</w:t>
      </w:r>
      <w:r w:rsidRPr="00FB2F3D">
        <w:rPr>
          <w:rFonts w:ascii="Arial" w:hAnsi="Arial" w:cs="Arial"/>
          <w:sz w:val="22"/>
          <w:szCs w:val="22"/>
        </w:rPr>
        <w:t xml:space="preserve"> in accordance with Rule </w:t>
      </w:r>
      <w:r w:rsidR="00693841" w:rsidRPr="00FB2F3D">
        <w:rPr>
          <w:rFonts w:ascii="Arial" w:hAnsi="Arial" w:cs="Arial"/>
          <w:sz w:val="22"/>
          <w:szCs w:val="22"/>
        </w:rPr>
        <w:t>7.7.1</w:t>
      </w:r>
      <w:r w:rsidRPr="00FB2F3D">
        <w:rPr>
          <w:rFonts w:ascii="Arial" w:hAnsi="Arial" w:cs="Arial"/>
          <w:sz w:val="22"/>
          <w:szCs w:val="22"/>
        </w:rPr>
        <w:t xml:space="preserve"> the matters specified in </w:t>
      </w:r>
      <w:r w:rsidR="00693841" w:rsidRPr="00FB2F3D">
        <w:rPr>
          <w:rFonts w:ascii="Arial" w:hAnsi="Arial" w:cs="Arial"/>
          <w:sz w:val="22"/>
          <w:szCs w:val="22"/>
        </w:rPr>
        <w:t>APP 2</w:t>
      </w:r>
      <w:r w:rsidRPr="00FB2F3D">
        <w:rPr>
          <w:rFonts w:ascii="Arial" w:hAnsi="Arial" w:cs="Arial"/>
          <w:sz w:val="22"/>
          <w:szCs w:val="22"/>
        </w:rPr>
        <w:t>.</w:t>
      </w:r>
      <w:bookmarkEnd w:id="681"/>
    </w:p>
    <w:p w14:paraId="0F075E32" w14:textId="024E602B" w:rsidR="003B6092" w:rsidRPr="00FB2F3D" w:rsidRDefault="003B6092" w:rsidP="003B6092">
      <w:pPr>
        <w:pStyle w:val="Heading2"/>
        <w:rPr>
          <w:rFonts w:ascii="Arial" w:hAnsi="Arial" w:cs="Arial"/>
          <w:sz w:val="22"/>
          <w:szCs w:val="22"/>
        </w:rPr>
      </w:pPr>
      <w:bookmarkStart w:id="682" w:name="_Toc409521845"/>
      <w:bookmarkStart w:id="683" w:name="_Ref410059399"/>
      <w:bookmarkStart w:id="684" w:name="_Toc410136242"/>
      <w:bookmarkStart w:id="685" w:name="_Toc410605951"/>
      <w:bookmarkStart w:id="686" w:name="_Ref410630848"/>
      <w:bookmarkStart w:id="687" w:name="_Toc410658887"/>
      <w:bookmarkStart w:id="688" w:name="_Toc410659014"/>
      <w:bookmarkStart w:id="689" w:name="_Toc410835561"/>
      <w:bookmarkStart w:id="690" w:name="_Ref416795123"/>
      <w:bookmarkStart w:id="691" w:name="_Toc138325698"/>
      <w:r w:rsidRPr="00FB2F3D">
        <w:rPr>
          <w:rFonts w:ascii="Arial" w:hAnsi="Arial" w:cs="Arial"/>
          <w:sz w:val="22"/>
          <w:szCs w:val="22"/>
        </w:rPr>
        <w:t xml:space="preserve">Manner of </w:t>
      </w:r>
      <w:r w:rsidR="00D7292E">
        <w:rPr>
          <w:rFonts w:ascii="Arial" w:hAnsi="Arial" w:cs="Arial"/>
          <w:sz w:val="22"/>
          <w:szCs w:val="22"/>
        </w:rPr>
        <w:t>D</w:t>
      </w:r>
      <w:r w:rsidRPr="00FB2F3D">
        <w:rPr>
          <w:rFonts w:ascii="Arial" w:hAnsi="Arial" w:cs="Arial"/>
          <w:sz w:val="22"/>
          <w:szCs w:val="22"/>
        </w:rPr>
        <w:t>isclosure</w:t>
      </w:r>
      <w:bookmarkEnd w:id="682"/>
      <w:bookmarkEnd w:id="683"/>
      <w:bookmarkEnd w:id="684"/>
      <w:bookmarkEnd w:id="685"/>
      <w:bookmarkEnd w:id="686"/>
      <w:bookmarkEnd w:id="687"/>
      <w:bookmarkEnd w:id="688"/>
      <w:bookmarkEnd w:id="689"/>
      <w:bookmarkEnd w:id="690"/>
      <w:bookmarkEnd w:id="691"/>
    </w:p>
    <w:p w14:paraId="28B56D85" w14:textId="5053A70A" w:rsidR="003B6092" w:rsidRPr="00FB2F3D" w:rsidRDefault="007441BA" w:rsidP="003B6092">
      <w:pPr>
        <w:pStyle w:val="Heading3"/>
        <w:ind w:left="1440" w:hanging="1440"/>
        <w:rPr>
          <w:rFonts w:ascii="Arial" w:hAnsi="Arial" w:cs="Arial"/>
          <w:sz w:val="22"/>
          <w:szCs w:val="22"/>
        </w:rPr>
      </w:pPr>
      <w:bookmarkStart w:id="692" w:name="_Ref410053262"/>
      <w:bookmarkStart w:id="693" w:name="_Ref410632779"/>
      <w:r w:rsidRPr="00FB2F3D">
        <w:rPr>
          <w:rFonts w:ascii="Arial" w:hAnsi="Arial" w:cs="Arial"/>
          <w:sz w:val="22"/>
          <w:szCs w:val="22"/>
        </w:rPr>
        <w:t>(1)</w:t>
      </w:r>
      <w:r w:rsidR="003B6092" w:rsidRPr="00FB2F3D">
        <w:rPr>
          <w:rFonts w:ascii="Arial" w:hAnsi="Arial" w:cs="Arial"/>
          <w:sz w:val="22"/>
          <w:szCs w:val="22"/>
        </w:rPr>
        <w:tab/>
        <w:t xml:space="preserve">When a Reporting Entity is required to make </w:t>
      </w:r>
      <w:r w:rsidR="00D7292E">
        <w:rPr>
          <w:rFonts w:ascii="Arial" w:hAnsi="Arial" w:cs="Arial"/>
          <w:sz w:val="22"/>
          <w:szCs w:val="22"/>
        </w:rPr>
        <w:t>a D</w:t>
      </w:r>
      <w:r w:rsidR="003B6092" w:rsidRPr="00FB2F3D">
        <w:rPr>
          <w:rFonts w:ascii="Arial" w:hAnsi="Arial" w:cs="Arial"/>
          <w:sz w:val="22"/>
          <w:szCs w:val="22"/>
        </w:rPr>
        <w:t xml:space="preserve">isclosure of any information, such information must be released to the market by way of </w:t>
      </w:r>
      <w:r w:rsidR="00C4298D">
        <w:rPr>
          <w:rFonts w:ascii="Arial" w:hAnsi="Arial" w:cs="Arial"/>
          <w:sz w:val="22"/>
          <w:szCs w:val="22"/>
        </w:rPr>
        <w:t>a Disclosure</w:t>
      </w:r>
      <w:r w:rsidR="003B6092" w:rsidRPr="00FB2F3D">
        <w:rPr>
          <w:rFonts w:ascii="Arial" w:hAnsi="Arial" w:cs="Arial"/>
          <w:sz w:val="22"/>
          <w:szCs w:val="22"/>
        </w:rPr>
        <w:t xml:space="preserve"> made</w:t>
      </w:r>
      <w:bookmarkEnd w:id="692"/>
      <w:r w:rsidR="00C4298D">
        <w:rPr>
          <w:rFonts w:ascii="Arial" w:hAnsi="Arial" w:cs="Arial"/>
          <w:sz w:val="22"/>
          <w:szCs w:val="22"/>
        </w:rPr>
        <w:t xml:space="preserve"> via the Regulator’s disclosure platform.</w:t>
      </w:r>
      <w:bookmarkEnd w:id="693"/>
    </w:p>
    <w:p w14:paraId="03B6D898" w14:textId="1DCEE336" w:rsidR="003B6092" w:rsidRPr="00FB2F3D" w:rsidRDefault="00C4298D" w:rsidP="00C4298D">
      <w:pPr>
        <w:pStyle w:val="Heading4"/>
        <w:numPr>
          <w:ilvl w:val="0"/>
          <w:numId w:val="0"/>
        </w:numPr>
        <w:ind w:left="1440" w:hanging="731"/>
        <w:rPr>
          <w:rFonts w:ascii="Arial" w:hAnsi="Arial" w:cs="Arial"/>
          <w:sz w:val="22"/>
          <w:szCs w:val="22"/>
        </w:rPr>
      </w:pPr>
      <w:r>
        <w:rPr>
          <w:rFonts w:ascii="Arial" w:hAnsi="Arial" w:cs="Arial"/>
          <w:sz w:val="22"/>
          <w:szCs w:val="22"/>
        </w:rPr>
        <w:t>(2)</w:t>
      </w:r>
      <w:r>
        <w:rPr>
          <w:rFonts w:ascii="Arial" w:hAnsi="Arial" w:cs="Arial"/>
          <w:sz w:val="22"/>
          <w:szCs w:val="22"/>
        </w:rPr>
        <w:tab/>
      </w:r>
      <w:r w:rsidR="003B6092" w:rsidRPr="00FB2F3D">
        <w:rPr>
          <w:rFonts w:ascii="Arial" w:hAnsi="Arial" w:cs="Arial"/>
          <w:sz w:val="22"/>
          <w:szCs w:val="22"/>
        </w:rPr>
        <w:t xml:space="preserve">Without prejudice to its obligations relating to </w:t>
      </w:r>
      <w:r>
        <w:rPr>
          <w:rFonts w:ascii="Arial" w:hAnsi="Arial" w:cs="Arial"/>
          <w:sz w:val="22"/>
          <w:szCs w:val="22"/>
        </w:rPr>
        <w:t>D</w:t>
      </w:r>
      <w:r w:rsidR="003B6092" w:rsidRPr="00FB2F3D">
        <w:rPr>
          <w:rFonts w:ascii="Arial" w:hAnsi="Arial" w:cs="Arial"/>
          <w:sz w:val="22"/>
          <w:szCs w:val="22"/>
        </w:rPr>
        <w:t xml:space="preserve">isclosure, a Reporting Entity must take reasonable care to ensure that any information it is required to </w:t>
      </w:r>
      <w:r>
        <w:rPr>
          <w:rFonts w:ascii="Arial" w:hAnsi="Arial" w:cs="Arial"/>
          <w:sz w:val="22"/>
          <w:szCs w:val="22"/>
        </w:rPr>
        <w:t>D</w:t>
      </w:r>
      <w:r w:rsidR="003B6092" w:rsidRPr="00FB2F3D">
        <w:rPr>
          <w:rFonts w:ascii="Arial" w:hAnsi="Arial" w:cs="Arial"/>
          <w:sz w:val="22"/>
          <w:szCs w:val="22"/>
        </w:rPr>
        <w:t xml:space="preserve">isclose is clear, fair, and not </w:t>
      </w:r>
      <w:r w:rsidR="00EC3624" w:rsidRPr="00FB2F3D">
        <w:rPr>
          <w:rFonts w:ascii="Arial" w:hAnsi="Arial" w:cs="Arial"/>
          <w:sz w:val="22"/>
          <w:szCs w:val="22"/>
        </w:rPr>
        <w:t>false, misleading, or deceptive</w:t>
      </w:r>
      <w:r w:rsidR="003B6092" w:rsidRPr="00FB2F3D">
        <w:rPr>
          <w:rFonts w:ascii="Arial" w:hAnsi="Arial" w:cs="Arial"/>
          <w:sz w:val="22"/>
          <w:szCs w:val="22"/>
        </w:rPr>
        <w:t>.</w:t>
      </w:r>
    </w:p>
    <w:p w14:paraId="189FE43C" w14:textId="7D46363C" w:rsidR="003B6092" w:rsidRPr="00FB2F3D" w:rsidRDefault="00C4298D" w:rsidP="003B6092">
      <w:pPr>
        <w:pStyle w:val="Heading3"/>
        <w:rPr>
          <w:rFonts w:ascii="Arial" w:hAnsi="Arial" w:cs="Arial"/>
          <w:sz w:val="22"/>
          <w:szCs w:val="22"/>
        </w:rPr>
      </w:pPr>
      <w:r>
        <w:rPr>
          <w:rFonts w:ascii="Arial" w:hAnsi="Arial" w:cs="Arial"/>
          <w:sz w:val="22"/>
          <w:szCs w:val="22"/>
        </w:rPr>
        <w:t>[Deleted]</w:t>
      </w:r>
    </w:p>
    <w:p w14:paraId="4903A14C" w14:textId="23307948" w:rsidR="003B6092" w:rsidRDefault="003B6092" w:rsidP="003B6092">
      <w:pPr>
        <w:pStyle w:val="Heading3"/>
        <w:rPr>
          <w:rFonts w:ascii="Arial" w:hAnsi="Arial" w:cs="Arial"/>
          <w:sz w:val="22"/>
          <w:szCs w:val="22"/>
        </w:rPr>
      </w:pPr>
      <w:r w:rsidRPr="00FB2F3D">
        <w:rPr>
          <w:rFonts w:ascii="Arial" w:hAnsi="Arial" w:cs="Arial"/>
          <w:sz w:val="22"/>
          <w:szCs w:val="22"/>
        </w:rPr>
        <w:t xml:space="preserve">A Reporting Entity must retain on its website all information that has been </w:t>
      </w:r>
      <w:r w:rsidR="00C4298D">
        <w:rPr>
          <w:rFonts w:ascii="Arial" w:hAnsi="Arial" w:cs="Arial"/>
          <w:sz w:val="22"/>
          <w:szCs w:val="22"/>
        </w:rPr>
        <w:t>D</w:t>
      </w:r>
      <w:r w:rsidRPr="00FB2F3D">
        <w:rPr>
          <w:rFonts w:ascii="Arial" w:hAnsi="Arial" w:cs="Arial"/>
          <w:sz w:val="22"/>
          <w:szCs w:val="22"/>
        </w:rPr>
        <w:t>isclosed for a period of one year following publication.</w:t>
      </w:r>
    </w:p>
    <w:p w14:paraId="212F3C0F" w14:textId="34A15A63" w:rsidR="00C4298D" w:rsidRPr="00C4298D" w:rsidRDefault="00C4298D" w:rsidP="00C4298D">
      <w:pPr>
        <w:pStyle w:val="Heading2"/>
        <w:rPr>
          <w:rFonts w:ascii="Arial" w:hAnsi="Arial" w:cs="Arial"/>
          <w:sz w:val="22"/>
          <w:szCs w:val="22"/>
        </w:rPr>
      </w:pPr>
      <w:bookmarkStart w:id="694" w:name="_Toc60412613"/>
      <w:bookmarkStart w:id="695" w:name="_Toc138325699"/>
      <w:r w:rsidRPr="00C4298D">
        <w:rPr>
          <w:rFonts w:ascii="Arial" w:hAnsi="Arial" w:cs="Arial"/>
          <w:sz w:val="22"/>
          <w:szCs w:val="22"/>
        </w:rPr>
        <w:t>Trading Halts</w:t>
      </w:r>
      <w:bookmarkEnd w:id="694"/>
      <w:bookmarkEnd w:id="695"/>
      <w:r w:rsidRPr="00C4298D">
        <w:rPr>
          <w:rFonts w:ascii="Arial" w:hAnsi="Arial" w:cs="Arial"/>
          <w:sz w:val="22"/>
          <w:szCs w:val="22"/>
        </w:rPr>
        <w:t xml:space="preserve"> </w:t>
      </w:r>
    </w:p>
    <w:p w14:paraId="2C1FD69B" w14:textId="77777777" w:rsidR="00C4298D" w:rsidRPr="00C4298D" w:rsidRDefault="00C4298D" w:rsidP="00C4298D">
      <w:pPr>
        <w:pStyle w:val="Heading3"/>
        <w:numPr>
          <w:ilvl w:val="0"/>
          <w:numId w:val="0"/>
        </w:numPr>
        <w:ind w:left="709" w:hanging="709"/>
        <w:rPr>
          <w:rFonts w:ascii="Arial" w:hAnsi="Arial" w:cs="Arial"/>
          <w:sz w:val="22"/>
          <w:szCs w:val="22"/>
        </w:rPr>
      </w:pPr>
      <w:r w:rsidRPr="00C4298D">
        <w:rPr>
          <w:rFonts w:ascii="Arial" w:hAnsi="Arial" w:cs="Arial"/>
          <w:b/>
          <w:bCs w:val="0"/>
          <w:sz w:val="22"/>
          <w:szCs w:val="22"/>
        </w:rPr>
        <w:t>7.8.1</w:t>
      </w:r>
      <w:r w:rsidRPr="00C4298D">
        <w:rPr>
          <w:rFonts w:ascii="Arial" w:hAnsi="Arial" w:cs="Arial"/>
          <w:sz w:val="22"/>
          <w:szCs w:val="22"/>
        </w:rPr>
        <w:tab/>
        <w:t>The Regulator may, at any time and upon the request of a Reporting Entity, halt trading on a Recognised Investment Exchange of Securities of a Listed Entity to enable the Listed Entity time to Disclose Inside information.</w:t>
      </w:r>
    </w:p>
    <w:p w14:paraId="5C78B2E7" w14:textId="77777777" w:rsidR="00C4298D" w:rsidRPr="00C4298D" w:rsidRDefault="00C4298D" w:rsidP="00C4298D">
      <w:pPr>
        <w:pStyle w:val="TitleL"/>
        <w:rPr>
          <w:rFonts w:ascii="Arial" w:hAnsi="Arial" w:cs="Arial"/>
          <w:sz w:val="22"/>
          <w:szCs w:val="22"/>
        </w:rPr>
      </w:pPr>
      <w:r w:rsidRPr="00C4298D">
        <w:rPr>
          <w:rFonts w:ascii="Arial" w:hAnsi="Arial" w:cs="Arial"/>
          <w:sz w:val="22"/>
          <w:szCs w:val="22"/>
        </w:rPr>
        <w:lastRenderedPageBreak/>
        <w:t>Guidance</w:t>
      </w:r>
    </w:p>
    <w:p w14:paraId="1D742368" w14:textId="071DA55C" w:rsidR="00C4298D" w:rsidRPr="00C4298D" w:rsidRDefault="00C4298D" w:rsidP="00C4298D">
      <w:pPr>
        <w:pStyle w:val="Heading5"/>
        <w:numPr>
          <w:ilvl w:val="0"/>
          <w:numId w:val="0"/>
        </w:numPr>
        <w:ind w:left="709"/>
        <w:rPr>
          <w:rFonts w:ascii="Arial" w:hAnsi="Arial" w:cs="Arial"/>
          <w:sz w:val="22"/>
          <w:szCs w:val="22"/>
        </w:rPr>
      </w:pPr>
      <w:bookmarkStart w:id="696" w:name="_Toc55805631"/>
      <w:r w:rsidRPr="00C4298D">
        <w:rPr>
          <w:rFonts w:ascii="Arial" w:hAnsi="Arial" w:cs="Arial"/>
          <w:sz w:val="22"/>
          <w:szCs w:val="22"/>
        </w:rPr>
        <w:t>The Regulator is not obliged to act upon any request by a Reporting Entity to halt trading.</w:t>
      </w:r>
      <w:bookmarkEnd w:id="696"/>
    </w:p>
    <w:p w14:paraId="0B7F1E4F" w14:textId="01460B5E" w:rsidR="00C4298D" w:rsidRPr="00C4298D" w:rsidRDefault="00C4298D" w:rsidP="00C4298D">
      <w:pPr>
        <w:pStyle w:val="Heading3"/>
        <w:numPr>
          <w:ilvl w:val="0"/>
          <w:numId w:val="0"/>
        </w:numPr>
        <w:ind w:left="709" w:hanging="709"/>
        <w:rPr>
          <w:rFonts w:ascii="Arial" w:hAnsi="Arial" w:cs="Arial"/>
          <w:sz w:val="22"/>
          <w:szCs w:val="22"/>
        </w:rPr>
      </w:pPr>
      <w:r w:rsidRPr="00C4298D">
        <w:rPr>
          <w:rFonts w:ascii="Arial" w:hAnsi="Arial" w:cs="Arial"/>
          <w:b/>
          <w:bCs w:val="0"/>
          <w:sz w:val="22"/>
          <w:szCs w:val="22"/>
        </w:rPr>
        <w:t>7.8.2</w:t>
      </w:r>
      <w:r w:rsidRPr="00C4298D">
        <w:rPr>
          <w:rFonts w:ascii="Arial" w:hAnsi="Arial" w:cs="Arial"/>
          <w:sz w:val="22"/>
          <w:szCs w:val="22"/>
        </w:rPr>
        <w:tab/>
        <w:t>A Trading Halt imposed pursuant to Rule 7.8.1 cannot exceed</w:t>
      </w:r>
      <w:r w:rsidR="00BF389F">
        <w:rPr>
          <w:rFonts w:ascii="Arial" w:hAnsi="Arial" w:cs="Arial"/>
          <w:sz w:val="22"/>
          <w:szCs w:val="22"/>
        </w:rPr>
        <w:t xml:space="preserve"> two</w:t>
      </w:r>
      <w:r w:rsidRPr="00C4298D">
        <w:rPr>
          <w:rFonts w:ascii="Arial" w:hAnsi="Arial" w:cs="Arial"/>
          <w:sz w:val="22"/>
          <w:szCs w:val="22"/>
        </w:rPr>
        <w:t xml:space="preserve"> Business Days or such shorter period as the Regulator agrees. </w:t>
      </w:r>
    </w:p>
    <w:p w14:paraId="26BA61CA" w14:textId="77777777" w:rsidR="00C4298D" w:rsidRPr="00C4298D" w:rsidRDefault="00C4298D" w:rsidP="00C4298D">
      <w:pPr>
        <w:pStyle w:val="Heading3"/>
        <w:numPr>
          <w:ilvl w:val="0"/>
          <w:numId w:val="0"/>
        </w:numPr>
        <w:ind w:left="709" w:hanging="709"/>
        <w:rPr>
          <w:rFonts w:ascii="Arial" w:hAnsi="Arial" w:cs="Arial"/>
          <w:sz w:val="22"/>
          <w:szCs w:val="22"/>
        </w:rPr>
      </w:pPr>
      <w:r w:rsidRPr="00C4298D">
        <w:rPr>
          <w:rFonts w:ascii="Arial" w:hAnsi="Arial" w:cs="Arial"/>
          <w:b/>
          <w:bCs w:val="0"/>
          <w:sz w:val="22"/>
          <w:szCs w:val="22"/>
        </w:rPr>
        <w:t>7.8.3</w:t>
      </w:r>
      <w:r w:rsidRPr="00C4298D">
        <w:rPr>
          <w:rFonts w:ascii="Arial" w:hAnsi="Arial" w:cs="Arial"/>
          <w:sz w:val="22"/>
          <w:szCs w:val="22"/>
        </w:rPr>
        <w:tab/>
        <w:t>The Regulator may impose a suspension in accordance with Rule 2.6 upon completion of the duration of the Trading Halt established under Rule 7.8.2, or at any time during the Trading Halt established under Rule 7.8.1.</w:t>
      </w:r>
    </w:p>
    <w:p w14:paraId="2B4FAFBC" w14:textId="77777777" w:rsidR="003B6092" w:rsidRPr="00FB2F3D" w:rsidRDefault="003B6092" w:rsidP="003B6092">
      <w:pPr>
        <w:pStyle w:val="Heading1"/>
        <w:rPr>
          <w:rFonts w:ascii="Arial" w:hAnsi="Arial" w:cs="Arial"/>
          <w:sz w:val="22"/>
          <w:szCs w:val="22"/>
        </w:rPr>
      </w:pPr>
      <w:bookmarkStart w:id="697" w:name="_Toc409521864"/>
      <w:bookmarkStart w:id="698" w:name="_Ref410075279"/>
      <w:bookmarkStart w:id="699" w:name="_Toc410136261"/>
      <w:bookmarkStart w:id="700" w:name="_Toc410605970"/>
      <w:bookmarkStart w:id="701" w:name="_Toc410658906"/>
      <w:bookmarkStart w:id="702" w:name="_Toc410659033"/>
      <w:bookmarkStart w:id="703" w:name="_Ref410664808"/>
      <w:bookmarkStart w:id="704" w:name="_Toc410835580"/>
      <w:bookmarkStart w:id="705" w:name="_Ref416750980"/>
      <w:bookmarkStart w:id="706" w:name="_Toc138325700"/>
      <w:r w:rsidRPr="00FB2F3D">
        <w:rPr>
          <w:rFonts w:ascii="Arial" w:hAnsi="Arial" w:cs="Arial"/>
          <w:sz w:val="22"/>
          <w:szCs w:val="22"/>
        </w:rPr>
        <w:t>SYSTEMS AND CONTROLS</w:t>
      </w:r>
      <w:bookmarkEnd w:id="697"/>
      <w:bookmarkEnd w:id="698"/>
      <w:bookmarkEnd w:id="699"/>
      <w:bookmarkEnd w:id="700"/>
      <w:bookmarkEnd w:id="701"/>
      <w:bookmarkEnd w:id="702"/>
      <w:bookmarkEnd w:id="703"/>
      <w:bookmarkEnd w:id="704"/>
      <w:bookmarkEnd w:id="705"/>
      <w:bookmarkEnd w:id="706"/>
    </w:p>
    <w:p w14:paraId="2B1591F2" w14:textId="77777777" w:rsidR="003B6092" w:rsidRPr="00FB2F3D" w:rsidRDefault="003B6092" w:rsidP="003B6092">
      <w:pPr>
        <w:pStyle w:val="Heading2"/>
        <w:rPr>
          <w:rFonts w:ascii="Arial" w:hAnsi="Arial" w:cs="Arial"/>
          <w:sz w:val="22"/>
          <w:szCs w:val="22"/>
        </w:rPr>
      </w:pPr>
      <w:bookmarkStart w:id="707" w:name="_Toc409521865"/>
      <w:bookmarkStart w:id="708" w:name="_Toc410136262"/>
      <w:bookmarkStart w:id="709" w:name="_Toc410605971"/>
      <w:bookmarkStart w:id="710" w:name="_Toc410658907"/>
      <w:bookmarkStart w:id="711" w:name="_Toc410659034"/>
      <w:bookmarkStart w:id="712" w:name="_Toc410835581"/>
      <w:bookmarkStart w:id="713" w:name="_Toc138325701"/>
      <w:r w:rsidRPr="00FB2F3D">
        <w:rPr>
          <w:rFonts w:ascii="Arial" w:hAnsi="Arial" w:cs="Arial"/>
          <w:sz w:val="22"/>
          <w:szCs w:val="22"/>
        </w:rPr>
        <w:t>Application</w:t>
      </w:r>
      <w:bookmarkEnd w:id="707"/>
      <w:bookmarkEnd w:id="708"/>
      <w:bookmarkEnd w:id="709"/>
      <w:bookmarkEnd w:id="710"/>
      <w:bookmarkEnd w:id="711"/>
      <w:bookmarkEnd w:id="712"/>
      <w:bookmarkEnd w:id="713"/>
    </w:p>
    <w:p w14:paraId="758CB1CD" w14:textId="77777777" w:rsidR="003B6092" w:rsidRPr="00FB2F3D" w:rsidRDefault="003B6092" w:rsidP="003B6092">
      <w:pPr>
        <w:pStyle w:val="Heading3"/>
        <w:keepNext/>
        <w:rPr>
          <w:rFonts w:ascii="Arial" w:hAnsi="Arial" w:cs="Arial"/>
          <w:sz w:val="22"/>
          <w:szCs w:val="22"/>
        </w:rPr>
      </w:pPr>
      <w:r w:rsidRPr="00FB2F3D">
        <w:rPr>
          <w:rFonts w:ascii="Arial" w:hAnsi="Arial" w:cs="Arial"/>
          <w:sz w:val="22"/>
          <w:szCs w:val="22"/>
        </w:rPr>
        <w:t>This chapter applies to:</w:t>
      </w:r>
    </w:p>
    <w:p w14:paraId="318DEADA" w14:textId="220BA331" w:rsidR="003B6092" w:rsidRPr="00FB2F3D" w:rsidRDefault="003B6092" w:rsidP="00424270">
      <w:pPr>
        <w:pStyle w:val="Heading4"/>
        <w:rPr>
          <w:rFonts w:ascii="Arial" w:hAnsi="Arial" w:cs="Arial"/>
          <w:sz w:val="22"/>
          <w:szCs w:val="22"/>
        </w:rPr>
      </w:pPr>
      <w:r w:rsidRPr="00FB2F3D">
        <w:rPr>
          <w:rFonts w:ascii="Arial" w:hAnsi="Arial" w:cs="Arial"/>
          <w:sz w:val="22"/>
          <w:szCs w:val="22"/>
        </w:rPr>
        <w:t xml:space="preserve">every </w:t>
      </w:r>
      <w:r w:rsidR="00C4298D">
        <w:rPr>
          <w:rFonts w:ascii="Arial" w:hAnsi="Arial" w:cs="Arial"/>
          <w:sz w:val="22"/>
          <w:szCs w:val="22"/>
        </w:rPr>
        <w:t xml:space="preserve">Listed Entity and </w:t>
      </w:r>
      <w:r w:rsidRPr="00FB2F3D">
        <w:rPr>
          <w:rFonts w:ascii="Arial" w:hAnsi="Arial" w:cs="Arial"/>
          <w:sz w:val="22"/>
          <w:szCs w:val="22"/>
        </w:rPr>
        <w:t>Reporting Entity;</w:t>
      </w:r>
      <w:r w:rsidR="001F793D" w:rsidRPr="00FB2F3D">
        <w:rPr>
          <w:rFonts w:ascii="Arial" w:hAnsi="Arial" w:cs="Arial"/>
          <w:sz w:val="22"/>
          <w:szCs w:val="22"/>
        </w:rPr>
        <w:t xml:space="preserve"> and</w:t>
      </w:r>
    </w:p>
    <w:p w14:paraId="3E7B0D90" w14:textId="77777777" w:rsidR="007F3FD0" w:rsidRDefault="003B6092" w:rsidP="00424270">
      <w:pPr>
        <w:pStyle w:val="Heading4"/>
        <w:rPr>
          <w:rFonts w:ascii="Arial" w:hAnsi="Arial" w:cs="Arial"/>
          <w:sz w:val="22"/>
          <w:szCs w:val="22"/>
        </w:rPr>
      </w:pPr>
      <w:r w:rsidRPr="00FB2F3D">
        <w:rPr>
          <w:rFonts w:ascii="Arial" w:hAnsi="Arial" w:cs="Arial"/>
          <w:sz w:val="22"/>
          <w:szCs w:val="22"/>
        </w:rPr>
        <w:t xml:space="preserve">the Board or the Governing Body of a </w:t>
      </w:r>
      <w:r w:rsidR="00C4298D">
        <w:rPr>
          <w:rFonts w:ascii="Arial" w:hAnsi="Arial" w:cs="Arial"/>
          <w:sz w:val="22"/>
          <w:szCs w:val="22"/>
        </w:rPr>
        <w:t xml:space="preserve">Listed Entity and </w:t>
      </w:r>
      <w:r w:rsidRPr="00FB2F3D">
        <w:rPr>
          <w:rFonts w:ascii="Arial" w:hAnsi="Arial" w:cs="Arial"/>
          <w:sz w:val="22"/>
          <w:szCs w:val="22"/>
        </w:rPr>
        <w:t>Reporting Entity</w:t>
      </w:r>
      <w:r w:rsidR="00C4298D">
        <w:rPr>
          <w:rFonts w:ascii="Arial" w:hAnsi="Arial" w:cs="Arial"/>
          <w:sz w:val="22"/>
          <w:szCs w:val="22"/>
        </w:rPr>
        <w:t xml:space="preserve">, </w:t>
      </w:r>
    </w:p>
    <w:p w14:paraId="2C777DE5" w14:textId="0CB98048" w:rsidR="003B6092" w:rsidRPr="00FB2F3D" w:rsidRDefault="007F3FD0" w:rsidP="007F3FD0">
      <w:pPr>
        <w:pStyle w:val="Heading4"/>
        <w:numPr>
          <w:ilvl w:val="0"/>
          <w:numId w:val="0"/>
        </w:numPr>
        <w:ind w:left="1440"/>
        <w:rPr>
          <w:rFonts w:ascii="Arial" w:hAnsi="Arial" w:cs="Arial"/>
          <w:sz w:val="22"/>
          <w:szCs w:val="22"/>
        </w:rPr>
      </w:pPr>
      <w:r>
        <w:rPr>
          <w:rFonts w:ascii="Arial" w:hAnsi="Arial" w:cs="Arial"/>
          <w:sz w:val="22"/>
          <w:szCs w:val="22"/>
        </w:rPr>
        <w:t>as applicable</w:t>
      </w:r>
      <w:r w:rsidR="003B6092" w:rsidRPr="00FB2F3D">
        <w:rPr>
          <w:rFonts w:ascii="Arial" w:hAnsi="Arial" w:cs="Arial"/>
          <w:sz w:val="22"/>
          <w:szCs w:val="22"/>
        </w:rPr>
        <w:t>.</w:t>
      </w:r>
    </w:p>
    <w:p w14:paraId="7F2585B7" w14:textId="77777777" w:rsidR="003B6092" w:rsidRPr="00FB2F3D" w:rsidRDefault="003B6092" w:rsidP="003B6092">
      <w:pPr>
        <w:pStyle w:val="TitleL"/>
        <w:rPr>
          <w:rFonts w:ascii="Arial" w:hAnsi="Arial" w:cs="Arial"/>
          <w:sz w:val="22"/>
          <w:szCs w:val="22"/>
        </w:rPr>
      </w:pPr>
      <w:r w:rsidRPr="00FB2F3D">
        <w:rPr>
          <w:rFonts w:ascii="Arial" w:hAnsi="Arial" w:cs="Arial"/>
          <w:sz w:val="22"/>
          <w:szCs w:val="22"/>
        </w:rPr>
        <w:t>Adequacy of systems and controls</w:t>
      </w:r>
    </w:p>
    <w:p w14:paraId="5D87C147" w14:textId="77777777" w:rsidR="003B6092" w:rsidRPr="00FB2F3D" w:rsidRDefault="007441BA" w:rsidP="003B6092">
      <w:pPr>
        <w:pStyle w:val="Heading3"/>
        <w:ind w:left="1440" w:hanging="1440"/>
        <w:rPr>
          <w:rFonts w:ascii="Arial" w:hAnsi="Arial" w:cs="Arial"/>
          <w:sz w:val="22"/>
          <w:szCs w:val="22"/>
        </w:rPr>
      </w:pPr>
      <w:r w:rsidRPr="00FB2F3D">
        <w:rPr>
          <w:rFonts w:ascii="Arial" w:hAnsi="Arial" w:cs="Arial"/>
          <w:sz w:val="22"/>
          <w:szCs w:val="22"/>
        </w:rPr>
        <w:t>(1)</w:t>
      </w:r>
      <w:r w:rsidR="003B6092" w:rsidRPr="00FB2F3D">
        <w:rPr>
          <w:rFonts w:ascii="Arial" w:hAnsi="Arial" w:cs="Arial"/>
          <w:sz w:val="22"/>
          <w:szCs w:val="22"/>
        </w:rPr>
        <w:tab/>
        <w:t>A Reporting Entity must have appropriate systems and controls to be able to demonstrate compliance with the requirements applicable to it including those set out in the FSMR and these Rules.</w:t>
      </w:r>
    </w:p>
    <w:p w14:paraId="3C0EAE1D" w14:textId="77777777" w:rsidR="003B6092" w:rsidRPr="00FB2F3D" w:rsidRDefault="0006394F" w:rsidP="0006394F">
      <w:pPr>
        <w:pStyle w:val="Heading4"/>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3B6092" w:rsidRPr="00FB2F3D">
        <w:rPr>
          <w:rFonts w:ascii="Arial" w:hAnsi="Arial" w:cs="Arial"/>
          <w:sz w:val="22"/>
          <w:szCs w:val="22"/>
        </w:rPr>
        <w:t>The Board of the Reporting Entity, and in the case of a Reporting Entity of a Listed Fund, its Governing Body, must ensure that that there are adequate systems and controls established and maintained on an on</w:t>
      </w:r>
      <w:r w:rsidR="003B6092" w:rsidRPr="00FB2F3D">
        <w:rPr>
          <w:rFonts w:ascii="Arial" w:hAnsi="Arial" w:cs="Arial"/>
          <w:sz w:val="22"/>
          <w:szCs w:val="22"/>
        </w:rPr>
        <w:noBreakHyphen/>
        <w:t xml:space="preserve">going basis to meet the requirement in </w:t>
      </w:r>
      <w:r w:rsidR="00693841" w:rsidRPr="00FB2F3D">
        <w:rPr>
          <w:rFonts w:ascii="Arial" w:hAnsi="Arial" w:cs="Arial"/>
          <w:sz w:val="22"/>
          <w:szCs w:val="22"/>
        </w:rPr>
        <w:t>(1)</w:t>
      </w:r>
      <w:r w:rsidR="003B6092" w:rsidRPr="00FB2F3D">
        <w:rPr>
          <w:rFonts w:ascii="Arial" w:hAnsi="Arial" w:cs="Arial"/>
          <w:sz w:val="22"/>
          <w:szCs w:val="22"/>
        </w:rPr>
        <w:t>.</w:t>
      </w:r>
    </w:p>
    <w:p w14:paraId="1A3A68E7" w14:textId="77777777" w:rsidR="003B6092" w:rsidRPr="00FB2F3D" w:rsidRDefault="0006394F" w:rsidP="0006394F">
      <w:pPr>
        <w:pStyle w:val="Heading4"/>
        <w:numPr>
          <w:ilvl w:val="0"/>
          <w:numId w:val="0"/>
        </w:numPr>
        <w:ind w:left="1440" w:hanging="720"/>
        <w:rPr>
          <w:rFonts w:ascii="Arial" w:hAnsi="Arial" w:cs="Arial"/>
          <w:sz w:val="22"/>
          <w:szCs w:val="22"/>
        </w:rPr>
      </w:pPr>
      <w:r w:rsidRPr="00FB2F3D">
        <w:rPr>
          <w:rFonts w:ascii="Arial" w:hAnsi="Arial" w:cs="Arial"/>
          <w:sz w:val="22"/>
          <w:szCs w:val="22"/>
        </w:rPr>
        <w:t>(3)</w:t>
      </w:r>
      <w:r w:rsidRPr="00FB2F3D">
        <w:rPr>
          <w:rFonts w:ascii="Arial" w:hAnsi="Arial" w:cs="Arial"/>
          <w:sz w:val="22"/>
          <w:szCs w:val="22"/>
        </w:rPr>
        <w:tab/>
      </w:r>
      <w:r w:rsidR="003B6092" w:rsidRPr="00FB2F3D">
        <w:rPr>
          <w:rFonts w:ascii="Arial" w:hAnsi="Arial" w:cs="Arial"/>
          <w:sz w:val="22"/>
          <w:szCs w:val="22"/>
        </w:rPr>
        <w:t xml:space="preserve">Without limiting the generality of the requirement in </w:t>
      </w:r>
      <w:r w:rsidR="00693841" w:rsidRPr="00FB2F3D">
        <w:rPr>
          <w:rFonts w:ascii="Arial" w:hAnsi="Arial" w:cs="Arial"/>
          <w:sz w:val="22"/>
          <w:szCs w:val="22"/>
        </w:rPr>
        <w:t>(1)</w:t>
      </w:r>
      <w:r w:rsidR="003B6092" w:rsidRPr="00FB2F3D">
        <w:rPr>
          <w:rFonts w:ascii="Arial" w:hAnsi="Arial" w:cs="Arial"/>
          <w:sz w:val="22"/>
          <w:szCs w:val="22"/>
        </w:rPr>
        <w:t>, the systems and controls of a Reporting Entity must include:</w:t>
      </w:r>
    </w:p>
    <w:p w14:paraId="4DD71BA4"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mechanisms to monitor compliance with the requirements relating to Corporate Governance, Connected Persons, Restricted Persons, or Related Parties as is relevant, and control of Inside Information; and</w:t>
      </w:r>
    </w:p>
    <w:p w14:paraId="504C457C" w14:textId="77777777" w:rsidR="003B6092" w:rsidRPr="00FB2F3D" w:rsidRDefault="003B6092" w:rsidP="003B6092">
      <w:pPr>
        <w:pStyle w:val="Heading5"/>
        <w:rPr>
          <w:rFonts w:ascii="Arial" w:hAnsi="Arial" w:cs="Arial"/>
          <w:sz w:val="22"/>
          <w:szCs w:val="22"/>
        </w:rPr>
      </w:pPr>
      <w:r w:rsidRPr="00FB2F3D">
        <w:rPr>
          <w:rFonts w:ascii="Arial" w:hAnsi="Arial" w:cs="Arial"/>
          <w:sz w:val="22"/>
          <w:szCs w:val="22"/>
        </w:rPr>
        <w:t>where any records are required to be maintained, maintenance of such records at least for a period of six years, unless a shorter period is prescribed.</w:t>
      </w:r>
    </w:p>
    <w:p w14:paraId="191276E6" w14:textId="77777777" w:rsidR="003B6092" w:rsidRPr="00FB2F3D" w:rsidRDefault="0006394F" w:rsidP="0006394F">
      <w:pPr>
        <w:pStyle w:val="Heading4"/>
        <w:numPr>
          <w:ilvl w:val="0"/>
          <w:numId w:val="0"/>
        </w:numPr>
        <w:ind w:left="1440" w:hanging="720"/>
        <w:rPr>
          <w:rFonts w:ascii="Arial" w:hAnsi="Arial" w:cs="Arial"/>
          <w:sz w:val="22"/>
          <w:szCs w:val="22"/>
        </w:rPr>
      </w:pPr>
      <w:r w:rsidRPr="00FB2F3D">
        <w:rPr>
          <w:rFonts w:ascii="Arial" w:hAnsi="Arial" w:cs="Arial"/>
          <w:sz w:val="22"/>
          <w:szCs w:val="22"/>
        </w:rPr>
        <w:t>(4)</w:t>
      </w:r>
      <w:r w:rsidRPr="00FB2F3D">
        <w:rPr>
          <w:rFonts w:ascii="Arial" w:hAnsi="Arial" w:cs="Arial"/>
          <w:sz w:val="22"/>
          <w:szCs w:val="22"/>
        </w:rPr>
        <w:tab/>
      </w:r>
      <w:r w:rsidR="003B6092" w:rsidRPr="00FB2F3D">
        <w:rPr>
          <w:rFonts w:ascii="Arial" w:hAnsi="Arial" w:cs="Arial"/>
          <w:sz w:val="22"/>
          <w:szCs w:val="22"/>
        </w:rPr>
        <w:t>The Regulator may, where it considers appropriate to do so, require a Reporting Entity to produce third party confirmation on the adequacy of systems and controls established and maintained by a Reporting Entity.</w:t>
      </w:r>
    </w:p>
    <w:p w14:paraId="746808A7" w14:textId="77777777" w:rsidR="00162E0C" w:rsidRPr="00FB2F3D" w:rsidRDefault="00185E29" w:rsidP="00222FEC">
      <w:pPr>
        <w:pStyle w:val="Heading1"/>
        <w:rPr>
          <w:rFonts w:ascii="Arial" w:hAnsi="Arial" w:cs="Arial"/>
          <w:sz w:val="22"/>
          <w:szCs w:val="22"/>
        </w:rPr>
      </w:pPr>
      <w:bookmarkStart w:id="714" w:name="_Ref422757785"/>
      <w:bookmarkStart w:id="715" w:name="_Toc138325702"/>
      <w:r w:rsidRPr="00FB2F3D">
        <w:rPr>
          <w:rFonts w:ascii="Arial" w:hAnsi="Arial" w:cs="Arial"/>
          <w:caps w:val="0"/>
          <w:sz w:val="22"/>
          <w:szCs w:val="22"/>
        </w:rPr>
        <w:t xml:space="preserve">GOVERNANCE OF </w:t>
      </w:r>
      <w:bookmarkEnd w:id="529"/>
      <w:bookmarkEnd w:id="530"/>
      <w:bookmarkEnd w:id="531"/>
      <w:bookmarkEnd w:id="532"/>
      <w:bookmarkEnd w:id="533"/>
      <w:bookmarkEnd w:id="534"/>
      <w:bookmarkEnd w:id="535"/>
      <w:bookmarkEnd w:id="536"/>
      <w:bookmarkEnd w:id="537"/>
      <w:bookmarkEnd w:id="538"/>
      <w:bookmarkEnd w:id="539"/>
      <w:bookmarkEnd w:id="540"/>
      <w:bookmarkEnd w:id="541"/>
      <w:r w:rsidRPr="00FB2F3D">
        <w:rPr>
          <w:rFonts w:ascii="Arial" w:hAnsi="Arial" w:cs="Arial"/>
          <w:caps w:val="0"/>
          <w:sz w:val="22"/>
          <w:szCs w:val="22"/>
        </w:rPr>
        <w:t>REPORTING ENTITIES</w:t>
      </w:r>
      <w:bookmarkEnd w:id="714"/>
      <w:bookmarkEnd w:id="715"/>
    </w:p>
    <w:p w14:paraId="5620EA39"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47C67AC7" w14:textId="77777777" w:rsidR="00162E0C" w:rsidRPr="00FB2F3D" w:rsidRDefault="00162E0C" w:rsidP="006207B8">
      <w:pPr>
        <w:pStyle w:val="UK12Block05"/>
        <w:rPr>
          <w:rFonts w:ascii="Arial" w:hAnsi="Arial" w:cs="Arial"/>
          <w:sz w:val="22"/>
          <w:szCs w:val="22"/>
        </w:rPr>
      </w:pPr>
      <w:r w:rsidRPr="00FB2F3D">
        <w:rPr>
          <w:rFonts w:ascii="Arial" w:hAnsi="Arial" w:cs="Arial"/>
          <w:sz w:val="22"/>
          <w:szCs w:val="22"/>
        </w:rPr>
        <w:t>Governance requirements set out under this</w:t>
      </w:r>
      <w:r w:rsidR="002455EB" w:rsidRPr="00FB2F3D">
        <w:rPr>
          <w:rFonts w:ascii="Arial" w:hAnsi="Arial" w:cs="Arial"/>
          <w:sz w:val="22"/>
          <w:szCs w:val="22"/>
        </w:rPr>
        <w:t xml:space="preserve"> chapter</w:t>
      </w:r>
      <w:r w:rsidRPr="00FB2F3D">
        <w:rPr>
          <w:rFonts w:ascii="Arial" w:hAnsi="Arial" w:cs="Arial"/>
          <w:sz w:val="22"/>
          <w:szCs w:val="22"/>
        </w:rPr>
        <w:t xml:space="preserve"> are designed for the purposes of section </w:t>
      </w:r>
      <w:r w:rsidR="00A64301" w:rsidRPr="00FB2F3D">
        <w:rPr>
          <w:rFonts w:ascii="Arial" w:hAnsi="Arial" w:cs="Arial"/>
          <w:sz w:val="22"/>
          <w:szCs w:val="22"/>
        </w:rPr>
        <w:t>73</w:t>
      </w:r>
      <w:r w:rsidRPr="00FB2F3D">
        <w:rPr>
          <w:rFonts w:ascii="Arial" w:hAnsi="Arial" w:cs="Arial"/>
          <w:sz w:val="22"/>
          <w:szCs w:val="22"/>
        </w:rPr>
        <w:t xml:space="preserve"> of the FSMR.</w:t>
      </w:r>
    </w:p>
    <w:p w14:paraId="2460F79E" w14:textId="77777777" w:rsidR="00162E0C" w:rsidRPr="00FB2F3D" w:rsidRDefault="00162E0C" w:rsidP="0061693E">
      <w:pPr>
        <w:pStyle w:val="Heading2"/>
        <w:rPr>
          <w:rFonts w:ascii="Arial" w:hAnsi="Arial" w:cs="Arial"/>
          <w:sz w:val="22"/>
          <w:szCs w:val="22"/>
        </w:rPr>
      </w:pPr>
      <w:bookmarkStart w:id="716" w:name="_Toc409521833"/>
      <w:bookmarkStart w:id="717" w:name="_Toc410136230"/>
      <w:bookmarkStart w:id="718" w:name="_Toc410605939"/>
      <w:bookmarkStart w:id="719" w:name="_Toc410658875"/>
      <w:bookmarkStart w:id="720" w:name="_Toc410659002"/>
      <w:bookmarkStart w:id="721" w:name="_Toc410835549"/>
      <w:bookmarkStart w:id="722" w:name="_Toc138325703"/>
      <w:r w:rsidRPr="00FB2F3D">
        <w:rPr>
          <w:rFonts w:ascii="Arial" w:hAnsi="Arial" w:cs="Arial"/>
          <w:sz w:val="22"/>
          <w:szCs w:val="22"/>
        </w:rPr>
        <w:lastRenderedPageBreak/>
        <w:t>Application</w:t>
      </w:r>
      <w:bookmarkEnd w:id="716"/>
      <w:bookmarkEnd w:id="717"/>
      <w:bookmarkEnd w:id="718"/>
      <w:bookmarkEnd w:id="719"/>
      <w:bookmarkEnd w:id="720"/>
      <w:bookmarkEnd w:id="721"/>
      <w:bookmarkEnd w:id="722"/>
    </w:p>
    <w:p w14:paraId="37081B47" w14:textId="77777777" w:rsidR="00162E0C" w:rsidRPr="00FB2F3D" w:rsidRDefault="007441BA" w:rsidP="00222FEC">
      <w:pPr>
        <w:pStyle w:val="Heading3"/>
        <w:ind w:left="1440" w:hanging="1440"/>
        <w:rPr>
          <w:rFonts w:ascii="Arial" w:hAnsi="Arial" w:cs="Arial"/>
          <w:sz w:val="22"/>
          <w:szCs w:val="22"/>
        </w:rPr>
      </w:pPr>
      <w:r w:rsidRPr="00FB2F3D">
        <w:rPr>
          <w:rFonts w:ascii="Arial" w:hAnsi="Arial" w:cs="Arial"/>
          <w:sz w:val="22"/>
          <w:szCs w:val="22"/>
        </w:rPr>
        <w:t>(1)</w:t>
      </w:r>
      <w:r w:rsidR="00384E67" w:rsidRPr="00FB2F3D">
        <w:rPr>
          <w:rFonts w:ascii="Arial" w:hAnsi="Arial" w:cs="Arial"/>
          <w:sz w:val="22"/>
          <w:szCs w:val="22"/>
        </w:rPr>
        <w:tab/>
      </w:r>
      <w:r w:rsidR="00162E0C" w:rsidRPr="00FB2F3D">
        <w:rPr>
          <w:rFonts w:ascii="Arial" w:hAnsi="Arial" w:cs="Arial"/>
          <w:sz w:val="22"/>
          <w:szCs w:val="22"/>
        </w:rPr>
        <w:t>This chapter</w:t>
      </w:r>
      <w:r w:rsidR="005151DC" w:rsidRPr="00FB2F3D">
        <w:rPr>
          <w:rFonts w:ascii="Arial" w:hAnsi="Arial" w:cs="Arial"/>
          <w:sz w:val="22"/>
          <w:szCs w:val="22"/>
        </w:rPr>
        <w:t xml:space="preserve"> </w:t>
      </w:r>
      <w:r w:rsidR="00162E0C" w:rsidRPr="00FB2F3D">
        <w:rPr>
          <w:rFonts w:ascii="Arial" w:hAnsi="Arial" w:cs="Arial"/>
          <w:sz w:val="22"/>
          <w:szCs w:val="22"/>
        </w:rPr>
        <w:t xml:space="preserve">applies to every </w:t>
      </w:r>
      <w:r w:rsidR="00222FEC" w:rsidRPr="00FB2F3D">
        <w:rPr>
          <w:rFonts w:ascii="Arial" w:hAnsi="Arial" w:cs="Arial"/>
          <w:sz w:val="22"/>
          <w:szCs w:val="22"/>
        </w:rPr>
        <w:t>Reporting Entity</w:t>
      </w:r>
      <w:r w:rsidR="00162E0C" w:rsidRPr="00FB2F3D">
        <w:rPr>
          <w:rFonts w:ascii="Arial" w:hAnsi="Arial" w:cs="Arial"/>
          <w:sz w:val="22"/>
          <w:szCs w:val="22"/>
        </w:rPr>
        <w:t xml:space="preserve"> except where a narrower </w:t>
      </w:r>
      <w:r w:rsidR="00447121" w:rsidRPr="00FB2F3D">
        <w:rPr>
          <w:rFonts w:ascii="Arial" w:hAnsi="Arial" w:cs="Arial"/>
          <w:sz w:val="22"/>
          <w:szCs w:val="22"/>
        </w:rPr>
        <w:t>application</w:t>
      </w:r>
      <w:r w:rsidR="00162E0C" w:rsidRPr="00FB2F3D">
        <w:rPr>
          <w:rFonts w:ascii="Arial" w:hAnsi="Arial" w:cs="Arial"/>
          <w:sz w:val="22"/>
          <w:szCs w:val="22"/>
        </w:rPr>
        <w:t xml:space="preserve"> is provided in respect of any particular class of </w:t>
      </w:r>
      <w:r w:rsidR="004B46BD" w:rsidRPr="00FB2F3D">
        <w:rPr>
          <w:rFonts w:ascii="Arial" w:hAnsi="Arial" w:cs="Arial"/>
          <w:sz w:val="22"/>
          <w:szCs w:val="22"/>
        </w:rPr>
        <w:t>Securities</w:t>
      </w:r>
      <w:r w:rsidR="00162E0C" w:rsidRPr="00FB2F3D">
        <w:rPr>
          <w:rFonts w:ascii="Arial" w:hAnsi="Arial" w:cs="Arial"/>
          <w:sz w:val="22"/>
          <w:szCs w:val="22"/>
        </w:rPr>
        <w:t>.</w:t>
      </w:r>
    </w:p>
    <w:p w14:paraId="4D0B3315" w14:textId="77777777" w:rsidR="00162E0C" w:rsidRPr="00FB2F3D" w:rsidRDefault="0006394F" w:rsidP="0006394F">
      <w:pPr>
        <w:pStyle w:val="Heading4"/>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162E0C" w:rsidRPr="00FB2F3D">
        <w:rPr>
          <w:rFonts w:ascii="Arial" w:hAnsi="Arial" w:cs="Arial"/>
          <w:sz w:val="22"/>
          <w:szCs w:val="22"/>
        </w:rPr>
        <w:t>This chapter</w:t>
      </w:r>
      <w:r w:rsidR="005151DC" w:rsidRPr="00FB2F3D">
        <w:rPr>
          <w:rFonts w:ascii="Arial" w:hAnsi="Arial" w:cs="Arial"/>
          <w:sz w:val="22"/>
          <w:szCs w:val="22"/>
        </w:rPr>
        <w:t xml:space="preserve"> </w:t>
      </w:r>
      <w:r w:rsidR="00162E0C" w:rsidRPr="00FB2F3D">
        <w:rPr>
          <w:rFonts w:ascii="Arial" w:hAnsi="Arial" w:cs="Arial"/>
          <w:sz w:val="22"/>
          <w:szCs w:val="22"/>
        </w:rPr>
        <w:t xml:space="preserve">does not apply to a </w:t>
      </w:r>
      <w:r w:rsidR="00222FEC" w:rsidRPr="00FB2F3D">
        <w:rPr>
          <w:rFonts w:ascii="Arial" w:hAnsi="Arial" w:cs="Arial"/>
          <w:sz w:val="22"/>
          <w:szCs w:val="22"/>
        </w:rPr>
        <w:t>Reporting Entity</w:t>
      </w:r>
      <w:r w:rsidR="00162E0C" w:rsidRPr="00FB2F3D">
        <w:rPr>
          <w:rFonts w:ascii="Arial" w:hAnsi="Arial" w:cs="Arial"/>
          <w:sz w:val="22"/>
          <w:szCs w:val="22"/>
        </w:rPr>
        <w:t xml:space="preserve"> of a Listed Fund.</w:t>
      </w:r>
    </w:p>
    <w:p w14:paraId="41B380A0"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1E5A455B" w14:textId="77777777" w:rsidR="00162E0C" w:rsidRPr="00FB2F3D" w:rsidRDefault="00753E86" w:rsidP="00222FEC">
      <w:pPr>
        <w:pStyle w:val="UK12Block05"/>
        <w:rPr>
          <w:rFonts w:ascii="Arial" w:hAnsi="Arial" w:cs="Arial"/>
          <w:sz w:val="22"/>
          <w:szCs w:val="22"/>
        </w:rPr>
      </w:pPr>
      <w:r w:rsidRPr="00FB2F3D">
        <w:rPr>
          <w:rFonts w:ascii="Arial" w:hAnsi="Arial" w:cs="Arial"/>
          <w:sz w:val="22"/>
          <w:szCs w:val="22"/>
        </w:rPr>
        <w:t>See c</w:t>
      </w:r>
      <w:r w:rsidR="00162E0C" w:rsidRPr="00FB2F3D">
        <w:rPr>
          <w:rFonts w:ascii="Arial" w:hAnsi="Arial" w:cs="Arial"/>
          <w:sz w:val="22"/>
          <w:szCs w:val="22"/>
        </w:rPr>
        <w:t>hapter </w:t>
      </w:r>
      <w:r w:rsidR="00693841" w:rsidRPr="00FB2F3D">
        <w:rPr>
          <w:rFonts w:ascii="Arial" w:hAnsi="Arial" w:cs="Arial"/>
          <w:sz w:val="22"/>
          <w:szCs w:val="22"/>
        </w:rPr>
        <w:t>3</w:t>
      </w:r>
      <w:r w:rsidR="00162E0C" w:rsidRPr="00FB2F3D">
        <w:rPr>
          <w:rFonts w:ascii="Arial" w:hAnsi="Arial" w:cs="Arial"/>
          <w:sz w:val="22"/>
          <w:szCs w:val="22"/>
        </w:rPr>
        <w:t xml:space="preserve"> for the governance requirements applicable to </w:t>
      </w:r>
      <w:r w:rsidR="00222FEC" w:rsidRPr="00FB2F3D">
        <w:rPr>
          <w:rFonts w:ascii="Arial" w:hAnsi="Arial" w:cs="Arial"/>
          <w:sz w:val="22"/>
          <w:szCs w:val="22"/>
        </w:rPr>
        <w:t>Reporting Entitie</w:t>
      </w:r>
      <w:r w:rsidR="00162E0C" w:rsidRPr="00FB2F3D">
        <w:rPr>
          <w:rFonts w:ascii="Arial" w:hAnsi="Arial" w:cs="Arial"/>
          <w:sz w:val="22"/>
          <w:szCs w:val="22"/>
        </w:rPr>
        <w:t>s of Listed Funds.</w:t>
      </w:r>
    </w:p>
    <w:p w14:paraId="082375A0" w14:textId="77777777" w:rsidR="00162E0C" w:rsidRPr="00FB2F3D" w:rsidRDefault="00A65187" w:rsidP="0061693E">
      <w:pPr>
        <w:pStyle w:val="Heading2"/>
        <w:rPr>
          <w:rFonts w:ascii="Arial" w:hAnsi="Arial" w:cs="Arial"/>
          <w:sz w:val="22"/>
          <w:szCs w:val="22"/>
        </w:rPr>
      </w:pPr>
      <w:bookmarkStart w:id="723" w:name="_Ref419301972"/>
      <w:bookmarkStart w:id="724" w:name="_Toc138325704"/>
      <w:r w:rsidRPr="00FB2F3D">
        <w:rPr>
          <w:rFonts w:ascii="Arial" w:hAnsi="Arial" w:cs="Arial"/>
          <w:sz w:val="22"/>
          <w:szCs w:val="22"/>
        </w:rPr>
        <w:t>Corporate Governance</w:t>
      </w:r>
      <w:r w:rsidR="00EE4E6B" w:rsidRPr="00FB2F3D">
        <w:rPr>
          <w:rFonts w:ascii="Arial" w:hAnsi="Arial" w:cs="Arial"/>
          <w:sz w:val="22"/>
          <w:szCs w:val="22"/>
        </w:rPr>
        <w:t xml:space="preserve"> Principles</w:t>
      </w:r>
      <w:bookmarkEnd w:id="723"/>
      <w:bookmarkEnd w:id="724"/>
    </w:p>
    <w:p w14:paraId="53642C21"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Application</w:t>
      </w:r>
    </w:p>
    <w:p w14:paraId="44FDBFE3" w14:textId="77777777" w:rsidR="00162E0C" w:rsidRPr="00FB2F3D" w:rsidRDefault="00162E0C" w:rsidP="00222FEC">
      <w:pPr>
        <w:pStyle w:val="Heading3"/>
        <w:rPr>
          <w:rFonts w:ascii="Arial" w:hAnsi="Arial" w:cs="Arial"/>
          <w:sz w:val="22"/>
          <w:szCs w:val="22"/>
        </w:rPr>
      </w:pPr>
      <w:r w:rsidRPr="00FB2F3D">
        <w:rPr>
          <w:rFonts w:ascii="Arial" w:hAnsi="Arial" w:cs="Arial"/>
          <w:sz w:val="22"/>
          <w:szCs w:val="22"/>
        </w:rPr>
        <w:t>This section applies to a</w:t>
      </w:r>
      <w:r w:rsidR="00222FEC" w:rsidRPr="00FB2F3D">
        <w:rPr>
          <w:rFonts w:ascii="Arial" w:hAnsi="Arial" w:cs="Arial"/>
          <w:sz w:val="22"/>
          <w:szCs w:val="22"/>
        </w:rPr>
        <w:t xml:space="preserve"> Reporting Entity</w:t>
      </w:r>
      <w:r w:rsidRPr="00FB2F3D">
        <w:rPr>
          <w:rFonts w:ascii="Arial" w:hAnsi="Arial" w:cs="Arial"/>
          <w:sz w:val="22"/>
          <w:szCs w:val="22"/>
        </w:rPr>
        <w:t xml:space="preserve"> in respect of Shares, and the Board of Directors ("the Board") of such a </w:t>
      </w:r>
      <w:r w:rsidR="00222FEC" w:rsidRPr="00FB2F3D">
        <w:rPr>
          <w:rFonts w:ascii="Arial" w:hAnsi="Arial" w:cs="Arial"/>
          <w:sz w:val="22"/>
          <w:szCs w:val="22"/>
        </w:rPr>
        <w:t>Reporting Entity</w:t>
      </w:r>
      <w:r w:rsidRPr="00FB2F3D">
        <w:rPr>
          <w:rFonts w:ascii="Arial" w:hAnsi="Arial" w:cs="Arial"/>
          <w:sz w:val="22"/>
          <w:szCs w:val="22"/>
        </w:rPr>
        <w:t>.</w:t>
      </w:r>
    </w:p>
    <w:p w14:paraId="55B72F65" w14:textId="77777777" w:rsidR="00162E0C" w:rsidRPr="00FB2F3D" w:rsidRDefault="00A65187" w:rsidP="00384E67">
      <w:pPr>
        <w:pStyle w:val="TitleL"/>
        <w:rPr>
          <w:rFonts w:ascii="Arial" w:hAnsi="Arial" w:cs="Arial"/>
          <w:sz w:val="22"/>
          <w:szCs w:val="22"/>
        </w:rPr>
      </w:pPr>
      <w:r w:rsidRPr="00FB2F3D">
        <w:rPr>
          <w:rFonts w:ascii="Arial" w:hAnsi="Arial" w:cs="Arial"/>
          <w:sz w:val="22"/>
          <w:szCs w:val="22"/>
        </w:rPr>
        <w:t>Corporate Governance</w:t>
      </w:r>
      <w:r w:rsidR="00EE4E6B" w:rsidRPr="00FB2F3D">
        <w:rPr>
          <w:rFonts w:ascii="Arial" w:hAnsi="Arial" w:cs="Arial"/>
          <w:sz w:val="22"/>
          <w:szCs w:val="22"/>
        </w:rPr>
        <w:t xml:space="preserve"> Principles</w:t>
      </w:r>
    </w:p>
    <w:p w14:paraId="6FA21DEA" w14:textId="77777777" w:rsidR="00162E0C" w:rsidRPr="00FB2F3D" w:rsidRDefault="00162E0C" w:rsidP="0061693E">
      <w:pPr>
        <w:pStyle w:val="Heading3"/>
        <w:rPr>
          <w:rFonts w:ascii="Arial" w:hAnsi="Arial" w:cs="Arial"/>
          <w:sz w:val="22"/>
          <w:szCs w:val="22"/>
        </w:rPr>
      </w:pPr>
      <w:r w:rsidRPr="00FB2F3D">
        <w:rPr>
          <w:rFonts w:ascii="Arial" w:hAnsi="Arial" w:cs="Arial"/>
          <w:sz w:val="22"/>
          <w:szCs w:val="22"/>
        </w:rPr>
        <w:t>Pursuant to</w:t>
      </w:r>
      <w:r w:rsidR="00A1188A" w:rsidRPr="00FB2F3D">
        <w:rPr>
          <w:rFonts w:ascii="Arial" w:hAnsi="Arial" w:cs="Arial"/>
          <w:sz w:val="22"/>
          <w:szCs w:val="22"/>
        </w:rPr>
        <w:t xml:space="preserve"> section</w:t>
      </w:r>
      <w:r w:rsidR="00A64301" w:rsidRPr="00FB2F3D">
        <w:rPr>
          <w:rFonts w:ascii="Arial" w:hAnsi="Arial" w:cs="Arial"/>
          <w:sz w:val="22"/>
          <w:szCs w:val="22"/>
        </w:rPr>
        <w:t xml:space="preserve"> 73</w:t>
      </w:r>
      <w:r w:rsidRPr="00FB2F3D">
        <w:rPr>
          <w:rFonts w:ascii="Arial" w:hAnsi="Arial" w:cs="Arial"/>
          <w:sz w:val="22"/>
          <w:szCs w:val="22"/>
        </w:rPr>
        <w:t xml:space="preserve"> of the FSMR, the principles in Rules </w:t>
      </w:r>
      <w:r w:rsidR="00693841" w:rsidRPr="00FB2F3D">
        <w:rPr>
          <w:rFonts w:ascii="Arial" w:hAnsi="Arial" w:cs="Arial"/>
          <w:sz w:val="22"/>
          <w:szCs w:val="22"/>
        </w:rPr>
        <w:t>9.2.3</w:t>
      </w:r>
      <w:r w:rsidRPr="00FB2F3D">
        <w:rPr>
          <w:rFonts w:ascii="Arial" w:hAnsi="Arial" w:cs="Arial"/>
          <w:sz w:val="22"/>
          <w:szCs w:val="22"/>
        </w:rPr>
        <w:t xml:space="preserve"> to </w:t>
      </w:r>
      <w:r w:rsidR="00693841" w:rsidRPr="00FB2F3D">
        <w:rPr>
          <w:rFonts w:ascii="Arial" w:hAnsi="Arial" w:cs="Arial"/>
          <w:sz w:val="22"/>
          <w:szCs w:val="22"/>
        </w:rPr>
        <w:t>9.2.9</w:t>
      </w:r>
      <w:r w:rsidRPr="00FB2F3D">
        <w:rPr>
          <w:rFonts w:ascii="Arial" w:hAnsi="Arial" w:cs="Arial"/>
          <w:sz w:val="22"/>
          <w:szCs w:val="22"/>
        </w:rPr>
        <w:t xml:space="preserve"> are hereby prescribed as "the </w:t>
      </w:r>
      <w:r w:rsidR="00A65187" w:rsidRPr="00FB2F3D">
        <w:rPr>
          <w:rFonts w:ascii="Arial" w:hAnsi="Arial" w:cs="Arial"/>
          <w:b/>
          <w:sz w:val="22"/>
          <w:szCs w:val="22"/>
        </w:rPr>
        <w:t>Corporate Governance</w:t>
      </w:r>
      <w:r w:rsidR="00EE4E6B" w:rsidRPr="00FB2F3D">
        <w:rPr>
          <w:rFonts w:ascii="Arial" w:hAnsi="Arial" w:cs="Arial"/>
          <w:b/>
          <w:sz w:val="22"/>
          <w:szCs w:val="22"/>
        </w:rPr>
        <w:t xml:space="preserve"> Principles</w:t>
      </w:r>
      <w:r w:rsidRPr="00FB2F3D">
        <w:rPr>
          <w:rFonts w:ascii="Arial" w:hAnsi="Arial" w:cs="Arial"/>
          <w:sz w:val="22"/>
          <w:szCs w:val="22"/>
        </w:rPr>
        <w:t>".</w:t>
      </w:r>
    </w:p>
    <w:p w14:paraId="39628D40"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14D191D1" w14:textId="77777777" w:rsidR="00162E0C" w:rsidRPr="00FB2F3D" w:rsidRDefault="00162E0C" w:rsidP="00DB61C9">
      <w:pPr>
        <w:pStyle w:val="GuidanceNotesnumbering"/>
        <w:numPr>
          <w:ilvl w:val="0"/>
          <w:numId w:val="36"/>
        </w:numPr>
        <w:rPr>
          <w:rFonts w:ascii="Arial" w:hAnsi="Arial" w:cs="Arial"/>
          <w:sz w:val="22"/>
          <w:szCs w:val="22"/>
        </w:rPr>
      </w:pPr>
      <w:r w:rsidRPr="00FB2F3D">
        <w:rPr>
          <w:rFonts w:ascii="Arial" w:hAnsi="Arial" w:cs="Arial"/>
          <w:sz w:val="22"/>
          <w:szCs w:val="22"/>
        </w:rPr>
        <w:t xml:space="preserve">The </w:t>
      </w:r>
      <w:r w:rsidR="00A65187" w:rsidRPr="00FB2F3D">
        <w:rPr>
          <w:rFonts w:ascii="Arial" w:hAnsi="Arial" w:cs="Arial"/>
          <w:sz w:val="22"/>
          <w:szCs w:val="22"/>
        </w:rPr>
        <w:t>Corporate Governance</w:t>
      </w:r>
      <w:r w:rsidR="00EE4E6B" w:rsidRPr="00FB2F3D">
        <w:rPr>
          <w:rFonts w:ascii="Arial" w:hAnsi="Arial" w:cs="Arial"/>
          <w:sz w:val="22"/>
          <w:szCs w:val="22"/>
        </w:rPr>
        <w:t xml:space="preserve"> Principles</w:t>
      </w:r>
      <w:r w:rsidRPr="00FB2F3D">
        <w:rPr>
          <w:rFonts w:ascii="Arial" w:hAnsi="Arial" w:cs="Arial"/>
          <w:sz w:val="22"/>
          <w:szCs w:val="22"/>
        </w:rPr>
        <w:t xml:space="preserve"> in this section</w:t>
      </w:r>
      <w:r w:rsidR="00C553C6" w:rsidRPr="00FB2F3D">
        <w:rPr>
          <w:rFonts w:ascii="Arial" w:hAnsi="Arial" w:cs="Arial"/>
          <w:sz w:val="22"/>
          <w:szCs w:val="22"/>
        </w:rPr>
        <w:t xml:space="preserve"> </w:t>
      </w:r>
      <w:r w:rsidRPr="00FB2F3D">
        <w:rPr>
          <w:rFonts w:ascii="Arial" w:hAnsi="Arial" w:cs="Arial"/>
          <w:sz w:val="22"/>
          <w:szCs w:val="22"/>
        </w:rPr>
        <w:t xml:space="preserve">apply to </w:t>
      </w:r>
      <w:r w:rsidR="00222FEC" w:rsidRPr="00FB2F3D">
        <w:rPr>
          <w:rFonts w:ascii="Arial" w:hAnsi="Arial" w:cs="Arial"/>
          <w:sz w:val="22"/>
          <w:szCs w:val="22"/>
        </w:rPr>
        <w:t>Reporting Entities</w:t>
      </w:r>
      <w:r w:rsidRPr="00FB2F3D">
        <w:rPr>
          <w:rFonts w:ascii="Arial" w:hAnsi="Arial" w:cs="Arial"/>
          <w:sz w:val="22"/>
          <w:szCs w:val="22"/>
        </w:rPr>
        <w:t xml:space="preserve"> as mandatory high level requirements. </w:t>
      </w:r>
      <w:r w:rsidR="00693841" w:rsidRPr="00FB2F3D">
        <w:rPr>
          <w:rFonts w:ascii="Arial" w:hAnsi="Arial" w:cs="Arial"/>
          <w:sz w:val="22"/>
          <w:szCs w:val="22"/>
        </w:rPr>
        <w:t>APP 4</w:t>
      </w:r>
      <w:r w:rsidRPr="00FB2F3D">
        <w:rPr>
          <w:rFonts w:ascii="Arial" w:hAnsi="Arial" w:cs="Arial"/>
          <w:sz w:val="22"/>
          <w:szCs w:val="22"/>
        </w:rPr>
        <w:t xml:space="preserve"> sets out best practice standards that may be adopted by a</w:t>
      </w:r>
      <w:r w:rsidR="00222FEC" w:rsidRPr="00FB2F3D">
        <w:rPr>
          <w:rFonts w:ascii="Arial" w:hAnsi="Arial" w:cs="Arial"/>
          <w:sz w:val="22"/>
          <w:szCs w:val="22"/>
        </w:rPr>
        <w:t xml:space="preserve"> Reporting Entity</w:t>
      </w:r>
      <w:r w:rsidRPr="00FB2F3D">
        <w:rPr>
          <w:rFonts w:ascii="Arial" w:hAnsi="Arial" w:cs="Arial"/>
          <w:sz w:val="22"/>
          <w:szCs w:val="22"/>
        </w:rPr>
        <w:t xml:space="preserve"> to achieve compliance with these principles.</w:t>
      </w:r>
    </w:p>
    <w:p w14:paraId="46D3AFEE" w14:textId="77777777" w:rsidR="00162E0C" w:rsidRPr="00FB2F3D" w:rsidRDefault="00162E0C" w:rsidP="00222FEC">
      <w:pPr>
        <w:pStyle w:val="GuidanceNotesnumbering"/>
        <w:rPr>
          <w:rFonts w:ascii="Arial" w:hAnsi="Arial" w:cs="Arial"/>
          <w:sz w:val="22"/>
          <w:szCs w:val="22"/>
        </w:rPr>
      </w:pPr>
      <w:r w:rsidRPr="00FB2F3D">
        <w:rPr>
          <w:rFonts w:ascii="Arial" w:hAnsi="Arial" w:cs="Arial"/>
          <w:sz w:val="22"/>
          <w:szCs w:val="22"/>
        </w:rPr>
        <w:t xml:space="preserve">The best practice standards in </w:t>
      </w:r>
      <w:r w:rsidR="00693841" w:rsidRPr="00FB2F3D">
        <w:rPr>
          <w:rFonts w:ascii="Arial" w:hAnsi="Arial" w:cs="Arial"/>
          <w:sz w:val="22"/>
          <w:szCs w:val="22"/>
        </w:rPr>
        <w:t>APP 4</w:t>
      </w:r>
      <w:r w:rsidR="00C553C6" w:rsidRPr="00FB2F3D">
        <w:rPr>
          <w:rFonts w:ascii="Arial" w:hAnsi="Arial" w:cs="Arial"/>
          <w:sz w:val="22"/>
          <w:szCs w:val="22"/>
        </w:rPr>
        <w:t xml:space="preserve"> </w:t>
      </w:r>
      <w:r w:rsidRPr="00FB2F3D">
        <w:rPr>
          <w:rFonts w:ascii="Arial" w:hAnsi="Arial" w:cs="Arial"/>
          <w:sz w:val="22"/>
          <w:szCs w:val="22"/>
        </w:rPr>
        <w:t>are designed to provide a degree of flexibility so that a</w:t>
      </w:r>
      <w:r w:rsidR="00222FEC" w:rsidRPr="00FB2F3D">
        <w:rPr>
          <w:rFonts w:ascii="Arial" w:hAnsi="Arial" w:cs="Arial"/>
          <w:sz w:val="22"/>
          <w:szCs w:val="22"/>
        </w:rPr>
        <w:t xml:space="preserve"> Reporting Entity</w:t>
      </w:r>
      <w:r w:rsidRPr="00FB2F3D">
        <w:rPr>
          <w:rFonts w:ascii="Arial" w:hAnsi="Arial" w:cs="Arial"/>
          <w:sz w:val="22"/>
          <w:szCs w:val="22"/>
        </w:rPr>
        <w:t xml:space="preserve"> can achieve outcomes intended by the </w:t>
      </w:r>
      <w:r w:rsidR="00A65187" w:rsidRPr="00FB2F3D">
        <w:rPr>
          <w:rFonts w:ascii="Arial" w:hAnsi="Arial" w:cs="Arial"/>
          <w:sz w:val="22"/>
          <w:szCs w:val="22"/>
        </w:rPr>
        <w:t>Corporate Governance</w:t>
      </w:r>
      <w:r w:rsidR="00EE4E6B" w:rsidRPr="00FB2F3D">
        <w:rPr>
          <w:rFonts w:ascii="Arial" w:hAnsi="Arial" w:cs="Arial"/>
          <w:sz w:val="22"/>
          <w:szCs w:val="22"/>
        </w:rPr>
        <w:t xml:space="preserve"> Principles</w:t>
      </w:r>
      <w:r w:rsidRPr="00FB2F3D">
        <w:rPr>
          <w:rFonts w:ascii="Arial" w:hAnsi="Arial" w:cs="Arial"/>
          <w:sz w:val="22"/>
          <w:szCs w:val="22"/>
        </w:rPr>
        <w:t xml:space="preserve"> whilst taking into account the nature, scale and complexity of its business.</w:t>
      </w:r>
    </w:p>
    <w:p w14:paraId="42110F5C" w14:textId="601EE47F" w:rsidR="00162E0C" w:rsidRPr="00FB2F3D" w:rsidRDefault="00162E0C" w:rsidP="00222FEC">
      <w:pPr>
        <w:pStyle w:val="GuidanceNotesnumbering"/>
        <w:rPr>
          <w:rFonts w:ascii="Arial" w:hAnsi="Arial" w:cs="Arial"/>
          <w:sz w:val="22"/>
          <w:szCs w:val="22"/>
        </w:rPr>
      </w:pPr>
      <w:r w:rsidRPr="00FB2F3D">
        <w:rPr>
          <w:rFonts w:ascii="Arial" w:hAnsi="Arial" w:cs="Arial"/>
          <w:sz w:val="22"/>
          <w:szCs w:val="22"/>
        </w:rPr>
        <w:t>Generally, if a</w:t>
      </w:r>
      <w:r w:rsidR="00222FEC" w:rsidRPr="00FB2F3D">
        <w:rPr>
          <w:rFonts w:ascii="Arial" w:hAnsi="Arial" w:cs="Arial"/>
          <w:sz w:val="22"/>
          <w:szCs w:val="22"/>
        </w:rPr>
        <w:t xml:space="preserve"> Reporting Entity</w:t>
      </w:r>
      <w:r w:rsidRPr="00FB2F3D">
        <w:rPr>
          <w:rFonts w:ascii="Arial" w:hAnsi="Arial" w:cs="Arial"/>
          <w:sz w:val="22"/>
          <w:szCs w:val="22"/>
        </w:rPr>
        <w:t xml:space="preserve"> does not adopt the best practice standards set out in </w:t>
      </w:r>
      <w:r w:rsidR="00693841" w:rsidRPr="00FB2F3D">
        <w:rPr>
          <w:rFonts w:ascii="Arial" w:hAnsi="Arial" w:cs="Arial"/>
          <w:sz w:val="22"/>
          <w:szCs w:val="22"/>
        </w:rPr>
        <w:t>APP 4</w:t>
      </w:r>
      <w:r w:rsidRPr="00FB2F3D">
        <w:rPr>
          <w:rFonts w:ascii="Arial" w:hAnsi="Arial" w:cs="Arial"/>
          <w:sz w:val="22"/>
          <w:szCs w:val="22"/>
        </w:rPr>
        <w:t xml:space="preserve">, or adopts them only partially, the </w:t>
      </w:r>
      <w:r w:rsidR="0035335F" w:rsidRPr="00FB2F3D">
        <w:rPr>
          <w:rFonts w:ascii="Arial" w:hAnsi="Arial" w:cs="Arial"/>
          <w:sz w:val="22"/>
          <w:szCs w:val="22"/>
        </w:rPr>
        <w:t>Regulator</w:t>
      </w:r>
      <w:r w:rsidRPr="00FB2F3D">
        <w:rPr>
          <w:rFonts w:ascii="Arial" w:hAnsi="Arial" w:cs="Arial"/>
          <w:sz w:val="22"/>
          <w:szCs w:val="22"/>
        </w:rPr>
        <w:t xml:space="preserve"> would expect the reasons for doing so and any alternative measures adopted to achieve the outcomes intended by the </w:t>
      </w:r>
      <w:r w:rsidR="00A65187" w:rsidRPr="00FB2F3D">
        <w:rPr>
          <w:rFonts w:ascii="Arial" w:hAnsi="Arial" w:cs="Arial"/>
          <w:sz w:val="22"/>
          <w:szCs w:val="22"/>
        </w:rPr>
        <w:t>Corporate Governance</w:t>
      </w:r>
      <w:r w:rsidR="00EE4E6B" w:rsidRPr="00FB2F3D">
        <w:rPr>
          <w:rFonts w:ascii="Arial" w:hAnsi="Arial" w:cs="Arial"/>
          <w:sz w:val="22"/>
          <w:szCs w:val="22"/>
        </w:rPr>
        <w:t xml:space="preserve"> Principles</w:t>
      </w:r>
      <w:r w:rsidRPr="00FB2F3D">
        <w:rPr>
          <w:rFonts w:ascii="Arial" w:hAnsi="Arial" w:cs="Arial"/>
          <w:sz w:val="22"/>
          <w:szCs w:val="22"/>
        </w:rPr>
        <w:t xml:space="preserve"> to be disclosed in the Prospectus and thereafter pursuant to the </w:t>
      </w:r>
      <w:r w:rsidR="007F3FD0">
        <w:rPr>
          <w:rFonts w:ascii="Arial" w:hAnsi="Arial" w:cs="Arial"/>
          <w:sz w:val="22"/>
          <w:szCs w:val="22"/>
        </w:rPr>
        <w:t>D</w:t>
      </w:r>
      <w:r w:rsidRPr="00FB2F3D">
        <w:rPr>
          <w:rFonts w:ascii="Arial" w:hAnsi="Arial" w:cs="Arial"/>
          <w:sz w:val="22"/>
          <w:szCs w:val="22"/>
        </w:rPr>
        <w:t>isclosure required under Rule </w:t>
      </w:r>
      <w:r w:rsidR="00693841" w:rsidRPr="00FB2F3D">
        <w:rPr>
          <w:rFonts w:ascii="Arial" w:hAnsi="Arial" w:cs="Arial"/>
          <w:sz w:val="22"/>
          <w:szCs w:val="22"/>
        </w:rPr>
        <w:t>9.2.10</w:t>
      </w:r>
      <w:r w:rsidRPr="00FB2F3D">
        <w:rPr>
          <w:rFonts w:ascii="Arial" w:hAnsi="Arial" w:cs="Arial"/>
          <w:sz w:val="22"/>
          <w:szCs w:val="22"/>
        </w:rPr>
        <w:t xml:space="preserve">. Any inaccurate or false representations would lead to the imposition of civil liability in accordance with section </w:t>
      </w:r>
      <w:r w:rsidR="00A1188A" w:rsidRPr="00FB2F3D">
        <w:rPr>
          <w:rFonts w:ascii="Arial" w:hAnsi="Arial" w:cs="Arial"/>
          <w:sz w:val="22"/>
          <w:szCs w:val="22"/>
        </w:rPr>
        <w:t>7</w:t>
      </w:r>
      <w:r w:rsidR="00A64301" w:rsidRPr="00FB2F3D">
        <w:rPr>
          <w:rFonts w:ascii="Arial" w:hAnsi="Arial" w:cs="Arial"/>
          <w:sz w:val="22"/>
          <w:szCs w:val="22"/>
        </w:rPr>
        <w:t>0</w:t>
      </w:r>
      <w:r w:rsidRPr="00FB2F3D">
        <w:rPr>
          <w:rFonts w:ascii="Arial" w:hAnsi="Arial" w:cs="Arial"/>
          <w:sz w:val="22"/>
          <w:szCs w:val="22"/>
        </w:rPr>
        <w:t xml:space="preserve"> of the FSMR.</w:t>
      </w:r>
    </w:p>
    <w:p w14:paraId="2387045B" w14:textId="77777777" w:rsidR="00162E0C" w:rsidRPr="00FB2F3D" w:rsidRDefault="00162E0C" w:rsidP="00384E67">
      <w:pPr>
        <w:pStyle w:val="TitleL"/>
        <w:rPr>
          <w:rFonts w:ascii="Arial" w:hAnsi="Arial" w:cs="Arial"/>
          <w:sz w:val="22"/>
          <w:szCs w:val="22"/>
        </w:rPr>
      </w:pPr>
      <w:r w:rsidRPr="00FB2F3D">
        <w:rPr>
          <w:rFonts w:ascii="Arial" w:hAnsi="Arial" w:cs="Arial"/>
          <w:sz w:val="22"/>
          <w:szCs w:val="22"/>
        </w:rPr>
        <w:t xml:space="preserve">Principle 1 – Board of </w:t>
      </w:r>
      <w:r w:rsidR="002A1DA9" w:rsidRPr="00FB2F3D">
        <w:rPr>
          <w:rFonts w:ascii="Arial" w:hAnsi="Arial" w:cs="Arial"/>
          <w:sz w:val="22"/>
          <w:szCs w:val="22"/>
        </w:rPr>
        <w:t>Directors</w:t>
      </w:r>
    </w:p>
    <w:p w14:paraId="0DBED8ED" w14:textId="0659604C" w:rsidR="00162E0C" w:rsidRPr="00FB2F3D" w:rsidRDefault="00162E0C" w:rsidP="00222FEC">
      <w:pPr>
        <w:pStyle w:val="Heading3"/>
        <w:rPr>
          <w:rFonts w:ascii="Arial" w:hAnsi="Arial" w:cs="Arial"/>
          <w:sz w:val="22"/>
          <w:szCs w:val="22"/>
        </w:rPr>
      </w:pPr>
      <w:bookmarkStart w:id="725" w:name="_Ref410051462"/>
      <w:r w:rsidRPr="00FB2F3D">
        <w:rPr>
          <w:rFonts w:ascii="Arial" w:hAnsi="Arial" w:cs="Arial"/>
          <w:sz w:val="22"/>
          <w:szCs w:val="22"/>
        </w:rPr>
        <w:t xml:space="preserve">Every </w:t>
      </w:r>
      <w:r w:rsidR="007F3FD0">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must have an effective Board which is collectively accountable for ensuring that the </w:t>
      </w:r>
      <w:r w:rsidR="007F3FD0">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's business is managed prudently and soundly.</w:t>
      </w:r>
      <w:bookmarkEnd w:id="725"/>
    </w:p>
    <w:p w14:paraId="6D94A29C" w14:textId="77777777" w:rsidR="00162E0C" w:rsidRPr="00FB2F3D" w:rsidRDefault="00162E0C" w:rsidP="00384E67">
      <w:pPr>
        <w:pStyle w:val="TitleL"/>
        <w:rPr>
          <w:rFonts w:ascii="Arial" w:hAnsi="Arial" w:cs="Arial"/>
          <w:sz w:val="22"/>
          <w:szCs w:val="22"/>
        </w:rPr>
      </w:pPr>
      <w:r w:rsidRPr="00FB2F3D">
        <w:rPr>
          <w:rFonts w:ascii="Arial" w:hAnsi="Arial" w:cs="Arial"/>
          <w:sz w:val="22"/>
          <w:szCs w:val="22"/>
        </w:rPr>
        <w:t>Principle 2 – Division of responsibilities</w:t>
      </w:r>
    </w:p>
    <w:p w14:paraId="7A2F2272" w14:textId="2F6FF23D" w:rsidR="00162E0C" w:rsidRPr="00FB2F3D" w:rsidRDefault="00162E0C" w:rsidP="00222FEC">
      <w:pPr>
        <w:pStyle w:val="Heading3"/>
        <w:rPr>
          <w:rFonts w:ascii="Arial" w:hAnsi="Arial" w:cs="Arial"/>
          <w:sz w:val="22"/>
          <w:szCs w:val="22"/>
        </w:rPr>
      </w:pPr>
      <w:bookmarkStart w:id="726" w:name="_Ref410074997"/>
      <w:r w:rsidRPr="00FB2F3D">
        <w:rPr>
          <w:rFonts w:ascii="Arial" w:hAnsi="Arial" w:cs="Arial"/>
          <w:sz w:val="22"/>
          <w:szCs w:val="22"/>
        </w:rPr>
        <w:t xml:space="preserve">The Board must ensure that there is a clear division between the Board's responsibility for setting the strategic aims and undertaking the oversight of the </w:t>
      </w:r>
      <w:r w:rsidR="007F3FD0">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and the Senior Management's responsibility for managing the </w:t>
      </w:r>
      <w:r w:rsidR="007F3FD0">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's business in accordance with the strategic aims and risk parameters set by the Board.</w:t>
      </w:r>
      <w:bookmarkEnd w:id="726"/>
    </w:p>
    <w:p w14:paraId="7D495F47" w14:textId="77777777" w:rsidR="00162E0C" w:rsidRPr="00FB2F3D" w:rsidRDefault="00162E0C" w:rsidP="00384E67">
      <w:pPr>
        <w:pStyle w:val="TitleL"/>
        <w:rPr>
          <w:rFonts w:ascii="Arial" w:hAnsi="Arial" w:cs="Arial"/>
          <w:sz w:val="22"/>
          <w:szCs w:val="22"/>
        </w:rPr>
      </w:pPr>
      <w:r w:rsidRPr="00FB2F3D">
        <w:rPr>
          <w:rFonts w:ascii="Arial" w:hAnsi="Arial" w:cs="Arial"/>
          <w:sz w:val="22"/>
          <w:szCs w:val="22"/>
        </w:rPr>
        <w:lastRenderedPageBreak/>
        <w:t>Principle 3 – Board composition and resources</w:t>
      </w:r>
    </w:p>
    <w:p w14:paraId="02D92E58" w14:textId="58913289" w:rsidR="00162E0C" w:rsidRPr="00FB2F3D" w:rsidRDefault="00162E0C" w:rsidP="00222FEC">
      <w:pPr>
        <w:pStyle w:val="Heading3"/>
        <w:rPr>
          <w:rFonts w:ascii="Arial" w:hAnsi="Arial" w:cs="Arial"/>
          <w:sz w:val="22"/>
          <w:szCs w:val="22"/>
        </w:rPr>
      </w:pPr>
      <w:bookmarkStart w:id="727" w:name="_Ref410075004"/>
      <w:r w:rsidRPr="00FB2F3D">
        <w:rPr>
          <w:rFonts w:ascii="Arial" w:hAnsi="Arial" w:cs="Arial"/>
          <w:sz w:val="22"/>
          <w:szCs w:val="22"/>
        </w:rPr>
        <w:t xml:space="preserve">The Board, and its committees, must have an appropriate balance of skills, experience, independence and knowledge of the </w:t>
      </w:r>
      <w:r w:rsidR="007F3FD0">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's business, and adequate resources, including access to expertise as required and timely and comprehensive information relating to the affairs of the </w:t>
      </w:r>
      <w:r w:rsidR="007F3FD0">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w:t>
      </w:r>
      <w:bookmarkEnd w:id="727"/>
    </w:p>
    <w:p w14:paraId="60D389B5" w14:textId="77777777" w:rsidR="00162E0C" w:rsidRPr="00FB2F3D" w:rsidRDefault="00162E0C" w:rsidP="00384E67">
      <w:pPr>
        <w:pStyle w:val="TitleL"/>
        <w:rPr>
          <w:rFonts w:ascii="Arial" w:hAnsi="Arial" w:cs="Arial"/>
          <w:sz w:val="22"/>
          <w:szCs w:val="22"/>
        </w:rPr>
      </w:pPr>
      <w:r w:rsidRPr="00FB2F3D">
        <w:rPr>
          <w:rFonts w:ascii="Arial" w:hAnsi="Arial" w:cs="Arial"/>
          <w:sz w:val="22"/>
          <w:szCs w:val="22"/>
        </w:rPr>
        <w:t>Principle 4 – Risk management and internal control systems</w:t>
      </w:r>
    </w:p>
    <w:p w14:paraId="2E56D740" w14:textId="0D9D4EC4" w:rsidR="00162E0C" w:rsidRPr="00FB2F3D" w:rsidRDefault="00162E0C" w:rsidP="00222FEC">
      <w:pPr>
        <w:pStyle w:val="Heading3"/>
        <w:rPr>
          <w:rFonts w:ascii="Arial" w:hAnsi="Arial" w:cs="Arial"/>
          <w:sz w:val="22"/>
          <w:szCs w:val="22"/>
        </w:rPr>
      </w:pPr>
      <w:bookmarkStart w:id="728" w:name="_Ref410075009"/>
      <w:r w:rsidRPr="00FB2F3D">
        <w:rPr>
          <w:rFonts w:ascii="Arial" w:hAnsi="Arial" w:cs="Arial"/>
          <w:sz w:val="22"/>
          <w:szCs w:val="22"/>
        </w:rPr>
        <w:t xml:space="preserve">The Board must ensure that the </w:t>
      </w:r>
      <w:r w:rsidR="007F3FD0">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has an adequate, effective, well</w:t>
      </w:r>
      <w:r w:rsidRPr="00FB2F3D">
        <w:rPr>
          <w:rFonts w:ascii="Arial" w:hAnsi="Arial" w:cs="Arial"/>
          <w:sz w:val="22"/>
          <w:szCs w:val="22"/>
        </w:rPr>
        <w:noBreakHyphen/>
        <w:t>defined and well</w:t>
      </w:r>
      <w:r w:rsidRPr="00FB2F3D">
        <w:rPr>
          <w:rFonts w:ascii="Arial" w:hAnsi="Arial" w:cs="Arial"/>
          <w:sz w:val="22"/>
          <w:szCs w:val="22"/>
        </w:rPr>
        <w:noBreakHyphen/>
        <w:t>integrated risk management, internal control and compliance framework.</w:t>
      </w:r>
      <w:bookmarkEnd w:id="728"/>
    </w:p>
    <w:p w14:paraId="548C6B58" w14:textId="77777777" w:rsidR="00162E0C" w:rsidRPr="00FB2F3D" w:rsidRDefault="00162E0C" w:rsidP="00384E67">
      <w:pPr>
        <w:pStyle w:val="TitleL"/>
        <w:rPr>
          <w:rFonts w:ascii="Arial" w:hAnsi="Arial" w:cs="Arial"/>
          <w:sz w:val="22"/>
          <w:szCs w:val="22"/>
        </w:rPr>
      </w:pPr>
      <w:r w:rsidRPr="00FB2F3D">
        <w:rPr>
          <w:rFonts w:ascii="Arial" w:hAnsi="Arial" w:cs="Arial"/>
          <w:sz w:val="22"/>
          <w:szCs w:val="22"/>
        </w:rPr>
        <w:t>Principle 5 – Shareholder rights and effective dialogue</w:t>
      </w:r>
    </w:p>
    <w:p w14:paraId="29FEF88B" w14:textId="77777777" w:rsidR="00162E0C" w:rsidRPr="00FB2F3D" w:rsidRDefault="00162E0C" w:rsidP="0061693E">
      <w:pPr>
        <w:pStyle w:val="Heading3"/>
        <w:rPr>
          <w:rFonts w:ascii="Arial" w:hAnsi="Arial" w:cs="Arial"/>
          <w:sz w:val="22"/>
          <w:szCs w:val="22"/>
        </w:rPr>
      </w:pPr>
      <w:bookmarkStart w:id="729" w:name="_Ref410075029"/>
      <w:r w:rsidRPr="00FB2F3D">
        <w:rPr>
          <w:rFonts w:ascii="Arial" w:hAnsi="Arial" w:cs="Arial"/>
          <w:sz w:val="22"/>
          <w:szCs w:val="22"/>
        </w:rPr>
        <w:t xml:space="preserve">The Board must ensure that the rights of </w:t>
      </w:r>
      <w:r w:rsidR="00B46F00" w:rsidRPr="00FB2F3D">
        <w:rPr>
          <w:rFonts w:ascii="Arial" w:hAnsi="Arial" w:cs="Arial"/>
          <w:sz w:val="22"/>
          <w:szCs w:val="22"/>
        </w:rPr>
        <w:t>Shareholder</w:t>
      </w:r>
      <w:r w:rsidRPr="00FB2F3D">
        <w:rPr>
          <w:rFonts w:ascii="Arial" w:hAnsi="Arial" w:cs="Arial"/>
          <w:sz w:val="22"/>
          <w:szCs w:val="22"/>
        </w:rPr>
        <w:t xml:space="preserve">s are properly safeguarded through appropriate measures that enable the </w:t>
      </w:r>
      <w:r w:rsidR="00B46F00" w:rsidRPr="00FB2F3D">
        <w:rPr>
          <w:rFonts w:ascii="Arial" w:hAnsi="Arial" w:cs="Arial"/>
          <w:sz w:val="22"/>
          <w:szCs w:val="22"/>
        </w:rPr>
        <w:t>Shareholder</w:t>
      </w:r>
      <w:r w:rsidRPr="00FB2F3D">
        <w:rPr>
          <w:rFonts w:ascii="Arial" w:hAnsi="Arial" w:cs="Arial"/>
          <w:sz w:val="22"/>
          <w:szCs w:val="22"/>
        </w:rPr>
        <w:t xml:space="preserve">s to exercise their rights effectively, promote effective dialogue with </w:t>
      </w:r>
      <w:r w:rsidR="00B46F00" w:rsidRPr="00FB2F3D">
        <w:rPr>
          <w:rFonts w:ascii="Arial" w:hAnsi="Arial" w:cs="Arial"/>
          <w:sz w:val="22"/>
          <w:szCs w:val="22"/>
        </w:rPr>
        <w:t>Shareholder</w:t>
      </w:r>
      <w:r w:rsidRPr="00FB2F3D">
        <w:rPr>
          <w:rFonts w:ascii="Arial" w:hAnsi="Arial" w:cs="Arial"/>
          <w:sz w:val="22"/>
          <w:szCs w:val="22"/>
        </w:rPr>
        <w:t xml:space="preserve">s and other key stakeholders as appropriate, and prevent any abuse or oppression of minority </w:t>
      </w:r>
      <w:r w:rsidR="00B46F00" w:rsidRPr="00FB2F3D">
        <w:rPr>
          <w:rFonts w:ascii="Arial" w:hAnsi="Arial" w:cs="Arial"/>
          <w:sz w:val="22"/>
          <w:szCs w:val="22"/>
        </w:rPr>
        <w:t>Shareholder</w:t>
      </w:r>
      <w:r w:rsidRPr="00FB2F3D">
        <w:rPr>
          <w:rFonts w:ascii="Arial" w:hAnsi="Arial" w:cs="Arial"/>
          <w:sz w:val="22"/>
          <w:szCs w:val="22"/>
        </w:rPr>
        <w:t>s.</w:t>
      </w:r>
      <w:bookmarkEnd w:id="729"/>
    </w:p>
    <w:p w14:paraId="3591C3B7" w14:textId="77777777" w:rsidR="00162E0C" w:rsidRPr="00FB2F3D" w:rsidRDefault="00162E0C" w:rsidP="00384E67">
      <w:pPr>
        <w:pStyle w:val="TitleL"/>
        <w:rPr>
          <w:rFonts w:ascii="Arial" w:hAnsi="Arial" w:cs="Arial"/>
          <w:sz w:val="22"/>
          <w:szCs w:val="22"/>
        </w:rPr>
      </w:pPr>
      <w:r w:rsidRPr="00FB2F3D">
        <w:rPr>
          <w:rFonts w:ascii="Arial" w:hAnsi="Arial" w:cs="Arial"/>
          <w:sz w:val="22"/>
          <w:szCs w:val="22"/>
        </w:rPr>
        <w:t>Principle 6 – Position and prospects</w:t>
      </w:r>
    </w:p>
    <w:p w14:paraId="340E0771" w14:textId="3C225CD9" w:rsidR="00162E0C" w:rsidRPr="00FB2F3D" w:rsidRDefault="00162E0C" w:rsidP="00222FEC">
      <w:pPr>
        <w:pStyle w:val="Heading3"/>
        <w:rPr>
          <w:rFonts w:ascii="Arial" w:hAnsi="Arial" w:cs="Arial"/>
          <w:sz w:val="22"/>
          <w:szCs w:val="22"/>
        </w:rPr>
      </w:pPr>
      <w:bookmarkStart w:id="730" w:name="_Ref410075038"/>
      <w:r w:rsidRPr="00FB2F3D">
        <w:rPr>
          <w:rFonts w:ascii="Arial" w:hAnsi="Arial" w:cs="Arial"/>
          <w:sz w:val="22"/>
          <w:szCs w:val="22"/>
        </w:rPr>
        <w:t xml:space="preserve">The Board must ensure that the </w:t>
      </w:r>
      <w:r w:rsidR="007F3FD0">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's financial and other reports present an accurate, balanced and understandable assessment of the </w:t>
      </w:r>
      <w:r w:rsidR="007F3FD0">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's financial position and prospects by ensuring that there are effective internal risk control and reporting requirements.</w:t>
      </w:r>
      <w:bookmarkEnd w:id="730"/>
    </w:p>
    <w:p w14:paraId="19404A3A" w14:textId="77777777" w:rsidR="00162E0C" w:rsidRPr="00FB2F3D" w:rsidRDefault="00162E0C" w:rsidP="00384E67">
      <w:pPr>
        <w:pStyle w:val="TitleL"/>
        <w:rPr>
          <w:rFonts w:ascii="Arial" w:hAnsi="Arial" w:cs="Arial"/>
          <w:sz w:val="22"/>
          <w:szCs w:val="22"/>
        </w:rPr>
      </w:pPr>
      <w:r w:rsidRPr="00FB2F3D">
        <w:rPr>
          <w:rFonts w:ascii="Arial" w:hAnsi="Arial" w:cs="Arial"/>
          <w:sz w:val="22"/>
          <w:szCs w:val="22"/>
        </w:rPr>
        <w:t>Principle 7 – Remuneration</w:t>
      </w:r>
    </w:p>
    <w:p w14:paraId="526C542F" w14:textId="2C2328B5" w:rsidR="00162E0C" w:rsidRPr="00FB2F3D" w:rsidRDefault="00162E0C" w:rsidP="00222FEC">
      <w:pPr>
        <w:pStyle w:val="Heading3"/>
        <w:rPr>
          <w:rFonts w:ascii="Arial" w:hAnsi="Arial" w:cs="Arial"/>
          <w:sz w:val="22"/>
          <w:szCs w:val="22"/>
        </w:rPr>
      </w:pPr>
      <w:bookmarkStart w:id="731" w:name="_Ref410051471"/>
      <w:r w:rsidRPr="00FB2F3D">
        <w:rPr>
          <w:rFonts w:ascii="Arial" w:hAnsi="Arial" w:cs="Arial"/>
          <w:sz w:val="22"/>
          <w:szCs w:val="22"/>
        </w:rPr>
        <w:t xml:space="preserve">The Board must ensure that the </w:t>
      </w:r>
      <w:r w:rsidR="007F3FD0">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has remuneration structures and strategies that are well aligned with the long</w:t>
      </w:r>
      <w:r w:rsidRPr="00FB2F3D">
        <w:rPr>
          <w:rFonts w:ascii="Arial" w:hAnsi="Arial" w:cs="Arial"/>
          <w:sz w:val="22"/>
          <w:szCs w:val="22"/>
        </w:rPr>
        <w:noBreakHyphen/>
        <w:t xml:space="preserve">term interests of the </w:t>
      </w:r>
      <w:r w:rsidR="007F3FD0">
        <w:rPr>
          <w:rFonts w:ascii="Arial" w:hAnsi="Arial" w:cs="Arial"/>
          <w:sz w:val="22"/>
          <w:szCs w:val="22"/>
        </w:rPr>
        <w:t>Listed E</w:t>
      </w:r>
      <w:r w:rsidRPr="00FB2F3D">
        <w:rPr>
          <w:rFonts w:ascii="Arial" w:hAnsi="Arial" w:cs="Arial"/>
          <w:sz w:val="22"/>
          <w:szCs w:val="22"/>
        </w:rPr>
        <w:t>ntity.</w:t>
      </w:r>
      <w:bookmarkEnd w:id="731"/>
    </w:p>
    <w:p w14:paraId="20E662FF" w14:textId="77777777" w:rsidR="00162E0C" w:rsidRPr="00FB2F3D" w:rsidRDefault="00162E0C" w:rsidP="00384E67">
      <w:pPr>
        <w:pStyle w:val="TitleL"/>
        <w:rPr>
          <w:rFonts w:ascii="Arial" w:hAnsi="Arial" w:cs="Arial"/>
          <w:sz w:val="22"/>
          <w:szCs w:val="22"/>
        </w:rPr>
      </w:pPr>
      <w:r w:rsidRPr="00FB2F3D">
        <w:rPr>
          <w:rFonts w:ascii="Arial" w:hAnsi="Arial" w:cs="Arial"/>
          <w:sz w:val="22"/>
          <w:szCs w:val="22"/>
        </w:rPr>
        <w:t>Annual reporting on compliance</w:t>
      </w:r>
    </w:p>
    <w:p w14:paraId="417094E6" w14:textId="10D078A8" w:rsidR="00162E0C" w:rsidRPr="00FB2F3D" w:rsidRDefault="00162E0C" w:rsidP="00222FEC">
      <w:pPr>
        <w:pStyle w:val="Heading3"/>
        <w:keepNext/>
        <w:rPr>
          <w:rFonts w:ascii="Arial" w:hAnsi="Arial" w:cs="Arial"/>
          <w:sz w:val="22"/>
          <w:szCs w:val="22"/>
        </w:rPr>
      </w:pPr>
      <w:bookmarkStart w:id="732" w:name="_Ref410051521"/>
      <w:bookmarkStart w:id="733" w:name="_Ref410631021"/>
      <w:r w:rsidRPr="00FB2F3D">
        <w:rPr>
          <w:rFonts w:ascii="Arial" w:hAnsi="Arial" w:cs="Arial"/>
          <w:sz w:val="22"/>
          <w:szCs w:val="22"/>
        </w:rPr>
        <w:t xml:space="preserve">The annual financial report of a </w:t>
      </w:r>
      <w:r w:rsidR="0086233F">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to which this section applies must</w:t>
      </w:r>
      <w:bookmarkEnd w:id="732"/>
      <w:r w:rsidRPr="00FB2F3D">
        <w:rPr>
          <w:rFonts w:ascii="Arial" w:hAnsi="Arial" w:cs="Arial"/>
          <w:sz w:val="22"/>
          <w:szCs w:val="22"/>
        </w:rPr>
        <w:t>:</w:t>
      </w:r>
      <w:bookmarkEnd w:id="733"/>
    </w:p>
    <w:p w14:paraId="170D013E" w14:textId="65F0DE88" w:rsidR="00162E0C" w:rsidRPr="00FB2F3D" w:rsidRDefault="00162E0C" w:rsidP="00424270">
      <w:pPr>
        <w:pStyle w:val="Heading4"/>
        <w:rPr>
          <w:rFonts w:ascii="Arial" w:hAnsi="Arial" w:cs="Arial"/>
          <w:sz w:val="22"/>
          <w:szCs w:val="22"/>
        </w:rPr>
      </w:pPr>
      <w:r w:rsidRPr="00FB2F3D">
        <w:rPr>
          <w:rFonts w:ascii="Arial" w:hAnsi="Arial" w:cs="Arial"/>
          <w:sz w:val="22"/>
          <w:szCs w:val="22"/>
        </w:rPr>
        <w:t xml:space="preserve">state whether the best practice standards specified in </w:t>
      </w:r>
      <w:r w:rsidR="00693841" w:rsidRPr="00FB2F3D">
        <w:rPr>
          <w:rFonts w:ascii="Arial" w:hAnsi="Arial" w:cs="Arial"/>
          <w:sz w:val="22"/>
          <w:szCs w:val="22"/>
        </w:rPr>
        <w:t>APP 4</w:t>
      </w:r>
      <w:r w:rsidRPr="00FB2F3D">
        <w:rPr>
          <w:rFonts w:ascii="Arial" w:hAnsi="Arial" w:cs="Arial"/>
          <w:sz w:val="22"/>
          <w:szCs w:val="22"/>
        </w:rPr>
        <w:t xml:space="preserve"> </w:t>
      </w:r>
      <w:r w:rsidR="00B53984" w:rsidRPr="00FB2F3D">
        <w:rPr>
          <w:rFonts w:ascii="Arial" w:hAnsi="Arial" w:cs="Arial"/>
          <w:sz w:val="22"/>
          <w:szCs w:val="22"/>
        </w:rPr>
        <w:t>(the "</w:t>
      </w:r>
      <w:r w:rsidR="00B53984" w:rsidRPr="00FB2F3D">
        <w:rPr>
          <w:rFonts w:ascii="Arial" w:hAnsi="Arial" w:cs="Arial"/>
          <w:b/>
          <w:sz w:val="22"/>
          <w:szCs w:val="22"/>
        </w:rPr>
        <w:t>Corporate Governance Principles</w:t>
      </w:r>
      <w:r w:rsidR="00B53984" w:rsidRPr="00FB2F3D">
        <w:rPr>
          <w:rFonts w:ascii="Arial" w:hAnsi="Arial" w:cs="Arial"/>
          <w:sz w:val="22"/>
          <w:szCs w:val="22"/>
        </w:rPr>
        <w:t xml:space="preserve">") </w:t>
      </w:r>
      <w:r w:rsidRPr="00FB2F3D">
        <w:rPr>
          <w:rFonts w:ascii="Arial" w:hAnsi="Arial" w:cs="Arial"/>
          <w:sz w:val="22"/>
          <w:szCs w:val="22"/>
        </w:rPr>
        <w:t xml:space="preserve">have been adopted by the </w:t>
      </w:r>
      <w:r w:rsidR="0086233F">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w:t>
      </w:r>
    </w:p>
    <w:p w14:paraId="68F55826"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 xml:space="preserve">if the best practice standards in </w:t>
      </w:r>
      <w:r w:rsidR="00693841" w:rsidRPr="00FB2F3D">
        <w:rPr>
          <w:rFonts w:ascii="Arial" w:hAnsi="Arial" w:cs="Arial"/>
          <w:sz w:val="22"/>
          <w:szCs w:val="22"/>
        </w:rPr>
        <w:t>APP 4</w:t>
      </w:r>
      <w:r w:rsidRPr="00FB2F3D">
        <w:rPr>
          <w:rFonts w:ascii="Arial" w:hAnsi="Arial" w:cs="Arial"/>
          <w:sz w:val="22"/>
          <w:szCs w:val="22"/>
        </w:rPr>
        <w:t xml:space="preserve"> have not been fully adopted or have been only partially adopted explain:</w:t>
      </w:r>
    </w:p>
    <w:p w14:paraId="2743A597" w14:textId="77777777" w:rsidR="00162E0C" w:rsidRPr="00FB2F3D" w:rsidRDefault="00162E0C" w:rsidP="00424270">
      <w:pPr>
        <w:pStyle w:val="Heading5"/>
        <w:rPr>
          <w:rFonts w:ascii="Arial" w:hAnsi="Arial" w:cs="Arial"/>
          <w:sz w:val="22"/>
          <w:szCs w:val="22"/>
        </w:rPr>
      </w:pPr>
      <w:r w:rsidRPr="00FB2F3D">
        <w:rPr>
          <w:rFonts w:ascii="Arial" w:hAnsi="Arial" w:cs="Arial"/>
          <w:sz w:val="22"/>
          <w:szCs w:val="22"/>
        </w:rPr>
        <w:t>why the best practice standards were not adopted fully or adopted only partially, as is relevant; and</w:t>
      </w:r>
    </w:p>
    <w:p w14:paraId="69344807" w14:textId="09CB5334" w:rsidR="00162E0C" w:rsidRPr="00FB2F3D" w:rsidRDefault="00162E0C" w:rsidP="00424270">
      <w:pPr>
        <w:pStyle w:val="Heading5"/>
        <w:rPr>
          <w:rFonts w:ascii="Arial" w:hAnsi="Arial" w:cs="Arial"/>
          <w:sz w:val="22"/>
          <w:szCs w:val="22"/>
        </w:rPr>
      </w:pPr>
      <w:r w:rsidRPr="00FB2F3D">
        <w:rPr>
          <w:rFonts w:ascii="Arial" w:hAnsi="Arial" w:cs="Arial"/>
          <w:sz w:val="22"/>
          <w:szCs w:val="22"/>
        </w:rPr>
        <w:t xml:space="preserve">what actions, if any, have been taken by the </w:t>
      </w:r>
      <w:r w:rsidR="0086233F">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to achieve compliance with the </w:t>
      </w:r>
      <w:r w:rsidR="00A65187" w:rsidRPr="00FB2F3D">
        <w:rPr>
          <w:rFonts w:ascii="Arial" w:hAnsi="Arial" w:cs="Arial"/>
          <w:sz w:val="22"/>
          <w:szCs w:val="22"/>
        </w:rPr>
        <w:t>Corporate Governance</w:t>
      </w:r>
      <w:r w:rsidR="00EE4E6B" w:rsidRPr="00FB2F3D">
        <w:rPr>
          <w:rFonts w:ascii="Arial" w:hAnsi="Arial" w:cs="Arial"/>
          <w:sz w:val="22"/>
          <w:szCs w:val="22"/>
        </w:rPr>
        <w:t xml:space="preserve"> Principles</w:t>
      </w:r>
      <w:r w:rsidRPr="00FB2F3D">
        <w:rPr>
          <w:rFonts w:ascii="Arial" w:hAnsi="Arial" w:cs="Arial"/>
          <w:sz w:val="22"/>
          <w:szCs w:val="22"/>
        </w:rPr>
        <w:t xml:space="preserve"> to the</w:t>
      </w:r>
      <w:r w:rsidRPr="00FB2F3D">
        <w:rPr>
          <w:rFonts w:ascii="Arial" w:hAnsi="Arial" w:cs="Arial"/>
          <w:sz w:val="22"/>
          <w:szCs w:val="22"/>
          <w:lang w:eastAsia="ja-JP"/>
        </w:rPr>
        <w:t xml:space="preserve"> </w:t>
      </w:r>
      <w:r w:rsidRPr="00FB2F3D">
        <w:rPr>
          <w:rFonts w:ascii="Arial" w:hAnsi="Arial" w:cs="Arial"/>
          <w:sz w:val="22"/>
          <w:szCs w:val="22"/>
        </w:rPr>
        <w:t>extent the relevant best practice standards were not adopted, or were only partially adopted; and</w:t>
      </w:r>
    </w:p>
    <w:p w14:paraId="15BC1AE6" w14:textId="5B2C2F81" w:rsidR="00162E0C" w:rsidRPr="00FB2F3D" w:rsidRDefault="00162E0C" w:rsidP="00424270">
      <w:pPr>
        <w:pStyle w:val="Heading4"/>
        <w:rPr>
          <w:rFonts w:ascii="Arial" w:hAnsi="Arial" w:cs="Arial"/>
          <w:sz w:val="22"/>
          <w:szCs w:val="22"/>
        </w:rPr>
      </w:pPr>
      <w:bookmarkStart w:id="734" w:name="_Ref410632217"/>
      <w:r w:rsidRPr="00FB2F3D">
        <w:rPr>
          <w:rFonts w:ascii="Arial" w:hAnsi="Arial" w:cs="Arial"/>
          <w:sz w:val="22"/>
          <w:szCs w:val="22"/>
        </w:rPr>
        <w:t xml:space="preserve">include a statement by Directors whether or not, in their opinion, the </w:t>
      </w:r>
      <w:r w:rsidR="00A65187" w:rsidRPr="00FB2F3D">
        <w:rPr>
          <w:rFonts w:ascii="Arial" w:hAnsi="Arial" w:cs="Arial"/>
          <w:sz w:val="22"/>
          <w:szCs w:val="22"/>
        </w:rPr>
        <w:t>Corporate Governance</w:t>
      </w:r>
      <w:r w:rsidRPr="00FB2F3D">
        <w:rPr>
          <w:rFonts w:ascii="Arial" w:hAnsi="Arial" w:cs="Arial"/>
          <w:sz w:val="22"/>
          <w:szCs w:val="22"/>
        </w:rPr>
        <w:t xml:space="preserve"> framework of the </w:t>
      </w:r>
      <w:r w:rsidR="0086233F">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is effective in promoting compliance with the </w:t>
      </w:r>
      <w:r w:rsidR="00A65187" w:rsidRPr="00FB2F3D">
        <w:rPr>
          <w:rFonts w:ascii="Arial" w:hAnsi="Arial" w:cs="Arial"/>
          <w:sz w:val="22"/>
          <w:szCs w:val="22"/>
        </w:rPr>
        <w:t>Corporate Governance</w:t>
      </w:r>
      <w:r w:rsidR="00EE4E6B" w:rsidRPr="00FB2F3D">
        <w:rPr>
          <w:rFonts w:ascii="Arial" w:hAnsi="Arial" w:cs="Arial"/>
          <w:sz w:val="22"/>
          <w:szCs w:val="22"/>
        </w:rPr>
        <w:t xml:space="preserve"> Principles</w:t>
      </w:r>
      <w:r w:rsidRPr="00FB2F3D">
        <w:rPr>
          <w:rFonts w:ascii="Arial" w:hAnsi="Arial" w:cs="Arial"/>
          <w:sz w:val="22"/>
          <w:szCs w:val="22"/>
        </w:rPr>
        <w:t>, with supporting information and assumptions, and qualifications if necessary.</w:t>
      </w:r>
      <w:bookmarkEnd w:id="734"/>
    </w:p>
    <w:p w14:paraId="6C60A1AC"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lastRenderedPageBreak/>
        <w:t>Guidance</w:t>
      </w:r>
    </w:p>
    <w:p w14:paraId="5227458F" w14:textId="77777777" w:rsidR="00162E0C" w:rsidRPr="00FB2F3D" w:rsidRDefault="00162E0C" w:rsidP="00DB61C9">
      <w:pPr>
        <w:pStyle w:val="GuidanceNotesnumbering"/>
        <w:numPr>
          <w:ilvl w:val="0"/>
          <w:numId w:val="37"/>
        </w:numPr>
        <w:rPr>
          <w:rFonts w:ascii="Arial" w:hAnsi="Arial" w:cs="Arial"/>
          <w:sz w:val="22"/>
          <w:szCs w:val="22"/>
        </w:rPr>
      </w:pPr>
      <w:r w:rsidRPr="00FB2F3D">
        <w:rPr>
          <w:rFonts w:ascii="Arial" w:hAnsi="Arial" w:cs="Arial"/>
          <w:sz w:val="22"/>
          <w:szCs w:val="22"/>
        </w:rPr>
        <w:t>Rule </w:t>
      </w:r>
      <w:r w:rsidR="00693841" w:rsidRPr="00FB2F3D">
        <w:rPr>
          <w:rFonts w:ascii="Arial" w:hAnsi="Arial" w:cs="Arial"/>
          <w:sz w:val="22"/>
          <w:szCs w:val="22"/>
        </w:rPr>
        <w:t>9.2.10</w:t>
      </w:r>
      <w:r w:rsidRPr="00FB2F3D">
        <w:rPr>
          <w:rFonts w:ascii="Arial" w:hAnsi="Arial" w:cs="Arial"/>
          <w:sz w:val="22"/>
          <w:szCs w:val="22"/>
        </w:rPr>
        <w:t xml:space="preserve"> reflects the "comply or explain" approach adopted by the </w:t>
      </w:r>
      <w:r w:rsidR="0035335F" w:rsidRPr="00FB2F3D">
        <w:rPr>
          <w:rFonts w:ascii="Arial" w:hAnsi="Arial" w:cs="Arial"/>
          <w:sz w:val="22"/>
          <w:szCs w:val="22"/>
        </w:rPr>
        <w:t>Regulator</w:t>
      </w:r>
      <w:r w:rsidRPr="00FB2F3D">
        <w:rPr>
          <w:rFonts w:ascii="Arial" w:hAnsi="Arial" w:cs="Arial"/>
          <w:sz w:val="22"/>
          <w:szCs w:val="22"/>
        </w:rPr>
        <w:t xml:space="preserve"> in respect of the</w:t>
      </w:r>
      <w:r w:rsidRPr="00FB2F3D">
        <w:rPr>
          <w:rFonts w:ascii="Arial" w:hAnsi="Arial" w:cs="Arial"/>
          <w:sz w:val="22"/>
          <w:szCs w:val="22"/>
          <w:lang w:eastAsia="ja-JP"/>
        </w:rPr>
        <w:t xml:space="preserve"> </w:t>
      </w:r>
      <w:r w:rsidR="00A65187" w:rsidRPr="00FB2F3D">
        <w:rPr>
          <w:rFonts w:ascii="Arial" w:hAnsi="Arial" w:cs="Arial"/>
          <w:sz w:val="22"/>
          <w:szCs w:val="22"/>
        </w:rPr>
        <w:t>Corporate Governance</w:t>
      </w:r>
      <w:r w:rsidR="00EE4E6B" w:rsidRPr="00FB2F3D">
        <w:rPr>
          <w:rFonts w:ascii="Arial" w:hAnsi="Arial" w:cs="Arial"/>
          <w:sz w:val="22"/>
          <w:szCs w:val="22"/>
        </w:rPr>
        <w:t xml:space="preserve"> Principles</w:t>
      </w:r>
      <w:r w:rsidRPr="00FB2F3D">
        <w:rPr>
          <w:rFonts w:ascii="Arial" w:hAnsi="Arial" w:cs="Arial"/>
          <w:sz w:val="22"/>
          <w:szCs w:val="22"/>
        </w:rPr>
        <w:t>.</w:t>
      </w:r>
    </w:p>
    <w:p w14:paraId="47A46560" w14:textId="4247E67D" w:rsidR="00162E0C" w:rsidRPr="00FB2F3D" w:rsidRDefault="00162E0C" w:rsidP="00222FEC">
      <w:pPr>
        <w:pStyle w:val="GuidanceNotesnumbering"/>
        <w:rPr>
          <w:rFonts w:ascii="Arial" w:hAnsi="Arial" w:cs="Arial"/>
          <w:sz w:val="22"/>
          <w:szCs w:val="22"/>
        </w:rPr>
      </w:pPr>
      <w:r w:rsidRPr="00FB2F3D">
        <w:rPr>
          <w:rFonts w:ascii="Arial" w:hAnsi="Arial" w:cs="Arial"/>
          <w:sz w:val="22"/>
          <w:szCs w:val="22"/>
        </w:rPr>
        <w:t>With regard to the opinion required under Rule </w:t>
      </w:r>
      <w:r w:rsidR="00693841" w:rsidRPr="00FB2F3D">
        <w:rPr>
          <w:rFonts w:ascii="Arial" w:hAnsi="Arial" w:cs="Arial"/>
          <w:sz w:val="22"/>
          <w:szCs w:val="22"/>
        </w:rPr>
        <w:t>9.2.10(3)</w:t>
      </w:r>
      <w:r w:rsidRPr="00FB2F3D">
        <w:rPr>
          <w:rFonts w:ascii="Arial" w:hAnsi="Arial" w:cs="Arial"/>
          <w:sz w:val="22"/>
          <w:szCs w:val="22"/>
        </w:rPr>
        <w:t xml:space="preserve">, adequate information relating to the </w:t>
      </w:r>
      <w:r w:rsidR="00A65187" w:rsidRPr="00FB2F3D">
        <w:rPr>
          <w:rFonts w:ascii="Arial" w:hAnsi="Arial" w:cs="Arial"/>
          <w:sz w:val="22"/>
          <w:szCs w:val="22"/>
        </w:rPr>
        <w:t>Corporate Governance</w:t>
      </w:r>
      <w:r w:rsidRPr="00FB2F3D">
        <w:rPr>
          <w:rFonts w:ascii="Arial" w:hAnsi="Arial" w:cs="Arial"/>
          <w:sz w:val="22"/>
          <w:szCs w:val="22"/>
        </w:rPr>
        <w:t xml:space="preserve"> framework of the </w:t>
      </w:r>
      <w:r w:rsidR="0086233F">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should be included to support the opinion, such as the identity of its chair, any committees of the Board and their role and membership, the </w:t>
      </w:r>
      <w:r w:rsidR="0006394F" w:rsidRPr="00FB2F3D">
        <w:rPr>
          <w:rFonts w:ascii="Arial" w:hAnsi="Arial" w:cs="Arial"/>
          <w:sz w:val="22"/>
          <w:szCs w:val="22"/>
        </w:rPr>
        <w:t>chief e</w:t>
      </w:r>
      <w:r w:rsidR="00514BD2" w:rsidRPr="00FB2F3D">
        <w:rPr>
          <w:rFonts w:ascii="Arial" w:hAnsi="Arial" w:cs="Arial"/>
          <w:sz w:val="22"/>
          <w:szCs w:val="22"/>
        </w:rPr>
        <w:t>xecutive</w:t>
      </w:r>
      <w:r w:rsidRPr="00FB2F3D">
        <w:rPr>
          <w:rFonts w:ascii="Arial" w:hAnsi="Arial" w:cs="Arial"/>
          <w:sz w:val="22"/>
          <w:szCs w:val="22"/>
        </w:rPr>
        <w:t xml:space="preserve"> and persons undertaking key control functions such as the head of compliance, risk control and internal audit and how their independence is achieved. See also the </w:t>
      </w:r>
      <w:r w:rsidR="0086233F">
        <w:rPr>
          <w:rFonts w:ascii="Arial" w:hAnsi="Arial" w:cs="Arial"/>
          <w:sz w:val="22"/>
          <w:szCs w:val="22"/>
        </w:rPr>
        <w:t>D</w:t>
      </w:r>
      <w:r w:rsidRPr="00FB2F3D">
        <w:rPr>
          <w:rFonts w:ascii="Arial" w:hAnsi="Arial" w:cs="Arial"/>
          <w:sz w:val="22"/>
          <w:szCs w:val="22"/>
        </w:rPr>
        <w:t xml:space="preserve">isclosure of information required under </w:t>
      </w:r>
      <w:r w:rsidR="00693841" w:rsidRPr="00FB2F3D">
        <w:rPr>
          <w:rFonts w:ascii="Arial" w:hAnsi="Arial" w:cs="Arial"/>
          <w:sz w:val="22"/>
          <w:szCs w:val="22"/>
        </w:rPr>
        <w:t>APP 2</w:t>
      </w:r>
      <w:r w:rsidRPr="00FB2F3D">
        <w:rPr>
          <w:rFonts w:ascii="Arial" w:hAnsi="Arial" w:cs="Arial"/>
          <w:sz w:val="22"/>
          <w:szCs w:val="22"/>
        </w:rPr>
        <w:t>.</w:t>
      </w:r>
    </w:p>
    <w:p w14:paraId="08D1F955" w14:textId="661AD79D" w:rsidR="00D97FD5" w:rsidRPr="00FB2F3D" w:rsidRDefault="0086233F" w:rsidP="0006394F">
      <w:pPr>
        <w:pStyle w:val="GuidanceNotesnumbering"/>
        <w:rPr>
          <w:rFonts w:ascii="Arial" w:hAnsi="Arial" w:cs="Arial"/>
          <w:sz w:val="22"/>
          <w:szCs w:val="22"/>
        </w:rPr>
      </w:pPr>
      <w:r>
        <w:rPr>
          <w:rFonts w:ascii="Arial" w:hAnsi="Arial" w:cs="Arial"/>
          <w:sz w:val="22"/>
          <w:szCs w:val="22"/>
        </w:rPr>
        <w:t>Listed</w:t>
      </w:r>
      <w:r w:rsidR="00D97FD5" w:rsidRPr="00FB2F3D">
        <w:rPr>
          <w:rFonts w:ascii="Arial" w:hAnsi="Arial" w:cs="Arial"/>
          <w:sz w:val="22"/>
          <w:szCs w:val="22"/>
        </w:rPr>
        <w:t xml:space="preserve"> Entities are required to produce an annual</w:t>
      </w:r>
      <w:r w:rsidR="0006394F" w:rsidRPr="00FB2F3D">
        <w:rPr>
          <w:rFonts w:ascii="Arial" w:hAnsi="Arial" w:cs="Arial"/>
          <w:sz w:val="22"/>
          <w:szCs w:val="22"/>
        </w:rPr>
        <w:t xml:space="preserve"> financial</w:t>
      </w:r>
      <w:r w:rsidR="00D97FD5" w:rsidRPr="00FB2F3D">
        <w:rPr>
          <w:rFonts w:ascii="Arial" w:hAnsi="Arial" w:cs="Arial"/>
          <w:sz w:val="22"/>
          <w:szCs w:val="22"/>
        </w:rPr>
        <w:t xml:space="preserve"> report in accordance with Rule </w:t>
      </w:r>
      <w:r w:rsidR="00693841" w:rsidRPr="00FB2F3D">
        <w:rPr>
          <w:rFonts w:ascii="Arial" w:hAnsi="Arial" w:cs="Arial"/>
          <w:sz w:val="22"/>
          <w:szCs w:val="22"/>
        </w:rPr>
        <w:t>10.1.4</w:t>
      </w:r>
      <w:r w:rsidR="00D97FD5" w:rsidRPr="00FB2F3D">
        <w:rPr>
          <w:rFonts w:ascii="Arial" w:hAnsi="Arial" w:cs="Arial"/>
          <w:sz w:val="22"/>
          <w:szCs w:val="22"/>
        </w:rPr>
        <w:t xml:space="preserve">. </w:t>
      </w:r>
    </w:p>
    <w:p w14:paraId="7A56E31B" w14:textId="77777777" w:rsidR="00162E0C" w:rsidRPr="00FB2F3D" w:rsidRDefault="00162E0C" w:rsidP="0061693E">
      <w:pPr>
        <w:pStyle w:val="Heading2"/>
        <w:rPr>
          <w:rFonts w:ascii="Arial" w:hAnsi="Arial" w:cs="Arial"/>
          <w:sz w:val="22"/>
          <w:szCs w:val="22"/>
        </w:rPr>
      </w:pPr>
      <w:bookmarkStart w:id="735" w:name="_Toc410136232"/>
      <w:bookmarkStart w:id="736" w:name="_Toc410605941"/>
      <w:bookmarkStart w:id="737" w:name="_Toc410658877"/>
      <w:bookmarkStart w:id="738" w:name="_Toc410659004"/>
      <w:bookmarkStart w:id="739" w:name="_Toc410835551"/>
      <w:bookmarkStart w:id="740" w:name="_Toc138325705"/>
      <w:bookmarkStart w:id="741" w:name="_Toc409521835"/>
      <w:r w:rsidRPr="00FB2F3D">
        <w:rPr>
          <w:rFonts w:ascii="Arial" w:hAnsi="Arial" w:cs="Arial"/>
          <w:sz w:val="22"/>
          <w:szCs w:val="22"/>
        </w:rPr>
        <w:t xml:space="preserve">Directors' duties and fair treatment of </w:t>
      </w:r>
      <w:r w:rsidR="00B46F00" w:rsidRPr="00FB2F3D">
        <w:rPr>
          <w:rFonts w:ascii="Arial" w:hAnsi="Arial" w:cs="Arial"/>
          <w:sz w:val="22"/>
          <w:szCs w:val="22"/>
        </w:rPr>
        <w:t>Shareholder</w:t>
      </w:r>
      <w:r w:rsidRPr="00FB2F3D">
        <w:rPr>
          <w:rFonts w:ascii="Arial" w:hAnsi="Arial" w:cs="Arial"/>
          <w:sz w:val="22"/>
          <w:szCs w:val="22"/>
        </w:rPr>
        <w:t>s</w:t>
      </w:r>
      <w:bookmarkEnd w:id="735"/>
      <w:bookmarkEnd w:id="736"/>
      <w:bookmarkEnd w:id="737"/>
      <w:bookmarkEnd w:id="738"/>
      <w:bookmarkEnd w:id="739"/>
      <w:bookmarkEnd w:id="740"/>
    </w:p>
    <w:p w14:paraId="7253699C"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Application</w:t>
      </w:r>
      <w:bookmarkEnd w:id="741"/>
    </w:p>
    <w:p w14:paraId="0507679B" w14:textId="383ECF78" w:rsidR="00162E0C" w:rsidRPr="00FB2F3D" w:rsidRDefault="00162E0C" w:rsidP="00384E67">
      <w:pPr>
        <w:pStyle w:val="Heading3"/>
        <w:keepNext/>
        <w:ind w:left="1440" w:hanging="1440"/>
        <w:rPr>
          <w:rFonts w:ascii="Arial" w:hAnsi="Arial" w:cs="Arial"/>
          <w:sz w:val="22"/>
          <w:szCs w:val="22"/>
        </w:rPr>
      </w:pPr>
      <w:bookmarkStart w:id="742" w:name="_Ref410051728"/>
      <w:bookmarkStart w:id="743" w:name="_Ref410632239"/>
      <w:r w:rsidRPr="00FB2F3D">
        <w:rPr>
          <w:rFonts w:ascii="Arial" w:hAnsi="Arial" w:cs="Arial"/>
          <w:sz w:val="22"/>
          <w:szCs w:val="22"/>
        </w:rPr>
        <w:t>This section applies</w:t>
      </w:r>
      <w:r w:rsidR="0086233F">
        <w:rPr>
          <w:rFonts w:ascii="Arial" w:hAnsi="Arial" w:cs="Arial"/>
          <w:sz w:val="22"/>
          <w:szCs w:val="22"/>
        </w:rPr>
        <w:t xml:space="preserve"> </w:t>
      </w:r>
      <w:r w:rsidRPr="00FB2F3D">
        <w:rPr>
          <w:rFonts w:ascii="Arial" w:hAnsi="Arial" w:cs="Arial"/>
          <w:sz w:val="22"/>
          <w:szCs w:val="22"/>
        </w:rPr>
        <w:t>to</w:t>
      </w:r>
      <w:bookmarkEnd w:id="742"/>
      <w:r w:rsidRPr="00FB2F3D">
        <w:rPr>
          <w:rFonts w:ascii="Arial" w:hAnsi="Arial" w:cs="Arial"/>
          <w:sz w:val="22"/>
          <w:szCs w:val="22"/>
        </w:rPr>
        <w:t>:</w:t>
      </w:r>
      <w:bookmarkEnd w:id="743"/>
    </w:p>
    <w:p w14:paraId="081E6860" w14:textId="60A1873C" w:rsidR="00162E0C" w:rsidRPr="00FB2F3D" w:rsidRDefault="00222FEC" w:rsidP="0086233F">
      <w:pPr>
        <w:pStyle w:val="Heading5"/>
        <w:tabs>
          <w:tab w:val="clear" w:pos="2160"/>
          <w:tab w:val="num" w:pos="1418"/>
        </w:tabs>
        <w:ind w:left="1418" w:hanging="709"/>
        <w:rPr>
          <w:rFonts w:ascii="Arial" w:hAnsi="Arial" w:cs="Arial"/>
          <w:sz w:val="22"/>
          <w:szCs w:val="22"/>
        </w:rPr>
      </w:pPr>
      <w:r w:rsidRPr="00FB2F3D">
        <w:rPr>
          <w:rFonts w:ascii="Arial" w:hAnsi="Arial" w:cs="Arial"/>
          <w:sz w:val="22"/>
          <w:szCs w:val="22"/>
        </w:rPr>
        <w:t xml:space="preserve">the Board of a </w:t>
      </w:r>
      <w:r w:rsidR="0086233F">
        <w:rPr>
          <w:rFonts w:ascii="Arial" w:hAnsi="Arial" w:cs="Arial"/>
          <w:sz w:val="22"/>
          <w:szCs w:val="22"/>
        </w:rPr>
        <w:t>Listed</w:t>
      </w:r>
      <w:r w:rsidRPr="00FB2F3D">
        <w:rPr>
          <w:rFonts w:ascii="Arial" w:hAnsi="Arial" w:cs="Arial"/>
          <w:sz w:val="22"/>
          <w:szCs w:val="22"/>
        </w:rPr>
        <w:t xml:space="preserve"> Entity</w:t>
      </w:r>
      <w:r w:rsidR="00162E0C" w:rsidRPr="00FB2F3D">
        <w:rPr>
          <w:rFonts w:ascii="Arial" w:hAnsi="Arial" w:cs="Arial"/>
          <w:sz w:val="22"/>
          <w:szCs w:val="22"/>
        </w:rPr>
        <w:t>; and</w:t>
      </w:r>
    </w:p>
    <w:p w14:paraId="1196CDCB" w14:textId="77777777" w:rsidR="00162E0C" w:rsidRPr="00FB2F3D" w:rsidRDefault="00162E0C" w:rsidP="0086233F">
      <w:pPr>
        <w:pStyle w:val="Heading5"/>
        <w:tabs>
          <w:tab w:val="clear" w:pos="2160"/>
          <w:tab w:val="num" w:pos="1418"/>
        </w:tabs>
        <w:ind w:left="1418" w:hanging="709"/>
        <w:rPr>
          <w:rFonts w:ascii="Arial" w:hAnsi="Arial" w:cs="Arial"/>
          <w:sz w:val="22"/>
          <w:szCs w:val="22"/>
          <w:lang w:eastAsia="ja-JP"/>
        </w:rPr>
      </w:pPr>
      <w:r w:rsidRPr="00FB2F3D">
        <w:rPr>
          <w:rFonts w:ascii="Arial" w:hAnsi="Arial" w:cs="Arial"/>
          <w:sz w:val="22"/>
          <w:szCs w:val="22"/>
        </w:rPr>
        <w:t>each individual Dire</w:t>
      </w:r>
      <w:r w:rsidR="007B224F" w:rsidRPr="00FB2F3D">
        <w:rPr>
          <w:rFonts w:ascii="Arial" w:hAnsi="Arial" w:cs="Arial"/>
          <w:sz w:val="22"/>
          <w:szCs w:val="22"/>
        </w:rPr>
        <w:t>ctor who is a member of such a B</w:t>
      </w:r>
      <w:r w:rsidRPr="00FB2F3D">
        <w:rPr>
          <w:rFonts w:ascii="Arial" w:hAnsi="Arial" w:cs="Arial"/>
          <w:sz w:val="22"/>
          <w:szCs w:val="22"/>
        </w:rPr>
        <w:t>oard.</w:t>
      </w:r>
    </w:p>
    <w:p w14:paraId="7BCE29B3"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2F22A68C" w14:textId="2957BB17" w:rsidR="00162E0C" w:rsidRPr="00FB2F3D" w:rsidRDefault="00162E0C" w:rsidP="0006394F">
      <w:pPr>
        <w:pStyle w:val="GuidanceNotesnumbering"/>
        <w:numPr>
          <w:ilvl w:val="0"/>
          <w:numId w:val="38"/>
        </w:numPr>
        <w:rPr>
          <w:rFonts w:ascii="Arial" w:hAnsi="Arial" w:cs="Arial"/>
          <w:sz w:val="22"/>
          <w:szCs w:val="22"/>
        </w:rPr>
      </w:pPr>
      <w:r w:rsidRPr="00FB2F3D">
        <w:rPr>
          <w:rFonts w:ascii="Arial" w:hAnsi="Arial" w:cs="Arial"/>
          <w:sz w:val="22"/>
          <w:szCs w:val="22"/>
        </w:rPr>
        <w:t>Where a Person referred to in Rule </w:t>
      </w:r>
      <w:r w:rsidR="00693841" w:rsidRPr="00FB2F3D">
        <w:rPr>
          <w:rFonts w:ascii="Arial" w:hAnsi="Arial" w:cs="Arial"/>
          <w:sz w:val="22"/>
          <w:szCs w:val="22"/>
        </w:rPr>
        <w:t>9.3.1</w:t>
      </w:r>
      <w:r w:rsidR="00384E67" w:rsidRPr="00FB2F3D">
        <w:rPr>
          <w:rFonts w:ascii="Arial" w:hAnsi="Arial" w:cs="Arial"/>
          <w:sz w:val="22"/>
          <w:szCs w:val="22"/>
        </w:rPr>
        <w:t xml:space="preserve"> </w:t>
      </w:r>
      <w:r w:rsidRPr="00FB2F3D">
        <w:rPr>
          <w:rFonts w:ascii="Arial" w:hAnsi="Arial" w:cs="Arial"/>
          <w:sz w:val="22"/>
          <w:szCs w:val="22"/>
        </w:rPr>
        <w:t>is required under any legislation applicable to such a Person to comply with a similar or more stringent requirement than the requirements in this section, compliance with those other requirements would be sufficient for the purposes of the relevant requirement in this section.</w:t>
      </w:r>
    </w:p>
    <w:p w14:paraId="5F5C1FB3" w14:textId="4A464C20" w:rsidR="00162E0C" w:rsidRDefault="00162E0C" w:rsidP="0006394F">
      <w:pPr>
        <w:pStyle w:val="GuidanceNotesnumbering"/>
        <w:rPr>
          <w:rFonts w:ascii="Arial" w:hAnsi="Arial" w:cs="Arial"/>
          <w:sz w:val="22"/>
          <w:szCs w:val="22"/>
          <w:lang w:eastAsia="ja-JP"/>
        </w:rPr>
      </w:pPr>
      <w:r w:rsidRPr="00FB2F3D">
        <w:rPr>
          <w:rFonts w:ascii="Arial" w:hAnsi="Arial" w:cs="Arial"/>
          <w:sz w:val="22"/>
          <w:szCs w:val="22"/>
        </w:rPr>
        <w:t xml:space="preserve">For example, in the case of a reduction of </w:t>
      </w:r>
      <w:r w:rsidR="00CA15B4" w:rsidRPr="00FB2F3D">
        <w:rPr>
          <w:rFonts w:ascii="Arial" w:hAnsi="Arial" w:cs="Arial"/>
          <w:sz w:val="22"/>
          <w:szCs w:val="22"/>
        </w:rPr>
        <w:t>Share</w:t>
      </w:r>
      <w:r w:rsidRPr="00FB2F3D">
        <w:rPr>
          <w:rFonts w:ascii="Arial" w:hAnsi="Arial" w:cs="Arial"/>
          <w:sz w:val="22"/>
          <w:szCs w:val="22"/>
        </w:rPr>
        <w:t xml:space="preserve"> capital, more stringent procedures such as a special resolution (i.e. a vote of at least 75% of the </w:t>
      </w:r>
      <w:r w:rsidR="00B46F00" w:rsidRPr="00FB2F3D">
        <w:rPr>
          <w:rFonts w:ascii="Arial" w:hAnsi="Arial" w:cs="Arial"/>
          <w:sz w:val="22"/>
          <w:szCs w:val="22"/>
        </w:rPr>
        <w:t>Shareholder</w:t>
      </w:r>
      <w:r w:rsidRPr="00FB2F3D">
        <w:rPr>
          <w:rFonts w:ascii="Arial" w:hAnsi="Arial" w:cs="Arial"/>
          <w:sz w:val="22"/>
          <w:szCs w:val="22"/>
        </w:rPr>
        <w:t xml:space="preserve">s in voting) may be required under the </w:t>
      </w:r>
      <w:r w:rsidR="0006394F" w:rsidRPr="00FB2F3D">
        <w:rPr>
          <w:rFonts w:ascii="Arial" w:hAnsi="Arial" w:cs="Arial"/>
          <w:sz w:val="22"/>
          <w:szCs w:val="22"/>
        </w:rPr>
        <w:t>c</w:t>
      </w:r>
      <w:r w:rsidR="00EE4C51" w:rsidRPr="00FB2F3D">
        <w:rPr>
          <w:rFonts w:ascii="Arial" w:hAnsi="Arial" w:cs="Arial"/>
          <w:sz w:val="22"/>
          <w:szCs w:val="22"/>
        </w:rPr>
        <w:t>ompany</w:t>
      </w:r>
      <w:r w:rsidRPr="00FB2F3D">
        <w:rPr>
          <w:rFonts w:ascii="Arial" w:hAnsi="Arial" w:cs="Arial"/>
          <w:sz w:val="22"/>
          <w:szCs w:val="22"/>
        </w:rPr>
        <w:t xml:space="preserve"> law or other legislation applicable to a</w:t>
      </w:r>
      <w:r w:rsidR="00222FEC" w:rsidRPr="00FB2F3D">
        <w:rPr>
          <w:rFonts w:ascii="Arial" w:hAnsi="Arial" w:cs="Arial"/>
          <w:sz w:val="22"/>
          <w:szCs w:val="22"/>
        </w:rPr>
        <w:t xml:space="preserve"> </w:t>
      </w:r>
      <w:r w:rsidR="0086233F">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in its jurisdiction of incorporation. Where this is the case, compliance with the more stringent requirements applicable to the </w:t>
      </w:r>
      <w:r w:rsidR="0086233F">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suffices for the purposes of compliance with the requirements in this section dealing with a </w:t>
      </w:r>
      <w:r w:rsidR="00B46F00" w:rsidRPr="00FB2F3D">
        <w:rPr>
          <w:rFonts w:ascii="Arial" w:hAnsi="Arial" w:cs="Arial"/>
          <w:sz w:val="22"/>
          <w:szCs w:val="22"/>
        </w:rPr>
        <w:t>Shareholder</w:t>
      </w:r>
      <w:r w:rsidRPr="00FB2F3D">
        <w:rPr>
          <w:rFonts w:ascii="Arial" w:hAnsi="Arial" w:cs="Arial"/>
          <w:sz w:val="22"/>
          <w:szCs w:val="22"/>
        </w:rPr>
        <w:t xml:space="preserve"> approval by simple majority in Rule </w:t>
      </w:r>
      <w:r w:rsidR="00693841" w:rsidRPr="00FB2F3D">
        <w:rPr>
          <w:rFonts w:ascii="Arial" w:hAnsi="Arial" w:cs="Arial"/>
          <w:sz w:val="22"/>
          <w:szCs w:val="22"/>
        </w:rPr>
        <w:t>9.3.8</w:t>
      </w:r>
      <w:r w:rsidRPr="00FB2F3D">
        <w:rPr>
          <w:rFonts w:ascii="Arial" w:hAnsi="Arial" w:cs="Arial"/>
          <w:sz w:val="22"/>
          <w:szCs w:val="22"/>
          <w:lang w:eastAsia="ja-JP"/>
        </w:rPr>
        <w:t>.</w:t>
      </w:r>
    </w:p>
    <w:p w14:paraId="05E34344" w14:textId="7A9840CC" w:rsidR="0086233F" w:rsidRPr="0086233F" w:rsidRDefault="0086233F" w:rsidP="0006394F">
      <w:pPr>
        <w:pStyle w:val="GuidanceNotesnumbering"/>
        <w:rPr>
          <w:rFonts w:ascii="Arial" w:hAnsi="Arial" w:cs="Arial"/>
          <w:sz w:val="22"/>
          <w:szCs w:val="22"/>
          <w:lang w:eastAsia="ja-JP"/>
        </w:rPr>
      </w:pPr>
      <w:r w:rsidRPr="0086233F">
        <w:rPr>
          <w:rFonts w:ascii="Arial" w:hAnsi="Arial" w:cs="Arial"/>
          <w:sz w:val="22"/>
          <w:szCs w:val="22"/>
        </w:rPr>
        <w:t>The Regulator will expect a Person referred to in Rule 9.3.1 to consider references to a “Shareholder” in this section to refer equally to holders of all classes of Securities as may be applicable in the context of the Listed Entity. For example, in a situation where holders of Debentures are to be asked to vote on a variation of rights or terms, the Regulator will expect a Person referred to in Rule 9.3.1 to give due consideration to the requirements of Rules 9.3.6 and 9.3.7 as if it referred to the relevant Debenture holders.</w:t>
      </w:r>
    </w:p>
    <w:p w14:paraId="6C3903DF"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lastRenderedPageBreak/>
        <w:t>Directors' duties</w:t>
      </w:r>
    </w:p>
    <w:p w14:paraId="625666CA" w14:textId="4BE051F2" w:rsidR="00162E0C" w:rsidRPr="00FB2F3D" w:rsidRDefault="00162E0C" w:rsidP="00222FEC">
      <w:pPr>
        <w:pStyle w:val="Heading3"/>
        <w:keepNext/>
        <w:rPr>
          <w:rFonts w:ascii="Arial" w:hAnsi="Arial" w:cs="Arial"/>
          <w:sz w:val="22"/>
          <w:szCs w:val="22"/>
        </w:rPr>
      </w:pPr>
      <w:r w:rsidRPr="00FB2F3D">
        <w:rPr>
          <w:rFonts w:ascii="Arial" w:hAnsi="Arial" w:cs="Arial"/>
          <w:sz w:val="22"/>
          <w:szCs w:val="22"/>
        </w:rPr>
        <w:t>A Director of a</w:t>
      </w:r>
      <w:r w:rsidR="00222FEC" w:rsidRPr="00FB2F3D">
        <w:rPr>
          <w:rFonts w:ascii="Arial" w:hAnsi="Arial" w:cs="Arial"/>
          <w:sz w:val="22"/>
          <w:szCs w:val="22"/>
        </w:rPr>
        <w:t xml:space="preserve"> </w:t>
      </w:r>
      <w:r w:rsidR="0086233F">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must act:</w:t>
      </w:r>
    </w:p>
    <w:p w14:paraId="27B23910"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on a fully informed basis;</w:t>
      </w:r>
    </w:p>
    <w:p w14:paraId="7B43E0F1" w14:textId="77777777" w:rsidR="00162E0C" w:rsidRPr="00FB2F3D" w:rsidRDefault="00162E0C" w:rsidP="00424270">
      <w:pPr>
        <w:pStyle w:val="Heading4"/>
        <w:rPr>
          <w:rFonts w:ascii="Arial" w:hAnsi="Arial" w:cs="Arial"/>
          <w:sz w:val="22"/>
          <w:szCs w:val="22"/>
          <w:lang w:eastAsia="ja-JP"/>
        </w:rPr>
      </w:pPr>
      <w:r w:rsidRPr="00FB2F3D">
        <w:rPr>
          <w:rFonts w:ascii="Arial" w:hAnsi="Arial" w:cs="Arial"/>
          <w:sz w:val="22"/>
          <w:szCs w:val="22"/>
        </w:rPr>
        <w:t>in good faith;</w:t>
      </w:r>
    </w:p>
    <w:p w14:paraId="76197E59"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honestly;</w:t>
      </w:r>
    </w:p>
    <w:p w14:paraId="4B1125D3"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with due diligence and care; and</w:t>
      </w:r>
    </w:p>
    <w:p w14:paraId="6BE4F57A" w14:textId="6E0468B4" w:rsidR="00162E0C" w:rsidRPr="00FB2F3D" w:rsidRDefault="00162E0C" w:rsidP="00424270">
      <w:pPr>
        <w:pStyle w:val="Heading4"/>
        <w:rPr>
          <w:rFonts w:ascii="Arial" w:hAnsi="Arial" w:cs="Arial"/>
          <w:sz w:val="22"/>
          <w:szCs w:val="22"/>
        </w:rPr>
      </w:pPr>
      <w:r w:rsidRPr="00FB2F3D">
        <w:rPr>
          <w:rFonts w:ascii="Arial" w:hAnsi="Arial" w:cs="Arial"/>
          <w:sz w:val="22"/>
          <w:szCs w:val="22"/>
        </w:rPr>
        <w:t xml:space="preserve">in the best interests of the </w:t>
      </w:r>
      <w:r w:rsidR="009C201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and its </w:t>
      </w:r>
      <w:r w:rsidR="00B46F00" w:rsidRPr="00FB2F3D">
        <w:rPr>
          <w:rFonts w:ascii="Arial" w:hAnsi="Arial" w:cs="Arial"/>
          <w:sz w:val="22"/>
          <w:szCs w:val="22"/>
        </w:rPr>
        <w:t>Shareholder</w:t>
      </w:r>
      <w:r w:rsidRPr="00FB2F3D">
        <w:rPr>
          <w:rFonts w:ascii="Arial" w:hAnsi="Arial" w:cs="Arial"/>
          <w:sz w:val="22"/>
          <w:szCs w:val="22"/>
        </w:rPr>
        <w:t>s.</w:t>
      </w:r>
    </w:p>
    <w:p w14:paraId="49AA43C1"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23F61576" w14:textId="4B9E0BBC" w:rsidR="00162E0C" w:rsidRPr="00FB2F3D" w:rsidRDefault="00162E0C" w:rsidP="00222FEC">
      <w:pPr>
        <w:pStyle w:val="UK12Block05"/>
        <w:rPr>
          <w:rFonts w:ascii="Arial" w:hAnsi="Arial" w:cs="Arial"/>
          <w:sz w:val="22"/>
          <w:szCs w:val="22"/>
        </w:rPr>
      </w:pPr>
      <w:r w:rsidRPr="00FB2F3D">
        <w:rPr>
          <w:rFonts w:ascii="Arial" w:hAnsi="Arial" w:cs="Arial"/>
          <w:sz w:val="22"/>
          <w:szCs w:val="22"/>
        </w:rPr>
        <w:t xml:space="preserve">In order to meet the obligation to act with due diligence and care, a Director should (amongst other things) ensure that he has enough time and capacity available to devote to the job. See also the best practice standards in </w:t>
      </w:r>
      <w:r w:rsidR="00693841" w:rsidRPr="00FB2F3D">
        <w:rPr>
          <w:rFonts w:ascii="Arial" w:hAnsi="Arial" w:cs="Arial"/>
          <w:sz w:val="22"/>
          <w:szCs w:val="22"/>
        </w:rPr>
        <w:t>APP 4</w:t>
      </w:r>
      <w:r w:rsidRPr="00FB2F3D">
        <w:rPr>
          <w:rFonts w:ascii="Arial" w:hAnsi="Arial" w:cs="Arial"/>
          <w:sz w:val="22"/>
          <w:szCs w:val="22"/>
        </w:rPr>
        <w:t xml:space="preserve"> which apply to Directors of </w:t>
      </w:r>
      <w:r w:rsidR="009C2014">
        <w:rPr>
          <w:rFonts w:ascii="Arial" w:hAnsi="Arial" w:cs="Arial"/>
          <w:sz w:val="22"/>
          <w:szCs w:val="22"/>
        </w:rPr>
        <w:t>Listed</w:t>
      </w:r>
      <w:r w:rsidR="00222FEC" w:rsidRPr="00FB2F3D">
        <w:rPr>
          <w:rFonts w:ascii="Arial" w:hAnsi="Arial" w:cs="Arial"/>
          <w:sz w:val="22"/>
          <w:szCs w:val="22"/>
        </w:rPr>
        <w:t xml:space="preserve"> Entitie</w:t>
      </w:r>
      <w:r w:rsidRPr="00FB2F3D">
        <w:rPr>
          <w:rFonts w:ascii="Arial" w:hAnsi="Arial" w:cs="Arial"/>
          <w:sz w:val="22"/>
          <w:szCs w:val="22"/>
        </w:rPr>
        <w:t xml:space="preserve">s who are subject to the </w:t>
      </w:r>
      <w:r w:rsidR="00A65187" w:rsidRPr="00FB2F3D">
        <w:rPr>
          <w:rFonts w:ascii="Arial" w:hAnsi="Arial" w:cs="Arial"/>
          <w:sz w:val="22"/>
          <w:szCs w:val="22"/>
        </w:rPr>
        <w:t>Corporate Governance</w:t>
      </w:r>
      <w:r w:rsidR="00EE4E6B" w:rsidRPr="00FB2F3D">
        <w:rPr>
          <w:rFonts w:ascii="Arial" w:hAnsi="Arial" w:cs="Arial"/>
          <w:sz w:val="22"/>
          <w:szCs w:val="22"/>
        </w:rPr>
        <w:t xml:space="preserve"> Principles</w:t>
      </w:r>
      <w:r w:rsidRPr="00FB2F3D">
        <w:rPr>
          <w:rFonts w:ascii="Arial" w:hAnsi="Arial" w:cs="Arial"/>
          <w:sz w:val="22"/>
          <w:szCs w:val="22"/>
        </w:rPr>
        <w:t>.</w:t>
      </w:r>
    </w:p>
    <w:p w14:paraId="32A21B3F" w14:textId="77777777" w:rsidR="00162E0C" w:rsidRPr="00FB2F3D" w:rsidRDefault="00162E0C" w:rsidP="00384E67">
      <w:pPr>
        <w:pStyle w:val="TitleL"/>
        <w:rPr>
          <w:rFonts w:ascii="Arial" w:hAnsi="Arial" w:cs="Arial"/>
          <w:sz w:val="22"/>
          <w:szCs w:val="22"/>
        </w:rPr>
      </w:pPr>
      <w:r w:rsidRPr="00FB2F3D">
        <w:rPr>
          <w:rFonts w:ascii="Arial" w:hAnsi="Arial" w:cs="Arial"/>
          <w:sz w:val="22"/>
          <w:szCs w:val="22"/>
        </w:rPr>
        <w:t>Equality of treatment</w:t>
      </w:r>
    </w:p>
    <w:p w14:paraId="0FFC0F64" w14:textId="29BB2BEF" w:rsidR="00162E0C" w:rsidRDefault="009C2014" w:rsidP="00222FEC">
      <w:pPr>
        <w:pStyle w:val="Heading3"/>
        <w:rPr>
          <w:rFonts w:ascii="Arial" w:hAnsi="Arial" w:cs="Arial"/>
          <w:sz w:val="22"/>
          <w:szCs w:val="22"/>
        </w:rPr>
      </w:pPr>
      <w:bookmarkStart w:id="744" w:name="_Ref410051713"/>
      <w:r>
        <w:rPr>
          <w:rFonts w:ascii="Arial" w:hAnsi="Arial" w:cs="Arial"/>
          <w:sz w:val="22"/>
          <w:szCs w:val="22"/>
        </w:rPr>
        <w:t>Subject to Rules 9.3.14 to 9.3.17, t</w:t>
      </w:r>
      <w:r w:rsidR="00162E0C" w:rsidRPr="00FB2F3D">
        <w:rPr>
          <w:rFonts w:ascii="Arial" w:hAnsi="Arial" w:cs="Arial"/>
          <w:sz w:val="22"/>
          <w:szCs w:val="22"/>
        </w:rPr>
        <w:t>he Board of a</w:t>
      </w:r>
      <w:r w:rsidR="00222FEC" w:rsidRPr="00FB2F3D">
        <w:rPr>
          <w:rFonts w:ascii="Arial" w:hAnsi="Arial" w:cs="Arial"/>
          <w:sz w:val="22"/>
          <w:szCs w:val="22"/>
        </w:rPr>
        <w:t xml:space="preserve"> </w:t>
      </w:r>
      <w:r>
        <w:rPr>
          <w:rFonts w:ascii="Arial" w:hAnsi="Arial" w:cs="Arial"/>
          <w:sz w:val="22"/>
          <w:szCs w:val="22"/>
        </w:rPr>
        <w:t>Listed</w:t>
      </w:r>
      <w:r w:rsidR="00222FEC" w:rsidRPr="00FB2F3D">
        <w:rPr>
          <w:rFonts w:ascii="Arial" w:hAnsi="Arial" w:cs="Arial"/>
          <w:sz w:val="22"/>
          <w:szCs w:val="22"/>
        </w:rPr>
        <w:t xml:space="preserve"> Entity</w:t>
      </w:r>
      <w:r w:rsidR="00162E0C" w:rsidRPr="00FB2F3D">
        <w:rPr>
          <w:rFonts w:ascii="Arial" w:hAnsi="Arial" w:cs="Arial"/>
          <w:sz w:val="22"/>
          <w:szCs w:val="22"/>
        </w:rPr>
        <w:t xml:space="preserve"> must ensure equality of treatment of all holders of </w:t>
      </w:r>
      <w:r w:rsidR="004B46BD" w:rsidRPr="00FB2F3D">
        <w:rPr>
          <w:rFonts w:ascii="Arial" w:hAnsi="Arial" w:cs="Arial"/>
          <w:sz w:val="22"/>
          <w:szCs w:val="22"/>
        </w:rPr>
        <w:t>Securities</w:t>
      </w:r>
      <w:r w:rsidR="00162E0C" w:rsidRPr="00FB2F3D">
        <w:rPr>
          <w:rFonts w:ascii="Arial" w:hAnsi="Arial" w:cs="Arial"/>
          <w:sz w:val="22"/>
          <w:szCs w:val="22"/>
        </w:rPr>
        <w:t xml:space="preserve"> of a particular class or type in respect of all rights attaching to the </w:t>
      </w:r>
      <w:r w:rsidR="004B46BD" w:rsidRPr="00FB2F3D">
        <w:rPr>
          <w:rFonts w:ascii="Arial" w:hAnsi="Arial" w:cs="Arial"/>
          <w:sz w:val="22"/>
          <w:szCs w:val="22"/>
        </w:rPr>
        <w:t>Securities</w:t>
      </w:r>
      <w:r w:rsidR="00162E0C" w:rsidRPr="00FB2F3D">
        <w:rPr>
          <w:rFonts w:ascii="Arial" w:hAnsi="Arial" w:cs="Arial"/>
          <w:sz w:val="22"/>
          <w:szCs w:val="22"/>
        </w:rPr>
        <w:t xml:space="preserve"> of that class or type of </w:t>
      </w:r>
      <w:r w:rsidR="004B46BD" w:rsidRPr="00FB2F3D">
        <w:rPr>
          <w:rFonts w:ascii="Arial" w:hAnsi="Arial" w:cs="Arial"/>
          <w:sz w:val="22"/>
          <w:szCs w:val="22"/>
        </w:rPr>
        <w:t>Securities</w:t>
      </w:r>
      <w:r w:rsidR="00162E0C" w:rsidRPr="00FB2F3D">
        <w:rPr>
          <w:rFonts w:ascii="Arial" w:hAnsi="Arial" w:cs="Arial"/>
          <w:sz w:val="22"/>
          <w:szCs w:val="22"/>
        </w:rPr>
        <w:t>.</w:t>
      </w:r>
      <w:bookmarkEnd w:id="744"/>
    </w:p>
    <w:p w14:paraId="3C7913CB" w14:textId="77777777" w:rsidR="009C2014" w:rsidRPr="009C2014" w:rsidRDefault="009C2014" w:rsidP="009C2014">
      <w:pPr>
        <w:pStyle w:val="TitleL"/>
        <w:rPr>
          <w:rFonts w:ascii="Arial" w:hAnsi="Arial" w:cs="Arial"/>
          <w:sz w:val="22"/>
          <w:szCs w:val="22"/>
        </w:rPr>
      </w:pPr>
      <w:r w:rsidRPr="009C2014">
        <w:rPr>
          <w:rFonts w:ascii="Arial" w:hAnsi="Arial" w:cs="Arial"/>
          <w:sz w:val="22"/>
          <w:szCs w:val="22"/>
        </w:rPr>
        <w:t>Guidance</w:t>
      </w:r>
    </w:p>
    <w:p w14:paraId="0BF92432" w14:textId="77777777" w:rsidR="009C2014" w:rsidRPr="009C2014" w:rsidRDefault="009C2014" w:rsidP="009C2014">
      <w:pPr>
        <w:pStyle w:val="UK12Block05"/>
        <w:rPr>
          <w:rFonts w:ascii="Arial" w:hAnsi="Arial" w:cs="Arial"/>
          <w:sz w:val="22"/>
          <w:szCs w:val="22"/>
        </w:rPr>
      </w:pPr>
      <w:r w:rsidRPr="009C2014">
        <w:rPr>
          <w:rFonts w:ascii="Arial" w:hAnsi="Arial" w:cs="Arial"/>
          <w:sz w:val="22"/>
          <w:szCs w:val="22"/>
        </w:rPr>
        <w:t>For the Rules relating to Weighted Voting Rights, refer to Rules 9.3.14 to 9.3.20. These set out the circumstances where a Listed Entity can potentially deviate from the “one-share, one-vote” principle established by this Rule.</w:t>
      </w:r>
    </w:p>
    <w:p w14:paraId="53E71817" w14:textId="77777777" w:rsidR="00162E0C" w:rsidRPr="00FB2F3D" w:rsidRDefault="00162E0C" w:rsidP="00384E67">
      <w:pPr>
        <w:pStyle w:val="TitleL"/>
        <w:rPr>
          <w:rFonts w:ascii="Arial" w:hAnsi="Arial" w:cs="Arial"/>
          <w:sz w:val="22"/>
          <w:szCs w:val="22"/>
        </w:rPr>
      </w:pPr>
      <w:r w:rsidRPr="00FB2F3D">
        <w:rPr>
          <w:rFonts w:ascii="Arial" w:hAnsi="Arial" w:cs="Arial"/>
          <w:sz w:val="22"/>
          <w:szCs w:val="22"/>
        </w:rPr>
        <w:t xml:space="preserve">Reduction of </w:t>
      </w:r>
      <w:r w:rsidR="00CA15B4" w:rsidRPr="00FB2F3D">
        <w:rPr>
          <w:rFonts w:ascii="Arial" w:hAnsi="Arial" w:cs="Arial"/>
          <w:sz w:val="22"/>
          <w:szCs w:val="22"/>
        </w:rPr>
        <w:t>Share</w:t>
      </w:r>
      <w:r w:rsidRPr="00FB2F3D">
        <w:rPr>
          <w:rFonts w:ascii="Arial" w:hAnsi="Arial" w:cs="Arial"/>
          <w:sz w:val="22"/>
          <w:szCs w:val="22"/>
        </w:rPr>
        <w:t xml:space="preserve"> capital</w:t>
      </w:r>
    </w:p>
    <w:p w14:paraId="6393FD00" w14:textId="59CD244D" w:rsidR="00162E0C" w:rsidRPr="00FB2F3D" w:rsidRDefault="00162E0C" w:rsidP="00222FEC">
      <w:pPr>
        <w:pStyle w:val="Heading3"/>
        <w:rPr>
          <w:rFonts w:ascii="Arial" w:hAnsi="Arial" w:cs="Arial"/>
          <w:sz w:val="22"/>
          <w:szCs w:val="22"/>
        </w:rPr>
      </w:pPr>
      <w:bookmarkStart w:id="745" w:name="_Ref410073508"/>
      <w:bookmarkStart w:id="746" w:name="_Ref410630902"/>
      <w:r w:rsidRPr="00FB2F3D">
        <w:rPr>
          <w:rFonts w:ascii="Arial" w:hAnsi="Arial" w:cs="Arial"/>
          <w:sz w:val="22"/>
          <w:szCs w:val="22"/>
        </w:rPr>
        <w:t>The Board of a</w:t>
      </w:r>
      <w:r w:rsidR="00222FEC" w:rsidRPr="00FB2F3D">
        <w:rPr>
          <w:rFonts w:ascii="Arial" w:hAnsi="Arial" w:cs="Arial"/>
          <w:sz w:val="22"/>
          <w:szCs w:val="22"/>
        </w:rPr>
        <w:t xml:space="preserve"> </w:t>
      </w:r>
      <w:r w:rsidR="009C201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must ensure that a</w:t>
      </w:r>
      <w:r w:rsidR="00222FEC" w:rsidRPr="00FB2F3D">
        <w:rPr>
          <w:rFonts w:ascii="Arial" w:hAnsi="Arial" w:cs="Arial"/>
          <w:sz w:val="22"/>
          <w:szCs w:val="22"/>
        </w:rPr>
        <w:t xml:space="preserve"> </w:t>
      </w:r>
      <w:r w:rsidR="009C201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does not purchase its own Shares unless</w:t>
      </w:r>
      <w:bookmarkEnd w:id="745"/>
      <w:r w:rsidRPr="00FB2F3D">
        <w:rPr>
          <w:rFonts w:ascii="Arial" w:hAnsi="Arial" w:cs="Arial"/>
          <w:sz w:val="22"/>
          <w:szCs w:val="22"/>
        </w:rPr>
        <w:t>:</w:t>
      </w:r>
      <w:bookmarkEnd w:id="746"/>
    </w:p>
    <w:p w14:paraId="3F5DD040" w14:textId="0D5936B8" w:rsidR="00162E0C" w:rsidRPr="00FB2F3D" w:rsidRDefault="00162E0C" w:rsidP="00424270">
      <w:pPr>
        <w:pStyle w:val="Heading4"/>
        <w:rPr>
          <w:rFonts w:ascii="Arial" w:hAnsi="Arial" w:cs="Arial"/>
          <w:sz w:val="22"/>
          <w:szCs w:val="22"/>
        </w:rPr>
      </w:pPr>
      <w:r w:rsidRPr="00FB2F3D">
        <w:rPr>
          <w:rFonts w:ascii="Arial" w:hAnsi="Arial" w:cs="Arial"/>
          <w:sz w:val="22"/>
          <w:szCs w:val="22"/>
        </w:rPr>
        <w:t xml:space="preserve">the purchase does not materially prejudice the </w:t>
      </w:r>
      <w:r w:rsidR="009C201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's ability to pay its creditors</w:t>
      </w:r>
      <w:r w:rsidR="00D7529B" w:rsidRPr="00FB2F3D">
        <w:rPr>
          <w:rFonts w:ascii="Arial" w:hAnsi="Arial" w:cs="Arial"/>
          <w:sz w:val="22"/>
          <w:szCs w:val="22"/>
        </w:rPr>
        <w:t xml:space="preserve"> as they fall due</w:t>
      </w:r>
      <w:r w:rsidRPr="00FB2F3D">
        <w:rPr>
          <w:rFonts w:ascii="Arial" w:hAnsi="Arial" w:cs="Arial"/>
          <w:sz w:val="22"/>
          <w:szCs w:val="22"/>
        </w:rPr>
        <w:t>;</w:t>
      </w:r>
    </w:p>
    <w:p w14:paraId="0D0B0CA2" w14:textId="77777777" w:rsidR="00162E0C" w:rsidRPr="00FB2F3D" w:rsidRDefault="00162E0C" w:rsidP="00424270">
      <w:pPr>
        <w:pStyle w:val="Heading4"/>
        <w:rPr>
          <w:rFonts w:ascii="Arial" w:hAnsi="Arial" w:cs="Arial"/>
          <w:sz w:val="22"/>
          <w:szCs w:val="22"/>
        </w:rPr>
      </w:pPr>
      <w:bookmarkStart w:id="747" w:name="_Ref410667178"/>
      <w:r w:rsidRPr="00FB2F3D">
        <w:rPr>
          <w:rFonts w:ascii="Arial" w:hAnsi="Arial" w:cs="Arial"/>
          <w:sz w:val="22"/>
          <w:szCs w:val="22"/>
        </w:rPr>
        <w:t xml:space="preserve">it has obtained prior approval of </w:t>
      </w:r>
      <w:r w:rsidR="00B46F00" w:rsidRPr="00FB2F3D">
        <w:rPr>
          <w:rFonts w:ascii="Arial" w:hAnsi="Arial" w:cs="Arial"/>
          <w:sz w:val="22"/>
          <w:szCs w:val="22"/>
        </w:rPr>
        <w:t>Shareholder</w:t>
      </w:r>
      <w:r w:rsidRPr="00FB2F3D">
        <w:rPr>
          <w:rFonts w:ascii="Arial" w:hAnsi="Arial" w:cs="Arial"/>
          <w:sz w:val="22"/>
          <w:szCs w:val="22"/>
        </w:rPr>
        <w:t>s in meeting by a majority vote; and</w:t>
      </w:r>
      <w:bookmarkEnd w:id="747"/>
    </w:p>
    <w:p w14:paraId="7BF04D1C"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 xml:space="preserve">prior to the meeting seeking the consent referred to in </w:t>
      </w:r>
      <w:r w:rsidR="00693841" w:rsidRPr="00FB2F3D">
        <w:rPr>
          <w:rFonts w:ascii="Arial" w:hAnsi="Arial" w:cs="Arial"/>
          <w:sz w:val="22"/>
          <w:szCs w:val="22"/>
        </w:rPr>
        <w:t>(2)</w:t>
      </w:r>
      <w:r w:rsidRPr="00FB2F3D">
        <w:rPr>
          <w:rFonts w:ascii="Arial" w:hAnsi="Arial" w:cs="Arial"/>
          <w:sz w:val="22"/>
          <w:szCs w:val="22"/>
        </w:rPr>
        <w:t xml:space="preserve">, the notice of the meeting and any accompanying documents relating to the purchase is filed with the </w:t>
      </w:r>
      <w:r w:rsidR="0035335F" w:rsidRPr="00FB2F3D">
        <w:rPr>
          <w:rFonts w:ascii="Arial" w:hAnsi="Arial" w:cs="Arial"/>
          <w:sz w:val="22"/>
          <w:szCs w:val="22"/>
        </w:rPr>
        <w:t>Regulator</w:t>
      </w:r>
      <w:r w:rsidRPr="00FB2F3D">
        <w:rPr>
          <w:rFonts w:ascii="Arial" w:hAnsi="Arial" w:cs="Arial"/>
          <w:sz w:val="22"/>
          <w:szCs w:val="22"/>
        </w:rPr>
        <w:t>.</w:t>
      </w:r>
    </w:p>
    <w:p w14:paraId="261B785A" w14:textId="22574AB1" w:rsidR="00162E0C" w:rsidRPr="00FB2F3D" w:rsidRDefault="009C2014" w:rsidP="00222FEC">
      <w:pPr>
        <w:pStyle w:val="Heading3"/>
        <w:rPr>
          <w:rFonts w:ascii="Arial" w:hAnsi="Arial" w:cs="Arial"/>
          <w:sz w:val="22"/>
          <w:szCs w:val="22"/>
        </w:rPr>
      </w:pPr>
      <w:bookmarkStart w:id="748" w:name="_Ref422414316"/>
      <w:r>
        <w:rPr>
          <w:rFonts w:ascii="Arial" w:hAnsi="Arial" w:cs="Arial"/>
          <w:sz w:val="22"/>
          <w:szCs w:val="22"/>
        </w:rPr>
        <w:t>[Deleted]</w:t>
      </w:r>
      <w:bookmarkEnd w:id="748"/>
    </w:p>
    <w:p w14:paraId="06E4E22D" w14:textId="77777777" w:rsidR="00162E0C" w:rsidRPr="00FB2F3D" w:rsidRDefault="00162E0C" w:rsidP="00384E67">
      <w:pPr>
        <w:pStyle w:val="TitleL"/>
        <w:rPr>
          <w:rFonts w:ascii="Arial" w:hAnsi="Arial" w:cs="Arial"/>
          <w:sz w:val="22"/>
          <w:szCs w:val="22"/>
        </w:rPr>
      </w:pPr>
      <w:r w:rsidRPr="00FB2F3D">
        <w:rPr>
          <w:rFonts w:ascii="Arial" w:hAnsi="Arial" w:cs="Arial"/>
          <w:sz w:val="22"/>
          <w:szCs w:val="22"/>
        </w:rPr>
        <w:t xml:space="preserve">Communications with </w:t>
      </w:r>
      <w:r w:rsidR="00B46F00" w:rsidRPr="00FB2F3D">
        <w:rPr>
          <w:rFonts w:ascii="Arial" w:hAnsi="Arial" w:cs="Arial"/>
          <w:sz w:val="22"/>
          <w:szCs w:val="22"/>
        </w:rPr>
        <w:t>Shareholder</w:t>
      </w:r>
      <w:r w:rsidRPr="00FB2F3D">
        <w:rPr>
          <w:rFonts w:ascii="Arial" w:hAnsi="Arial" w:cs="Arial"/>
          <w:sz w:val="22"/>
          <w:szCs w:val="22"/>
        </w:rPr>
        <w:t>s</w:t>
      </w:r>
    </w:p>
    <w:p w14:paraId="15C584C8" w14:textId="2BC90A8E" w:rsidR="00162E0C" w:rsidRPr="00FB2F3D" w:rsidRDefault="007441BA" w:rsidP="00222FEC">
      <w:pPr>
        <w:pStyle w:val="Heading3"/>
        <w:ind w:left="1440" w:hanging="1440"/>
        <w:rPr>
          <w:rFonts w:ascii="Arial" w:hAnsi="Arial" w:cs="Arial"/>
          <w:sz w:val="22"/>
          <w:szCs w:val="22"/>
        </w:rPr>
      </w:pPr>
      <w:bookmarkStart w:id="749" w:name="_Ref422415003"/>
      <w:r w:rsidRPr="00FB2F3D">
        <w:rPr>
          <w:rFonts w:ascii="Arial" w:hAnsi="Arial" w:cs="Arial"/>
          <w:sz w:val="22"/>
          <w:szCs w:val="22"/>
        </w:rPr>
        <w:t>(1)</w:t>
      </w:r>
      <w:r w:rsidR="00384E67" w:rsidRPr="00FB2F3D">
        <w:rPr>
          <w:rFonts w:ascii="Arial" w:hAnsi="Arial" w:cs="Arial"/>
          <w:sz w:val="22"/>
          <w:szCs w:val="22"/>
        </w:rPr>
        <w:tab/>
      </w:r>
      <w:r w:rsidR="00162E0C" w:rsidRPr="00FB2F3D">
        <w:rPr>
          <w:rFonts w:ascii="Arial" w:hAnsi="Arial" w:cs="Arial"/>
          <w:sz w:val="22"/>
          <w:szCs w:val="22"/>
        </w:rPr>
        <w:t>The Board of a</w:t>
      </w:r>
      <w:r w:rsidR="00222FEC" w:rsidRPr="00FB2F3D">
        <w:rPr>
          <w:rFonts w:ascii="Arial" w:hAnsi="Arial" w:cs="Arial"/>
          <w:sz w:val="22"/>
          <w:szCs w:val="22"/>
        </w:rPr>
        <w:t xml:space="preserve"> </w:t>
      </w:r>
      <w:r w:rsidR="009C2014">
        <w:rPr>
          <w:rFonts w:ascii="Arial" w:hAnsi="Arial" w:cs="Arial"/>
          <w:sz w:val="22"/>
          <w:szCs w:val="22"/>
        </w:rPr>
        <w:t>Listed</w:t>
      </w:r>
      <w:r w:rsidR="00222FEC" w:rsidRPr="00FB2F3D">
        <w:rPr>
          <w:rFonts w:ascii="Arial" w:hAnsi="Arial" w:cs="Arial"/>
          <w:sz w:val="22"/>
          <w:szCs w:val="22"/>
        </w:rPr>
        <w:t xml:space="preserve"> Entity</w:t>
      </w:r>
      <w:r w:rsidR="00162E0C" w:rsidRPr="00FB2F3D">
        <w:rPr>
          <w:rFonts w:ascii="Arial" w:hAnsi="Arial" w:cs="Arial"/>
          <w:sz w:val="22"/>
          <w:szCs w:val="22"/>
        </w:rPr>
        <w:t xml:space="preserve"> must ensure that all the necessary information and facilities are available to its </w:t>
      </w:r>
      <w:r w:rsidR="00B46F00" w:rsidRPr="00FB2F3D">
        <w:rPr>
          <w:rFonts w:ascii="Arial" w:hAnsi="Arial" w:cs="Arial"/>
          <w:sz w:val="22"/>
          <w:szCs w:val="22"/>
        </w:rPr>
        <w:t>Shareholder</w:t>
      </w:r>
      <w:r w:rsidR="00162E0C" w:rsidRPr="00FB2F3D">
        <w:rPr>
          <w:rFonts w:ascii="Arial" w:hAnsi="Arial" w:cs="Arial"/>
          <w:sz w:val="22"/>
          <w:szCs w:val="22"/>
        </w:rPr>
        <w:t>s to enable them to exercise the rights attaching to their Shares on a well</w:t>
      </w:r>
      <w:r w:rsidR="00162E0C" w:rsidRPr="00FB2F3D">
        <w:rPr>
          <w:rFonts w:ascii="Arial" w:hAnsi="Arial" w:cs="Arial"/>
          <w:sz w:val="22"/>
          <w:szCs w:val="22"/>
          <w:lang w:eastAsia="ja-JP"/>
        </w:rPr>
        <w:noBreakHyphen/>
      </w:r>
      <w:r w:rsidR="00162E0C" w:rsidRPr="00FB2F3D">
        <w:rPr>
          <w:rFonts w:ascii="Arial" w:hAnsi="Arial" w:cs="Arial"/>
          <w:sz w:val="22"/>
          <w:szCs w:val="22"/>
        </w:rPr>
        <w:t>informed basis.</w:t>
      </w:r>
      <w:bookmarkEnd w:id="749"/>
    </w:p>
    <w:p w14:paraId="5583BB7B" w14:textId="77777777" w:rsidR="00162E0C" w:rsidRPr="00FB2F3D" w:rsidRDefault="0006394F" w:rsidP="0006394F">
      <w:pPr>
        <w:pStyle w:val="Heading4"/>
        <w:numPr>
          <w:ilvl w:val="0"/>
          <w:numId w:val="0"/>
        </w:numPr>
        <w:ind w:left="1440" w:hanging="720"/>
        <w:rPr>
          <w:rFonts w:ascii="Arial" w:hAnsi="Arial" w:cs="Arial"/>
          <w:sz w:val="22"/>
          <w:szCs w:val="22"/>
        </w:rPr>
      </w:pPr>
      <w:bookmarkStart w:id="750" w:name="_Ref422415006"/>
      <w:r w:rsidRPr="00FB2F3D">
        <w:rPr>
          <w:rFonts w:ascii="Arial" w:hAnsi="Arial" w:cs="Arial"/>
          <w:sz w:val="22"/>
          <w:szCs w:val="22"/>
        </w:rPr>
        <w:lastRenderedPageBreak/>
        <w:t>(2)</w:t>
      </w:r>
      <w:r w:rsidRPr="00FB2F3D">
        <w:rPr>
          <w:rFonts w:ascii="Arial" w:hAnsi="Arial" w:cs="Arial"/>
          <w:sz w:val="22"/>
          <w:szCs w:val="22"/>
        </w:rPr>
        <w:tab/>
      </w:r>
      <w:r w:rsidR="00162E0C" w:rsidRPr="00FB2F3D">
        <w:rPr>
          <w:rFonts w:ascii="Arial" w:hAnsi="Arial" w:cs="Arial"/>
          <w:sz w:val="22"/>
          <w:szCs w:val="22"/>
        </w:rPr>
        <w:t>Without limiting the generality of the obligation in</w:t>
      </w:r>
      <w:r w:rsidR="00384E67" w:rsidRPr="00FB2F3D">
        <w:rPr>
          <w:rFonts w:ascii="Arial" w:hAnsi="Arial" w:cs="Arial"/>
          <w:sz w:val="22"/>
          <w:szCs w:val="22"/>
        </w:rPr>
        <w:t xml:space="preserve"> </w:t>
      </w:r>
      <w:r w:rsidR="00693841" w:rsidRPr="00FB2F3D">
        <w:rPr>
          <w:rFonts w:ascii="Arial" w:hAnsi="Arial" w:cs="Arial"/>
          <w:sz w:val="22"/>
          <w:szCs w:val="22"/>
        </w:rPr>
        <w:t>(1)</w:t>
      </w:r>
      <w:r w:rsidR="00162E0C" w:rsidRPr="00FB2F3D">
        <w:rPr>
          <w:rFonts w:ascii="Arial" w:hAnsi="Arial" w:cs="Arial"/>
          <w:sz w:val="22"/>
          <w:szCs w:val="22"/>
        </w:rPr>
        <w:t xml:space="preserve">, the Board must ensure that the </w:t>
      </w:r>
      <w:r w:rsidR="00B46F00" w:rsidRPr="00FB2F3D">
        <w:rPr>
          <w:rFonts w:ascii="Arial" w:hAnsi="Arial" w:cs="Arial"/>
          <w:sz w:val="22"/>
          <w:szCs w:val="22"/>
        </w:rPr>
        <w:t>Shareholder</w:t>
      </w:r>
      <w:r w:rsidR="00162E0C" w:rsidRPr="00FB2F3D">
        <w:rPr>
          <w:rFonts w:ascii="Arial" w:hAnsi="Arial" w:cs="Arial"/>
          <w:sz w:val="22"/>
          <w:szCs w:val="22"/>
        </w:rPr>
        <w:t>s:</w:t>
      </w:r>
      <w:bookmarkEnd w:id="750"/>
    </w:p>
    <w:p w14:paraId="39BC3AD2"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are provided with the necessary information relating to the matters to be determined at meetings to enable them to exercise their right to vote, including the proxy forms and notice of meetings; and</w:t>
      </w:r>
    </w:p>
    <w:p w14:paraId="05295BAA" w14:textId="77777777" w:rsidR="00162E0C" w:rsidRPr="00FB2F3D" w:rsidRDefault="00162E0C" w:rsidP="0061693E">
      <w:pPr>
        <w:pStyle w:val="Heading5"/>
        <w:rPr>
          <w:rFonts w:ascii="Arial" w:hAnsi="Arial" w:cs="Arial"/>
          <w:sz w:val="22"/>
          <w:szCs w:val="22"/>
        </w:rPr>
      </w:pPr>
      <w:bookmarkStart w:id="751" w:name="_Ref422415007"/>
      <w:r w:rsidRPr="00FB2F3D">
        <w:rPr>
          <w:rFonts w:ascii="Arial" w:hAnsi="Arial" w:cs="Arial"/>
          <w:sz w:val="22"/>
          <w:szCs w:val="22"/>
        </w:rPr>
        <w:t xml:space="preserve">have access to any relevant notices or circulars giving information in relation to the rights attaching to the </w:t>
      </w:r>
      <w:r w:rsidR="004B46BD" w:rsidRPr="00FB2F3D">
        <w:rPr>
          <w:rFonts w:ascii="Arial" w:hAnsi="Arial" w:cs="Arial"/>
          <w:sz w:val="22"/>
          <w:szCs w:val="22"/>
        </w:rPr>
        <w:t>Securities</w:t>
      </w:r>
      <w:r w:rsidRPr="00FB2F3D">
        <w:rPr>
          <w:rFonts w:ascii="Arial" w:hAnsi="Arial" w:cs="Arial"/>
          <w:sz w:val="22"/>
          <w:szCs w:val="22"/>
        </w:rPr>
        <w:t>.</w:t>
      </w:r>
      <w:bookmarkEnd w:id="751"/>
    </w:p>
    <w:p w14:paraId="1EAE4647" w14:textId="77777777" w:rsidR="00CE61AB" w:rsidRPr="00FB2F3D" w:rsidRDefault="00CE61AB" w:rsidP="00CE61AB">
      <w:pPr>
        <w:pStyle w:val="TitleL"/>
        <w:rPr>
          <w:rFonts w:ascii="Arial" w:hAnsi="Arial" w:cs="Arial"/>
          <w:sz w:val="22"/>
          <w:szCs w:val="22"/>
        </w:rPr>
      </w:pPr>
      <w:r w:rsidRPr="00FB2F3D">
        <w:rPr>
          <w:rFonts w:ascii="Arial" w:hAnsi="Arial" w:cs="Arial"/>
          <w:sz w:val="22"/>
          <w:szCs w:val="22"/>
        </w:rPr>
        <w:t>Guidance</w:t>
      </w:r>
    </w:p>
    <w:p w14:paraId="1ECACA24" w14:textId="07217E76" w:rsidR="00CE61AB" w:rsidRPr="00FB2F3D" w:rsidRDefault="00CE61AB" w:rsidP="00CE61AB">
      <w:pPr>
        <w:pStyle w:val="GuidanceNotesnumbering"/>
        <w:numPr>
          <w:ilvl w:val="0"/>
          <w:numId w:val="0"/>
        </w:numPr>
        <w:ind w:left="720"/>
        <w:rPr>
          <w:rFonts w:ascii="Arial" w:hAnsi="Arial" w:cs="Arial"/>
          <w:sz w:val="22"/>
          <w:szCs w:val="22"/>
        </w:rPr>
      </w:pPr>
      <w:r w:rsidRPr="00FB2F3D">
        <w:rPr>
          <w:rFonts w:ascii="Arial" w:hAnsi="Arial" w:cs="Arial"/>
          <w:sz w:val="22"/>
          <w:szCs w:val="22"/>
        </w:rPr>
        <w:t xml:space="preserve">In adhering to its obligations in </w:t>
      </w:r>
      <w:r w:rsidR="00693841" w:rsidRPr="00FB2F3D">
        <w:rPr>
          <w:rFonts w:ascii="Arial" w:hAnsi="Arial" w:cs="Arial"/>
          <w:sz w:val="22"/>
          <w:szCs w:val="22"/>
        </w:rPr>
        <w:t>(2)(b)</w:t>
      </w:r>
      <w:r w:rsidRPr="00FB2F3D">
        <w:rPr>
          <w:rFonts w:ascii="Arial" w:hAnsi="Arial" w:cs="Arial"/>
          <w:sz w:val="22"/>
          <w:szCs w:val="22"/>
        </w:rPr>
        <w:t>, the Board</w:t>
      </w:r>
      <w:r w:rsidR="009C2014">
        <w:rPr>
          <w:rFonts w:ascii="Arial" w:hAnsi="Arial" w:cs="Arial"/>
          <w:sz w:val="22"/>
          <w:szCs w:val="22"/>
        </w:rPr>
        <w:t xml:space="preserve"> of a Listed Entity incorporated in ADGM</w:t>
      </w:r>
      <w:r w:rsidRPr="00FB2F3D">
        <w:rPr>
          <w:rFonts w:ascii="Arial" w:hAnsi="Arial" w:cs="Arial"/>
          <w:sz w:val="22"/>
          <w:szCs w:val="22"/>
        </w:rPr>
        <w:t xml:space="preserve"> must comply with the time periods for giving such notices </w:t>
      </w:r>
      <w:r w:rsidR="00FA4484">
        <w:rPr>
          <w:rFonts w:ascii="Arial" w:hAnsi="Arial" w:cs="Arial"/>
          <w:sz w:val="22"/>
          <w:szCs w:val="22"/>
        </w:rPr>
        <w:t>specified by</w:t>
      </w:r>
      <w:r w:rsidRPr="00FB2F3D">
        <w:rPr>
          <w:rFonts w:ascii="Arial" w:hAnsi="Arial" w:cs="Arial"/>
          <w:sz w:val="22"/>
          <w:szCs w:val="22"/>
        </w:rPr>
        <w:t xml:space="preserve"> the Companies Regulations 2015. </w:t>
      </w:r>
    </w:p>
    <w:p w14:paraId="64B99155"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Proxy solicitation</w:t>
      </w:r>
    </w:p>
    <w:p w14:paraId="3E0943F1" w14:textId="1BDA113F" w:rsidR="00162E0C" w:rsidRPr="00FB2F3D" w:rsidRDefault="00162E0C" w:rsidP="00222FEC">
      <w:pPr>
        <w:pStyle w:val="Heading3"/>
        <w:rPr>
          <w:rFonts w:ascii="Arial" w:hAnsi="Arial" w:cs="Arial"/>
          <w:sz w:val="22"/>
          <w:szCs w:val="22"/>
        </w:rPr>
      </w:pPr>
      <w:r w:rsidRPr="00FB2F3D">
        <w:rPr>
          <w:rFonts w:ascii="Arial" w:hAnsi="Arial" w:cs="Arial"/>
          <w:sz w:val="22"/>
          <w:szCs w:val="22"/>
        </w:rPr>
        <w:t>The Board of a</w:t>
      </w:r>
      <w:r w:rsidR="00222FEC" w:rsidRPr="00FB2F3D">
        <w:rPr>
          <w:rFonts w:ascii="Arial" w:hAnsi="Arial" w:cs="Arial"/>
          <w:sz w:val="22"/>
          <w:szCs w:val="22"/>
        </w:rPr>
        <w:t xml:space="preserve"> </w:t>
      </w:r>
      <w:r w:rsidR="00FA448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must ensure that for each meeting at which </w:t>
      </w:r>
      <w:r w:rsidR="00B46F00" w:rsidRPr="00FB2F3D">
        <w:rPr>
          <w:rFonts w:ascii="Arial" w:hAnsi="Arial" w:cs="Arial"/>
          <w:sz w:val="22"/>
          <w:szCs w:val="22"/>
        </w:rPr>
        <w:t>Shareholder</w:t>
      </w:r>
      <w:r w:rsidRPr="00FB2F3D">
        <w:rPr>
          <w:rFonts w:ascii="Arial" w:hAnsi="Arial" w:cs="Arial"/>
          <w:sz w:val="22"/>
          <w:szCs w:val="22"/>
        </w:rPr>
        <w:t xml:space="preserve">s are eligible to exercise voting rights attaching to their </w:t>
      </w:r>
      <w:r w:rsidR="004B46BD" w:rsidRPr="00FB2F3D">
        <w:rPr>
          <w:rFonts w:ascii="Arial" w:hAnsi="Arial" w:cs="Arial"/>
          <w:sz w:val="22"/>
          <w:szCs w:val="22"/>
        </w:rPr>
        <w:t>Securities</w:t>
      </w:r>
      <w:r w:rsidRPr="00FB2F3D">
        <w:rPr>
          <w:rFonts w:ascii="Arial" w:hAnsi="Arial" w:cs="Arial"/>
          <w:sz w:val="22"/>
          <w:szCs w:val="22"/>
        </w:rPr>
        <w:t xml:space="preserve">, each </w:t>
      </w:r>
      <w:r w:rsidR="00B46F00" w:rsidRPr="00FB2F3D">
        <w:rPr>
          <w:rFonts w:ascii="Arial" w:hAnsi="Arial" w:cs="Arial"/>
          <w:sz w:val="22"/>
          <w:szCs w:val="22"/>
        </w:rPr>
        <w:t>Shareholder</w:t>
      </w:r>
      <w:r w:rsidRPr="00FB2F3D">
        <w:rPr>
          <w:rFonts w:ascii="Arial" w:hAnsi="Arial" w:cs="Arial"/>
          <w:sz w:val="22"/>
          <w:szCs w:val="22"/>
        </w:rPr>
        <w:t xml:space="preserve"> is given the right and means to vote by proxy.</w:t>
      </w:r>
    </w:p>
    <w:p w14:paraId="04805B22" w14:textId="77777777" w:rsidR="00162E0C" w:rsidRPr="00FB2F3D" w:rsidRDefault="00162E0C" w:rsidP="00384E67">
      <w:pPr>
        <w:pStyle w:val="TitleL"/>
        <w:rPr>
          <w:rFonts w:ascii="Arial" w:hAnsi="Arial" w:cs="Arial"/>
          <w:sz w:val="22"/>
          <w:szCs w:val="22"/>
        </w:rPr>
      </w:pPr>
      <w:r w:rsidRPr="00FB2F3D">
        <w:rPr>
          <w:rFonts w:ascii="Arial" w:hAnsi="Arial" w:cs="Arial"/>
          <w:sz w:val="22"/>
          <w:szCs w:val="22"/>
        </w:rPr>
        <w:t xml:space="preserve">Other matters requiring </w:t>
      </w:r>
      <w:r w:rsidR="00B46F00" w:rsidRPr="00FB2F3D">
        <w:rPr>
          <w:rFonts w:ascii="Arial" w:hAnsi="Arial" w:cs="Arial"/>
          <w:sz w:val="22"/>
          <w:szCs w:val="22"/>
        </w:rPr>
        <w:t>Shareholder</w:t>
      </w:r>
      <w:r w:rsidRPr="00FB2F3D">
        <w:rPr>
          <w:rFonts w:ascii="Arial" w:hAnsi="Arial" w:cs="Arial"/>
          <w:sz w:val="22"/>
          <w:szCs w:val="22"/>
        </w:rPr>
        <w:t xml:space="preserve"> approval</w:t>
      </w:r>
    </w:p>
    <w:p w14:paraId="4B34CE04" w14:textId="062AE55D" w:rsidR="00162E0C" w:rsidRPr="00FB2F3D" w:rsidRDefault="007441BA" w:rsidP="00222FEC">
      <w:pPr>
        <w:pStyle w:val="Heading3"/>
        <w:ind w:left="1440" w:hanging="1440"/>
        <w:rPr>
          <w:rFonts w:ascii="Arial" w:hAnsi="Arial" w:cs="Arial"/>
          <w:sz w:val="22"/>
          <w:szCs w:val="22"/>
        </w:rPr>
      </w:pPr>
      <w:bookmarkStart w:id="752" w:name="_Ref410051737"/>
      <w:bookmarkStart w:id="753" w:name="_Ref410630543"/>
      <w:r w:rsidRPr="00FB2F3D">
        <w:rPr>
          <w:rFonts w:ascii="Arial" w:hAnsi="Arial" w:cs="Arial"/>
          <w:sz w:val="22"/>
          <w:szCs w:val="22"/>
        </w:rPr>
        <w:t>(1)</w:t>
      </w:r>
      <w:r w:rsidR="00384E67" w:rsidRPr="00FB2F3D">
        <w:rPr>
          <w:rFonts w:ascii="Arial" w:hAnsi="Arial" w:cs="Arial"/>
          <w:sz w:val="22"/>
          <w:szCs w:val="22"/>
        </w:rPr>
        <w:tab/>
      </w:r>
      <w:r w:rsidR="00162E0C" w:rsidRPr="00FB2F3D">
        <w:rPr>
          <w:rFonts w:ascii="Arial" w:hAnsi="Arial" w:cs="Arial"/>
          <w:sz w:val="22"/>
          <w:szCs w:val="22"/>
        </w:rPr>
        <w:t>The Board of a</w:t>
      </w:r>
      <w:r w:rsidR="00222FEC" w:rsidRPr="00FB2F3D">
        <w:rPr>
          <w:rFonts w:ascii="Arial" w:hAnsi="Arial" w:cs="Arial"/>
          <w:sz w:val="22"/>
          <w:szCs w:val="22"/>
        </w:rPr>
        <w:t xml:space="preserve"> </w:t>
      </w:r>
      <w:r w:rsidR="00FA4484">
        <w:rPr>
          <w:rFonts w:ascii="Arial" w:hAnsi="Arial" w:cs="Arial"/>
          <w:sz w:val="22"/>
          <w:szCs w:val="22"/>
        </w:rPr>
        <w:t>Listed</w:t>
      </w:r>
      <w:r w:rsidR="00222FEC" w:rsidRPr="00FB2F3D">
        <w:rPr>
          <w:rFonts w:ascii="Arial" w:hAnsi="Arial" w:cs="Arial"/>
          <w:sz w:val="22"/>
          <w:szCs w:val="22"/>
        </w:rPr>
        <w:t xml:space="preserve"> Entity</w:t>
      </w:r>
      <w:r w:rsidR="00162E0C" w:rsidRPr="00FB2F3D">
        <w:rPr>
          <w:rFonts w:ascii="Arial" w:hAnsi="Arial" w:cs="Arial"/>
          <w:sz w:val="22"/>
          <w:szCs w:val="22"/>
        </w:rPr>
        <w:t xml:space="preserve"> must, subject to </w:t>
      </w:r>
      <w:r w:rsidR="00693841" w:rsidRPr="00FB2F3D">
        <w:rPr>
          <w:rFonts w:ascii="Arial" w:hAnsi="Arial" w:cs="Arial"/>
          <w:sz w:val="22"/>
          <w:szCs w:val="22"/>
        </w:rPr>
        <w:t>(2)</w:t>
      </w:r>
      <w:r w:rsidR="00162E0C" w:rsidRPr="00FB2F3D">
        <w:rPr>
          <w:rFonts w:ascii="Arial" w:hAnsi="Arial" w:cs="Arial"/>
          <w:sz w:val="22"/>
          <w:szCs w:val="22"/>
        </w:rPr>
        <w:t xml:space="preserve">, ensure that a majority of </w:t>
      </w:r>
      <w:r w:rsidR="00B46F00" w:rsidRPr="00FB2F3D">
        <w:rPr>
          <w:rFonts w:ascii="Arial" w:hAnsi="Arial" w:cs="Arial"/>
          <w:sz w:val="22"/>
          <w:szCs w:val="22"/>
        </w:rPr>
        <w:t>Shareholder</w:t>
      </w:r>
      <w:r w:rsidR="00162E0C" w:rsidRPr="00FB2F3D">
        <w:rPr>
          <w:rFonts w:ascii="Arial" w:hAnsi="Arial" w:cs="Arial"/>
          <w:sz w:val="22"/>
          <w:szCs w:val="22"/>
        </w:rPr>
        <w:t>s in voting approves</w:t>
      </w:r>
      <w:bookmarkEnd w:id="752"/>
      <w:r w:rsidR="00162E0C" w:rsidRPr="00FB2F3D">
        <w:rPr>
          <w:rFonts w:ascii="Arial" w:hAnsi="Arial" w:cs="Arial"/>
          <w:sz w:val="22"/>
          <w:szCs w:val="22"/>
        </w:rPr>
        <w:t>:</w:t>
      </w:r>
      <w:bookmarkEnd w:id="753"/>
    </w:p>
    <w:p w14:paraId="43D03ECD" w14:textId="411B2411" w:rsidR="00162E0C" w:rsidRPr="00FB2F3D" w:rsidRDefault="00162E0C" w:rsidP="00222FEC">
      <w:pPr>
        <w:pStyle w:val="Heading5"/>
        <w:rPr>
          <w:rFonts w:ascii="Arial" w:hAnsi="Arial" w:cs="Arial"/>
          <w:sz w:val="22"/>
          <w:szCs w:val="22"/>
        </w:rPr>
      </w:pPr>
      <w:r w:rsidRPr="00FB2F3D">
        <w:rPr>
          <w:rFonts w:ascii="Arial" w:hAnsi="Arial" w:cs="Arial"/>
          <w:sz w:val="22"/>
          <w:szCs w:val="22"/>
        </w:rPr>
        <w:t xml:space="preserve">any alteration of the constitutional documents of the </w:t>
      </w:r>
      <w:r w:rsidR="00FA448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including any alteration to the memorandum of association, articles of association, bylaws or any other instrument constituting the </w:t>
      </w:r>
      <w:r w:rsidR="00FA448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w:t>
      </w:r>
    </w:p>
    <w:p w14:paraId="27062607" w14:textId="28E1B80B" w:rsidR="00162E0C" w:rsidRPr="00FB2F3D" w:rsidRDefault="00162E0C" w:rsidP="00222FEC">
      <w:pPr>
        <w:pStyle w:val="Heading5"/>
        <w:rPr>
          <w:rFonts w:ascii="Arial" w:hAnsi="Arial" w:cs="Arial"/>
          <w:sz w:val="22"/>
          <w:szCs w:val="22"/>
        </w:rPr>
      </w:pPr>
      <w:bookmarkStart w:id="754" w:name="_Ref410632526"/>
      <w:r w:rsidRPr="00FB2F3D">
        <w:rPr>
          <w:rFonts w:ascii="Arial" w:hAnsi="Arial" w:cs="Arial"/>
          <w:sz w:val="22"/>
          <w:szCs w:val="22"/>
        </w:rPr>
        <w:t xml:space="preserve">an alteration of the issued </w:t>
      </w:r>
      <w:r w:rsidR="00CA15B4" w:rsidRPr="00FB2F3D">
        <w:rPr>
          <w:rFonts w:ascii="Arial" w:hAnsi="Arial" w:cs="Arial"/>
          <w:sz w:val="22"/>
          <w:szCs w:val="22"/>
        </w:rPr>
        <w:t>Share</w:t>
      </w:r>
      <w:r w:rsidRPr="00FB2F3D">
        <w:rPr>
          <w:rFonts w:ascii="Arial" w:hAnsi="Arial" w:cs="Arial"/>
          <w:sz w:val="22"/>
          <w:szCs w:val="22"/>
        </w:rPr>
        <w:t xml:space="preserve"> capital</w:t>
      </w:r>
      <w:r w:rsidR="00045C04" w:rsidRPr="00FB2F3D">
        <w:rPr>
          <w:rFonts w:ascii="Arial" w:hAnsi="Arial" w:cs="Arial"/>
          <w:sz w:val="22"/>
          <w:szCs w:val="22"/>
        </w:rPr>
        <w:t>, for example Share reductions or Share consolidations,</w:t>
      </w:r>
      <w:r w:rsidRPr="00FB2F3D">
        <w:rPr>
          <w:rFonts w:ascii="Arial" w:hAnsi="Arial" w:cs="Arial"/>
          <w:sz w:val="22"/>
          <w:szCs w:val="22"/>
        </w:rPr>
        <w:t xml:space="preserve"> of the </w:t>
      </w:r>
      <w:r w:rsidR="00FA4484">
        <w:rPr>
          <w:rFonts w:ascii="Arial" w:hAnsi="Arial" w:cs="Arial"/>
          <w:sz w:val="22"/>
          <w:szCs w:val="22"/>
        </w:rPr>
        <w:t xml:space="preserve">Listed </w:t>
      </w:r>
      <w:r w:rsidR="00222FEC" w:rsidRPr="00FB2F3D">
        <w:rPr>
          <w:rFonts w:ascii="Arial" w:hAnsi="Arial" w:cs="Arial"/>
          <w:sz w:val="22"/>
          <w:szCs w:val="22"/>
        </w:rPr>
        <w:t>Entity</w:t>
      </w:r>
      <w:r w:rsidRPr="00FB2F3D">
        <w:rPr>
          <w:rFonts w:ascii="Arial" w:hAnsi="Arial" w:cs="Arial"/>
          <w:sz w:val="22"/>
          <w:szCs w:val="22"/>
        </w:rPr>
        <w:t xml:space="preserve"> which is more than 20% of the existing issued </w:t>
      </w:r>
      <w:r w:rsidR="00CA15B4" w:rsidRPr="00FB2F3D">
        <w:rPr>
          <w:rFonts w:ascii="Arial" w:hAnsi="Arial" w:cs="Arial"/>
          <w:sz w:val="22"/>
          <w:szCs w:val="22"/>
        </w:rPr>
        <w:t>Share</w:t>
      </w:r>
      <w:r w:rsidRPr="00FB2F3D">
        <w:rPr>
          <w:rFonts w:ascii="Arial" w:hAnsi="Arial" w:cs="Arial"/>
          <w:sz w:val="22"/>
          <w:szCs w:val="22"/>
        </w:rPr>
        <w:t xml:space="preserve"> capital;</w:t>
      </w:r>
      <w:bookmarkEnd w:id="754"/>
    </w:p>
    <w:p w14:paraId="31ED8F12" w14:textId="0ADDCEBB" w:rsidR="00162E0C" w:rsidRPr="00FB2F3D" w:rsidRDefault="00162E0C" w:rsidP="00E85041">
      <w:pPr>
        <w:pStyle w:val="Heading5"/>
        <w:rPr>
          <w:rFonts w:ascii="Arial" w:hAnsi="Arial" w:cs="Arial"/>
          <w:sz w:val="22"/>
          <w:szCs w:val="22"/>
        </w:rPr>
      </w:pPr>
      <w:r w:rsidRPr="00FB2F3D">
        <w:rPr>
          <w:rFonts w:ascii="Arial" w:hAnsi="Arial" w:cs="Arial"/>
          <w:sz w:val="22"/>
          <w:szCs w:val="22"/>
        </w:rPr>
        <w:t xml:space="preserve">any acquisition or disposal of an asset of the </w:t>
      </w:r>
      <w:r w:rsidR="00FA448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where the value of the asset involved is </w:t>
      </w:r>
      <w:r w:rsidR="00E85041" w:rsidRPr="00FB2F3D">
        <w:rPr>
          <w:rFonts w:ascii="Arial" w:hAnsi="Arial" w:cs="Arial"/>
          <w:sz w:val="22"/>
          <w:szCs w:val="22"/>
        </w:rPr>
        <w:t>25</w:t>
      </w:r>
      <w:r w:rsidRPr="00FB2F3D">
        <w:rPr>
          <w:rFonts w:ascii="Arial" w:hAnsi="Arial" w:cs="Arial"/>
          <w:sz w:val="22"/>
          <w:szCs w:val="22"/>
        </w:rPr>
        <w:t xml:space="preserve">% or more of the value of the net assets of the </w:t>
      </w:r>
      <w:r w:rsidR="00FA448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as at its last published financial reports;</w:t>
      </w:r>
    </w:p>
    <w:p w14:paraId="019665AF" w14:textId="428615A0" w:rsidR="00162E0C" w:rsidRPr="00FB2F3D" w:rsidRDefault="00162E0C" w:rsidP="00222FEC">
      <w:pPr>
        <w:pStyle w:val="Heading5"/>
        <w:rPr>
          <w:rFonts w:ascii="Arial" w:hAnsi="Arial" w:cs="Arial"/>
          <w:sz w:val="22"/>
          <w:szCs w:val="22"/>
        </w:rPr>
      </w:pPr>
      <w:r w:rsidRPr="00FB2F3D">
        <w:rPr>
          <w:rFonts w:ascii="Arial" w:hAnsi="Arial" w:cs="Arial"/>
          <w:sz w:val="22"/>
          <w:szCs w:val="22"/>
        </w:rPr>
        <w:t xml:space="preserve">the appointment or removal of a Director of the </w:t>
      </w:r>
      <w:r w:rsidR="00FA448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and the terms of such appointment;</w:t>
      </w:r>
    </w:p>
    <w:p w14:paraId="01C78A46" w14:textId="29FC674E" w:rsidR="00162E0C" w:rsidRPr="00FB2F3D" w:rsidRDefault="00162E0C" w:rsidP="004B62AE">
      <w:pPr>
        <w:pStyle w:val="Heading5"/>
        <w:rPr>
          <w:rFonts w:ascii="Arial" w:hAnsi="Arial" w:cs="Arial"/>
          <w:sz w:val="22"/>
          <w:szCs w:val="22"/>
        </w:rPr>
      </w:pPr>
      <w:r w:rsidRPr="00FB2F3D">
        <w:rPr>
          <w:rFonts w:ascii="Arial" w:hAnsi="Arial" w:cs="Arial"/>
          <w:sz w:val="22"/>
          <w:szCs w:val="22"/>
        </w:rPr>
        <w:t xml:space="preserve">the appointment or removal of the </w:t>
      </w:r>
      <w:r w:rsidR="00A85262" w:rsidRPr="00FB2F3D">
        <w:rPr>
          <w:rFonts w:ascii="Arial" w:hAnsi="Arial" w:cs="Arial"/>
          <w:sz w:val="22"/>
          <w:szCs w:val="22"/>
        </w:rPr>
        <w:t>auditor</w:t>
      </w:r>
      <w:r w:rsidRPr="00FB2F3D">
        <w:rPr>
          <w:rFonts w:ascii="Arial" w:hAnsi="Arial" w:cs="Arial"/>
          <w:sz w:val="22"/>
          <w:szCs w:val="22"/>
        </w:rPr>
        <w:t xml:space="preserve"> of the </w:t>
      </w:r>
      <w:r w:rsidR="00FA448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w:t>
      </w:r>
    </w:p>
    <w:p w14:paraId="5F104C89" w14:textId="30B145AE" w:rsidR="00162E0C" w:rsidRPr="00FB2F3D" w:rsidRDefault="00162E0C" w:rsidP="004B62AE">
      <w:pPr>
        <w:pStyle w:val="Heading5"/>
        <w:rPr>
          <w:rFonts w:ascii="Arial" w:hAnsi="Arial" w:cs="Arial"/>
          <w:sz w:val="22"/>
          <w:szCs w:val="22"/>
        </w:rPr>
      </w:pPr>
      <w:r w:rsidRPr="00FB2F3D">
        <w:rPr>
          <w:rFonts w:ascii="Arial" w:hAnsi="Arial" w:cs="Arial"/>
          <w:sz w:val="22"/>
          <w:szCs w:val="22"/>
        </w:rPr>
        <w:t xml:space="preserve">the placing of the </w:t>
      </w:r>
      <w:r w:rsidR="00FA448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into voluntary liquidation</w:t>
      </w:r>
      <w:r w:rsidR="004B62AE" w:rsidRPr="00FB2F3D">
        <w:rPr>
          <w:rFonts w:ascii="Arial" w:hAnsi="Arial" w:cs="Arial"/>
          <w:sz w:val="22"/>
          <w:szCs w:val="22"/>
        </w:rPr>
        <w:t>;</w:t>
      </w:r>
    </w:p>
    <w:p w14:paraId="0F551673" w14:textId="7D1E18D7" w:rsidR="004B62AE" w:rsidRPr="00FB2F3D" w:rsidRDefault="004B62AE" w:rsidP="004B62AE">
      <w:pPr>
        <w:pStyle w:val="Heading5"/>
        <w:rPr>
          <w:rFonts w:ascii="Arial" w:hAnsi="Arial" w:cs="Arial"/>
          <w:sz w:val="22"/>
          <w:szCs w:val="22"/>
        </w:rPr>
      </w:pPr>
      <w:r w:rsidRPr="00FB2F3D">
        <w:rPr>
          <w:rFonts w:ascii="Arial" w:hAnsi="Arial" w:cs="Arial"/>
          <w:sz w:val="22"/>
          <w:szCs w:val="22"/>
        </w:rPr>
        <w:t xml:space="preserve">the reduction of the Share capital of the </w:t>
      </w:r>
      <w:r w:rsidR="00FA4484">
        <w:rPr>
          <w:rFonts w:ascii="Arial" w:hAnsi="Arial" w:cs="Arial"/>
          <w:sz w:val="22"/>
          <w:szCs w:val="22"/>
        </w:rPr>
        <w:t>Listed</w:t>
      </w:r>
      <w:r w:rsidRPr="00FB2F3D">
        <w:rPr>
          <w:rFonts w:ascii="Arial" w:hAnsi="Arial" w:cs="Arial"/>
          <w:sz w:val="22"/>
          <w:szCs w:val="22"/>
        </w:rPr>
        <w:t xml:space="preserve"> </w:t>
      </w:r>
      <w:r w:rsidR="001F793D" w:rsidRPr="00FB2F3D">
        <w:rPr>
          <w:rFonts w:ascii="Arial" w:hAnsi="Arial" w:cs="Arial"/>
          <w:sz w:val="22"/>
          <w:szCs w:val="22"/>
        </w:rPr>
        <w:t>E</w:t>
      </w:r>
      <w:r w:rsidRPr="00FB2F3D">
        <w:rPr>
          <w:rFonts w:ascii="Arial" w:hAnsi="Arial" w:cs="Arial"/>
          <w:sz w:val="22"/>
          <w:szCs w:val="22"/>
        </w:rPr>
        <w:t xml:space="preserve">ntity, in accordance with Rule </w:t>
      </w:r>
      <w:r w:rsidR="00693841" w:rsidRPr="00FB2F3D">
        <w:rPr>
          <w:rFonts w:ascii="Arial" w:hAnsi="Arial" w:cs="Arial"/>
          <w:sz w:val="22"/>
          <w:szCs w:val="22"/>
        </w:rPr>
        <w:t>9.3.4(2)</w:t>
      </w:r>
      <w:r w:rsidRPr="00FB2F3D">
        <w:rPr>
          <w:rFonts w:ascii="Arial" w:hAnsi="Arial" w:cs="Arial"/>
          <w:sz w:val="22"/>
          <w:szCs w:val="22"/>
        </w:rPr>
        <w:t>;</w:t>
      </w:r>
    </w:p>
    <w:p w14:paraId="4E4AE982" w14:textId="3F44C072" w:rsidR="004B62AE" w:rsidRPr="00FB2F3D" w:rsidRDefault="004B62AE" w:rsidP="004B62AE">
      <w:pPr>
        <w:pStyle w:val="Heading5"/>
        <w:rPr>
          <w:rFonts w:ascii="Arial" w:hAnsi="Arial" w:cs="Arial"/>
          <w:sz w:val="22"/>
          <w:szCs w:val="22"/>
        </w:rPr>
      </w:pPr>
      <w:r w:rsidRPr="00FB2F3D">
        <w:rPr>
          <w:rFonts w:ascii="Arial" w:hAnsi="Arial" w:cs="Arial"/>
          <w:sz w:val="22"/>
          <w:szCs w:val="22"/>
        </w:rPr>
        <w:t>the issuance of</w:t>
      </w:r>
      <w:r w:rsidR="00FA4484">
        <w:rPr>
          <w:rFonts w:ascii="Arial" w:hAnsi="Arial" w:cs="Arial"/>
          <w:sz w:val="22"/>
          <w:szCs w:val="22"/>
        </w:rPr>
        <w:t>, or the agreement to issue,</w:t>
      </w:r>
      <w:r w:rsidRPr="00FB2F3D">
        <w:rPr>
          <w:rFonts w:ascii="Arial" w:hAnsi="Arial" w:cs="Arial"/>
          <w:sz w:val="22"/>
          <w:szCs w:val="22"/>
        </w:rPr>
        <w:t xml:space="preserve"> Shares in accordance with Rule </w:t>
      </w:r>
      <w:r w:rsidR="00693841" w:rsidRPr="00FB2F3D">
        <w:rPr>
          <w:rFonts w:ascii="Arial" w:hAnsi="Arial" w:cs="Arial"/>
          <w:sz w:val="22"/>
          <w:szCs w:val="22"/>
        </w:rPr>
        <w:t>9.</w:t>
      </w:r>
      <w:r w:rsidR="00FA4484">
        <w:rPr>
          <w:rFonts w:ascii="Arial" w:hAnsi="Arial" w:cs="Arial"/>
          <w:sz w:val="22"/>
          <w:szCs w:val="22"/>
        </w:rPr>
        <w:t>7.1</w:t>
      </w:r>
      <w:r w:rsidRPr="00FB2F3D">
        <w:rPr>
          <w:rFonts w:ascii="Arial" w:hAnsi="Arial" w:cs="Arial"/>
          <w:sz w:val="22"/>
          <w:szCs w:val="22"/>
        </w:rPr>
        <w:t>;</w:t>
      </w:r>
    </w:p>
    <w:p w14:paraId="2AECEEC1" w14:textId="77777777" w:rsidR="004B62AE" w:rsidRPr="00FB2F3D" w:rsidRDefault="004B62AE" w:rsidP="004B62AE">
      <w:pPr>
        <w:pStyle w:val="Heading5"/>
        <w:rPr>
          <w:rFonts w:ascii="Arial" w:hAnsi="Arial" w:cs="Arial"/>
          <w:sz w:val="22"/>
          <w:szCs w:val="22"/>
        </w:rPr>
      </w:pPr>
      <w:r w:rsidRPr="00FB2F3D">
        <w:rPr>
          <w:rFonts w:ascii="Arial" w:hAnsi="Arial" w:cs="Arial"/>
          <w:sz w:val="22"/>
          <w:szCs w:val="22"/>
        </w:rPr>
        <w:t xml:space="preserve">a Related Party Transaction that falls within Rule </w:t>
      </w:r>
      <w:r w:rsidR="00693841" w:rsidRPr="00FB2F3D">
        <w:rPr>
          <w:rFonts w:ascii="Arial" w:hAnsi="Arial" w:cs="Arial"/>
          <w:sz w:val="22"/>
          <w:szCs w:val="22"/>
        </w:rPr>
        <w:t>9.5.3(1)</w:t>
      </w:r>
      <w:r w:rsidRPr="00FB2F3D">
        <w:rPr>
          <w:rFonts w:ascii="Arial" w:hAnsi="Arial" w:cs="Arial"/>
          <w:sz w:val="22"/>
          <w:szCs w:val="22"/>
        </w:rPr>
        <w:t xml:space="preserve"> or </w:t>
      </w:r>
      <w:r w:rsidR="00693841" w:rsidRPr="00FB2F3D">
        <w:rPr>
          <w:rFonts w:ascii="Arial" w:hAnsi="Arial" w:cs="Arial"/>
          <w:sz w:val="22"/>
          <w:szCs w:val="22"/>
        </w:rPr>
        <w:t>(3)</w:t>
      </w:r>
      <w:r w:rsidRPr="00FB2F3D">
        <w:rPr>
          <w:rFonts w:ascii="Arial" w:hAnsi="Arial" w:cs="Arial"/>
          <w:sz w:val="22"/>
          <w:szCs w:val="22"/>
        </w:rPr>
        <w:t>;</w:t>
      </w:r>
    </w:p>
    <w:p w14:paraId="5E902360" w14:textId="11D288D4" w:rsidR="004B62AE" w:rsidRPr="00FB2F3D" w:rsidRDefault="004B62AE" w:rsidP="004B62AE">
      <w:pPr>
        <w:pStyle w:val="Heading5"/>
        <w:rPr>
          <w:rFonts w:ascii="Arial" w:hAnsi="Arial" w:cs="Arial"/>
          <w:sz w:val="22"/>
          <w:szCs w:val="22"/>
        </w:rPr>
      </w:pPr>
      <w:r w:rsidRPr="00FB2F3D">
        <w:rPr>
          <w:rFonts w:ascii="Arial" w:hAnsi="Arial" w:cs="Arial"/>
          <w:sz w:val="22"/>
          <w:szCs w:val="22"/>
        </w:rPr>
        <w:t xml:space="preserve">any creation or issuance of new </w:t>
      </w:r>
      <w:r w:rsidR="00FA4484">
        <w:rPr>
          <w:rFonts w:ascii="Arial" w:hAnsi="Arial" w:cs="Arial"/>
          <w:sz w:val="22"/>
          <w:szCs w:val="22"/>
        </w:rPr>
        <w:t>S</w:t>
      </w:r>
      <w:r w:rsidRPr="00FB2F3D">
        <w:rPr>
          <w:rFonts w:ascii="Arial" w:hAnsi="Arial" w:cs="Arial"/>
          <w:sz w:val="22"/>
          <w:szCs w:val="22"/>
        </w:rPr>
        <w:t xml:space="preserve">ecurities; </w:t>
      </w:r>
    </w:p>
    <w:p w14:paraId="5AA9FBBB" w14:textId="77777777" w:rsidR="004B62AE" w:rsidRPr="00FB2F3D" w:rsidRDefault="0006394F" w:rsidP="004B62AE">
      <w:pPr>
        <w:pStyle w:val="Heading5"/>
        <w:rPr>
          <w:rFonts w:ascii="Arial" w:hAnsi="Arial" w:cs="Arial"/>
          <w:sz w:val="22"/>
          <w:szCs w:val="22"/>
        </w:rPr>
      </w:pPr>
      <w:r w:rsidRPr="00FB2F3D">
        <w:rPr>
          <w:rFonts w:ascii="Arial" w:hAnsi="Arial" w:cs="Arial"/>
          <w:sz w:val="22"/>
          <w:szCs w:val="22"/>
        </w:rPr>
        <w:lastRenderedPageBreak/>
        <w:t>the appointment of the chief e</w:t>
      </w:r>
      <w:r w:rsidR="004B62AE" w:rsidRPr="00FB2F3D">
        <w:rPr>
          <w:rFonts w:ascii="Arial" w:hAnsi="Arial" w:cs="Arial"/>
          <w:sz w:val="22"/>
          <w:szCs w:val="22"/>
        </w:rPr>
        <w:t>xecutive as the chairman of the Board; and</w:t>
      </w:r>
    </w:p>
    <w:p w14:paraId="462B1750" w14:textId="77777777" w:rsidR="004B62AE" w:rsidRPr="00FB2F3D" w:rsidRDefault="004B62AE" w:rsidP="004B62AE">
      <w:pPr>
        <w:pStyle w:val="Heading5"/>
        <w:rPr>
          <w:rFonts w:ascii="Arial" w:hAnsi="Arial" w:cs="Arial"/>
          <w:sz w:val="22"/>
          <w:szCs w:val="22"/>
        </w:rPr>
      </w:pPr>
      <w:r w:rsidRPr="00FB2F3D">
        <w:rPr>
          <w:rFonts w:ascii="Arial" w:hAnsi="Arial" w:cs="Arial"/>
          <w:sz w:val="22"/>
          <w:szCs w:val="22"/>
        </w:rPr>
        <w:t xml:space="preserve">any purchase by a Listed Entity of its own Securities, where requested to provide such approval in accordance with Rule </w:t>
      </w:r>
      <w:r w:rsidR="00693841" w:rsidRPr="00FB2F3D">
        <w:rPr>
          <w:rFonts w:ascii="Arial" w:hAnsi="Arial" w:cs="Arial"/>
          <w:sz w:val="22"/>
          <w:szCs w:val="22"/>
        </w:rPr>
        <w:t>2.7.5(1)</w:t>
      </w:r>
      <w:r w:rsidR="00A26BE0" w:rsidRPr="00FB2F3D">
        <w:rPr>
          <w:rFonts w:ascii="Arial" w:hAnsi="Arial" w:cs="Arial"/>
          <w:sz w:val="22"/>
          <w:szCs w:val="22"/>
        </w:rPr>
        <w:t xml:space="preserve">. </w:t>
      </w:r>
    </w:p>
    <w:p w14:paraId="7E2A44DB" w14:textId="04CBD613" w:rsidR="00162E0C" w:rsidRPr="00FB2F3D" w:rsidRDefault="00162E0C" w:rsidP="00222FEC">
      <w:pPr>
        <w:pStyle w:val="Heading4"/>
        <w:rPr>
          <w:rFonts w:ascii="Arial" w:hAnsi="Arial" w:cs="Arial"/>
          <w:sz w:val="22"/>
          <w:szCs w:val="22"/>
        </w:rPr>
      </w:pPr>
      <w:bookmarkStart w:id="755" w:name="_Ref410667211"/>
      <w:r w:rsidRPr="00FB2F3D">
        <w:rPr>
          <w:rFonts w:ascii="Arial" w:hAnsi="Arial" w:cs="Arial"/>
          <w:sz w:val="22"/>
          <w:szCs w:val="22"/>
        </w:rPr>
        <w:t xml:space="preserve">The requirement in </w:t>
      </w:r>
      <w:r w:rsidR="00693841" w:rsidRPr="00FB2F3D">
        <w:rPr>
          <w:rFonts w:ascii="Arial" w:hAnsi="Arial" w:cs="Arial"/>
          <w:sz w:val="22"/>
          <w:szCs w:val="22"/>
        </w:rPr>
        <w:t>(1)</w:t>
      </w:r>
      <w:r w:rsidR="00384E67" w:rsidRPr="00FB2F3D">
        <w:rPr>
          <w:rFonts w:ascii="Arial" w:hAnsi="Arial" w:cs="Arial"/>
          <w:sz w:val="22"/>
          <w:szCs w:val="22"/>
        </w:rPr>
        <w:t xml:space="preserve"> </w:t>
      </w:r>
      <w:r w:rsidRPr="00FB2F3D">
        <w:rPr>
          <w:rFonts w:ascii="Arial" w:hAnsi="Arial" w:cs="Arial"/>
          <w:sz w:val="22"/>
          <w:szCs w:val="22"/>
        </w:rPr>
        <w:t xml:space="preserve">does not apply, subject to any requirements in the constitutional documents of the </w:t>
      </w:r>
      <w:r w:rsidR="00FA448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w:t>
      </w:r>
      <w:r w:rsidRPr="00FB2F3D">
        <w:rPr>
          <w:rFonts w:ascii="Arial" w:hAnsi="Arial" w:cs="Arial"/>
          <w:sz w:val="22"/>
          <w:szCs w:val="22"/>
          <w:lang w:eastAsia="ja-JP"/>
        </w:rPr>
        <w:t xml:space="preserve"> </w:t>
      </w:r>
      <w:r w:rsidRPr="00FB2F3D">
        <w:rPr>
          <w:rFonts w:ascii="Arial" w:hAnsi="Arial" w:cs="Arial"/>
          <w:sz w:val="22"/>
          <w:szCs w:val="22"/>
        </w:rPr>
        <w:t xml:space="preserve">in relation to the appointment or removal of a Director or </w:t>
      </w:r>
      <w:r w:rsidR="00A85262" w:rsidRPr="00FB2F3D">
        <w:rPr>
          <w:rFonts w:ascii="Arial" w:hAnsi="Arial" w:cs="Arial"/>
          <w:sz w:val="22"/>
          <w:szCs w:val="22"/>
        </w:rPr>
        <w:t>auditor</w:t>
      </w:r>
      <w:r w:rsidRPr="00FB2F3D">
        <w:rPr>
          <w:rFonts w:ascii="Arial" w:hAnsi="Arial" w:cs="Arial"/>
          <w:sz w:val="22"/>
          <w:szCs w:val="22"/>
        </w:rPr>
        <w:t xml:space="preserve"> of a</w:t>
      </w:r>
      <w:r w:rsidR="00222FEC" w:rsidRPr="00FB2F3D">
        <w:rPr>
          <w:rFonts w:ascii="Arial" w:hAnsi="Arial" w:cs="Arial"/>
          <w:sz w:val="22"/>
          <w:szCs w:val="22"/>
        </w:rPr>
        <w:t xml:space="preserve"> </w:t>
      </w:r>
      <w:r w:rsidR="00FA448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in circumstances where the immediate appointment or removal is necessary in the interests of the </w:t>
      </w:r>
      <w:r w:rsidR="00286E2C">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w:t>
      </w:r>
      <w:bookmarkEnd w:id="755"/>
      <w:r w:rsidRPr="00FB2F3D">
        <w:rPr>
          <w:rFonts w:ascii="Arial" w:hAnsi="Arial" w:cs="Arial"/>
          <w:sz w:val="22"/>
          <w:szCs w:val="22"/>
        </w:rPr>
        <w:t xml:space="preserve"> </w:t>
      </w:r>
    </w:p>
    <w:p w14:paraId="36A07BDF"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45BCECA8" w14:textId="52D3BE8D" w:rsidR="00162E0C" w:rsidRPr="00FB2F3D" w:rsidRDefault="00162E0C" w:rsidP="00DB61C9">
      <w:pPr>
        <w:pStyle w:val="GuidanceNotesnumbering"/>
        <w:numPr>
          <w:ilvl w:val="0"/>
          <w:numId w:val="39"/>
        </w:numPr>
        <w:rPr>
          <w:rFonts w:ascii="Arial" w:hAnsi="Arial" w:cs="Arial"/>
          <w:sz w:val="22"/>
          <w:szCs w:val="22"/>
        </w:rPr>
      </w:pPr>
      <w:r w:rsidRPr="00FB2F3D">
        <w:rPr>
          <w:rFonts w:ascii="Arial" w:hAnsi="Arial" w:cs="Arial"/>
          <w:sz w:val="22"/>
          <w:szCs w:val="22"/>
        </w:rPr>
        <w:t>Under Rule </w:t>
      </w:r>
      <w:r w:rsidR="00693841" w:rsidRPr="00FB2F3D">
        <w:rPr>
          <w:rFonts w:ascii="Arial" w:hAnsi="Arial" w:cs="Arial"/>
          <w:sz w:val="22"/>
          <w:szCs w:val="22"/>
        </w:rPr>
        <w:t>9.3.8(1)(b)</w:t>
      </w:r>
      <w:r w:rsidRPr="00FB2F3D">
        <w:rPr>
          <w:rFonts w:ascii="Arial" w:hAnsi="Arial" w:cs="Arial"/>
          <w:sz w:val="22"/>
          <w:szCs w:val="22"/>
        </w:rPr>
        <w:t xml:space="preserve">, an increase in the issued </w:t>
      </w:r>
      <w:r w:rsidR="00CA15B4" w:rsidRPr="00FB2F3D">
        <w:rPr>
          <w:rFonts w:ascii="Arial" w:hAnsi="Arial" w:cs="Arial"/>
          <w:sz w:val="22"/>
          <w:szCs w:val="22"/>
        </w:rPr>
        <w:t>Share</w:t>
      </w:r>
      <w:r w:rsidRPr="00FB2F3D">
        <w:rPr>
          <w:rFonts w:ascii="Arial" w:hAnsi="Arial" w:cs="Arial"/>
          <w:sz w:val="22"/>
          <w:szCs w:val="22"/>
        </w:rPr>
        <w:t xml:space="preserve"> capital of a </w:t>
      </w:r>
      <w:r w:rsidR="00286E2C">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which results in an increase of more than 20% of its current </w:t>
      </w:r>
      <w:r w:rsidR="00CA15B4" w:rsidRPr="00FB2F3D">
        <w:rPr>
          <w:rFonts w:ascii="Arial" w:hAnsi="Arial" w:cs="Arial"/>
          <w:sz w:val="22"/>
          <w:szCs w:val="22"/>
        </w:rPr>
        <w:t>Share</w:t>
      </w:r>
      <w:r w:rsidRPr="00FB2F3D">
        <w:rPr>
          <w:rFonts w:ascii="Arial" w:hAnsi="Arial" w:cs="Arial"/>
          <w:sz w:val="22"/>
          <w:szCs w:val="22"/>
        </w:rPr>
        <w:t xml:space="preserve"> capital requires </w:t>
      </w:r>
      <w:r w:rsidR="00B46F00" w:rsidRPr="00FB2F3D">
        <w:rPr>
          <w:rFonts w:ascii="Arial" w:hAnsi="Arial" w:cs="Arial"/>
          <w:sz w:val="22"/>
          <w:szCs w:val="22"/>
        </w:rPr>
        <w:t>Shareholder</w:t>
      </w:r>
      <w:r w:rsidRPr="00FB2F3D">
        <w:rPr>
          <w:rFonts w:ascii="Arial" w:hAnsi="Arial" w:cs="Arial"/>
          <w:sz w:val="22"/>
          <w:szCs w:val="22"/>
        </w:rPr>
        <w:t xml:space="preserve"> approval regardless of whether or not such an increase is within the authorised capital of the relevant </w:t>
      </w:r>
      <w:r w:rsidR="00286E2C">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w:t>
      </w:r>
    </w:p>
    <w:p w14:paraId="7BCFD047" w14:textId="063A23E9" w:rsidR="00162E0C" w:rsidRDefault="00162E0C" w:rsidP="00384E67">
      <w:pPr>
        <w:pStyle w:val="GuidanceNotesnumbering"/>
        <w:rPr>
          <w:rFonts w:ascii="Arial" w:hAnsi="Arial" w:cs="Arial"/>
          <w:sz w:val="22"/>
          <w:szCs w:val="22"/>
        </w:rPr>
      </w:pPr>
      <w:r w:rsidRPr="00FB2F3D">
        <w:rPr>
          <w:rFonts w:ascii="Arial" w:hAnsi="Arial" w:cs="Arial"/>
          <w:sz w:val="22"/>
          <w:szCs w:val="22"/>
        </w:rPr>
        <w:t xml:space="preserve">The circumstances in which the immediate removal of a Director or </w:t>
      </w:r>
      <w:r w:rsidR="00A85262" w:rsidRPr="00FB2F3D">
        <w:rPr>
          <w:rFonts w:ascii="Arial" w:hAnsi="Arial" w:cs="Arial"/>
          <w:sz w:val="22"/>
          <w:szCs w:val="22"/>
        </w:rPr>
        <w:t>auditor</w:t>
      </w:r>
      <w:r w:rsidRPr="00FB2F3D">
        <w:rPr>
          <w:rFonts w:ascii="Arial" w:hAnsi="Arial" w:cs="Arial"/>
          <w:sz w:val="22"/>
          <w:szCs w:val="22"/>
        </w:rPr>
        <w:t xml:space="preserve"> may become necessary include matters affecting that Person's fitness and propriety, such as professional misconduct of such a Person.</w:t>
      </w:r>
    </w:p>
    <w:p w14:paraId="034553E7" w14:textId="77777777" w:rsidR="00286E2C" w:rsidRPr="00286E2C" w:rsidRDefault="00286E2C" w:rsidP="00286E2C">
      <w:pPr>
        <w:pStyle w:val="TitleL"/>
        <w:rPr>
          <w:rFonts w:ascii="Arial" w:hAnsi="Arial" w:cs="Arial"/>
          <w:sz w:val="22"/>
          <w:szCs w:val="22"/>
        </w:rPr>
      </w:pPr>
      <w:r w:rsidRPr="00286E2C">
        <w:rPr>
          <w:rFonts w:ascii="Arial" w:hAnsi="Arial" w:cs="Arial"/>
          <w:sz w:val="22"/>
          <w:szCs w:val="22"/>
        </w:rPr>
        <w:t xml:space="preserve">Preference Securities  </w:t>
      </w:r>
    </w:p>
    <w:p w14:paraId="15B08536" w14:textId="77777777" w:rsidR="00286E2C" w:rsidRPr="00286E2C" w:rsidRDefault="00286E2C" w:rsidP="00286E2C">
      <w:pPr>
        <w:pStyle w:val="Heading3"/>
        <w:numPr>
          <w:ilvl w:val="0"/>
          <w:numId w:val="0"/>
        </w:numPr>
        <w:ind w:left="720" w:hanging="720"/>
        <w:rPr>
          <w:rFonts w:ascii="Arial" w:hAnsi="Arial" w:cs="Arial"/>
          <w:sz w:val="22"/>
          <w:szCs w:val="22"/>
        </w:rPr>
      </w:pPr>
      <w:r w:rsidRPr="00286E2C">
        <w:rPr>
          <w:rFonts w:ascii="Arial" w:hAnsi="Arial" w:cs="Arial"/>
          <w:b/>
          <w:bCs w:val="0"/>
          <w:sz w:val="22"/>
          <w:szCs w:val="22"/>
        </w:rPr>
        <w:t>9.3.9</w:t>
      </w:r>
      <w:r w:rsidRPr="00286E2C">
        <w:rPr>
          <w:rFonts w:ascii="Arial" w:hAnsi="Arial" w:cs="Arial"/>
          <w:sz w:val="22"/>
          <w:szCs w:val="22"/>
        </w:rPr>
        <w:tab/>
        <w:t xml:space="preserve">A holder of a Preference Security must have, at a minimum, rights to participate only up to a specified amount in any dividend or distribution which distinguishes their holders from holders of Ordinary Securities. </w:t>
      </w:r>
    </w:p>
    <w:p w14:paraId="2FF31641" w14:textId="77777777" w:rsidR="00286E2C" w:rsidRPr="00286E2C" w:rsidRDefault="00286E2C" w:rsidP="00286E2C">
      <w:pPr>
        <w:pStyle w:val="Heading3"/>
        <w:numPr>
          <w:ilvl w:val="0"/>
          <w:numId w:val="0"/>
        </w:numPr>
        <w:ind w:left="720" w:hanging="720"/>
        <w:rPr>
          <w:rFonts w:ascii="Arial" w:hAnsi="Arial" w:cs="Arial"/>
          <w:sz w:val="22"/>
          <w:szCs w:val="22"/>
        </w:rPr>
      </w:pPr>
      <w:r w:rsidRPr="00286E2C">
        <w:rPr>
          <w:rFonts w:ascii="Arial" w:hAnsi="Arial" w:cs="Arial"/>
          <w:b/>
          <w:bCs w:val="0"/>
          <w:sz w:val="22"/>
          <w:szCs w:val="22"/>
        </w:rPr>
        <w:t>9.3.10</w:t>
      </w:r>
      <w:r w:rsidRPr="00286E2C">
        <w:rPr>
          <w:rFonts w:ascii="Arial" w:hAnsi="Arial" w:cs="Arial"/>
          <w:sz w:val="22"/>
          <w:szCs w:val="22"/>
        </w:rPr>
        <w:tab/>
        <w:t xml:space="preserve">A holder of a Preference Security must only be entitled to a right to vote: </w:t>
      </w:r>
    </w:p>
    <w:p w14:paraId="1BA9777C" w14:textId="77777777" w:rsidR="00286E2C" w:rsidRPr="00286E2C" w:rsidRDefault="00286E2C" w:rsidP="00286E2C">
      <w:pPr>
        <w:pStyle w:val="Heading4"/>
        <w:numPr>
          <w:ilvl w:val="0"/>
          <w:numId w:val="0"/>
        </w:numPr>
        <w:ind w:left="1440" w:hanging="731"/>
        <w:rPr>
          <w:rFonts w:ascii="Arial" w:hAnsi="Arial" w:cs="Arial"/>
          <w:sz w:val="22"/>
          <w:szCs w:val="22"/>
        </w:rPr>
      </w:pPr>
      <w:r w:rsidRPr="00286E2C">
        <w:rPr>
          <w:rFonts w:ascii="Arial" w:hAnsi="Arial" w:cs="Arial"/>
          <w:sz w:val="22"/>
          <w:szCs w:val="22"/>
        </w:rPr>
        <w:t>(1)</w:t>
      </w:r>
      <w:r w:rsidRPr="00286E2C">
        <w:rPr>
          <w:rFonts w:ascii="Arial" w:hAnsi="Arial" w:cs="Arial"/>
          <w:sz w:val="22"/>
          <w:szCs w:val="22"/>
        </w:rPr>
        <w:tab/>
        <w:t>when a dividend or distribution (or part of a dividend or distribution) is in arrears in respect of a Security;</w:t>
      </w:r>
    </w:p>
    <w:p w14:paraId="4F59888B" w14:textId="77777777" w:rsidR="00286E2C" w:rsidRPr="00286E2C" w:rsidRDefault="00286E2C" w:rsidP="00286E2C">
      <w:pPr>
        <w:pStyle w:val="Heading4"/>
        <w:numPr>
          <w:ilvl w:val="0"/>
          <w:numId w:val="0"/>
        </w:numPr>
        <w:ind w:left="1440" w:hanging="731"/>
        <w:rPr>
          <w:rFonts w:ascii="Arial" w:hAnsi="Arial" w:cs="Arial"/>
          <w:sz w:val="22"/>
          <w:szCs w:val="22"/>
        </w:rPr>
      </w:pPr>
      <w:r w:rsidRPr="00286E2C">
        <w:rPr>
          <w:rFonts w:ascii="Arial" w:hAnsi="Arial" w:cs="Arial"/>
          <w:sz w:val="22"/>
          <w:szCs w:val="22"/>
        </w:rPr>
        <w:t>(2)</w:t>
      </w:r>
      <w:r w:rsidRPr="00286E2C">
        <w:rPr>
          <w:rFonts w:ascii="Arial" w:hAnsi="Arial" w:cs="Arial"/>
          <w:sz w:val="22"/>
          <w:szCs w:val="22"/>
        </w:rPr>
        <w:tab/>
        <w:t>on a resolution that affects rights attached to the Preference Security;</w:t>
      </w:r>
    </w:p>
    <w:p w14:paraId="38D814B0" w14:textId="77777777" w:rsidR="00286E2C" w:rsidRPr="00286E2C" w:rsidRDefault="00286E2C" w:rsidP="00286E2C">
      <w:pPr>
        <w:pStyle w:val="Heading4"/>
        <w:numPr>
          <w:ilvl w:val="0"/>
          <w:numId w:val="0"/>
        </w:numPr>
        <w:ind w:left="1440" w:hanging="731"/>
        <w:rPr>
          <w:rFonts w:ascii="Arial" w:hAnsi="Arial" w:cs="Arial"/>
          <w:sz w:val="22"/>
          <w:szCs w:val="22"/>
        </w:rPr>
      </w:pPr>
      <w:r w:rsidRPr="00286E2C">
        <w:rPr>
          <w:rFonts w:ascii="Arial" w:hAnsi="Arial" w:cs="Arial"/>
          <w:sz w:val="22"/>
          <w:szCs w:val="22"/>
        </w:rPr>
        <w:t>(3)</w:t>
      </w:r>
      <w:r w:rsidRPr="00286E2C">
        <w:rPr>
          <w:rFonts w:ascii="Arial" w:hAnsi="Arial" w:cs="Arial"/>
          <w:sz w:val="22"/>
          <w:szCs w:val="22"/>
        </w:rPr>
        <w:tab/>
        <w:t>on a resolution relating to a reduction of the Share capital of a Listed Entity;</w:t>
      </w:r>
    </w:p>
    <w:p w14:paraId="549E75C2" w14:textId="77777777" w:rsidR="00286E2C" w:rsidRPr="00286E2C" w:rsidRDefault="00286E2C" w:rsidP="00286E2C">
      <w:pPr>
        <w:pStyle w:val="Heading4"/>
        <w:numPr>
          <w:ilvl w:val="0"/>
          <w:numId w:val="0"/>
        </w:numPr>
        <w:ind w:left="1440" w:hanging="731"/>
        <w:rPr>
          <w:rFonts w:ascii="Arial" w:hAnsi="Arial" w:cs="Arial"/>
          <w:sz w:val="22"/>
          <w:szCs w:val="22"/>
        </w:rPr>
      </w:pPr>
      <w:r w:rsidRPr="00286E2C">
        <w:rPr>
          <w:rFonts w:ascii="Arial" w:hAnsi="Arial" w:cs="Arial"/>
          <w:sz w:val="22"/>
          <w:szCs w:val="22"/>
        </w:rPr>
        <w:t>(4)</w:t>
      </w:r>
      <w:r w:rsidRPr="00286E2C">
        <w:rPr>
          <w:rFonts w:ascii="Arial" w:hAnsi="Arial" w:cs="Arial"/>
          <w:sz w:val="22"/>
          <w:szCs w:val="22"/>
        </w:rPr>
        <w:tab/>
        <w:t>on a resolution relating to a buy-back agreement;</w:t>
      </w:r>
    </w:p>
    <w:p w14:paraId="5E187ACD" w14:textId="77777777" w:rsidR="00286E2C" w:rsidRPr="00286E2C" w:rsidRDefault="00286E2C" w:rsidP="00286E2C">
      <w:pPr>
        <w:pStyle w:val="Heading4"/>
        <w:numPr>
          <w:ilvl w:val="0"/>
          <w:numId w:val="0"/>
        </w:numPr>
        <w:ind w:left="1440" w:hanging="731"/>
        <w:rPr>
          <w:rFonts w:ascii="Arial" w:hAnsi="Arial" w:cs="Arial"/>
          <w:sz w:val="22"/>
          <w:szCs w:val="22"/>
        </w:rPr>
      </w:pPr>
      <w:r w:rsidRPr="00286E2C">
        <w:rPr>
          <w:rFonts w:ascii="Arial" w:hAnsi="Arial" w:cs="Arial"/>
          <w:sz w:val="22"/>
          <w:szCs w:val="22"/>
        </w:rPr>
        <w:t>(5)</w:t>
      </w:r>
      <w:r w:rsidRPr="00286E2C">
        <w:rPr>
          <w:rFonts w:ascii="Arial" w:hAnsi="Arial" w:cs="Arial"/>
          <w:sz w:val="22"/>
          <w:szCs w:val="22"/>
        </w:rPr>
        <w:tab/>
        <w:t>on a resolution for a Listed Entity to be wound up;</w:t>
      </w:r>
    </w:p>
    <w:p w14:paraId="6C2BF6D1" w14:textId="77777777" w:rsidR="00286E2C" w:rsidRPr="00286E2C" w:rsidRDefault="00286E2C" w:rsidP="00286E2C">
      <w:pPr>
        <w:pStyle w:val="Heading4"/>
        <w:numPr>
          <w:ilvl w:val="0"/>
          <w:numId w:val="0"/>
        </w:numPr>
        <w:ind w:left="1440" w:hanging="731"/>
        <w:rPr>
          <w:rFonts w:ascii="Arial" w:hAnsi="Arial" w:cs="Arial"/>
          <w:sz w:val="22"/>
          <w:szCs w:val="22"/>
        </w:rPr>
      </w:pPr>
      <w:r w:rsidRPr="00286E2C">
        <w:rPr>
          <w:rFonts w:ascii="Arial" w:hAnsi="Arial" w:cs="Arial"/>
          <w:sz w:val="22"/>
          <w:szCs w:val="22"/>
        </w:rPr>
        <w:t>(6)</w:t>
      </w:r>
      <w:r w:rsidRPr="00286E2C">
        <w:rPr>
          <w:rFonts w:ascii="Arial" w:hAnsi="Arial" w:cs="Arial"/>
          <w:sz w:val="22"/>
          <w:szCs w:val="22"/>
        </w:rPr>
        <w:tab/>
        <w:t>on a resolution for a Listed Entity to dispose of the whole of its business and undertaking; or</w:t>
      </w:r>
    </w:p>
    <w:p w14:paraId="6DA8A2CA" w14:textId="77777777" w:rsidR="00286E2C" w:rsidRPr="00286E2C" w:rsidRDefault="00286E2C" w:rsidP="00286E2C">
      <w:pPr>
        <w:pStyle w:val="Heading4"/>
        <w:numPr>
          <w:ilvl w:val="0"/>
          <w:numId w:val="0"/>
        </w:numPr>
        <w:ind w:left="1440" w:hanging="731"/>
        <w:rPr>
          <w:rFonts w:ascii="Arial" w:hAnsi="Arial" w:cs="Arial"/>
          <w:sz w:val="22"/>
          <w:szCs w:val="22"/>
        </w:rPr>
      </w:pPr>
      <w:r w:rsidRPr="00286E2C">
        <w:rPr>
          <w:rFonts w:ascii="Arial" w:hAnsi="Arial" w:cs="Arial"/>
          <w:sz w:val="22"/>
          <w:szCs w:val="22"/>
        </w:rPr>
        <w:t>(7)</w:t>
      </w:r>
      <w:r w:rsidRPr="00286E2C">
        <w:rPr>
          <w:rFonts w:ascii="Arial" w:hAnsi="Arial" w:cs="Arial"/>
          <w:sz w:val="22"/>
          <w:szCs w:val="22"/>
        </w:rPr>
        <w:tab/>
        <w:t>during the winding up of a Listed Entity.</w:t>
      </w:r>
    </w:p>
    <w:p w14:paraId="797A0AC0" w14:textId="77777777" w:rsidR="00286E2C" w:rsidRPr="00286E2C" w:rsidRDefault="00286E2C" w:rsidP="00286E2C">
      <w:pPr>
        <w:pStyle w:val="Heading3"/>
        <w:numPr>
          <w:ilvl w:val="0"/>
          <w:numId w:val="0"/>
        </w:numPr>
        <w:ind w:left="720" w:hanging="720"/>
        <w:rPr>
          <w:rFonts w:ascii="Arial" w:hAnsi="Arial" w:cs="Arial"/>
          <w:sz w:val="22"/>
          <w:szCs w:val="22"/>
        </w:rPr>
      </w:pPr>
      <w:r w:rsidRPr="00286E2C">
        <w:rPr>
          <w:rFonts w:ascii="Arial" w:hAnsi="Arial" w:cs="Arial"/>
          <w:b/>
          <w:bCs w:val="0"/>
          <w:sz w:val="22"/>
          <w:szCs w:val="22"/>
        </w:rPr>
        <w:t>9.3.11</w:t>
      </w:r>
      <w:r w:rsidRPr="00286E2C">
        <w:rPr>
          <w:rFonts w:ascii="Arial" w:hAnsi="Arial" w:cs="Arial"/>
          <w:sz w:val="22"/>
          <w:szCs w:val="22"/>
        </w:rPr>
        <w:tab/>
        <w:t>The terms of issue of a Preference Security that is not a Share must contain rights for the Security holder to vote in the same manner as set out in Rule 9.3.10, with any necessary adaptation having regard to the form of the Preference Security.</w:t>
      </w:r>
    </w:p>
    <w:p w14:paraId="59FB7331" w14:textId="77777777" w:rsidR="00286E2C" w:rsidRPr="00286E2C" w:rsidRDefault="00286E2C" w:rsidP="00286E2C">
      <w:pPr>
        <w:pStyle w:val="Heading3"/>
        <w:numPr>
          <w:ilvl w:val="0"/>
          <w:numId w:val="0"/>
        </w:numPr>
        <w:ind w:left="720" w:hanging="720"/>
        <w:rPr>
          <w:rFonts w:ascii="Arial" w:hAnsi="Arial" w:cs="Arial"/>
          <w:sz w:val="22"/>
          <w:szCs w:val="22"/>
        </w:rPr>
      </w:pPr>
      <w:r w:rsidRPr="00286E2C">
        <w:rPr>
          <w:rFonts w:ascii="Arial" w:hAnsi="Arial" w:cs="Arial"/>
          <w:b/>
          <w:bCs w:val="0"/>
          <w:sz w:val="22"/>
          <w:szCs w:val="22"/>
        </w:rPr>
        <w:t>9.3.12</w:t>
      </w:r>
      <w:r w:rsidRPr="00286E2C">
        <w:rPr>
          <w:rFonts w:ascii="Arial" w:hAnsi="Arial" w:cs="Arial"/>
          <w:sz w:val="22"/>
          <w:szCs w:val="22"/>
        </w:rPr>
        <w:tab/>
        <w:t xml:space="preserve">A holder of a Preference Security must have rights to receive notices, reports and audited financial statements, and admission to meetings of Shareholders, equal to the rights of holders of Ordinary Securities.  </w:t>
      </w:r>
    </w:p>
    <w:p w14:paraId="1E7EF9FE" w14:textId="77777777" w:rsidR="00286E2C" w:rsidRPr="00286E2C" w:rsidRDefault="00286E2C" w:rsidP="00286E2C">
      <w:pPr>
        <w:pStyle w:val="Heading3"/>
        <w:numPr>
          <w:ilvl w:val="0"/>
          <w:numId w:val="0"/>
        </w:numPr>
        <w:ind w:left="709" w:hanging="709"/>
        <w:rPr>
          <w:rFonts w:ascii="Arial" w:hAnsi="Arial" w:cs="Arial"/>
          <w:sz w:val="22"/>
          <w:szCs w:val="22"/>
        </w:rPr>
      </w:pPr>
      <w:r w:rsidRPr="00286E2C">
        <w:rPr>
          <w:rFonts w:ascii="Arial" w:hAnsi="Arial" w:cs="Arial"/>
          <w:b/>
          <w:bCs w:val="0"/>
          <w:sz w:val="22"/>
          <w:szCs w:val="22"/>
        </w:rPr>
        <w:lastRenderedPageBreak/>
        <w:t>9.3.13</w:t>
      </w:r>
      <w:r w:rsidRPr="00286E2C">
        <w:rPr>
          <w:rFonts w:ascii="Arial" w:hAnsi="Arial" w:cs="Arial"/>
          <w:sz w:val="22"/>
          <w:szCs w:val="22"/>
        </w:rPr>
        <w:tab/>
        <w:t>When a Listed Entity is wound up, the holder of a Preference Security must have a right to the return of capital in preference to holders of Ordinary Securities.</w:t>
      </w:r>
    </w:p>
    <w:p w14:paraId="08493AED" w14:textId="77777777" w:rsidR="00286E2C" w:rsidRPr="00286E2C" w:rsidRDefault="00286E2C" w:rsidP="00286E2C">
      <w:pPr>
        <w:pStyle w:val="TitleL"/>
        <w:rPr>
          <w:rFonts w:ascii="Arial" w:hAnsi="Arial" w:cs="Arial"/>
          <w:sz w:val="22"/>
          <w:szCs w:val="22"/>
        </w:rPr>
      </w:pPr>
      <w:r w:rsidRPr="00286E2C">
        <w:rPr>
          <w:rFonts w:ascii="Arial" w:hAnsi="Arial" w:cs="Arial"/>
          <w:sz w:val="22"/>
          <w:szCs w:val="22"/>
        </w:rPr>
        <w:t>Weighted Voting Rights</w:t>
      </w:r>
    </w:p>
    <w:p w14:paraId="7C664BAB" w14:textId="77777777" w:rsidR="00286E2C" w:rsidRPr="00286E2C" w:rsidRDefault="00286E2C" w:rsidP="00286E2C">
      <w:pPr>
        <w:pStyle w:val="Heading3"/>
        <w:numPr>
          <w:ilvl w:val="0"/>
          <w:numId w:val="0"/>
        </w:numPr>
        <w:ind w:left="709" w:hanging="709"/>
        <w:rPr>
          <w:rFonts w:ascii="Arial" w:hAnsi="Arial" w:cs="Arial"/>
          <w:sz w:val="22"/>
          <w:szCs w:val="22"/>
        </w:rPr>
      </w:pPr>
      <w:r w:rsidRPr="00286E2C">
        <w:rPr>
          <w:rFonts w:ascii="Arial" w:hAnsi="Arial" w:cs="Arial"/>
          <w:b/>
          <w:bCs w:val="0"/>
          <w:sz w:val="22"/>
          <w:szCs w:val="22"/>
        </w:rPr>
        <w:t>9.3.14</w:t>
      </w:r>
      <w:r w:rsidRPr="00286E2C">
        <w:rPr>
          <w:rFonts w:ascii="Arial" w:hAnsi="Arial" w:cs="Arial"/>
          <w:sz w:val="22"/>
          <w:szCs w:val="22"/>
        </w:rPr>
        <w:tab/>
        <w:t xml:space="preserve">A Listed Entity may, upon approval from the Regulator, allot, issue or grant Shares with Weighted Voting Rights, altering its Share capital in relation to the equality and proportionality of Shareholder voting power and equity interest (as established in Rule 9.3.3). </w:t>
      </w:r>
    </w:p>
    <w:p w14:paraId="7B71DA73" w14:textId="77777777" w:rsidR="00286E2C" w:rsidRPr="00286E2C" w:rsidRDefault="00286E2C" w:rsidP="00286E2C">
      <w:pPr>
        <w:pStyle w:val="Heading3"/>
        <w:numPr>
          <w:ilvl w:val="0"/>
          <w:numId w:val="0"/>
        </w:numPr>
        <w:ind w:left="709" w:hanging="709"/>
        <w:rPr>
          <w:rFonts w:ascii="Arial" w:hAnsi="Arial" w:cs="Arial"/>
          <w:sz w:val="22"/>
          <w:szCs w:val="22"/>
        </w:rPr>
      </w:pPr>
      <w:r w:rsidRPr="00286E2C">
        <w:rPr>
          <w:rFonts w:ascii="Arial" w:hAnsi="Arial" w:cs="Arial"/>
          <w:b/>
          <w:bCs w:val="0"/>
          <w:sz w:val="22"/>
          <w:szCs w:val="22"/>
        </w:rPr>
        <w:t>9.3.15</w:t>
      </w:r>
      <w:r w:rsidRPr="00286E2C">
        <w:rPr>
          <w:rFonts w:ascii="Arial" w:hAnsi="Arial" w:cs="Arial"/>
          <w:sz w:val="22"/>
          <w:szCs w:val="22"/>
        </w:rPr>
        <w:tab/>
        <w:t>A Listed Entity, with Shares with Weighted Voting Rights on issue, must ensure that:</w:t>
      </w:r>
    </w:p>
    <w:p w14:paraId="59D66D61" w14:textId="77777777" w:rsidR="00286E2C" w:rsidRPr="00286E2C" w:rsidRDefault="00286E2C" w:rsidP="00286E2C">
      <w:pPr>
        <w:pStyle w:val="Heading4"/>
        <w:numPr>
          <w:ilvl w:val="0"/>
          <w:numId w:val="0"/>
        </w:numPr>
        <w:ind w:left="1440" w:hanging="731"/>
        <w:rPr>
          <w:rFonts w:ascii="Arial" w:hAnsi="Arial" w:cs="Arial"/>
          <w:sz w:val="22"/>
          <w:szCs w:val="22"/>
        </w:rPr>
      </w:pPr>
      <w:r w:rsidRPr="00286E2C">
        <w:rPr>
          <w:rFonts w:ascii="Arial" w:hAnsi="Arial" w:cs="Arial"/>
          <w:sz w:val="22"/>
          <w:szCs w:val="22"/>
        </w:rPr>
        <w:t>(1)</w:t>
      </w:r>
      <w:r w:rsidRPr="00286E2C">
        <w:rPr>
          <w:rFonts w:ascii="Arial" w:hAnsi="Arial" w:cs="Arial"/>
          <w:sz w:val="22"/>
          <w:szCs w:val="22"/>
        </w:rPr>
        <w:tab/>
        <w:t>its Share capital must not result, in the view of the Regulator, in the potential for material conflicts between the interests of controlling shareholders’ interests, and those of its other shareholders;</w:t>
      </w:r>
    </w:p>
    <w:p w14:paraId="122F08F8" w14:textId="77777777" w:rsidR="00286E2C" w:rsidRPr="00286E2C" w:rsidRDefault="00286E2C" w:rsidP="00286E2C">
      <w:pPr>
        <w:pStyle w:val="TitleL"/>
        <w:rPr>
          <w:rFonts w:ascii="Arial" w:hAnsi="Arial" w:cs="Arial"/>
          <w:sz w:val="22"/>
          <w:szCs w:val="22"/>
        </w:rPr>
      </w:pPr>
      <w:r w:rsidRPr="00286E2C">
        <w:rPr>
          <w:rFonts w:ascii="Arial" w:hAnsi="Arial" w:cs="Arial"/>
          <w:sz w:val="22"/>
          <w:szCs w:val="22"/>
        </w:rPr>
        <w:t>Guidance</w:t>
      </w:r>
    </w:p>
    <w:p w14:paraId="3177C6B2" w14:textId="77777777" w:rsidR="00286E2C" w:rsidRPr="00286E2C" w:rsidRDefault="00286E2C" w:rsidP="00286E2C">
      <w:pPr>
        <w:pStyle w:val="Heading4"/>
        <w:numPr>
          <w:ilvl w:val="0"/>
          <w:numId w:val="0"/>
        </w:numPr>
        <w:ind w:left="709"/>
        <w:rPr>
          <w:rFonts w:ascii="Arial" w:hAnsi="Arial" w:cs="Arial"/>
          <w:sz w:val="22"/>
          <w:szCs w:val="22"/>
        </w:rPr>
      </w:pPr>
      <w:r w:rsidRPr="00286E2C">
        <w:rPr>
          <w:rFonts w:ascii="Arial" w:hAnsi="Arial" w:cs="Arial"/>
          <w:sz w:val="22"/>
          <w:szCs w:val="22"/>
        </w:rPr>
        <w:t xml:space="preserve">Listed Entities must consider their wider governance responsibilities, including as set out in these Rules and the Corporate Governance Best Practice Standards in APP 4.  Consideration of the use of ‘sunset clauses’, whether they be event-driven or time-based, is also expected.  </w:t>
      </w:r>
    </w:p>
    <w:p w14:paraId="5B0E61C5" w14:textId="77777777" w:rsidR="00286E2C" w:rsidRPr="00286E2C" w:rsidRDefault="00286E2C" w:rsidP="00286E2C">
      <w:pPr>
        <w:pStyle w:val="Heading4"/>
        <w:numPr>
          <w:ilvl w:val="0"/>
          <w:numId w:val="0"/>
        </w:numPr>
        <w:ind w:left="1440" w:hanging="731"/>
        <w:rPr>
          <w:rFonts w:ascii="Arial" w:hAnsi="Arial" w:cs="Arial"/>
          <w:sz w:val="22"/>
          <w:szCs w:val="22"/>
        </w:rPr>
      </w:pPr>
      <w:r w:rsidRPr="00286E2C">
        <w:rPr>
          <w:rFonts w:ascii="Arial" w:hAnsi="Arial" w:cs="Arial"/>
          <w:sz w:val="22"/>
          <w:szCs w:val="22"/>
        </w:rPr>
        <w:t>(2)</w:t>
      </w:r>
      <w:r w:rsidRPr="00286E2C">
        <w:rPr>
          <w:rFonts w:ascii="Arial" w:hAnsi="Arial" w:cs="Arial"/>
          <w:sz w:val="22"/>
          <w:szCs w:val="22"/>
        </w:rPr>
        <w:tab/>
        <w:t>the beneficiaries of Shares with Weighted Voting Rights must beneficially own collectively at least 10% of the underlying economic interest in the Listed Entity’s total issued Share capital at the time of admission to the Official List;</w:t>
      </w:r>
    </w:p>
    <w:p w14:paraId="51C9AADE" w14:textId="77777777" w:rsidR="00286E2C" w:rsidRPr="00286E2C" w:rsidRDefault="00286E2C" w:rsidP="00286E2C">
      <w:pPr>
        <w:pStyle w:val="Heading4"/>
        <w:numPr>
          <w:ilvl w:val="0"/>
          <w:numId w:val="0"/>
        </w:numPr>
        <w:ind w:left="1440" w:hanging="731"/>
        <w:rPr>
          <w:rFonts w:ascii="Arial" w:hAnsi="Arial" w:cs="Arial"/>
          <w:sz w:val="22"/>
          <w:szCs w:val="22"/>
        </w:rPr>
      </w:pPr>
      <w:r w:rsidRPr="00286E2C">
        <w:rPr>
          <w:rFonts w:ascii="Arial" w:hAnsi="Arial" w:cs="Arial"/>
          <w:sz w:val="22"/>
          <w:szCs w:val="22"/>
        </w:rPr>
        <w:t>(3)</w:t>
      </w:r>
      <w:r w:rsidRPr="00286E2C">
        <w:rPr>
          <w:rFonts w:ascii="Arial" w:hAnsi="Arial" w:cs="Arial"/>
          <w:sz w:val="22"/>
          <w:szCs w:val="22"/>
        </w:rPr>
        <w:tab/>
        <w:t>Weighted Voting Rights must not account for more than 75% of voting rights represented in person or by proxy and voting in favour of a resolution at any shareholder meeting of a Listed Entity; and</w:t>
      </w:r>
    </w:p>
    <w:p w14:paraId="40ACDA7E" w14:textId="77777777" w:rsidR="00286E2C" w:rsidRPr="00286E2C" w:rsidRDefault="00286E2C" w:rsidP="00286E2C">
      <w:pPr>
        <w:pStyle w:val="Heading4"/>
        <w:numPr>
          <w:ilvl w:val="0"/>
          <w:numId w:val="0"/>
        </w:numPr>
        <w:ind w:left="1440" w:hanging="731"/>
        <w:rPr>
          <w:rFonts w:ascii="Arial" w:hAnsi="Arial" w:cs="Arial"/>
          <w:sz w:val="22"/>
          <w:szCs w:val="22"/>
        </w:rPr>
      </w:pPr>
      <w:r w:rsidRPr="00286E2C">
        <w:rPr>
          <w:rFonts w:ascii="Arial" w:hAnsi="Arial" w:cs="Arial"/>
          <w:sz w:val="22"/>
          <w:szCs w:val="22"/>
        </w:rPr>
        <w:t>(4)</w:t>
      </w:r>
      <w:r w:rsidRPr="00286E2C">
        <w:rPr>
          <w:rFonts w:ascii="Arial" w:hAnsi="Arial" w:cs="Arial"/>
          <w:sz w:val="22"/>
          <w:szCs w:val="22"/>
        </w:rPr>
        <w:tab/>
        <w:t>the offer of Shares with Weighted Voting Rights must not increase the proportion of Shares that carry Weighted Voting Rights above the proportion on issue at the time of admission to the Official List.</w:t>
      </w:r>
    </w:p>
    <w:p w14:paraId="4246F76E" w14:textId="77777777" w:rsidR="00286E2C" w:rsidRPr="00286E2C" w:rsidRDefault="00286E2C" w:rsidP="00286E2C">
      <w:pPr>
        <w:pStyle w:val="TitleL"/>
        <w:rPr>
          <w:rFonts w:ascii="Arial" w:hAnsi="Arial" w:cs="Arial"/>
          <w:sz w:val="22"/>
          <w:szCs w:val="22"/>
        </w:rPr>
      </w:pPr>
      <w:r w:rsidRPr="00286E2C">
        <w:rPr>
          <w:rFonts w:ascii="Arial" w:hAnsi="Arial" w:cs="Arial"/>
          <w:sz w:val="22"/>
          <w:szCs w:val="22"/>
        </w:rPr>
        <w:t xml:space="preserve">Restriction on Transfer of Shares with Weighted Voting Rights </w:t>
      </w:r>
    </w:p>
    <w:p w14:paraId="378F00C4" w14:textId="77777777" w:rsidR="00286E2C" w:rsidRPr="00286E2C" w:rsidRDefault="00286E2C" w:rsidP="00286E2C">
      <w:pPr>
        <w:pStyle w:val="Heading3"/>
        <w:numPr>
          <w:ilvl w:val="0"/>
          <w:numId w:val="0"/>
        </w:numPr>
        <w:ind w:left="709" w:hanging="709"/>
        <w:rPr>
          <w:rFonts w:ascii="Arial" w:hAnsi="Arial" w:cs="Arial"/>
          <w:sz w:val="22"/>
          <w:szCs w:val="22"/>
        </w:rPr>
      </w:pPr>
      <w:r w:rsidRPr="00286E2C">
        <w:rPr>
          <w:rFonts w:ascii="Arial" w:hAnsi="Arial" w:cs="Arial"/>
          <w:sz w:val="22"/>
          <w:szCs w:val="22"/>
        </w:rPr>
        <w:t>9.3.16</w:t>
      </w:r>
      <w:r w:rsidRPr="00286E2C">
        <w:rPr>
          <w:rFonts w:ascii="Arial" w:hAnsi="Arial" w:cs="Arial"/>
          <w:sz w:val="22"/>
          <w:szCs w:val="22"/>
        </w:rPr>
        <w:tab/>
        <w:t>The Weighted Voting Rights attached to a beneficiary’s Shares must cease upon transfer to another person of the beneficial ownership of, or economic interest in, those Shares or the control over the voting rights attached to them (through voting proxies or otherwise).</w:t>
      </w:r>
    </w:p>
    <w:p w14:paraId="041D35D3" w14:textId="77777777" w:rsidR="00286E2C" w:rsidRPr="00286E2C" w:rsidRDefault="00286E2C" w:rsidP="00286E2C">
      <w:pPr>
        <w:pStyle w:val="TitleL"/>
        <w:rPr>
          <w:rFonts w:ascii="Arial" w:hAnsi="Arial" w:cs="Arial"/>
          <w:sz w:val="22"/>
          <w:szCs w:val="22"/>
        </w:rPr>
      </w:pPr>
      <w:r w:rsidRPr="00286E2C">
        <w:rPr>
          <w:rFonts w:ascii="Arial" w:hAnsi="Arial" w:cs="Arial"/>
          <w:sz w:val="22"/>
          <w:szCs w:val="22"/>
        </w:rPr>
        <w:t>Resolutions requiring voting on a one vote per Share basis</w:t>
      </w:r>
    </w:p>
    <w:p w14:paraId="6FA6923A" w14:textId="77777777" w:rsidR="00286E2C" w:rsidRPr="00286E2C" w:rsidRDefault="00286E2C" w:rsidP="00286E2C">
      <w:pPr>
        <w:pStyle w:val="Heading3"/>
        <w:numPr>
          <w:ilvl w:val="0"/>
          <w:numId w:val="0"/>
        </w:numPr>
        <w:ind w:left="709" w:hanging="709"/>
        <w:rPr>
          <w:rFonts w:ascii="Arial" w:hAnsi="Arial" w:cs="Arial"/>
          <w:sz w:val="22"/>
          <w:szCs w:val="22"/>
        </w:rPr>
      </w:pPr>
      <w:r w:rsidRPr="00286E2C">
        <w:rPr>
          <w:rFonts w:ascii="Arial" w:hAnsi="Arial" w:cs="Arial"/>
          <w:sz w:val="22"/>
          <w:szCs w:val="22"/>
        </w:rPr>
        <w:t>9.3.17</w:t>
      </w:r>
      <w:r w:rsidRPr="00286E2C">
        <w:rPr>
          <w:rFonts w:ascii="Arial" w:hAnsi="Arial" w:cs="Arial"/>
          <w:sz w:val="22"/>
          <w:szCs w:val="22"/>
        </w:rPr>
        <w:tab/>
        <w:t xml:space="preserve">All Weighted Voting Rights attached to any class of a Listed Entity’s Shares must be disregarded and must not entitle the beneficiary to more than one vote per share on any resolution to approve the following matters: </w:t>
      </w:r>
    </w:p>
    <w:p w14:paraId="6444AC36" w14:textId="77777777" w:rsidR="00286E2C" w:rsidRPr="00286E2C" w:rsidRDefault="00286E2C" w:rsidP="00286E2C">
      <w:pPr>
        <w:pStyle w:val="Heading3"/>
        <w:numPr>
          <w:ilvl w:val="0"/>
          <w:numId w:val="0"/>
        </w:numPr>
        <w:ind w:left="1418" w:hanging="709"/>
        <w:rPr>
          <w:rFonts w:ascii="Arial" w:hAnsi="Arial" w:cs="Arial"/>
          <w:sz w:val="22"/>
          <w:szCs w:val="22"/>
        </w:rPr>
      </w:pPr>
      <w:r w:rsidRPr="00286E2C">
        <w:rPr>
          <w:rFonts w:ascii="Arial" w:hAnsi="Arial" w:cs="Arial"/>
          <w:sz w:val="22"/>
          <w:szCs w:val="22"/>
        </w:rPr>
        <w:t>(1)</w:t>
      </w:r>
      <w:r w:rsidRPr="00286E2C">
        <w:rPr>
          <w:rFonts w:ascii="Arial" w:hAnsi="Arial" w:cs="Arial"/>
          <w:sz w:val="22"/>
          <w:szCs w:val="22"/>
        </w:rPr>
        <w:tab/>
        <w:t>changes to the Listed Entity’s constitutional documents;</w:t>
      </w:r>
    </w:p>
    <w:p w14:paraId="398F783F" w14:textId="77777777" w:rsidR="00286E2C" w:rsidRPr="00286E2C" w:rsidRDefault="00286E2C" w:rsidP="00286E2C">
      <w:pPr>
        <w:pStyle w:val="Heading3"/>
        <w:numPr>
          <w:ilvl w:val="0"/>
          <w:numId w:val="0"/>
        </w:numPr>
        <w:ind w:left="1418" w:hanging="709"/>
        <w:rPr>
          <w:rFonts w:ascii="Arial" w:hAnsi="Arial" w:cs="Arial"/>
          <w:sz w:val="22"/>
          <w:szCs w:val="22"/>
        </w:rPr>
      </w:pPr>
      <w:r w:rsidRPr="00286E2C">
        <w:rPr>
          <w:rFonts w:ascii="Arial" w:hAnsi="Arial" w:cs="Arial"/>
          <w:sz w:val="22"/>
          <w:szCs w:val="22"/>
        </w:rPr>
        <w:t>(2)</w:t>
      </w:r>
      <w:r w:rsidRPr="00286E2C">
        <w:rPr>
          <w:rFonts w:ascii="Arial" w:hAnsi="Arial" w:cs="Arial"/>
          <w:sz w:val="22"/>
          <w:szCs w:val="22"/>
        </w:rPr>
        <w:tab/>
        <w:t>variation of rights attached to any class of Securities;</w:t>
      </w:r>
    </w:p>
    <w:p w14:paraId="5004E08D" w14:textId="77777777" w:rsidR="00286E2C" w:rsidRPr="00286E2C" w:rsidRDefault="00286E2C" w:rsidP="00286E2C">
      <w:pPr>
        <w:pStyle w:val="Heading3"/>
        <w:numPr>
          <w:ilvl w:val="0"/>
          <w:numId w:val="0"/>
        </w:numPr>
        <w:ind w:left="1418" w:hanging="709"/>
        <w:rPr>
          <w:rFonts w:ascii="Arial" w:hAnsi="Arial" w:cs="Arial"/>
          <w:sz w:val="22"/>
          <w:szCs w:val="22"/>
        </w:rPr>
      </w:pPr>
      <w:r w:rsidRPr="00286E2C">
        <w:rPr>
          <w:rFonts w:ascii="Arial" w:hAnsi="Arial" w:cs="Arial"/>
          <w:sz w:val="22"/>
          <w:szCs w:val="22"/>
        </w:rPr>
        <w:t>(3)</w:t>
      </w:r>
      <w:r w:rsidRPr="00286E2C">
        <w:rPr>
          <w:rFonts w:ascii="Arial" w:hAnsi="Arial" w:cs="Arial"/>
          <w:sz w:val="22"/>
          <w:szCs w:val="22"/>
        </w:rPr>
        <w:tab/>
        <w:t xml:space="preserve">the appointment or removal of an independent non-executive director; </w:t>
      </w:r>
    </w:p>
    <w:p w14:paraId="66276EFE" w14:textId="77777777" w:rsidR="00286E2C" w:rsidRPr="00286E2C" w:rsidRDefault="00286E2C" w:rsidP="00286E2C">
      <w:pPr>
        <w:pStyle w:val="Heading3"/>
        <w:numPr>
          <w:ilvl w:val="0"/>
          <w:numId w:val="0"/>
        </w:numPr>
        <w:ind w:left="1418" w:hanging="709"/>
        <w:rPr>
          <w:rFonts w:ascii="Arial" w:hAnsi="Arial" w:cs="Arial"/>
          <w:sz w:val="22"/>
          <w:szCs w:val="22"/>
        </w:rPr>
      </w:pPr>
      <w:r w:rsidRPr="00286E2C">
        <w:rPr>
          <w:rFonts w:ascii="Arial" w:hAnsi="Arial" w:cs="Arial"/>
          <w:sz w:val="22"/>
          <w:szCs w:val="22"/>
        </w:rPr>
        <w:t>(4)</w:t>
      </w:r>
      <w:r w:rsidRPr="00286E2C">
        <w:rPr>
          <w:rFonts w:ascii="Arial" w:hAnsi="Arial" w:cs="Arial"/>
          <w:sz w:val="22"/>
          <w:szCs w:val="22"/>
        </w:rPr>
        <w:tab/>
        <w:t>the appointment or removal of auditors; and</w:t>
      </w:r>
    </w:p>
    <w:p w14:paraId="11D9E416" w14:textId="77777777" w:rsidR="00286E2C" w:rsidRPr="00286E2C" w:rsidRDefault="00286E2C" w:rsidP="00286E2C">
      <w:pPr>
        <w:pStyle w:val="Heading3"/>
        <w:numPr>
          <w:ilvl w:val="0"/>
          <w:numId w:val="0"/>
        </w:numPr>
        <w:ind w:left="1418" w:hanging="709"/>
        <w:rPr>
          <w:rFonts w:ascii="Arial" w:hAnsi="Arial" w:cs="Arial"/>
          <w:sz w:val="22"/>
          <w:szCs w:val="22"/>
        </w:rPr>
      </w:pPr>
      <w:r w:rsidRPr="00286E2C">
        <w:rPr>
          <w:rFonts w:ascii="Arial" w:hAnsi="Arial" w:cs="Arial"/>
          <w:sz w:val="22"/>
          <w:szCs w:val="22"/>
        </w:rPr>
        <w:lastRenderedPageBreak/>
        <w:t>(5)</w:t>
      </w:r>
      <w:r w:rsidRPr="00286E2C">
        <w:rPr>
          <w:rFonts w:ascii="Arial" w:hAnsi="Arial" w:cs="Arial"/>
          <w:sz w:val="22"/>
          <w:szCs w:val="22"/>
        </w:rPr>
        <w:tab/>
        <w:t>the voluntary winding-up of the Listed Entity.</w:t>
      </w:r>
    </w:p>
    <w:p w14:paraId="6E763F88" w14:textId="69DCAF68" w:rsidR="00162E0C" w:rsidRPr="00FB2F3D" w:rsidRDefault="00162E0C" w:rsidP="0061693E">
      <w:pPr>
        <w:pStyle w:val="Heading2"/>
        <w:rPr>
          <w:rFonts w:ascii="Arial" w:hAnsi="Arial" w:cs="Arial"/>
          <w:sz w:val="22"/>
          <w:szCs w:val="22"/>
        </w:rPr>
      </w:pPr>
      <w:bookmarkStart w:id="756" w:name="_Toc409521836"/>
      <w:bookmarkStart w:id="757" w:name="_Ref410075642"/>
      <w:bookmarkStart w:id="758" w:name="_Toc410136233"/>
      <w:bookmarkStart w:id="759" w:name="_Toc410605942"/>
      <w:bookmarkStart w:id="760" w:name="_Ref410629122"/>
      <w:bookmarkStart w:id="761" w:name="_Toc410658878"/>
      <w:bookmarkStart w:id="762" w:name="_Toc410659005"/>
      <w:bookmarkStart w:id="763" w:name="_Toc410835552"/>
      <w:bookmarkStart w:id="764" w:name="_Ref416753260"/>
      <w:bookmarkStart w:id="765" w:name="_Toc138325706"/>
      <w:r w:rsidRPr="00FB2F3D">
        <w:rPr>
          <w:rFonts w:ascii="Arial" w:hAnsi="Arial" w:cs="Arial"/>
          <w:sz w:val="22"/>
          <w:szCs w:val="22"/>
        </w:rPr>
        <w:t xml:space="preserve">Dealings by </w:t>
      </w:r>
      <w:r w:rsidR="00286E2C">
        <w:rPr>
          <w:rFonts w:ascii="Arial" w:hAnsi="Arial" w:cs="Arial"/>
          <w:sz w:val="22"/>
          <w:szCs w:val="22"/>
        </w:rPr>
        <w:t>R</w:t>
      </w:r>
      <w:r w:rsidRPr="00FB2F3D">
        <w:rPr>
          <w:rFonts w:ascii="Arial" w:hAnsi="Arial" w:cs="Arial"/>
          <w:sz w:val="22"/>
          <w:szCs w:val="22"/>
        </w:rPr>
        <w:t xml:space="preserve">estricted </w:t>
      </w:r>
      <w:r w:rsidR="00286E2C">
        <w:rPr>
          <w:rFonts w:ascii="Arial" w:hAnsi="Arial" w:cs="Arial"/>
          <w:sz w:val="22"/>
          <w:szCs w:val="22"/>
        </w:rPr>
        <w:t>P</w:t>
      </w:r>
      <w:r w:rsidRPr="00FB2F3D">
        <w:rPr>
          <w:rFonts w:ascii="Arial" w:hAnsi="Arial" w:cs="Arial"/>
          <w:sz w:val="22"/>
          <w:szCs w:val="22"/>
        </w:rPr>
        <w:t>ersons</w:t>
      </w:r>
      <w:bookmarkEnd w:id="756"/>
      <w:bookmarkEnd w:id="757"/>
      <w:bookmarkEnd w:id="758"/>
      <w:bookmarkEnd w:id="759"/>
      <w:bookmarkEnd w:id="760"/>
      <w:bookmarkEnd w:id="761"/>
      <w:bookmarkEnd w:id="762"/>
      <w:bookmarkEnd w:id="763"/>
      <w:bookmarkEnd w:id="764"/>
      <w:bookmarkEnd w:id="765"/>
    </w:p>
    <w:p w14:paraId="49703B78"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Application</w:t>
      </w:r>
    </w:p>
    <w:p w14:paraId="71A63632" w14:textId="77777777" w:rsidR="00162E0C" w:rsidRPr="00FB2F3D" w:rsidRDefault="007441BA" w:rsidP="00384E67">
      <w:pPr>
        <w:pStyle w:val="Heading3"/>
        <w:keepNext/>
        <w:ind w:left="1440" w:hanging="1440"/>
        <w:rPr>
          <w:rFonts w:ascii="Arial" w:hAnsi="Arial" w:cs="Arial"/>
          <w:sz w:val="22"/>
          <w:szCs w:val="22"/>
        </w:rPr>
      </w:pPr>
      <w:r w:rsidRPr="00FB2F3D">
        <w:rPr>
          <w:rFonts w:ascii="Arial" w:hAnsi="Arial" w:cs="Arial"/>
          <w:sz w:val="22"/>
          <w:szCs w:val="22"/>
        </w:rPr>
        <w:t>(1)</w:t>
      </w:r>
      <w:r w:rsidR="00384E67" w:rsidRPr="00FB2F3D">
        <w:rPr>
          <w:rFonts w:ascii="Arial" w:hAnsi="Arial" w:cs="Arial"/>
          <w:sz w:val="22"/>
          <w:szCs w:val="22"/>
        </w:rPr>
        <w:tab/>
      </w:r>
      <w:r w:rsidR="00162E0C" w:rsidRPr="00FB2F3D">
        <w:rPr>
          <w:rFonts w:ascii="Arial" w:hAnsi="Arial" w:cs="Arial"/>
          <w:sz w:val="22"/>
          <w:szCs w:val="22"/>
        </w:rPr>
        <w:t>This section applies to:</w:t>
      </w:r>
    </w:p>
    <w:p w14:paraId="107A0092" w14:textId="4D96DA48" w:rsidR="00162E0C" w:rsidRPr="00FB2F3D" w:rsidRDefault="00162E0C" w:rsidP="00222FEC">
      <w:pPr>
        <w:pStyle w:val="Heading5"/>
        <w:rPr>
          <w:rFonts w:ascii="Arial" w:hAnsi="Arial" w:cs="Arial"/>
          <w:sz w:val="22"/>
          <w:szCs w:val="22"/>
        </w:rPr>
      </w:pPr>
      <w:r w:rsidRPr="00FB2F3D">
        <w:rPr>
          <w:rFonts w:ascii="Arial" w:hAnsi="Arial" w:cs="Arial"/>
          <w:sz w:val="22"/>
          <w:szCs w:val="22"/>
        </w:rPr>
        <w:t xml:space="preserve">the Board of every </w:t>
      </w:r>
      <w:r w:rsidR="00286E2C">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and</w:t>
      </w:r>
    </w:p>
    <w:p w14:paraId="3374A3CD" w14:textId="0CF46299" w:rsidR="00162E0C" w:rsidRPr="00FB2F3D" w:rsidRDefault="00162E0C" w:rsidP="00222FEC">
      <w:pPr>
        <w:pStyle w:val="Heading5"/>
        <w:rPr>
          <w:rFonts w:ascii="Arial" w:hAnsi="Arial" w:cs="Arial"/>
          <w:sz w:val="22"/>
          <w:szCs w:val="22"/>
        </w:rPr>
      </w:pPr>
      <w:bookmarkStart w:id="766" w:name="_Ref410630570"/>
      <w:r w:rsidRPr="00FB2F3D">
        <w:rPr>
          <w:rFonts w:ascii="Arial" w:hAnsi="Arial" w:cs="Arial"/>
          <w:sz w:val="22"/>
          <w:szCs w:val="22"/>
        </w:rPr>
        <w:t xml:space="preserve">a Restricted Person in relation to such a </w:t>
      </w:r>
      <w:r w:rsidR="00286E2C">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w:t>
      </w:r>
      <w:bookmarkEnd w:id="766"/>
    </w:p>
    <w:p w14:paraId="1CBCC33F" w14:textId="64C1F50F" w:rsidR="00162E0C" w:rsidRPr="00FB2F3D" w:rsidRDefault="00162E0C" w:rsidP="00222FEC">
      <w:pPr>
        <w:pStyle w:val="Heading4"/>
        <w:rPr>
          <w:rFonts w:ascii="Arial" w:hAnsi="Arial" w:cs="Arial"/>
          <w:sz w:val="22"/>
          <w:szCs w:val="22"/>
        </w:rPr>
      </w:pPr>
      <w:r w:rsidRPr="00FB2F3D">
        <w:rPr>
          <w:rFonts w:ascii="Arial" w:hAnsi="Arial" w:cs="Arial"/>
          <w:sz w:val="22"/>
          <w:szCs w:val="22"/>
        </w:rPr>
        <w:t xml:space="preserve">For the purposes of </w:t>
      </w:r>
      <w:r w:rsidR="00693841" w:rsidRPr="00FB2F3D">
        <w:rPr>
          <w:rFonts w:ascii="Arial" w:hAnsi="Arial" w:cs="Arial"/>
          <w:sz w:val="22"/>
          <w:szCs w:val="22"/>
        </w:rPr>
        <w:t>(b)</w:t>
      </w:r>
      <w:r w:rsidRPr="00FB2F3D">
        <w:rPr>
          <w:rFonts w:ascii="Arial" w:hAnsi="Arial" w:cs="Arial"/>
          <w:sz w:val="22"/>
          <w:szCs w:val="22"/>
        </w:rPr>
        <w:t>, a Person is a Restricted Person in relation to a</w:t>
      </w:r>
      <w:r w:rsidR="00222FEC" w:rsidRPr="00FB2F3D">
        <w:rPr>
          <w:rFonts w:ascii="Arial" w:hAnsi="Arial" w:cs="Arial"/>
          <w:sz w:val="22"/>
          <w:szCs w:val="22"/>
        </w:rPr>
        <w:t xml:space="preserve"> </w:t>
      </w:r>
      <w:r w:rsidR="00286E2C">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if he is involved in the </w:t>
      </w:r>
      <w:r w:rsidR="00E061DA" w:rsidRPr="00FB2F3D">
        <w:rPr>
          <w:rFonts w:ascii="Arial" w:hAnsi="Arial" w:cs="Arial"/>
          <w:sz w:val="22"/>
          <w:szCs w:val="22"/>
        </w:rPr>
        <w:t>Senior Management</w:t>
      </w:r>
      <w:r w:rsidRPr="00FB2F3D">
        <w:rPr>
          <w:rFonts w:ascii="Arial" w:hAnsi="Arial" w:cs="Arial"/>
          <w:sz w:val="22"/>
          <w:szCs w:val="22"/>
        </w:rPr>
        <w:t xml:space="preserve"> of the </w:t>
      </w:r>
      <w:r w:rsidR="00286E2C">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w:t>
      </w:r>
    </w:p>
    <w:p w14:paraId="109AFE37"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25172B8B" w14:textId="634B62EB" w:rsidR="00162E0C" w:rsidRPr="00FB2F3D" w:rsidRDefault="00162E0C" w:rsidP="0006394F">
      <w:pPr>
        <w:pStyle w:val="GuidanceNotesnumbering"/>
        <w:numPr>
          <w:ilvl w:val="0"/>
          <w:numId w:val="40"/>
        </w:numPr>
        <w:rPr>
          <w:rFonts w:ascii="Arial" w:hAnsi="Arial" w:cs="Arial"/>
          <w:sz w:val="22"/>
          <w:szCs w:val="22"/>
        </w:rPr>
      </w:pPr>
      <w:r w:rsidRPr="00FB2F3D">
        <w:rPr>
          <w:rFonts w:ascii="Arial" w:hAnsi="Arial" w:cs="Arial"/>
          <w:sz w:val="22"/>
          <w:szCs w:val="22"/>
        </w:rPr>
        <w:t xml:space="preserve">Persons are considered as involved in the </w:t>
      </w:r>
      <w:r w:rsidR="00E061DA" w:rsidRPr="00FB2F3D">
        <w:rPr>
          <w:rFonts w:ascii="Arial" w:hAnsi="Arial" w:cs="Arial"/>
          <w:sz w:val="22"/>
          <w:szCs w:val="22"/>
        </w:rPr>
        <w:t>Senior Management</w:t>
      </w:r>
      <w:r w:rsidRPr="00FB2F3D">
        <w:rPr>
          <w:rFonts w:ascii="Arial" w:hAnsi="Arial" w:cs="Arial"/>
          <w:sz w:val="22"/>
          <w:szCs w:val="22"/>
        </w:rPr>
        <w:t xml:space="preserve"> if they are in a position of authority and influence in making management or executive decisions with regard to the day</w:t>
      </w:r>
      <w:r w:rsidRPr="00FB2F3D">
        <w:rPr>
          <w:rFonts w:ascii="Arial" w:hAnsi="Arial" w:cs="Arial"/>
          <w:sz w:val="22"/>
          <w:szCs w:val="22"/>
        </w:rPr>
        <w:noBreakHyphen/>
        <w:t>to</w:t>
      </w:r>
      <w:r w:rsidRPr="00FB2F3D">
        <w:rPr>
          <w:rFonts w:ascii="Arial" w:hAnsi="Arial" w:cs="Arial"/>
          <w:sz w:val="22"/>
          <w:szCs w:val="22"/>
        </w:rPr>
        <w:noBreakHyphen/>
        <w:t xml:space="preserve">day management of the business of the </w:t>
      </w:r>
      <w:r w:rsidR="00710EA1">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w:t>
      </w:r>
    </w:p>
    <w:p w14:paraId="04EE49BE" w14:textId="2A4FCEFD" w:rsidR="00162E0C" w:rsidRPr="00FB2F3D" w:rsidRDefault="00710EA1" w:rsidP="00222FEC">
      <w:pPr>
        <w:pStyle w:val="GuidanceNotesnumbering"/>
        <w:rPr>
          <w:rFonts w:ascii="Arial" w:hAnsi="Arial" w:cs="Arial"/>
          <w:sz w:val="22"/>
          <w:szCs w:val="22"/>
        </w:rPr>
      </w:pPr>
      <w:r>
        <w:rPr>
          <w:rFonts w:ascii="Arial" w:hAnsi="Arial" w:cs="Arial"/>
          <w:sz w:val="22"/>
          <w:szCs w:val="22"/>
        </w:rPr>
        <w:t>T</w:t>
      </w:r>
      <w:r w:rsidR="0006394F" w:rsidRPr="00FB2F3D">
        <w:rPr>
          <w:rFonts w:ascii="Arial" w:hAnsi="Arial" w:cs="Arial"/>
          <w:sz w:val="22"/>
          <w:szCs w:val="22"/>
        </w:rPr>
        <w:t>he</w:t>
      </w:r>
      <w:r>
        <w:rPr>
          <w:rFonts w:ascii="Arial" w:hAnsi="Arial" w:cs="Arial"/>
          <w:sz w:val="22"/>
          <w:szCs w:val="22"/>
        </w:rPr>
        <w:t>se</w:t>
      </w:r>
      <w:r w:rsidR="0006394F" w:rsidRPr="00FB2F3D">
        <w:rPr>
          <w:rFonts w:ascii="Arial" w:hAnsi="Arial" w:cs="Arial"/>
          <w:sz w:val="22"/>
          <w:szCs w:val="22"/>
        </w:rPr>
        <w:t xml:space="preserve"> </w:t>
      </w:r>
      <w:r w:rsidR="00162E0C" w:rsidRPr="00FB2F3D">
        <w:rPr>
          <w:rFonts w:ascii="Arial" w:hAnsi="Arial" w:cs="Arial"/>
          <w:sz w:val="22"/>
          <w:szCs w:val="22"/>
        </w:rPr>
        <w:t>requirements</w:t>
      </w:r>
      <w:r>
        <w:rPr>
          <w:rFonts w:ascii="Arial" w:hAnsi="Arial" w:cs="Arial"/>
          <w:sz w:val="22"/>
          <w:szCs w:val="22"/>
        </w:rPr>
        <w:t xml:space="preserve"> apply, as appropriate </w:t>
      </w:r>
      <w:r w:rsidR="00162E0C" w:rsidRPr="00FB2F3D">
        <w:rPr>
          <w:rFonts w:ascii="Arial" w:hAnsi="Arial" w:cs="Arial"/>
          <w:sz w:val="22"/>
          <w:szCs w:val="22"/>
        </w:rPr>
        <w:t>to Listed Funds.</w:t>
      </w:r>
    </w:p>
    <w:p w14:paraId="448FB41F" w14:textId="77777777" w:rsidR="00162E0C" w:rsidRPr="00FB2F3D" w:rsidRDefault="00162E0C" w:rsidP="00384E67">
      <w:pPr>
        <w:pStyle w:val="TitleL"/>
        <w:rPr>
          <w:rFonts w:ascii="Arial" w:hAnsi="Arial" w:cs="Arial"/>
          <w:sz w:val="22"/>
          <w:szCs w:val="22"/>
        </w:rPr>
      </w:pPr>
      <w:r w:rsidRPr="00FB2F3D">
        <w:rPr>
          <w:rFonts w:ascii="Arial" w:hAnsi="Arial" w:cs="Arial"/>
          <w:sz w:val="22"/>
          <w:szCs w:val="22"/>
        </w:rPr>
        <w:t>Prohibition on dealing</w:t>
      </w:r>
    </w:p>
    <w:p w14:paraId="57FDE8A5" w14:textId="70FC4E13" w:rsidR="00162E0C" w:rsidRPr="00FB2F3D" w:rsidRDefault="007441BA" w:rsidP="0006394F">
      <w:pPr>
        <w:pStyle w:val="Heading3"/>
        <w:ind w:left="1440" w:hanging="1440"/>
        <w:rPr>
          <w:rFonts w:ascii="Arial" w:hAnsi="Arial" w:cs="Arial"/>
          <w:sz w:val="22"/>
          <w:szCs w:val="22"/>
        </w:rPr>
      </w:pPr>
      <w:bookmarkStart w:id="767" w:name="_Ref410052419"/>
      <w:r w:rsidRPr="00FB2F3D">
        <w:rPr>
          <w:rFonts w:ascii="Arial" w:hAnsi="Arial" w:cs="Arial"/>
          <w:sz w:val="22"/>
          <w:szCs w:val="22"/>
        </w:rPr>
        <w:t>(1)</w:t>
      </w:r>
      <w:r w:rsidR="00384E67" w:rsidRPr="00FB2F3D">
        <w:rPr>
          <w:rFonts w:ascii="Arial" w:hAnsi="Arial" w:cs="Arial"/>
          <w:sz w:val="22"/>
          <w:szCs w:val="22"/>
        </w:rPr>
        <w:tab/>
      </w:r>
      <w:r w:rsidR="00162E0C" w:rsidRPr="00FB2F3D">
        <w:rPr>
          <w:rFonts w:ascii="Arial" w:hAnsi="Arial" w:cs="Arial"/>
          <w:sz w:val="22"/>
          <w:szCs w:val="22"/>
        </w:rPr>
        <w:t>A Restri</w:t>
      </w:r>
      <w:r w:rsidR="004826C3" w:rsidRPr="00FB2F3D">
        <w:rPr>
          <w:rFonts w:ascii="Arial" w:hAnsi="Arial" w:cs="Arial"/>
          <w:sz w:val="22"/>
          <w:szCs w:val="22"/>
        </w:rPr>
        <w:t>cted Person must not engage in D</w:t>
      </w:r>
      <w:r w:rsidR="00162E0C" w:rsidRPr="00FB2F3D">
        <w:rPr>
          <w:rFonts w:ascii="Arial" w:hAnsi="Arial" w:cs="Arial"/>
          <w:sz w:val="22"/>
          <w:szCs w:val="22"/>
        </w:rPr>
        <w:t xml:space="preserve">ealing in the </w:t>
      </w:r>
      <w:r w:rsidR="004B46BD" w:rsidRPr="00FB2F3D">
        <w:rPr>
          <w:rFonts w:ascii="Arial" w:hAnsi="Arial" w:cs="Arial"/>
          <w:sz w:val="22"/>
          <w:szCs w:val="22"/>
        </w:rPr>
        <w:t>Securities</w:t>
      </w:r>
      <w:r w:rsidR="00162E0C" w:rsidRPr="00FB2F3D">
        <w:rPr>
          <w:rFonts w:ascii="Arial" w:hAnsi="Arial" w:cs="Arial"/>
          <w:sz w:val="22"/>
          <w:szCs w:val="22"/>
        </w:rPr>
        <w:t xml:space="preserve"> of </w:t>
      </w:r>
      <w:r w:rsidR="00C22BBE">
        <w:rPr>
          <w:rFonts w:ascii="Arial" w:hAnsi="Arial" w:cs="Arial"/>
          <w:sz w:val="22"/>
          <w:szCs w:val="22"/>
        </w:rPr>
        <w:t>a Listed</w:t>
      </w:r>
      <w:r w:rsidR="00222FEC" w:rsidRPr="00FB2F3D">
        <w:rPr>
          <w:rFonts w:ascii="Arial" w:hAnsi="Arial" w:cs="Arial"/>
          <w:sz w:val="22"/>
          <w:szCs w:val="22"/>
        </w:rPr>
        <w:t xml:space="preserve"> Entity</w:t>
      </w:r>
      <w:r w:rsidR="00162E0C" w:rsidRPr="00FB2F3D">
        <w:rPr>
          <w:rFonts w:ascii="Arial" w:hAnsi="Arial" w:cs="Arial"/>
          <w:sz w:val="22"/>
          <w:szCs w:val="22"/>
        </w:rPr>
        <w:t xml:space="preserve"> during a </w:t>
      </w:r>
      <w:r w:rsidR="004826C3" w:rsidRPr="00FB2F3D">
        <w:rPr>
          <w:rFonts w:ascii="Arial" w:hAnsi="Arial" w:cs="Arial"/>
          <w:sz w:val="22"/>
          <w:szCs w:val="22"/>
        </w:rPr>
        <w:t>Close P</w:t>
      </w:r>
      <w:r w:rsidR="00162E0C" w:rsidRPr="00FB2F3D">
        <w:rPr>
          <w:rFonts w:ascii="Arial" w:hAnsi="Arial" w:cs="Arial"/>
          <w:sz w:val="22"/>
          <w:szCs w:val="22"/>
        </w:rPr>
        <w:t>eriod except in the circumstances specified in Rule </w:t>
      </w:r>
      <w:r w:rsidR="00693841" w:rsidRPr="00FB2F3D">
        <w:rPr>
          <w:rFonts w:ascii="Arial" w:hAnsi="Arial" w:cs="Arial"/>
          <w:sz w:val="22"/>
          <w:szCs w:val="22"/>
        </w:rPr>
        <w:t>9.4.</w:t>
      </w:r>
      <w:r w:rsidR="0006394F" w:rsidRPr="00FB2F3D">
        <w:rPr>
          <w:rFonts w:ascii="Arial" w:hAnsi="Arial" w:cs="Arial"/>
          <w:sz w:val="22"/>
          <w:szCs w:val="22"/>
        </w:rPr>
        <w:t>4</w:t>
      </w:r>
      <w:r w:rsidR="00162E0C" w:rsidRPr="00FB2F3D">
        <w:rPr>
          <w:rFonts w:ascii="Arial" w:hAnsi="Arial" w:cs="Arial"/>
          <w:sz w:val="22"/>
          <w:szCs w:val="22"/>
        </w:rPr>
        <w:t>.</w:t>
      </w:r>
      <w:bookmarkEnd w:id="767"/>
    </w:p>
    <w:p w14:paraId="42D2E48C" w14:textId="77777777" w:rsidR="00162E0C" w:rsidRPr="00FB2F3D" w:rsidRDefault="0006394F" w:rsidP="0006394F">
      <w:pPr>
        <w:pStyle w:val="Heading4"/>
        <w:keepNext/>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162E0C" w:rsidRPr="00FB2F3D">
        <w:rPr>
          <w:rFonts w:ascii="Arial" w:hAnsi="Arial" w:cs="Arial"/>
          <w:sz w:val="22"/>
          <w:szCs w:val="22"/>
        </w:rPr>
        <w:t>For the purposes of this Rule</w:t>
      </w:r>
      <w:r w:rsidRPr="00FB2F3D">
        <w:rPr>
          <w:rFonts w:ascii="Arial" w:hAnsi="Arial" w:cs="Arial"/>
          <w:sz w:val="22"/>
          <w:szCs w:val="22"/>
        </w:rPr>
        <w:t xml:space="preserve"> a “Close Period” is</w:t>
      </w:r>
      <w:r w:rsidR="00162E0C" w:rsidRPr="00FB2F3D">
        <w:rPr>
          <w:rFonts w:ascii="Arial" w:hAnsi="Arial" w:cs="Arial"/>
          <w:sz w:val="22"/>
          <w:szCs w:val="22"/>
        </w:rPr>
        <w:t>:</w:t>
      </w:r>
    </w:p>
    <w:p w14:paraId="2F96AA33" w14:textId="4E55BD59" w:rsidR="00162E0C" w:rsidRPr="00FB2F3D" w:rsidRDefault="0006394F" w:rsidP="0006394F">
      <w:pPr>
        <w:pStyle w:val="Heading6"/>
        <w:numPr>
          <w:ilvl w:val="0"/>
          <w:numId w:val="0"/>
        </w:numPr>
        <w:ind w:left="2160" w:hanging="720"/>
        <w:rPr>
          <w:rFonts w:ascii="Arial" w:hAnsi="Arial" w:cs="Arial"/>
          <w:sz w:val="22"/>
          <w:szCs w:val="22"/>
        </w:rPr>
      </w:pPr>
      <w:r w:rsidRPr="00FB2F3D">
        <w:rPr>
          <w:rFonts w:ascii="Arial" w:hAnsi="Arial" w:cs="Arial"/>
          <w:sz w:val="22"/>
          <w:szCs w:val="22"/>
        </w:rPr>
        <w:t>(a)</w:t>
      </w:r>
      <w:r w:rsidRPr="00FB2F3D">
        <w:rPr>
          <w:rFonts w:ascii="Arial" w:hAnsi="Arial" w:cs="Arial"/>
          <w:sz w:val="22"/>
          <w:szCs w:val="22"/>
        </w:rPr>
        <w:tab/>
      </w:r>
      <w:r w:rsidR="00162E0C" w:rsidRPr="00FB2F3D">
        <w:rPr>
          <w:rFonts w:ascii="Arial" w:hAnsi="Arial" w:cs="Arial"/>
          <w:sz w:val="22"/>
          <w:szCs w:val="22"/>
        </w:rPr>
        <w:t xml:space="preserve">the period from the relevant financial year end up to and including the time of the </w:t>
      </w:r>
      <w:r w:rsidR="00C22BBE">
        <w:rPr>
          <w:rFonts w:ascii="Arial" w:hAnsi="Arial" w:cs="Arial"/>
          <w:sz w:val="22"/>
          <w:szCs w:val="22"/>
        </w:rPr>
        <w:t xml:space="preserve">Disclosure </w:t>
      </w:r>
      <w:r w:rsidR="00162E0C" w:rsidRPr="00FB2F3D">
        <w:rPr>
          <w:rFonts w:ascii="Arial" w:hAnsi="Arial" w:cs="Arial"/>
          <w:sz w:val="22"/>
          <w:szCs w:val="22"/>
        </w:rPr>
        <w:t>or publication of the annual financial reports; and</w:t>
      </w:r>
    </w:p>
    <w:p w14:paraId="420C2A1D" w14:textId="57098FD9" w:rsidR="00162E0C" w:rsidRPr="00FB2F3D" w:rsidRDefault="0006394F" w:rsidP="0006394F">
      <w:pPr>
        <w:pStyle w:val="Heading6"/>
        <w:numPr>
          <w:ilvl w:val="0"/>
          <w:numId w:val="0"/>
        </w:numPr>
        <w:ind w:left="2160" w:hanging="720"/>
        <w:rPr>
          <w:rFonts w:ascii="Arial" w:hAnsi="Arial" w:cs="Arial"/>
          <w:sz w:val="22"/>
          <w:szCs w:val="22"/>
        </w:rPr>
      </w:pPr>
      <w:r w:rsidRPr="00FB2F3D">
        <w:rPr>
          <w:rFonts w:ascii="Arial" w:hAnsi="Arial" w:cs="Arial"/>
          <w:sz w:val="22"/>
          <w:szCs w:val="22"/>
        </w:rPr>
        <w:t>(b)</w:t>
      </w:r>
      <w:r w:rsidRPr="00FB2F3D">
        <w:rPr>
          <w:rFonts w:ascii="Arial" w:hAnsi="Arial" w:cs="Arial"/>
          <w:sz w:val="22"/>
          <w:szCs w:val="22"/>
        </w:rPr>
        <w:tab/>
      </w:r>
      <w:r w:rsidR="00162E0C" w:rsidRPr="00FB2F3D">
        <w:rPr>
          <w:rFonts w:ascii="Arial" w:hAnsi="Arial" w:cs="Arial"/>
          <w:sz w:val="22"/>
          <w:szCs w:val="22"/>
        </w:rPr>
        <w:t xml:space="preserve">if the </w:t>
      </w:r>
      <w:r w:rsidR="00C22BBE">
        <w:rPr>
          <w:rFonts w:ascii="Arial" w:hAnsi="Arial" w:cs="Arial"/>
          <w:sz w:val="22"/>
          <w:szCs w:val="22"/>
        </w:rPr>
        <w:t>Listed</w:t>
      </w:r>
      <w:r w:rsidR="00222FEC" w:rsidRPr="00FB2F3D">
        <w:rPr>
          <w:rFonts w:ascii="Arial" w:hAnsi="Arial" w:cs="Arial"/>
          <w:sz w:val="22"/>
          <w:szCs w:val="22"/>
        </w:rPr>
        <w:t xml:space="preserve"> Entity</w:t>
      </w:r>
      <w:r w:rsidR="00162E0C" w:rsidRPr="00FB2F3D">
        <w:rPr>
          <w:rFonts w:ascii="Arial" w:hAnsi="Arial" w:cs="Arial"/>
          <w:sz w:val="22"/>
          <w:szCs w:val="22"/>
        </w:rPr>
        <w:t xml:space="preserve"> reports on a semi</w:t>
      </w:r>
      <w:r w:rsidR="00162E0C" w:rsidRPr="00FB2F3D">
        <w:rPr>
          <w:rFonts w:ascii="Arial" w:hAnsi="Arial" w:cs="Arial"/>
          <w:sz w:val="22"/>
          <w:szCs w:val="22"/>
        </w:rPr>
        <w:noBreakHyphen/>
        <w:t>annual basis, the period from the end of the relevant semi</w:t>
      </w:r>
      <w:r w:rsidR="00162E0C" w:rsidRPr="00FB2F3D">
        <w:rPr>
          <w:rFonts w:ascii="Arial" w:hAnsi="Arial" w:cs="Arial"/>
          <w:sz w:val="22"/>
          <w:szCs w:val="22"/>
        </w:rPr>
        <w:noBreakHyphen/>
        <w:t xml:space="preserve">annual financial period up to and including the time of the </w:t>
      </w:r>
      <w:r w:rsidR="00C22BBE">
        <w:rPr>
          <w:rFonts w:ascii="Arial" w:hAnsi="Arial" w:cs="Arial"/>
          <w:sz w:val="22"/>
          <w:szCs w:val="22"/>
        </w:rPr>
        <w:t>Disclosure</w:t>
      </w:r>
      <w:r w:rsidR="00162E0C" w:rsidRPr="00FB2F3D">
        <w:rPr>
          <w:rFonts w:ascii="Arial" w:hAnsi="Arial" w:cs="Arial"/>
          <w:sz w:val="22"/>
          <w:szCs w:val="22"/>
        </w:rPr>
        <w:t xml:space="preserve"> or publication; or</w:t>
      </w:r>
    </w:p>
    <w:p w14:paraId="67B86E3A" w14:textId="1A51E265" w:rsidR="00162E0C" w:rsidRPr="00FB2F3D" w:rsidRDefault="0006394F" w:rsidP="0006394F">
      <w:pPr>
        <w:pStyle w:val="Heading6"/>
        <w:numPr>
          <w:ilvl w:val="0"/>
          <w:numId w:val="0"/>
        </w:numPr>
        <w:ind w:left="2160" w:hanging="720"/>
        <w:rPr>
          <w:rFonts w:ascii="Arial" w:hAnsi="Arial" w:cs="Arial"/>
          <w:sz w:val="22"/>
          <w:szCs w:val="22"/>
        </w:rPr>
      </w:pPr>
      <w:r w:rsidRPr="00FB2F3D">
        <w:rPr>
          <w:rFonts w:ascii="Arial" w:hAnsi="Arial" w:cs="Arial"/>
          <w:sz w:val="22"/>
          <w:szCs w:val="22"/>
        </w:rPr>
        <w:t>(c)</w:t>
      </w:r>
      <w:r w:rsidRPr="00FB2F3D">
        <w:rPr>
          <w:rFonts w:ascii="Arial" w:hAnsi="Arial" w:cs="Arial"/>
          <w:sz w:val="22"/>
          <w:szCs w:val="22"/>
        </w:rPr>
        <w:tab/>
      </w:r>
      <w:r w:rsidR="00162E0C" w:rsidRPr="00FB2F3D">
        <w:rPr>
          <w:rFonts w:ascii="Arial" w:hAnsi="Arial" w:cs="Arial"/>
          <w:sz w:val="22"/>
          <w:szCs w:val="22"/>
        </w:rPr>
        <w:t xml:space="preserve">if the </w:t>
      </w:r>
      <w:r w:rsidR="00C22BBE">
        <w:rPr>
          <w:rFonts w:ascii="Arial" w:hAnsi="Arial" w:cs="Arial"/>
          <w:sz w:val="22"/>
          <w:szCs w:val="22"/>
        </w:rPr>
        <w:t>Listed</w:t>
      </w:r>
      <w:r w:rsidR="00222FEC" w:rsidRPr="00FB2F3D">
        <w:rPr>
          <w:rFonts w:ascii="Arial" w:hAnsi="Arial" w:cs="Arial"/>
          <w:sz w:val="22"/>
          <w:szCs w:val="22"/>
        </w:rPr>
        <w:t xml:space="preserve"> Entity</w:t>
      </w:r>
      <w:r w:rsidR="00162E0C" w:rsidRPr="00FB2F3D">
        <w:rPr>
          <w:rFonts w:ascii="Arial" w:hAnsi="Arial" w:cs="Arial"/>
          <w:sz w:val="22"/>
          <w:szCs w:val="22"/>
        </w:rPr>
        <w:t xml:space="preserve"> reports on a quarterly basis, the period from the end of the relevant quarter up to and including the time of the </w:t>
      </w:r>
      <w:r w:rsidR="00C22BBE">
        <w:rPr>
          <w:rFonts w:ascii="Arial" w:hAnsi="Arial" w:cs="Arial"/>
          <w:sz w:val="22"/>
          <w:szCs w:val="22"/>
        </w:rPr>
        <w:t>Disclosure</w:t>
      </w:r>
      <w:r w:rsidR="00162E0C" w:rsidRPr="00FB2F3D">
        <w:rPr>
          <w:rFonts w:ascii="Arial" w:hAnsi="Arial" w:cs="Arial"/>
          <w:sz w:val="22"/>
          <w:szCs w:val="22"/>
        </w:rPr>
        <w:t>.</w:t>
      </w:r>
    </w:p>
    <w:p w14:paraId="2969A327" w14:textId="77777777" w:rsidR="00162E0C" w:rsidRPr="00FB2F3D" w:rsidRDefault="00E842F7" w:rsidP="00E842F7">
      <w:pPr>
        <w:pStyle w:val="Heading4"/>
        <w:numPr>
          <w:ilvl w:val="0"/>
          <w:numId w:val="0"/>
        </w:numPr>
        <w:ind w:left="1440" w:hanging="720"/>
        <w:rPr>
          <w:rFonts w:ascii="Arial" w:hAnsi="Arial" w:cs="Arial"/>
          <w:sz w:val="22"/>
          <w:szCs w:val="22"/>
        </w:rPr>
      </w:pPr>
      <w:r w:rsidRPr="00FB2F3D">
        <w:rPr>
          <w:rFonts w:ascii="Arial" w:hAnsi="Arial" w:cs="Arial"/>
          <w:sz w:val="22"/>
          <w:szCs w:val="22"/>
        </w:rPr>
        <w:t>(3)</w:t>
      </w:r>
      <w:r w:rsidRPr="00FB2F3D">
        <w:rPr>
          <w:rFonts w:ascii="Arial" w:hAnsi="Arial" w:cs="Arial"/>
          <w:sz w:val="22"/>
          <w:szCs w:val="22"/>
        </w:rPr>
        <w:tab/>
      </w:r>
      <w:r w:rsidR="00162E0C" w:rsidRPr="00FB2F3D">
        <w:rPr>
          <w:rFonts w:ascii="Arial" w:hAnsi="Arial" w:cs="Arial"/>
          <w:sz w:val="22"/>
          <w:szCs w:val="22"/>
        </w:rPr>
        <w:t xml:space="preserve">The prohibition in </w:t>
      </w:r>
      <w:r w:rsidR="00693841" w:rsidRPr="00FB2F3D">
        <w:rPr>
          <w:rFonts w:ascii="Arial" w:hAnsi="Arial" w:cs="Arial"/>
          <w:sz w:val="22"/>
          <w:szCs w:val="22"/>
        </w:rPr>
        <w:t>(1)</w:t>
      </w:r>
      <w:r w:rsidR="00384E67" w:rsidRPr="00FB2F3D">
        <w:rPr>
          <w:rFonts w:ascii="Arial" w:hAnsi="Arial" w:cs="Arial"/>
          <w:sz w:val="22"/>
          <w:szCs w:val="22"/>
        </w:rPr>
        <w:t xml:space="preserve"> </w:t>
      </w:r>
      <w:r w:rsidR="00162E0C" w:rsidRPr="00FB2F3D">
        <w:rPr>
          <w:rFonts w:ascii="Arial" w:hAnsi="Arial" w:cs="Arial"/>
          <w:sz w:val="22"/>
          <w:szCs w:val="22"/>
        </w:rPr>
        <w:t>applies to any dealing by Restricted Persons whether or not such dealings are with another Restricted Person or any other Person.</w:t>
      </w:r>
    </w:p>
    <w:p w14:paraId="54A4E137"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Exempt dealings</w:t>
      </w:r>
    </w:p>
    <w:p w14:paraId="5460D0D9" w14:textId="33DAF7B3" w:rsidR="00162E0C" w:rsidRPr="00FB2F3D" w:rsidRDefault="00162E0C" w:rsidP="00222FEC">
      <w:pPr>
        <w:pStyle w:val="Heading3"/>
        <w:rPr>
          <w:rFonts w:ascii="Arial" w:hAnsi="Arial" w:cs="Arial"/>
          <w:sz w:val="22"/>
          <w:szCs w:val="22"/>
        </w:rPr>
      </w:pPr>
      <w:bookmarkStart w:id="768" w:name="_Ref410052188"/>
      <w:bookmarkStart w:id="769" w:name="_Ref410632547"/>
      <w:r w:rsidRPr="00FB2F3D">
        <w:rPr>
          <w:rFonts w:ascii="Arial" w:hAnsi="Arial" w:cs="Arial"/>
          <w:sz w:val="22"/>
          <w:szCs w:val="22"/>
        </w:rPr>
        <w:t>The prohibition in Rule </w:t>
      </w:r>
      <w:r w:rsidR="00693841" w:rsidRPr="00FB2F3D">
        <w:rPr>
          <w:rFonts w:ascii="Arial" w:hAnsi="Arial" w:cs="Arial"/>
          <w:sz w:val="22"/>
          <w:szCs w:val="22"/>
        </w:rPr>
        <w:t>9.4.2(1)</w:t>
      </w:r>
      <w:r w:rsidR="00384E67" w:rsidRPr="00FB2F3D">
        <w:rPr>
          <w:rFonts w:ascii="Arial" w:hAnsi="Arial" w:cs="Arial"/>
          <w:sz w:val="22"/>
          <w:szCs w:val="22"/>
        </w:rPr>
        <w:t xml:space="preserve"> </w:t>
      </w:r>
      <w:r w:rsidRPr="00FB2F3D">
        <w:rPr>
          <w:rFonts w:ascii="Arial" w:hAnsi="Arial" w:cs="Arial"/>
          <w:sz w:val="22"/>
          <w:szCs w:val="22"/>
        </w:rPr>
        <w:t xml:space="preserve">does not apply in relation to any dealing in </w:t>
      </w:r>
      <w:r w:rsidR="004B46BD" w:rsidRPr="00FB2F3D">
        <w:rPr>
          <w:rFonts w:ascii="Arial" w:hAnsi="Arial" w:cs="Arial"/>
          <w:sz w:val="22"/>
          <w:szCs w:val="22"/>
        </w:rPr>
        <w:t>Securities</w:t>
      </w:r>
      <w:r w:rsidRPr="00FB2F3D">
        <w:rPr>
          <w:rFonts w:ascii="Arial" w:hAnsi="Arial" w:cs="Arial"/>
          <w:sz w:val="22"/>
          <w:szCs w:val="22"/>
        </w:rPr>
        <w:t xml:space="preserve"> in </w:t>
      </w:r>
      <w:r w:rsidR="00C22BBE">
        <w:rPr>
          <w:rFonts w:ascii="Arial" w:hAnsi="Arial" w:cs="Arial"/>
          <w:sz w:val="22"/>
          <w:szCs w:val="22"/>
        </w:rPr>
        <w:t>a</w:t>
      </w:r>
      <w:r w:rsidRPr="00FB2F3D">
        <w:rPr>
          <w:rFonts w:ascii="Arial" w:hAnsi="Arial" w:cs="Arial"/>
          <w:sz w:val="22"/>
          <w:szCs w:val="22"/>
        </w:rPr>
        <w:t xml:space="preserve"> </w:t>
      </w:r>
      <w:r w:rsidR="00C22BBE">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if such dealing by the Restricted Person relates to</w:t>
      </w:r>
      <w:bookmarkEnd w:id="768"/>
      <w:r w:rsidRPr="00FB2F3D">
        <w:rPr>
          <w:rFonts w:ascii="Arial" w:hAnsi="Arial" w:cs="Arial"/>
          <w:sz w:val="22"/>
          <w:szCs w:val="22"/>
        </w:rPr>
        <w:t>:</w:t>
      </w:r>
      <w:bookmarkEnd w:id="769"/>
    </w:p>
    <w:p w14:paraId="2138F4D1"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t xml:space="preserve">undertakings or elections to take up, or the taking up of, an entitlement under a rights issue or dividend reinvestment </w:t>
      </w:r>
      <w:r w:rsidR="00FB37F9" w:rsidRPr="00FB2F3D">
        <w:rPr>
          <w:rFonts w:ascii="Arial" w:hAnsi="Arial" w:cs="Arial"/>
          <w:sz w:val="22"/>
          <w:szCs w:val="22"/>
        </w:rPr>
        <w:t>Offer</w:t>
      </w:r>
      <w:r w:rsidRPr="00FB2F3D">
        <w:rPr>
          <w:rFonts w:ascii="Arial" w:hAnsi="Arial" w:cs="Arial"/>
          <w:sz w:val="22"/>
          <w:szCs w:val="22"/>
        </w:rPr>
        <w:t xml:space="preserve">, or allowing such an entitlement or </w:t>
      </w:r>
      <w:r w:rsidR="00FB37F9" w:rsidRPr="00FB2F3D">
        <w:rPr>
          <w:rFonts w:ascii="Arial" w:hAnsi="Arial" w:cs="Arial"/>
          <w:sz w:val="22"/>
          <w:szCs w:val="22"/>
        </w:rPr>
        <w:t>Offer</w:t>
      </w:r>
      <w:r w:rsidRPr="00FB2F3D">
        <w:rPr>
          <w:rFonts w:ascii="Arial" w:hAnsi="Arial" w:cs="Arial"/>
          <w:sz w:val="22"/>
          <w:szCs w:val="22"/>
        </w:rPr>
        <w:t xml:space="preserve"> to lapse;</w:t>
      </w:r>
    </w:p>
    <w:p w14:paraId="2114C38E" w14:textId="725D5249" w:rsidR="00162E0C" w:rsidRPr="00FB2F3D" w:rsidRDefault="00162E0C" w:rsidP="00424270">
      <w:pPr>
        <w:pStyle w:val="Heading4"/>
        <w:rPr>
          <w:rFonts w:ascii="Arial" w:hAnsi="Arial" w:cs="Arial"/>
          <w:sz w:val="22"/>
          <w:szCs w:val="22"/>
        </w:rPr>
      </w:pPr>
      <w:r w:rsidRPr="00FB2F3D">
        <w:rPr>
          <w:rFonts w:ascii="Arial" w:hAnsi="Arial" w:cs="Arial"/>
          <w:sz w:val="22"/>
          <w:szCs w:val="22"/>
        </w:rPr>
        <w:t>undertakings to accept, or the acceptance of, a Takeover Offer;</w:t>
      </w:r>
    </w:p>
    <w:p w14:paraId="349ED8F5" w14:textId="77777777" w:rsidR="00162E0C" w:rsidRPr="00FB2F3D" w:rsidRDefault="00162E0C" w:rsidP="00424270">
      <w:pPr>
        <w:pStyle w:val="Heading4"/>
        <w:rPr>
          <w:rFonts w:ascii="Arial" w:hAnsi="Arial" w:cs="Arial"/>
          <w:sz w:val="22"/>
          <w:szCs w:val="22"/>
        </w:rPr>
      </w:pPr>
      <w:r w:rsidRPr="00FB2F3D">
        <w:rPr>
          <w:rFonts w:ascii="Arial" w:hAnsi="Arial" w:cs="Arial"/>
          <w:sz w:val="22"/>
          <w:szCs w:val="22"/>
        </w:rPr>
        <w:lastRenderedPageBreak/>
        <w:t>dealings where the beneficial interest in the relevant Security does not change;</w:t>
      </w:r>
    </w:p>
    <w:p w14:paraId="4CF5F596" w14:textId="77777777" w:rsidR="00162E0C" w:rsidRPr="00FB2F3D" w:rsidRDefault="00162E0C" w:rsidP="005D462F">
      <w:pPr>
        <w:pStyle w:val="Heading4"/>
        <w:rPr>
          <w:rFonts w:ascii="Arial" w:hAnsi="Arial" w:cs="Arial"/>
          <w:sz w:val="22"/>
          <w:szCs w:val="22"/>
        </w:rPr>
      </w:pPr>
      <w:r w:rsidRPr="00FB2F3D">
        <w:rPr>
          <w:rFonts w:ascii="Arial" w:hAnsi="Arial" w:cs="Arial"/>
          <w:sz w:val="22"/>
          <w:szCs w:val="22"/>
        </w:rPr>
        <w:t xml:space="preserve">transactions between the Restricted Person and </w:t>
      </w:r>
      <w:r w:rsidR="005D462F" w:rsidRPr="00FB2F3D">
        <w:rPr>
          <w:rFonts w:ascii="Arial" w:hAnsi="Arial" w:cs="Arial"/>
          <w:sz w:val="22"/>
          <w:szCs w:val="22"/>
        </w:rPr>
        <w:t xml:space="preserve">an Associate of </w:t>
      </w:r>
      <w:r w:rsidR="00E70DE4" w:rsidRPr="00FB2F3D">
        <w:rPr>
          <w:rFonts w:ascii="Arial" w:hAnsi="Arial" w:cs="Arial"/>
          <w:sz w:val="22"/>
          <w:szCs w:val="22"/>
        </w:rPr>
        <w:t>the Restricted Person</w:t>
      </w:r>
      <w:r w:rsidRPr="00FB2F3D">
        <w:rPr>
          <w:rFonts w:ascii="Arial" w:hAnsi="Arial" w:cs="Arial"/>
          <w:sz w:val="22"/>
          <w:szCs w:val="22"/>
        </w:rPr>
        <w:t>; or</w:t>
      </w:r>
    </w:p>
    <w:p w14:paraId="12DB5961" w14:textId="0291B699" w:rsidR="00162E0C" w:rsidRPr="00FB2F3D" w:rsidRDefault="00162E0C" w:rsidP="005D462F">
      <w:pPr>
        <w:pStyle w:val="Heading4"/>
        <w:rPr>
          <w:rFonts w:ascii="Arial" w:hAnsi="Arial" w:cs="Arial"/>
          <w:sz w:val="22"/>
          <w:szCs w:val="22"/>
        </w:rPr>
      </w:pPr>
      <w:r w:rsidRPr="00FB2F3D">
        <w:rPr>
          <w:rFonts w:ascii="Arial" w:hAnsi="Arial" w:cs="Arial"/>
          <w:sz w:val="22"/>
          <w:szCs w:val="22"/>
        </w:rPr>
        <w:t xml:space="preserve">transactions relating to dealings in an </w:t>
      </w:r>
      <w:r w:rsidR="00C22BBE">
        <w:rPr>
          <w:rFonts w:ascii="Arial" w:hAnsi="Arial" w:cs="Arial"/>
          <w:sz w:val="22"/>
          <w:szCs w:val="22"/>
        </w:rPr>
        <w:t>E</w:t>
      </w:r>
      <w:r w:rsidR="009F3B74" w:rsidRPr="00FB2F3D">
        <w:rPr>
          <w:rFonts w:ascii="Arial" w:hAnsi="Arial" w:cs="Arial"/>
          <w:sz w:val="22"/>
          <w:szCs w:val="22"/>
        </w:rPr>
        <w:t xml:space="preserve">mployee </w:t>
      </w:r>
      <w:r w:rsidR="00C22BBE">
        <w:rPr>
          <w:rFonts w:ascii="Arial" w:hAnsi="Arial" w:cs="Arial"/>
          <w:sz w:val="22"/>
          <w:szCs w:val="22"/>
        </w:rPr>
        <w:t>Incentive S</w:t>
      </w:r>
      <w:r w:rsidR="009F3B74" w:rsidRPr="00FB2F3D">
        <w:rPr>
          <w:rFonts w:ascii="Arial" w:hAnsi="Arial" w:cs="Arial"/>
          <w:sz w:val="22"/>
          <w:szCs w:val="22"/>
        </w:rPr>
        <w:t>cheme</w:t>
      </w:r>
      <w:r w:rsidRPr="00FB2F3D">
        <w:rPr>
          <w:rFonts w:ascii="Arial" w:hAnsi="Arial" w:cs="Arial"/>
          <w:sz w:val="22"/>
          <w:szCs w:val="22"/>
        </w:rPr>
        <w:t xml:space="preserve"> in accordance with the terms of such scheme.</w:t>
      </w:r>
    </w:p>
    <w:p w14:paraId="0400A892" w14:textId="77777777" w:rsidR="005D462F" w:rsidRPr="00FB2F3D" w:rsidRDefault="005D462F" w:rsidP="005D462F">
      <w:pPr>
        <w:pStyle w:val="TitleL"/>
        <w:rPr>
          <w:rFonts w:ascii="Arial" w:hAnsi="Arial" w:cs="Arial"/>
          <w:sz w:val="22"/>
          <w:szCs w:val="22"/>
        </w:rPr>
      </w:pPr>
      <w:r w:rsidRPr="00FB2F3D">
        <w:rPr>
          <w:rFonts w:ascii="Arial" w:hAnsi="Arial" w:cs="Arial"/>
          <w:sz w:val="22"/>
          <w:szCs w:val="22"/>
        </w:rPr>
        <w:t>Clearance to deal</w:t>
      </w:r>
    </w:p>
    <w:p w14:paraId="284FA3B6" w14:textId="77777777" w:rsidR="005D462F" w:rsidRPr="00FB2F3D" w:rsidRDefault="005D462F" w:rsidP="005D462F">
      <w:pPr>
        <w:pStyle w:val="Heading3"/>
        <w:tabs>
          <w:tab w:val="clear" w:pos="720"/>
          <w:tab w:val="num" w:pos="709"/>
        </w:tabs>
        <w:ind w:left="1440" w:hanging="1440"/>
        <w:rPr>
          <w:rFonts w:ascii="Arial" w:hAnsi="Arial" w:cs="Arial"/>
          <w:sz w:val="22"/>
          <w:szCs w:val="22"/>
        </w:rPr>
      </w:pPr>
      <w:r w:rsidRPr="00FB2F3D">
        <w:rPr>
          <w:rFonts w:ascii="Arial" w:hAnsi="Arial" w:cs="Arial"/>
          <w:sz w:val="22"/>
          <w:szCs w:val="22"/>
        </w:rPr>
        <w:t>(1)</w:t>
      </w:r>
      <w:r w:rsidRPr="00FB2F3D">
        <w:rPr>
          <w:rFonts w:ascii="Arial" w:hAnsi="Arial" w:cs="Arial"/>
          <w:sz w:val="22"/>
          <w:szCs w:val="22"/>
        </w:rPr>
        <w:tab/>
        <w:t>The prohibition in Rule 9.4.2(1) does not apply in relation to any dealing in Securities where the Restricted Person has obtained prior clearance to deal as provided in (2) and (3).</w:t>
      </w:r>
    </w:p>
    <w:p w14:paraId="12483936" w14:textId="44CF2CA7" w:rsidR="005D462F" w:rsidRPr="00FB2F3D" w:rsidRDefault="005D462F" w:rsidP="005D462F">
      <w:pPr>
        <w:pStyle w:val="Heading4"/>
        <w:keepNext/>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t xml:space="preserve">For the purposes of (1), prior written clearance to deal in the Securities of a </w:t>
      </w:r>
      <w:r w:rsidR="00C22BBE">
        <w:rPr>
          <w:rFonts w:ascii="Arial" w:hAnsi="Arial" w:cs="Arial"/>
          <w:sz w:val="22"/>
          <w:szCs w:val="22"/>
        </w:rPr>
        <w:t xml:space="preserve">Listed </w:t>
      </w:r>
      <w:r w:rsidRPr="00FB2F3D">
        <w:rPr>
          <w:rFonts w:ascii="Arial" w:hAnsi="Arial" w:cs="Arial"/>
          <w:sz w:val="22"/>
          <w:szCs w:val="22"/>
        </w:rPr>
        <w:t>Entity must be obtained:</w:t>
      </w:r>
    </w:p>
    <w:p w14:paraId="77C79A04" w14:textId="77777777" w:rsidR="005D462F" w:rsidRPr="00FB2F3D" w:rsidRDefault="005D462F" w:rsidP="005D462F">
      <w:pPr>
        <w:pStyle w:val="Heading5"/>
        <w:keepNext/>
        <w:tabs>
          <w:tab w:val="clear" w:pos="2160"/>
          <w:tab w:val="num" w:pos="2280"/>
        </w:tabs>
        <w:ind w:left="2280"/>
        <w:rPr>
          <w:rFonts w:ascii="Arial" w:hAnsi="Arial" w:cs="Arial"/>
          <w:sz w:val="22"/>
          <w:szCs w:val="22"/>
        </w:rPr>
      </w:pPr>
      <w:r w:rsidRPr="00FB2F3D">
        <w:rPr>
          <w:rFonts w:ascii="Arial" w:hAnsi="Arial" w:cs="Arial"/>
          <w:sz w:val="22"/>
          <w:szCs w:val="22"/>
        </w:rPr>
        <w:t xml:space="preserve">from a Director designated by the Board for the purposes of providing clearances to deal; and </w:t>
      </w:r>
    </w:p>
    <w:p w14:paraId="3F6C7DA5" w14:textId="77777777" w:rsidR="005D462F" w:rsidRPr="00FB2F3D" w:rsidRDefault="005D462F" w:rsidP="005D462F">
      <w:pPr>
        <w:pStyle w:val="Heading5"/>
        <w:keepNext/>
        <w:tabs>
          <w:tab w:val="clear" w:pos="2160"/>
          <w:tab w:val="num" w:pos="2280"/>
        </w:tabs>
        <w:ind w:left="2280"/>
        <w:rPr>
          <w:rFonts w:ascii="Arial" w:hAnsi="Arial" w:cs="Arial"/>
          <w:sz w:val="22"/>
          <w:szCs w:val="22"/>
        </w:rPr>
      </w:pPr>
      <w:r w:rsidRPr="00FB2F3D">
        <w:rPr>
          <w:rFonts w:ascii="Arial" w:hAnsi="Arial" w:cs="Arial"/>
          <w:sz w:val="22"/>
          <w:szCs w:val="22"/>
        </w:rPr>
        <w:t>in the case of dealings by the Director designated for the purpose of providing clearances to deal, from the full Board or another Director designated by the Board for the purposes of providing such clearance.</w:t>
      </w:r>
    </w:p>
    <w:p w14:paraId="401CF5E3" w14:textId="788434A6" w:rsidR="005D462F" w:rsidRPr="00FB2F3D" w:rsidRDefault="005D462F" w:rsidP="005D462F">
      <w:pPr>
        <w:pStyle w:val="Heading4"/>
        <w:keepNext/>
        <w:numPr>
          <w:ilvl w:val="0"/>
          <w:numId w:val="0"/>
        </w:numPr>
        <w:ind w:left="1440" w:hanging="720"/>
        <w:rPr>
          <w:rFonts w:ascii="Arial" w:hAnsi="Arial" w:cs="Arial"/>
          <w:sz w:val="22"/>
          <w:szCs w:val="22"/>
        </w:rPr>
      </w:pPr>
      <w:r w:rsidRPr="00FB2F3D">
        <w:rPr>
          <w:rFonts w:ascii="Arial" w:hAnsi="Arial" w:cs="Arial"/>
          <w:sz w:val="22"/>
          <w:szCs w:val="22"/>
        </w:rPr>
        <w:t>(3)</w:t>
      </w:r>
      <w:r w:rsidRPr="00FB2F3D">
        <w:rPr>
          <w:rFonts w:ascii="Arial" w:hAnsi="Arial" w:cs="Arial"/>
          <w:sz w:val="22"/>
          <w:szCs w:val="22"/>
        </w:rPr>
        <w:tab/>
        <w:t xml:space="preserve">For the purposes of (1) and (2), a Director of the </w:t>
      </w:r>
      <w:r w:rsidR="00404ED7">
        <w:rPr>
          <w:rFonts w:ascii="Arial" w:hAnsi="Arial" w:cs="Arial"/>
          <w:sz w:val="22"/>
          <w:szCs w:val="22"/>
        </w:rPr>
        <w:t>Listed</w:t>
      </w:r>
      <w:r w:rsidRPr="00FB2F3D">
        <w:rPr>
          <w:rFonts w:ascii="Arial" w:hAnsi="Arial" w:cs="Arial"/>
          <w:sz w:val="22"/>
          <w:szCs w:val="22"/>
        </w:rPr>
        <w:t xml:space="preserve"> Entity must not be given written clearance to deal in any Securities of the </w:t>
      </w:r>
      <w:r w:rsidR="00404ED7">
        <w:rPr>
          <w:rFonts w:ascii="Arial" w:hAnsi="Arial" w:cs="Arial"/>
          <w:sz w:val="22"/>
          <w:szCs w:val="22"/>
        </w:rPr>
        <w:t>Listed</w:t>
      </w:r>
      <w:r w:rsidRPr="00FB2F3D">
        <w:rPr>
          <w:rFonts w:ascii="Arial" w:hAnsi="Arial" w:cs="Arial"/>
          <w:sz w:val="22"/>
          <w:szCs w:val="22"/>
        </w:rPr>
        <w:t xml:space="preserve"> Entity during any period when there exists any matter which constitutes Inside Information unless the Person responsible for granting clearance has no reason to believe that the proposed dealing is or may be in breach of the FSMR or the Rules.</w:t>
      </w:r>
    </w:p>
    <w:p w14:paraId="3211E23A" w14:textId="77777777" w:rsidR="00162E0C" w:rsidRPr="00FB2F3D" w:rsidRDefault="000152ED" w:rsidP="0061693E">
      <w:pPr>
        <w:pStyle w:val="Heading2"/>
        <w:rPr>
          <w:rFonts w:ascii="Arial" w:hAnsi="Arial" w:cs="Arial"/>
          <w:sz w:val="22"/>
          <w:szCs w:val="22"/>
        </w:rPr>
      </w:pPr>
      <w:bookmarkStart w:id="770" w:name="_Toc409521837"/>
      <w:bookmarkStart w:id="771" w:name="_Ref410073340"/>
      <w:bookmarkStart w:id="772" w:name="_Toc410136234"/>
      <w:bookmarkStart w:id="773" w:name="_Toc410605943"/>
      <w:bookmarkStart w:id="774" w:name="_Ref410634362"/>
      <w:bookmarkStart w:id="775" w:name="_Toc410658879"/>
      <w:bookmarkStart w:id="776" w:name="_Toc410659006"/>
      <w:bookmarkStart w:id="777" w:name="_Toc410835553"/>
      <w:bookmarkStart w:id="778" w:name="_Ref416795437"/>
      <w:bookmarkStart w:id="779" w:name="_Toc138325707"/>
      <w:r w:rsidRPr="00FB2F3D">
        <w:rPr>
          <w:rFonts w:ascii="Arial" w:hAnsi="Arial" w:cs="Arial"/>
          <w:sz w:val="22"/>
          <w:szCs w:val="22"/>
        </w:rPr>
        <w:t>Related Party T</w:t>
      </w:r>
      <w:r w:rsidR="00162E0C" w:rsidRPr="00FB2F3D">
        <w:rPr>
          <w:rFonts w:ascii="Arial" w:hAnsi="Arial" w:cs="Arial"/>
          <w:sz w:val="22"/>
          <w:szCs w:val="22"/>
        </w:rPr>
        <w:t>ransactions</w:t>
      </w:r>
      <w:bookmarkEnd w:id="770"/>
      <w:bookmarkEnd w:id="771"/>
      <w:bookmarkEnd w:id="772"/>
      <w:bookmarkEnd w:id="773"/>
      <w:bookmarkEnd w:id="774"/>
      <w:bookmarkEnd w:id="775"/>
      <w:bookmarkEnd w:id="776"/>
      <w:bookmarkEnd w:id="777"/>
      <w:bookmarkEnd w:id="778"/>
      <w:bookmarkEnd w:id="779"/>
    </w:p>
    <w:p w14:paraId="73209FF6"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Application</w:t>
      </w:r>
    </w:p>
    <w:p w14:paraId="45A598DA" w14:textId="77777777" w:rsidR="00162E0C" w:rsidRPr="00FB2F3D" w:rsidRDefault="00162E0C" w:rsidP="00384E67">
      <w:pPr>
        <w:pStyle w:val="Heading3"/>
        <w:keepNext/>
        <w:rPr>
          <w:rFonts w:ascii="Arial" w:hAnsi="Arial" w:cs="Arial"/>
          <w:sz w:val="22"/>
          <w:szCs w:val="22"/>
        </w:rPr>
      </w:pPr>
      <w:r w:rsidRPr="00FB2F3D">
        <w:rPr>
          <w:rFonts w:ascii="Arial" w:hAnsi="Arial" w:cs="Arial"/>
          <w:sz w:val="22"/>
          <w:szCs w:val="22"/>
        </w:rPr>
        <w:t>This section applies, subject to Rule </w:t>
      </w:r>
      <w:r w:rsidR="00693841" w:rsidRPr="00FB2F3D">
        <w:rPr>
          <w:rFonts w:ascii="Arial" w:hAnsi="Arial" w:cs="Arial"/>
          <w:sz w:val="22"/>
          <w:szCs w:val="22"/>
        </w:rPr>
        <w:t>9.5.4</w:t>
      </w:r>
      <w:r w:rsidRPr="00FB2F3D">
        <w:rPr>
          <w:rFonts w:ascii="Arial" w:hAnsi="Arial" w:cs="Arial"/>
          <w:sz w:val="22"/>
          <w:szCs w:val="22"/>
        </w:rPr>
        <w:t>, to:</w:t>
      </w:r>
    </w:p>
    <w:p w14:paraId="7CE5C007" w14:textId="67C46636" w:rsidR="00162E0C" w:rsidRPr="00FB2F3D" w:rsidRDefault="00404ED7" w:rsidP="00424270">
      <w:pPr>
        <w:pStyle w:val="Heading4"/>
        <w:rPr>
          <w:rFonts w:ascii="Arial" w:hAnsi="Arial" w:cs="Arial"/>
          <w:sz w:val="22"/>
          <w:szCs w:val="22"/>
        </w:rPr>
      </w:pPr>
      <w:r>
        <w:rPr>
          <w:rFonts w:ascii="Arial" w:hAnsi="Arial" w:cs="Arial"/>
          <w:sz w:val="22"/>
          <w:szCs w:val="22"/>
        </w:rPr>
        <w:t>a</w:t>
      </w:r>
      <w:r w:rsidR="00222FEC" w:rsidRPr="00FB2F3D">
        <w:rPr>
          <w:rFonts w:ascii="Arial" w:hAnsi="Arial" w:cs="Arial"/>
          <w:sz w:val="22"/>
          <w:szCs w:val="22"/>
        </w:rPr>
        <w:t xml:space="preserve"> </w:t>
      </w:r>
      <w:r>
        <w:rPr>
          <w:rFonts w:ascii="Arial" w:hAnsi="Arial" w:cs="Arial"/>
          <w:sz w:val="22"/>
          <w:szCs w:val="22"/>
        </w:rPr>
        <w:t>Listed</w:t>
      </w:r>
      <w:r w:rsidR="00222FEC" w:rsidRPr="00FB2F3D">
        <w:rPr>
          <w:rFonts w:ascii="Arial" w:hAnsi="Arial" w:cs="Arial"/>
          <w:sz w:val="22"/>
          <w:szCs w:val="22"/>
        </w:rPr>
        <w:t xml:space="preserve"> Entity</w:t>
      </w:r>
      <w:r w:rsidR="00162E0C" w:rsidRPr="00FB2F3D">
        <w:rPr>
          <w:rFonts w:ascii="Arial" w:hAnsi="Arial" w:cs="Arial"/>
          <w:sz w:val="22"/>
          <w:szCs w:val="22"/>
        </w:rPr>
        <w:t>; and</w:t>
      </w:r>
    </w:p>
    <w:p w14:paraId="1504CEC5" w14:textId="1E2D8583" w:rsidR="00162E0C" w:rsidRPr="00FB2F3D" w:rsidRDefault="00162E0C" w:rsidP="00424270">
      <w:pPr>
        <w:pStyle w:val="Heading4"/>
        <w:rPr>
          <w:rFonts w:ascii="Arial" w:hAnsi="Arial" w:cs="Arial"/>
          <w:sz w:val="22"/>
          <w:szCs w:val="22"/>
        </w:rPr>
      </w:pPr>
      <w:r w:rsidRPr="00FB2F3D">
        <w:rPr>
          <w:rFonts w:ascii="Arial" w:hAnsi="Arial" w:cs="Arial"/>
          <w:sz w:val="22"/>
          <w:szCs w:val="22"/>
        </w:rPr>
        <w:t>a Related Party of such a</w:t>
      </w:r>
      <w:r w:rsidR="00222FEC" w:rsidRPr="00FB2F3D">
        <w:rPr>
          <w:rFonts w:ascii="Arial" w:hAnsi="Arial" w:cs="Arial"/>
          <w:sz w:val="22"/>
          <w:szCs w:val="22"/>
        </w:rPr>
        <w:t xml:space="preserve"> </w:t>
      </w:r>
      <w:r w:rsidR="00404ED7">
        <w:rPr>
          <w:rFonts w:ascii="Arial" w:hAnsi="Arial" w:cs="Arial"/>
          <w:sz w:val="22"/>
          <w:szCs w:val="22"/>
        </w:rPr>
        <w:t xml:space="preserve">Listed </w:t>
      </w:r>
      <w:r w:rsidR="00222FEC" w:rsidRPr="00FB2F3D">
        <w:rPr>
          <w:rFonts w:ascii="Arial" w:hAnsi="Arial" w:cs="Arial"/>
          <w:sz w:val="22"/>
          <w:szCs w:val="22"/>
        </w:rPr>
        <w:t>Entity</w:t>
      </w:r>
      <w:r w:rsidRPr="00FB2F3D">
        <w:rPr>
          <w:rFonts w:ascii="Arial" w:hAnsi="Arial" w:cs="Arial"/>
          <w:sz w:val="22"/>
          <w:szCs w:val="22"/>
        </w:rPr>
        <w:t>.</w:t>
      </w:r>
    </w:p>
    <w:p w14:paraId="747D29B7"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Definitions</w:t>
      </w:r>
    </w:p>
    <w:p w14:paraId="00B63CA2" w14:textId="77777777" w:rsidR="00162E0C" w:rsidRPr="00FB2F3D" w:rsidRDefault="00162E0C" w:rsidP="00384E67">
      <w:pPr>
        <w:pStyle w:val="Heading3"/>
        <w:keepNext/>
        <w:rPr>
          <w:rFonts w:ascii="Arial" w:hAnsi="Arial" w:cs="Arial"/>
          <w:sz w:val="22"/>
          <w:szCs w:val="22"/>
        </w:rPr>
      </w:pPr>
      <w:bookmarkStart w:id="780" w:name="_Ref410052827"/>
      <w:bookmarkStart w:id="781" w:name="_Ref410832496"/>
      <w:r w:rsidRPr="00FB2F3D">
        <w:rPr>
          <w:rFonts w:ascii="Arial" w:hAnsi="Arial" w:cs="Arial"/>
          <w:sz w:val="22"/>
          <w:szCs w:val="22"/>
        </w:rPr>
        <w:t>In this section, unless otherwise provided</w:t>
      </w:r>
      <w:bookmarkEnd w:id="780"/>
      <w:r w:rsidRPr="00FB2F3D">
        <w:rPr>
          <w:rFonts w:ascii="Arial" w:hAnsi="Arial" w:cs="Arial"/>
          <w:sz w:val="22"/>
          <w:szCs w:val="22"/>
        </w:rPr>
        <w:t>:</w:t>
      </w:r>
      <w:bookmarkEnd w:id="781"/>
    </w:p>
    <w:p w14:paraId="6A40BCBC" w14:textId="0A253924" w:rsidR="00162E0C" w:rsidRPr="00FB2F3D" w:rsidRDefault="00162E0C" w:rsidP="00424270">
      <w:pPr>
        <w:pStyle w:val="Heading4"/>
        <w:rPr>
          <w:rFonts w:ascii="Arial" w:hAnsi="Arial" w:cs="Arial"/>
          <w:sz w:val="22"/>
          <w:szCs w:val="22"/>
        </w:rPr>
      </w:pPr>
      <w:bookmarkStart w:id="782" w:name="_Ref410760214"/>
      <w:r w:rsidRPr="00FB2F3D">
        <w:rPr>
          <w:rFonts w:ascii="Arial" w:hAnsi="Arial" w:cs="Arial"/>
          <w:sz w:val="22"/>
          <w:szCs w:val="22"/>
        </w:rPr>
        <w:t>a Person is a Related Party of a</w:t>
      </w:r>
      <w:r w:rsidR="00222FEC" w:rsidRPr="00FB2F3D">
        <w:rPr>
          <w:rFonts w:ascii="Arial" w:hAnsi="Arial" w:cs="Arial"/>
          <w:sz w:val="22"/>
          <w:szCs w:val="22"/>
        </w:rPr>
        <w:t xml:space="preserve"> </w:t>
      </w:r>
      <w:r w:rsidR="00404ED7">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if that Person:</w:t>
      </w:r>
      <w:bookmarkEnd w:id="782"/>
    </w:p>
    <w:p w14:paraId="509566BE" w14:textId="77777777" w:rsidR="00162E0C" w:rsidRPr="00FB2F3D" w:rsidRDefault="00162E0C" w:rsidP="00424270">
      <w:pPr>
        <w:pStyle w:val="Heading5"/>
        <w:rPr>
          <w:rFonts w:ascii="Arial" w:hAnsi="Arial" w:cs="Arial"/>
          <w:sz w:val="22"/>
          <w:szCs w:val="22"/>
        </w:rPr>
      </w:pPr>
      <w:bookmarkStart w:id="783" w:name="_Ref410760219"/>
      <w:r w:rsidRPr="00FB2F3D">
        <w:rPr>
          <w:rFonts w:ascii="Arial" w:hAnsi="Arial" w:cs="Arial"/>
          <w:sz w:val="22"/>
          <w:szCs w:val="22"/>
        </w:rPr>
        <w:t>is, or was within the 12 months before the date of the Related Party</w:t>
      </w:r>
      <w:r w:rsidRPr="00FB2F3D">
        <w:rPr>
          <w:rFonts w:ascii="Arial" w:hAnsi="Arial" w:cs="Arial"/>
          <w:sz w:val="22"/>
          <w:szCs w:val="22"/>
          <w:lang w:eastAsia="ja-JP"/>
        </w:rPr>
        <w:t xml:space="preserve"> </w:t>
      </w:r>
      <w:r w:rsidRPr="00FB2F3D">
        <w:rPr>
          <w:rFonts w:ascii="Arial" w:hAnsi="Arial" w:cs="Arial"/>
          <w:sz w:val="22"/>
          <w:szCs w:val="22"/>
        </w:rPr>
        <w:t>Transaction:</w:t>
      </w:r>
      <w:bookmarkEnd w:id="783"/>
    </w:p>
    <w:p w14:paraId="0E93624A" w14:textId="40221BFC" w:rsidR="00162E0C" w:rsidRPr="00FB2F3D" w:rsidRDefault="00162E0C" w:rsidP="00424270">
      <w:pPr>
        <w:pStyle w:val="Heading6"/>
        <w:rPr>
          <w:rFonts w:ascii="Arial" w:hAnsi="Arial" w:cs="Arial"/>
          <w:sz w:val="22"/>
          <w:szCs w:val="22"/>
        </w:rPr>
      </w:pPr>
      <w:bookmarkStart w:id="784" w:name="_Ref416816372"/>
      <w:r w:rsidRPr="00FB2F3D">
        <w:rPr>
          <w:rFonts w:ascii="Arial" w:hAnsi="Arial" w:cs="Arial"/>
          <w:sz w:val="22"/>
          <w:szCs w:val="22"/>
        </w:rPr>
        <w:t xml:space="preserve">a Director of the </w:t>
      </w:r>
      <w:r w:rsidR="00404ED7">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or a member of its Group;</w:t>
      </w:r>
      <w:bookmarkEnd w:id="784"/>
      <w:r w:rsidR="00404ED7">
        <w:rPr>
          <w:rFonts w:ascii="Arial" w:hAnsi="Arial" w:cs="Arial"/>
          <w:sz w:val="22"/>
          <w:szCs w:val="22"/>
        </w:rPr>
        <w:t xml:space="preserve"> or</w:t>
      </w:r>
    </w:p>
    <w:p w14:paraId="472E6D80" w14:textId="2A7506D1" w:rsidR="00162E0C" w:rsidRPr="00FB2F3D" w:rsidRDefault="00162E0C" w:rsidP="00424270">
      <w:pPr>
        <w:pStyle w:val="Heading6"/>
        <w:rPr>
          <w:rFonts w:ascii="Arial" w:hAnsi="Arial" w:cs="Arial"/>
          <w:sz w:val="22"/>
          <w:szCs w:val="22"/>
        </w:rPr>
      </w:pPr>
      <w:r w:rsidRPr="00FB2F3D">
        <w:rPr>
          <w:rFonts w:ascii="Arial" w:hAnsi="Arial" w:cs="Arial"/>
          <w:sz w:val="22"/>
          <w:szCs w:val="22"/>
        </w:rPr>
        <w:t>a</w:t>
      </w:r>
      <w:r w:rsidR="00AD65B5" w:rsidRPr="00FB2F3D">
        <w:rPr>
          <w:rFonts w:ascii="Arial" w:hAnsi="Arial" w:cs="Arial"/>
          <w:sz w:val="22"/>
          <w:szCs w:val="22"/>
        </w:rPr>
        <w:t xml:space="preserve"> Related Party</w:t>
      </w:r>
      <w:r w:rsidRPr="00FB2F3D">
        <w:rPr>
          <w:rFonts w:ascii="Arial" w:hAnsi="Arial" w:cs="Arial"/>
          <w:sz w:val="22"/>
          <w:szCs w:val="22"/>
        </w:rPr>
        <w:t xml:space="preserve"> Associate of a Person referred </w:t>
      </w:r>
      <w:r w:rsidR="00424270" w:rsidRPr="00FB2F3D">
        <w:rPr>
          <w:rFonts w:ascii="Arial" w:hAnsi="Arial" w:cs="Arial"/>
          <w:sz w:val="22"/>
          <w:szCs w:val="22"/>
        </w:rPr>
        <w:t>to in (1)(a)(i);</w:t>
      </w:r>
      <w:r w:rsidRPr="00FB2F3D">
        <w:rPr>
          <w:rFonts w:ascii="Arial" w:hAnsi="Arial" w:cs="Arial"/>
          <w:sz w:val="22"/>
          <w:szCs w:val="22"/>
        </w:rPr>
        <w:t xml:space="preserve"> </w:t>
      </w:r>
    </w:p>
    <w:p w14:paraId="5B2B9F51" w14:textId="7F3DADDA" w:rsidR="00162E0C" w:rsidRPr="00FB2F3D" w:rsidRDefault="00162E0C" w:rsidP="00424270">
      <w:pPr>
        <w:pStyle w:val="Heading5"/>
        <w:rPr>
          <w:rFonts w:ascii="Arial" w:hAnsi="Arial" w:cs="Arial"/>
          <w:sz w:val="22"/>
          <w:szCs w:val="22"/>
        </w:rPr>
      </w:pPr>
      <w:r w:rsidRPr="00FB2F3D">
        <w:rPr>
          <w:rFonts w:ascii="Arial" w:hAnsi="Arial" w:cs="Arial"/>
          <w:sz w:val="22"/>
          <w:szCs w:val="22"/>
        </w:rPr>
        <w:t xml:space="preserve">owns, or has owned within 12 months before the date of the Related Party Transaction, voting </w:t>
      </w:r>
      <w:r w:rsidR="004B46BD" w:rsidRPr="00FB2F3D">
        <w:rPr>
          <w:rFonts w:ascii="Arial" w:hAnsi="Arial" w:cs="Arial"/>
          <w:sz w:val="22"/>
          <w:szCs w:val="22"/>
        </w:rPr>
        <w:t>Securities</w:t>
      </w:r>
      <w:r w:rsidRPr="00FB2F3D">
        <w:rPr>
          <w:rFonts w:ascii="Arial" w:hAnsi="Arial" w:cs="Arial"/>
          <w:sz w:val="22"/>
          <w:szCs w:val="22"/>
        </w:rPr>
        <w:t xml:space="preserve"> carrying more than </w:t>
      </w:r>
      <w:r w:rsidR="000219FB" w:rsidRPr="00FB2F3D">
        <w:rPr>
          <w:rFonts w:ascii="Arial" w:hAnsi="Arial" w:cs="Arial"/>
          <w:sz w:val="22"/>
          <w:szCs w:val="22"/>
        </w:rPr>
        <w:t>10</w:t>
      </w:r>
      <w:r w:rsidRPr="00FB2F3D">
        <w:rPr>
          <w:rFonts w:ascii="Arial" w:hAnsi="Arial" w:cs="Arial"/>
          <w:sz w:val="22"/>
          <w:szCs w:val="22"/>
        </w:rPr>
        <w:t xml:space="preserve">% of the </w:t>
      </w:r>
      <w:r w:rsidRPr="00FB2F3D">
        <w:rPr>
          <w:rFonts w:ascii="Arial" w:hAnsi="Arial" w:cs="Arial"/>
          <w:sz w:val="22"/>
          <w:szCs w:val="22"/>
        </w:rPr>
        <w:lastRenderedPageBreak/>
        <w:t xml:space="preserve">voting rights attaching to all the voting </w:t>
      </w:r>
      <w:r w:rsidR="004B46BD" w:rsidRPr="00FB2F3D">
        <w:rPr>
          <w:rFonts w:ascii="Arial" w:hAnsi="Arial" w:cs="Arial"/>
          <w:sz w:val="22"/>
          <w:szCs w:val="22"/>
        </w:rPr>
        <w:t>Securities</w:t>
      </w:r>
      <w:r w:rsidRPr="00FB2F3D">
        <w:rPr>
          <w:rFonts w:ascii="Arial" w:hAnsi="Arial" w:cs="Arial"/>
          <w:sz w:val="22"/>
          <w:szCs w:val="22"/>
        </w:rPr>
        <w:t xml:space="preserve"> of either the </w:t>
      </w:r>
      <w:r w:rsidR="00404ED7">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or a member of its Group; or</w:t>
      </w:r>
    </w:p>
    <w:p w14:paraId="338BBBC5" w14:textId="3BA17F27" w:rsidR="00162E0C" w:rsidRPr="00FB2F3D" w:rsidRDefault="00162E0C" w:rsidP="00424270">
      <w:pPr>
        <w:pStyle w:val="Heading5"/>
        <w:rPr>
          <w:rFonts w:ascii="Arial" w:hAnsi="Arial" w:cs="Arial"/>
          <w:sz w:val="22"/>
          <w:szCs w:val="22"/>
        </w:rPr>
      </w:pPr>
      <w:r w:rsidRPr="00FB2F3D">
        <w:rPr>
          <w:rFonts w:ascii="Arial" w:hAnsi="Arial" w:cs="Arial"/>
          <w:sz w:val="22"/>
          <w:szCs w:val="22"/>
        </w:rPr>
        <w:t xml:space="preserve">is a Person exercising or having the ability to exercise significant influence over the </w:t>
      </w:r>
      <w:r w:rsidR="00404ED7">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or a</w:t>
      </w:r>
      <w:r w:rsidR="00AD65B5" w:rsidRPr="00FB2F3D">
        <w:rPr>
          <w:rFonts w:ascii="Arial" w:hAnsi="Arial" w:cs="Arial"/>
          <w:sz w:val="22"/>
          <w:szCs w:val="22"/>
        </w:rPr>
        <w:t xml:space="preserve"> Related Party</w:t>
      </w:r>
      <w:r w:rsidRPr="00FB2F3D">
        <w:rPr>
          <w:rFonts w:ascii="Arial" w:hAnsi="Arial" w:cs="Arial"/>
          <w:sz w:val="22"/>
          <w:szCs w:val="22"/>
        </w:rPr>
        <w:t xml:space="preserve"> Associate of such a Person.</w:t>
      </w:r>
    </w:p>
    <w:p w14:paraId="12AF4A23" w14:textId="609613CF" w:rsidR="00162E0C" w:rsidRPr="00FB2F3D" w:rsidRDefault="00404ED7" w:rsidP="00424270">
      <w:pPr>
        <w:pStyle w:val="Heading4"/>
        <w:rPr>
          <w:rFonts w:ascii="Arial" w:hAnsi="Arial" w:cs="Arial"/>
          <w:sz w:val="22"/>
          <w:szCs w:val="22"/>
          <w:lang w:eastAsia="ja-JP"/>
        </w:rPr>
      </w:pPr>
      <w:bookmarkStart w:id="785" w:name="_Ref410632749"/>
      <w:r>
        <w:rPr>
          <w:rFonts w:ascii="Arial" w:hAnsi="Arial" w:cs="Arial"/>
          <w:sz w:val="22"/>
          <w:szCs w:val="22"/>
        </w:rPr>
        <w:t>Subject to Rule 9.5.4, a</w:t>
      </w:r>
      <w:r w:rsidR="00162E0C" w:rsidRPr="00FB2F3D">
        <w:rPr>
          <w:rFonts w:ascii="Arial" w:hAnsi="Arial" w:cs="Arial"/>
          <w:sz w:val="22"/>
          <w:szCs w:val="22"/>
        </w:rPr>
        <w:t xml:space="preserve"> transaction is a Related Party Transaction if it is a transaction:</w:t>
      </w:r>
      <w:bookmarkEnd w:id="785"/>
    </w:p>
    <w:p w14:paraId="69BBE4D3" w14:textId="6320CFA4" w:rsidR="00162E0C" w:rsidRPr="00FB2F3D" w:rsidRDefault="00162E0C" w:rsidP="00424270">
      <w:pPr>
        <w:pStyle w:val="Heading5"/>
        <w:rPr>
          <w:rFonts w:ascii="Arial" w:hAnsi="Arial" w:cs="Arial"/>
          <w:sz w:val="22"/>
          <w:szCs w:val="22"/>
        </w:rPr>
      </w:pPr>
      <w:bookmarkStart w:id="786" w:name="_Ref410667488"/>
      <w:r w:rsidRPr="00FB2F3D">
        <w:rPr>
          <w:rFonts w:ascii="Arial" w:hAnsi="Arial" w:cs="Arial"/>
          <w:sz w:val="22"/>
          <w:szCs w:val="22"/>
        </w:rPr>
        <w:t>between a</w:t>
      </w:r>
      <w:r w:rsidR="00222FEC" w:rsidRPr="00FB2F3D">
        <w:rPr>
          <w:rFonts w:ascii="Arial" w:hAnsi="Arial" w:cs="Arial"/>
          <w:sz w:val="22"/>
          <w:szCs w:val="22"/>
        </w:rPr>
        <w:t xml:space="preserve"> </w:t>
      </w:r>
      <w:r w:rsidR="00404ED7">
        <w:rPr>
          <w:rFonts w:ascii="Arial" w:hAnsi="Arial" w:cs="Arial"/>
          <w:sz w:val="22"/>
          <w:szCs w:val="22"/>
        </w:rPr>
        <w:t xml:space="preserve">Listed </w:t>
      </w:r>
      <w:r w:rsidR="00222FEC" w:rsidRPr="00FB2F3D">
        <w:rPr>
          <w:rFonts w:ascii="Arial" w:hAnsi="Arial" w:cs="Arial"/>
          <w:sz w:val="22"/>
          <w:szCs w:val="22"/>
        </w:rPr>
        <w:t>Entity</w:t>
      </w:r>
      <w:r w:rsidRPr="00FB2F3D">
        <w:rPr>
          <w:rFonts w:ascii="Arial" w:hAnsi="Arial" w:cs="Arial"/>
          <w:sz w:val="22"/>
          <w:szCs w:val="22"/>
        </w:rPr>
        <w:t xml:space="preserve"> and a Related Party;</w:t>
      </w:r>
      <w:bookmarkEnd w:id="786"/>
    </w:p>
    <w:p w14:paraId="684650C3" w14:textId="76AA2369" w:rsidR="00162E0C" w:rsidRPr="00FB2F3D" w:rsidRDefault="000219FB" w:rsidP="00424270">
      <w:pPr>
        <w:pStyle w:val="Heading5"/>
        <w:rPr>
          <w:rFonts w:ascii="Arial" w:hAnsi="Arial" w:cs="Arial"/>
          <w:sz w:val="22"/>
          <w:szCs w:val="22"/>
        </w:rPr>
      </w:pPr>
      <w:r w:rsidRPr="00FB2F3D">
        <w:rPr>
          <w:rFonts w:ascii="Arial" w:hAnsi="Arial" w:cs="Arial"/>
          <w:sz w:val="22"/>
          <w:szCs w:val="22"/>
        </w:rPr>
        <w:t xml:space="preserve">entered into pursuant to an arrangement between the </w:t>
      </w:r>
      <w:r w:rsidR="004849E4">
        <w:rPr>
          <w:rFonts w:ascii="Arial" w:hAnsi="Arial" w:cs="Arial"/>
          <w:sz w:val="22"/>
          <w:szCs w:val="22"/>
        </w:rPr>
        <w:t>Listed</w:t>
      </w:r>
      <w:r w:rsidRPr="00FB2F3D">
        <w:rPr>
          <w:rFonts w:ascii="Arial" w:hAnsi="Arial" w:cs="Arial"/>
          <w:sz w:val="22"/>
          <w:szCs w:val="22"/>
        </w:rPr>
        <w:t xml:space="preserve"> Entity and the Related Party </w:t>
      </w:r>
      <w:r w:rsidR="00162E0C" w:rsidRPr="00FB2F3D">
        <w:rPr>
          <w:rFonts w:ascii="Arial" w:hAnsi="Arial" w:cs="Arial"/>
          <w:sz w:val="22"/>
          <w:szCs w:val="22"/>
        </w:rPr>
        <w:t xml:space="preserve">under which the </w:t>
      </w:r>
      <w:r w:rsidR="004849E4">
        <w:rPr>
          <w:rFonts w:ascii="Arial" w:hAnsi="Arial" w:cs="Arial"/>
          <w:sz w:val="22"/>
          <w:szCs w:val="22"/>
        </w:rPr>
        <w:t>Listed</w:t>
      </w:r>
      <w:r w:rsidR="00222FEC" w:rsidRPr="00FB2F3D">
        <w:rPr>
          <w:rFonts w:ascii="Arial" w:hAnsi="Arial" w:cs="Arial"/>
          <w:sz w:val="22"/>
          <w:szCs w:val="22"/>
        </w:rPr>
        <w:t xml:space="preserve"> Entity</w:t>
      </w:r>
      <w:r w:rsidR="00162E0C" w:rsidRPr="00FB2F3D">
        <w:rPr>
          <w:rFonts w:ascii="Arial" w:hAnsi="Arial" w:cs="Arial"/>
          <w:sz w:val="22"/>
          <w:szCs w:val="22"/>
        </w:rPr>
        <w:t xml:space="preserve"> </w:t>
      </w:r>
      <w:r w:rsidRPr="00FB2F3D">
        <w:rPr>
          <w:rFonts w:ascii="Arial" w:hAnsi="Arial" w:cs="Arial"/>
          <w:sz w:val="22"/>
          <w:szCs w:val="22"/>
        </w:rPr>
        <w:t xml:space="preserve">and the Related Party </w:t>
      </w:r>
      <w:r w:rsidR="004849E4">
        <w:rPr>
          <w:rFonts w:ascii="Arial" w:hAnsi="Arial" w:cs="Arial"/>
          <w:sz w:val="22"/>
          <w:szCs w:val="22"/>
        </w:rPr>
        <w:t>both</w:t>
      </w:r>
      <w:r w:rsidRPr="00FB2F3D">
        <w:rPr>
          <w:rFonts w:ascii="Arial" w:hAnsi="Arial" w:cs="Arial"/>
          <w:sz w:val="22"/>
          <w:szCs w:val="22"/>
        </w:rPr>
        <w:t xml:space="preserve"> </w:t>
      </w:r>
      <w:r w:rsidR="00162E0C" w:rsidRPr="00FB2F3D">
        <w:rPr>
          <w:rFonts w:ascii="Arial" w:hAnsi="Arial" w:cs="Arial"/>
          <w:sz w:val="22"/>
          <w:szCs w:val="22"/>
        </w:rPr>
        <w:t>invest in another Undertaking or asset, or provide financial assistance to another Undertaking</w:t>
      </w:r>
      <w:r w:rsidR="007B224F" w:rsidRPr="00FB2F3D">
        <w:rPr>
          <w:rFonts w:ascii="Arial" w:hAnsi="Arial" w:cs="Arial"/>
          <w:sz w:val="22"/>
          <w:szCs w:val="22"/>
        </w:rPr>
        <w:t xml:space="preserve">; </w:t>
      </w:r>
    </w:p>
    <w:p w14:paraId="6C952812" w14:textId="06F10C8B" w:rsidR="00162E0C" w:rsidRPr="00FB2F3D" w:rsidRDefault="00162E0C" w:rsidP="00424270">
      <w:pPr>
        <w:pStyle w:val="Heading5"/>
        <w:rPr>
          <w:rFonts w:ascii="Arial" w:hAnsi="Arial" w:cs="Arial"/>
          <w:sz w:val="22"/>
          <w:szCs w:val="22"/>
        </w:rPr>
      </w:pPr>
      <w:bookmarkStart w:id="787" w:name="_Ref410667496"/>
      <w:r w:rsidRPr="00FB2F3D">
        <w:rPr>
          <w:rFonts w:ascii="Arial" w:hAnsi="Arial" w:cs="Arial"/>
          <w:sz w:val="22"/>
          <w:szCs w:val="22"/>
        </w:rPr>
        <w:t xml:space="preserve">between the </w:t>
      </w:r>
      <w:r w:rsidR="004849E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and any other Person</w:t>
      </w:r>
      <w:r w:rsidR="00D81BFE" w:rsidRPr="00FB2F3D">
        <w:rPr>
          <w:rFonts w:ascii="Arial" w:hAnsi="Arial" w:cs="Arial"/>
          <w:sz w:val="22"/>
          <w:szCs w:val="22"/>
        </w:rPr>
        <w:t>,</w:t>
      </w:r>
      <w:r w:rsidRPr="00FB2F3D">
        <w:rPr>
          <w:rFonts w:ascii="Arial" w:hAnsi="Arial" w:cs="Arial"/>
          <w:sz w:val="22"/>
          <w:szCs w:val="22"/>
        </w:rPr>
        <w:t xml:space="preserve"> the purpose or effect of which is to benefit a Related Party; or</w:t>
      </w:r>
      <w:bookmarkEnd w:id="787"/>
    </w:p>
    <w:p w14:paraId="312F3593" w14:textId="75654FE7" w:rsidR="00162E0C" w:rsidRPr="00FB2F3D" w:rsidRDefault="00162E0C" w:rsidP="00424270">
      <w:pPr>
        <w:pStyle w:val="Heading5"/>
        <w:rPr>
          <w:rFonts w:ascii="Arial" w:hAnsi="Arial" w:cs="Arial"/>
          <w:sz w:val="22"/>
          <w:szCs w:val="22"/>
        </w:rPr>
      </w:pPr>
      <w:r w:rsidRPr="00FB2F3D">
        <w:rPr>
          <w:rFonts w:ascii="Arial" w:hAnsi="Arial" w:cs="Arial"/>
          <w:sz w:val="22"/>
          <w:szCs w:val="22"/>
        </w:rPr>
        <w:t>of the kind referred to</w:t>
      </w:r>
      <w:r w:rsidR="00C44814" w:rsidRPr="00FB2F3D">
        <w:rPr>
          <w:rFonts w:ascii="Arial" w:hAnsi="Arial" w:cs="Arial"/>
          <w:sz w:val="22"/>
          <w:szCs w:val="22"/>
        </w:rPr>
        <w:t xml:space="preserve"> in (a) to (c) and </w:t>
      </w:r>
      <w:r w:rsidR="005D462F" w:rsidRPr="00FB2F3D">
        <w:rPr>
          <w:rFonts w:ascii="Arial" w:hAnsi="Arial" w:cs="Arial"/>
          <w:sz w:val="22"/>
          <w:szCs w:val="22"/>
        </w:rPr>
        <w:t>is between a s</w:t>
      </w:r>
      <w:r w:rsidRPr="00FB2F3D">
        <w:rPr>
          <w:rFonts w:ascii="Arial" w:hAnsi="Arial" w:cs="Arial"/>
          <w:sz w:val="22"/>
          <w:szCs w:val="22"/>
        </w:rPr>
        <w:t>ubsidiary of a</w:t>
      </w:r>
      <w:r w:rsidR="00222FEC" w:rsidRPr="00FB2F3D">
        <w:rPr>
          <w:rFonts w:ascii="Arial" w:hAnsi="Arial" w:cs="Arial"/>
          <w:sz w:val="22"/>
          <w:szCs w:val="22"/>
        </w:rPr>
        <w:t xml:space="preserve"> </w:t>
      </w:r>
      <w:r w:rsidR="004849E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and a Related Party of the </w:t>
      </w:r>
      <w:r w:rsidR="004849E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w:t>
      </w:r>
    </w:p>
    <w:p w14:paraId="7B2705C4"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23152757" w14:textId="36B28E0B" w:rsidR="00162E0C" w:rsidRPr="00FB2F3D" w:rsidRDefault="00162E0C" w:rsidP="00DB61C9">
      <w:pPr>
        <w:pStyle w:val="GuidanceNotesnumbering"/>
        <w:numPr>
          <w:ilvl w:val="0"/>
          <w:numId w:val="41"/>
        </w:numPr>
        <w:rPr>
          <w:rFonts w:ascii="Arial" w:hAnsi="Arial" w:cs="Arial"/>
          <w:sz w:val="22"/>
          <w:szCs w:val="22"/>
        </w:rPr>
      </w:pPr>
      <w:r w:rsidRPr="00FB2F3D">
        <w:rPr>
          <w:rFonts w:ascii="Arial" w:hAnsi="Arial" w:cs="Arial"/>
          <w:sz w:val="22"/>
          <w:szCs w:val="22"/>
        </w:rPr>
        <w:t>A Person is regarded as exercising significant influence over a</w:t>
      </w:r>
      <w:r w:rsidR="00222FEC" w:rsidRPr="00FB2F3D">
        <w:rPr>
          <w:rFonts w:ascii="Arial" w:hAnsi="Arial" w:cs="Arial"/>
          <w:sz w:val="22"/>
          <w:szCs w:val="22"/>
        </w:rPr>
        <w:t xml:space="preserve"> </w:t>
      </w:r>
      <w:r w:rsidR="004849E4">
        <w:rPr>
          <w:rFonts w:ascii="Arial" w:hAnsi="Arial" w:cs="Arial"/>
          <w:sz w:val="22"/>
          <w:szCs w:val="22"/>
        </w:rPr>
        <w:t>Listed</w:t>
      </w:r>
      <w:r w:rsidR="00222FEC" w:rsidRPr="00FB2F3D">
        <w:rPr>
          <w:rFonts w:ascii="Arial" w:hAnsi="Arial" w:cs="Arial"/>
          <w:sz w:val="22"/>
          <w:szCs w:val="22"/>
        </w:rPr>
        <w:t xml:space="preserve"> Entity</w:t>
      </w:r>
      <w:r w:rsidR="004849E4">
        <w:rPr>
          <w:rFonts w:ascii="Arial" w:hAnsi="Arial" w:cs="Arial"/>
          <w:sz w:val="22"/>
          <w:szCs w:val="22"/>
        </w:rPr>
        <w:t xml:space="preserve"> if</w:t>
      </w:r>
      <w:r w:rsidRPr="00FB2F3D">
        <w:rPr>
          <w:rFonts w:ascii="Arial" w:hAnsi="Arial" w:cs="Arial"/>
          <w:sz w:val="22"/>
          <w:szCs w:val="22"/>
        </w:rPr>
        <w:t>, for example, that Person is a consultant or adviser</w:t>
      </w:r>
      <w:r w:rsidR="00E34F9A" w:rsidRPr="00FB2F3D">
        <w:rPr>
          <w:rFonts w:ascii="Arial" w:hAnsi="Arial" w:cs="Arial"/>
          <w:sz w:val="22"/>
          <w:szCs w:val="22"/>
        </w:rPr>
        <w:t xml:space="preserve"> or a shadow </w:t>
      </w:r>
      <w:r w:rsidR="00766F73" w:rsidRPr="00FB2F3D">
        <w:rPr>
          <w:rFonts w:ascii="Arial" w:hAnsi="Arial" w:cs="Arial"/>
          <w:sz w:val="22"/>
          <w:szCs w:val="22"/>
        </w:rPr>
        <w:t xml:space="preserve">director </w:t>
      </w:r>
      <w:r w:rsidR="00E34F9A" w:rsidRPr="00FB2F3D">
        <w:rPr>
          <w:rFonts w:ascii="Arial" w:hAnsi="Arial" w:cs="Arial"/>
          <w:sz w:val="22"/>
          <w:szCs w:val="22"/>
        </w:rPr>
        <w:t>of</w:t>
      </w:r>
      <w:r w:rsidRPr="00FB2F3D">
        <w:rPr>
          <w:rFonts w:ascii="Arial" w:hAnsi="Arial" w:cs="Arial"/>
          <w:sz w:val="22"/>
          <w:szCs w:val="22"/>
        </w:rPr>
        <w:t xml:space="preserve"> the </w:t>
      </w:r>
      <w:r w:rsidR="004849E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w:t>
      </w:r>
      <w:r w:rsidR="00766F73" w:rsidRPr="00FB2F3D">
        <w:rPr>
          <w:rFonts w:ascii="Arial" w:hAnsi="Arial" w:cs="Arial"/>
          <w:sz w:val="22"/>
          <w:szCs w:val="22"/>
        </w:rPr>
        <w:t xml:space="preserve"> For the purposes of this </w:t>
      </w:r>
      <w:r w:rsidR="004849E4">
        <w:rPr>
          <w:rFonts w:ascii="Arial" w:hAnsi="Arial" w:cs="Arial"/>
          <w:sz w:val="22"/>
          <w:szCs w:val="22"/>
        </w:rPr>
        <w:t>guidance</w:t>
      </w:r>
      <w:r w:rsidR="00766F73" w:rsidRPr="00FB2F3D">
        <w:rPr>
          <w:rFonts w:ascii="Arial" w:hAnsi="Arial" w:cs="Arial"/>
          <w:sz w:val="22"/>
          <w:szCs w:val="22"/>
        </w:rPr>
        <w:t xml:space="preserve">, “shadow director” means a </w:t>
      </w:r>
      <w:r w:rsidR="004849E4">
        <w:rPr>
          <w:rFonts w:ascii="Arial" w:hAnsi="Arial" w:cs="Arial"/>
          <w:sz w:val="22"/>
          <w:szCs w:val="22"/>
        </w:rPr>
        <w:t>P</w:t>
      </w:r>
      <w:r w:rsidR="00766F73" w:rsidRPr="00FB2F3D">
        <w:rPr>
          <w:rFonts w:ascii="Arial" w:hAnsi="Arial" w:cs="Arial"/>
          <w:sz w:val="22"/>
          <w:szCs w:val="22"/>
        </w:rPr>
        <w:t xml:space="preserve">erson in accordance with whose directions or instructions the Directors of the </w:t>
      </w:r>
      <w:r w:rsidR="004849E4">
        <w:rPr>
          <w:rFonts w:ascii="Arial" w:hAnsi="Arial" w:cs="Arial"/>
          <w:sz w:val="22"/>
          <w:szCs w:val="22"/>
        </w:rPr>
        <w:t>Listed</w:t>
      </w:r>
      <w:r w:rsidR="00766F73" w:rsidRPr="00FB2F3D">
        <w:rPr>
          <w:rFonts w:ascii="Arial" w:hAnsi="Arial" w:cs="Arial"/>
          <w:sz w:val="22"/>
          <w:szCs w:val="22"/>
        </w:rPr>
        <w:t xml:space="preserve"> Entity are accustomed to act. </w:t>
      </w:r>
    </w:p>
    <w:p w14:paraId="7D93073F" w14:textId="6ACA5BBD" w:rsidR="00162E0C" w:rsidRPr="00FB2F3D" w:rsidRDefault="00162E0C" w:rsidP="00222FEC">
      <w:pPr>
        <w:pStyle w:val="GuidanceNotesnumbering"/>
        <w:rPr>
          <w:rFonts w:ascii="Arial" w:hAnsi="Arial" w:cs="Arial"/>
          <w:sz w:val="22"/>
          <w:szCs w:val="22"/>
        </w:rPr>
      </w:pPr>
      <w:r w:rsidRPr="00FB2F3D">
        <w:rPr>
          <w:rFonts w:ascii="Arial" w:hAnsi="Arial" w:cs="Arial"/>
          <w:sz w:val="22"/>
          <w:szCs w:val="22"/>
        </w:rPr>
        <w:t>Any transa</w:t>
      </w:r>
      <w:r w:rsidR="005D462F" w:rsidRPr="00FB2F3D">
        <w:rPr>
          <w:rFonts w:ascii="Arial" w:hAnsi="Arial" w:cs="Arial"/>
          <w:sz w:val="22"/>
          <w:szCs w:val="22"/>
        </w:rPr>
        <w:t>ctions between a s</w:t>
      </w:r>
      <w:r w:rsidRPr="00FB2F3D">
        <w:rPr>
          <w:rFonts w:ascii="Arial" w:hAnsi="Arial" w:cs="Arial"/>
          <w:sz w:val="22"/>
          <w:szCs w:val="22"/>
        </w:rPr>
        <w:t>ubsidiary of a</w:t>
      </w:r>
      <w:r w:rsidR="00222FEC" w:rsidRPr="00FB2F3D">
        <w:rPr>
          <w:rFonts w:ascii="Arial" w:hAnsi="Arial" w:cs="Arial"/>
          <w:sz w:val="22"/>
          <w:szCs w:val="22"/>
        </w:rPr>
        <w:t xml:space="preserve"> </w:t>
      </w:r>
      <w:r w:rsidR="004849E4">
        <w:rPr>
          <w:rFonts w:ascii="Arial" w:hAnsi="Arial" w:cs="Arial"/>
          <w:sz w:val="22"/>
          <w:szCs w:val="22"/>
        </w:rPr>
        <w:t>Listed</w:t>
      </w:r>
      <w:r w:rsidR="00222FEC" w:rsidRPr="00FB2F3D">
        <w:rPr>
          <w:rFonts w:ascii="Arial" w:hAnsi="Arial" w:cs="Arial"/>
          <w:sz w:val="22"/>
          <w:szCs w:val="22"/>
        </w:rPr>
        <w:t xml:space="preserve"> Entity</w:t>
      </w:r>
      <w:r w:rsidR="007B224F" w:rsidRPr="00FB2F3D">
        <w:rPr>
          <w:rFonts w:ascii="Arial" w:hAnsi="Arial" w:cs="Arial"/>
          <w:sz w:val="22"/>
          <w:szCs w:val="22"/>
        </w:rPr>
        <w:t xml:space="preserve"> and a Related Party are</w:t>
      </w:r>
      <w:r w:rsidRPr="00FB2F3D">
        <w:rPr>
          <w:rFonts w:ascii="Arial" w:hAnsi="Arial" w:cs="Arial"/>
          <w:sz w:val="22"/>
          <w:szCs w:val="22"/>
        </w:rPr>
        <w:t xml:space="preserve"> included within the definition of a Related Party Transaction. This is because a Related Party may, through the </w:t>
      </w:r>
      <w:r w:rsidR="00B52D4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be able to influence terms which are more favourable to the</w:t>
      </w:r>
      <w:r w:rsidRPr="00FB2F3D">
        <w:rPr>
          <w:rFonts w:ascii="Arial" w:hAnsi="Arial" w:cs="Arial"/>
          <w:sz w:val="22"/>
          <w:szCs w:val="22"/>
          <w:lang w:eastAsia="ja-JP"/>
        </w:rPr>
        <w:t xml:space="preserve"> </w:t>
      </w:r>
      <w:r w:rsidRPr="00FB2F3D">
        <w:rPr>
          <w:rFonts w:ascii="Arial" w:hAnsi="Arial" w:cs="Arial"/>
          <w:sz w:val="22"/>
          <w:szCs w:val="22"/>
        </w:rPr>
        <w:t>Related P</w:t>
      </w:r>
      <w:r w:rsidR="005D462F" w:rsidRPr="00FB2F3D">
        <w:rPr>
          <w:rFonts w:ascii="Arial" w:hAnsi="Arial" w:cs="Arial"/>
          <w:sz w:val="22"/>
          <w:szCs w:val="22"/>
        </w:rPr>
        <w:t>arty when transacting with the s</w:t>
      </w:r>
      <w:r w:rsidRPr="00FB2F3D">
        <w:rPr>
          <w:rFonts w:ascii="Arial" w:hAnsi="Arial" w:cs="Arial"/>
          <w:sz w:val="22"/>
          <w:szCs w:val="22"/>
        </w:rPr>
        <w:t xml:space="preserve">ubsidiary. Such transactions could be detrimental to the interests of the </w:t>
      </w:r>
      <w:r w:rsidR="00B52D4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w:t>
      </w:r>
    </w:p>
    <w:p w14:paraId="0C8A0981" w14:textId="77777777" w:rsidR="00162E0C" w:rsidRPr="00FB2F3D" w:rsidRDefault="000152ED" w:rsidP="007E31C1">
      <w:pPr>
        <w:pStyle w:val="TitleL"/>
        <w:rPr>
          <w:rFonts w:ascii="Arial" w:hAnsi="Arial" w:cs="Arial"/>
          <w:sz w:val="22"/>
          <w:szCs w:val="22"/>
        </w:rPr>
      </w:pPr>
      <w:r w:rsidRPr="00FB2F3D">
        <w:rPr>
          <w:rFonts w:ascii="Arial" w:hAnsi="Arial" w:cs="Arial"/>
          <w:sz w:val="22"/>
          <w:szCs w:val="22"/>
        </w:rPr>
        <w:t>Related P</w:t>
      </w:r>
      <w:r w:rsidR="00162E0C" w:rsidRPr="00FB2F3D">
        <w:rPr>
          <w:rFonts w:ascii="Arial" w:hAnsi="Arial" w:cs="Arial"/>
          <w:sz w:val="22"/>
          <w:szCs w:val="22"/>
        </w:rPr>
        <w:t xml:space="preserve">arty </w:t>
      </w:r>
      <w:r w:rsidRPr="00FB2F3D">
        <w:rPr>
          <w:rFonts w:ascii="Arial" w:hAnsi="Arial" w:cs="Arial"/>
          <w:sz w:val="22"/>
          <w:szCs w:val="22"/>
        </w:rPr>
        <w:t>T</w:t>
      </w:r>
      <w:r w:rsidR="00162E0C" w:rsidRPr="00FB2F3D">
        <w:rPr>
          <w:rFonts w:ascii="Arial" w:hAnsi="Arial" w:cs="Arial"/>
          <w:sz w:val="22"/>
          <w:szCs w:val="22"/>
        </w:rPr>
        <w:t>ransaction procedures</w:t>
      </w:r>
    </w:p>
    <w:p w14:paraId="269B5908" w14:textId="56498EC0" w:rsidR="00162E0C" w:rsidRPr="00FB2F3D" w:rsidRDefault="00162E0C" w:rsidP="00222FEC">
      <w:pPr>
        <w:pStyle w:val="Heading3"/>
        <w:keepNext/>
        <w:rPr>
          <w:rFonts w:ascii="Arial" w:hAnsi="Arial" w:cs="Arial"/>
          <w:sz w:val="22"/>
          <w:szCs w:val="22"/>
        </w:rPr>
      </w:pPr>
      <w:bookmarkStart w:id="788" w:name="_Ref422414352"/>
      <w:r w:rsidRPr="00FB2F3D">
        <w:rPr>
          <w:rFonts w:ascii="Arial" w:hAnsi="Arial" w:cs="Arial"/>
          <w:sz w:val="22"/>
          <w:szCs w:val="22"/>
        </w:rPr>
        <w:t xml:space="preserve">A </w:t>
      </w:r>
      <w:r w:rsidR="00B52D4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must ensure that:</w:t>
      </w:r>
      <w:bookmarkEnd w:id="788"/>
    </w:p>
    <w:p w14:paraId="30B3401B" w14:textId="66139AD8" w:rsidR="00162E0C" w:rsidRPr="00FB2F3D" w:rsidRDefault="00162E0C" w:rsidP="00C44814">
      <w:pPr>
        <w:pStyle w:val="Heading4"/>
        <w:rPr>
          <w:rFonts w:ascii="Arial" w:hAnsi="Arial" w:cs="Arial"/>
          <w:sz w:val="22"/>
          <w:szCs w:val="22"/>
        </w:rPr>
      </w:pPr>
      <w:bookmarkStart w:id="789" w:name="_Ref410667512"/>
      <w:r w:rsidRPr="00FB2F3D">
        <w:rPr>
          <w:rFonts w:ascii="Arial" w:hAnsi="Arial" w:cs="Arial"/>
          <w:sz w:val="22"/>
          <w:szCs w:val="22"/>
        </w:rPr>
        <w:t>if the value of a</w:t>
      </w:r>
      <w:r w:rsidR="00B52D44">
        <w:rPr>
          <w:rFonts w:ascii="Arial" w:hAnsi="Arial" w:cs="Arial"/>
          <w:sz w:val="22"/>
          <w:szCs w:val="22"/>
        </w:rPr>
        <w:t xml:space="preserve"> proposed</w:t>
      </w:r>
      <w:r w:rsidRPr="00FB2F3D">
        <w:rPr>
          <w:rFonts w:ascii="Arial" w:hAnsi="Arial" w:cs="Arial"/>
          <w:sz w:val="22"/>
          <w:szCs w:val="22"/>
        </w:rPr>
        <w:t xml:space="preserve"> Related Party Transaction is</w:t>
      </w:r>
      <w:r w:rsidR="00F2734C" w:rsidRPr="00FB2F3D">
        <w:rPr>
          <w:rFonts w:ascii="Arial" w:hAnsi="Arial" w:cs="Arial"/>
          <w:sz w:val="22"/>
          <w:szCs w:val="22"/>
        </w:rPr>
        <w:t xml:space="preserve"> equal to or</w:t>
      </w:r>
      <w:r w:rsidRPr="00FB2F3D">
        <w:rPr>
          <w:rFonts w:ascii="Arial" w:hAnsi="Arial" w:cs="Arial"/>
          <w:sz w:val="22"/>
          <w:szCs w:val="22"/>
        </w:rPr>
        <w:t xml:space="preserve"> greater than 5% of</w:t>
      </w:r>
      <w:r w:rsidR="00B52D44">
        <w:rPr>
          <w:rFonts w:ascii="Arial" w:hAnsi="Arial" w:cs="Arial"/>
          <w:sz w:val="22"/>
          <w:szCs w:val="22"/>
        </w:rPr>
        <w:t xml:space="preserve"> the</w:t>
      </w:r>
      <w:r w:rsidRPr="00FB2F3D">
        <w:rPr>
          <w:rFonts w:ascii="Arial" w:hAnsi="Arial" w:cs="Arial"/>
          <w:sz w:val="22"/>
          <w:szCs w:val="22"/>
        </w:rPr>
        <w:t xml:space="preserve"> value of the net assets of the </w:t>
      </w:r>
      <w:r w:rsidR="00B52D4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as stated in its most recent financial reports, it does not enter into such a transaction unless the</w:t>
      </w:r>
      <w:r w:rsidR="00B52D44">
        <w:rPr>
          <w:rFonts w:ascii="Arial" w:hAnsi="Arial" w:cs="Arial"/>
          <w:sz w:val="22"/>
          <w:szCs w:val="22"/>
        </w:rPr>
        <w:t xml:space="preserve"> proposed</w:t>
      </w:r>
      <w:r w:rsidRPr="00FB2F3D">
        <w:rPr>
          <w:rFonts w:ascii="Arial" w:hAnsi="Arial" w:cs="Arial"/>
          <w:sz w:val="22"/>
          <w:szCs w:val="22"/>
        </w:rPr>
        <w:t xml:space="preserve"> transaction has been put to </w:t>
      </w:r>
      <w:r w:rsidR="00B46F00" w:rsidRPr="00FB2F3D">
        <w:rPr>
          <w:rFonts w:ascii="Arial" w:hAnsi="Arial" w:cs="Arial"/>
          <w:sz w:val="22"/>
          <w:szCs w:val="22"/>
        </w:rPr>
        <w:t>Shareholder</w:t>
      </w:r>
      <w:r w:rsidRPr="00FB2F3D">
        <w:rPr>
          <w:rFonts w:ascii="Arial" w:hAnsi="Arial" w:cs="Arial"/>
          <w:sz w:val="22"/>
          <w:szCs w:val="22"/>
        </w:rPr>
        <w:t xml:space="preserve"> approval and has received prior approval by a majority of the </w:t>
      </w:r>
      <w:r w:rsidR="00B46F00" w:rsidRPr="00FB2F3D">
        <w:rPr>
          <w:rFonts w:ascii="Arial" w:hAnsi="Arial" w:cs="Arial"/>
          <w:sz w:val="22"/>
          <w:szCs w:val="22"/>
        </w:rPr>
        <w:t>Shareholder</w:t>
      </w:r>
      <w:r w:rsidRPr="00FB2F3D">
        <w:rPr>
          <w:rFonts w:ascii="Arial" w:hAnsi="Arial" w:cs="Arial"/>
          <w:sz w:val="22"/>
          <w:szCs w:val="22"/>
        </w:rPr>
        <w:t xml:space="preserve">s of the </w:t>
      </w:r>
      <w:r w:rsidR="00B52D4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w:t>
      </w:r>
      <w:bookmarkEnd w:id="789"/>
    </w:p>
    <w:p w14:paraId="67AF0820" w14:textId="61EC58A0" w:rsidR="00BF3AF6" w:rsidRPr="00FB2F3D" w:rsidRDefault="00162E0C" w:rsidP="005D462F">
      <w:pPr>
        <w:pStyle w:val="Heading4"/>
        <w:rPr>
          <w:rFonts w:ascii="Arial" w:hAnsi="Arial" w:cs="Arial"/>
          <w:sz w:val="22"/>
          <w:szCs w:val="22"/>
        </w:rPr>
      </w:pPr>
      <w:r w:rsidRPr="00FB2F3D">
        <w:rPr>
          <w:rFonts w:ascii="Arial" w:hAnsi="Arial" w:cs="Arial"/>
          <w:sz w:val="22"/>
          <w:szCs w:val="22"/>
        </w:rPr>
        <w:t xml:space="preserve">if the value of the </w:t>
      </w:r>
      <w:r w:rsidR="00B52D44">
        <w:rPr>
          <w:rFonts w:ascii="Arial" w:hAnsi="Arial" w:cs="Arial"/>
          <w:sz w:val="22"/>
          <w:szCs w:val="22"/>
        </w:rPr>
        <w:t xml:space="preserve">proposed </w:t>
      </w:r>
      <w:r w:rsidRPr="00FB2F3D">
        <w:rPr>
          <w:rFonts w:ascii="Arial" w:hAnsi="Arial" w:cs="Arial"/>
          <w:sz w:val="22"/>
          <w:szCs w:val="22"/>
        </w:rPr>
        <w:t>Related Party Transaction is less than the 5% threshold referred t</w:t>
      </w:r>
      <w:r w:rsidR="00C44814" w:rsidRPr="00FB2F3D">
        <w:rPr>
          <w:rFonts w:ascii="Arial" w:hAnsi="Arial" w:cs="Arial"/>
          <w:sz w:val="22"/>
          <w:szCs w:val="22"/>
        </w:rPr>
        <w:t>o in (1)</w:t>
      </w:r>
      <w:r w:rsidR="005D462F" w:rsidRPr="00FB2F3D">
        <w:rPr>
          <w:rFonts w:ascii="Arial" w:hAnsi="Arial" w:cs="Arial"/>
          <w:color w:val="000000"/>
          <w:sz w:val="22"/>
          <w:szCs w:val="22"/>
        </w:rPr>
        <w:t>, the Reporting Entity must as soon as possible after entering the transaction</w:t>
      </w:r>
      <w:r w:rsidR="00C44814" w:rsidRPr="00FB2F3D">
        <w:rPr>
          <w:rFonts w:ascii="Arial" w:hAnsi="Arial" w:cs="Arial"/>
          <w:sz w:val="22"/>
          <w:szCs w:val="22"/>
        </w:rPr>
        <w:t>:</w:t>
      </w:r>
    </w:p>
    <w:p w14:paraId="40D795EE" w14:textId="7AC8E238" w:rsidR="00461EF3" w:rsidRPr="00FB2F3D" w:rsidRDefault="005D462F" w:rsidP="005D462F">
      <w:pPr>
        <w:pStyle w:val="Heading5"/>
        <w:rPr>
          <w:rFonts w:ascii="Arial" w:hAnsi="Arial" w:cs="Arial"/>
          <w:sz w:val="22"/>
          <w:szCs w:val="22"/>
        </w:rPr>
      </w:pPr>
      <w:r w:rsidRPr="00FB2F3D">
        <w:rPr>
          <w:rFonts w:ascii="Arial" w:hAnsi="Arial" w:cs="Arial"/>
          <w:color w:val="000000"/>
          <w:sz w:val="22"/>
          <w:szCs w:val="22"/>
        </w:rPr>
        <w:t>notif</w:t>
      </w:r>
      <w:r w:rsidR="00B52D44">
        <w:rPr>
          <w:rFonts w:ascii="Arial" w:hAnsi="Arial" w:cs="Arial"/>
          <w:color w:val="000000"/>
          <w:sz w:val="22"/>
          <w:szCs w:val="22"/>
        </w:rPr>
        <w:t>y</w:t>
      </w:r>
      <w:r w:rsidRPr="00FB2F3D">
        <w:rPr>
          <w:rFonts w:ascii="Arial" w:hAnsi="Arial" w:cs="Arial"/>
          <w:color w:val="000000"/>
          <w:sz w:val="22"/>
          <w:szCs w:val="22"/>
        </w:rPr>
        <w:t xml:space="preserve"> the Regulator of the relevant terms and the basis on which such</w:t>
      </w:r>
      <w:r w:rsidR="00A20C1D" w:rsidRPr="00FB2F3D">
        <w:rPr>
          <w:rFonts w:ascii="Arial" w:hAnsi="Arial" w:cs="Arial"/>
          <w:sz w:val="22"/>
          <w:szCs w:val="22"/>
        </w:rPr>
        <w:t xml:space="preserve"> </w:t>
      </w:r>
      <w:r w:rsidR="00162E0C" w:rsidRPr="00FB2F3D">
        <w:rPr>
          <w:rFonts w:ascii="Arial" w:hAnsi="Arial" w:cs="Arial"/>
          <w:sz w:val="22"/>
          <w:szCs w:val="22"/>
        </w:rPr>
        <w:t>terms</w:t>
      </w:r>
      <w:r w:rsidR="00527C74" w:rsidRPr="00FB2F3D">
        <w:rPr>
          <w:rFonts w:ascii="Arial" w:hAnsi="Arial" w:cs="Arial"/>
          <w:sz w:val="22"/>
          <w:szCs w:val="22"/>
        </w:rPr>
        <w:t xml:space="preserve"> </w:t>
      </w:r>
      <w:r w:rsidR="00A20C1D" w:rsidRPr="00FB2F3D">
        <w:rPr>
          <w:rFonts w:ascii="Arial" w:hAnsi="Arial" w:cs="Arial"/>
          <w:sz w:val="22"/>
          <w:szCs w:val="22"/>
        </w:rPr>
        <w:t xml:space="preserve">are </w:t>
      </w:r>
      <w:r w:rsidRPr="00FB2F3D">
        <w:rPr>
          <w:rFonts w:ascii="Arial" w:hAnsi="Arial" w:cs="Arial"/>
          <w:sz w:val="22"/>
          <w:szCs w:val="22"/>
        </w:rPr>
        <w:t xml:space="preserve">considered </w:t>
      </w:r>
      <w:r w:rsidR="00162E0C" w:rsidRPr="00FB2F3D">
        <w:rPr>
          <w:rFonts w:ascii="Arial" w:hAnsi="Arial" w:cs="Arial"/>
          <w:sz w:val="22"/>
          <w:szCs w:val="22"/>
        </w:rPr>
        <w:t>fair and reasonable</w:t>
      </w:r>
      <w:r w:rsidRPr="00FB2F3D">
        <w:rPr>
          <w:rFonts w:ascii="Arial" w:hAnsi="Arial" w:cs="Arial"/>
          <w:color w:val="000000"/>
          <w:sz w:val="22"/>
          <w:szCs w:val="22"/>
        </w:rPr>
        <w:t>, supported by written confirmation by an independent third party</w:t>
      </w:r>
      <w:r w:rsidR="00162E0C" w:rsidRPr="00FB2F3D">
        <w:rPr>
          <w:rFonts w:ascii="Arial" w:hAnsi="Arial" w:cs="Arial"/>
          <w:sz w:val="22"/>
          <w:szCs w:val="22"/>
        </w:rPr>
        <w:t>;</w:t>
      </w:r>
      <w:r w:rsidR="00461EF3" w:rsidRPr="00FB2F3D">
        <w:rPr>
          <w:rFonts w:ascii="Arial" w:hAnsi="Arial" w:cs="Arial"/>
          <w:sz w:val="22"/>
          <w:szCs w:val="22"/>
        </w:rPr>
        <w:t xml:space="preserve"> and</w:t>
      </w:r>
    </w:p>
    <w:p w14:paraId="299FB14A" w14:textId="77375818" w:rsidR="00162E0C" w:rsidRPr="00FB2F3D" w:rsidRDefault="00B52D44" w:rsidP="00C44814">
      <w:pPr>
        <w:pStyle w:val="Heading5"/>
        <w:rPr>
          <w:rFonts w:ascii="Arial" w:hAnsi="Arial" w:cs="Arial"/>
          <w:sz w:val="22"/>
          <w:szCs w:val="22"/>
        </w:rPr>
      </w:pPr>
      <w:r>
        <w:rPr>
          <w:rFonts w:ascii="Arial" w:hAnsi="Arial" w:cs="Arial"/>
          <w:sz w:val="22"/>
          <w:szCs w:val="22"/>
        </w:rPr>
        <w:lastRenderedPageBreak/>
        <w:t>Disclose</w:t>
      </w:r>
      <w:r w:rsidR="00461EF3" w:rsidRPr="00FB2F3D">
        <w:rPr>
          <w:rFonts w:ascii="Arial" w:hAnsi="Arial" w:cs="Arial"/>
          <w:sz w:val="22"/>
          <w:szCs w:val="22"/>
        </w:rPr>
        <w:t xml:space="preserve"> the Related Party Transaction in accordance with Rule </w:t>
      </w:r>
      <w:r w:rsidR="00693841" w:rsidRPr="00FB2F3D">
        <w:rPr>
          <w:rFonts w:ascii="Arial" w:hAnsi="Arial" w:cs="Arial"/>
          <w:sz w:val="22"/>
          <w:szCs w:val="22"/>
        </w:rPr>
        <w:t>7.7.1</w:t>
      </w:r>
      <w:r w:rsidR="00461EF3" w:rsidRPr="00FB2F3D">
        <w:rPr>
          <w:rFonts w:ascii="Arial" w:hAnsi="Arial" w:cs="Arial"/>
          <w:sz w:val="22"/>
          <w:szCs w:val="22"/>
        </w:rPr>
        <w:t xml:space="preserve">; </w:t>
      </w:r>
    </w:p>
    <w:p w14:paraId="6E6137F3" w14:textId="195DB630" w:rsidR="00AB53FB" w:rsidRPr="00FB2F3D" w:rsidRDefault="00162E0C" w:rsidP="00C44814">
      <w:pPr>
        <w:pStyle w:val="Heading4"/>
        <w:rPr>
          <w:rFonts w:ascii="Arial" w:hAnsi="Arial" w:cs="Arial"/>
          <w:sz w:val="22"/>
          <w:szCs w:val="22"/>
        </w:rPr>
      </w:pPr>
      <w:bookmarkStart w:id="790" w:name="_Ref422414358"/>
      <w:r w:rsidRPr="00FB2F3D">
        <w:rPr>
          <w:rFonts w:ascii="Arial" w:hAnsi="Arial" w:cs="Arial"/>
          <w:sz w:val="22"/>
          <w:szCs w:val="22"/>
        </w:rPr>
        <w:t>if the cumulative value of a series of Related Party Transactions with the same Related Party</w:t>
      </w:r>
      <w:r w:rsidR="00A24ED4" w:rsidRPr="00FB2F3D">
        <w:rPr>
          <w:rFonts w:ascii="Arial" w:hAnsi="Arial" w:cs="Arial"/>
          <w:sz w:val="22"/>
          <w:szCs w:val="22"/>
        </w:rPr>
        <w:t xml:space="preserve"> which have not received Shareholder approval </w:t>
      </w:r>
      <w:r w:rsidRPr="00FB2F3D">
        <w:rPr>
          <w:rFonts w:ascii="Arial" w:hAnsi="Arial" w:cs="Arial"/>
          <w:sz w:val="22"/>
          <w:szCs w:val="22"/>
        </w:rPr>
        <w:t>reaches the 5% threshold referred to in</w:t>
      </w:r>
      <w:r w:rsidR="00C44814" w:rsidRPr="00FB2F3D">
        <w:rPr>
          <w:rFonts w:ascii="Arial" w:hAnsi="Arial" w:cs="Arial"/>
          <w:sz w:val="22"/>
          <w:szCs w:val="22"/>
        </w:rPr>
        <w:t xml:space="preserve"> (1) i</w:t>
      </w:r>
      <w:r w:rsidRPr="00FB2F3D">
        <w:rPr>
          <w:rFonts w:ascii="Arial" w:hAnsi="Arial" w:cs="Arial"/>
          <w:sz w:val="22"/>
          <w:szCs w:val="22"/>
        </w:rPr>
        <w:t xml:space="preserve">n any 12 month period, it does not enter into the last of the series of the transactions unless such proposed action has been put to </w:t>
      </w:r>
      <w:r w:rsidR="00B46F00" w:rsidRPr="00FB2F3D">
        <w:rPr>
          <w:rFonts w:ascii="Arial" w:hAnsi="Arial" w:cs="Arial"/>
          <w:sz w:val="22"/>
          <w:szCs w:val="22"/>
        </w:rPr>
        <w:t>Shareholder</w:t>
      </w:r>
      <w:r w:rsidRPr="00FB2F3D">
        <w:rPr>
          <w:rFonts w:ascii="Arial" w:hAnsi="Arial" w:cs="Arial"/>
          <w:sz w:val="22"/>
          <w:szCs w:val="22"/>
        </w:rPr>
        <w:t xml:space="preserve"> approval and received approval by a majority of the </w:t>
      </w:r>
      <w:r w:rsidR="00B46F00" w:rsidRPr="00FB2F3D">
        <w:rPr>
          <w:rFonts w:ascii="Arial" w:hAnsi="Arial" w:cs="Arial"/>
          <w:sz w:val="22"/>
          <w:szCs w:val="22"/>
        </w:rPr>
        <w:t>Shareholder</w:t>
      </w:r>
      <w:r w:rsidRPr="00FB2F3D">
        <w:rPr>
          <w:rFonts w:ascii="Arial" w:hAnsi="Arial" w:cs="Arial"/>
          <w:sz w:val="22"/>
          <w:szCs w:val="22"/>
        </w:rPr>
        <w:t xml:space="preserve">s in voting of the </w:t>
      </w:r>
      <w:r w:rsidR="00B52D44">
        <w:rPr>
          <w:rFonts w:ascii="Arial" w:hAnsi="Arial" w:cs="Arial"/>
          <w:sz w:val="22"/>
          <w:szCs w:val="22"/>
        </w:rPr>
        <w:t>Listed</w:t>
      </w:r>
      <w:r w:rsidR="00222FEC" w:rsidRPr="00FB2F3D">
        <w:rPr>
          <w:rFonts w:ascii="Arial" w:hAnsi="Arial" w:cs="Arial"/>
          <w:sz w:val="22"/>
          <w:szCs w:val="22"/>
        </w:rPr>
        <w:t xml:space="preserve"> Entity</w:t>
      </w:r>
      <w:r w:rsidR="00AB53FB" w:rsidRPr="00FB2F3D">
        <w:rPr>
          <w:rFonts w:ascii="Arial" w:hAnsi="Arial" w:cs="Arial"/>
          <w:sz w:val="22"/>
          <w:szCs w:val="22"/>
        </w:rPr>
        <w:t xml:space="preserve">; </w:t>
      </w:r>
    </w:p>
    <w:p w14:paraId="22AC5DD7" w14:textId="37E85D41" w:rsidR="00AB53FB" w:rsidRPr="00FB2F3D" w:rsidRDefault="00AB53FB" w:rsidP="00C44814">
      <w:pPr>
        <w:pStyle w:val="Heading4"/>
        <w:rPr>
          <w:rFonts w:ascii="Arial" w:hAnsi="Arial" w:cs="Arial"/>
          <w:sz w:val="22"/>
          <w:szCs w:val="22"/>
        </w:rPr>
      </w:pPr>
      <w:r w:rsidRPr="00FB2F3D">
        <w:rPr>
          <w:rFonts w:ascii="Arial" w:hAnsi="Arial" w:cs="Arial"/>
          <w:sz w:val="22"/>
          <w:szCs w:val="22"/>
        </w:rPr>
        <w:t>if, after obtaining S</w:t>
      </w:r>
      <w:r w:rsidR="00461EF3" w:rsidRPr="00FB2F3D">
        <w:rPr>
          <w:rFonts w:ascii="Arial" w:hAnsi="Arial" w:cs="Arial"/>
          <w:sz w:val="22"/>
          <w:szCs w:val="22"/>
        </w:rPr>
        <w:t xml:space="preserve">hareholder approval pursuant to </w:t>
      </w:r>
      <w:r w:rsidR="00527C74" w:rsidRPr="00FB2F3D">
        <w:rPr>
          <w:rFonts w:ascii="Arial" w:hAnsi="Arial" w:cs="Arial"/>
          <w:sz w:val="22"/>
          <w:szCs w:val="22"/>
        </w:rPr>
        <w:t>Ru</w:t>
      </w:r>
      <w:r w:rsidR="00C44814" w:rsidRPr="00FB2F3D">
        <w:rPr>
          <w:rFonts w:ascii="Arial" w:hAnsi="Arial" w:cs="Arial"/>
          <w:sz w:val="22"/>
          <w:szCs w:val="22"/>
        </w:rPr>
        <w:t>le 9.5.3(1) but</w:t>
      </w:r>
      <w:r w:rsidRPr="00FB2F3D">
        <w:rPr>
          <w:rFonts w:ascii="Arial" w:hAnsi="Arial" w:cs="Arial"/>
          <w:sz w:val="22"/>
          <w:szCs w:val="22"/>
        </w:rPr>
        <w:t xml:space="preserve"> before the completion of the Related Party Transaction, there is a material change to the terms of the</w:t>
      </w:r>
      <w:r w:rsidR="00B52D44">
        <w:rPr>
          <w:rFonts w:ascii="Arial" w:hAnsi="Arial" w:cs="Arial"/>
          <w:sz w:val="22"/>
          <w:szCs w:val="22"/>
        </w:rPr>
        <w:t xml:space="preserve"> proposed</w:t>
      </w:r>
      <w:r w:rsidRPr="00FB2F3D">
        <w:rPr>
          <w:rFonts w:ascii="Arial" w:hAnsi="Arial" w:cs="Arial"/>
          <w:sz w:val="22"/>
          <w:szCs w:val="22"/>
        </w:rPr>
        <w:t xml:space="preserve"> transaction, the </w:t>
      </w:r>
      <w:r w:rsidR="00B52D44">
        <w:rPr>
          <w:rFonts w:ascii="Arial" w:hAnsi="Arial" w:cs="Arial"/>
          <w:sz w:val="22"/>
          <w:szCs w:val="22"/>
        </w:rPr>
        <w:t>Listed</w:t>
      </w:r>
      <w:r w:rsidRPr="00FB2F3D">
        <w:rPr>
          <w:rFonts w:ascii="Arial" w:hAnsi="Arial" w:cs="Arial"/>
          <w:sz w:val="22"/>
          <w:szCs w:val="22"/>
        </w:rPr>
        <w:t xml:space="preserve"> Entity must comply again separately with </w:t>
      </w:r>
      <w:r w:rsidR="00C44814" w:rsidRPr="00FB2F3D">
        <w:rPr>
          <w:rFonts w:ascii="Arial" w:hAnsi="Arial" w:cs="Arial"/>
          <w:sz w:val="22"/>
          <w:szCs w:val="22"/>
        </w:rPr>
        <w:t xml:space="preserve">Rule 9.5.3(1) </w:t>
      </w:r>
      <w:r w:rsidR="00A042E0" w:rsidRPr="00FB2F3D">
        <w:rPr>
          <w:rFonts w:ascii="Arial" w:hAnsi="Arial" w:cs="Arial"/>
          <w:sz w:val="22"/>
          <w:szCs w:val="22"/>
        </w:rPr>
        <w:t>in relation to the</w:t>
      </w:r>
      <w:r w:rsidRPr="00FB2F3D">
        <w:rPr>
          <w:rFonts w:ascii="Arial" w:hAnsi="Arial" w:cs="Arial"/>
          <w:sz w:val="22"/>
          <w:szCs w:val="22"/>
        </w:rPr>
        <w:t xml:space="preserve"> Related Party Transaction; or</w:t>
      </w:r>
    </w:p>
    <w:bookmarkEnd w:id="790"/>
    <w:p w14:paraId="4998BE9F" w14:textId="77777777" w:rsidR="00162E0C" w:rsidRPr="00FB2F3D" w:rsidRDefault="000219FB" w:rsidP="00C44814">
      <w:pPr>
        <w:pStyle w:val="Heading4"/>
        <w:rPr>
          <w:rFonts w:ascii="Arial" w:hAnsi="Arial" w:cs="Arial"/>
          <w:sz w:val="22"/>
          <w:szCs w:val="22"/>
        </w:rPr>
      </w:pPr>
      <w:r w:rsidRPr="00FB2F3D">
        <w:rPr>
          <w:rFonts w:ascii="Arial" w:hAnsi="Arial" w:cs="Arial"/>
          <w:sz w:val="22"/>
          <w:szCs w:val="22"/>
        </w:rPr>
        <w:t xml:space="preserve">the Related Party does not vote on the Shareholder resolution </w:t>
      </w:r>
      <w:r w:rsidR="00BF3AF6" w:rsidRPr="00FB2F3D">
        <w:rPr>
          <w:rFonts w:ascii="Arial" w:hAnsi="Arial" w:cs="Arial"/>
          <w:sz w:val="22"/>
          <w:szCs w:val="22"/>
        </w:rPr>
        <w:t>referred to in</w:t>
      </w:r>
      <w:r w:rsidR="00A042E0" w:rsidRPr="00FB2F3D">
        <w:rPr>
          <w:rFonts w:ascii="Arial" w:hAnsi="Arial" w:cs="Arial"/>
          <w:sz w:val="22"/>
          <w:szCs w:val="22"/>
        </w:rPr>
        <w:t xml:space="preserve"> </w:t>
      </w:r>
      <w:r w:rsidR="00C44814" w:rsidRPr="00FB2F3D">
        <w:rPr>
          <w:rFonts w:ascii="Arial" w:hAnsi="Arial" w:cs="Arial"/>
          <w:sz w:val="22"/>
          <w:szCs w:val="22"/>
        </w:rPr>
        <w:t xml:space="preserve">Rule 9.5.3(1) </w:t>
      </w:r>
      <w:r w:rsidRPr="00FB2F3D">
        <w:rPr>
          <w:rFonts w:ascii="Arial" w:hAnsi="Arial" w:cs="Arial"/>
          <w:sz w:val="22"/>
          <w:szCs w:val="22"/>
        </w:rPr>
        <w:t>and takes all reasonable steps to ensure that</w:t>
      </w:r>
      <w:r w:rsidR="00AB53FB" w:rsidRPr="00FB2F3D">
        <w:rPr>
          <w:rFonts w:ascii="Arial" w:hAnsi="Arial" w:cs="Arial"/>
          <w:sz w:val="22"/>
          <w:szCs w:val="22"/>
        </w:rPr>
        <w:t xml:space="preserve"> </w:t>
      </w:r>
      <w:r w:rsidR="00A20C1D" w:rsidRPr="00FB2F3D">
        <w:rPr>
          <w:rFonts w:ascii="Arial" w:hAnsi="Arial" w:cs="Arial"/>
          <w:sz w:val="22"/>
          <w:szCs w:val="22"/>
        </w:rPr>
        <w:t>any</w:t>
      </w:r>
      <w:r w:rsidR="00461EF3" w:rsidRPr="00FB2F3D">
        <w:rPr>
          <w:rFonts w:ascii="Arial" w:hAnsi="Arial" w:cs="Arial"/>
          <w:sz w:val="22"/>
          <w:szCs w:val="22"/>
        </w:rPr>
        <w:t xml:space="preserve"> </w:t>
      </w:r>
      <w:r w:rsidRPr="00FB2F3D">
        <w:rPr>
          <w:rFonts w:ascii="Arial" w:hAnsi="Arial" w:cs="Arial"/>
          <w:sz w:val="22"/>
          <w:szCs w:val="22"/>
        </w:rPr>
        <w:t>Related Party Associates</w:t>
      </w:r>
      <w:r w:rsidR="00AB53FB" w:rsidRPr="00FB2F3D">
        <w:rPr>
          <w:rFonts w:ascii="Arial" w:hAnsi="Arial" w:cs="Arial"/>
          <w:sz w:val="22"/>
          <w:szCs w:val="22"/>
        </w:rPr>
        <w:t xml:space="preserve"> </w:t>
      </w:r>
      <w:r w:rsidR="00461EF3" w:rsidRPr="00FB2F3D">
        <w:rPr>
          <w:rFonts w:ascii="Arial" w:hAnsi="Arial" w:cs="Arial"/>
          <w:sz w:val="22"/>
          <w:szCs w:val="22"/>
        </w:rPr>
        <w:t xml:space="preserve">of the relevant Related Party </w:t>
      </w:r>
      <w:r w:rsidR="00AB53FB" w:rsidRPr="00FB2F3D">
        <w:rPr>
          <w:rFonts w:ascii="Arial" w:hAnsi="Arial" w:cs="Arial"/>
          <w:sz w:val="22"/>
          <w:szCs w:val="22"/>
        </w:rPr>
        <w:t>also</w:t>
      </w:r>
      <w:r w:rsidRPr="00FB2F3D">
        <w:rPr>
          <w:rFonts w:ascii="Arial" w:hAnsi="Arial" w:cs="Arial"/>
          <w:sz w:val="22"/>
          <w:szCs w:val="22"/>
        </w:rPr>
        <w:t xml:space="preserve"> do not vote on the Shareholder resolution</w:t>
      </w:r>
      <w:r w:rsidR="00BF3AF6" w:rsidRPr="00FB2F3D">
        <w:rPr>
          <w:rFonts w:ascii="Arial" w:hAnsi="Arial" w:cs="Arial"/>
          <w:sz w:val="22"/>
          <w:szCs w:val="22"/>
        </w:rPr>
        <w:t>.</w:t>
      </w:r>
    </w:p>
    <w:p w14:paraId="03D5B87A"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Exemptions</w:t>
      </w:r>
    </w:p>
    <w:p w14:paraId="3912C436" w14:textId="77777777" w:rsidR="00162E0C" w:rsidRPr="00FB2F3D" w:rsidRDefault="00162E0C" w:rsidP="0061693E">
      <w:pPr>
        <w:pStyle w:val="Heading3"/>
        <w:rPr>
          <w:rFonts w:ascii="Arial" w:hAnsi="Arial" w:cs="Arial"/>
          <w:sz w:val="22"/>
          <w:szCs w:val="22"/>
        </w:rPr>
      </w:pPr>
      <w:bookmarkStart w:id="791" w:name="_Ref410052557"/>
      <w:bookmarkStart w:id="792" w:name="_Ref410630589"/>
      <w:r w:rsidRPr="00FB2F3D">
        <w:rPr>
          <w:rFonts w:ascii="Arial" w:hAnsi="Arial" w:cs="Arial"/>
          <w:sz w:val="22"/>
          <w:szCs w:val="22"/>
        </w:rPr>
        <w:t>The requirements in this section do not apply to a transaction referred to in Rul</w:t>
      </w:r>
      <w:r w:rsidR="00C44814" w:rsidRPr="00FB2F3D">
        <w:rPr>
          <w:rFonts w:ascii="Arial" w:hAnsi="Arial" w:cs="Arial"/>
          <w:sz w:val="22"/>
          <w:szCs w:val="22"/>
        </w:rPr>
        <w:t>e 9.5.2(2):</w:t>
      </w:r>
      <w:bookmarkEnd w:id="791"/>
      <w:bookmarkEnd w:id="792"/>
    </w:p>
    <w:p w14:paraId="1FFE25AF" w14:textId="77777777" w:rsidR="00162E0C" w:rsidRPr="00FB2F3D" w:rsidRDefault="00162E0C" w:rsidP="00C44814">
      <w:pPr>
        <w:pStyle w:val="Heading4"/>
        <w:rPr>
          <w:rFonts w:ascii="Arial" w:hAnsi="Arial" w:cs="Arial"/>
          <w:sz w:val="22"/>
          <w:szCs w:val="22"/>
        </w:rPr>
      </w:pPr>
      <w:r w:rsidRPr="00FB2F3D">
        <w:rPr>
          <w:rFonts w:ascii="Arial" w:hAnsi="Arial" w:cs="Arial"/>
          <w:sz w:val="22"/>
          <w:szCs w:val="22"/>
        </w:rPr>
        <w:t>where the transaction is made in the ordinary course of business;</w:t>
      </w:r>
    </w:p>
    <w:p w14:paraId="73F86AC9" w14:textId="1653BB9C" w:rsidR="00162E0C" w:rsidRPr="00FB2F3D" w:rsidRDefault="00162E0C" w:rsidP="00C44814">
      <w:pPr>
        <w:pStyle w:val="Heading4"/>
        <w:rPr>
          <w:rFonts w:ascii="Arial" w:hAnsi="Arial" w:cs="Arial"/>
          <w:sz w:val="22"/>
          <w:szCs w:val="22"/>
        </w:rPr>
      </w:pPr>
      <w:r w:rsidRPr="00FB2F3D">
        <w:rPr>
          <w:rFonts w:ascii="Arial" w:hAnsi="Arial" w:cs="Arial"/>
          <w:sz w:val="22"/>
          <w:szCs w:val="22"/>
        </w:rPr>
        <w:t xml:space="preserve">where it, or any series of transactions with the same Related Party in any 12 month period, does not exceed 0.25% of the value of the net assets of the </w:t>
      </w:r>
      <w:r w:rsidR="00B52D44">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as stated in its most recent financial reports;</w:t>
      </w:r>
    </w:p>
    <w:p w14:paraId="1C259469" w14:textId="6196C78A" w:rsidR="00162E0C" w:rsidRPr="00FB2F3D" w:rsidRDefault="00162E0C" w:rsidP="005D462F">
      <w:pPr>
        <w:pStyle w:val="Heading4"/>
        <w:rPr>
          <w:rFonts w:ascii="Arial" w:hAnsi="Arial" w:cs="Arial"/>
          <w:sz w:val="22"/>
          <w:szCs w:val="22"/>
        </w:rPr>
      </w:pPr>
      <w:r w:rsidRPr="00FB2F3D">
        <w:rPr>
          <w:rFonts w:ascii="Arial" w:hAnsi="Arial" w:cs="Arial"/>
          <w:sz w:val="22"/>
          <w:szCs w:val="22"/>
        </w:rPr>
        <w:t xml:space="preserve">where it is made in accordance with the terms of an </w:t>
      </w:r>
      <w:r w:rsidR="002A1DA9" w:rsidRPr="00FB2F3D">
        <w:rPr>
          <w:rFonts w:ascii="Arial" w:hAnsi="Arial" w:cs="Arial"/>
          <w:sz w:val="22"/>
          <w:szCs w:val="22"/>
        </w:rPr>
        <w:t>Employee</w:t>
      </w:r>
      <w:r w:rsidRPr="00FB2F3D">
        <w:rPr>
          <w:rFonts w:ascii="Arial" w:hAnsi="Arial" w:cs="Arial"/>
          <w:sz w:val="22"/>
          <w:szCs w:val="22"/>
        </w:rPr>
        <w:t xml:space="preserve"> </w:t>
      </w:r>
      <w:r w:rsidR="001923D0">
        <w:rPr>
          <w:rFonts w:ascii="Arial" w:hAnsi="Arial" w:cs="Arial"/>
          <w:sz w:val="22"/>
          <w:szCs w:val="22"/>
        </w:rPr>
        <w:t>I</w:t>
      </w:r>
      <w:r w:rsidRPr="00FB2F3D">
        <w:rPr>
          <w:rFonts w:ascii="Arial" w:hAnsi="Arial" w:cs="Arial"/>
          <w:sz w:val="22"/>
          <w:szCs w:val="22"/>
        </w:rPr>
        <w:t xml:space="preserve">ncentive </w:t>
      </w:r>
      <w:r w:rsidR="001923D0">
        <w:rPr>
          <w:rFonts w:ascii="Arial" w:hAnsi="Arial" w:cs="Arial"/>
          <w:sz w:val="22"/>
          <w:szCs w:val="22"/>
        </w:rPr>
        <w:t>S</w:t>
      </w:r>
      <w:r w:rsidRPr="00FB2F3D">
        <w:rPr>
          <w:rFonts w:ascii="Arial" w:hAnsi="Arial" w:cs="Arial"/>
          <w:sz w:val="22"/>
          <w:szCs w:val="22"/>
        </w:rPr>
        <w:t xml:space="preserve">cheme approved by the Board of the </w:t>
      </w:r>
      <w:r w:rsidR="001923D0">
        <w:rPr>
          <w:rFonts w:ascii="Arial" w:hAnsi="Arial" w:cs="Arial"/>
          <w:sz w:val="22"/>
          <w:szCs w:val="22"/>
        </w:rPr>
        <w:t>Listed</w:t>
      </w:r>
      <w:r w:rsidR="00222FEC" w:rsidRPr="00FB2F3D">
        <w:rPr>
          <w:rFonts w:ascii="Arial" w:hAnsi="Arial" w:cs="Arial"/>
          <w:sz w:val="22"/>
          <w:szCs w:val="22"/>
        </w:rPr>
        <w:t xml:space="preserve"> Entity</w:t>
      </w:r>
      <w:r w:rsidRPr="00FB2F3D">
        <w:rPr>
          <w:rFonts w:ascii="Arial" w:hAnsi="Arial" w:cs="Arial"/>
          <w:sz w:val="22"/>
          <w:szCs w:val="22"/>
        </w:rPr>
        <w:t xml:space="preserve">; </w:t>
      </w:r>
    </w:p>
    <w:p w14:paraId="68BB4F7E" w14:textId="77777777" w:rsidR="00A24ED4" w:rsidRPr="00FB2F3D" w:rsidRDefault="00162E0C" w:rsidP="005D462F">
      <w:pPr>
        <w:pStyle w:val="Heading4"/>
        <w:rPr>
          <w:rFonts w:ascii="Arial" w:hAnsi="Arial" w:cs="Arial"/>
          <w:sz w:val="22"/>
          <w:szCs w:val="22"/>
        </w:rPr>
      </w:pPr>
      <w:r w:rsidRPr="00FB2F3D">
        <w:rPr>
          <w:rFonts w:ascii="Arial" w:hAnsi="Arial" w:cs="Arial"/>
          <w:sz w:val="22"/>
          <w:szCs w:val="22"/>
        </w:rPr>
        <w:t xml:space="preserve">where it involves the issue of new </w:t>
      </w:r>
      <w:r w:rsidR="004B46BD" w:rsidRPr="00FB2F3D">
        <w:rPr>
          <w:rFonts w:ascii="Arial" w:hAnsi="Arial" w:cs="Arial"/>
          <w:sz w:val="22"/>
          <w:szCs w:val="22"/>
        </w:rPr>
        <w:t>Securities</w:t>
      </w:r>
      <w:r w:rsidRPr="00FB2F3D">
        <w:rPr>
          <w:rFonts w:ascii="Arial" w:hAnsi="Arial" w:cs="Arial"/>
          <w:sz w:val="22"/>
          <w:szCs w:val="22"/>
        </w:rPr>
        <w:t xml:space="preserve"> for </w:t>
      </w:r>
      <w:r w:rsidR="00EE4C51" w:rsidRPr="00FB2F3D">
        <w:rPr>
          <w:rFonts w:ascii="Arial" w:hAnsi="Arial" w:cs="Arial"/>
          <w:sz w:val="22"/>
          <w:szCs w:val="22"/>
        </w:rPr>
        <w:t>cash</w:t>
      </w:r>
      <w:r w:rsidRPr="00FB2F3D">
        <w:rPr>
          <w:rFonts w:ascii="Arial" w:hAnsi="Arial" w:cs="Arial"/>
          <w:sz w:val="22"/>
          <w:szCs w:val="22"/>
        </w:rPr>
        <w:t xml:space="preserve"> or pursuant to the exercise of conversion or subscription rights attaching to </w:t>
      </w:r>
      <w:r w:rsidR="004B46BD" w:rsidRPr="00FB2F3D">
        <w:rPr>
          <w:rFonts w:ascii="Arial" w:hAnsi="Arial" w:cs="Arial"/>
          <w:sz w:val="22"/>
          <w:szCs w:val="22"/>
        </w:rPr>
        <w:t>Securities</w:t>
      </w:r>
      <w:r w:rsidRPr="00FB2F3D">
        <w:rPr>
          <w:rFonts w:ascii="Arial" w:hAnsi="Arial" w:cs="Arial"/>
          <w:sz w:val="22"/>
          <w:szCs w:val="22"/>
        </w:rPr>
        <w:t xml:space="preserve"> issued to existing Shareholders where the </w:t>
      </w:r>
      <w:r w:rsidR="004B46BD" w:rsidRPr="00FB2F3D">
        <w:rPr>
          <w:rFonts w:ascii="Arial" w:hAnsi="Arial" w:cs="Arial"/>
          <w:sz w:val="22"/>
          <w:szCs w:val="22"/>
        </w:rPr>
        <w:t>Securities</w:t>
      </w:r>
      <w:r w:rsidRPr="00FB2F3D">
        <w:rPr>
          <w:rFonts w:ascii="Arial" w:hAnsi="Arial" w:cs="Arial"/>
          <w:sz w:val="22"/>
          <w:szCs w:val="22"/>
        </w:rPr>
        <w:t xml:space="preserve"> are traded on a Recognised </w:t>
      </w:r>
      <w:r w:rsidR="005D462F" w:rsidRPr="00FB2F3D">
        <w:rPr>
          <w:rFonts w:ascii="Arial" w:hAnsi="Arial" w:cs="Arial"/>
          <w:sz w:val="22"/>
          <w:szCs w:val="22"/>
        </w:rPr>
        <w:t>Investment Exchange</w:t>
      </w:r>
      <w:r w:rsidRPr="00FB2F3D">
        <w:rPr>
          <w:rFonts w:ascii="Arial" w:hAnsi="Arial" w:cs="Arial"/>
          <w:sz w:val="22"/>
          <w:szCs w:val="22"/>
        </w:rPr>
        <w:t xml:space="preserve"> or a Regulated Exchange</w:t>
      </w:r>
      <w:r w:rsidR="00A24ED4" w:rsidRPr="00FB2F3D">
        <w:rPr>
          <w:rFonts w:ascii="Arial" w:hAnsi="Arial" w:cs="Arial"/>
          <w:sz w:val="22"/>
          <w:szCs w:val="22"/>
        </w:rPr>
        <w:t xml:space="preserve">; </w:t>
      </w:r>
    </w:p>
    <w:p w14:paraId="74E57C52" w14:textId="77777777" w:rsidR="00A24ED4" w:rsidRPr="00FB2F3D" w:rsidRDefault="00A24ED4" w:rsidP="00C44814">
      <w:pPr>
        <w:pStyle w:val="Heading4"/>
        <w:rPr>
          <w:rFonts w:ascii="Arial" w:hAnsi="Arial" w:cs="Arial"/>
          <w:sz w:val="22"/>
          <w:szCs w:val="22"/>
        </w:rPr>
      </w:pPr>
      <w:r w:rsidRPr="00FB2F3D">
        <w:rPr>
          <w:rFonts w:ascii="Arial" w:hAnsi="Arial" w:cs="Arial"/>
          <w:sz w:val="22"/>
          <w:szCs w:val="22"/>
        </w:rPr>
        <w:t xml:space="preserve">where </w:t>
      </w:r>
      <w:r w:rsidR="00461EF3" w:rsidRPr="00FB2F3D">
        <w:rPr>
          <w:rFonts w:ascii="Arial" w:hAnsi="Arial" w:cs="Arial"/>
          <w:sz w:val="22"/>
          <w:szCs w:val="22"/>
        </w:rPr>
        <w:t>its</w:t>
      </w:r>
      <w:r w:rsidRPr="00FB2F3D">
        <w:rPr>
          <w:rFonts w:ascii="Arial" w:hAnsi="Arial" w:cs="Arial"/>
          <w:sz w:val="22"/>
          <w:szCs w:val="22"/>
        </w:rPr>
        <w:t xml:space="preserve"> terms were agreed before any Person became a Related Party;</w:t>
      </w:r>
    </w:p>
    <w:p w14:paraId="22DF570B" w14:textId="1EB1331A" w:rsidR="00A24ED4" w:rsidRPr="00FB2F3D" w:rsidRDefault="00A042E0" w:rsidP="00C44814">
      <w:pPr>
        <w:pStyle w:val="Heading4"/>
        <w:rPr>
          <w:rFonts w:ascii="Arial" w:hAnsi="Arial" w:cs="Arial"/>
          <w:sz w:val="22"/>
          <w:szCs w:val="22"/>
        </w:rPr>
      </w:pPr>
      <w:r w:rsidRPr="00FB2F3D">
        <w:rPr>
          <w:rFonts w:ascii="Arial" w:hAnsi="Arial" w:cs="Arial"/>
          <w:sz w:val="22"/>
          <w:szCs w:val="22"/>
        </w:rPr>
        <w:t xml:space="preserve">where it </w:t>
      </w:r>
      <w:r w:rsidR="00A24ED4" w:rsidRPr="00FB2F3D">
        <w:rPr>
          <w:rFonts w:ascii="Arial" w:hAnsi="Arial" w:cs="Arial"/>
          <w:sz w:val="22"/>
          <w:szCs w:val="22"/>
        </w:rPr>
        <w:t>involves a grant of credit</w:t>
      </w:r>
      <w:r w:rsidR="001B6F10">
        <w:rPr>
          <w:rFonts w:ascii="Arial" w:hAnsi="Arial" w:cs="Arial"/>
          <w:sz w:val="22"/>
          <w:szCs w:val="22"/>
        </w:rPr>
        <w:t>,</w:t>
      </w:r>
      <w:r w:rsidR="00A24ED4" w:rsidRPr="00FB2F3D">
        <w:rPr>
          <w:rFonts w:ascii="Arial" w:hAnsi="Arial" w:cs="Arial"/>
          <w:sz w:val="22"/>
          <w:szCs w:val="22"/>
        </w:rPr>
        <w:t xml:space="preserve"> including the lending of money or the guaranteeing of a loan</w:t>
      </w:r>
      <w:r w:rsidR="001B6F10">
        <w:rPr>
          <w:rFonts w:ascii="Arial" w:hAnsi="Arial" w:cs="Arial"/>
          <w:sz w:val="22"/>
          <w:szCs w:val="22"/>
        </w:rPr>
        <w:t>,</w:t>
      </w:r>
      <w:r w:rsidR="00A24ED4" w:rsidRPr="00FB2F3D">
        <w:rPr>
          <w:rFonts w:ascii="Arial" w:hAnsi="Arial" w:cs="Arial"/>
          <w:sz w:val="22"/>
          <w:szCs w:val="22"/>
        </w:rPr>
        <w:t xml:space="preserve"> to:</w:t>
      </w:r>
    </w:p>
    <w:p w14:paraId="6D1B0135" w14:textId="77777777" w:rsidR="00A24ED4" w:rsidRPr="00FB2F3D" w:rsidRDefault="00A24ED4" w:rsidP="00C44814">
      <w:pPr>
        <w:pStyle w:val="Heading5"/>
        <w:rPr>
          <w:rFonts w:ascii="Arial" w:hAnsi="Arial" w:cs="Arial"/>
          <w:sz w:val="22"/>
          <w:szCs w:val="22"/>
        </w:rPr>
      </w:pPr>
      <w:r w:rsidRPr="00FB2F3D">
        <w:rPr>
          <w:rFonts w:ascii="Arial" w:hAnsi="Arial" w:cs="Arial"/>
          <w:sz w:val="22"/>
          <w:szCs w:val="22"/>
        </w:rPr>
        <w:t xml:space="preserve">the Related Party on normal commercial terms; </w:t>
      </w:r>
    </w:p>
    <w:p w14:paraId="400A41A5" w14:textId="70311740" w:rsidR="00A24ED4" w:rsidRPr="00FB2F3D" w:rsidRDefault="00A24ED4" w:rsidP="00C44814">
      <w:pPr>
        <w:pStyle w:val="Heading5"/>
        <w:rPr>
          <w:rFonts w:ascii="Arial" w:hAnsi="Arial" w:cs="Arial"/>
          <w:sz w:val="22"/>
          <w:szCs w:val="22"/>
        </w:rPr>
      </w:pPr>
      <w:r w:rsidRPr="00FB2F3D">
        <w:rPr>
          <w:rFonts w:ascii="Arial" w:hAnsi="Arial" w:cs="Arial"/>
          <w:sz w:val="22"/>
          <w:szCs w:val="22"/>
        </w:rPr>
        <w:t xml:space="preserve">a Director of the </w:t>
      </w:r>
      <w:r w:rsidR="001B6F10">
        <w:rPr>
          <w:rFonts w:ascii="Arial" w:hAnsi="Arial" w:cs="Arial"/>
          <w:sz w:val="22"/>
          <w:szCs w:val="22"/>
        </w:rPr>
        <w:t>Listed</w:t>
      </w:r>
      <w:r w:rsidRPr="00FB2F3D">
        <w:rPr>
          <w:rFonts w:ascii="Arial" w:hAnsi="Arial" w:cs="Arial"/>
          <w:sz w:val="22"/>
          <w:szCs w:val="22"/>
        </w:rPr>
        <w:t xml:space="preserve"> Entity or a member of its Group for an amount and on terms no more favourable than tho</w:t>
      </w:r>
      <w:r w:rsidR="00A042E0" w:rsidRPr="00FB2F3D">
        <w:rPr>
          <w:rFonts w:ascii="Arial" w:hAnsi="Arial" w:cs="Arial"/>
          <w:sz w:val="22"/>
          <w:szCs w:val="22"/>
        </w:rPr>
        <w:t>se offered to employees of the G</w:t>
      </w:r>
      <w:r w:rsidRPr="00FB2F3D">
        <w:rPr>
          <w:rFonts w:ascii="Arial" w:hAnsi="Arial" w:cs="Arial"/>
          <w:sz w:val="22"/>
          <w:szCs w:val="22"/>
        </w:rPr>
        <w:t xml:space="preserve">roup generally; or </w:t>
      </w:r>
    </w:p>
    <w:p w14:paraId="6485264A" w14:textId="77777777" w:rsidR="00A24ED4" w:rsidRPr="00FB2F3D" w:rsidRDefault="00A24ED4" w:rsidP="00C44814">
      <w:pPr>
        <w:pStyle w:val="Heading5"/>
        <w:rPr>
          <w:rFonts w:ascii="Arial" w:hAnsi="Arial" w:cs="Arial"/>
          <w:sz w:val="22"/>
          <w:szCs w:val="22"/>
        </w:rPr>
      </w:pPr>
      <w:r w:rsidRPr="00FB2F3D">
        <w:rPr>
          <w:rFonts w:ascii="Arial" w:hAnsi="Arial" w:cs="Arial"/>
          <w:sz w:val="22"/>
          <w:szCs w:val="22"/>
        </w:rPr>
        <w:t>by the Related Party on normal commercial terms and on an unsecured basis</w:t>
      </w:r>
      <w:r w:rsidR="00A042E0" w:rsidRPr="00FB2F3D">
        <w:rPr>
          <w:rFonts w:ascii="Arial" w:hAnsi="Arial" w:cs="Arial"/>
          <w:sz w:val="22"/>
          <w:szCs w:val="22"/>
        </w:rPr>
        <w:t xml:space="preserve">; </w:t>
      </w:r>
    </w:p>
    <w:p w14:paraId="631ACC6F" w14:textId="27C2C4BE" w:rsidR="007E5B0A" w:rsidRPr="00FB2F3D" w:rsidRDefault="00A042E0" w:rsidP="00C44814">
      <w:pPr>
        <w:pStyle w:val="Heading4"/>
        <w:rPr>
          <w:rFonts w:ascii="Arial" w:hAnsi="Arial" w:cs="Arial"/>
          <w:sz w:val="22"/>
          <w:szCs w:val="22"/>
        </w:rPr>
      </w:pPr>
      <w:r w:rsidRPr="00FB2F3D">
        <w:rPr>
          <w:rFonts w:ascii="Arial" w:hAnsi="Arial" w:cs="Arial"/>
          <w:sz w:val="22"/>
          <w:szCs w:val="22"/>
        </w:rPr>
        <w:t xml:space="preserve">where it </w:t>
      </w:r>
      <w:r w:rsidR="00A24ED4" w:rsidRPr="00FB2F3D">
        <w:rPr>
          <w:rFonts w:ascii="Arial" w:hAnsi="Arial" w:cs="Arial"/>
          <w:sz w:val="22"/>
          <w:szCs w:val="22"/>
        </w:rPr>
        <w:t xml:space="preserve">involves granting an indemnity </w:t>
      </w:r>
      <w:r w:rsidR="007E5B0A" w:rsidRPr="00FB2F3D">
        <w:rPr>
          <w:rFonts w:ascii="Arial" w:hAnsi="Arial" w:cs="Arial"/>
          <w:sz w:val="22"/>
          <w:szCs w:val="22"/>
        </w:rPr>
        <w:t xml:space="preserve">to or maintaining a </w:t>
      </w:r>
      <w:r w:rsidR="00F74F1E" w:rsidRPr="00FB2F3D">
        <w:rPr>
          <w:rFonts w:ascii="Arial" w:hAnsi="Arial" w:cs="Arial"/>
          <w:sz w:val="22"/>
          <w:szCs w:val="22"/>
        </w:rPr>
        <w:t>C</w:t>
      </w:r>
      <w:r w:rsidR="007E5B0A" w:rsidRPr="00FB2F3D">
        <w:rPr>
          <w:rFonts w:ascii="Arial" w:hAnsi="Arial" w:cs="Arial"/>
          <w:sz w:val="22"/>
          <w:szCs w:val="22"/>
        </w:rPr>
        <w:t xml:space="preserve">ontract of </w:t>
      </w:r>
      <w:r w:rsidR="00F74F1E" w:rsidRPr="00FB2F3D">
        <w:rPr>
          <w:rFonts w:ascii="Arial" w:hAnsi="Arial" w:cs="Arial"/>
          <w:sz w:val="22"/>
          <w:szCs w:val="22"/>
        </w:rPr>
        <w:t>I</w:t>
      </w:r>
      <w:r w:rsidR="007E5B0A" w:rsidRPr="00FB2F3D">
        <w:rPr>
          <w:rFonts w:ascii="Arial" w:hAnsi="Arial" w:cs="Arial"/>
          <w:sz w:val="22"/>
          <w:szCs w:val="22"/>
        </w:rPr>
        <w:t>nsurance for a</w:t>
      </w:r>
      <w:r w:rsidR="00A24ED4" w:rsidRPr="00FB2F3D">
        <w:rPr>
          <w:rFonts w:ascii="Arial" w:hAnsi="Arial" w:cs="Arial"/>
          <w:sz w:val="22"/>
          <w:szCs w:val="22"/>
        </w:rPr>
        <w:t xml:space="preserve"> Director of the </w:t>
      </w:r>
      <w:r w:rsidR="001B6F10">
        <w:rPr>
          <w:rFonts w:ascii="Arial" w:hAnsi="Arial" w:cs="Arial"/>
          <w:sz w:val="22"/>
          <w:szCs w:val="22"/>
        </w:rPr>
        <w:t>Listed</w:t>
      </w:r>
      <w:r w:rsidR="00A24ED4" w:rsidRPr="00FB2F3D">
        <w:rPr>
          <w:rFonts w:ascii="Arial" w:hAnsi="Arial" w:cs="Arial"/>
          <w:sz w:val="22"/>
          <w:szCs w:val="22"/>
        </w:rPr>
        <w:t xml:space="preserve"> Entity or a member of its Group</w:t>
      </w:r>
      <w:r w:rsidR="007E5B0A" w:rsidRPr="00FB2F3D">
        <w:rPr>
          <w:rFonts w:ascii="Arial" w:hAnsi="Arial" w:cs="Arial"/>
          <w:sz w:val="22"/>
          <w:szCs w:val="22"/>
        </w:rPr>
        <w:t>;</w:t>
      </w:r>
    </w:p>
    <w:p w14:paraId="16219937" w14:textId="6D11AF90" w:rsidR="007E5B0A" w:rsidRPr="00FB2F3D" w:rsidRDefault="00A042E0" w:rsidP="00C44814">
      <w:pPr>
        <w:pStyle w:val="Heading4"/>
        <w:rPr>
          <w:rFonts w:ascii="Arial" w:hAnsi="Arial" w:cs="Arial"/>
          <w:sz w:val="22"/>
          <w:szCs w:val="22"/>
        </w:rPr>
      </w:pPr>
      <w:r w:rsidRPr="00FB2F3D">
        <w:rPr>
          <w:rFonts w:ascii="Arial" w:hAnsi="Arial" w:cs="Arial"/>
          <w:sz w:val="22"/>
          <w:szCs w:val="22"/>
        </w:rPr>
        <w:lastRenderedPageBreak/>
        <w:t>where it</w:t>
      </w:r>
      <w:r w:rsidR="007E5B0A" w:rsidRPr="00FB2F3D">
        <w:rPr>
          <w:rFonts w:ascii="Arial" w:hAnsi="Arial" w:cs="Arial"/>
          <w:sz w:val="22"/>
          <w:szCs w:val="22"/>
        </w:rPr>
        <w:t xml:space="preserve"> involves underwriting by a Related Party of Securities</w:t>
      </w:r>
      <w:r w:rsidR="00461EF3" w:rsidRPr="00FB2F3D">
        <w:rPr>
          <w:rFonts w:ascii="Arial" w:hAnsi="Arial" w:cs="Arial"/>
          <w:sz w:val="22"/>
          <w:szCs w:val="22"/>
        </w:rPr>
        <w:t xml:space="preserve"> issued</w:t>
      </w:r>
      <w:r w:rsidR="007E5B0A" w:rsidRPr="00FB2F3D">
        <w:rPr>
          <w:rFonts w:ascii="Arial" w:hAnsi="Arial" w:cs="Arial"/>
          <w:sz w:val="22"/>
          <w:szCs w:val="22"/>
        </w:rPr>
        <w:t xml:space="preserve"> by the </w:t>
      </w:r>
      <w:r w:rsidR="001B6F10">
        <w:rPr>
          <w:rFonts w:ascii="Arial" w:hAnsi="Arial" w:cs="Arial"/>
          <w:sz w:val="22"/>
          <w:szCs w:val="22"/>
        </w:rPr>
        <w:t>Listed</w:t>
      </w:r>
      <w:r w:rsidR="007E5B0A" w:rsidRPr="00FB2F3D">
        <w:rPr>
          <w:rFonts w:ascii="Arial" w:hAnsi="Arial" w:cs="Arial"/>
          <w:sz w:val="22"/>
          <w:szCs w:val="22"/>
        </w:rPr>
        <w:t xml:space="preserve"> Entity or a member of its Group if the consideration to be paid for the underwriting is no more than the usual commercial underwriting consideration and is the same as that to be paid to the other underwriters</w:t>
      </w:r>
      <w:r w:rsidR="001B6F10">
        <w:rPr>
          <w:rFonts w:ascii="Arial" w:hAnsi="Arial" w:cs="Arial"/>
          <w:sz w:val="22"/>
          <w:szCs w:val="22"/>
        </w:rPr>
        <w:t xml:space="preserve">, </w:t>
      </w:r>
      <w:r w:rsidR="007E5B0A" w:rsidRPr="00FB2F3D">
        <w:rPr>
          <w:rFonts w:ascii="Arial" w:hAnsi="Arial" w:cs="Arial"/>
          <w:sz w:val="22"/>
          <w:szCs w:val="22"/>
        </w:rPr>
        <w:t>if any</w:t>
      </w:r>
      <w:r w:rsidR="00461EF3" w:rsidRPr="00FB2F3D">
        <w:rPr>
          <w:rFonts w:ascii="Arial" w:hAnsi="Arial" w:cs="Arial"/>
          <w:sz w:val="22"/>
          <w:szCs w:val="22"/>
        </w:rPr>
        <w:t xml:space="preserve">, </w:t>
      </w:r>
      <w:r w:rsidR="001B6F10">
        <w:rPr>
          <w:rFonts w:ascii="Arial" w:hAnsi="Arial" w:cs="Arial"/>
          <w:sz w:val="22"/>
          <w:szCs w:val="22"/>
        </w:rPr>
        <w:t>other than where</w:t>
      </w:r>
      <w:r w:rsidR="00461EF3" w:rsidRPr="00FB2F3D">
        <w:rPr>
          <w:rFonts w:ascii="Arial" w:hAnsi="Arial" w:cs="Arial"/>
          <w:sz w:val="22"/>
          <w:szCs w:val="22"/>
        </w:rPr>
        <w:t xml:space="preserve"> the Related Party is underwriting Securities it is entitled to take up as part of the issuance</w:t>
      </w:r>
      <w:r w:rsidR="007E5B0A" w:rsidRPr="00FB2F3D">
        <w:rPr>
          <w:rFonts w:ascii="Arial" w:hAnsi="Arial" w:cs="Arial"/>
          <w:sz w:val="22"/>
          <w:szCs w:val="22"/>
        </w:rPr>
        <w:t xml:space="preserve">; </w:t>
      </w:r>
      <w:r w:rsidR="0067268A" w:rsidRPr="00FB2F3D">
        <w:rPr>
          <w:rFonts w:ascii="Arial" w:hAnsi="Arial" w:cs="Arial"/>
          <w:sz w:val="22"/>
          <w:szCs w:val="22"/>
        </w:rPr>
        <w:t>or</w:t>
      </w:r>
    </w:p>
    <w:p w14:paraId="21FF931F" w14:textId="0FBDBE09" w:rsidR="00A042E0" w:rsidRPr="00FB2F3D" w:rsidRDefault="00A042E0" w:rsidP="00C44814">
      <w:pPr>
        <w:pStyle w:val="Heading4"/>
        <w:rPr>
          <w:rFonts w:ascii="Arial" w:hAnsi="Arial" w:cs="Arial"/>
          <w:sz w:val="22"/>
          <w:szCs w:val="22"/>
        </w:rPr>
      </w:pPr>
      <w:r w:rsidRPr="00FB2F3D">
        <w:rPr>
          <w:rFonts w:ascii="Arial" w:hAnsi="Arial" w:cs="Arial"/>
          <w:sz w:val="22"/>
          <w:szCs w:val="22"/>
        </w:rPr>
        <w:t>where it</w:t>
      </w:r>
      <w:r w:rsidR="007E5B0A" w:rsidRPr="00FB2F3D">
        <w:rPr>
          <w:rFonts w:ascii="Arial" w:hAnsi="Arial" w:cs="Arial"/>
          <w:sz w:val="22"/>
          <w:szCs w:val="22"/>
        </w:rPr>
        <w:t xml:space="preserve"> involves a joint investment arrangement between the </w:t>
      </w:r>
      <w:r w:rsidR="001B6F10">
        <w:rPr>
          <w:rFonts w:ascii="Arial" w:hAnsi="Arial" w:cs="Arial"/>
          <w:sz w:val="22"/>
          <w:szCs w:val="22"/>
        </w:rPr>
        <w:t>Listed</w:t>
      </w:r>
      <w:r w:rsidR="007E5B0A" w:rsidRPr="00FB2F3D">
        <w:rPr>
          <w:rFonts w:ascii="Arial" w:hAnsi="Arial" w:cs="Arial"/>
          <w:sz w:val="22"/>
          <w:szCs w:val="22"/>
        </w:rPr>
        <w:t xml:space="preserve"> Entity (or a member of its Group) and a Related Party for each to invest in, or provide finance to, </w:t>
      </w:r>
      <w:r w:rsidRPr="00FB2F3D">
        <w:rPr>
          <w:rFonts w:ascii="Arial" w:hAnsi="Arial" w:cs="Arial"/>
          <w:sz w:val="22"/>
          <w:szCs w:val="22"/>
        </w:rPr>
        <w:t>another undertaking or asset if:</w:t>
      </w:r>
    </w:p>
    <w:p w14:paraId="64BBD251" w14:textId="668926B8" w:rsidR="00A042E0" w:rsidRPr="00FB2F3D" w:rsidRDefault="007E5B0A" w:rsidP="00C44814">
      <w:pPr>
        <w:pStyle w:val="Heading5"/>
        <w:rPr>
          <w:rFonts w:ascii="Arial" w:hAnsi="Arial" w:cs="Arial"/>
          <w:sz w:val="22"/>
          <w:szCs w:val="22"/>
        </w:rPr>
      </w:pPr>
      <w:r w:rsidRPr="00FB2F3D">
        <w:rPr>
          <w:rFonts w:ascii="Arial" w:hAnsi="Arial" w:cs="Arial"/>
          <w:sz w:val="22"/>
          <w:szCs w:val="22"/>
        </w:rPr>
        <w:t xml:space="preserve">the amount </w:t>
      </w:r>
      <w:r w:rsidR="00A042E0" w:rsidRPr="00FB2F3D">
        <w:rPr>
          <w:rFonts w:ascii="Arial" w:hAnsi="Arial" w:cs="Arial"/>
          <w:sz w:val="22"/>
          <w:szCs w:val="22"/>
        </w:rPr>
        <w:t xml:space="preserve">contributed </w:t>
      </w:r>
      <w:r w:rsidRPr="00FB2F3D">
        <w:rPr>
          <w:rFonts w:ascii="Arial" w:hAnsi="Arial" w:cs="Arial"/>
          <w:sz w:val="22"/>
          <w:szCs w:val="22"/>
        </w:rPr>
        <w:t xml:space="preserve">by the Related Party is not more than 25% of the amount </w:t>
      </w:r>
      <w:r w:rsidR="00A042E0" w:rsidRPr="00FB2F3D">
        <w:rPr>
          <w:rFonts w:ascii="Arial" w:hAnsi="Arial" w:cs="Arial"/>
          <w:sz w:val="22"/>
          <w:szCs w:val="22"/>
        </w:rPr>
        <w:t>contributed</w:t>
      </w:r>
      <w:r w:rsidRPr="00FB2F3D">
        <w:rPr>
          <w:rFonts w:ascii="Arial" w:hAnsi="Arial" w:cs="Arial"/>
          <w:sz w:val="22"/>
          <w:szCs w:val="22"/>
        </w:rPr>
        <w:t xml:space="preserve"> by the </w:t>
      </w:r>
      <w:r w:rsidR="001B6F10">
        <w:rPr>
          <w:rFonts w:ascii="Arial" w:hAnsi="Arial" w:cs="Arial"/>
          <w:sz w:val="22"/>
          <w:szCs w:val="22"/>
        </w:rPr>
        <w:t>Listed</w:t>
      </w:r>
      <w:r w:rsidRPr="00FB2F3D">
        <w:rPr>
          <w:rFonts w:ascii="Arial" w:hAnsi="Arial" w:cs="Arial"/>
          <w:sz w:val="22"/>
          <w:szCs w:val="22"/>
        </w:rPr>
        <w:t xml:space="preserve"> Entity (or a member of its Group)</w:t>
      </w:r>
      <w:r w:rsidR="00A042E0" w:rsidRPr="00FB2F3D">
        <w:rPr>
          <w:rFonts w:ascii="Arial" w:hAnsi="Arial" w:cs="Arial"/>
          <w:sz w:val="22"/>
          <w:szCs w:val="22"/>
        </w:rPr>
        <w:t>; and</w:t>
      </w:r>
    </w:p>
    <w:p w14:paraId="14806743" w14:textId="17399BE9" w:rsidR="00162E0C" w:rsidRPr="00FB2F3D" w:rsidRDefault="007E5B0A" w:rsidP="00C44814">
      <w:pPr>
        <w:pStyle w:val="Heading5"/>
        <w:rPr>
          <w:rFonts w:ascii="Arial" w:hAnsi="Arial" w:cs="Arial"/>
          <w:sz w:val="22"/>
          <w:szCs w:val="22"/>
        </w:rPr>
      </w:pPr>
      <w:r w:rsidRPr="00FB2F3D">
        <w:rPr>
          <w:rFonts w:ascii="Arial" w:hAnsi="Arial" w:cs="Arial"/>
          <w:sz w:val="22"/>
          <w:szCs w:val="22"/>
        </w:rPr>
        <w:t xml:space="preserve">an independent third party has provided a </w:t>
      </w:r>
      <w:r w:rsidR="00461EF3" w:rsidRPr="00FB2F3D">
        <w:rPr>
          <w:rFonts w:ascii="Arial" w:hAnsi="Arial" w:cs="Arial"/>
          <w:sz w:val="22"/>
          <w:szCs w:val="22"/>
        </w:rPr>
        <w:t xml:space="preserve">prior </w:t>
      </w:r>
      <w:r w:rsidRPr="00FB2F3D">
        <w:rPr>
          <w:rFonts w:ascii="Arial" w:hAnsi="Arial" w:cs="Arial"/>
          <w:sz w:val="22"/>
          <w:szCs w:val="22"/>
        </w:rPr>
        <w:t xml:space="preserve">written opinion that the terms and circumstances of </w:t>
      </w:r>
      <w:r w:rsidR="00A042E0" w:rsidRPr="00FB2F3D">
        <w:rPr>
          <w:rFonts w:ascii="Arial" w:hAnsi="Arial" w:cs="Arial"/>
          <w:sz w:val="22"/>
          <w:szCs w:val="22"/>
        </w:rPr>
        <w:t>the contribution</w:t>
      </w:r>
      <w:r w:rsidRPr="00FB2F3D">
        <w:rPr>
          <w:rFonts w:ascii="Arial" w:hAnsi="Arial" w:cs="Arial"/>
          <w:sz w:val="22"/>
          <w:szCs w:val="22"/>
        </w:rPr>
        <w:t xml:space="preserve"> </w:t>
      </w:r>
      <w:r w:rsidR="00A042E0" w:rsidRPr="00FB2F3D">
        <w:rPr>
          <w:rFonts w:ascii="Arial" w:hAnsi="Arial" w:cs="Arial"/>
          <w:sz w:val="22"/>
          <w:szCs w:val="22"/>
        </w:rPr>
        <w:t xml:space="preserve">of finance </w:t>
      </w:r>
      <w:r w:rsidRPr="00FB2F3D">
        <w:rPr>
          <w:rFonts w:ascii="Arial" w:hAnsi="Arial" w:cs="Arial"/>
          <w:sz w:val="22"/>
          <w:szCs w:val="22"/>
        </w:rPr>
        <w:t xml:space="preserve">by the </w:t>
      </w:r>
      <w:r w:rsidR="00BC45C6">
        <w:rPr>
          <w:rFonts w:ascii="Arial" w:hAnsi="Arial" w:cs="Arial"/>
          <w:sz w:val="22"/>
          <w:szCs w:val="22"/>
        </w:rPr>
        <w:t xml:space="preserve">Listed </w:t>
      </w:r>
      <w:r w:rsidRPr="00FB2F3D">
        <w:rPr>
          <w:rFonts w:ascii="Arial" w:hAnsi="Arial" w:cs="Arial"/>
          <w:sz w:val="22"/>
          <w:szCs w:val="22"/>
        </w:rPr>
        <w:t xml:space="preserve">Entity or a member of its Group are no less favourable than those applying to the </w:t>
      </w:r>
      <w:r w:rsidR="00A042E0" w:rsidRPr="00FB2F3D">
        <w:rPr>
          <w:rFonts w:ascii="Arial" w:hAnsi="Arial" w:cs="Arial"/>
          <w:sz w:val="22"/>
          <w:szCs w:val="22"/>
        </w:rPr>
        <w:t>contribution</w:t>
      </w:r>
      <w:r w:rsidRPr="00FB2F3D">
        <w:rPr>
          <w:rFonts w:ascii="Arial" w:hAnsi="Arial" w:cs="Arial"/>
          <w:sz w:val="22"/>
          <w:szCs w:val="22"/>
        </w:rPr>
        <w:t xml:space="preserve"> </w:t>
      </w:r>
      <w:r w:rsidR="00A042E0" w:rsidRPr="00FB2F3D">
        <w:rPr>
          <w:rFonts w:ascii="Arial" w:hAnsi="Arial" w:cs="Arial"/>
          <w:sz w:val="22"/>
          <w:szCs w:val="22"/>
        </w:rPr>
        <w:t xml:space="preserve">of finance </w:t>
      </w:r>
      <w:r w:rsidRPr="00FB2F3D">
        <w:rPr>
          <w:rFonts w:ascii="Arial" w:hAnsi="Arial" w:cs="Arial"/>
          <w:sz w:val="22"/>
          <w:szCs w:val="22"/>
        </w:rPr>
        <w:t>by the Related Party</w:t>
      </w:r>
      <w:r w:rsidR="0067268A" w:rsidRPr="00FB2F3D">
        <w:rPr>
          <w:rFonts w:ascii="Arial" w:hAnsi="Arial" w:cs="Arial"/>
          <w:sz w:val="22"/>
          <w:szCs w:val="22"/>
        </w:rPr>
        <w:t>.</w:t>
      </w:r>
    </w:p>
    <w:p w14:paraId="1D063628" w14:textId="77777777" w:rsidR="00A24ED4" w:rsidRPr="00FB2F3D" w:rsidRDefault="00A24ED4" w:rsidP="00A24ED4">
      <w:pPr>
        <w:pStyle w:val="TitleL"/>
        <w:rPr>
          <w:rFonts w:ascii="Arial" w:hAnsi="Arial" w:cs="Arial"/>
          <w:sz w:val="22"/>
          <w:szCs w:val="22"/>
        </w:rPr>
      </w:pPr>
      <w:r w:rsidRPr="00FB2F3D">
        <w:rPr>
          <w:rFonts w:ascii="Arial" w:hAnsi="Arial" w:cs="Arial"/>
          <w:sz w:val="22"/>
          <w:szCs w:val="22"/>
        </w:rPr>
        <w:t>Guidance</w:t>
      </w:r>
    </w:p>
    <w:p w14:paraId="12585495" w14:textId="0FEB5DA1" w:rsidR="00A24ED4" w:rsidRDefault="00A24ED4" w:rsidP="00A20C1D">
      <w:pPr>
        <w:pStyle w:val="UK12Block05"/>
        <w:rPr>
          <w:rFonts w:ascii="Arial" w:hAnsi="Arial" w:cs="Arial"/>
          <w:sz w:val="22"/>
          <w:szCs w:val="22"/>
        </w:rPr>
      </w:pPr>
      <w:r w:rsidRPr="00FB2F3D">
        <w:rPr>
          <w:rFonts w:ascii="Arial" w:hAnsi="Arial" w:cs="Arial"/>
          <w:sz w:val="22"/>
          <w:szCs w:val="22"/>
        </w:rPr>
        <w:t xml:space="preserve">In assessing whether a transaction is in the ordinary course of business, the </w:t>
      </w:r>
      <w:r w:rsidR="00BC45C6">
        <w:rPr>
          <w:rFonts w:ascii="Arial" w:hAnsi="Arial" w:cs="Arial"/>
          <w:sz w:val="22"/>
          <w:szCs w:val="22"/>
        </w:rPr>
        <w:t>Listed</w:t>
      </w:r>
      <w:r w:rsidRPr="00FB2F3D">
        <w:rPr>
          <w:rFonts w:ascii="Arial" w:hAnsi="Arial" w:cs="Arial"/>
          <w:sz w:val="22"/>
          <w:szCs w:val="22"/>
        </w:rPr>
        <w:t xml:space="preserve"> Entity shall have regard to the size and incidence of the transaction and also whether the terms and conditions of the transaction are unusual. </w:t>
      </w:r>
    </w:p>
    <w:p w14:paraId="4DDE7CF9" w14:textId="66D54621" w:rsidR="00BC45C6" w:rsidRPr="00BC45C6" w:rsidRDefault="00BC45C6" w:rsidP="00BC45C6">
      <w:pPr>
        <w:pStyle w:val="Heading2"/>
        <w:rPr>
          <w:rFonts w:ascii="Arial" w:hAnsi="Arial" w:cs="Arial"/>
          <w:sz w:val="22"/>
          <w:szCs w:val="22"/>
        </w:rPr>
      </w:pPr>
      <w:bookmarkStart w:id="793" w:name="_Toc45369680"/>
      <w:bookmarkStart w:id="794" w:name="_Toc60412622"/>
      <w:bookmarkStart w:id="795" w:name="_Toc138325708"/>
      <w:r w:rsidRPr="00BC45C6">
        <w:rPr>
          <w:rFonts w:ascii="Arial" w:hAnsi="Arial" w:cs="Arial"/>
          <w:sz w:val="22"/>
          <w:szCs w:val="22"/>
        </w:rPr>
        <w:t>Restricted Securities</w:t>
      </w:r>
      <w:bookmarkEnd w:id="793"/>
      <w:bookmarkEnd w:id="794"/>
      <w:bookmarkEnd w:id="795"/>
    </w:p>
    <w:p w14:paraId="6B6D3A91" w14:textId="77777777" w:rsidR="00BC45C6" w:rsidRPr="00BC45C6" w:rsidRDefault="00BC45C6" w:rsidP="00BC45C6">
      <w:pPr>
        <w:keepNext/>
        <w:spacing w:after="240" w:line="246" w:lineRule="atLeast"/>
        <w:ind w:left="720"/>
        <w:jc w:val="both"/>
        <w:rPr>
          <w:rFonts w:ascii="Arial" w:hAnsi="Arial" w:cs="Arial"/>
          <w:b/>
          <w:sz w:val="22"/>
          <w:szCs w:val="22"/>
        </w:rPr>
      </w:pPr>
      <w:r w:rsidRPr="00BC45C6">
        <w:rPr>
          <w:rFonts w:ascii="Arial" w:hAnsi="Arial" w:cs="Arial"/>
          <w:b/>
          <w:sz w:val="22"/>
          <w:szCs w:val="22"/>
        </w:rPr>
        <w:t>Application</w:t>
      </w:r>
    </w:p>
    <w:p w14:paraId="586CABE9" w14:textId="77777777" w:rsidR="00BC45C6" w:rsidRPr="00BC45C6" w:rsidRDefault="00BC45C6" w:rsidP="00BC45C6">
      <w:pPr>
        <w:keepNext/>
        <w:spacing w:after="240" w:line="246" w:lineRule="atLeast"/>
        <w:ind w:left="709" w:hanging="709"/>
        <w:jc w:val="both"/>
        <w:outlineLvl w:val="2"/>
        <w:rPr>
          <w:rFonts w:ascii="Arial" w:eastAsiaTheme="majorEastAsia" w:hAnsi="Arial" w:cs="Arial"/>
          <w:bCs/>
          <w:sz w:val="22"/>
          <w:szCs w:val="22"/>
        </w:rPr>
      </w:pPr>
      <w:r w:rsidRPr="00BC45C6">
        <w:rPr>
          <w:rFonts w:ascii="Arial" w:eastAsiaTheme="majorEastAsia" w:hAnsi="Arial" w:cs="Arial"/>
          <w:b/>
          <w:sz w:val="22"/>
          <w:szCs w:val="22"/>
        </w:rPr>
        <w:t>9.6.1</w:t>
      </w:r>
      <w:r w:rsidRPr="00BC45C6">
        <w:rPr>
          <w:rFonts w:ascii="Arial" w:eastAsiaTheme="majorEastAsia" w:hAnsi="Arial" w:cs="Arial"/>
          <w:bCs/>
          <w:sz w:val="22"/>
          <w:szCs w:val="22"/>
        </w:rPr>
        <w:tab/>
        <w:t>This section applies, subject to Rule 9.6.2, to:</w:t>
      </w:r>
    </w:p>
    <w:p w14:paraId="5C0BDE63"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(1)</w:t>
      </w:r>
      <w:r w:rsidRPr="00BC45C6">
        <w:rPr>
          <w:rFonts w:ascii="Arial" w:eastAsiaTheme="majorEastAsia" w:hAnsi="Arial" w:cs="Arial"/>
          <w:bCs/>
          <w:iCs/>
          <w:sz w:val="22"/>
          <w:szCs w:val="22"/>
        </w:rPr>
        <w:tab/>
        <w:t>an Applicant for admission of Securities to the Official List;</w:t>
      </w:r>
    </w:p>
    <w:p w14:paraId="4E5F6683"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(2)</w:t>
      </w:r>
      <w:r w:rsidRPr="00BC45C6">
        <w:rPr>
          <w:rFonts w:ascii="Arial" w:eastAsiaTheme="majorEastAsia" w:hAnsi="Arial" w:cs="Arial"/>
          <w:bCs/>
          <w:iCs/>
          <w:sz w:val="22"/>
          <w:szCs w:val="22"/>
        </w:rPr>
        <w:tab/>
        <w:t>a relevant Listed Entity; and</w:t>
      </w:r>
    </w:p>
    <w:p w14:paraId="3CEC94AB"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(3)</w:t>
      </w:r>
      <w:r w:rsidRPr="00BC45C6">
        <w:rPr>
          <w:rFonts w:ascii="Arial" w:eastAsiaTheme="majorEastAsia" w:hAnsi="Arial" w:cs="Arial"/>
          <w:bCs/>
          <w:iCs/>
          <w:sz w:val="22"/>
          <w:szCs w:val="22"/>
        </w:rPr>
        <w:tab/>
        <w:t>any Person that holds, or will hold, Securities that are Restricted Securities in accordance with APP 7 or which the Regulator has deemed to be Restricted Securities by giving notice to the relevant Applicant or Listed Entity.</w:t>
      </w:r>
    </w:p>
    <w:p w14:paraId="5B103F3C" w14:textId="77777777" w:rsidR="00BC45C6" w:rsidRPr="00BC45C6" w:rsidRDefault="00BC45C6" w:rsidP="00BC45C6">
      <w:pPr>
        <w:keepNext/>
        <w:spacing w:after="240" w:line="246" w:lineRule="atLeast"/>
        <w:ind w:left="720"/>
        <w:jc w:val="both"/>
        <w:rPr>
          <w:rFonts w:ascii="Arial" w:hAnsi="Arial" w:cs="Arial"/>
          <w:b/>
          <w:sz w:val="22"/>
          <w:szCs w:val="22"/>
        </w:rPr>
      </w:pPr>
      <w:r w:rsidRPr="00BC45C6">
        <w:rPr>
          <w:rFonts w:ascii="Arial" w:hAnsi="Arial" w:cs="Arial"/>
          <w:b/>
          <w:sz w:val="22"/>
          <w:szCs w:val="22"/>
        </w:rPr>
        <w:t>Entry into Restriction Agreements and Application of Restriction</w:t>
      </w:r>
    </w:p>
    <w:p w14:paraId="1956B5D8" w14:textId="77777777" w:rsidR="00BC45C6" w:rsidRPr="00BC45C6" w:rsidRDefault="00BC45C6" w:rsidP="00BC45C6">
      <w:pPr>
        <w:spacing w:after="240" w:line="246" w:lineRule="atLeast"/>
        <w:ind w:left="709" w:hanging="709"/>
        <w:jc w:val="both"/>
        <w:outlineLvl w:val="2"/>
        <w:rPr>
          <w:rFonts w:ascii="Arial" w:eastAsiaTheme="majorEastAsia" w:hAnsi="Arial" w:cs="Arial"/>
          <w:bCs/>
          <w:sz w:val="22"/>
          <w:szCs w:val="22"/>
        </w:rPr>
      </w:pPr>
      <w:r w:rsidRPr="00BC45C6">
        <w:rPr>
          <w:rFonts w:ascii="Arial" w:eastAsiaTheme="majorEastAsia" w:hAnsi="Arial" w:cs="Arial"/>
          <w:b/>
          <w:sz w:val="22"/>
          <w:szCs w:val="22"/>
        </w:rPr>
        <w:t>9.6.2</w:t>
      </w:r>
      <w:r w:rsidRPr="00BC45C6">
        <w:rPr>
          <w:rFonts w:ascii="Arial" w:eastAsiaTheme="majorEastAsia" w:hAnsi="Arial" w:cs="Arial"/>
          <w:bCs/>
          <w:sz w:val="22"/>
          <w:szCs w:val="22"/>
        </w:rPr>
        <w:tab/>
        <w:t>Unless the Regulator decides otherwise, the restrictions in categories 1, 2, 3, 4, 7, 8 and 9 of APP 7 do not apply in relation to a Listed Entity that:</w:t>
      </w:r>
    </w:p>
    <w:p w14:paraId="2E8AD92A" w14:textId="77777777" w:rsidR="00BC45C6" w:rsidRPr="00BC45C6" w:rsidRDefault="00BC45C6" w:rsidP="00BC45C6">
      <w:pPr>
        <w:spacing w:after="240" w:line="246" w:lineRule="atLeast"/>
        <w:ind w:left="1418" w:hanging="709"/>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(1)</w:t>
      </w:r>
      <w:r w:rsidRPr="00BC45C6">
        <w:rPr>
          <w:rFonts w:ascii="Arial" w:eastAsiaTheme="majorEastAsia" w:hAnsi="Arial" w:cs="Arial"/>
          <w:bCs/>
          <w:iCs/>
          <w:sz w:val="22"/>
          <w:szCs w:val="22"/>
        </w:rPr>
        <w:tab/>
        <w:t>qualifies for admission to the Official List pursuant to Rule 2.3.15;</w:t>
      </w:r>
    </w:p>
    <w:p w14:paraId="1FB9F4DB" w14:textId="77777777" w:rsidR="00BC45C6" w:rsidRPr="00BC45C6" w:rsidRDefault="00BC45C6" w:rsidP="00BC45C6">
      <w:pPr>
        <w:spacing w:after="240" w:line="246" w:lineRule="atLeast"/>
        <w:ind w:left="1418" w:hanging="709"/>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(2)</w:t>
      </w:r>
      <w:r w:rsidRPr="00BC45C6">
        <w:rPr>
          <w:rFonts w:ascii="Arial" w:eastAsiaTheme="majorEastAsia" w:hAnsi="Arial" w:cs="Arial"/>
          <w:bCs/>
          <w:iCs/>
          <w:sz w:val="22"/>
          <w:szCs w:val="22"/>
        </w:rPr>
        <w:tab/>
        <w:t>has a track record of profitability or revenue acceptable to the Regulator; or</w:t>
      </w:r>
    </w:p>
    <w:p w14:paraId="3BF32BCF" w14:textId="77777777" w:rsidR="00BC45C6" w:rsidRPr="00BC45C6" w:rsidRDefault="00BC45C6" w:rsidP="00BC45C6">
      <w:pPr>
        <w:spacing w:after="240" w:line="246" w:lineRule="atLeast"/>
        <w:ind w:left="1418" w:hanging="709"/>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(3)</w:t>
      </w:r>
      <w:r w:rsidRPr="00BC45C6">
        <w:rPr>
          <w:rFonts w:ascii="Arial" w:eastAsiaTheme="majorEastAsia" w:hAnsi="Arial" w:cs="Arial"/>
          <w:bCs/>
          <w:iCs/>
          <w:sz w:val="22"/>
          <w:szCs w:val="22"/>
        </w:rPr>
        <w:tab/>
        <w:t>in the opinion of the Regulator, has tangible assets with a readily ascertainable value which constitute a substantial proportion of the total value of its assets.</w:t>
      </w:r>
    </w:p>
    <w:p w14:paraId="7AE46B27" w14:textId="77777777" w:rsidR="00BC45C6" w:rsidRPr="00BC45C6" w:rsidRDefault="00BC45C6" w:rsidP="00BC45C6">
      <w:pPr>
        <w:keepNext/>
        <w:spacing w:after="240" w:line="246" w:lineRule="atLeast"/>
        <w:ind w:left="709" w:hanging="709"/>
        <w:jc w:val="both"/>
        <w:outlineLvl w:val="2"/>
        <w:rPr>
          <w:rFonts w:ascii="Arial" w:eastAsiaTheme="majorEastAsia" w:hAnsi="Arial" w:cs="Arial"/>
          <w:bCs/>
          <w:sz w:val="22"/>
          <w:szCs w:val="22"/>
        </w:rPr>
      </w:pPr>
      <w:r w:rsidRPr="00BC45C6">
        <w:rPr>
          <w:rFonts w:ascii="Arial" w:eastAsiaTheme="majorEastAsia" w:hAnsi="Arial" w:cs="Arial"/>
          <w:b/>
          <w:sz w:val="22"/>
          <w:szCs w:val="22"/>
        </w:rPr>
        <w:lastRenderedPageBreak/>
        <w:t>9.6.3</w:t>
      </w:r>
      <w:r w:rsidRPr="00BC45C6">
        <w:rPr>
          <w:rFonts w:ascii="Arial" w:eastAsiaTheme="majorEastAsia" w:hAnsi="Arial" w:cs="Arial"/>
          <w:bCs/>
          <w:sz w:val="22"/>
          <w:szCs w:val="22"/>
        </w:rPr>
        <w:tab/>
        <w:t xml:space="preserve">An Applicant or Listed Entity which has issued or intends to issue Restricted Securities, or has them on issue, must enter into a Restriction Agreement with the Security Holder and each Controller. </w:t>
      </w:r>
    </w:p>
    <w:p w14:paraId="27EFB7E6" w14:textId="77777777" w:rsidR="00BC45C6" w:rsidRPr="00BC45C6" w:rsidRDefault="00BC45C6" w:rsidP="00BC45C6">
      <w:pPr>
        <w:keepNext/>
        <w:spacing w:after="240" w:line="246" w:lineRule="atLeast"/>
        <w:ind w:left="709" w:hanging="709"/>
        <w:jc w:val="both"/>
        <w:outlineLvl w:val="2"/>
        <w:rPr>
          <w:rFonts w:ascii="Arial" w:eastAsiaTheme="majorEastAsia" w:hAnsi="Arial" w:cs="Arial"/>
          <w:bCs/>
          <w:sz w:val="22"/>
          <w:szCs w:val="22"/>
        </w:rPr>
      </w:pPr>
      <w:r w:rsidRPr="00BC45C6">
        <w:rPr>
          <w:rFonts w:ascii="Arial" w:eastAsiaTheme="majorEastAsia" w:hAnsi="Arial" w:cs="Arial"/>
          <w:b/>
          <w:sz w:val="22"/>
          <w:szCs w:val="22"/>
        </w:rPr>
        <w:t>9.6.4</w:t>
      </w:r>
      <w:r w:rsidRPr="00BC45C6">
        <w:rPr>
          <w:rFonts w:ascii="Arial" w:eastAsiaTheme="majorEastAsia" w:hAnsi="Arial" w:cs="Arial"/>
          <w:bCs/>
          <w:sz w:val="22"/>
          <w:szCs w:val="22"/>
        </w:rPr>
        <w:tab/>
        <w:t>A Restriction Agreement must be prepared and, once executed, submitted to the Regulator, in accordance with MKT Form 9-1, or as otherwise required by the Regulator.</w:t>
      </w:r>
    </w:p>
    <w:p w14:paraId="326EA86E" w14:textId="77777777" w:rsidR="00BC45C6" w:rsidRPr="00BC45C6" w:rsidRDefault="00BC45C6" w:rsidP="00BC45C6">
      <w:pPr>
        <w:keepNext/>
        <w:spacing w:after="240" w:line="246" w:lineRule="atLeast"/>
        <w:ind w:left="709" w:hanging="709"/>
        <w:jc w:val="both"/>
        <w:outlineLvl w:val="2"/>
        <w:rPr>
          <w:rFonts w:ascii="Arial" w:eastAsiaTheme="majorEastAsia" w:hAnsi="Arial" w:cs="Arial"/>
          <w:bCs/>
          <w:sz w:val="22"/>
          <w:szCs w:val="22"/>
        </w:rPr>
      </w:pPr>
      <w:r w:rsidRPr="00BC45C6">
        <w:rPr>
          <w:rFonts w:ascii="Arial" w:eastAsiaTheme="majorEastAsia" w:hAnsi="Arial" w:cs="Arial"/>
          <w:b/>
          <w:sz w:val="22"/>
          <w:szCs w:val="22"/>
        </w:rPr>
        <w:t>9.6.5</w:t>
      </w:r>
      <w:r w:rsidRPr="00BC45C6">
        <w:rPr>
          <w:rFonts w:ascii="Arial" w:eastAsiaTheme="majorEastAsia" w:hAnsi="Arial" w:cs="Arial"/>
          <w:bCs/>
          <w:sz w:val="22"/>
          <w:szCs w:val="22"/>
        </w:rPr>
        <w:tab/>
        <w:t>Subject to Rule 9.6.2, a Listed Entity which has issued or intends to issue Restricted Securities, must apply the restriction in APP 7 or such other restrictions as the Regulator, in its discretion, decides.</w:t>
      </w:r>
    </w:p>
    <w:p w14:paraId="5A404E70" w14:textId="77777777" w:rsidR="00BC45C6" w:rsidRPr="00BC45C6" w:rsidRDefault="00BC45C6" w:rsidP="00BC45C6">
      <w:pPr>
        <w:keepNext/>
        <w:spacing w:after="240" w:line="246" w:lineRule="atLeast"/>
        <w:ind w:left="709" w:hanging="709"/>
        <w:jc w:val="both"/>
        <w:outlineLvl w:val="2"/>
        <w:rPr>
          <w:rFonts w:ascii="Arial" w:eastAsiaTheme="majorEastAsia" w:hAnsi="Arial" w:cs="Arial"/>
          <w:bCs/>
          <w:sz w:val="22"/>
          <w:szCs w:val="22"/>
        </w:rPr>
      </w:pPr>
      <w:r w:rsidRPr="00BC45C6">
        <w:rPr>
          <w:rFonts w:ascii="Arial" w:eastAsiaTheme="majorEastAsia" w:hAnsi="Arial" w:cs="Arial"/>
          <w:b/>
          <w:sz w:val="22"/>
          <w:szCs w:val="22"/>
        </w:rPr>
        <w:t>9.6.6</w:t>
      </w:r>
      <w:r w:rsidRPr="00BC45C6">
        <w:rPr>
          <w:rFonts w:ascii="Arial" w:eastAsiaTheme="majorEastAsia" w:hAnsi="Arial" w:cs="Arial"/>
          <w:bCs/>
          <w:sz w:val="22"/>
          <w:szCs w:val="22"/>
        </w:rPr>
        <w:tab/>
        <w:t>During a Restriction Period, a Listed Entity, Security Holder or Controller subject to a Restriction Agreement must not:</w:t>
      </w:r>
    </w:p>
    <w:p w14:paraId="700E0DA7"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(1)</w:t>
      </w:r>
      <w:r w:rsidRPr="00BC45C6">
        <w:rPr>
          <w:rFonts w:ascii="Arial" w:eastAsiaTheme="majorEastAsia" w:hAnsi="Arial" w:cs="Arial"/>
          <w:bCs/>
          <w:iCs/>
          <w:sz w:val="22"/>
          <w:szCs w:val="22"/>
        </w:rPr>
        <w:tab/>
        <w:t>amend an executed Restriction Agreement; or</w:t>
      </w:r>
    </w:p>
    <w:p w14:paraId="662EC03E"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(2)</w:t>
      </w:r>
      <w:r w:rsidRPr="00BC45C6">
        <w:rPr>
          <w:rFonts w:ascii="Arial" w:eastAsiaTheme="majorEastAsia" w:hAnsi="Arial" w:cs="Arial"/>
          <w:bCs/>
          <w:iCs/>
          <w:sz w:val="22"/>
          <w:szCs w:val="22"/>
        </w:rPr>
        <w:tab/>
        <w:t>ask for or agree to the release of a holding lock that has been imposed in accordance with Rule 9.6.9.</w:t>
      </w:r>
    </w:p>
    <w:p w14:paraId="2A91FF0A" w14:textId="77777777" w:rsidR="00BC45C6" w:rsidRPr="00BC45C6" w:rsidRDefault="00BC45C6" w:rsidP="00BC45C6">
      <w:pPr>
        <w:keepNext/>
        <w:spacing w:after="240" w:line="246" w:lineRule="atLeast"/>
        <w:ind w:left="709" w:hanging="709"/>
        <w:jc w:val="both"/>
        <w:outlineLvl w:val="2"/>
        <w:rPr>
          <w:rFonts w:ascii="Arial" w:eastAsiaTheme="majorEastAsia" w:hAnsi="Arial" w:cs="Arial"/>
          <w:bCs/>
          <w:sz w:val="22"/>
          <w:szCs w:val="22"/>
        </w:rPr>
      </w:pPr>
      <w:r w:rsidRPr="00BC45C6">
        <w:rPr>
          <w:rFonts w:ascii="Arial" w:eastAsiaTheme="majorEastAsia" w:hAnsi="Arial" w:cs="Arial"/>
          <w:b/>
          <w:sz w:val="22"/>
          <w:szCs w:val="22"/>
        </w:rPr>
        <w:t>9.6.7</w:t>
      </w:r>
      <w:r w:rsidRPr="00BC45C6">
        <w:rPr>
          <w:rFonts w:ascii="Arial" w:eastAsiaTheme="majorEastAsia" w:hAnsi="Arial" w:cs="Arial"/>
          <w:bCs/>
          <w:sz w:val="22"/>
          <w:szCs w:val="22"/>
        </w:rPr>
        <w:tab/>
        <w:t>A Controller need not be a party to the Restriction Agreement referred to in Rule 9.6.2 if any of the following applies.</w:t>
      </w:r>
    </w:p>
    <w:p w14:paraId="3DF1E76B"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(1)</w:t>
      </w:r>
      <w:r w:rsidRPr="00BC45C6">
        <w:rPr>
          <w:rFonts w:ascii="Arial" w:eastAsiaTheme="majorEastAsia" w:hAnsi="Arial" w:cs="Arial"/>
          <w:bCs/>
          <w:iCs/>
          <w:sz w:val="22"/>
          <w:szCs w:val="22"/>
        </w:rPr>
        <w:tab/>
        <w:t>The value of the Restricted Security is less than 10% of the total value of the assets of:</w:t>
      </w:r>
    </w:p>
    <w:p w14:paraId="0447C3F9"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(a)</w:t>
      </w:r>
      <w:r w:rsidRPr="00BC45C6">
        <w:rPr>
          <w:rFonts w:ascii="Arial" w:eastAsiaTheme="majorEastAsia" w:hAnsi="Arial" w:cs="Arial"/>
          <w:sz w:val="22"/>
          <w:szCs w:val="22"/>
        </w:rPr>
        <w:tab/>
        <w:t>the holder of the Restricted Securities; or</w:t>
      </w:r>
    </w:p>
    <w:p w14:paraId="5035E19A"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(b)</w:t>
      </w:r>
      <w:r w:rsidRPr="00BC45C6">
        <w:rPr>
          <w:rFonts w:ascii="Arial" w:eastAsiaTheme="majorEastAsia" w:hAnsi="Arial" w:cs="Arial"/>
          <w:sz w:val="22"/>
          <w:szCs w:val="22"/>
        </w:rPr>
        <w:tab/>
        <w:t>an intermediate entity through which the Controller has its interests.</w:t>
      </w:r>
    </w:p>
    <w:p w14:paraId="3E1CA8FD"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(2)</w:t>
      </w:r>
      <w:r w:rsidRPr="00BC45C6">
        <w:rPr>
          <w:rFonts w:ascii="Arial" w:eastAsiaTheme="majorEastAsia" w:hAnsi="Arial" w:cs="Arial"/>
          <w:bCs/>
          <w:iCs/>
          <w:sz w:val="22"/>
          <w:szCs w:val="22"/>
        </w:rPr>
        <w:tab/>
        <w:t>The holder, or an intermediate entity through which the Controller has its interests, is:</w:t>
      </w:r>
    </w:p>
    <w:p w14:paraId="6C8BB5CB"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(a)</w:t>
      </w:r>
      <w:r w:rsidRPr="00BC45C6">
        <w:rPr>
          <w:rFonts w:ascii="Arial" w:eastAsiaTheme="majorEastAsia" w:hAnsi="Arial" w:cs="Arial"/>
          <w:sz w:val="22"/>
          <w:szCs w:val="22"/>
        </w:rPr>
        <w:tab/>
        <w:t>a Listed Entity, or an entity listed on exchange that is a full member of the World Federation of Exchanges; or</w:t>
      </w:r>
    </w:p>
    <w:p w14:paraId="46CA1C50"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(b)</w:t>
      </w:r>
      <w:r w:rsidRPr="00BC45C6">
        <w:rPr>
          <w:rFonts w:ascii="Arial" w:eastAsiaTheme="majorEastAsia" w:hAnsi="Arial" w:cs="Arial"/>
          <w:sz w:val="22"/>
          <w:szCs w:val="22"/>
        </w:rPr>
        <w:tab/>
        <w:t xml:space="preserve">a trustee, custodian or nominee.   </w:t>
      </w:r>
    </w:p>
    <w:p w14:paraId="52AD14BC"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(3)</w:t>
      </w:r>
      <w:r w:rsidRPr="00BC45C6">
        <w:rPr>
          <w:rFonts w:ascii="Arial" w:eastAsiaTheme="majorEastAsia" w:hAnsi="Arial" w:cs="Arial"/>
          <w:bCs/>
          <w:iCs/>
          <w:sz w:val="22"/>
          <w:szCs w:val="22"/>
        </w:rPr>
        <w:tab/>
        <w:t>The holder is a Person whose Securities are Restricted Securities due to the application of category 2, 4 or 6 of APP 7.</w:t>
      </w:r>
    </w:p>
    <w:p w14:paraId="55014ACF" w14:textId="77777777" w:rsidR="00BC45C6" w:rsidRPr="00BC45C6" w:rsidRDefault="00BC45C6" w:rsidP="00BC45C6">
      <w:pPr>
        <w:pStyle w:val="TitleL"/>
        <w:rPr>
          <w:rFonts w:ascii="Arial" w:hAnsi="Arial" w:cs="Arial"/>
          <w:sz w:val="22"/>
          <w:szCs w:val="22"/>
        </w:rPr>
      </w:pPr>
      <w:r w:rsidRPr="00BC45C6">
        <w:rPr>
          <w:rFonts w:ascii="Arial" w:hAnsi="Arial" w:cs="Arial"/>
          <w:sz w:val="22"/>
          <w:szCs w:val="22"/>
        </w:rPr>
        <w:t>Guidance</w:t>
      </w:r>
    </w:p>
    <w:p w14:paraId="2D9FD139" w14:textId="77777777" w:rsidR="00BC45C6" w:rsidRPr="00BC45C6" w:rsidRDefault="00BC45C6" w:rsidP="00BC45C6">
      <w:pPr>
        <w:spacing w:after="240" w:line="246" w:lineRule="atLeast"/>
        <w:ind w:left="709"/>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 xml:space="preserve">The definition of Restricted Securities includes Securities the Regulator decides are Restricted Securities in accordance with Rule 9.6.1(3). </w:t>
      </w:r>
    </w:p>
    <w:p w14:paraId="672A525E" w14:textId="77777777" w:rsidR="00BC45C6" w:rsidRPr="00BC45C6" w:rsidRDefault="00BC45C6" w:rsidP="00BC45C6">
      <w:pPr>
        <w:keepNext/>
        <w:spacing w:after="240" w:line="246" w:lineRule="atLeast"/>
        <w:ind w:left="720"/>
        <w:jc w:val="both"/>
        <w:rPr>
          <w:rFonts w:ascii="Arial" w:hAnsi="Arial" w:cs="Arial"/>
          <w:b/>
          <w:sz w:val="22"/>
          <w:szCs w:val="22"/>
        </w:rPr>
      </w:pPr>
      <w:r w:rsidRPr="00BC45C6">
        <w:rPr>
          <w:rFonts w:ascii="Arial" w:hAnsi="Arial" w:cs="Arial"/>
          <w:b/>
          <w:sz w:val="22"/>
          <w:szCs w:val="22"/>
        </w:rPr>
        <w:t>Timing and Enforcement</w:t>
      </w:r>
    </w:p>
    <w:p w14:paraId="5DA6D81B" w14:textId="77777777" w:rsidR="00BC45C6" w:rsidRPr="00BC45C6" w:rsidRDefault="00BC45C6" w:rsidP="00BC45C6">
      <w:pPr>
        <w:keepNext/>
        <w:spacing w:after="240" w:line="246" w:lineRule="atLeast"/>
        <w:ind w:left="709" w:hanging="709"/>
        <w:jc w:val="both"/>
        <w:outlineLvl w:val="2"/>
        <w:rPr>
          <w:rFonts w:ascii="Arial" w:eastAsiaTheme="majorEastAsia" w:hAnsi="Arial" w:cs="Arial"/>
          <w:bCs/>
          <w:sz w:val="22"/>
          <w:szCs w:val="22"/>
        </w:rPr>
      </w:pPr>
      <w:r w:rsidRPr="00BC45C6">
        <w:rPr>
          <w:rFonts w:ascii="Arial" w:eastAsiaTheme="majorEastAsia" w:hAnsi="Arial" w:cs="Arial"/>
          <w:b/>
          <w:sz w:val="22"/>
          <w:szCs w:val="22"/>
        </w:rPr>
        <w:t>9.6.8</w:t>
      </w:r>
      <w:r w:rsidRPr="00BC45C6">
        <w:rPr>
          <w:rFonts w:ascii="Arial" w:eastAsiaTheme="majorEastAsia" w:hAnsi="Arial" w:cs="Arial"/>
          <w:bCs/>
          <w:sz w:val="22"/>
          <w:szCs w:val="22"/>
        </w:rPr>
        <w:tab/>
        <w:t xml:space="preserve">A Listed Entity must provide to the Regulator copies of all executed Restriction Agreements it has in place in relation to its Restricted Securities before any Person obtains the Restricted Securities, or any rights in relation to them are issued, transferred to or received by the intended Security Holder or Controller. This Rule does </w:t>
      </w:r>
      <w:r w:rsidRPr="00BC45C6">
        <w:rPr>
          <w:rFonts w:ascii="Arial" w:eastAsiaTheme="majorEastAsia" w:hAnsi="Arial" w:cs="Arial"/>
          <w:bCs/>
          <w:sz w:val="22"/>
          <w:szCs w:val="22"/>
        </w:rPr>
        <w:lastRenderedPageBreak/>
        <w:t xml:space="preserve">not prevent a Person from obtaining the right to receive Restricted Securities on the condition that a Restriction Agreement is entered into. </w:t>
      </w:r>
    </w:p>
    <w:p w14:paraId="64BD7C97" w14:textId="77777777" w:rsidR="00BC45C6" w:rsidRPr="00BC45C6" w:rsidRDefault="00BC45C6" w:rsidP="00BC45C6">
      <w:pPr>
        <w:keepNext/>
        <w:spacing w:after="240" w:line="246" w:lineRule="atLeast"/>
        <w:ind w:left="709" w:hanging="709"/>
        <w:jc w:val="both"/>
        <w:outlineLvl w:val="2"/>
        <w:rPr>
          <w:rFonts w:ascii="Arial" w:eastAsiaTheme="majorEastAsia" w:hAnsi="Arial" w:cs="Arial"/>
          <w:bCs/>
          <w:sz w:val="22"/>
          <w:szCs w:val="22"/>
        </w:rPr>
      </w:pPr>
      <w:r w:rsidRPr="00BC45C6">
        <w:rPr>
          <w:rFonts w:ascii="Arial" w:eastAsiaTheme="majorEastAsia" w:hAnsi="Arial" w:cs="Arial"/>
          <w:b/>
          <w:sz w:val="22"/>
          <w:szCs w:val="22"/>
        </w:rPr>
        <w:t>9.6.9</w:t>
      </w:r>
      <w:r w:rsidRPr="00BC45C6">
        <w:rPr>
          <w:rFonts w:ascii="Arial" w:eastAsiaTheme="majorEastAsia" w:hAnsi="Arial" w:cs="Arial"/>
          <w:bCs/>
          <w:sz w:val="22"/>
          <w:szCs w:val="22"/>
        </w:rPr>
        <w:tab/>
        <w:t xml:space="preserve">A Listed Entity must obtain, and submit to the Regulator, within two Business Days after the issue of Restricted Securities, an undertaking from a bank, trustee, custodian, Recognised Body, CSD or other entity deemed suitable by the Regulator, to place a holding lock on the Restricted Securities held by it, and not to release the holding lock without the Regulator’s prior written consent. </w:t>
      </w:r>
    </w:p>
    <w:p w14:paraId="5461A590" w14:textId="77777777" w:rsidR="00BC45C6" w:rsidRPr="00BC45C6" w:rsidRDefault="00BC45C6" w:rsidP="00BC45C6">
      <w:pPr>
        <w:keepNext/>
        <w:spacing w:after="240" w:line="246" w:lineRule="atLeast"/>
        <w:ind w:left="709" w:hanging="709"/>
        <w:jc w:val="both"/>
        <w:outlineLvl w:val="2"/>
        <w:rPr>
          <w:rFonts w:ascii="Arial" w:eastAsiaTheme="majorEastAsia" w:hAnsi="Arial" w:cs="Arial"/>
          <w:bCs/>
          <w:sz w:val="22"/>
          <w:szCs w:val="22"/>
        </w:rPr>
      </w:pPr>
      <w:r w:rsidRPr="00BC45C6">
        <w:rPr>
          <w:rFonts w:ascii="Arial" w:eastAsiaTheme="majorEastAsia" w:hAnsi="Arial" w:cs="Arial"/>
          <w:b/>
          <w:sz w:val="22"/>
          <w:szCs w:val="22"/>
        </w:rPr>
        <w:t>9.6.10</w:t>
      </w:r>
      <w:r w:rsidRPr="00BC45C6">
        <w:rPr>
          <w:rFonts w:ascii="Arial" w:eastAsiaTheme="majorEastAsia" w:hAnsi="Arial" w:cs="Arial"/>
          <w:bCs/>
          <w:sz w:val="22"/>
          <w:szCs w:val="22"/>
        </w:rPr>
        <w:tab/>
        <w:t xml:space="preserve">A Listed Entity must comply with, and enforce, a Restriction Agreement and its constitution, to ensure compliance with the requirements for Restricted Securities. </w:t>
      </w:r>
    </w:p>
    <w:p w14:paraId="4119770E" w14:textId="77777777" w:rsidR="00BC45C6" w:rsidRPr="00BC45C6" w:rsidRDefault="00BC45C6" w:rsidP="00BC45C6">
      <w:pPr>
        <w:pStyle w:val="TitleL"/>
        <w:rPr>
          <w:rFonts w:ascii="Arial" w:hAnsi="Arial" w:cs="Arial"/>
          <w:sz w:val="22"/>
          <w:szCs w:val="22"/>
        </w:rPr>
      </w:pPr>
      <w:r w:rsidRPr="00BC45C6">
        <w:rPr>
          <w:rFonts w:ascii="Arial" w:hAnsi="Arial" w:cs="Arial"/>
          <w:sz w:val="22"/>
          <w:szCs w:val="22"/>
        </w:rPr>
        <w:t>Guidance</w:t>
      </w:r>
    </w:p>
    <w:p w14:paraId="08F92397" w14:textId="77777777" w:rsidR="00BC45C6" w:rsidRPr="00BC45C6" w:rsidRDefault="00BC45C6" w:rsidP="00BC45C6">
      <w:pPr>
        <w:spacing w:after="240" w:line="246" w:lineRule="atLeast"/>
        <w:ind w:left="709" w:hanging="11"/>
        <w:jc w:val="both"/>
        <w:outlineLvl w:val="3"/>
        <w:rPr>
          <w:rFonts w:ascii="Arial" w:eastAsiaTheme="majorEastAsia" w:hAnsi="Arial" w:cs="Arial"/>
          <w:iCs/>
          <w:sz w:val="22"/>
          <w:szCs w:val="22"/>
        </w:rPr>
      </w:pPr>
      <w:r w:rsidRPr="00BC45C6">
        <w:rPr>
          <w:rFonts w:ascii="Arial" w:eastAsiaTheme="majorEastAsia" w:hAnsi="Arial" w:cs="Arial"/>
          <w:bCs/>
          <w:iCs/>
          <w:sz w:val="22"/>
          <w:szCs w:val="22"/>
        </w:rPr>
        <w:t xml:space="preserve">Listed Entities are to ensure that provisions within their constitution (see Rule 2.3.1) allow for the enforcement of Restriction Agreements.  </w:t>
      </w:r>
    </w:p>
    <w:p w14:paraId="58D7009E" w14:textId="3F00811D" w:rsidR="00BC45C6" w:rsidRPr="00BC45C6" w:rsidRDefault="00BC45C6" w:rsidP="00BC45C6">
      <w:pPr>
        <w:keepNext/>
        <w:spacing w:after="240" w:line="246" w:lineRule="atLeast"/>
        <w:ind w:left="720"/>
        <w:jc w:val="both"/>
        <w:rPr>
          <w:rFonts w:ascii="Arial" w:hAnsi="Arial" w:cs="Arial"/>
          <w:sz w:val="22"/>
          <w:szCs w:val="22"/>
        </w:rPr>
      </w:pPr>
      <w:r w:rsidRPr="00BC45C6">
        <w:rPr>
          <w:rFonts w:ascii="Arial" w:hAnsi="Arial" w:cs="Arial"/>
          <w:b/>
          <w:sz w:val="22"/>
          <w:szCs w:val="22"/>
        </w:rPr>
        <w:t xml:space="preserve">Regulator’s consent to sale of Restricted Securities in a </w:t>
      </w:r>
      <w:r w:rsidR="00D4353E">
        <w:rPr>
          <w:rFonts w:ascii="Arial" w:hAnsi="Arial" w:cs="Arial"/>
          <w:b/>
          <w:sz w:val="22"/>
          <w:szCs w:val="22"/>
        </w:rPr>
        <w:t>T</w:t>
      </w:r>
      <w:r w:rsidRPr="00BC45C6">
        <w:rPr>
          <w:rFonts w:ascii="Arial" w:hAnsi="Arial" w:cs="Arial"/>
          <w:b/>
          <w:sz w:val="22"/>
          <w:szCs w:val="22"/>
        </w:rPr>
        <w:t xml:space="preserve">akeover or </w:t>
      </w:r>
      <w:r w:rsidR="00D4353E">
        <w:rPr>
          <w:rFonts w:ascii="Arial" w:hAnsi="Arial" w:cs="Arial"/>
          <w:b/>
          <w:sz w:val="22"/>
          <w:szCs w:val="22"/>
        </w:rPr>
        <w:t>M</w:t>
      </w:r>
      <w:r w:rsidRPr="00BC45C6">
        <w:rPr>
          <w:rFonts w:ascii="Arial" w:hAnsi="Arial" w:cs="Arial"/>
          <w:b/>
          <w:sz w:val="22"/>
          <w:szCs w:val="22"/>
        </w:rPr>
        <w:t>erger</w:t>
      </w:r>
    </w:p>
    <w:p w14:paraId="4B3F800B" w14:textId="77777777" w:rsidR="00BC45C6" w:rsidRPr="00BC45C6" w:rsidRDefault="00BC45C6" w:rsidP="00BC45C6">
      <w:pPr>
        <w:keepNext/>
        <w:spacing w:after="240" w:line="246" w:lineRule="atLeast"/>
        <w:ind w:left="709" w:hanging="709"/>
        <w:jc w:val="both"/>
        <w:outlineLvl w:val="2"/>
        <w:rPr>
          <w:rFonts w:ascii="Arial" w:eastAsiaTheme="majorEastAsia" w:hAnsi="Arial" w:cs="Arial"/>
          <w:bCs/>
          <w:sz w:val="22"/>
          <w:szCs w:val="22"/>
        </w:rPr>
      </w:pPr>
      <w:r w:rsidRPr="00BC45C6">
        <w:rPr>
          <w:rFonts w:ascii="Arial" w:eastAsiaTheme="majorEastAsia" w:hAnsi="Arial" w:cs="Arial"/>
          <w:b/>
          <w:sz w:val="22"/>
          <w:szCs w:val="22"/>
        </w:rPr>
        <w:t>9.6.11</w:t>
      </w:r>
      <w:r w:rsidRPr="00BC45C6">
        <w:rPr>
          <w:rFonts w:ascii="Arial" w:eastAsiaTheme="majorEastAsia" w:hAnsi="Arial" w:cs="Arial"/>
          <w:bCs/>
          <w:sz w:val="22"/>
          <w:szCs w:val="22"/>
        </w:rPr>
        <w:tab/>
        <w:t>The Regulator may consent to a party that is managing a holding lock in accordance with Rule 9.6.9 releasing the holding lock, to enable holders of Restricted Securities to accept an offer, or transfer or cancel Securities, under a Takeover.</w:t>
      </w:r>
    </w:p>
    <w:p w14:paraId="5E200D3F" w14:textId="77777777" w:rsidR="00BC45C6" w:rsidRPr="00BC45C6" w:rsidRDefault="00BC45C6" w:rsidP="00BC45C6">
      <w:pPr>
        <w:keepNext/>
        <w:spacing w:after="240" w:line="246" w:lineRule="atLeast"/>
        <w:ind w:left="709" w:hanging="709"/>
        <w:jc w:val="both"/>
        <w:outlineLvl w:val="2"/>
        <w:rPr>
          <w:rFonts w:ascii="Arial" w:eastAsiaTheme="majorEastAsia" w:hAnsi="Arial" w:cs="Arial"/>
          <w:bCs/>
          <w:sz w:val="22"/>
          <w:szCs w:val="22"/>
        </w:rPr>
      </w:pPr>
      <w:r w:rsidRPr="00BC45C6">
        <w:rPr>
          <w:rFonts w:ascii="Arial" w:eastAsiaTheme="majorEastAsia" w:hAnsi="Arial" w:cs="Arial"/>
          <w:b/>
          <w:sz w:val="22"/>
          <w:szCs w:val="22"/>
        </w:rPr>
        <w:t>9.6.12</w:t>
      </w:r>
      <w:r w:rsidRPr="00BC45C6">
        <w:rPr>
          <w:rFonts w:ascii="Arial" w:eastAsiaTheme="majorEastAsia" w:hAnsi="Arial" w:cs="Arial"/>
          <w:bCs/>
          <w:sz w:val="22"/>
          <w:szCs w:val="22"/>
        </w:rPr>
        <w:tab/>
        <w:t>The Regulator will not provide its consent under Rule 9.6.11 unless, to the extent to which they are applicable, all the following requirements are met:</w:t>
      </w:r>
    </w:p>
    <w:p w14:paraId="0EA90F45"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(1)</w:t>
      </w:r>
      <w:r w:rsidRPr="00BC45C6">
        <w:rPr>
          <w:rFonts w:ascii="Arial" w:eastAsiaTheme="majorEastAsia" w:hAnsi="Arial" w:cs="Arial"/>
          <w:bCs/>
          <w:iCs/>
          <w:sz w:val="22"/>
          <w:szCs w:val="22"/>
        </w:rPr>
        <w:tab/>
        <w:t>where there is an offer for Securities:</w:t>
      </w:r>
    </w:p>
    <w:p w14:paraId="06BB7454"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(a)</w:t>
      </w:r>
      <w:r w:rsidRPr="00BC45C6">
        <w:rPr>
          <w:rFonts w:ascii="Arial" w:eastAsiaTheme="majorEastAsia" w:hAnsi="Arial" w:cs="Arial"/>
          <w:sz w:val="22"/>
          <w:szCs w:val="22"/>
        </w:rPr>
        <w:tab/>
        <w:t xml:space="preserve">the offer is for all of the Ordinary Securities or, if the Restricted Securities are not Ordinary Securities, all the Securities in the same class as the Restricted Securities; </w:t>
      </w:r>
    </w:p>
    <w:p w14:paraId="606A7F13"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(b)</w:t>
      </w:r>
      <w:r w:rsidRPr="00BC45C6">
        <w:rPr>
          <w:rFonts w:ascii="Arial" w:eastAsiaTheme="majorEastAsia" w:hAnsi="Arial" w:cs="Arial"/>
          <w:sz w:val="22"/>
          <w:szCs w:val="22"/>
        </w:rPr>
        <w:tab/>
        <w:t>holders of at least half of the Securities that are not Restricted Securities, to which the offer relates, have accepted; and</w:t>
      </w:r>
    </w:p>
    <w:p w14:paraId="7099DD75"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(c)</w:t>
      </w:r>
      <w:r w:rsidRPr="00BC45C6">
        <w:rPr>
          <w:rFonts w:ascii="Arial" w:eastAsiaTheme="majorEastAsia" w:hAnsi="Arial" w:cs="Arial"/>
          <w:sz w:val="22"/>
          <w:szCs w:val="22"/>
        </w:rPr>
        <w:tab/>
        <w:t>if the offer is conditional, the offeror and the Security Holder agree in writing that the holding lock (imposed under Rule 9.6.9) be immediately re-imposed for each Security that is not bought by the offeror under the offer; and</w:t>
      </w:r>
    </w:p>
    <w:p w14:paraId="59D1BE60"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(2)</w:t>
      </w:r>
      <w:r w:rsidRPr="00BC45C6">
        <w:rPr>
          <w:rFonts w:ascii="Arial" w:eastAsiaTheme="majorEastAsia" w:hAnsi="Arial" w:cs="Arial"/>
          <w:bCs/>
          <w:iCs/>
          <w:sz w:val="22"/>
          <w:szCs w:val="22"/>
        </w:rPr>
        <w:tab/>
        <w:t xml:space="preserve">where the offer is to be conducted by way of a ‘scheme’, the Security Holders and the Listed Entity in which the Restricted Securities are held agree in writing that the holding lock imposed under Rule 9.6.9 be immediately re-imposed if the Takeover does not take effect.   </w:t>
      </w:r>
    </w:p>
    <w:p w14:paraId="5E813FDD" w14:textId="77777777" w:rsidR="00BC45C6" w:rsidRPr="00BC45C6" w:rsidRDefault="00BC45C6" w:rsidP="00BC45C6">
      <w:pPr>
        <w:keepNext/>
        <w:spacing w:after="240" w:line="246" w:lineRule="atLeast"/>
        <w:ind w:left="709" w:hanging="709"/>
        <w:jc w:val="both"/>
        <w:outlineLvl w:val="1"/>
        <w:rPr>
          <w:rFonts w:ascii="Arial" w:eastAsiaTheme="majorEastAsia" w:hAnsi="Arial" w:cs="Arial"/>
          <w:b/>
          <w:bCs/>
          <w:sz w:val="22"/>
          <w:szCs w:val="22"/>
        </w:rPr>
      </w:pPr>
      <w:bookmarkStart w:id="796" w:name="_Toc60412623"/>
      <w:r w:rsidRPr="00BC45C6">
        <w:rPr>
          <w:rFonts w:ascii="Arial" w:eastAsiaTheme="majorEastAsia" w:hAnsi="Arial" w:cs="Arial"/>
          <w:b/>
          <w:bCs/>
          <w:sz w:val="22"/>
          <w:szCs w:val="22"/>
        </w:rPr>
        <w:t>9.7</w:t>
      </w:r>
      <w:r w:rsidRPr="00BC45C6">
        <w:rPr>
          <w:rFonts w:ascii="Arial" w:eastAsiaTheme="majorEastAsia" w:hAnsi="Arial" w:cs="Arial"/>
          <w:b/>
          <w:bCs/>
          <w:sz w:val="22"/>
          <w:szCs w:val="22"/>
        </w:rPr>
        <w:tab/>
        <w:t>Issues of New Securities</w:t>
      </w:r>
      <w:bookmarkEnd w:id="796"/>
    </w:p>
    <w:p w14:paraId="1F7BFD12" w14:textId="77777777" w:rsidR="00BC45C6" w:rsidRPr="00BC45C6" w:rsidRDefault="00BC45C6" w:rsidP="00BC45C6">
      <w:pPr>
        <w:keepNext/>
        <w:spacing w:after="240" w:line="246" w:lineRule="atLeast"/>
        <w:ind w:left="720"/>
        <w:jc w:val="both"/>
        <w:rPr>
          <w:rFonts w:ascii="Arial" w:hAnsi="Arial" w:cs="Arial"/>
          <w:b/>
          <w:sz w:val="22"/>
          <w:szCs w:val="22"/>
        </w:rPr>
      </w:pPr>
      <w:r w:rsidRPr="00BC45C6">
        <w:rPr>
          <w:rFonts w:ascii="Arial" w:hAnsi="Arial" w:cs="Arial"/>
          <w:b/>
          <w:sz w:val="22"/>
          <w:szCs w:val="22"/>
        </w:rPr>
        <w:t>Guidance</w:t>
      </w:r>
    </w:p>
    <w:p w14:paraId="72A851B6" w14:textId="2974A695" w:rsidR="00BC45C6" w:rsidRPr="00BC45C6" w:rsidRDefault="00BC45C6" w:rsidP="00BC45C6">
      <w:pPr>
        <w:spacing w:after="240" w:line="246" w:lineRule="atLeast"/>
        <w:ind w:left="720"/>
        <w:jc w:val="both"/>
        <w:outlineLvl w:val="2"/>
        <w:rPr>
          <w:rFonts w:ascii="Arial" w:eastAsiaTheme="majorEastAsia" w:hAnsi="Arial" w:cs="Arial"/>
          <w:bCs/>
          <w:sz w:val="22"/>
          <w:szCs w:val="22"/>
        </w:rPr>
      </w:pPr>
      <w:r w:rsidRPr="00BC45C6">
        <w:rPr>
          <w:rFonts w:ascii="Arial" w:eastAsiaTheme="majorEastAsia" w:hAnsi="Arial" w:cs="Arial"/>
          <w:bCs/>
          <w:sz w:val="22"/>
          <w:szCs w:val="22"/>
        </w:rPr>
        <w:t>This section applies to a Listed Entity and sets out details on the restrictions on the issue by a Listed Entity of new Equity Securities, exceptions to these restrictions and the process for approval or ratification by Listed Entities</w:t>
      </w:r>
      <w:r w:rsidR="00907095">
        <w:rPr>
          <w:rFonts w:ascii="Arial" w:eastAsiaTheme="majorEastAsia" w:hAnsi="Arial" w:cs="Arial"/>
          <w:bCs/>
          <w:sz w:val="22"/>
          <w:szCs w:val="22"/>
        </w:rPr>
        <w:t>.</w:t>
      </w:r>
      <w:r w:rsidRPr="00BC45C6">
        <w:rPr>
          <w:rFonts w:ascii="Arial" w:eastAsiaTheme="majorEastAsia" w:hAnsi="Arial" w:cs="Arial"/>
          <w:bCs/>
          <w:sz w:val="22"/>
          <w:szCs w:val="22"/>
        </w:rPr>
        <w:t xml:space="preserve"> Due to the complexity that often surrounds a new issue of Securities, Listed Entities are encouraged to discuss the proposal of a new issue of Equity Securities with the Regulator before the terms of any new issue are finalised.</w:t>
      </w:r>
    </w:p>
    <w:p w14:paraId="3E539978" w14:textId="77777777" w:rsidR="00BC45C6" w:rsidRPr="00BC45C6" w:rsidRDefault="00BC45C6" w:rsidP="00BC45C6">
      <w:pPr>
        <w:keepNext/>
        <w:spacing w:after="240" w:line="246" w:lineRule="atLeast"/>
        <w:ind w:left="720"/>
        <w:jc w:val="both"/>
        <w:rPr>
          <w:rFonts w:ascii="Arial" w:hAnsi="Arial" w:cs="Arial"/>
          <w:b/>
          <w:sz w:val="22"/>
          <w:szCs w:val="22"/>
        </w:rPr>
      </w:pPr>
      <w:r w:rsidRPr="00BC45C6">
        <w:rPr>
          <w:rFonts w:ascii="Arial" w:hAnsi="Arial" w:cs="Arial"/>
          <w:b/>
          <w:sz w:val="22"/>
          <w:szCs w:val="22"/>
        </w:rPr>
        <w:lastRenderedPageBreak/>
        <w:t xml:space="preserve">Restrictions on new Issues of Equity Securities </w:t>
      </w:r>
    </w:p>
    <w:p w14:paraId="28336F3B" w14:textId="77777777" w:rsidR="00BC45C6" w:rsidRPr="00BC45C6" w:rsidRDefault="00BC45C6" w:rsidP="00BC45C6">
      <w:pPr>
        <w:spacing w:after="240" w:line="246" w:lineRule="atLeast"/>
        <w:ind w:left="720" w:hanging="720"/>
        <w:jc w:val="both"/>
        <w:outlineLvl w:val="2"/>
        <w:rPr>
          <w:rFonts w:ascii="Arial" w:eastAsiaTheme="majorEastAsia" w:hAnsi="Arial" w:cs="Arial"/>
          <w:bCs/>
          <w:sz w:val="22"/>
          <w:szCs w:val="22"/>
        </w:rPr>
      </w:pPr>
      <w:r w:rsidRPr="00BC45C6">
        <w:rPr>
          <w:rFonts w:ascii="Arial" w:eastAsiaTheme="majorEastAsia" w:hAnsi="Arial" w:cs="Arial"/>
          <w:bCs/>
          <w:sz w:val="22"/>
          <w:szCs w:val="22"/>
        </w:rPr>
        <w:t>9.7.1</w:t>
      </w:r>
      <w:r w:rsidRPr="00BC45C6">
        <w:rPr>
          <w:rFonts w:ascii="Arial" w:eastAsiaTheme="majorEastAsia" w:hAnsi="Arial" w:cs="Arial"/>
          <w:bCs/>
          <w:sz w:val="22"/>
          <w:szCs w:val="22"/>
        </w:rPr>
        <w:tab/>
        <w:t>A Listed Entity must not issue, or agree to issue, more Equity Securities than the number calculated according to the following formula, without the approval of the holders of Ordinary Securities:</w:t>
      </w:r>
    </w:p>
    <w:p w14:paraId="583EEDB8" w14:textId="77777777" w:rsidR="00BC45C6" w:rsidRPr="00BC45C6" w:rsidRDefault="00BC45C6" w:rsidP="00BC45C6">
      <w:pPr>
        <w:spacing w:after="240" w:line="246" w:lineRule="atLeast"/>
        <w:ind w:left="709"/>
        <w:jc w:val="both"/>
        <w:outlineLvl w:val="2"/>
        <w:rPr>
          <w:rFonts w:ascii="Arial" w:eastAsiaTheme="majorEastAsia" w:hAnsi="Arial" w:cs="Arial"/>
          <w:bCs/>
          <w:sz w:val="22"/>
          <w:szCs w:val="22"/>
        </w:rPr>
      </w:pPr>
      <w:r w:rsidRPr="00BC45C6">
        <w:rPr>
          <w:rFonts w:ascii="Arial" w:eastAsiaTheme="majorEastAsia" w:hAnsi="Arial" w:cs="Arial"/>
          <w:bCs/>
          <w:sz w:val="22"/>
          <w:szCs w:val="22"/>
        </w:rPr>
        <w:t xml:space="preserve">Maximum number of Equity Securities = (20% * Base Amount) – Relevant Issues), </w:t>
      </w:r>
    </w:p>
    <w:p w14:paraId="01328A08" w14:textId="77777777" w:rsidR="00BC45C6" w:rsidRPr="00BC45C6" w:rsidRDefault="00BC45C6" w:rsidP="00BC45C6">
      <w:pPr>
        <w:spacing w:after="240" w:line="246" w:lineRule="atLeast"/>
        <w:ind w:left="709"/>
        <w:jc w:val="both"/>
        <w:outlineLvl w:val="2"/>
        <w:rPr>
          <w:rFonts w:ascii="Arial" w:eastAsiaTheme="majorEastAsia" w:hAnsi="Arial" w:cs="Arial"/>
          <w:bCs/>
          <w:sz w:val="22"/>
          <w:szCs w:val="22"/>
        </w:rPr>
      </w:pPr>
      <w:r w:rsidRPr="00BC45C6">
        <w:rPr>
          <w:rFonts w:ascii="Arial" w:eastAsiaTheme="majorEastAsia" w:hAnsi="Arial" w:cs="Arial"/>
          <w:bCs/>
          <w:sz w:val="22"/>
          <w:szCs w:val="22"/>
        </w:rPr>
        <w:t>where:</w:t>
      </w:r>
    </w:p>
    <w:p w14:paraId="0AE614C0" w14:textId="77777777" w:rsidR="00BC45C6" w:rsidRPr="00BC45C6" w:rsidRDefault="00BC45C6" w:rsidP="00BC45C6">
      <w:pPr>
        <w:spacing w:after="240" w:line="246" w:lineRule="atLeast"/>
        <w:ind w:left="720" w:hanging="11"/>
        <w:jc w:val="both"/>
        <w:outlineLvl w:val="0"/>
        <w:rPr>
          <w:rFonts w:ascii="Arial" w:eastAsiaTheme="majorEastAsia" w:hAnsi="Arial" w:cs="Arial"/>
          <w:bCs/>
          <w:sz w:val="22"/>
          <w:szCs w:val="22"/>
        </w:rPr>
      </w:pPr>
      <w:r w:rsidRPr="00BC45C6">
        <w:rPr>
          <w:rFonts w:ascii="Arial" w:eastAsiaTheme="majorEastAsia" w:hAnsi="Arial" w:cs="Arial"/>
          <w:b/>
          <w:sz w:val="22"/>
          <w:szCs w:val="22"/>
        </w:rPr>
        <w:t>Base Amount</w:t>
      </w:r>
      <w:r w:rsidRPr="00BC45C6">
        <w:rPr>
          <w:rFonts w:ascii="Arial" w:eastAsiaTheme="majorEastAsia" w:hAnsi="Arial" w:cs="Arial"/>
          <w:bCs/>
          <w:sz w:val="22"/>
          <w:szCs w:val="22"/>
        </w:rPr>
        <w:t xml:space="preserve"> = the number of fully paid Ordinary Securities on issue as of the date 12 months before the date of issue or agreement (the “12 months Base Amount”), plus the number of:</w:t>
      </w:r>
    </w:p>
    <w:p w14:paraId="37B6B3F0" w14:textId="77777777" w:rsidR="00BC45C6" w:rsidRPr="00BC45C6" w:rsidRDefault="00BC45C6" w:rsidP="00BC45C6">
      <w:pPr>
        <w:spacing w:after="240" w:line="246" w:lineRule="atLeast"/>
        <w:ind w:left="1418" w:hanging="709"/>
        <w:jc w:val="both"/>
        <w:outlineLvl w:val="0"/>
        <w:rPr>
          <w:rFonts w:ascii="Arial" w:eastAsiaTheme="majorEastAsia" w:hAnsi="Arial" w:cs="Arial"/>
          <w:bCs/>
          <w:sz w:val="22"/>
          <w:szCs w:val="22"/>
        </w:rPr>
      </w:pPr>
      <w:r w:rsidRPr="00BC45C6">
        <w:rPr>
          <w:rFonts w:ascii="Arial" w:eastAsiaTheme="majorEastAsia" w:hAnsi="Arial" w:cs="Arial"/>
          <w:bCs/>
          <w:sz w:val="22"/>
          <w:szCs w:val="22"/>
        </w:rPr>
        <w:t>(1)</w:t>
      </w:r>
      <w:r w:rsidRPr="00BC45C6">
        <w:rPr>
          <w:rFonts w:ascii="Arial" w:eastAsiaTheme="majorEastAsia" w:hAnsi="Arial" w:cs="Arial"/>
          <w:bCs/>
          <w:sz w:val="22"/>
          <w:szCs w:val="22"/>
        </w:rPr>
        <w:tab/>
        <w:t>fully paid Ordinary Securities issued in the 12 months before the date of issue or agreement under an exception in Rule 9.7.4 other than exceptions (8), (15) or (16);</w:t>
      </w:r>
    </w:p>
    <w:p w14:paraId="7721C747" w14:textId="77777777" w:rsidR="00BC45C6" w:rsidRPr="00BC45C6" w:rsidRDefault="00BC45C6" w:rsidP="00BC45C6">
      <w:pPr>
        <w:spacing w:after="240" w:line="246" w:lineRule="atLeast"/>
        <w:ind w:left="1418" w:hanging="709"/>
        <w:jc w:val="both"/>
        <w:outlineLvl w:val="0"/>
        <w:rPr>
          <w:rFonts w:ascii="Arial" w:eastAsiaTheme="majorEastAsia" w:hAnsi="Arial" w:cs="Arial"/>
          <w:bCs/>
          <w:sz w:val="22"/>
          <w:szCs w:val="22"/>
        </w:rPr>
      </w:pPr>
      <w:r w:rsidRPr="00BC45C6">
        <w:rPr>
          <w:rFonts w:ascii="Arial" w:eastAsiaTheme="majorEastAsia" w:hAnsi="Arial" w:cs="Arial"/>
          <w:bCs/>
          <w:sz w:val="22"/>
          <w:szCs w:val="22"/>
        </w:rPr>
        <w:t>(2)</w:t>
      </w:r>
      <w:r w:rsidRPr="00BC45C6">
        <w:rPr>
          <w:rFonts w:ascii="Arial" w:eastAsiaTheme="majorEastAsia" w:hAnsi="Arial" w:cs="Arial"/>
          <w:bCs/>
          <w:sz w:val="22"/>
          <w:szCs w:val="22"/>
        </w:rPr>
        <w:tab/>
        <w:t>fully paid Ordinary Securities issued in the 12 months before the date of issue or agreement under an exception in Rule 9.7.4 other than exception (15), where the agreement was:</w:t>
      </w:r>
    </w:p>
    <w:p w14:paraId="65E6E314" w14:textId="77777777" w:rsidR="00BC45C6" w:rsidRPr="00BC45C6" w:rsidRDefault="00BC45C6" w:rsidP="00BC45C6">
      <w:pPr>
        <w:spacing w:after="240" w:line="246" w:lineRule="atLeast"/>
        <w:ind w:left="1985" w:hanging="567"/>
        <w:jc w:val="both"/>
        <w:outlineLvl w:val="0"/>
        <w:rPr>
          <w:rFonts w:ascii="Arial" w:eastAsiaTheme="majorEastAsia" w:hAnsi="Arial" w:cs="Arial"/>
          <w:bCs/>
          <w:sz w:val="22"/>
          <w:szCs w:val="22"/>
        </w:rPr>
      </w:pPr>
      <w:r w:rsidRPr="00BC45C6">
        <w:rPr>
          <w:rFonts w:ascii="Arial" w:eastAsiaTheme="majorEastAsia" w:hAnsi="Arial" w:cs="Arial"/>
          <w:bCs/>
          <w:sz w:val="22"/>
          <w:szCs w:val="22"/>
        </w:rPr>
        <w:t>(i)</w:t>
      </w:r>
      <w:r w:rsidRPr="00BC45C6">
        <w:rPr>
          <w:rFonts w:ascii="Arial" w:eastAsiaTheme="majorEastAsia" w:hAnsi="Arial" w:cs="Arial"/>
          <w:bCs/>
          <w:sz w:val="22"/>
          <w:szCs w:val="22"/>
        </w:rPr>
        <w:tab/>
        <w:t>entered into before the commencement of the 12 month period; or</w:t>
      </w:r>
    </w:p>
    <w:p w14:paraId="65A272DF" w14:textId="494351EF" w:rsidR="00BC45C6" w:rsidRPr="00BC45C6" w:rsidRDefault="00BC45C6" w:rsidP="00BC45C6">
      <w:pPr>
        <w:spacing w:after="240" w:line="246" w:lineRule="atLeast"/>
        <w:ind w:left="1985" w:hanging="567"/>
        <w:jc w:val="both"/>
        <w:outlineLvl w:val="0"/>
        <w:rPr>
          <w:rFonts w:ascii="Arial" w:eastAsiaTheme="majorEastAsia" w:hAnsi="Arial" w:cs="Arial"/>
          <w:bCs/>
          <w:sz w:val="22"/>
          <w:szCs w:val="22"/>
        </w:rPr>
      </w:pPr>
      <w:r w:rsidRPr="00BC45C6">
        <w:rPr>
          <w:rFonts w:ascii="Arial" w:eastAsiaTheme="majorEastAsia" w:hAnsi="Arial" w:cs="Arial"/>
          <w:bCs/>
          <w:sz w:val="22"/>
          <w:szCs w:val="22"/>
        </w:rPr>
        <w:t>(ii)</w:t>
      </w:r>
      <w:r w:rsidRPr="00BC45C6">
        <w:rPr>
          <w:rFonts w:ascii="Arial" w:eastAsiaTheme="majorEastAsia" w:hAnsi="Arial" w:cs="Arial"/>
          <w:bCs/>
          <w:sz w:val="22"/>
          <w:szCs w:val="22"/>
        </w:rPr>
        <w:tab/>
        <w:t>approved, or taken under the Rules to have been approved, under Rule 9.7.1 or Rule 9.7.5; and</w:t>
      </w:r>
    </w:p>
    <w:p w14:paraId="241DB17A" w14:textId="77777777" w:rsidR="00BC45C6" w:rsidRPr="00BC45C6" w:rsidRDefault="00BC45C6" w:rsidP="00BC45C6">
      <w:pPr>
        <w:spacing w:after="240" w:line="246" w:lineRule="atLeast"/>
        <w:ind w:left="1418" w:hanging="709"/>
        <w:jc w:val="both"/>
        <w:outlineLvl w:val="0"/>
        <w:rPr>
          <w:rFonts w:ascii="Arial" w:eastAsiaTheme="majorEastAsia" w:hAnsi="Arial" w:cs="Arial"/>
          <w:bCs/>
          <w:sz w:val="22"/>
          <w:szCs w:val="22"/>
        </w:rPr>
      </w:pPr>
      <w:r w:rsidRPr="00BC45C6">
        <w:rPr>
          <w:rFonts w:ascii="Arial" w:eastAsiaTheme="majorEastAsia" w:hAnsi="Arial" w:cs="Arial"/>
          <w:bCs/>
          <w:sz w:val="22"/>
          <w:szCs w:val="22"/>
        </w:rPr>
        <w:t>(3)</w:t>
      </w:r>
      <w:r w:rsidRPr="00BC45C6">
        <w:rPr>
          <w:rFonts w:ascii="Arial" w:eastAsiaTheme="majorEastAsia" w:hAnsi="Arial" w:cs="Arial"/>
          <w:bCs/>
          <w:sz w:val="22"/>
          <w:szCs w:val="22"/>
        </w:rPr>
        <w:tab/>
        <w:t>any other fully paid Ordinary Securities issued in the 12 months before the date of issue or agreement with approval under Rule 9.7.1 or Rule 9.7.5;</w:t>
      </w:r>
    </w:p>
    <w:p w14:paraId="222E4E58" w14:textId="77777777" w:rsidR="00BC45C6" w:rsidRPr="00BC45C6" w:rsidRDefault="00BC45C6" w:rsidP="00BC45C6">
      <w:pPr>
        <w:spacing w:after="240" w:line="246" w:lineRule="atLeast"/>
        <w:ind w:left="709"/>
        <w:jc w:val="both"/>
        <w:outlineLvl w:val="3"/>
        <w:rPr>
          <w:rFonts w:ascii="Arial" w:eastAsiaTheme="majorEastAsia" w:hAnsi="Arial" w:cs="Arial"/>
          <w:b/>
          <w:bCs/>
          <w:iCs/>
          <w:sz w:val="22"/>
          <w:szCs w:val="22"/>
        </w:rPr>
      </w:pPr>
      <w:r w:rsidRPr="00BC45C6">
        <w:rPr>
          <w:rFonts w:ascii="Arial" w:eastAsiaTheme="majorEastAsia" w:hAnsi="Arial" w:cs="Arial"/>
          <w:b/>
          <w:iCs/>
          <w:sz w:val="22"/>
          <w:szCs w:val="22"/>
        </w:rPr>
        <w:t>Guidance</w:t>
      </w:r>
    </w:p>
    <w:p w14:paraId="65804236" w14:textId="77777777" w:rsidR="00BC45C6" w:rsidRPr="00BC45C6" w:rsidRDefault="00BC45C6" w:rsidP="00BC45C6">
      <w:pPr>
        <w:spacing w:after="240" w:line="246" w:lineRule="atLeast"/>
        <w:ind w:left="709"/>
        <w:jc w:val="both"/>
        <w:outlineLvl w:val="0"/>
        <w:rPr>
          <w:rFonts w:ascii="Arial" w:eastAsiaTheme="majorEastAsia" w:hAnsi="Arial" w:cs="Arial"/>
          <w:bCs/>
          <w:sz w:val="22"/>
          <w:szCs w:val="22"/>
        </w:rPr>
      </w:pPr>
      <w:r w:rsidRPr="00BC45C6">
        <w:rPr>
          <w:rFonts w:ascii="Arial" w:eastAsiaTheme="majorEastAsia" w:hAnsi="Arial" w:cs="Arial"/>
          <w:bCs/>
          <w:sz w:val="22"/>
          <w:szCs w:val="22"/>
        </w:rPr>
        <w:t>The Base Amount may include fully paid Ordinary Securities issued in the 12 months before the date of issue or agreement under an agreement to issue Securities within Rule 9.7.4 exception (14) where the issue is subsequently approved under Rule 9.7.1.</w:t>
      </w:r>
    </w:p>
    <w:p w14:paraId="0478ECF5" w14:textId="77777777" w:rsidR="00BC45C6" w:rsidRPr="00BC45C6" w:rsidRDefault="00BC45C6" w:rsidP="00BC45C6">
      <w:pPr>
        <w:spacing w:after="240" w:line="246" w:lineRule="atLeast"/>
        <w:ind w:left="1418" w:hanging="709"/>
        <w:jc w:val="both"/>
        <w:outlineLvl w:val="0"/>
        <w:rPr>
          <w:rFonts w:ascii="Arial" w:eastAsiaTheme="majorEastAsia" w:hAnsi="Arial" w:cs="Arial"/>
          <w:bCs/>
          <w:sz w:val="22"/>
          <w:szCs w:val="22"/>
        </w:rPr>
      </w:pPr>
      <w:r w:rsidRPr="00BC45C6">
        <w:rPr>
          <w:rFonts w:ascii="Arial" w:eastAsiaTheme="majorEastAsia" w:hAnsi="Arial" w:cs="Arial"/>
          <w:bCs/>
          <w:sz w:val="22"/>
          <w:szCs w:val="22"/>
        </w:rPr>
        <w:t>(4)</w:t>
      </w:r>
      <w:r w:rsidRPr="00BC45C6">
        <w:rPr>
          <w:rFonts w:ascii="Arial" w:eastAsiaTheme="majorEastAsia" w:hAnsi="Arial" w:cs="Arial"/>
          <w:bCs/>
          <w:sz w:val="22"/>
          <w:szCs w:val="22"/>
        </w:rPr>
        <w:tab/>
        <w:t>partly paid Ordinary Securities that became fully paid in the 12 months before the date of issue or agreement,</w:t>
      </w:r>
    </w:p>
    <w:p w14:paraId="2E273697" w14:textId="77777777" w:rsidR="00BC45C6" w:rsidRPr="00BC45C6" w:rsidRDefault="00BC45C6" w:rsidP="00BC45C6">
      <w:pPr>
        <w:spacing w:after="240" w:line="246" w:lineRule="atLeast"/>
        <w:ind w:left="720"/>
        <w:jc w:val="both"/>
        <w:outlineLvl w:val="0"/>
        <w:rPr>
          <w:rFonts w:ascii="Arial" w:eastAsiaTheme="majorEastAsia" w:hAnsi="Arial" w:cs="Arial"/>
          <w:bCs/>
          <w:sz w:val="22"/>
          <w:szCs w:val="22"/>
        </w:rPr>
      </w:pPr>
      <w:r w:rsidRPr="00BC45C6">
        <w:rPr>
          <w:rFonts w:ascii="Arial" w:eastAsiaTheme="majorEastAsia" w:hAnsi="Arial" w:cs="Arial"/>
          <w:bCs/>
          <w:sz w:val="22"/>
          <w:szCs w:val="22"/>
        </w:rPr>
        <w:t>but subtracting the number of fully paid Ordinary Securities cancelled in the 12 months before the date of issue or agreement.</w:t>
      </w:r>
    </w:p>
    <w:p w14:paraId="3166128D" w14:textId="77777777" w:rsidR="00BC45C6" w:rsidRPr="00BC45C6" w:rsidRDefault="00BC45C6" w:rsidP="00BC45C6">
      <w:pPr>
        <w:spacing w:after="240" w:line="246" w:lineRule="atLeast"/>
        <w:ind w:left="720"/>
        <w:jc w:val="both"/>
        <w:outlineLvl w:val="0"/>
        <w:rPr>
          <w:rFonts w:ascii="Arial" w:eastAsiaTheme="majorEastAsia" w:hAnsi="Arial" w:cs="Arial"/>
          <w:bCs/>
          <w:sz w:val="22"/>
          <w:szCs w:val="22"/>
        </w:rPr>
      </w:pPr>
      <w:r w:rsidRPr="00BC45C6">
        <w:rPr>
          <w:rFonts w:ascii="Arial" w:eastAsiaTheme="majorEastAsia" w:hAnsi="Arial" w:cs="Arial"/>
          <w:b/>
          <w:sz w:val="22"/>
          <w:szCs w:val="22"/>
        </w:rPr>
        <w:t>Relevant Issues</w:t>
      </w:r>
      <w:r w:rsidRPr="00BC45C6">
        <w:rPr>
          <w:rFonts w:ascii="Arial" w:eastAsiaTheme="majorEastAsia" w:hAnsi="Arial" w:cs="Arial"/>
          <w:bCs/>
          <w:sz w:val="22"/>
          <w:szCs w:val="22"/>
        </w:rPr>
        <w:t xml:space="preserve"> = the number of Equity Securities issued, or agreed to be issued, in the 12 months before the date of issue or agreement to issue other than:</w:t>
      </w:r>
    </w:p>
    <w:p w14:paraId="33E280F1" w14:textId="77777777" w:rsidR="00BC45C6" w:rsidRPr="00BC45C6" w:rsidRDefault="00BC45C6" w:rsidP="00BC45C6">
      <w:pPr>
        <w:spacing w:after="240" w:line="246" w:lineRule="atLeast"/>
        <w:ind w:left="1985" w:hanging="567"/>
        <w:jc w:val="both"/>
        <w:outlineLvl w:val="0"/>
        <w:rPr>
          <w:rFonts w:ascii="Arial" w:eastAsiaTheme="majorEastAsia" w:hAnsi="Arial" w:cs="Arial"/>
          <w:bCs/>
          <w:sz w:val="22"/>
          <w:szCs w:val="22"/>
        </w:rPr>
      </w:pPr>
      <w:r w:rsidRPr="00BC45C6">
        <w:rPr>
          <w:rFonts w:ascii="Arial" w:eastAsiaTheme="majorEastAsia" w:hAnsi="Arial" w:cs="Arial"/>
          <w:bCs/>
          <w:sz w:val="22"/>
          <w:szCs w:val="22"/>
        </w:rPr>
        <w:t>(a)</w:t>
      </w:r>
      <w:r w:rsidRPr="00BC45C6">
        <w:rPr>
          <w:rFonts w:ascii="Arial" w:eastAsiaTheme="majorEastAsia" w:hAnsi="Arial" w:cs="Arial"/>
          <w:bCs/>
          <w:sz w:val="22"/>
          <w:szCs w:val="22"/>
        </w:rPr>
        <w:tab/>
        <w:t>with the approval of the holders of its Ordinary Securities under Rule 9.7.1 or Rule 9.7.5; or</w:t>
      </w:r>
    </w:p>
    <w:p w14:paraId="13796F9A" w14:textId="77777777" w:rsidR="00BC45C6" w:rsidRPr="00BC45C6" w:rsidRDefault="00BC45C6" w:rsidP="00BC45C6">
      <w:pPr>
        <w:spacing w:after="240" w:line="246" w:lineRule="atLeast"/>
        <w:ind w:left="1985" w:hanging="567"/>
        <w:jc w:val="both"/>
        <w:outlineLvl w:val="0"/>
        <w:rPr>
          <w:rFonts w:ascii="Arial" w:eastAsiaTheme="majorEastAsia" w:hAnsi="Arial" w:cs="Arial"/>
          <w:bCs/>
          <w:sz w:val="22"/>
          <w:szCs w:val="22"/>
        </w:rPr>
      </w:pPr>
      <w:r w:rsidRPr="00BC45C6">
        <w:rPr>
          <w:rFonts w:ascii="Arial" w:eastAsiaTheme="majorEastAsia" w:hAnsi="Arial" w:cs="Arial"/>
          <w:bCs/>
          <w:sz w:val="22"/>
          <w:szCs w:val="22"/>
        </w:rPr>
        <w:t>(b)</w:t>
      </w:r>
      <w:r w:rsidRPr="00BC45C6">
        <w:rPr>
          <w:rFonts w:ascii="Arial" w:eastAsiaTheme="majorEastAsia" w:hAnsi="Arial" w:cs="Arial"/>
          <w:bCs/>
          <w:sz w:val="22"/>
          <w:szCs w:val="22"/>
        </w:rPr>
        <w:tab/>
        <w:t>under an exception in Rule 9.7.4.</w:t>
      </w:r>
    </w:p>
    <w:p w14:paraId="34BB1673" w14:textId="77777777" w:rsidR="00BC45C6" w:rsidRPr="00BC45C6" w:rsidRDefault="00BC45C6" w:rsidP="00BC45C6">
      <w:pPr>
        <w:spacing w:after="240" w:line="246" w:lineRule="atLeast"/>
        <w:ind w:left="720"/>
        <w:jc w:val="both"/>
        <w:outlineLvl w:val="2"/>
        <w:rPr>
          <w:rFonts w:ascii="Arial" w:eastAsiaTheme="majorEastAsia" w:hAnsi="Arial" w:cs="Arial"/>
          <w:b/>
          <w:sz w:val="22"/>
          <w:szCs w:val="22"/>
        </w:rPr>
      </w:pPr>
      <w:r w:rsidRPr="00BC45C6">
        <w:rPr>
          <w:rFonts w:ascii="Arial" w:eastAsiaTheme="majorEastAsia" w:hAnsi="Arial" w:cs="Arial"/>
          <w:b/>
          <w:sz w:val="22"/>
          <w:szCs w:val="22"/>
        </w:rPr>
        <w:t>Guidance</w:t>
      </w:r>
    </w:p>
    <w:p w14:paraId="085919C4" w14:textId="77777777" w:rsidR="00BC45C6" w:rsidRPr="00BC45C6" w:rsidRDefault="00BC45C6" w:rsidP="00BC45C6">
      <w:pPr>
        <w:spacing w:after="240" w:line="246" w:lineRule="atLeast"/>
        <w:ind w:left="709"/>
        <w:jc w:val="both"/>
        <w:outlineLvl w:val="0"/>
        <w:rPr>
          <w:rFonts w:ascii="Arial" w:eastAsiaTheme="majorEastAsia" w:hAnsi="Arial" w:cs="Arial"/>
          <w:bCs/>
          <w:sz w:val="22"/>
          <w:szCs w:val="22"/>
        </w:rPr>
      </w:pPr>
      <w:r w:rsidRPr="00BC45C6">
        <w:rPr>
          <w:rFonts w:ascii="Arial" w:eastAsiaTheme="majorEastAsia" w:hAnsi="Arial" w:cs="Arial"/>
          <w:bCs/>
          <w:sz w:val="22"/>
          <w:szCs w:val="22"/>
        </w:rPr>
        <w:t xml:space="preserve">In calculating the Base Amount, if the Listed Entity’s Equity Securities were first admitted to the Official List less than 12 months before the date of issue or agreement, the number of Securities used to calculate the Base Amount is the number of fully paid Ordinary Securities on the date of admission to the Official List </w:t>
      </w:r>
    </w:p>
    <w:p w14:paraId="5D3E1B77" w14:textId="77777777" w:rsidR="00BC45C6" w:rsidRPr="00BC45C6" w:rsidRDefault="00BC45C6" w:rsidP="00BC45C6">
      <w:pPr>
        <w:keepNext/>
        <w:spacing w:after="240" w:line="246" w:lineRule="atLeast"/>
        <w:ind w:left="720"/>
        <w:jc w:val="both"/>
        <w:rPr>
          <w:rFonts w:ascii="Arial" w:hAnsi="Arial" w:cs="Arial"/>
          <w:b/>
          <w:sz w:val="22"/>
          <w:szCs w:val="22"/>
        </w:rPr>
      </w:pPr>
      <w:r w:rsidRPr="00BC45C6">
        <w:rPr>
          <w:rFonts w:ascii="Arial" w:hAnsi="Arial" w:cs="Arial"/>
          <w:b/>
          <w:sz w:val="22"/>
          <w:szCs w:val="22"/>
        </w:rPr>
        <w:lastRenderedPageBreak/>
        <w:t xml:space="preserve">Requirements applicable to new issues under Rule 9.7.1 </w:t>
      </w:r>
    </w:p>
    <w:p w14:paraId="32B084F7" w14:textId="77777777" w:rsidR="00BC45C6" w:rsidRPr="00BC45C6" w:rsidRDefault="00BC45C6" w:rsidP="00BC45C6">
      <w:pPr>
        <w:spacing w:after="240" w:line="246" w:lineRule="atLeast"/>
        <w:ind w:left="720" w:hanging="720"/>
        <w:jc w:val="both"/>
        <w:outlineLvl w:val="2"/>
        <w:rPr>
          <w:rFonts w:ascii="Arial" w:eastAsiaTheme="majorEastAsia" w:hAnsi="Arial" w:cs="Arial"/>
          <w:bCs/>
          <w:sz w:val="22"/>
          <w:szCs w:val="22"/>
        </w:rPr>
      </w:pPr>
      <w:r w:rsidRPr="00BC45C6">
        <w:rPr>
          <w:rFonts w:ascii="Arial" w:eastAsiaTheme="majorEastAsia" w:hAnsi="Arial" w:cs="Arial"/>
          <w:bCs/>
          <w:sz w:val="22"/>
          <w:szCs w:val="22"/>
        </w:rPr>
        <w:t>9.7.2</w:t>
      </w:r>
      <w:r w:rsidRPr="00BC45C6">
        <w:rPr>
          <w:rFonts w:ascii="Arial" w:eastAsiaTheme="majorEastAsia" w:hAnsi="Arial" w:cs="Arial"/>
          <w:bCs/>
          <w:sz w:val="22"/>
          <w:szCs w:val="22"/>
        </w:rPr>
        <w:tab/>
        <w:t>In calculating the number of Equity Securities that a Listed Entity may issue or agree to issue under Rule 9.7.1 (including the number contributing to “Relevant Issues”), unless the Regulator determines otherwise, the following must be applied:</w:t>
      </w:r>
    </w:p>
    <w:p w14:paraId="38E9BE50"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(1)</w:t>
      </w:r>
      <w:r w:rsidRPr="00BC45C6">
        <w:rPr>
          <w:rFonts w:ascii="Arial" w:eastAsiaTheme="majorEastAsia" w:hAnsi="Arial" w:cs="Arial"/>
          <w:bCs/>
          <w:iCs/>
          <w:sz w:val="22"/>
          <w:szCs w:val="22"/>
        </w:rPr>
        <w:tab/>
        <w:t>each fully paid Ordinary Security is counted as one;</w:t>
      </w:r>
    </w:p>
    <w:p w14:paraId="7A36E0F2"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(2)</w:t>
      </w:r>
      <w:r w:rsidRPr="00BC45C6">
        <w:rPr>
          <w:rFonts w:ascii="Arial" w:eastAsiaTheme="majorEastAsia" w:hAnsi="Arial" w:cs="Arial"/>
          <w:bCs/>
          <w:iCs/>
          <w:sz w:val="22"/>
          <w:szCs w:val="22"/>
        </w:rPr>
        <w:tab/>
        <w:t>each partly paid Security is counted as the maximum number of fully paid Ordinary Securities into which it can be paid up;</w:t>
      </w:r>
    </w:p>
    <w:p w14:paraId="2660949C"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(3)</w:t>
      </w:r>
      <w:r w:rsidRPr="00BC45C6">
        <w:rPr>
          <w:rFonts w:ascii="Arial" w:eastAsiaTheme="majorEastAsia" w:hAnsi="Arial" w:cs="Arial"/>
          <w:bCs/>
          <w:iCs/>
          <w:sz w:val="22"/>
          <w:szCs w:val="22"/>
        </w:rPr>
        <w:tab/>
        <w:t>each Convertible Security is counted as the maximum number of fully paid Ordinary Securities into which it can be converted; and</w:t>
      </w:r>
    </w:p>
    <w:p w14:paraId="6231DF57"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(4)</w:t>
      </w:r>
      <w:r w:rsidRPr="00BC45C6">
        <w:rPr>
          <w:rFonts w:ascii="Arial" w:eastAsiaTheme="majorEastAsia" w:hAnsi="Arial" w:cs="Arial"/>
          <w:bCs/>
          <w:iCs/>
          <w:sz w:val="22"/>
          <w:szCs w:val="22"/>
        </w:rPr>
        <w:tab/>
        <w:t>in any other case, each Security is counted as the Regulator may decide, having regard to the need to ensure that holders of Ordinary Securities have an opportunity to vote on issues that may dilute their holdings or the characteristics of the Security.</w:t>
      </w:r>
    </w:p>
    <w:p w14:paraId="2E51EF10" w14:textId="77777777" w:rsidR="00BC45C6" w:rsidRPr="00BC45C6" w:rsidRDefault="00BC45C6" w:rsidP="00BC45C6">
      <w:pPr>
        <w:spacing w:after="240" w:line="246" w:lineRule="atLeast"/>
        <w:ind w:left="720" w:hanging="720"/>
        <w:jc w:val="both"/>
        <w:outlineLvl w:val="2"/>
        <w:rPr>
          <w:rFonts w:ascii="Arial" w:eastAsiaTheme="majorEastAsia" w:hAnsi="Arial" w:cs="Arial"/>
          <w:bCs/>
          <w:sz w:val="22"/>
          <w:szCs w:val="22"/>
        </w:rPr>
      </w:pPr>
      <w:r w:rsidRPr="00BC45C6">
        <w:rPr>
          <w:rFonts w:ascii="Arial" w:eastAsiaTheme="majorEastAsia" w:hAnsi="Arial" w:cs="Arial"/>
          <w:bCs/>
          <w:sz w:val="22"/>
          <w:szCs w:val="22"/>
        </w:rPr>
        <w:t>9.7.3</w:t>
      </w:r>
      <w:r w:rsidRPr="00BC45C6">
        <w:rPr>
          <w:rFonts w:ascii="Arial" w:eastAsiaTheme="majorEastAsia" w:hAnsi="Arial" w:cs="Arial"/>
          <w:bCs/>
          <w:sz w:val="22"/>
          <w:szCs w:val="22"/>
        </w:rPr>
        <w:tab/>
        <w:t xml:space="preserve">When determining if there has been an issue of Equity Securities for the purposes of calculating the number of Relevant Issues, the sale or reissue of forfeited Equity Securities shall be treated as an issue of Equity Securities.   </w:t>
      </w:r>
    </w:p>
    <w:p w14:paraId="184D0637" w14:textId="77777777" w:rsidR="00BC45C6" w:rsidRPr="00BC45C6" w:rsidRDefault="00BC45C6" w:rsidP="00BC45C6">
      <w:pPr>
        <w:keepNext/>
        <w:spacing w:after="240" w:line="246" w:lineRule="atLeast"/>
        <w:ind w:left="720"/>
        <w:jc w:val="both"/>
        <w:rPr>
          <w:rFonts w:ascii="Arial" w:hAnsi="Arial" w:cs="Arial"/>
          <w:b/>
          <w:sz w:val="22"/>
          <w:szCs w:val="22"/>
        </w:rPr>
      </w:pPr>
      <w:r w:rsidRPr="00BC45C6">
        <w:rPr>
          <w:rFonts w:ascii="Arial" w:hAnsi="Arial" w:cs="Arial"/>
          <w:b/>
          <w:sz w:val="22"/>
          <w:szCs w:val="22"/>
        </w:rPr>
        <w:t xml:space="preserve">Exceptions to Rule 9.7.1 </w:t>
      </w:r>
    </w:p>
    <w:p w14:paraId="5DF437CE" w14:textId="77777777" w:rsidR="00BC45C6" w:rsidRPr="00BC45C6" w:rsidRDefault="00BC45C6" w:rsidP="00BC45C6">
      <w:pPr>
        <w:spacing w:after="240" w:line="246" w:lineRule="atLeast"/>
        <w:ind w:left="720" w:hanging="720"/>
        <w:jc w:val="both"/>
        <w:outlineLvl w:val="2"/>
        <w:rPr>
          <w:rFonts w:ascii="Arial" w:eastAsiaTheme="majorEastAsia" w:hAnsi="Arial" w:cs="Arial"/>
          <w:bCs/>
          <w:sz w:val="22"/>
          <w:szCs w:val="22"/>
        </w:rPr>
      </w:pPr>
      <w:r w:rsidRPr="00BC45C6">
        <w:rPr>
          <w:rFonts w:ascii="Arial" w:eastAsiaTheme="majorEastAsia" w:hAnsi="Arial" w:cs="Arial"/>
          <w:bCs/>
          <w:sz w:val="22"/>
          <w:szCs w:val="22"/>
        </w:rPr>
        <w:t>9.7.4</w:t>
      </w:r>
      <w:r w:rsidRPr="00BC45C6">
        <w:rPr>
          <w:rFonts w:ascii="Arial" w:eastAsiaTheme="majorEastAsia" w:hAnsi="Arial" w:cs="Arial"/>
          <w:bCs/>
          <w:sz w:val="22"/>
          <w:szCs w:val="22"/>
        </w:rPr>
        <w:tab/>
        <w:t xml:space="preserve">Rule 9.7.1 does not apply in any of the following circumstances. </w:t>
      </w:r>
    </w:p>
    <w:p w14:paraId="7D0DD324"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(1)</w:t>
      </w:r>
      <w:r w:rsidRPr="00BC45C6">
        <w:rPr>
          <w:rFonts w:ascii="Arial" w:eastAsiaTheme="majorEastAsia" w:hAnsi="Arial" w:cs="Arial"/>
          <w:bCs/>
          <w:iCs/>
          <w:sz w:val="22"/>
          <w:szCs w:val="22"/>
        </w:rPr>
        <w:tab/>
        <w:t xml:space="preserve">An issue of Securities to holders of Ordinary Securities made under a Pro Rata Issue and to holders of other Equity Securities to the extent that the terms of issue of the Equity Securities permit participation in the Pro Rata Issue. </w:t>
      </w:r>
    </w:p>
    <w:p w14:paraId="166A0F35" w14:textId="77777777" w:rsidR="00BC45C6" w:rsidRPr="00BC45C6" w:rsidRDefault="00BC45C6" w:rsidP="00BC45C6">
      <w:pPr>
        <w:spacing w:after="240" w:line="246" w:lineRule="atLeast"/>
        <w:ind w:left="720"/>
        <w:jc w:val="both"/>
        <w:outlineLvl w:val="3"/>
        <w:rPr>
          <w:rFonts w:ascii="Arial" w:eastAsiaTheme="majorEastAsia" w:hAnsi="Arial" w:cs="Arial"/>
          <w:b/>
          <w:iCs/>
          <w:sz w:val="22"/>
          <w:szCs w:val="22"/>
        </w:rPr>
      </w:pPr>
      <w:r w:rsidRPr="00BC45C6">
        <w:rPr>
          <w:rFonts w:ascii="Arial" w:eastAsiaTheme="majorEastAsia" w:hAnsi="Arial" w:cs="Arial"/>
          <w:b/>
          <w:iCs/>
          <w:sz w:val="22"/>
          <w:szCs w:val="22"/>
        </w:rPr>
        <w:t>Guidance</w:t>
      </w:r>
    </w:p>
    <w:p w14:paraId="7DD612EE" w14:textId="77777777" w:rsidR="00BC45C6" w:rsidRPr="00BC45C6" w:rsidRDefault="00BC45C6" w:rsidP="00BC45C6">
      <w:pPr>
        <w:spacing w:after="240" w:line="246" w:lineRule="atLeast"/>
        <w:ind w:left="709"/>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The Regulator will consider Rule 9.7.4(1) to apply in circumstances where a Listed Entity offers Equity Securities to existing holders of Ordinary Securities on a pro-rata basis in order to meet pre-emption rights contained in the Listed Entity’s constitutional document or where such pre-emption rights are provided for in the laws of the Listed Entity’s jurisdiction of incorporation.</w:t>
      </w:r>
    </w:p>
    <w:p w14:paraId="18A13AE3"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(2)</w:t>
      </w:r>
      <w:r w:rsidRPr="00BC45C6">
        <w:rPr>
          <w:rFonts w:ascii="Arial" w:eastAsiaTheme="majorEastAsia" w:hAnsi="Arial" w:cs="Arial"/>
          <w:bCs/>
          <w:iCs/>
          <w:sz w:val="22"/>
          <w:szCs w:val="22"/>
        </w:rPr>
        <w:tab/>
        <w:t>An issue of Securities under an agreement to Underwrite the shortfall on a Pro Rata Issue to holders of:</w:t>
      </w:r>
    </w:p>
    <w:p w14:paraId="7C5CC4D8"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(a)</w:t>
      </w:r>
      <w:r w:rsidRPr="00BC45C6">
        <w:rPr>
          <w:rFonts w:ascii="Arial" w:eastAsiaTheme="majorEastAsia" w:hAnsi="Arial" w:cs="Arial"/>
          <w:sz w:val="22"/>
          <w:szCs w:val="22"/>
        </w:rPr>
        <w:tab/>
        <w:t xml:space="preserve">Ordinary Securities; or </w:t>
      </w:r>
    </w:p>
    <w:p w14:paraId="0DF87D05"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(b)</w:t>
      </w:r>
      <w:r w:rsidRPr="00BC45C6">
        <w:rPr>
          <w:rFonts w:ascii="Arial" w:eastAsiaTheme="majorEastAsia" w:hAnsi="Arial" w:cs="Arial"/>
          <w:sz w:val="22"/>
          <w:szCs w:val="22"/>
        </w:rPr>
        <w:tab/>
        <w:t>Ordinary Securities and to holders of other Equity Securities to the extent that the terms of issue of the Equity Securities permit participation in the Pro Rata Issue;</w:t>
      </w:r>
    </w:p>
    <w:p w14:paraId="10E0E7AF" w14:textId="77777777" w:rsidR="00BC45C6" w:rsidRPr="00BC45C6" w:rsidRDefault="00BC45C6" w:rsidP="00BC45C6">
      <w:pPr>
        <w:spacing w:after="240" w:line="246" w:lineRule="atLeast"/>
        <w:ind w:left="1440"/>
        <w:jc w:val="both"/>
        <w:rPr>
          <w:rFonts w:ascii="Arial" w:eastAsia="Times New Roman" w:hAnsi="Arial" w:cs="Arial"/>
          <w:sz w:val="22"/>
          <w:szCs w:val="22"/>
        </w:rPr>
      </w:pPr>
      <w:r w:rsidRPr="00BC45C6">
        <w:rPr>
          <w:rFonts w:ascii="Arial" w:eastAsia="Times New Roman" w:hAnsi="Arial" w:cs="Arial"/>
          <w:sz w:val="22"/>
          <w:szCs w:val="22"/>
        </w:rPr>
        <w:t>If the Listed Entity has made the issue not later than 15 Business Days after the close of the Offer and has Disclosed:</w:t>
      </w:r>
    </w:p>
    <w:p w14:paraId="1F24E743"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(i)</w:t>
      </w:r>
      <w:r w:rsidRPr="00BC45C6">
        <w:rPr>
          <w:rFonts w:ascii="Arial" w:eastAsiaTheme="majorEastAsia" w:hAnsi="Arial" w:cs="Arial"/>
          <w:sz w:val="22"/>
          <w:szCs w:val="22"/>
        </w:rPr>
        <w:tab/>
        <w:t>the name of the underwriter;</w:t>
      </w:r>
    </w:p>
    <w:p w14:paraId="65C8C224"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(ii)</w:t>
      </w:r>
      <w:r w:rsidRPr="00BC45C6">
        <w:rPr>
          <w:rFonts w:ascii="Arial" w:eastAsiaTheme="majorEastAsia" w:hAnsi="Arial" w:cs="Arial"/>
          <w:sz w:val="22"/>
          <w:szCs w:val="22"/>
        </w:rPr>
        <w:tab/>
        <w:t>the extent of the Underwriting;</w:t>
      </w:r>
    </w:p>
    <w:p w14:paraId="61CCBFE2"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lastRenderedPageBreak/>
        <w:t>(iii)</w:t>
      </w:r>
      <w:r w:rsidRPr="00BC45C6">
        <w:rPr>
          <w:rFonts w:ascii="Arial" w:eastAsiaTheme="majorEastAsia" w:hAnsi="Arial" w:cs="Arial"/>
          <w:sz w:val="22"/>
          <w:szCs w:val="22"/>
        </w:rPr>
        <w:tab/>
        <w:t>the fee, commission or other consideration payable to the underwriter(s); and</w:t>
      </w:r>
    </w:p>
    <w:p w14:paraId="06EA3505"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(iv)</w:t>
      </w:r>
      <w:r w:rsidRPr="00BC45C6">
        <w:rPr>
          <w:rFonts w:ascii="Arial" w:eastAsiaTheme="majorEastAsia" w:hAnsi="Arial" w:cs="Arial"/>
          <w:sz w:val="22"/>
          <w:szCs w:val="22"/>
        </w:rPr>
        <w:tab/>
        <w:t>a summary of the significant events that could lead to the Underwriting being terminated.</w:t>
      </w:r>
    </w:p>
    <w:p w14:paraId="6200B437" w14:textId="77777777" w:rsidR="00BC45C6" w:rsidRPr="00BC45C6" w:rsidRDefault="00BC45C6" w:rsidP="00BC45C6">
      <w:pPr>
        <w:spacing w:after="240" w:line="246" w:lineRule="atLeast"/>
        <w:ind w:left="709"/>
        <w:jc w:val="both"/>
        <w:outlineLvl w:val="4"/>
        <w:rPr>
          <w:rFonts w:ascii="Arial" w:eastAsiaTheme="majorEastAsia" w:hAnsi="Arial" w:cs="Arial"/>
          <w:b/>
          <w:bCs/>
          <w:sz w:val="22"/>
          <w:szCs w:val="22"/>
        </w:rPr>
      </w:pPr>
      <w:r w:rsidRPr="00BC45C6">
        <w:rPr>
          <w:rFonts w:ascii="Arial" w:eastAsiaTheme="majorEastAsia" w:hAnsi="Arial" w:cs="Arial"/>
          <w:b/>
          <w:bCs/>
          <w:sz w:val="22"/>
          <w:szCs w:val="22"/>
        </w:rPr>
        <w:t>Guidance</w:t>
      </w:r>
    </w:p>
    <w:p w14:paraId="500E930C" w14:textId="77777777" w:rsidR="00BC45C6" w:rsidRPr="00BC45C6" w:rsidRDefault="00BC45C6" w:rsidP="00BC45C6">
      <w:pPr>
        <w:spacing w:after="240" w:line="246" w:lineRule="atLeast"/>
        <w:ind w:left="709"/>
        <w:jc w:val="both"/>
        <w:outlineLvl w:val="4"/>
        <w:rPr>
          <w:rFonts w:ascii="Arial" w:eastAsiaTheme="majorEastAsia" w:hAnsi="Arial" w:cs="Arial"/>
          <w:sz w:val="22"/>
          <w:szCs w:val="22"/>
        </w:rPr>
      </w:pPr>
      <w:r w:rsidRPr="00BC45C6">
        <w:rPr>
          <w:rFonts w:ascii="Arial" w:eastAsiaTheme="majorEastAsia" w:hAnsi="Arial" w:cs="Arial"/>
          <w:sz w:val="22"/>
          <w:szCs w:val="22"/>
        </w:rPr>
        <w:t>This exception (2) only applies to an issue of Securities to make up the shortfall from a Pro Rata Issue.  It does not apply to any other issue of Securities under an Underwriting agreement, for example, the payment of fees related to the Underwriting.</w:t>
      </w:r>
    </w:p>
    <w:p w14:paraId="5A2C10DE" w14:textId="77777777" w:rsidR="00BC45C6" w:rsidRPr="00BC45C6" w:rsidRDefault="00BC45C6" w:rsidP="00BC45C6">
      <w:pPr>
        <w:tabs>
          <w:tab w:val="left" w:pos="1418"/>
        </w:tabs>
        <w:spacing w:after="240" w:line="246" w:lineRule="atLeast"/>
        <w:ind w:left="2268" w:hanging="1559"/>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(3)</w:t>
      </w:r>
      <w:r w:rsidRPr="00BC45C6">
        <w:rPr>
          <w:rFonts w:ascii="Arial" w:eastAsiaTheme="majorEastAsia" w:hAnsi="Arial" w:cs="Arial"/>
          <w:bCs/>
          <w:iCs/>
          <w:sz w:val="22"/>
          <w:szCs w:val="22"/>
        </w:rPr>
        <w:tab/>
        <w:t xml:space="preserve">(a) </w:t>
      </w:r>
      <w:r w:rsidRPr="00BC45C6">
        <w:rPr>
          <w:rFonts w:ascii="Arial" w:eastAsiaTheme="majorEastAsia" w:hAnsi="Arial" w:cs="Arial"/>
          <w:bCs/>
          <w:iCs/>
          <w:sz w:val="22"/>
          <w:szCs w:val="22"/>
        </w:rPr>
        <w:tab/>
        <w:t>An issue of Securities to make up the shortfall on a Pro Rata Issue to holders of:</w:t>
      </w:r>
    </w:p>
    <w:p w14:paraId="679008DC" w14:textId="77777777" w:rsidR="00BC45C6" w:rsidRPr="00BC45C6" w:rsidRDefault="00BC45C6" w:rsidP="00BC45C6">
      <w:pPr>
        <w:spacing w:after="240" w:line="246" w:lineRule="atLeast"/>
        <w:ind w:left="2977" w:hanging="709"/>
        <w:jc w:val="both"/>
        <w:outlineLvl w:val="4"/>
        <w:rPr>
          <w:rFonts w:ascii="Arial" w:eastAsiaTheme="majorEastAsia" w:hAnsi="Arial" w:cs="Arial"/>
          <w:sz w:val="22"/>
          <w:szCs w:val="22"/>
        </w:rPr>
      </w:pPr>
      <w:r w:rsidRPr="00BC45C6">
        <w:rPr>
          <w:rFonts w:ascii="Arial" w:eastAsiaTheme="majorEastAsia" w:hAnsi="Arial" w:cs="Arial"/>
          <w:sz w:val="22"/>
          <w:szCs w:val="22"/>
        </w:rPr>
        <w:t>(i)</w:t>
      </w:r>
      <w:r w:rsidRPr="00BC45C6">
        <w:rPr>
          <w:rFonts w:ascii="Arial" w:eastAsiaTheme="majorEastAsia" w:hAnsi="Arial" w:cs="Arial"/>
          <w:sz w:val="22"/>
          <w:szCs w:val="22"/>
        </w:rPr>
        <w:tab/>
        <w:t xml:space="preserve">Ordinary Securities; or </w:t>
      </w:r>
    </w:p>
    <w:p w14:paraId="1BB0D590" w14:textId="77777777" w:rsidR="00BC45C6" w:rsidRPr="00BC45C6" w:rsidRDefault="00BC45C6" w:rsidP="00BC45C6">
      <w:pPr>
        <w:spacing w:after="240" w:line="246" w:lineRule="atLeast"/>
        <w:ind w:left="2977" w:hanging="709"/>
        <w:jc w:val="both"/>
        <w:outlineLvl w:val="4"/>
        <w:rPr>
          <w:rFonts w:ascii="Arial" w:eastAsiaTheme="majorEastAsia" w:hAnsi="Arial" w:cs="Arial"/>
          <w:sz w:val="22"/>
          <w:szCs w:val="22"/>
        </w:rPr>
      </w:pPr>
      <w:r w:rsidRPr="00BC45C6">
        <w:rPr>
          <w:rFonts w:ascii="Arial" w:eastAsiaTheme="majorEastAsia" w:hAnsi="Arial" w:cs="Arial"/>
          <w:sz w:val="22"/>
          <w:szCs w:val="22"/>
        </w:rPr>
        <w:t>(ii)</w:t>
      </w:r>
      <w:r w:rsidRPr="00BC45C6">
        <w:rPr>
          <w:rFonts w:ascii="Arial" w:eastAsiaTheme="majorEastAsia" w:hAnsi="Arial" w:cs="Arial"/>
          <w:sz w:val="22"/>
          <w:szCs w:val="22"/>
        </w:rPr>
        <w:tab/>
        <w:t>Ordinary Securities and to holders of other Equity Securities to the extent that the terms of issue of the Equity Securities permit participation in the Pro Rata Issue.</w:t>
      </w:r>
    </w:p>
    <w:p w14:paraId="69FDAF88" w14:textId="77777777" w:rsidR="00BC45C6" w:rsidRPr="00BC45C6" w:rsidRDefault="00BC45C6" w:rsidP="00BC45C6">
      <w:pPr>
        <w:spacing w:after="240" w:line="246" w:lineRule="atLeast"/>
        <w:ind w:left="2268" w:hanging="850"/>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 xml:space="preserve">(b) </w:t>
      </w:r>
      <w:r w:rsidRPr="00BC45C6">
        <w:rPr>
          <w:rFonts w:ascii="Arial" w:eastAsiaTheme="majorEastAsia" w:hAnsi="Arial" w:cs="Arial"/>
          <w:bCs/>
          <w:iCs/>
          <w:sz w:val="22"/>
          <w:szCs w:val="22"/>
        </w:rPr>
        <w:tab/>
        <w:t xml:space="preserve">The Listed Entity  must have stated as part of the Offer that it reserves the right to issue the shortfall and what their allocation policy will be in relation to the shortfall.  </w:t>
      </w:r>
    </w:p>
    <w:p w14:paraId="4443D36A" w14:textId="77777777" w:rsidR="00BC45C6" w:rsidRPr="00BC45C6" w:rsidRDefault="00BC45C6" w:rsidP="00BC45C6">
      <w:pPr>
        <w:spacing w:after="240" w:line="246" w:lineRule="atLeast"/>
        <w:ind w:left="2268" w:hanging="850"/>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 xml:space="preserve">(c) </w:t>
      </w:r>
      <w:r w:rsidRPr="00BC45C6">
        <w:rPr>
          <w:rFonts w:ascii="Arial" w:eastAsiaTheme="majorEastAsia" w:hAnsi="Arial" w:cs="Arial"/>
          <w:bCs/>
          <w:iCs/>
          <w:sz w:val="22"/>
          <w:szCs w:val="22"/>
        </w:rPr>
        <w:tab/>
        <w:t>The Listed Entity must make the issue to make up the shortfall not later than three months after the close of the Offer, and the issue price must not be less than the price at which the Securities were offered under the Pro Rata Issue.</w:t>
      </w:r>
    </w:p>
    <w:p w14:paraId="79126FA2"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(4)</w:t>
      </w:r>
      <w:r w:rsidRPr="00BC45C6">
        <w:rPr>
          <w:rFonts w:ascii="Arial" w:eastAsiaTheme="majorEastAsia" w:hAnsi="Arial" w:cs="Arial"/>
          <w:bCs/>
          <w:iCs/>
          <w:sz w:val="22"/>
          <w:szCs w:val="22"/>
        </w:rPr>
        <w:tab/>
        <w:t>An issue of Securities under:</w:t>
      </w:r>
    </w:p>
    <w:p w14:paraId="535189CB"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(a)</w:t>
      </w:r>
      <w:r w:rsidRPr="00BC45C6">
        <w:rPr>
          <w:rFonts w:ascii="Arial" w:eastAsiaTheme="majorEastAsia" w:hAnsi="Arial" w:cs="Arial"/>
          <w:sz w:val="22"/>
          <w:szCs w:val="22"/>
        </w:rPr>
        <w:tab/>
        <w:t>a dividend or distribution plan; or</w:t>
      </w:r>
    </w:p>
    <w:p w14:paraId="7A2018F8"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(b)</w:t>
      </w:r>
      <w:r w:rsidRPr="00BC45C6">
        <w:rPr>
          <w:rFonts w:ascii="Arial" w:eastAsiaTheme="majorEastAsia" w:hAnsi="Arial" w:cs="Arial"/>
          <w:sz w:val="22"/>
          <w:szCs w:val="22"/>
        </w:rPr>
        <w:tab/>
        <w:t>an agreement to Underwrite the shortfall on a dividend or distribution plan where:</w:t>
      </w:r>
    </w:p>
    <w:p w14:paraId="3C6AD556" w14:textId="77777777" w:rsidR="00BC45C6" w:rsidRPr="00BC45C6" w:rsidRDefault="00BC45C6" w:rsidP="00BC45C6">
      <w:pPr>
        <w:spacing w:after="240" w:line="246" w:lineRule="atLeast"/>
        <w:ind w:left="2977" w:hanging="850"/>
        <w:jc w:val="both"/>
        <w:outlineLvl w:val="4"/>
        <w:rPr>
          <w:rFonts w:ascii="Arial" w:eastAsiaTheme="majorEastAsia" w:hAnsi="Arial" w:cs="Arial"/>
          <w:sz w:val="22"/>
          <w:szCs w:val="22"/>
        </w:rPr>
      </w:pPr>
      <w:r w:rsidRPr="00BC45C6">
        <w:rPr>
          <w:rFonts w:ascii="Arial" w:eastAsiaTheme="majorEastAsia" w:hAnsi="Arial" w:cs="Arial"/>
          <w:sz w:val="22"/>
          <w:szCs w:val="22"/>
        </w:rPr>
        <w:t>(i)</w:t>
      </w:r>
      <w:r w:rsidRPr="00BC45C6">
        <w:rPr>
          <w:rFonts w:ascii="Arial" w:eastAsiaTheme="majorEastAsia" w:hAnsi="Arial" w:cs="Arial"/>
          <w:sz w:val="22"/>
          <w:szCs w:val="22"/>
        </w:rPr>
        <w:tab/>
        <w:t>details of the Underwriting agreement were Disclosed prior to the date for payment of the dividend or distribution in accordance with Rule 3.8.1 or 7.6.1; and</w:t>
      </w:r>
    </w:p>
    <w:p w14:paraId="698705CD" w14:textId="77777777" w:rsidR="00BC45C6" w:rsidRPr="00BC45C6" w:rsidRDefault="00BC45C6" w:rsidP="00BC45C6">
      <w:pPr>
        <w:spacing w:after="240" w:line="246" w:lineRule="atLeast"/>
        <w:ind w:left="2977" w:hanging="850"/>
        <w:jc w:val="both"/>
        <w:outlineLvl w:val="4"/>
        <w:rPr>
          <w:rFonts w:ascii="Arial" w:eastAsiaTheme="majorEastAsia" w:hAnsi="Arial" w:cs="Arial"/>
          <w:sz w:val="22"/>
          <w:szCs w:val="22"/>
        </w:rPr>
      </w:pPr>
      <w:r w:rsidRPr="00BC45C6">
        <w:rPr>
          <w:rFonts w:ascii="Arial" w:eastAsiaTheme="majorEastAsia" w:hAnsi="Arial" w:cs="Arial"/>
          <w:sz w:val="22"/>
          <w:szCs w:val="22"/>
        </w:rPr>
        <w:t>(ii)</w:t>
      </w:r>
      <w:r w:rsidRPr="00BC45C6">
        <w:rPr>
          <w:rFonts w:ascii="Arial" w:eastAsiaTheme="majorEastAsia" w:hAnsi="Arial" w:cs="Arial"/>
          <w:sz w:val="22"/>
          <w:szCs w:val="22"/>
        </w:rPr>
        <w:tab/>
        <w:t>the Listed Entity makes the issue within 15 Business Days after the date for payment of the dividend or distribution.</w:t>
      </w:r>
    </w:p>
    <w:p w14:paraId="7BF68733" w14:textId="77777777" w:rsidR="00BC45C6" w:rsidRPr="00BC45C6" w:rsidRDefault="00BC45C6" w:rsidP="00BC45C6">
      <w:pPr>
        <w:spacing w:after="240" w:line="246" w:lineRule="atLeast"/>
        <w:ind w:left="2160" w:hanging="1451"/>
        <w:jc w:val="both"/>
        <w:outlineLvl w:val="4"/>
        <w:rPr>
          <w:rFonts w:ascii="Arial" w:eastAsiaTheme="majorEastAsia" w:hAnsi="Arial" w:cs="Arial"/>
          <w:b/>
          <w:bCs/>
          <w:sz w:val="22"/>
          <w:szCs w:val="22"/>
        </w:rPr>
      </w:pPr>
      <w:r w:rsidRPr="00BC45C6">
        <w:rPr>
          <w:rFonts w:ascii="Arial" w:eastAsiaTheme="majorEastAsia" w:hAnsi="Arial" w:cs="Arial"/>
          <w:b/>
          <w:bCs/>
          <w:sz w:val="22"/>
          <w:szCs w:val="22"/>
        </w:rPr>
        <w:t>Guidance</w:t>
      </w:r>
    </w:p>
    <w:p w14:paraId="3BADA7CA" w14:textId="77777777" w:rsidR="00BC45C6" w:rsidRPr="00BC45C6" w:rsidRDefault="00BC45C6" w:rsidP="00BC45C6">
      <w:pPr>
        <w:spacing w:after="240" w:line="246" w:lineRule="atLeast"/>
        <w:ind w:left="1418" w:hanging="709"/>
        <w:jc w:val="both"/>
        <w:outlineLvl w:val="0"/>
        <w:rPr>
          <w:rFonts w:ascii="Arial" w:eastAsiaTheme="majorEastAsia" w:hAnsi="Arial" w:cs="Arial"/>
          <w:bCs/>
          <w:sz w:val="22"/>
          <w:szCs w:val="22"/>
        </w:rPr>
      </w:pPr>
      <w:r w:rsidRPr="00BC45C6">
        <w:rPr>
          <w:rFonts w:ascii="Arial" w:eastAsiaTheme="majorEastAsia" w:hAnsi="Arial" w:cs="Arial"/>
          <w:bCs/>
          <w:sz w:val="22"/>
          <w:szCs w:val="22"/>
        </w:rPr>
        <w:t>1.</w:t>
      </w:r>
      <w:r w:rsidRPr="00BC45C6">
        <w:rPr>
          <w:rFonts w:ascii="Arial" w:eastAsiaTheme="majorEastAsia" w:hAnsi="Arial" w:cs="Arial"/>
          <w:bCs/>
          <w:sz w:val="22"/>
          <w:szCs w:val="22"/>
        </w:rPr>
        <w:tab/>
        <w:t>Exception (4) is only available where the dividend or distribution plan does not impose a limit on participation.</w:t>
      </w:r>
    </w:p>
    <w:p w14:paraId="100AB864" w14:textId="77777777" w:rsidR="00BC45C6" w:rsidRPr="00BC45C6" w:rsidRDefault="00BC45C6" w:rsidP="00BC45C6">
      <w:pPr>
        <w:spacing w:after="240" w:line="246" w:lineRule="atLeast"/>
        <w:ind w:left="1418" w:hanging="709"/>
        <w:jc w:val="both"/>
        <w:outlineLvl w:val="0"/>
        <w:rPr>
          <w:rFonts w:ascii="Arial" w:eastAsiaTheme="majorEastAsia" w:hAnsi="Arial" w:cs="Arial"/>
          <w:bCs/>
          <w:sz w:val="22"/>
          <w:szCs w:val="22"/>
        </w:rPr>
      </w:pPr>
      <w:r w:rsidRPr="00BC45C6">
        <w:rPr>
          <w:rFonts w:ascii="Arial" w:eastAsiaTheme="majorEastAsia" w:hAnsi="Arial" w:cs="Arial"/>
          <w:bCs/>
          <w:sz w:val="22"/>
          <w:szCs w:val="22"/>
        </w:rPr>
        <w:t>2.</w:t>
      </w:r>
      <w:r w:rsidRPr="00BC45C6">
        <w:rPr>
          <w:rFonts w:ascii="Arial" w:eastAsiaTheme="majorEastAsia" w:hAnsi="Arial" w:cs="Arial"/>
          <w:bCs/>
          <w:sz w:val="22"/>
          <w:szCs w:val="22"/>
        </w:rPr>
        <w:tab/>
        <w:t>Exception (4) only applies where Shareholders are able to elect to receive all of their dividend or distribution as Equity Securities. For example, Exception (4) would not apply where a Listed Entity has specified a:</w:t>
      </w:r>
    </w:p>
    <w:p w14:paraId="06509D2A" w14:textId="77777777" w:rsidR="00BC45C6" w:rsidRPr="00BC45C6" w:rsidRDefault="00BC45C6" w:rsidP="00BC45C6">
      <w:pPr>
        <w:spacing w:after="240" w:line="246" w:lineRule="atLeast"/>
        <w:ind w:left="2127" w:hanging="709"/>
        <w:contextualSpacing/>
        <w:jc w:val="both"/>
        <w:rPr>
          <w:rFonts w:ascii="Arial" w:hAnsi="Arial" w:cs="Arial"/>
          <w:sz w:val="22"/>
          <w:szCs w:val="22"/>
        </w:rPr>
      </w:pPr>
      <w:r w:rsidRPr="00BC45C6">
        <w:rPr>
          <w:rFonts w:ascii="Arial" w:hAnsi="Arial" w:cs="Arial"/>
          <w:sz w:val="22"/>
          <w:szCs w:val="22"/>
        </w:rPr>
        <w:t>a.</w:t>
      </w:r>
      <w:r w:rsidRPr="00BC45C6">
        <w:rPr>
          <w:rFonts w:ascii="Arial" w:hAnsi="Arial" w:cs="Arial"/>
          <w:sz w:val="22"/>
          <w:szCs w:val="22"/>
        </w:rPr>
        <w:tab/>
        <w:t xml:space="preserve">US Dollar limit on the level of participation where, for example, Shareholders can only participate to a maximum value of $X in respect of their entitlement; or </w:t>
      </w:r>
    </w:p>
    <w:p w14:paraId="5DA9F6A6" w14:textId="77777777" w:rsidR="00BC45C6" w:rsidRPr="00BC45C6" w:rsidRDefault="00BC45C6" w:rsidP="00BC45C6">
      <w:pPr>
        <w:spacing w:after="240" w:line="246" w:lineRule="atLeast"/>
        <w:ind w:left="2127" w:hanging="709"/>
        <w:contextualSpacing/>
        <w:rPr>
          <w:rFonts w:ascii="Arial" w:hAnsi="Arial" w:cs="Arial"/>
          <w:sz w:val="22"/>
          <w:szCs w:val="22"/>
        </w:rPr>
      </w:pPr>
    </w:p>
    <w:p w14:paraId="5C682674" w14:textId="77777777" w:rsidR="00BC45C6" w:rsidRPr="00BC45C6" w:rsidRDefault="00BC45C6" w:rsidP="00BC45C6">
      <w:pPr>
        <w:spacing w:after="240" w:line="246" w:lineRule="atLeast"/>
        <w:ind w:left="2127" w:hanging="709"/>
        <w:contextualSpacing/>
        <w:jc w:val="both"/>
        <w:rPr>
          <w:rFonts w:ascii="Arial" w:hAnsi="Arial" w:cs="Arial"/>
          <w:sz w:val="22"/>
          <w:szCs w:val="22"/>
        </w:rPr>
      </w:pPr>
      <w:r w:rsidRPr="00BC45C6">
        <w:rPr>
          <w:rFonts w:ascii="Arial" w:hAnsi="Arial" w:cs="Arial"/>
          <w:sz w:val="22"/>
          <w:szCs w:val="22"/>
        </w:rPr>
        <w:t xml:space="preserve">b. </w:t>
      </w:r>
      <w:r w:rsidRPr="00BC45C6">
        <w:rPr>
          <w:rFonts w:ascii="Arial" w:hAnsi="Arial" w:cs="Arial"/>
          <w:sz w:val="22"/>
          <w:szCs w:val="22"/>
        </w:rPr>
        <w:tab/>
        <w:t xml:space="preserve">maximum number of Securities that can participate in the plan where, for example, Shareholders can only receive Securities in lieu of a dividend payable for Y number of Securities. </w:t>
      </w:r>
    </w:p>
    <w:p w14:paraId="22981C6A"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(5)</w:t>
      </w:r>
      <w:r w:rsidRPr="00BC45C6">
        <w:rPr>
          <w:rFonts w:ascii="Arial" w:eastAsiaTheme="majorEastAsia" w:hAnsi="Arial" w:cs="Arial"/>
          <w:bCs/>
          <w:iCs/>
          <w:sz w:val="22"/>
          <w:szCs w:val="22"/>
        </w:rPr>
        <w:tab/>
        <w:t>An issue of Securities under a Security Purchase Plan.  This is available only once in any 12 month period, and where:</w:t>
      </w:r>
    </w:p>
    <w:p w14:paraId="4086D40B"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(a)</w:t>
      </w:r>
      <w:r w:rsidRPr="00BC45C6">
        <w:rPr>
          <w:rFonts w:ascii="Arial" w:eastAsiaTheme="majorEastAsia" w:hAnsi="Arial" w:cs="Arial"/>
          <w:sz w:val="22"/>
          <w:szCs w:val="22"/>
        </w:rPr>
        <w:tab/>
        <w:t>the number of Securities to be issued is not greater than 20% of the number of fully paid Ordinary Securities on issue;</w:t>
      </w:r>
    </w:p>
    <w:p w14:paraId="0F81730E"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(b)</w:t>
      </w:r>
      <w:r w:rsidRPr="00BC45C6">
        <w:rPr>
          <w:rFonts w:ascii="Arial" w:eastAsiaTheme="majorEastAsia" w:hAnsi="Arial" w:cs="Arial"/>
          <w:sz w:val="22"/>
          <w:szCs w:val="22"/>
        </w:rPr>
        <w:tab/>
        <w:t>Offers are made to holders of Ordinary Securities in an amount not exceeding $10,000 in value per holder; and</w:t>
      </w:r>
    </w:p>
    <w:p w14:paraId="74279761"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(c)</w:t>
      </w:r>
      <w:r w:rsidRPr="00BC45C6">
        <w:rPr>
          <w:rFonts w:ascii="Arial" w:eastAsiaTheme="majorEastAsia" w:hAnsi="Arial" w:cs="Arial"/>
          <w:sz w:val="22"/>
          <w:szCs w:val="22"/>
        </w:rPr>
        <w:tab/>
        <w:t>the issue price of the Securities is at least 80% of the volume weighted average market price for Securities in that class calculated over the last five days on which sales in the Securities were recorded, either before the day on which the issue was Disclosed or before the day on which the issue was made.</w:t>
      </w:r>
    </w:p>
    <w:p w14:paraId="2DE76664" w14:textId="77777777" w:rsidR="00BC45C6" w:rsidRPr="00BC45C6" w:rsidRDefault="00BC45C6" w:rsidP="00BC45C6">
      <w:pPr>
        <w:spacing w:after="240" w:line="246" w:lineRule="atLeast"/>
        <w:ind w:left="709"/>
        <w:jc w:val="both"/>
        <w:outlineLvl w:val="4"/>
        <w:rPr>
          <w:rFonts w:ascii="Arial" w:eastAsiaTheme="majorEastAsia" w:hAnsi="Arial" w:cs="Arial"/>
          <w:b/>
          <w:bCs/>
          <w:sz w:val="22"/>
          <w:szCs w:val="22"/>
        </w:rPr>
      </w:pPr>
      <w:r w:rsidRPr="00BC45C6">
        <w:rPr>
          <w:rFonts w:ascii="Arial" w:eastAsiaTheme="majorEastAsia" w:hAnsi="Arial" w:cs="Arial"/>
          <w:b/>
          <w:bCs/>
          <w:sz w:val="22"/>
          <w:szCs w:val="22"/>
        </w:rPr>
        <w:t>Guidance</w:t>
      </w:r>
    </w:p>
    <w:p w14:paraId="214FD170" w14:textId="77777777" w:rsidR="00BC45C6" w:rsidRPr="00BC45C6" w:rsidRDefault="00BC45C6" w:rsidP="00BC45C6">
      <w:pPr>
        <w:spacing w:after="240" w:line="246" w:lineRule="atLeast"/>
        <w:ind w:left="709"/>
        <w:jc w:val="both"/>
        <w:outlineLvl w:val="4"/>
        <w:rPr>
          <w:rFonts w:ascii="Arial" w:eastAsiaTheme="majorEastAsia" w:hAnsi="Arial" w:cs="Arial"/>
          <w:sz w:val="22"/>
          <w:szCs w:val="22"/>
        </w:rPr>
      </w:pPr>
      <w:r w:rsidRPr="00BC45C6">
        <w:rPr>
          <w:rFonts w:ascii="Arial" w:eastAsiaTheme="majorEastAsia" w:hAnsi="Arial" w:cs="Arial"/>
          <w:sz w:val="22"/>
          <w:szCs w:val="22"/>
        </w:rPr>
        <w:t>Exception (5) does not apply to an issue of Securities under an agreement to Underwrite the shortfall on a Security Purchase Plan.</w:t>
      </w:r>
    </w:p>
    <w:p w14:paraId="0E2277A1" w14:textId="162A8BE5" w:rsidR="00BC45C6" w:rsidRPr="00F15CD7" w:rsidRDefault="00F15CD7" w:rsidP="00BC45C6">
      <w:pPr>
        <w:spacing w:after="240" w:line="246" w:lineRule="atLeast"/>
        <w:ind w:left="709"/>
        <w:jc w:val="both"/>
        <w:outlineLvl w:val="4"/>
        <w:rPr>
          <w:rFonts w:ascii="Arial" w:eastAsiaTheme="majorEastAsia" w:hAnsi="Arial" w:cs="Arial"/>
          <w:sz w:val="22"/>
          <w:szCs w:val="22"/>
        </w:rPr>
      </w:pPr>
      <w:r w:rsidRPr="00F15CD7">
        <w:rPr>
          <w:rFonts w:ascii="Arial" w:hAnsi="Arial" w:cs="Arial"/>
          <w:sz w:val="22"/>
          <w:szCs w:val="22"/>
        </w:rPr>
        <w:t>While Listed Entities will generally need to prepare a Prospectus document for an offer of Securities under a Security Purchase Plan, Listed Entities seeking relief from the Prospectus Provisions of FSMR are encouraged to discuss Prospectus requirements with the Regulator</w:t>
      </w:r>
      <w:r w:rsidR="00BC45C6" w:rsidRPr="00F15CD7">
        <w:rPr>
          <w:rFonts w:ascii="Arial" w:eastAsiaTheme="majorEastAsia" w:hAnsi="Arial" w:cs="Arial"/>
          <w:sz w:val="22"/>
          <w:szCs w:val="22"/>
        </w:rPr>
        <w:t xml:space="preserve">. </w:t>
      </w:r>
    </w:p>
    <w:p w14:paraId="5B5408F8"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(6)</w:t>
      </w:r>
      <w:r w:rsidRPr="00BC45C6">
        <w:rPr>
          <w:rFonts w:ascii="Arial" w:eastAsiaTheme="majorEastAsia" w:hAnsi="Arial" w:cs="Arial"/>
          <w:bCs/>
          <w:iCs/>
          <w:sz w:val="22"/>
          <w:szCs w:val="22"/>
        </w:rPr>
        <w:tab/>
        <w:t xml:space="preserve">An issue under a Takeover, except in circumstances of a Reverse Takeover.  </w:t>
      </w:r>
    </w:p>
    <w:p w14:paraId="41E8F5C0"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(7)</w:t>
      </w:r>
      <w:r w:rsidRPr="00BC45C6">
        <w:rPr>
          <w:rFonts w:ascii="Arial" w:eastAsiaTheme="majorEastAsia" w:hAnsi="Arial" w:cs="Arial"/>
          <w:bCs/>
          <w:iCs/>
          <w:sz w:val="22"/>
          <w:szCs w:val="22"/>
        </w:rPr>
        <w:tab/>
        <w:t xml:space="preserve">An issue of Securities to fund the cash consideration payable under a Takeover, except in circumstances of a Reverse Takeover, where the terms of the issue are Disclosed in the Takeover documents. </w:t>
      </w:r>
    </w:p>
    <w:p w14:paraId="2128908E"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(8)</w:t>
      </w:r>
      <w:r w:rsidRPr="00BC45C6">
        <w:rPr>
          <w:rFonts w:ascii="Arial" w:eastAsiaTheme="majorEastAsia" w:hAnsi="Arial" w:cs="Arial"/>
          <w:bCs/>
          <w:iCs/>
          <w:sz w:val="22"/>
          <w:szCs w:val="22"/>
        </w:rPr>
        <w:tab/>
        <w:t>An issue of Securities as a result of the conversion of Convertible Securities.  The Listed Entity must have issued the Convertible Securities:</w:t>
      </w:r>
    </w:p>
    <w:p w14:paraId="2C3E6E34"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(a)</w:t>
      </w:r>
      <w:r w:rsidRPr="00BC45C6">
        <w:rPr>
          <w:rFonts w:ascii="Arial" w:eastAsiaTheme="majorEastAsia" w:hAnsi="Arial" w:cs="Arial"/>
          <w:sz w:val="22"/>
          <w:szCs w:val="22"/>
        </w:rPr>
        <w:tab/>
        <w:t>before its Securities were admitted to the Official List, and disclosed the existence and material terms of the Convertible Securities in its Approved Prospectus or documents lodged with the Regulator under Rule 2.4.3; or</w:t>
      </w:r>
    </w:p>
    <w:p w14:paraId="721699D4"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(b)</w:t>
      </w:r>
      <w:r w:rsidRPr="00BC45C6">
        <w:rPr>
          <w:rFonts w:ascii="Arial" w:eastAsiaTheme="majorEastAsia" w:hAnsi="Arial" w:cs="Arial"/>
          <w:sz w:val="22"/>
          <w:szCs w:val="22"/>
        </w:rPr>
        <w:tab/>
        <w:t>after its Securities were admitted to the Official List, and complied with the Rules when it did so.</w:t>
      </w:r>
    </w:p>
    <w:p w14:paraId="68184B28" w14:textId="77777777" w:rsidR="00BC45C6" w:rsidRPr="00BC45C6" w:rsidRDefault="00BC45C6" w:rsidP="00BC45C6">
      <w:pPr>
        <w:spacing w:after="240" w:line="246" w:lineRule="atLeast"/>
        <w:ind w:left="709"/>
        <w:jc w:val="both"/>
        <w:outlineLvl w:val="4"/>
        <w:rPr>
          <w:rFonts w:ascii="Arial" w:eastAsiaTheme="majorEastAsia" w:hAnsi="Arial" w:cs="Arial"/>
          <w:b/>
          <w:bCs/>
          <w:sz w:val="22"/>
          <w:szCs w:val="22"/>
        </w:rPr>
      </w:pPr>
      <w:r w:rsidRPr="00BC45C6">
        <w:rPr>
          <w:rFonts w:ascii="Arial" w:eastAsiaTheme="majorEastAsia" w:hAnsi="Arial" w:cs="Arial"/>
          <w:b/>
          <w:bCs/>
          <w:sz w:val="22"/>
          <w:szCs w:val="22"/>
        </w:rPr>
        <w:t>Guidance</w:t>
      </w:r>
    </w:p>
    <w:p w14:paraId="0708222A" w14:textId="77777777" w:rsidR="00BC45C6" w:rsidRPr="00BC45C6" w:rsidRDefault="00BC45C6" w:rsidP="00BC45C6">
      <w:pPr>
        <w:spacing w:after="240" w:line="246" w:lineRule="atLeast"/>
        <w:ind w:left="709"/>
        <w:jc w:val="both"/>
        <w:outlineLvl w:val="4"/>
        <w:rPr>
          <w:rFonts w:ascii="Arial" w:eastAsiaTheme="majorEastAsia" w:hAnsi="Arial" w:cs="Arial"/>
          <w:sz w:val="22"/>
          <w:szCs w:val="22"/>
        </w:rPr>
      </w:pPr>
      <w:r w:rsidRPr="00BC45C6">
        <w:rPr>
          <w:rFonts w:ascii="Arial" w:eastAsiaTheme="majorEastAsia" w:hAnsi="Arial" w:cs="Arial"/>
          <w:sz w:val="22"/>
          <w:szCs w:val="22"/>
        </w:rPr>
        <w:t>A Warrant is a Convertible Security for the purposes of this Rule.</w:t>
      </w:r>
    </w:p>
    <w:p w14:paraId="5E13568F"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(9)</w:t>
      </w:r>
      <w:r w:rsidRPr="00BC45C6">
        <w:rPr>
          <w:rFonts w:ascii="Arial" w:eastAsiaTheme="majorEastAsia" w:hAnsi="Arial" w:cs="Arial"/>
          <w:bCs/>
          <w:iCs/>
          <w:sz w:val="22"/>
          <w:szCs w:val="22"/>
        </w:rPr>
        <w:tab/>
        <w:t>An issue of Securities under an agreement to Underwrite the shortfall on an exercise of Warrants. This is only available where:</w:t>
      </w:r>
    </w:p>
    <w:p w14:paraId="26EC99B9"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(a)</w:t>
      </w:r>
      <w:r w:rsidRPr="00BC45C6">
        <w:rPr>
          <w:rFonts w:ascii="Arial" w:eastAsiaTheme="majorEastAsia" w:hAnsi="Arial" w:cs="Arial"/>
          <w:sz w:val="22"/>
          <w:szCs w:val="22"/>
        </w:rPr>
        <w:tab/>
        <w:t>The Listed Entity issued the Warrants:</w:t>
      </w:r>
    </w:p>
    <w:p w14:paraId="5DD205A7" w14:textId="77777777" w:rsidR="00BC45C6" w:rsidRPr="00BC45C6" w:rsidRDefault="00BC45C6" w:rsidP="00BC45C6">
      <w:pPr>
        <w:spacing w:after="240" w:line="246" w:lineRule="atLeast"/>
        <w:ind w:left="2977" w:hanging="850"/>
        <w:jc w:val="both"/>
        <w:outlineLvl w:val="4"/>
        <w:rPr>
          <w:rFonts w:ascii="Arial" w:eastAsiaTheme="majorEastAsia" w:hAnsi="Arial" w:cs="Arial"/>
          <w:sz w:val="22"/>
          <w:szCs w:val="22"/>
        </w:rPr>
      </w:pPr>
      <w:r w:rsidRPr="00BC45C6">
        <w:rPr>
          <w:rFonts w:ascii="Arial" w:eastAsiaTheme="majorEastAsia" w:hAnsi="Arial" w:cs="Arial"/>
          <w:sz w:val="22"/>
          <w:szCs w:val="22"/>
        </w:rPr>
        <w:lastRenderedPageBreak/>
        <w:t>(i)</w:t>
      </w:r>
      <w:r w:rsidRPr="00BC45C6">
        <w:rPr>
          <w:rFonts w:ascii="Arial" w:eastAsiaTheme="majorEastAsia" w:hAnsi="Arial" w:cs="Arial"/>
          <w:sz w:val="22"/>
          <w:szCs w:val="22"/>
        </w:rPr>
        <w:tab/>
        <w:t>before its Securities were admitted to the Official List, and disclosed the existence and material terms of the Convertible Securities in its Approved Prospectus or documents lodged with the Regulator under Rule 2.4.3; or</w:t>
      </w:r>
    </w:p>
    <w:p w14:paraId="5D2FC164" w14:textId="77777777" w:rsidR="00BC45C6" w:rsidRPr="00BC45C6" w:rsidRDefault="00BC45C6" w:rsidP="00BC45C6">
      <w:pPr>
        <w:spacing w:after="240" w:line="246" w:lineRule="atLeast"/>
        <w:ind w:left="2977" w:hanging="850"/>
        <w:jc w:val="both"/>
        <w:outlineLvl w:val="4"/>
        <w:rPr>
          <w:rFonts w:ascii="Arial" w:eastAsiaTheme="majorEastAsia" w:hAnsi="Arial" w:cs="Arial"/>
          <w:sz w:val="22"/>
          <w:szCs w:val="22"/>
        </w:rPr>
      </w:pPr>
      <w:r w:rsidRPr="00BC45C6">
        <w:rPr>
          <w:rFonts w:ascii="Arial" w:eastAsiaTheme="majorEastAsia" w:hAnsi="Arial" w:cs="Arial"/>
          <w:sz w:val="22"/>
          <w:szCs w:val="22"/>
        </w:rPr>
        <w:t>(ii)</w:t>
      </w:r>
      <w:r w:rsidRPr="00BC45C6">
        <w:rPr>
          <w:rFonts w:ascii="Arial" w:eastAsiaTheme="majorEastAsia" w:hAnsi="Arial" w:cs="Arial"/>
          <w:sz w:val="22"/>
          <w:szCs w:val="22"/>
        </w:rPr>
        <w:tab/>
        <w:t>after its Securities were admitted to the Official List, and complied with the Rules when it did so;</w:t>
      </w:r>
    </w:p>
    <w:p w14:paraId="0C1AFE7C"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(b)</w:t>
      </w:r>
      <w:r w:rsidRPr="00BC45C6">
        <w:rPr>
          <w:rFonts w:ascii="Arial" w:eastAsiaTheme="majorEastAsia" w:hAnsi="Arial" w:cs="Arial"/>
          <w:sz w:val="22"/>
          <w:szCs w:val="22"/>
        </w:rPr>
        <w:tab/>
        <w:t>Details of the Underwriting agreement are Disclosed prior to the expiry of the Warrants; and</w:t>
      </w:r>
    </w:p>
    <w:p w14:paraId="02A196C5"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(c)</w:t>
      </w:r>
      <w:r w:rsidRPr="00BC45C6">
        <w:rPr>
          <w:rFonts w:ascii="Arial" w:eastAsiaTheme="majorEastAsia" w:hAnsi="Arial" w:cs="Arial"/>
          <w:sz w:val="22"/>
          <w:szCs w:val="22"/>
        </w:rPr>
        <w:tab/>
        <w:t>The underlying Securities are issued within 15 Business Days after the expiry of the Warrants.</w:t>
      </w:r>
    </w:p>
    <w:p w14:paraId="0C21AE21"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(10)</w:t>
      </w:r>
      <w:r w:rsidRPr="00BC45C6">
        <w:rPr>
          <w:rFonts w:ascii="Arial" w:eastAsiaTheme="majorEastAsia" w:hAnsi="Arial" w:cs="Arial"/>
          <w:bCs/>
          <w:iCs/>
          <w:sz w:val="22"/>
          <w:szCs w:val="22"/>
        </w:rPr>
        <w:tab/>
        <w:t xml:space="preserve">An issue of Preference Securities, in the form of Shares, which do not have any rights of conversion into another class of Equity Security. These Preference Securities must comply with Rules 9.3.9 to 9.3.13. </w:t>
      </w:r>
    </w:p>
    <w:p w14:paraId="0321E210"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(11)</w:t>
      </w:r>
      <w:r w:rsidRPr="00BC45C6">
        <w:rPr>
          <w:rFonts w:ascii="Arial" w:eastAsiaTheme="majorEastAsia" w:hAnsi="Arial" w:cs="Arial"/>
          <w:bCs/>
          <w:iCs/>
          <w:sz w:val="22"/>
          <w:szCs w:val="22"/>
        </w:rPr>
        <w:tab/>
        <w:t>The reissue or sale of forfeited Shares within six weeks after the day on which the call was due and payable.</w:t>
      </w:r>
    </w:p>
    <w:p w14:paraId="45EA4184"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(12)</w:t>
      </w:r>
      <w:r w:rsidRPr="00BC45C6">
        <w:rPr>
          <w:rFonts w:ascii="Arial" w:eastAsiaTheme="majorEastAsia" w:hAnsi="Arial" w:cs="Arial"/>
          <w:bCs/>
          <w:iCs/>
          <w:sz w:val="22"/>
          <w:szCs w:val="22"/>
        </w:rPr>
        <w:tab/>
        <w:t>An issue of Securities under an Employee Incentive Scheme if within three years before the issue date:</w:t>
      </w:r>
    </w:p>
    <w:p w14:paraId="46E03B00"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(a)</w:t>
      </w:r>
      <w:r w:rsidRPr="00BC45C6">
        <w:rPr>
          <w:rFonts w:ascii="Arial" w:eastAsiaTheme="majorEastAsia" w:hAnsi="Arial" w:cs="Arial"/>
          <w:sz w:val="22"/>
          <w:szCs w:val="22"/>
        </w:rPr>
        <w:tab/>
        <w:t>in the case of a scheme established before the Listed Entity’s Securities were admitted to the Official List – a summary of the terms of the scheme and the maximum number of Equity Securities proposed to be issued under the scheme were set out in in its Approved Prospectus or documents lodged with the Regulator under Rule 2.4.3; or</w:t>
      </w:r>
    </w:p>
    <w:p w14:paraId="234454FB"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(b)</w:t>
      </w:r>
      <w:r w:rsidRPr="00BC45C6">
        <w:rPr>
          <w:rFonts w:ascii="Arial" w:eastAsiaTheme="majorEastAsia" w:hAnsi="Arial" w:cs="Arial"/>
          <w:sz w:val="22"/>
          <w:szCs w:val="22"/>
        </w:rPr>
        <w:tab/>
        <w:t>the holders of the Listed Entity’s Ordinary Securities have approved the issue of Equity Securities under the scheme as an exception to Rule 9.7.1.  The notice of meeting must have included:</w:t>
      </w:r>
    </w:p>
    <w:p w14:paraId="0F7CDCD4" w14:textId="77777777" w:rsidR="00BC45C6" w:rsidRPr="00BC45C6" w:rsidRDefault="00BC45C6" w:rsidP="00BC45C6">
      <w:pPr>
        <w:spacing w:after="240" w:line="246" w:lineRule="atLeast"/>
        <w:ind w:left="2835" w:hanging="708"/>
        <w:jc w:val="both"/>
        <w:outlineLvl w:val="4"/>
        <w:rPr>
          <w:rFonts w:ascii="Arial" w:eastAsiaTheme="majorEastAsia" w:hAnsi="Arial" w:cs="Arial"/>
          <w:sz w:val="22"/>
          <w:szCs w:val="22"/>
        </w:rPr>
      </w:pPr>
      <w:r w:rsidRPr="00BC45C6">
        <w:rPr>
          <w:rFonts w:ascii="Arial" w:eastAsiaTheme="majorEastAsia" w:hAnsi="Arial" w:cs="Arial"/>
          <w:sz w:val="22"/>
          <w:szCs w:val="22"/>
        </w:rPr>
        <w:t>(i)</w:t>
      </w:r>
      <w:r w:rsidRPr="00BC45C6">
        <w:rPr>
          <w:rFonts w:ascii="Arial" w:eastAsiaTheme="majorEastAsia" w:hAnsi="Arial" w:cs="Arial"/>
          <w:sz w:val="22"/>
          <w:szCs w:val="22"/>
        </w:rPr>
        <w:tab/>
        <w:t>a summary of the terms of the scheme;</w:t>
      </w:r>
    </w:p>
    <w:p w14:paraId="44307AF8" w14:textId="77777777" w:rsidR="00BC45C6" w:rsidRPr="00BC45C6" w:rsidRDefault="00BC45C6" w:rsidP="00BC45C6">
      <w:pPr>
        <w:spacing w:after="240" w:line="246" w:lineRule="atLeast"/>
        <w:ind w:left="2835" w:hanging="708"/>
        <w:jc w:val="both"/>
        <w:outlineLvl w:val="4"/>
        <w:rPr>
          <w:rFonts w:ascii="Arial" w:eastAsiaTheme="majorEastAsia" w:hAnsi="Arial" w:cs="Arial"/>
          <w:sz w:val="22"/>
          <w:szCs w:val="22"/>
        </w:rPr>
      </w:pPr>
      <w:r w:rsidRPr="00BC45C6">
        <w:rPr>
          <w:rFonts w:ascii="Arial" w:eastAsiaTheme="majorEastAsia" w:hAnsi="Arial" w:cs="Arial"/>
          <w:sz w:val="22"/>
          <w:szCs w:val="22"/>
        </w:rPr>
        <w:t>(ii)</w:t>
      </w:r>
      <w:r w:rsidRPr="00BC45C6">
        <w:rPr>
          <w:rFonts w:ascii="Arial" w:eastAsiaTheme="majorEastAsia" w:hAnsi="Arial" w:cs="Arial"/>
          <w:sz w:val="22"/>
          <w:szCs w:val="22"/>
        </w:rPr>
        <w:tab/>
        <w:t>the number of Securities issued under the scheme since the Listed Entity’s Securities were admitted to the Official List, or the date of the last approval under this Rule; and</w:t>
      </w:r>
    </w:p>
    <w:p w14:paraId="12EA60A7" w14:textId="77777777" w:rsidR="00BC45C6" w:rsidRPr="00BC45C6" w:rsidRDefault="00BC45C6" w:rsidP="00BC45C6">
      <w:pPr>
        <w:spacing w:after="240" w:line="246" w:lineRule="atLeast"/>
        <w:ind w:left="2835" w:hanging="708"/>
        <w:jc w:val="both"/>
        <w:outlineLvl w:val="4"/>
        <w:rPr>
          <w:rFonts w:ascii="Arial" w:eastAsiaTheme="majorEastAsia" w:hAnsi="Arial" w:cs="Arial"/>
          <w:sz w:val="22"/>
          <w:szCs w:val="22"/>
        </w:rPr>
      </w:pPr>
      <w:r w:rsidRPr="00BC45C6">
        <w:rPr>
          <w:rFonts w:ascii="Arial" w:eastAsiaTheme="majorEastAsia" w:hAnsi="Arial" w:cs="Arial"/>
          <w:sz w:val="22"/>
          <w:szCs w:val="22"/>
        </w:rPr>
        <w:t>(iii)</w:t>
      </w:r>
      <w:r w:rsidRPr="00BC45C6">
        <w:rPr>
          <w:rFonts w:ascii="Arial" w:eastAsiaTheme="majorEastAsia" w:hAnsi="Arial" w:cs="Arial"/>
          <w:sz w:val="22"/>
          <w:szCs w:val="22"/>
        </w:rPr>
        <w:tab/>
        <w:t xml:space="preserve">the maximum number of Equity Securities proposed to be issued under the scheme following the approval. </w:t>
      </w:r>
    </w:p>
    <w:p w14:paraId="448A9101" w14:textId="77777777" w:rsidR="00BC45C6" w:rsidRPr="00BC45C6" w:rsidRDefault="00BC45C6" w:rsidP="00BC45C6">
      <w:pPr>
        <w:spacing w:after="240" w:line="246" w:lineRule="atLeast"/>
        <w:ind w:left="1440" w:hanging="731"/>
        <w:jc w:val="both"/>
        <w:outlineLvl w:val="3"/>
        <w:rPr>
          <w:rFonts w:ascii="Arial" w:eastAsiaTheme="majorEastAsia" w:hAnsi="Arial" w:cs="Arial"/>
          <w:b/>
          <w:iCs/>
          <w:sz w:val="22"/>
          <w:szCs w:val="22"/>
        </w:rPr>
      </w:pPr>
      <w:r w:rsidRPr="00BC45C6">
        <w:rPr>
          <w:rFonts w:ascii="Arial" w:eastAsiaTheme="majorEastAsia" w:hAnsi="Arial" w:cs="Arial"/>
          <w:b/>
          <w:iCs/>
          <w:sz w:val="22"/>
          <w:szCs w:val="22"/>
        </w:rPr>
        <w:t>Guidance</w:t>
      </w:r>
    </w:p>
    <w:p w14:paraId="12E99EE5"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1.</w:t>
      </w:r>
      <w:r w:rsidRPr="00BC45C6">
        <w:rPr>
          <w:rFonts w:ascii="Arial" w:eastAsiaTheme="majorEastAsia" w:hAnsi="Arial" w:cs="Arial"/>
          <w:bCs/>
          <w:iCs/>
          <w:sz w:val="22"/>
          <w:szCs w:val="22"/>
        </w:rPr>
        <w:tab/>
        <w:t>Exception (12) is only available if, and to the extent that, the number of Equity Securities issued under the scheme does not exceed the maximum number set out in the Listed Entity’s Approved Prospectus (in the case of (12)(a) above), or in the notice of meeting (in the case of (12)(b) above).</w:t>
      </w:r>
    </w:p>
    <w:p w14:paraId="27816E44"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2.</w:t>
      </w:r>
      <w:r w:rsidRPr="00BC45C6">
        <w:rPr>
          <w:rFonts w:ascii="Arial" w:eastAsiaTheme="majorEastAsia" w:hAnsi="Arial" w:cs="Arial"/>
          <w:bCs/>
          <w:iCs/>
          <w:sz w:val="22"/>
          <w:szCs w:val="22"/>
        </w:rPr>
        <w:tab/>
        <w:t>Exception (12) ceases to be available if there is a material change to the terms of the scheme from those set out in the Listed Entity’s Approved Prospectus (in the case of (12)(a) above), or in the notice of meeting (in the case of (12)(b) above).</w:t>
      </w:r>
    </w:p>
    <w:p w14:paraId="2B6FED96"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napToGrid w:val="0"/>
          <w:sz w:val="22"/>
          <w:szCs w:val="22"/>
        </w:rPr>
      </w:pPr>
      <w:r w:rsidRPr="00BC45C6">
        <w:rPr>
          <w:rFonts w:ascii="Arial" w:eastAsiaTheme="majorEastAsia" w:hAnsi="Arial" w:cs="Arial"/>
          <w:bCs/>
          <w:iCs/>
          <w:snapToGrid w:val="0"/>
          <w:sz w:val="22"/>
          <w:szCs w:val="22"/>
        </w:rPr>
        <w:lastRenderedPageBreak/>
        <w:t>3.</w:t>
      </w:r>
      <w:r w:rsidRPr="00BC45C6">
        <w:rPr>
          <w:rFonts w:ascii="Arial" w:eastAsiaTheme="majorEastAsia" w:hAnsi="Arial" w:cs="Arial"/>
          <w:bCs/>
          <w:iCs/>
          <w:snapToGrid w:val="0"/>
          <w:sz w:val="22"/>
          <w:szCs w:val="22"/>
        </w:rPr>
        <w:tab/>
        <w:t>Employee Incentive Schemes that allow:</w:t>
      </w:r>
    </w:p>
    <w:p w14:paraId="7FFA66E2" w14:textId="77777777" w:rsidR="00BC45C6" w:rsidRPr="00BC45C6" w:rsidRDefault="00BC45C6" w:rsidP="00BC45C6">
      <w:pPr>
        <w:spacing w:after="240" w:line="246" w:lineRule="atLeast"/>
        <w:ind w:left="2127" w:hanging="709"/>
        <w:jc w:val="both"/>
        <w:outlineLvl w:val="3"/>
        <w:rPr>
          <w:rFonts w:ascii="Arial" w:eastAsiaTheme="majorEastAsia" w:hAnsi="Arial" w:cs="Arial"/>
          <w:bCs/>
          <w:iCs/>
          <w:snapToGrid w:val="0"/>
          <w:sz w:val="22"/>
          <w:szCs w:val="22"/>
        </w:rPr>
      </w:pPr>
      <w:r w:rsidRPr="00BC45C6">
        <w:rPr>
          <w:rFonts w:ascii="Arial" w:eastAsiaTheme="majorEastAsia" w:hAnsi="Arial" w:cs="Arial"/>
          <w:bCs/>
          <w:iCs/>
          <w:snapToGrid w:val="0"/>
          <w:sz w:val="22"/>
          <w:szCs w:val="22"/>
        </w:rPr>
        <w:t>a.</w:t>
      </w:r>
      <w:r w:rsidRPr="00BC45C6">
        <w:rPr>
          <w:rFonts w:ascii="Arial" w:eastAsiaTheme="majorEastAsia" w:hAnsi="Arial" w:cs="Arial"/>
          <w:bCs/>
          <w:iCs/>
          <w:snapToGrid w:val="0"/>
          <w:sz w:val="22"/>
          <w:szCs w:val="22"/>
        </w:rPr>
        <w:tab/>
        <w:t>participating employees or non-executive directors to elect to have Equity Securities issued to, or held for the benefit of, a relative or an entity controlled by them or a relative (such as a private company or family trust);</w:t>
      </w:r>
    </w:p>
    <w:p w14:paraId="4449F2AC" w14:textId="77777777" w:rsidR="00BC45C6" w:rsidRPr="00BC45C6" w:rsidRDefault="00BC45C6" w:rsidP="00BC45C6">
      <w:pPr>
        <w:spacing w:after="240" w:line="246" w:lineRule="atLeast"/>
        <w:ind w:left="2127" w:hanging="709"/>
        <w:jc w:val="both"/>
        <w:outlineLvl w:val="3"/>
        <w:rPr>
          <w:rFonts w:ascii="Arial" w:eastAsiaTheme="majorEastAsia" w:hAnsi="Arial" w:cs="Arial"/>
          <w:bCs/>
          <w:iCs/>
          <w:snapToGrid w:val="0"/>
          <w:sz w:val="22"/>
          <w:szCs w:val="22"/>
        </w:rPr>
      </w:pPr>
      <w:r w:rsidRPr="00BC45C6">
        <w:rPr>
          <w:rFonts w:ascii="Arial" w:eastAsiaTheme="majorEastAsia" w:hAnsi="Arial" w:cs="Arial"/>
          <w:bCs/>
          <w:iCs/>
          <w:snapToGrid w:val="0"/>
          <w:sz w:val="22"/>
          <w:szCs w:val="22"/>
        </w:rPr>
        <w:t>b.</w:t>
      </w:r>
      <w:r w:rsidRPr="00BC45C6">
        <w:rPr>
          <w:rFonts w:ascii="Arial" w:eastAsiaTheme="majorEastAsia" w:hAnsi="Arial" w:cs="Arial"/>
          <w:bCs/>
          <w:iCs/>
          <w:snapToGrid w:val="0"/>
          <w:sz w:val="22"/>
          <w:szCs w:val="22"/>
        </w:rPr>
        <w:tab/>
        <w:t>for the participation of consultants and contractors; or</w:t>
      </w:r>
    </w:p>
    <w:p w14:paraId="63EF9303" w14:textId="77777777" w:rsidR="00BC45C6" w:rsidRPr="00BC45C6" w:rsidRDefault="00BC45C6" w:rsidP="00BC45C6">
      <w:pPr>
        <w:spacing w:after="240" w:line="246" w:lineRule="atLeast"/>
        <w:ind w:left="2127" w:hanging="709"/>
        <w:jc w:val="both"/>
        <w:outlineLvl w:val="3"/>
        <w:rPr>
          <w:rFonts w:ascii="Arial" w:eastAsiaTheme="majorEastAsia" w:hAnsi="Arial" w:cs="Arial"/>
          <w:bCs/>
          <w:iCs/>
          <w:snapToGrid w:val="0"/>
          <w:sz w:val="22"/>
          <w:szCs w:val="22"/>
        </w:rPr>
      </w:pPr>
      <w:r w:rsidRPr="00BC45C6">
        <w:rPr>
          <w:rFonts w:ascii="Arial" w:eastAsiaTheme="majorEastAsia" w:hAnsi="Arial" w:cs="Arial"/>
          <w:bCs/>
          <w:iCs/>
          <w:snapToGrid w:val="0"/>
          <w:sz w:val="22"/>
          <w:szCs w:val="22"/>
        </w:rPr>
        <w:t>c.</w:t>
      </w:r>
      <w:r w:rsidRPr="00BC45C6">
        <w:rPr>
          <w:rFonts w:ascii="Arial" w:eastAsiaTheme="majorEastAsia" w:hAnsi="Arial" w:cs="Arial"/>
          <w:bCs/>
          <w:iCs/>
          <w:snapToGrid w:val="0"/>
          <w:sz w:val="22"/>
          <w:szCs w:val="22"/>
        </w:rPr>
        <w:tab/>
        <w:t>only one employee or non-executive Director to participate;</w:t>
      </w:r>
    </w:p>
    <w:p w14:paraId="78E7D4D2" w14:textId="77777777" w:rsidR="00BC45C6" w:rsidRPr="00BC45C6" w:rsidRDefault="00BC45C6" w:rsidP="00BC45C6">
      <w:pPr>
        <w:spacing w:after="240" w:line="246" w:lineRule="atLeast"/>
        <w:ind w:left="1800" w:hanging="382"/>
        <w:jc w:val="both"/>
        <w:outlineLvl w:val="3"/>
        <w:rPr>
          <w:rFonts w:ascii="Arial" w:eastAsiaTheme="majorEastAsia" w:hAnsi="Arial" w:cs="Arial"/>
          <w:bCs/>
          <w:iCs/>
          <w:sz w:val="22"/>
          <w:szCs w:val="22"/>
        </w:rPr>
      </w:pPr>
      <w:r w:rsidRPr="00BC45C6">
        <w:rPr>
          <w:rFonts w:ascii="Arial" w:eastAsiaTheme="majorEastAsia" w:hAnsi="Arial" w:cs="Arial"/>
          <w:bCs/>
          <w:iCs/>
          <w:snapToGrid w:val="0"/>
          <w:sz w:val="22"/>
          <w:szCs w:val="22"/>
        </w:rPr>
        <w:t>are still considered as Employee Incentive Schemes.</w:t>
      </w:r>
    </w:p>
    <w:p w14:paraId="70DC6A5B"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(13)</w:t>
      </w:r>
      <w:r w:rsidRPr="00BC45C6">
        <w:rPr>
          <w:rFonts w:ascii="Arial" w:eastAsiaTheme="majorEastAsia" w:hAnsi="Arial" w:cs="Arial"/>
          <w:bCs/>
          <w:iCs/>
          <w:sz w:val="22"/>
          <w:szCs w:val="22"/>
        </w:rPr>
        <w:tab/>
        <w:t>An issue of Securities made with the approval of the holders of the Listed Entity’s Ordinary Securities under Rule 9.5.3 (Related Party Transaction).</w:t>
      </w:r>
    </w:p>
    <w:p w14:paraId="52E91ED1"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(14)</w:t>
      </w:r>
      <w:r w:rsidRPr="00BC45C6">
        <w:rPr>
          <w:rFonts w:ascii="Arial" w:eastAsiaTheme="majorEastAsia" w:hAnsi="Arial" w:cs="Arial"/>
          <w:bCs/>
          <w:iCs/>
          <w:sz w:val="22"/>
          <w:szCs w:val="22"/>
        </w:rPr>
        <w:tab/>
        <w:t>A grant of Warrants or other rights to acquire Equity Securities under an Employee Incentive Scheme, where the Equity Securities to be acquired on the exercise of the Warrants, or in satisfaction of the rights, are required by the terms of the scheme to be purchased on-market.</w:t>
      </w:r>
    </w:p>
    <w:p w14:paraId="54501835"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(15)</w:t>
      </w:r>
      <w:r w:rsidRPr="00BC45C6">
        <w:rPr>
          <w:rFonts w:ascii="Arial" w:eastAsiaTheme="majorEastAsia" w:hAnsi="Arial" w:cs="Arial"/>
          <w:bCs/>
          <w:iCs/>
          <w:sz w:val="22"/>
          <w:szCs w:val="22"/>
        </w:rPr>
        <w:tab/>
        <w:t>An issue of Securities under an agreement to issue Securities, where  the Listed Entity must have entered into the agreement:</w:t>
      </w:r>
    </w:p>
    <w:p w14:paraId="1FBD92C1"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(a)</w:t>
      </w:r>
      <w:r w:rsidRPr="00BC45C6">
        <w:rPr>
          <w:rFonts w:ascii="Arial" w:eastAsiaTheme="majorEastAsia" w:hAnsi="Arial" w:cs="Arial"/>
          <w:sz w:val="22"/>
          <w:szCs w:val="22"/>
        </w:rPr>
        <w:tab/>
        <w:t>before its Securities were admitted to the Official List, and disclosed the existence and material terms of the Convertible Securities in its Approved Prospectus or documents lodged with the Regulator under Rule 2.4.3; or</w:t>
      </w:r>
    </w:p>
    <w:p w14:paraId="46B3C65D" w14:textId="77777777" w:rsidR="00BC45C6" w:rsidRPr="00BC45C6" w:rsidRDefault="00BC45C6" w:rsidP="00BC45C6">
      <w:pPr>
        <w:spacing w:after="240" w:line="246" w:lineRule="atLeast"/>
        <w:ind w:left="2160" w:hanging="742"/>
        <w:jc w:val="both"/>
        <w:outlineLvl w:val="4"/>
        <w:rPr>
          <w:rFonts w:ascii="Arial" w:eastAsiaTheme="majorEastAsia" w:hAnsi="Arial" w:cs="Arial"/>
          <w:sz w:val="22"/>
          <w:szCs w:val="22"/>
        </w:rPr>
      </w:pPr>
      <w:r w:rsidRPr="00BC45C6">
        <w:rPr>
          <w:rFonts w:ascii="Arial" w:eastAsiaTheme="majorEastAsia" w:hAnsi="Arial" w:cs="Arial"/>
          <w:sz w:val="22"/>
          <w:szCs w:val="22"/>
        </w:rPr>
        <w:t>(b)</w:t>
      </w:r>
      <w:r w:rsidRPr="00BC45C6">
        <w:rPr>
          <w:rFonts w:ascii="Arial" w:eastAsiaTheme="majorEastAsia" w:hAnsi="Arial" w:cs="Arial"/>
          <w:sz w:val="22"/>
          <w:szCs w:val="22"/>
        </w:rPr>
        <w:tab/>
        <w:t>after its Securities were admitted to the Official List, and complied with the Rules when it did so.</w:t>
      </w:r>
    </w:p>
    <w:p w14:paraId="79CDA5DD" w14:textId="77777777" w:rsidR="00BC45C6" w:rsidRPr="00BC45C6" w:rsidRDefault="00BC45C6" w:rsidP="00BC45C6">
      <w:pPr>
        <w:spacing w:after="240" w:line="246" w:lineRule="atLeast"/>
        <w:ind w:left="1440" w:hanging="731"/>
        <w:jc w:val="both"/>
        <w:outlineLvl w:val="3"/>
        <w:rPr>
          <w:rFonts w:ascii="Arial" w:eastAsiaTheme="majorEastAsia" w:hAnsi="Arial" w:cs="Arial"/>
          <w:b/>
          <w:iCs/>
          <w:sz w:val="22"/>
          <w:szCs w:val="22"/>
        </w:rPr>
      </w:pPr>
      <w:r w:rsidRPr="00BC45C6">
        <w:rPr>
          <w:rFonts w:ascii="Arial" w:eastAsiaTheme="majorEastAsia" w:hAnsi="Arial" w:cs="Arial"/>
          <w:b/>
          <w:iCs/>
          <w:sz w:val="22"/>
          <w:szCs w:val="22"/>
        </w:rPr>
        <w:t>Guidance</w:t>
      </w:r>
    </w:p>
    <w:p w14:paraId="61610572"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 xml:space="preserve">In the case of (a) above, the issue must have been approved under Rule 9.7.1.  </w:t>
      </w:r>
    </w:p>
    <w:p w14:paraId="621AD17C"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(16)</w:t>
      </w:r>
      <w:r w:rsidRPr="00BC45C6">
        <w:rPr>
          <w:rFonts w:ascii="Arial" w:eastAsiaTheme="majorEastAsia" w:hAnsi="Arial" w:cs="Arial"/>
          <w:bCs/>
          <w:iCs/>
          <w:sz w:val="22"/>
          <w:szCs w:val="22"/>
        </w:rPr>
        <w:tab/>
        <w:t>An agreement to issue Equity Securities that is conditional on the holders of the Listed Entity’s Ordinary Securities approving the issue under Rule 9.7.1 before the issue is made.  If a Listed Entity relies on this exception, it must not issue the Equity Securities without such approval.</w:t>
      </w:r>
    </w:p>
    <w:p w14:paraId="39E3718A" w14:textId="77777777" w:rsidR="00BC45C6" w:rsidRPr="00BC45C6" w:rsidRDefault="00BC45C6" w:rsidP="00BC45C6">
      <w:pPr>
        <w:keepNext/>
        <w:spacing w:after="240" w:line="246" w:lineRule="atLeast"/>
        <w:ind w:left="720"/>
        <w:jc w:val="both"/>
        <w:rPr>
          <w:rFonts w:ascii="Arial" w:hAnsi="Arial" w:cs="Arial"/>
          <w:b/>
          <w:sz w:val="22"/>
          <w:szCs w:val="22"/>
        </w:rPr>
      </w:pPr>
      <w:r w:rsidRPr="00BC45C6">
        <w:rPr>
          <w:rFonts w:ascii="Arial" w:hAnsi="Arial" w:cs="Arial"/>
          <w:b/>
          <w:sz w:val="22"/>
          <w:szCs w:val="22"/>
        </w:rPr>
        <w:t>Subsequent approval of an issue of Securities</w:t>
      </w:r>
    </w:p>
    <w:p w14:paraId="65879FC2" w14:textId="77777777" w:rsidR="00BC45C6" w:rsidRPr="00BC45C6" w:rsidRDefault="00BC45C6" w:rsidP="00BC45C6">
      <w:pPr>
        <w:spacing w:after="240" w:line="246" w:lineRule="atLeast"/>
        <w:ind w:left="720" w:hanging="720"/>
        <w:jc w:val="both"/>
        <w:outlineLvl w:val="2"/>
        <w:rPr>
          <w:rFonts w:ascii="Arial" w:eastAsiaTheme="majorEastAsia" w:hAnsi="Arial" w:cs="Arial"/>
          <w:bCs/>
          <w:sz w:val="22"/>
          <w:szCs w:val="22"/>
        </w:rPr>
      </w:pPr>
      <w:r w:rsidRPr="00BC45C6">
        <w:rPr>
          <w:rFonts w:ascii="Arial" w:eastAsiaTheme="majorEastAsia" w:hAnsi="Arial" w:cs="Arial"/>
          <w:b/>
          <w:sz w:val="22"/>
          <w:szCs w:val="22"/>
        </w:rPr>
        <w:t>9.7.5</w:t>
      </w:r>
      <w:r w:rsidRPr="00BC45C6">
        <w:rPr>
          <w:rFonts w:ascii="Arial" w:eastAsiaTheme="majorEastAsia" w:hAnsi="Arial" w:cs="Arial"/>
          <w:bCs/>
          <w:sz w:val="22"/>
          <w:szCs w:val="22"/>
        </w:rPr>
        <w:tab/>
        <w:t>An issue of, or agreement to issue, Securities made without approval under Rule 9.7.1 is treated as having been made with approval for the purposes of Rule 9.7.1 if:</w:t>
      </w:r>
    </w:p>
    <w:p w14:paraId="1F08D382"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(1)</w:t>
      </w:r>
      <w:r w:rsidRPr="00BC45C6">
        <w:rPr>
          <w:rFonts w:ascii="Arial" w:eastAsiaTheme="majorEastAsia" w:hAnsi="Arial" w:cs="Arial"/>
          <w:bCs/>
          <w:iCs/>
          <w:sz w:val="22"/>
          <w:szCs w:val="22"/>
        </w:rPr>
        <w:tab/>
        <w:t>the issue or agreement did not exceed the limit in Rule 9.7.1;</w:t>
      </w:r>
    </w:p>
    <w:p w14:paraId="30A6E9A2"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(2)</w:t>
      </w:r>
      <w:r w:rsidRPr="00BC45C6">
        <w:rPr>
          <w:rFonts w:ascii="Arial" w:eastAsiaTheme="majorEastAsia" w:hAnsi="Arial" w:cs="Arial"/>
          <w:bCs/>
          <w:iCs/>
          <w:sz w:val="22"/>
          <w:szCs w:val="22"/>
        </w:rPr>
        <w:tab/>
        <w:t>the holders of the Listed Entity’s Ordinary Securities subsequently approve it; and</w:t>
      </w:r>
    </w:p>
    <w:p w14:paraId="0E5DC9AA" w14:textId="77777777" w:rsidR="00BC45C6" w:rsidRPr="00BC45C6" w:rsidRDefault="00BC45C6" w:rsidP="00BC45C6">
      <w:pPr>
        <w:spacing w:after="240" w:line="246" w:lineRule="atLeast"/>
        <w:ind w:left="1440" w:hanging="731"/>
        <w:jc w:val="both"/>
        <w:outlineLvl w:val="3"/>
        <w:rPr>
          <w:rFonts w:ascii="Arial" w:eastAsiaTheme="majorEastAsia" w:hAnsi="Arial" w:cs="Arial"/>
          <w:bCs/>
          <w:iCs/>
          <w:sz w:val="22"/>
          <w:szCs w:val="22"/>
        </w:rPr>
      </w:pPr>
      <w:r w:rsidRPr="00BC45C6">
        <w:rPr>
          <w:rFonts w:ascii="Arial" w:eastAsiaTheme="majorEastAsia" w:hAnsi="Arial" w:cs="Arial"/>
          <w:bCs/>
          <w:iCs/>
          <w:sz w:val="22"/>
          <w:szCs w:val="22"/>
        </w:rPr>
        <w:t>(3)</w:t>
      </w:r>
      <w:r w:rsidRPr="00BC45C6">
        <w:rPr>
          <w:rFonts w:ascii="Arial" w:eastAsiaTheme="majorEastAsia" w:hAnsi="Arial" w:cs="Arial"/>
          <w:bCs/>
          <w:iCs/>
          <w:sz w:val="22"/>
          <w:szCs w:val="22"/>
        </w:rPr>
        <w:tab/>
        <w:t>the Securities are issued within three months of the date of the approval.</w:t>
      </w:r>
    </w:p>
    <w:p w14:paraId="3F0E421E" w14:textId="77777777" w:rsidR="00BC45C6" w:rsidRPr="00BC45C6" w:rsidRDefault="00BC45C6" w:rsidP="00BC45C6">
      <w:pPr>
        <w:spacing w:after="240" w:line="246" w:lineRule="atLeast"/>
        <w:ind w:left="720" w:hanging="720"/>
        <w:jc w:val="both"/>
        <w:outlineLvl w:val="2"/>
        <w:rPr>
          <w:rFonts w:ascii="Arial" w:eastAsiaTheme="majorEastAsia" w:hAnsi="Arial" w:cs="Arial"/>
          <w:bCs/>
          <w:sz w:val="22"/>
          <w:szCs w:val="22"/>
        </w:rPr>
      </w:pPr>
      <w:r w:rsidRPr="00BC45C6">
        <w:rPr>
          <w:rFonts w:ascii="Arial" w:eastAsiaTheme="majorEastAsia" w:hAnsi="Arial" w:cs="Arial"/>
          <w:b/>
          <w:sz w:val="22"/>
          <w:szCs w:val="22"/>
        </w:rPr>
        <w:t>9.7.6</w:t>
      </w:r>
      <w:r w:rsidRPr="00BC45C6">
        <w:rPr>
          <w:rFonts w:ascii="Arial" w:eastAsiaTheme="majorEastAsia" w:hAnsi="Arial" w:cs="Arial"/>
          <w:bCs/>
          <w:sz w:val="22"/>
          <w:szCs w:val="22"/>
        </w:rPr>
        <w:tab/>
        <w:t xml:space="preserve">Where Shareholders approve an agreement to issue Securities under Rule 9.7.5, the Securities must be issued within three months of that approval or the approval will lapse.  </w:t>
      </w:r>
    </w:p>
    <w:p w14:paraId="210B5E0E" w14:textId="77777777" w:rsidR="00BC45C6" w:rsidRPr="00BC45C6" w:rsidRDefault="00BC45C6" w:rsidP="00BC45C6">
      <w:pPr>
        <w:spacing w:after="240" w:line="246" w:lineRule="atLeast"/>
        <w:ind w:left="720" w:hanging="11"/>
        <w:jc w:val="both"/>
        <w:outlineLvl w:val="2"/>
        <w:rPr>
          <w:rFonts w:ascii="Arial" w:eastAsiaTheme="majorEastAsia" w:hAnsi="Arial" w:cs="Arial"/>
          <w:b/>
          <w:sz w:val="22"/>
          <w:szCs w:val="22"/>
        </w:rPr>
      </w:pPr>
      <w:r w:rsidRPr="00BC45C6">
        <w:rPr>
          <w:rFonts w:ascii="Arial" w:eastAsiaTheme="majorEastAsia" w:hAnsi="Arial" w:cs="Arial"/>
          <w:b/>
          <w:sz w:val="22"/>
          <w:szCs w:val="22"/>
        </w:rPr>
        <w:lastRenderedPageBreak/>
        <w:t>Guidance</w:t>
      </w:r>
    </w:p>
    <w:p w14:paraId="4C23FACE" w14:textId="56BE765A" w:rsidR="00BC45C6" w:rsidRPr="00BC45C6" w:rsidRDefault="00BC45C6" w:rsidP="00BC45C6">
      <w:pPr>
        <w:spacing w:after="240" w:line="246" w:lineRule="atLeast"/>
        <w:ind w:left="720"/>
        <w:jc w:val="both"/>
        <w:outlineLvl w:val="2"/>
        <w:rPr>
          <w:rFonts w:ascii="Arial" w:eastAsiaTheme="majorEastAsia" w:hAnsi="Arial" w:cs="Arial"/>
          <w:bCs/>
          <w:sz w:val="22"/>
          <w:szCs w:val="22"/>
        </w:rPr>
      </w:pPr>
      <w:r w:rsidRPr="00BC45C6">
        <w:rPr>
          <w:rFonts w:ascii="Arial" w:eastAsiaTheme="majorEastAsia" w:hAnsi="Arial" w:cs="Arial"/>
          <w:bCs/>
          <w:sz w:val="22"/>
          <w:szCs w:val="22"/>
        </w:rPr>
        <w:t>If the approval under Rule 9.7.5 lapses, the Securities can no longer be counted as Securities issued with approval under Rule 9.7.5 for the purposes of Rule 9.7.1 above, and instead are to be counted within Relevant Issues under Rule 9.7.1.</w:t>
      </w:r>
    </w:p>
    <w:p w14:paraId="61B18682" w14:textId="77777777" w:rsidR="00162E0C" w:rsidRPr="00FB2F3D" w:rsidRDefault="00162E0C" w:rsidP="0061693E">
      <w:pPr>
        <w:pStyle w:val="Heading1"/>
        <w:rPr>
          <w:rFonts w:ascii="Arial" w:hAnsi="Arial" w:cs="Arial"/>
          <w:sz w:val="22"/>
          <w:szCs w:val="22"/>
        </w:rPr>
      </w:pPr>
      <w:bookmarkStart w:id="797" w:name="_Toc409521846"/>
      <w:bookmarkStart w:id="798" w:name="_Ref410075242"/>
      <w:bookmarkStart w:id="799" w:name="_Toc410136243"/>
      <w:bookmarkStart w:id="800" w:name="_Toc410605952"/>
      <w:bookmarkStart w:id="801" w:name="_Toc410658888"/>
      <w:bookmarkStart w:id="802" w:name="_Toc410659015"/>
      <w:bookmarkStart w:id="803" w:name="_Ref410664747"/>
      <w:bookmarkStart w:id="804" w:name="_Toc410835562"/>
      <w:bookmarkStart w:id="805" w:name="_Ref416750888"/>
      <w:bookmarkStart w:id="806" w:name="_Toc138325709"/>
      <w:r w:rsidRPr="00FB2F3D">
        <w:rPr>
          <w:rFonts w:ascii="Arial" w:hAnsi="Arial" w:cs="Arial"/>
          <w:sz w:val="22"/>
          <w:szCs w:val="22"/>
        </w:rPr>
        <w:t>ACCOUNTING PERIODS</w:t>
      </w:r>
      <w:r w:rsidR="00525347" w:rsidRPr="00FB2F3D">
        <w:rPr>
          <w:rFonts w:ascii="Arial" w:hAnsi="Arial" w:cs="Arial"/>
          <w:sz w:val="22"/>
          <w:szCs w:val="22"/>
        </w:rPr>
        <w:t>,</w:t>
      </w:r>
      <w:r w:rsidRPr="00FB2F3D">
        <w:rPr>
          <w:rFonts w:ascii="Arial" w:hAnsi="Arial" w:cs="Arial"/>
          <w:sz w:val="22"/>
          <w:szCs w:val="22"/>
        </w:rPr>
        <w:t xml:space="preserve"> FINANCIAL REPORTS AND AUDITING</w:t>
      </w:r>
      <w:bookmarkEnd w:id="797"/>
      <w:bookmarkEnd w:id="798"/>
      <w:bookmarkEnd w:id="799"/>
      <w:bookmarkEnd w:id="800"/>
      <w:bookmarkEnd w:id="801"/>
      <w:bookmarkEnd w:id="802"/>
      <w:bookmarkEnd w:id="803"/>
      <w:bookmarkEnd w:id="804"/>
      <w:bookmarkEnd w:id="805"/>
      <w:bookmarkEnd w:id="806"/>
    </w:p>
    <w:p w14:paraId="728213C6"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033D7803" w14:textId="77777777" w:rsidR="00162E0C" w:rsidRPr="00FB2F3D" w:rsidRDefault="00162E0C" w:rsidP="00755725">
      <w:pPr>
        <w:pStyle w:val="GuidanceNotesnumbering"/>
        <w:numPr>
          <w:ilvl w:val="0"/>
          <w:numId w:val="42"/>
        </w:numPr>
        <w:rPr>
          <w:rFonts w:ascii="Arial" w:hAnsi="Arial" w:cs="Arial"/>
          <w:sz w:val="22"/>
          <w:szCs w:val="22"/>
        </w:rPr>
      </w:pPr>
      <w:r w:rsidRPr="00FB2F3D">
        <w:rPr>
          <w:rFonts w:ascii="Arial" w:hAnsi="Arial" w:cs="Arial"/>
          <w:sz w:val="22"/>
          <w:szCs w:val="22"/>
        </w:rPr>
        <w:t xml:space="preserve">Section </w:t>
      </w:r>
      <w:r w:rsidR="00C51E1E" w:rsidRPr="00FB2F3D">
        <w:rPr>
          <w:rFonts w:ascii="Arial" w:hAnsi="Arial" w:cs="Arial"/>
          <w:sz w:val="22"/>
          <w:szCs w:val="22"/>
        </w:rPr>
        <w:t>7</w:t>
      </w:r>
      <w:r w:rsidR="00F10576" w:rsidRPr="00FB2F3D">
        <w:rPr>
          <w:rFonts w:ascii="Arial" w:hAnsi="Arial" w:cs="Arial"/>
          <w:sz w:val="22"/>
          <w:szCs w:val="22"/>
        </w:rPr>
        <w:t>8</w:t>
      </w:r>
      <w:r w:rsidRPr="00FB2F3D">
        <w:rPr>
          <w:rFonts w:ascii="Arial" w:hAnsi="Arial" w:cs="Arial"/>
          <w:sz w:val="22"/>
          <w:szCs w:val="22"/>
        </w:rPr>
        <w:t xml:space="preserve"> of the FSMR provides that a</w:t>
      </w:r>
      <w:r w:rsidR="002433F1" w:rsidRPr="00FB2F3D">
        <w:rPr>
          <w:rFonts w:ascii="Arial" w:hAnsi="Arial" w:cs="Arial"/>
          <w:sz w:val="22"/>
          <w:szCs w:val="22"/>
        </w:rPr>
        <w:t xml:space="preserve"> Reporting Entity</w:t>
      </w:r>
      <w:r w:rsidRPr="00FB2F3D">
        <w:rPr>
          <w:rFonts w:ascii="Arial" w:hAnsi="Arial" w:cs="Arial"/>
          <w:sz w:val="22"/>
          <w:szCs w:val="22"/>
        </w:rPr>
        <w:t xml:space="preserve"> shall prepare and file with the </w:t>
      </w:r>
      <w:r w:rsidR="0035335F" w:rsidRPr="00FB2F3D">
        <w:rPr>
          <w:rFonts w:ascii="Arial" w:hAnsi="Arial" w:cs="Arial"/>
          <w:sz w:val="22"/>
          <w:szCs w:val="22"/>
        </w:rPr>
        <w:t>Regulator</w:t>
      </w:r>
      <w:r w:rsidRPr="00FB2F3D">
        <w:rPr>
          <w:rFonts w:ascii="Arial" w:hAnsi="Arial" w:cs="Arial"/>
          <w:sz w:val="22"/>
          <w:szCs w:val="22"/>
        </w:rPr>
        <w:t xml:space="preserve"> an annual financial report in accordance with the requirements prescribed in these Rules.</w:t>
      </w:r>
    </w:p>
    <w:p w14:paraId="6831BFEA" w14:textId="77777777" w:rsidR="00162E0C" w:rsidRPr="00FB2F3D" w:rsidRDefault="00162E0C" w:rsidP="002433F1">
      <w:pPr>
        <w:pStyle w:val="GuidanceNotesnumbering"/>
        <w:rPr>
          <w:rFonts w:ascii="Arial" w:hAnsi="Arial" w:cs="Arial"/>
          <w:sz w:val="22"/>
          <w:szCs w:val="22"/>
        </w:rPr>
      </w:pPr>
      <w:r w:rsidRPr="00FB2F3D">
        <w:rPr>
          <w:rFonts w:ascii="Arial" w:hAnsi="Arial" w:cs="Arial"/>
          <w:sz w:val="22"/>
          <w:szCs w:val="22"/>
        </w:rPr>
        <w:t xml:space="preserve">Section </w:t>
      </w:r>
      <w:r w:rsidR="00F10576" w:rsidRPr="00FB2F3D">
        <w:rPr>
          <w:rFonts w:ascii="Arial" w:hAnsi="Arial" w:cs="Arial"/>
          <w:sz w:val="22"/>
          <w:szCs w:val="22"/>
        </w:rPr>
        <w:t>79</w:t>
      </w:r>
      <w:r w:rsidRPr="00FB2F3D">
        <w:rPr>
          <w:rFonts w:ascii="Arial" w:hAnsi="Arial" w:cs="Arial"/>
          <w:sz w:val="22"/>
          <w:szCs w:val="22"/>
        </w:rPr>
        <w:t xml:space="preserve"> of the FSMR provides that a</w:t>
      </w:r>
      <w:r w:rsidR="002433F1" w:rsidRPr="00FB2F3D">
        <w:rPr>
          <w:rFonts w:ascii="Arial" w:hAnsi="Arial" w:cs="Arial"/>
          <w:sz w:val="22"/>
          <w:szCs w:val="22"/>
        </w:rPr>
        <w:t xml:space="preserve"> Reporting Entity</w:t>
      </w:r>
      <w:r w:rsidRPr="00FB2F3D">
        <w:rPr>
          <w:rFonts w:ascii="Arial" w:hAnsi="Arial" w:cs="Arial"/>
          <w:sz w:val="22"/>
          <w:szCs w:val="22"/>
        </w:rPr>
        <w:t xml:space="preserve"> shall prepare and file with the </w:t>
      </w:r>
      <w:r w:rsidR="0035335F" w:rsidRPr="00FB2F3D">
        <w:rPr>
          <w:rFonts w:ascii="Arial" w:hAnsi="Arial" w:cs="Arial"/>
          <w:sz w:val="22"/>
          <w:szCs w:val="22"/>
        </w:rPr>
        <w:t>Regulator</w:t>
      </w:r>
      <w:r w:rsidRPr="00FB2F3D">
        <w:rPr>
          <w:rFonts w:ascii="Arial" w:hAnsi="Arial" w:cs="Arial"/>
          <w:sz w:val="22"/>
          <w:szCs w:val="22"/>
        </w:rPr>
        <w:t>:</w:t>
      </w:r>
    </w:p>
    <w:p w14:paraId="579C5005" w14:textId="77777777" w:rsidR="00162E0C" w:rsidRPr="00FB2F3D" w:rsidRDefault="00162E0C" w:rsidP="00162E0C">
      <w:pPr>
        <w:spacing w:after="240" w:line="246" w:lineRule="atLeast"/>
        <w:ind w:left="2160" w:hanging="720"/>
        <w:rPr>
          <w:rFonts w:ascii="Arial" w:hAnsi="Arial" w:cs="Arial"/>
          <w:sz w:val="22"/>
          <w:szCs w:val="22"/>
        </w:rPr>
      </w:pPr>
      <w:r w:rsidRPr="00FB2F3D">
        <w:rPr>
          <w:rFonts w:ascii="Arial" w:hAnsi="Arial" w:cs="Arial"/>
          <w:sz w:val="22"/>
          <w:szCs w:val="22"/>
        </w:rPr>
        <w:t>a.</w:t>
      </w:r>
      <w:r w:rsidRPr="00FB2F3D">
        <w:rPr>
          <w:rFonts w:ascii="Arial" w:hAnsi="Arial" w:cs="Arial"/>
          <w:sz w:val="22"/>
          <w:szCs w:val="22"/>
        </w:rPr>
        <w:tab/>
        <w:t>a semi</w:t>
      </w:r>
      <w:r w:rsidRPr="00FB2F3D">
        <w:rPr>
          <w:rFonts w:ascii="Arial" w:hAnsi="Arial" w:cs="Arial"/>
          <w:sz w:val="22"/>
          <w:szCs w:val="22"/>
        </w:rPr>
        <w:noBreakHyphen/>
        <w:t>annual financial report; and</w:t>
      </w:r>
    </w:p>
    <w:p w14:paraId="22B6C2C2" w14:textId="77777777" w:rsidR="00162E0C" w:rsidRPr="00FB2F3D" w:rsidRDefault="00162E0C" w:rsidP="00162E0C">
      <w:pPr>
        <w:spacing w:after="240" w:line="246" w:lineRule="atLeast"/>
        <w:ind w:left="2160" w:hanging="720"/>
        <w:rPr>
          <w:rFonts w:ascii="Arial" w:hAnsi="Arial" w:cs="Arial"/>
          <w:sz w:val="22"/>
          <w:szCs w:val="22"/>
        </w:rPr>
      </w:pPr>
      <w:r w:rsidRPr="00FB2F3D">
        <w:rPr>
          <w:rFonts w:ascii="Arial" w:hAnsi="Arial" w:cs="Arial"/>
          <w:sz w:val="22"/>
          <w:szCs w:val="22"/>
        </w:rPr>
        <w:t>b.</w:t>
      </w:r>
      <w:r w:rsidRPr="00FB2F3D">
        <w:rPr>
          <w:rFonts w:ascii="Arial" w:hAnsi="Arial" w:cs="Arial"/>
          <w:sz w:val="22"/>
          <w:szCs w:val="22"/>
        </w:rPr>
        <w:tab/>
        <w:t xml:space="preserve">any other financial statements as are required by the </w:t>
      </w:r>
      <w:r w:rsidR="0035335F" w:rsidRPr="00FB2F3D">
        <w:rPr>
          <w:rFonts w:ascii="Arial" w:hAnsi="Arial" w:cs="Arial"/>
          <w:sz w:val="22"/>
          <w:szCs w:val="22"/>
        </w:rPr>
        <w:t>Regulator</w:t>
      </w:r>
      <w:r w:rsidRPr="00FB2F3D">
        <w:rPr>
          <w:rFonts w:ascii="Arial" w:hAnsi="Arial" w:cs="Arial"/>
          <w:sz w:val="22"/>
          <w:szCs w:val="22"/>
        </w:rPr>
        <w:t>,</w:t>
      </w:r>
      <w:r w:rsidRPr="00FB2F3D">
        <w:rPr>
          <w:rFonts w:ascii="Arial" w:hAnsi="Arial" w:cs="Arial"/>
          <w:sz w:val="22"/>
          <w:szCs w:val="22"/>
          <w:lang w:eastAsia="ja-JP"/>
        </w:rPr>
        <w:t xml:space="preserve"> </w:t>
      </w:r>
      <w:r w:rsidRPr="00FB2F3D">
        <w:rPr>
          <w:rFonts w:ascii="Arial" w:hAnsi="Arial" w:cs="Arial"/>
          <w:sz w:val="22"/>
          <w:szCs w:val="22"/>
        </w:rPr>
        <w:t>in the circumstances prescribed by Rules.</w:t>
      </w:r>
    </w:p>
    <w:p w14:paraId="585A5861" w14:textId="77777777" w:rsidR="00162E0C" w:rsidRPr="00FB2F3D" w:rsidRDefault="00162E0C" w:rsidP="0061693E">
      <w:pPr>
        <w:pStyle w:val="Heading2"/>
        <w:rPr>
          <w:rFonts w:ascii="Arial" w:hAnsi="Arial" w:cs="Arial"/>
          <w:sz w:val="22"/>
          <w:szCs w:val="22"/>
        </w:rPr>
      </w:pPr>
      <w:bookmarkStart w:id="807" w:name="_Toc409521847"/>
      <w:bookmarkStart w:id="808" w:name="_Toc410136244"/>
      <w:bookmarkStart w:id="809" w:name="_Toc410605953"/>
      <w:bookmarkStart w:id="810" w:name="_Toc410658889"/>
      <w:bookmarkStart w:id="811" w:name="_Toc410659016"/>
      <w:bookmarkStart w:id="812" w:name="_Toc410835563"/>
      <w:bookmarkStart w:id="813" w:name="_Toc138325710"/>
      <w:r w:rsidRPr="00FB2F3D">
        <w:rPr>
          <w:rFonts w:ascii="Arial" w:hAnsi="Arial" w:cs="Arial"/>
          <w:sz w:val="22"/>
          <w:szCs w:val="22"/>
        </w:rPr>
        <w:t>Application</w:t>
      </w:r>
      <w:bookmarkEnd w:id="807"/>
      <w:bookmarkEnd w:id="808"/>
      <w:bookmarkEnd w:id="809"/>
      <w:bookmarkEnd w:id="810"/>
      <w:bookmarkEnd w:id="811"/>
      <w:bookmarkEnd w:id="812"/>
      <w:bookmarkEnd w:id="813"/>
    </w:p>
    <w:p w14:paraId="1CFD5B28" w14:textId="77020FE4" w:rsidR="00162E0C" w:rsidRPr="00FB2F3D" w:rsidRDefault="00162E0C" w:rsidP="002433F1">
      <w:pPr>
        <w:pStyle w:val="Heading3"/>
        <w:rPr>
          <w:rFonts w:ascii="Arial" w:hAnsi="Arial" w:cs="Arial"/>
          <w:sz w:val="22"/>
          <w:szCs w:val="22"/>
        </w:rPr>
      </w:pPr>
      <w:r w:rsidRPr="00FB2F3D">
        <w:rPr>
          <w:rFonts w:ascii="Arial" w:hAnsi="Arial" w:cs="Arial"/>
          <w:sz w:val="22"/>
          <w:szCs w:val="22"/>
        </w:rPr>
        <w:t xml:space="preserve">This section applies to every </w:t>
      </w:r>
      <w:r w:rsidR="002433F1" w:rsidRPr="00FB2F3D">
        <w:rPr>
          <w:rFonts w:ascii="Arial" w:hAnsi="Arial" w:cs="Arial"/>
          <w:sz w:val="22"/>
          <w:szCs w:val="22"/>
        </w:rPr>
        <w:t>Reporting Entity</w:t>
      </w:r>
      <w:r w:rsidRPr="00FB2F3D">
        <w:rPr>
          <w:rFonts w:ascii="Arial" w:hAnsi="Arial" w:cs="Arial"/>
          <w:sz w:val="22"/>
          <w:szCs w:val="22"/>
        </w:rPr>
        <w:t xml:space="preserve">. </w:t>
      </w:r>
    </w:p>
    <w:p w14:paraId="3E9EBFCF"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6B313D77" w14:textId="42B2FBC3" w:rsidR="00162E0C" w:rsidRPr="00FB2F3D" w:rsidRDefault="00AA2A71" w:rsidP="006207B8">
      <w:pPr>
        <w:pStyle w:val="UK12Block05"/>
        <w:rPr>
          <w:rFonts w:ascii="Arial" w:hAnsi="Arial" w:cs="Arial"/>
          <w:sz w:val="22"/>
          <w:szCs w:val="22"/>
        </w:rPr>
      </w:pPr>
      <w:r>
        <w:rPr>
          <w:rFonts w:ascii="Arial" w:hAnsi="Arial" w:cs="Arial"/>
          <w:sz w:val="22"/>
          <w:szCs w:val="22"/>
        </w:rPr>
        <w:t xml:space="preserve">Rule </w:t>
      </w:r>
      <w:r w:rsidR="00693841" w:rsidRPr="00FB2F3D">
        <w:rPr>
          <w:rFonts w:ascii="Arial" w:hAnsi="Arial" w:cs="Arial"/>
          <w:sz w:val="22"/>
          <w:szCs w:val="22"/>
        </w:rPr>
        <w:t>3</w:t>
      </w:r>
      <w:r>
        <w:rPr>
          <w:rFonts w:ascii="Arial" w:hAnsi="Arial" w:cs="Arial"/>
          <w:sz w:val="22"/>
          <w:szCs w:val="22"/>
        </w:rPr>
        <w:t>.9</w:t>
      </w:r>
      <w:r w:rsidR="00162E0C" w:rsidRPr="00FB2F3D">
        <w:rPr>
          <w:rFonts w:ascii="Arial" w:hAnsi="Arial" w:cs="Arial"/>
          <w:sz w:val="22"/>
          <w:szCs w:val="22"/>
        </w:rPr>
        <w:t xml:space="preserve"> contains the </w:t>
      </w:r>
      <w:r>
        <w:rPr>
          <w:rFonts w:ascii="Arial" w:hAnsi="Arial" w:cs="Arial"/>
          <w:sz w:val="22"/>
          <w:szCs w:val="22"/>
        </w:rPr>
        <w:t xml:space="preserve">linked </w:t>
      </w:r>
      <w:r w:rsidR="00162E0C" w:rsidRPr="00FB2F3D">
        <w:rPr>
          <w:rFonts w:ascii="Arial" w:hAnsi="Arial" w:cs="Arial"/>
          <w:sz w:val="22"/>
          <w:szCs w:val="22"/>
        </w:rPr>
        <w:t>requirements relating to accounting periods and financial reporting in respect of</w:t>
      </w:r>
      <w:r w:rsidR="00162E0C" w:rsidRPr="00FB2F3D">
        <w:rPr>
          <w:rFonts w:ascii="Arial" w:hAnsi="Arial" w:cs="Arial"/>
          <w:sz w:val="22"/>
          <w:szCs w:val="22"/>
          <w:lang w:eastAsia="ja-JP"/>
        </w:rPr>
        <w:t xml:space="preserve"> </w:t>
      </w:r>
      <w:r w:rsidR="00162E0C" w:rsidRPr="00FB2F3D">
        <w:rPr>
          <w:rFonts w:ascii="Arial" w:hAnsi="Arial" w:cs="Arial"/>
          <w:sz w:val="22"/>
          <w:szCs w:val="22"/>
        </w:rPr>
        <w:t>Listed Funds.</w:t>
      </w:r>
    </w:p>
    <w:p w14:paraId="5B0FF331" w14:textId="77777777" w:rsidR="00162E0C" w:rsidRPr="00FB2F3D" w:rsidRDefault="00162E0C" w:rsidP="00351ABC">
      <w:pPr>
        <w:pStyle w:val="TitleL"/>
        <w:rPr>
          <w:rFonts w:ascii="Arial" w:hAnsi="Arial" w:cs="Arial"/>
          <w:sz w:val="22"/>
          <w:szCs w:val="22"/>
        </w:rPr>
      </w:pPr>
      <w:r w:rsidRPr="00FB2F3D">
        <w:rPr>
          <w:rFonts w:ascii="Arial" w:hAnsi="Arial" w:cs="Arial"/>
          <w:sz w:val="22"/>
          <w:szCs w:val="22"/>
        </w:rPr>
        <w:t>Financial reporting standards</w:t>
      </w:r>
    </w:p>
    <w:p w14:paraId="0DF18D79" w14:textId="77777777" w:rsidR="00162E0C" w:rsidRPr="00FB2F3D" w:rsidRDefault="007441BA" w:rsidP="002433F1">
      <w:pPr>
        <w:pStyle w:val="Heading3"/>
        <w:ind w:left="1440" w:hanging="1440"/>
        <w:rPr>
          <w:rFonts w:ascii="Arial" w:hAnsi="Arial" w:cs="Arial"/>
          <w:sz w:val="22"/>
          <w:szCs w:val="22"/>
        </w:rPr>
      </w:pPr>
      <w:bookmarkStart w:id="814" w:name="_Ref410074954"/>
      <w:r w:rsidRPr="00FB2F3D">
        <w:rPr>
          <w:rFonts w:ascii="Arial" w:hAnsi="Arial" w:cs="Arial"/>
          <w:sz w:val="22"/>
          <w:szCs w:val="22"/>
        </w:rPr>
        <w:t>(1)</w:t>
      </w:r>
      <w:r w:rsidR="00351ABC" w:rsidRPr="00FB2F3D">
        <w:rPr>
          <w:rFonts w:ascii="Arial" w:hAnsi="Arial" w:cs="Arial"/>
          <w:sz w:val="22"/>
          <w:szCs w:val="22"/>
        </w:rPr>
        <w:tab/>
      </w:r>
      <w:r w:rsidR="00162E0C" w:rsidRPr="00FB2F3D">
        <w:rPr>
          <w:rFonts w:ascii="Arial" w:hAnsi="Arial" w:cs="Arial"/>
          <w:sz w:val="22"/>
          <w:szCs w:val="22"/>
        </w:rPr>
        <w:t>A</w:t>
      </w:r>
      <w:r w:rsidR="002433F1" w:rsidRPr="00FB2F3D">
        <w:rPr>
          <w:rFonts w:ascii="Arial" w:hAnsi="Arial" w:cs="Arial"/>
          <w:sz w:val="22"/>
          <w:szCs w:val="22"/>
        </w:rPr>
        <w:t xml:space="preserve"> Reporting Entity</w:t>
      </w:r>
      <w:r w:rsidR="00162E0C" w:rsidRPr="00FB2F3D">
        <w:rPr>
          <w:rFonts w:ascii="Arial" w:hAnsi="Arial" w:cs="Arial"/>
          <w:sz w:val="22"/>
          <w:szCs w:val="22"/>
        </w:rPr>
        <w:t xml:space="preserve"> must prepare financial statements for each financial year of the </w:t>
      </w:r>
      <w:r w:rsidR="002433F1" w:rsidRPr="00FB2F3D">
        <w:rPr>
          <w:rFonts w:ascii="Arial" w:hAnsi="Arial" w:cs="Arial"/>
          <w:sz w:val="22"/>
          <w:szCs w:val="22"/>
        </w:rPr>
        <w:t>Reporting Entity</w:t>
      </w:r>
      <w:r w:rsidR="00162E0C" w:rsidRPr="00FB2F3D">
        <w:rPr>
          <w:rFonts w:ascii="Arial" w:hAnsi="Arial" w:cs="Arial"/>
          <w:sz w:val="22"/>
          <w:szCs w:val="22"/>
        </w:rPr>
        <w:t>.</w:t>
      </w:r>
      <w:bookmarkEnd w:id="814"/>
    </w:p>
    <w:p w14:paraId="06CD194D" w14:textId="77777777" w:rsidR="00162E0C" w:rsidRPr="00FB2F3D" w:rsidRDefault="005D462F" w:rsidP="005D462F">
      <w:pPr>
        <w:pStyle w:val="Heading4"/>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2433F1" w:rsidRPr="00FB2F3D">
        <w:rPr>
          <w:rFonts w:ascii="Arial" w:hAnsi="Arial" w:cs="Arial"/>
          <w:sz w:val="22"/>
          <w:szCs w:val="22"/>
        </w:rPr>
        <w:t>A Reporting Entity</w:t>
      </w:r>
      <w:r w:rsidR="00162E0C" w:rsidRPr="00FB2F3D">
        <w:rPr>
          <w:rFonts w:ascii="Arial" w:hAnsi="Arial" w:cs="Arial"/>
          <w:sz w:val="22"/>
          <w:szCs w:val="22"/>
        </w:rPr>
        <w:t xml:space="preserve"> must prepare and maintain all financial statements in accordance with the International Financial Reporting Standards (IFRS) or other financial reporting standards acceptable to the </w:t>
      </w:r>
      <w:r w:rsidR="0035335F" w:rsidRPr="00FB2F3D">
        <w:rPr>
          <w:rFonts w:ascii="Arial" w:hAnsi="Arial" w:cs="Arial"/>
          <w:sz w:val="22"/>
          <w:szCs w:val="22"/>
        </w:rPr>
        <w:t>Regulator</w:t>
      </w:r>
      <w:r w:rsidR="00162E0C" w:rsidRPr="00FB2F3D">
        <w:rPr>
          <w:rFonts w:ascii="Arial" w:hAnsi="Arial" w:cs="Arial"/>
          <w:sz w:val="22"/>
          <w:szCs w:val="22"/>
        </w:rPr>
        <w:t>.</w:t>
      </w:r>
    </w:p>
    <w:p w14:paraId="0550573F"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Accounting periods</w:t>
      </w:r>
    </w:p>
    <w:p w14:paraId="762FCF2B" w14:textId="77777777" w:rsidR="00162E0C" w:rsidRPr="00FB2F3D" w:rsidRDefault="007441BA" w:rsidP="002433F1">
      <w:pPr>
        <w:pStyle w:val="Heading3"/>
        <w:ind w:left="1440" w:hanging="1440"/>
        <w:rPr>
          <w:rFonts w:ascii="Arial" w:hAnsi="Arial" w:cs="Arial"/>
          <w:sz w:val="22"/>
          <w:szCs w:val="22"/>
        </w:rPr>
      </w:pPr>
      <w:r w:rsidRPr="00FB2F3D">
        <w:rPr>
          <w:rFonts w:ascii="Arial" w:hAnsi="Arial" w:cs="Arial"/>
          <w:sz w:val="22"/>
          <w:szCs w:val="22"/>
        </w:rPr>
        <w:t>(1)</w:t>
      </w:r>
      <w:r w:rsidR="00351ABC" w:rsidRPr="00FB2F3D">
        <w:rPr>
          <w:rFonts w:ascii="Arial" w:hAnsi="Arial" w:cs="Arial"/>
          <w:sz w:val="22"/>
          <w:szCs w:val="22"/>
        </w:rPr>
        <w:tab/>
      </w:r>
      <w:r w:rsidR="00162E0C" w:rsidRPr="00FB2F3D">
        <w:rPr>
          <w:rFonts w:ascii="Arial" w:hAnsi="Arial" w:cs="Arial"/>
          <w:sz w:val="22"/>
          <w:szCs w:val="22"/>
        </w:rPr>
        <w:t>A</w:t>
      </w:r>
      <w:r w:rsidR="002433F1" w:rsidRPr="00FB2F3D">
        <w:rPr>
          <w:rFonts w:ascii="Arial" w:hAnsi="Arial" w:cs="Arial"/>
          <w:sz w:val="22"/>
          <w:szCs w:val="22"/>
        </w:rPr>
        <w:t xml:space="preserve"> Reporting Entity</w:t>
      </w:r>
      <w:r w:rsidR="00162E0C" w:rsidRPr="00FB2F3D">
        <w:rPr>
          <w:rFonts w:ascii="Arial" w:hAnsi="Arial" w:cs="Arial"/>
          <w:sz w:val="22"/>
          <w:szCs w:val="22"/>
        </w:rPr>
        <w:t xml:space="preserve"> must not change its accounting reference date as specified in its most recent Prospectus unless it has obtained the prior approval of the </w:t>
      </w:r>
      <w:r w:rsidR="0035335F" w:rsidRPr="00FB2F3D">
        <w:rPr>
          <w:rFonts w:ascii="Arial" w:hAnsi="Arial" w:cs="Arial"/>
          <w:sz w:val="22"/>
          <w:szCs w:val="22"/>
        </w:rPr>
        <w:t>Regulator</w:t>
      </w:r>
      <w:r w:rsidR="00162E0C" w:rsidRPr="00FB2F3D">
        <w:rPr>
          <w:rFonts w:ascii="Arial" w:hAnsi="Arial" w:cs="Arial"/>
          <w:sz w:val="22"/>
          <w:szCs w:val="22"/>
        </w:rPr>
        <w:t xml:space="preserve"> in accordance with the requirements in </w:t>
      </w:r>
      <w:r w:rsidR="00693841" w:rsidRPr="00FB2F3D">
        <w:rPr>
          <w:rFonts w:ascii="Arial" w:hAnsi="Arial" w:cs="Arial"/>
          <w:sz w:val="22"/>
          <w:szCs w:val="22"/>
        </w:rPr>
        <w:t>(2)</w:t>
      </w:r>
      <w:r w:rsidR="00162E0C" w:rsidRPr="00FB2F3D">
        <w:rPr>
          <w:rFonts w:ascii="Arial" w:hAnsi="Arial" w:cs="Arial"/>
          <w:sz w:val="22"/>
          <w:szCs w:val="22"/>
        </w:rPr>
        <w:t>.</w:t>
      </w:r>
    </w:p>
    <w:p w14:paraId="232BA92C" w14:textId="77777777" w:rsidR="00162E0C" w:rsidRPr="00FB2F3D" w:rsidRDefault="005D462F" w:rsidP="005D462F">
      <w:pPr>
        <w:pStyle w:val="Heading4"/>
        <w:numPr>
          <w:ilvl w:val="0"/>
          <w:numId w:val="0"/>
        </w:numPr>
        <w:ind w:left="1440" w:hanging="720"/>
        <w:rPr>
          <w:rFonts w:ascii="Arial" w:hAnsi="Arial" w:cs="Arial"/>
          <w:sz w:val="22"/>
          <w:szCs w:val="22"/>
        </w:rPr>
      </w:pPr>
      <w:bookmarkStart w:id="815" w:name="_Ref410668419"/>
      <w:r w:rsidRPr="00FB2F3D">
        <w:rPr>
          <w:rFonts w:ascii="Arial" w:hAnsi="Arial" w:cs="Arial"/>
          <w:sz w:val="22"/>
          <w:szCs w:val="22"/>
        </w:rPr>
        <w:t>(2)</w:t>
      </w:r>
      <w:r w:rsidRPr="00FB2F3D">
        <w:rPr>
          <w:rFonts w:ascii="Arial" w:hAnsi="Arial" w:cs="Arial"/>
          <w:sz w:val="22"/>
          <w:szCs w:val="22"/>
        </w:rPr>
        <w:tab/>
      </w:r>
      <w:r w:rsidR="002433F1" w:rsidRPr="00FB2F3D">
        <w:rPr>
          <w:rFonts w:ascii="Arial" w:hAnsi="Arial" w:cs="Arial"/>
          <w:sz w:val="22"/>
          <w:szCs w:val="22"/>
        </w:rPr>
        <w:t>A Reporting Entity</w:t>
      </w:r>
      <w:r w:rsidR="00162E0C" w:rsidRPr="00FB2F3D">
        <w:rPr>
          <w:rFonts w:ascii="Arial" w:hAnsi="Arial" w:cs="Arial"/>
          <w:sz w:val="22"/>
          <w:szCs w:val="22"/>
        </w:rPr>
        <w:t xml:space="preserve"> that proposes to change its accounting reference date must:</w:t>
      </w:r>
      <w:bookmarkEnd w:id="815"/>
    </w:p>
    <w:p w14:paraId="5D05BCE6"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 xml:space="preserve">notify the </w:t>
      </w:r>
      <w:r w:rsidR="0035335F" w:rsidRPr="00FB2F3D">
        <w:rPr>
          <w:rFonts w:ascii="Arial" w:hAnsi="Arial" w:cs="Arial"/>
          <w:sz w:val="22"/>
          <w:szCs w:val="22"/>
        </w:rPr>
        <w:t>Regulator</w:t>
      </w:r>
      <w:r w:rsidRPr="00FB2F3D">
        <w:rPr>
          <w:rFonts w:ascii="Arial" w:hAnsi="Arial" w:cs="Arial"/>
          <w:sz w:val="22"/>
          <w:szCs w:val="22"/>
        </w:rPr>
        <w:t xml:space="preserve"> of its proposal at least 28 </w:t>
      </w:r>
      <w:r w:rsidR="00936C69" w:rsidRPr="00FB2F3D">
        <w:rPr>
          <w:rFonts w:ascii="Arial" w:hAnsi="Arial" w:cs="Arial"/>
          <w:sz w:val="22"/>
          <w:szCs w:val="22"/>
        </w:rPr>
        <w:t>Business Day</w:t>
      </w:r>
      <w:r w:rsidRPr="00FB2F3D">
        <w:rPr>
          <w:rFonts w:ascii="Arial" w:hAnsi="Arial" w:cs="Arial"/>
          <w:sz w:val="22"/>
          <w:szCs w:val="22"/>
        </w:rPr>
        <w:t>s prior to making such a change; and</w:t>
      </w:r>
    </w:p>
    <w:p w14:paraId="402C9B12" w14:textId="7F0A4A84" w:rsidR="00162E0C" w:rsidRDefault="00162E0C" w:rsidP="0061693E">
      <w:pPr>
        <w:pStyle w:val="Heading5"/>
        <w:rPr>
          <w:rFonts w:ascii="Arial" w:hAnsi="Arial" w:cs="Arial"/>
          <w:sz w:val="22"/>
          <w:szCs w:val="22"/>
        </w:rPr>
      </w:pPr>
      <w:r w:rsidRPr="00FB2F3D">
        <w:rPr>
          <w:rFonts w:ascii="Arial" w:hAnsi="Arial" w:cs="Arial"/>
          <w:sz w:val="22"/>
          <w:szCs w:val="22"/>
        </w:rPr>
        <w:t xml:space="preserve">obtain the </w:t>
      </w:r>
      <w:r w:rsidR="0035335F" w:rsidRPr="00FB2F3D">
        <w:rPr>
          <w:rFonts w:ascii="Arial" w:hAnsi="Arial" w:cs="Arial"/>
          <w:sz w:val="22"/>
          <w:szCs w:val="22"/>
        </w:rPr>
        <w:t>Regulator</w:t>
      </w:r>
      <w:r w:rsidRPr="00FB2F3D">
        <w:rPr>
          <w:rFonts w:ascii="Arial" w:hAnsi="Arial" w:cs="Arial"/>
          <w:sz w:val="22"/>
          <w:szCs w:val="22"/>
        </w:rPr>
        <w:t>'s prior approval for the proposed change.</w:t>
      </w:r>
    </w:p>
    <w:p w14:paraId="5E4DF5B6" w14:textId="77777777" w:rsidR="00AA2A71" w:rsidRPr="00AA2A71" w:rsidRDefault="00AA2A71" w:rsidP="00AA2A71">
      <w:pPr>
        <w:pStyle w:val="TitleL"/>
        <w:rPr>
          <w:rFonts w:ascii="Arial" w:hAnsi="Arial" w:cs="Arial"/>
          <w:sz w:val="22"/>
          <w:szCs w:val="22"/>
        </w:rPr>
      </w:pPr>
      <w:r w:rsidRPr="00AA2A71">
        <w:rPr>
          <w:rFonts w:ascii="Arial" w:hAnsi="Arial" w:cs="Arial"/>
          <w:sz w:val="22"/>
          <w:szCs w:val="22"/>
        </w:rPr>
        <w:lastRenderedPageBreak/>
        <w:t>Preliminary statement of annual financial results</w:t>
      </w:r>
    </w:p>
    <w:p w14:paraId="6FD8381B" w14:textId="1AA48915" w:rsidR="00AA2A71" w:rsidRPr="00AA2A71" w:rsidRDefault="00AA2A71" w:rsidP="00AA2A71">
      <w:pPr>
        <w:ind w:left="1440" w:hanging="1440"/>
        <w:jc w:val="both"/>
        <w:rPr>
          <w:rFonts w:ascii="Arial" w:eastAsiaTheme="majorEastAsia" w:hAnsi="Arial" w:cs="Arial"/>
          <w:bCs/>
          <w:sz w:val="22"/>
          <w:szCs w:val="22"/>
        </w:rPr>
      </w:pPr>
      <w:r w:rsidRPr="00AA2A71">
        <w:rPr>
          <w:rFonts w:ascii="Arial" w:hAnsi="Arial" w:cs="Arial"/>
          <w:b/>
          <w:bCs/>
          <w:sz w:val="22"/>
          <w:szCs w:val="22"/>
        </w:rPr>
        <w:t>10.1.3A</w:t>
      </w:r>
      <w:r>
        <w:rPr>
          <w:rFonts w:ascii="Arial" w:hAnsi="Arial" w:cs="Arial"/>
          <w:sz w:val="22"/>
          <w:szCs w:val="22"/>
        </w:rPr>
        <w:t xml:space="preserve"> </w:t>
      </w:r>
      <w:r w:rsidRPr="00AA2A71">
        <w:rPr>
          <w:rFonts w:ascii="Arial" w:hAnsi="Arial" w:cs="Arial"/>
          <w:bCs/>
          <w:sz w:val="22"/>
          <w:szCs w:val="22"/>
        </w:rPr>
        <w:t>(1)</w:t>
      </w:r>
      <w:r w:rsidRPr="00AA2A71">
        <w:rPr>
          <w:rFonts w:ascii="Arial" w:hAnsi="Arial" w:cs="Arial"/>
          <w:b/>
          <w:bCs/>
          <w:sz w:val="22"/>
          <w:szCs w:val="22"/>
        </w:rPr>
        <w:tab/>
      </w:r>
      <w:r w:rsidRPr="00AA2A71">
        <w:rPr>
          <w:rFonts w:ascii="Arial" w:eastAsiaTheme="majorEastAsia" w:hAnsi="Arial" w:cs="Arial"/>
          <w:bCs/>
          <w:sz w:val="22"/>
          <w:szCs w:val="22"/>
        </w:rPr>
        <w:t>A Reporting Entity must immediately Disclose a preliminary statement of annual financial results following Board approval, unless it is otherwise required to comply with Rule 10.1.3B. The preliminary statement of annual financial results must:</w:t>
      </w:r>
    </w:p>
    <w:p w14:paraId="54ED60B7" w14:textId="77777777" w:rsidR="00AA2A71" w:rsidRPr="00AA2A71" w:rsidRDefault="00AA2A71" w:rsidP="00AA2A71">
      <w:pPr>
        <w:ind w:left="720" w:firstLine="720"/>
        <w:jc w:val="both"/>
        <w:rPr>
          <w:rFonts w:ascii="Arial" w:eastAsiaTheme="majorEastAsia" w:hAnsi="Arial" w:cs="Arial"/>
          <w:bCs/>
          <w:sz w:val="22"/>
          <w:szCs w:val="22"/>
        </w:rPr>
      </w:pPr>
      <w:r w:rsidRPr="00AA2A71" w:rsidDel="007C5344">
        <w:rPr>
          <w:rFonts w:ascii="Arial" w:eastAsiaTheme="majorEastAsia" w:hAnsi="Arial" w:cs="Arial"/>
          <w:bCs/>
          <w:sz w:val="22"/>
          <w:szCs w:val="22"/>
        </w:rPr>
        <w:t xml:space="preserve"> </w:t>
      </w:r>
    </w:p>
    <w:p w14:paraId="31A41E87" w14:textId="77777777" w:rsidR="00AA2A71" w:rsidRPr="00AA2A71" w:rsidRDefault="00AA2A71" w:rsidP="00AA2A71">
      <w:pPr>
        <w:pStyle w:val="Heading5"/>
        <w:numPr>
          <w:ilvl w:val="0"/>
          <w:numId w:val="0"/>
        </w:numPr>
        <w:ind w:left="2160" w:hanging="742"/>
        <w:rPr>
          <w:rFonts w:ascii="Arial" w:hAnsi="Arial" w:cs="Arial"/>
          <w:sz w:val="22"/>
          <w:szCs w:val="22"/>
        </w:rPr>
      </w:pPr>
      <w:r w:rsidRPr="00AA2A71">
        <w:rPr>
          <w:rFonts w:ascii="Arial" w:hAnsi="Arial" w:cs="Arial"/>
          <w:sz w:val="22"/>
          <w:szCs w:val="22"/>
        </w:rPr>
        <w:t>(a)</w:t>
      </w:r>
      <w:r w:rsidRPr="00AA2A71">
        <w:rPr>
          <w:rFonts w:ascii="Arial" w:hAnsi="Arial" w:cs="Arial"/>
          <w:sz w:val="22"/>
          <w:szCs w:val="22"/>
        </w:rPr>
        <w:tab/>
        <w:t>be presented in the form of a table and include the items required for a half-yearly report, consistent with the presentation to be adopted in the annual accounts for the financial year;</w:t>
      </w:r>
    </w:p>
    <w:p w14:paraId="0033F6EA" w14:textId="77777777" w:rsidR="00AA2A71" w:rsidRPr="00AA2A71" w:rsidRDefault="00AA2A71" w:rsidP="00AA2A71">
      <w:pPr>
        <w:pStyle w:val="Heading5"/>
        <w:numPr>
          <w:ilvl w:val="0"/>
          <w:numId w:val="0"/>
        </w:numPr>
        <w:ind w:left="2160" w:hanging="742"/>
        <w:rPr>
          <w:rFonts w:ascii="Arial" w:hAnsi="Arial" w:cs="Arial"/>
          <w:sz w:val="22"/>
          <w:szCs w:val="22"/>
        </w:rPr>
      </w:pPr>
      <w:r w:rsidRPr="00AA2A71">
        <w:rPr>
          <w:rFonts w:ascii="Arial" w:hAnsi="Arial" w:cs="Arial"/>
          <w:sz w:val="22"/>
          <w:szCs w:val="22"/>
        </w:rPr>
        <w:t>(b)</w:t>
      </w:r>
      <w:r w:rsidRPr="00AA2A71">
        <w:rPr>
          <w:rFonts w:ascii="Arial" w:hAnsi="Arial" w:cs="Arial"/>
          <w:sz w:val="22"/>
          <w:szCs w:val="22"/>
        </w:rPr>
        <w:tab/>
        <w:t>include the status of auditor involvement in the preparation of the preliminary statement of annual financial results;</w:t>
      </w:r>
    </w:p>
    <w:p w14:paraId="649428A0" w14:textId="77777777" w:rsidR="00AA2A71" w:rsidRPr="00AA2A71" w:rsidRDefault="00AA2A71" w:rsidP="00AA2A71">
      <w:pPr>
        <w:pStyle w:val="Heading5"/>
        <w:numPr>
          <w:ilvl w:val="0"/>
          <w:numId w:val="0"/>
        </w:numPr>
        <w:ind w:left="2160" w:hanging="742"/>
        <w:rPr>
          <w:rFonts w:ascii="Arial" w:hAnsi="Arial" w:cs="Arial"/>
          <w:sz w:val="22"/>
          <w:szCs w:val="22"/>
        </w:rPr>
      </w:pPr>
      <w:r w:rsidRPr="00AA2A71">
        <w:rPr>
          <w:rFonts w:ascii="Arial" w:hAnsi="Arial" w:cs="Arial"/>
          <w:sz w:val="22"/>
          <w:szCs w:val="22"/>
        </w:rPr>
        <w:t>(c)</w:t>
      </w:r>
      <w:r w:rsidRPr="00AA2A71">
        <w:rPr>
          <w:rFonts w:ascii="Arial" w:hAnsi="Arial" w:cs="Arial"/>
          <w:sz w:val="22"/>
          <w:szCs w:val="22"/>
        </w:rPr>
        <w:tab/>
        <w:t>include details of any likely qualification or emphasis-of-matter wording that may be required to be included in the auditor’s report to be included in the annual financial report; and</w:t>
      </w:r>
    </w:p>
    <w:p w14:paraId="22E7761E" w14:textId="77777777" w:rsidR="00AA2A71" w:rsidRPr="00AA2A71" w:rsidRDefault="00AA2A71" w:rsidP="00AA2A71">
      <w:pPr>
        <w:pStyle w:val="Heading5"/>
        <w:numPr>
          <w:ilvl w:val="0"/>
          <w:numId w:val="0"/>
        </w:numPr>
        <w:ind w:left="2160" w:hanging="742"/>
        <w:rPr>
          <w:rFonts w:ascii="Arial" w:hAnsi="Arial" w:cs="Arial"/>
          <w:sz w:val="22"/>
          <w:szCs w:val="22"/>
        </w:rPr>
      </w:pPr>
      <w:r w:rsidRPr="00AA2A71">
        <w:rPr>
          <w:rFonts w:ascii="Arial" w:hAnsi="Arial" w:cs="Arial"/>
          <w:sz w:val="22"/>
          <w:szCs w:val="22"/>
        </w:rPr>
        <w:t>(d)</w:t>
      </w:r>
      <w:r w:rsidRPr="00AA2A71">
        <w:rPr>
          <w:rFonts w:ascii="Arial" w:hAnsi="Arial" w:cs="Arial"/>
          <w:sz w:val="22"/>
          <w:szCs w:val="22"/>
        </w:rPr>
        <w:tab/>
        <w:t>include any significant additional information necessary for the purpose of assessing the results being announced.</w:t>
      </w:r>
    </w:p>
    <w:p w14:paraId="24AB25A8" w14:textId="77777777" w:rsidR="00AA2A71" w:rsidRPr="00AA2A71" w:rsidRDefault="00AA2A71" w:rsidP="00AA2A71">
      <w:pPr>
        <w:pStyle w:val="TitleL"/>
        <w:rPr>
          <w:rFonts w:ascii="Arial" w:hAnsi="Arial" w:cs="Arial"/>
          <w:sz w:val="22"/>
          <w:szCs w:val="22"/>
        </w:rPr>
      </w:pPr>
      <w:r w:rsidRPr="00AA2A71">
        <w:rPr>
          <w:rFonts w:ascii="Arial" w:hAnsi="Arial" w:cs="Arial"/>
          <w:sz w:val="22"/>
          <w:szCs w:val="22"/>
        </w:rPr>
        <w:t>Quarterly cash reports</w:t>
      </w:r>
    </w:p>
    <w:p w14:paraId="54D05FD1" w14:textId="77777777" w:rsidR="00AA2A71" w:rsidRPr="00AA2A71" w:rsidRDefault="00AA2A71" w:rsidP="00AA2A71">
      <w:pPr>
        <w:pStyle w:val="TitleL"/>
        <w:ind w:left="1418" w:hanging="1418"/>
        <w:rPr>
          <w:rFonts w:ascii="Arial" w:hAnsi="Arial" w:cs="Arial"/>
          <w:b w:val="0"/>
          <w:bCs/>
          <w:sz w:val="22"/>
          <w:szCs w:val="22"/>
        </w:rPr>
      </w:pPr>
      <w:r w:rsidRPr="00AA2A71">
        <w:rPr>
          <w:rFonts w:ascii="Arial" w:hAnsi="Arial" w:cs="Arial"/>
          <w:sz w:val="22"/>
          <w:szCs w:val="22"/>
        </w:rPr>
        <w:t>10.1.3B</w:t>
      </w:r>
      <w:r w:rsidRPr="00AA2A71">
        <w:rPr>
          <w:rFonts w:ascii="Arial" w:hAnsi="Arial" w:cs="Arial"/>
          <w:b w:val="0"/>
          <w:bCs/>
          <w:sz w:val="22"/>
          <w:szCs w:val="22"/>
        </w:rPr>
        <w:t xml:space="preserve"> (1)</w:t>
      </w:r>
      <w:r w:rsidRPr="00AA2A71">
        <w:rPr>
          <w:rFonts w:ascii="Arial" w:hAnsi="Arial" w:cs="Arial"/>
          <w:b w:val="0"/>
          <w:bCs/>
          <w:sz w:val="22"/>
          <w:szCs w:val="22"/>
        </w:rPr>
        <w:tab/>
        <w:t>A Reporting Entity must complete MKT Form 10-1 on a quarterly basis if the Regulator:</w:t>
      </w:r>
    </w:p>
    <w:p w14:paraId="58F8C132" w14:textId="77777777" w:rsidR="00AA2A71" w:rsidRPr="00AA2A71" w:rsidRDefault="00AA2A71" w:rsidP="00AA2A71">
      <w:pPr>
        <w:pStyle w:val="Heading5"/>
        <w:numPr>
          <w:ilvl w:val="0"/>
          <w:numId w:val="0"/>
        </w:numPr>
        <w:ind w:left="2160" w:hanging="742"/>
        <w:rPr>
          <w:rFonts w:ascii="Arial" w:hAnsi="Arial" w:cs="Arial"/>
          <w:sz w:val="22"/>
          <w:szCs w:val="22"/>
        </w:rPr>
      </w:pPr>
      <w:r w:rsidRPr="00AA2A71">
        <w:rPr>
          <w:rFonts w:ascii="Arial" w:hAnsi="Arial" w:cs="Arial"/>
          <w:sz w:val="22"/>
          <w:szCs w:val="22"/>
        </w:rPr>
        <w:t>(a)</w:t>
      </w:r>
      <w:r w:rsidRPr="00AA2A71">
        <w:rPr>
          <w:rFonts w:ascii="Arial" w:hAnsi="Arial" w:cs="Arial"/>
          <w:sz w:val="22"/>
          <w:szCs w:val="22"/>
        </w:rPr>
        <w:tab/>
        <w:t>requires it as a condition of admission to the Official List pursuant to section 52(1)(b) of the FSMR;</w:t>
      </w:r>
    </w:p>
    <w:p w14:paraId="5A18870F" w14:textId="77777777" w:rsidR="00AA2A71" w:rsidRPr="00AA2A71" w:rsidRDefault="00AA2A71" w:rsidP="00AA2A71">
      <w:pPr>
        <w:pStyle w:val="Heading5"/>
        <w:numPr>
          <w:ilvl w:val="0"/>
          <w:numId w:val="0"/>
        </w:numPr>
        <w:ind w:left="2160" w:hanging="742"/>
        <w:rPr>
          <w:rFonts w:ascii="Arial" w:hAnsi="Arial" w:cs="Arial"/>
          <w:sz w:val="22"/>
          <w:szCs w:val="22"/>
        </w:rPr>
      </w:pPr>
      <w:r w:rsidRPr="00AA2A71">
        <w:rPr>
          <w:rFonts w:ascii="Arial" w:hAnsi="Arial" w:cs="Arial"/>
          <w:sz w:val="22"/>
          <w:szCs w:val="22"/>
        </w:rPr>
        <w:t>(b)</w:t>
      </w:r>
      <w:r w:rsidRPr="00AA2A71">
        <w:rPr>
          <w:rFonts w:ascii="Arial" w:hAnsi="Arial" w:cs="Arial"/>
          <w:sz w:val="22"/>
          <w:szCs w:val="22"/>
        </w:rPr>
        <w:tab/>
        <w:t>classifies the Reporting Entity as a Mining Exploration Reporting Entity or a Petroleum Exploration Reporting Entity; or</w:t>
      </w:r>
    </w:p>
    <w:p w14:paraId="7A0239DD" w14:textId="77777777" w:rsidR="00AA2A71" w:rsidRPr="00AA2A71" w:rsidRDefault="00AA2A71" w:rsidP="00AA2A71">
      <w:pPr>
        <w:pStyle w:val="Heading5"/>
        <w:numPr>
          <w:ilvl w:val="0"/>
          <w:numId w:val="0"/>
        </w:numPr>
        <w:ind w:left="2160" w:hanging="742"/>
        <w:rPr>
          <w:rFonts w:ascii="Arial" w:hAnsi="Arial" w:cs="Arial"/>
          <w:sz w:val="22"/>
          <w:szCs w:val="22"/>
        </w:rPr>
      </w:pPr>
      <w:r w:rsidRPr="00AA2A71">
        <w:rPr>
          <w:rFonts w:ascii="Arial" w:hAnsi="Arial" w:cs="Arial"/>
          <w:sz w:val="22"/>
          <w:szCs w:val="22"/>
        </w:rPr>
        <w:t>(c)</w:t>
      </w:r>
      <w:r w:rsidRPr="00AA2A71">
        <w:rPr>
          <w:rFonts w:ascii="Arial" w:hAnsi="Arial" w:cs="Arial"/>
          <w:sz w:val="22"/>
          <w:szCs w:val="22"/>
        </w:rPr>
        <w:tab/>
        <w:t>requires it pursuant to section 84 of the FSMR.</w:t>
      </w:r>
    </w:p>
    <w:p w14:paraId="4272D74F" w14:textId="77777777" w:rsidR="00AA2A71" w:rsidRPr="00AA2A71" w:rsidRDefault="00AA2A71" w:rsidP="00AA2A71">
      <w:pPr>
        <w:pStyle w:val="TitleL"/>
        <w:rPr>
          <w:rFonts w:ascii="Arial" w:hAnsi="Arial" w:cs="Arial"/>
          <w:sz w:val="22"/>
          <w:szCs w:val="22"/>
        </w:rPr>
      </w:pPr>
      <w:r w:rsidRPr="00AA2A71">
        <w:rPr>
          <w:rFonts w:ascii="Arial" w:hAnsi="Arial" w:cs="Arial"/>
          <w:sz w:val="22"/>
          <w:szCs w:val="22"/>
        </w:rPr>
        <w:t xml:space="preserve">Guidance </w:t>
      </w:r>
    </w:p>
    <w:p w14:paraId="7B6FBB2E" w14:textId="77777777" w:rsidR="00AA2A71" w:rsidRPr="00AA2A71" w:rsidRDefault="00AA2A71" w:rsidP="00AA2A71">
      <w:pPr>
        <w:ind w:left="1440" w:hanging="589"/>
        <w:jc w:val="both"/>
        <w:rPr>
          <w:rFonts w:ascii="Arial" w:hAnsi="Arial" w:cs="Arial"/>
          <w:sz w:val="22"/>
          <w:szCs w:val="22"/>
          <w:lang w:val="en-US"/>
        </w:rPr>
      </w:pPr>
      <w:r w:rsidRPr="00AA2A71">
        <w:rPr>
          <w:rFonts w:ascii="Arial" w:hAnsi="Arial" w:cs="Arial"/>
          <w:sz w:val="22"/>
          <w:szCs w:val="22"/>
          <w:lang w:val="en-US"/>
        </w:rPr>
        <w:t>1.</w:t>
      </w:r>
      <w:r w:rsidRPr="00AA2A71">
        <w:rPr>
          <w:rFonts w:ascii="Arial" w:hAnsi="Arial" w:cs="Arial"/>
          <w:sz w:val="22"/>
          <w:szCs w:val="22"/>
          <w:lang w:val="en-US"/>
        </w:rPr>
        <w:tab/>
        <w:t>The Regulator will generally require a Reporting Entity to comply with Rule 10.1.3B(1)(i) in circumstances where the Listed Entity with Securities being admitted to the Official List is admitted under the assets eligibility test (see Rule 2.3.16), has less than three years of audited financial statements as prescribed in Rule 2.3.2(1), or is considered by the Regulator, for other reasons, to require quarterly cash reports, such as the admission of a cash-box.</w:t>
      </w:r>
    </w:p>
    <w:p w14:paraId="086CD32B" w14:textId="77777777" w:rsidR="00AA2A71" w:rsidRPr="00AA2A71" w:rsidRDefault="00AA2A71" w:rsidP="00AA2A71">
      <w:pPr>
        <w:ind w:left="1440" w:hanging="589"/>
        <w:jc w:val="both"/>
        <w:rPr>
          <w:rFonts w:ascii="Arial" w:hAnsi="Arial" w:cs="Arial"/>
          <w:sz w:val="22"/>
          <w:szCs w:val="22"/>
          <w:lang w:val="en-US"/>
        </w:rPr>
      </w:pPr>
    </w:p>
    <w:p w14:paraId="51EDCB0C" w14:textId="77777777" w:rsidR="00AA2A71" w:rsidRPr="00AA2A71" w:rsidRDefault="00AA2A71" w:rsidP="00AA2A71">
      <w:pPr>
        <w:ind w:left="1440" w:hanging="589"/>
        <w:jc w:val="both"/>
        <w:rPr>
          <w:rFonts w:ascii="Arial" w:hAnsi="Arial" w:cs="Arial"/>
          <w:sz w:val="22"/>
          <w:szCs w:val="22"/>
          <w:lang w:val="en-US"/>
        </w:rPr>
      </w:pPr>
      <w:r w:rsidRPr="00AA2A71">
        <w:rPr>
          <w:rFonts w:ascii="Arial" w:hAnsi="Arial" w:cs="Arial"/>
          <w:sz w:val="22"/>
          <w:szCs w:val="22"/>
          <w:lang w:val="en-US"/>
        </w:rPr>
        <w:t>2.</w:t>
      </w:r>
      <w:r w:rsidRPr="00AA2A71">
        <w:rPr>
          <w:rFonts w:ascii="Arial" w:hAnsi="Arial" w:cs="Arial"/>
          <w:sz w:val="22"/>
          <w:szCs w:val="22"/>
          <w:lang w:val="en-US"/>
        </w:rPr>
        <w:tab/>
        <w:t>The Regulator will generally require a Reporting Entity to comply with Rule 10.1.3B(1)(c) where there are concerns with the cash flow position of the Reporting Entity, or the position of the Reporting Entity as a going concern, or for any other related reason.</w:t>
      </w:r>
    </w:p>
    <w:p w14:paraId="2A936E91" w14:textId="77777777" w:rsidR="00AA2A71" w:rsidRPr="00AA2A71" w:rsidRDefault="00AA2A71" w:rsidP="00AA2A71">
      <w:pPr>
        <w:ind w:left="1440" w:hanging="589"/>
        <w:jc w:val="both"/>
        <w:rPr>
          <w:rFonts w:ascii="Arial" w:hAnsi="Arial" w:cs="Arial"/>
          <w:sz w:val="22"/>
          <w:szCs w:val="22"/>
          <w:lang w:val="en-US"/>
        </w:rPr>
      </w:pPr>
    </w:p>
    <w:p w14:paraId="75057708" w14:textId="77777777" w:rsidR="00AA2A71" w:rsidRPr="00AA2A71" w:rsidRDefault="00AA2A71" w:rsidP="00AA2A71">
      <w:pPr>
        <w:pStyle w:val="Heading5"/>
        <w:numPr>
          <w:ilvl w:val="0"/>
          <w:numId w:val="0"/>
        </w:numPr>
        <w:ind w:left="1440" w:hanging="589"/>
        <w:rPr>
          <w:rFonts w:ascii="Arial" w:hAnsi="Arial" w:cs="Arial"/>
          <w:sz w:val="22"/>
          <w:szCs w:val="22"/>
        </w:rPr>
      </w:pPr>
      <w:r w:rsidRPr="00AA2A71">
        <w:rPr>
          <w:rFonts w:ascii="Arial" w:hAnsi="Arial" w:cs="Arial"/>
          <w:sz w:val="22"/>
          <w:szCs w:val="22"/>
          <w:lang w:val="en-US"/>
        </w:rPr>
        <w:t>3.</w:t>
      </w:r>
      <w:r w:rsidRPr="00AA2A71">
        <w:rPr>
          <w:rFonts w:ascii="Arial" w:hAnsi="Arial" w:cs="Arial"/>
          <w:sz w:val="22"/>
          <w:szCs w:val="22"/>
          <w:lang w:val="en-US"/>
        </w:rPr>
        <w:tab/>
        <w:t>The Regulator, when applying Rule 10.1.3B(1), will inform the Reporting Entity that the Rule applies, the length of time the Reporting Entity is required to comply with the Rule and, if applicable, any other requirement imposed on the Reporting Entity in relation to its obligations under the Rule.</w:t>
      </w:r>
      <w:r w:rsidRPr="00AA2A71">
        <w:rPr>
          <w:rFonts w:ascii="Arial" w:hAnsi="Arial" w:cs="Arial"/>
          <w:sz w:val="22"/>
          <w:szCs w:val="22"/>
        </w:rPr>
        <w:t xml:space="preserve"> </w:t>
      </w:r>
    </w:p>
    <w:p w14:paraId="6DB45D3F" w14:textId="77777777" w:rsidR="00AA2A71" w:rsidRPr="00AA2A71" w:rsidRDefault="00AA2A71" w:rsidP="00AA2A71">
      <w:pPr>
        <w:pStyle w:val="TitleL"/>
        <w:ind w:left="1418" w:hanging="1418"/>
        <w:rPr>
          <w:rFonts w:ascii="Arial" w:hAnsi="Arial" w:cs="Arial"/>
          <w:b w:val="0"/>
          <w:bCs/>
          <w:sz w:val="22"/>
          <w:szCs w:val="22"/>
        </w:rPr>
      </w:pPr>
      <w:r w:rsidRPr="00AA2A71">
        <w:rPr>
          <w:rFonts w:ascii="Arial" w:hAnsi="Arial" w:cs="Arial"/>
          <w:sz w:val="22"/>
          <w:szCs w:val="22"/>
        </w:rPr>
        <w:t>10.1.3B</w:t>
      </w:r>
      <w:r w:rsidRPr="00AA2A71">
        <w:rPr>
          <w:rFonts w:ascii="Arial" w:hAnsi="Arial" w:cs="Arial"/>
          <w:b w:val="0"/>
          <w:bCs/>
          <w:sz w:val="22"/>
          <w:szCs w:val="22"/>
        </w:rPr>
        <w:t>(2)</w:t>
      </w:r>
      <w:r w:rsidRPr="00AA2A71">
        <w:rPr>
          <w:rFonts w:ascii="Arial" w:hAnsi="Arial" w:cs="Arial"/>
          <w:b w:val="0"/>
          <w:bCs/>
          <w:sz w:val="22"/>
          <w:szCs w:val="22"/>
        </w:rPr>
        <w:tab/>
        <w:t xml:space="preserve">A Reporting Entity required to comply with Rule 10.1.3B(1) must Disclose its completed MKT Form 10-1 immediately upon the information becoming </w:t>
      </w:r>
      <w:r w:rsidRPr="00AA2A71">
        <w:rPr>
          <w:rFonts w:ascii="Arial" w:hAnsi="Arial" w:cs="Arial"/>
          <w:b w:val="0"/>
          <w:bCs/>
          <w:sz w:val="22"/>
          <w:szCs w:val="22"/>
        </w:rPr>
        <w:lastRenderedPageBreak/>
        <w:t>available, and in any event no later than one (1) month after the end of each quarter of its financial year.</w:t>
      </w:r>
    </w:p>
    <w:p w14:paraId="0A45E160" w14:textId="77777777" w:rsidR="00162E0C" w:rsidRPr="00FB2F3D" w:rsidRDefault="00162E0C" w:rsidP="00351ABC">
      <w:pPr>
        <w:pStyle w:val="TitleL"/>
        <w:rPr>
          <w:rFonts w:ascii="Arial" w:hAnsi="Arial" w:cs="Arial"/>
          <w:sz w:val="22"/>
          <w:szCs w:val="22"/>
        </w:rPr>
      </w:pPr>
      <w:r w:rsidRPr="00FB2F3D">
        <w:rPr>
          <w:rFonts w:ascii="Arial" w:hAnsi="Arial" w:cs="Arial"/>
          <w:sz w:val="22"/>
          <w:szCs w:val="22"/>
        </w:rPr>
        <w:t>Annual financial report</w:t>
      </w:r>
    </w:p>
    <w:p w14:paraId="35E3DF91" w14:textId="77777777" w:rsidR="00162E0C" w:rsidRPr="00FB2F3D" w:rsidRDefault="007441BA" w:rsidP="002433F1">
      <w:pPr>
        <w:pStyle w:val="Heading3"/>
        <w:ind w:left="1440" w:hanging="1440"/>
        <w:rPr>
          <w:rFonts w:ascii="Arial" w:hAnsi="Arial" w:cs="Arial"/>
          <w:sz w:val="22"/>
          <w:szCs w:val="22"/>
        </w:rPr>
      </w:pPr>
      <w:bookmarkStart w:id="816" w:name="_Ref410056405"/>
      <w:r w:rsidRPr="00FB2F3D">
        <w:rPr>
          <w:rFonts w:ascii="Arial" w:hAnsi="Arial" w:cs="Arial"/>
          <w:sz w:val="22"/>
          <w:szCs w:val="22"/>
        </w:rPr>
        <w:t>(1)</w:t>
      </w:r>
      <w:r w:rsidR="00351ABC" w:rsidRPr="00FB2F3D">
        <w:rPr>
          <w:rFonts w:ascii="Arial" w:hAnsi="Arial" w:cs="Arial"/>
          <w:sz w:val="22"/>
          <w:szCs w:val="22"/>
        </w:rPr>
        <w:tab/>
      </w:r>
      <w:r w:rsidR="00162E0C" w:rsidRPr="00FB2F3D">
        <w:rPr>
          <w:rFonts w:ascii="Arial" w:hAnsi="Arial" w:cs="Arial"/>
          <w:sz w:val="22"/>
          <w:szCs w:val="22"/>
        </w:rPr>
        <w:t>The annual financial report which is required to be produced by a</w:t>
      </w:r>
      <w:r w:rsidR="002433F1" w:rsidRPr="00FB2F3D">
        <w:rPr>
          <w:rFonts w:ascii="Arial" w:hAnsi="Arial" w:cs="Arial"/>
          <w:sz w:val="22"/>
          <w:szCs w:val="22"/>
        </w:rPr>
        <w:t xml:space="preserve"> Reporting Entity</w:t>
      </w:r>
      <w:r w:rsidR="00162E0C" w:rsidRPr="00FB2F3D">
        <w:rPr>
          <w:rFonts w:ascii="Arial" w:hAnsi="Arial" w:cs="Arial"/>
          <w:sz w:val="22"/>
          <w:szCs w:val="22"/>
        </w:rPr>
        <w:t xml:space="preserve"> pursuant to section </w:t>
      </w:r>
      <w:r w:rsidR="00F10576" w:rsidRPr="00FB2F3D">
        <w:rPr>
          <w:rFonts w:ascii="Arial" w:hAnsi="Arial" w:cs="Arial"/>
          <w:sz w:val="22"/>
          <w:szCs w:val="22"/>
        </w:rPr>
        <w:t>78</w:t>
      </w:r>
      <w:r w:rsidR="00162E0C" w:rsidRPr="00FB2F3D">
        <w:rPr>
          <w:rFonts w:ascii="Arial" w:hAnsi="Arial" w:cs="Arial"/>
          <w:sz w:val="22"/>
          <w:szCs w:val="22"/>
        </w:rPr>
        <w:t xml:space="preserve"> of the FSMR must include the information specified in </w:t>
      </w:r>
      <w:r w:rsidR="00693841" w:rsidRPr="00FB2F3D">
        <w:rPr>
          <w:rFonts w:ascii="Arial" w:hAnsi="Arial" w:cs="Arial"/>
          <w:sz w:val="22"/>
          <w:szCs w:val="22"/>
        </w:rPr>
        <w:t>(2)</w:t>
      </w:r>
      <w:r w:rsidR="00162E0C" w:rsidRPr="00FB2F3D">
        <w:rPr>
          <w:rFonts w:ascii="Arial" w:hAnsi="Arial" w:cs="Arial"/>
          <w:sz w:val="22"/>
          <w:szCs w:val="22"/>
        </w:rPr>
        <w:t>.</w:t>
      </w:r>
      <w:bookmarkEnd w:id="816"/>
    </w:p>
    <w:p w14:paraId="0204804B" w14:textId="77777777" w:rsidR="00162E0C" w:rsidRPr="00FB2F3D" w:rsidRDefault="005D462F" w:rsidP="005D462F">
      <w:pPr>
        <w:pStyle w:val="Heading4"/>
        <w:numPr>
          <w:ilvl w:val="0"/>
          <w:numId w:val="0"/>
        </w:numPr>
        <w:ind w:left="1440" w:hanging="720"/>
        <w:rPr>
          <w:rFonts w:ascii="Arial" w:hAnsi="Arial" w:cs="Arial"/>
          <w:sz w:val="22"/>
          <w:szCs w:val="22"/>
        </w:rPr>
      </w:pPr>
      <w:bookmarkStart w:id="817" w:name="_Ref410668430"/>
      <w:r w:rsidRPr="00FB2F3D">
        <w:rPr>
          <w:rFonts w:ascii="Arial" w:hAnsi="Arial" w:cs="Arial"/>
          <w:sz w:val="22"/>
          <w:szCs w:val="22"/>
        </w:rPr>
        <w:t>(2)</w:t>
      </w:r>
      <w:r w:rsidRPr="00FB2F3D">
        <w:rPr>
          <w:rFonts w:ascii="Arial" w:hAnsi="Arial" w:cs="Arial"/>
          <w:sz w:val="22"/>
          <w:szCs w:val="22"/>
        </w:rPr>
        <w:tab/>
      </w:r>
      <w:r w:rsidR="00162E0C" w:rsidRPr="00FB2F3D">
        <w:rPr>
          <w:rFonts w:ascii="Arial" w:hAnsi="Arial" w:cs="Arial"/>
          <w:sz w:val="22"/>
          <w:szCs w:val="22"/>
        </w:rPr>
        <w:t>In respect of the financial year to which the annual financial report relates, it must contain:</w:t>
      </w:r>
      <w:bookmarkEnd w:id="817"/>
    </w:p>
    <w:p w14:paraId="01BA5CB8"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financial statements audited in accordance with Rule </w:t>
      </w:r>
      <w:r w:rsidR="00693841" w:rsidRPr="00FB2F3D">
        <w:rPr>
          <w:rFonts w:ascii="Arial" w:hAnsi="Arial" w:cs="Arial"/>
          <w:sz w:val="22"/>
          <w:szCs w:val="22"/>
        </w:rPr>
        <w:t>10.1.5</w:t>
      </w:r>
      <w:r w:rsidRPr="00FB2F3D">
        <w:rPr>
          <w:rFonts w:ascii="Arial" w:hAnsi="Arial" w:cs="Arial"/>
          <w:sz w:val="22"/>
          <w:szCs w:val="22"/>
        </w:rPr>
        <w:t>;</w:t>
      </w:r>
    </w:p>
    <w:p w14:paraId="6583BD69"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a review of the operations during the year and the results of those operations;</w:t>
      </w:r>
    </w:p>
    <w:p w14:paraId="0A064953" w14:textId="05A1699E" w:rsidR="00162E0C" w:rsidRPr="00FB2F3D" w:rsidRDefault="00162E0C" w:rsidP="002433F1">
      <w:pPr>
        <w:pStyle w:val="Heading5"/>
        <w:rPr>
          <w:rFonts w:ascii="Arial" w:hAnsi="Arial" w:cs="Arial"/>
          <w:sz w:val="22"/>
          <w:szCs w:val="22"/>
        </w:rPr>
      </w:pPr>
      <w:r w:rsidRPr="00FB2F3D">
        <w:rPr>
          <w:rFonts w:ascii="Arial" w:hAnsi="Arial" w:cs="Arial"/>
          <w:sz w:val="22"/>
          <w:szCs w:val="22"/>
        </w:rPr>
        <w:t xml:space="preserve">details of any significant changes in the </w:t>
      </w:r>
      <w:r w:rsidR="00AA2A71">
        <w:rPr>
          <w:rFonts w:ascii="Arial" w:hAnsi="Arial" w:cs="Arial"/>
          <w:sz w:val="22"/>
          <w:szCs w:val="22"/>
        </w:rPr>
        <w:t>Listed</w:t>
      </w:r>
      <w:r w:rsidR="002433F1" w:rsidRPr="00FB2F3D">
        <w:rPr>
          <w:rFonts w:ascii="Arial" w:hAnsi="Arial" w:cs="Arial"/>
          <w:sz w:val="22"/>
          <w:szCs w:val="22"/>
        </w:rPr>
        <w:t xml:space="preserve"> Entity</w:t>
      </w:r>
      <w:r w:rsidRPr="00FB2F3D">
        <w:rPr>
          <w:rFonts w:ascii="Arial" w:hAnsi="Arial" w:cs="Arial"/>
          <w:sz w:val="22"/>
          <w:szCs w:val="22"/>
        </w:rPr>
        <w:t>'s state of affairs during the financial year;</w:t>
      </w:r>
    </w:p>
    <w:p w14:paraId="2E379B5E" w14:textId="223E11DB" w:rsidR="00162E0C" w:rsidRPr="00FB2F3D" w:rsidRDefault="00162E0C" w:rsidP="002433F1">
      <w:pPr>
        <w:pStyle w:val="Heading5"/>
        <w:rPr>
          <w:rFonts w:ascii="Arial" w:hAnsi="Arial" w:cs="Arial"/>
          <w:sz w:val="22"/>
          <w:szCs w:val="22"/>
        </w:rPr>
      </w:pPr>
      <w:r w:rsidRPr="00FB2F3D">
        <w:rPr>
          <w:rFonts w:ascii="Arial" w:hAnsi="Arial" w:cs="Arial"/>
          <w:sz w:val="22"/>
          <w:szCs w:val="22"/>
        </w:rPr>
        <w:t xml:space="preserve">details relating to the </w:t>
      </w:r>
      <w:r w:rsidR="00AA2A71">
        <w:rPr>
          <w:rFonts w:ascii="Arial" w:hAnsi="Arial" w:cs="Arial"/>
          <w:sz w:val="22"/>
          <w:szCs w:val="22"/>
        </w:rPr>
        <w:t>Listed</w:t>
      </w:r>
      <w:r w:rsidR="002433F1" w:rsidRPr="00FB2F3D">
        <w:rPr>
          <w:rFonts w:ascii="Arial" w:hAnsi="Arial" w:cs="Arial"/>
          <w:sz w:val="22"/>
          <w:szCs w:val="22"/>
        </w:rPr>
        <w:t xml:space="preserve"> Entity</w:t>
      </w:r>
      <w:r w:rsidRPr="00FB2F3D">
        <w:rPr>
          <w:rFonts w:ascii="Arial" w:hAnsi="Arial" w:cs="Arial"/>
          <w:sz w:val="22"/>
          <w:szCs w:val="22"/>
        </w:rPr>
        <w:t>'s principal activities during the year and any significant changes in the nature of those activities during the year;</w:t>
      </w:r>
    </w:p>
    <w:p w14:paraId="2650310D" w14:textId="3209F758" w:rsidR="00162E0C" w:rsidRPr="00FB2F3D" w:rsidRDefault="00162E0C" w:rsidP="0061693E">
      <w:pPr>
        <w:pStyle w:val="Heading5"/>
        <w:rPr>
          <w:rFonts w:ascii="Arial" w:hAnsi="Arial" w:cs="Arial"/>
          <w:sz w:val="22"/>
          <w:szCs w:val="22"/>
        </w:rPr>
      </w:pPr>
      <w:r w:rsidRPr="00FB2F3D">
        <w:rPr>
          <w:rFonts w:ascii="Arial" w:hAnsi="Arial" w:cs="Arial"/>
          <w:sz w:val="22"/>
          <w:szCs w:val="22"/>
        </w:rPr>
        <w:t>details of any matter or circumstance that has arisen since the end of the year that has significantly affected or may significantly affect</w:t>
      </w:r>
      <w:r w:rsidR="00AA2A71">
        <w:rPr>
          <w:rFonts w:ascii="Arial" w:hAnsi="Arial" w:cs="Arial"/>
          <w:sz w:val="22"/>
          <w:szCs w:val="22"/>
        </w:rPr>
        <w:t xml:space="preserve"> the</w:t>
      </w:r>
      <w:r w:rsidRPr="00FB2F3D">
        <w:rPr>
          <w:rFonts w:ascii="Arial" w:hAnsi="Arial" w:cs="Arial"/>
          <w:sz w:val="22"/>
          <w:szCs w:val="22"/>
        </w:rPr>
        <w:t>:</w:t>
      </w:r>
    </w:p>
    <w:p w14:paraId="6D7699A2" w14:textId="073838CB" w:rsidR="00162E0C" w:rsidRPr="00FB2F3D" w:rsidRDefault="00AA2A71" w:rsidP="002433F1">
      <w:pPr>
        <w:pStyle w:val="Heading6"/>
        <w:rPr>
          <w:rFonts w:ascii="Arial" w:hAnsi="Arial" w:cs="Arial"/>
          <w:sz w:val="22"/>
          <w:szCs w:val="22"/>
        </w:rPr>
      </w:pPr>
      <w:r>
        <w:rPr>
          <w:rFonts w:ascii="Arial" w:hAnsi="Arial" w:cs="Arial"/>
          <w:sz w:val="22"/>
          <w:szCs w:val="22"/>
        </w:rPr>
        <w:t>Listed</w:t>
      </w:r>
      <w:r w:rsidR="002433F1" w:rsidRPr="00FB2F3D">
        <w:rPr>
          <w:rFonts w:ascii="Arial" w:hAnsi="Arial" w:cs="Arial"/>
          <w:sz w:val="22"/>
          <w:szCs w:val="22"/>
        </w:rPr>
        <w:t xml:space="preserve"> Entity</w:t>
      </w:r>
      <w:r w:rsidR="00162E0C" w:rsidRPr="00FB2F3D">
        <w:rPr>
          <w:rFonts w:ascii="Arial" w:hAnsi="Arial" w:cs="Arial"/>
          <w:sz w:val="22"/>
          <w:szCs w:val="22"/>
        </w:rPr>
        <w:t>'s operations in future financial years and the results of those operations; or</w:t>
      </w:r>
    </w:p>
    <w:p w14:paraId="79F0DADA" w14:textId="3264CEE2" w:rsidR="00162E0C" w:rsidRPr="00FB2F3D" w:rsidRDefault="00AA2A71" w:rsidP="002433F1">
      <w:pPr>
        <w:pStyle w:val="Heading6"/>
        <w:rPr>
          <w:rFonts w:ascii="Arial" w:hAnsi="Arial" w:cs="Arial"/>
          <w:sz w:val="22"/>
          <w:szCs w:val="22"/>
        </w:rPr>
      </w:pPr>
      <w:r>
        <w:rPr>
          <w:rFonts w:ascii="Arial" w:hAnsi="Arial" w:cs="Arial"/>
          <w:sz w:val="22"/>
          <w:szCs w:val="22"/>
        </w:rPr>
        <w:t>Listed</w:t>
      </w:r>
      <w:r w:rsidR="002433F1" w:rsidRPr="00FB2F3D">
        <w:rPr>
          <w:rFonts w:ascii="Arial" w:hAnsi="Arial" w:cs="Arial"/>
          <w:sz w:val="22"/>
          <w:szCs w:val="22"/>
        </w:rPr>
        <w:t xml:space="preserve"> Entity</w:t>
      </w:r>
      <w:r w:rsidR="00162E0C" w:rsidRPr="00FB2F3D">
        <w:rPr>
          <w:rFonts w:ascii="Arial" w:hAnsi="Arial" w:cs="Arial"/>
          <w:sz w:val="22"/>
          <w:szCs w:val="22"/>
        </w:rPr>
        <w:t>'s state of affairs in future financial years; and</w:t>
      </w:r>
    </w:p>
    <w:p w14:paraId="2808D8E7" w14:textId="616CC802" w:rsidR="00162E0C" w:rsidRPr="00FB2F3D" w:rsidRDefault="00190802" w:rsidP="00190802">
      <w:pPr>
        <w:pStyle w:val="Heading6"/>
        <w:numPr>
          <w:ilvl w:val="0"/>
          <w:numId w:val="0"/>
        </w:numPr>
        <w:ind w:left="2160" w:hanging="720"/>
        <w:rPr>
          <w:rFonts w:ascii="Arial" w:hAnsi="Arial" w:cs="Arial"/>
          <w:sz w:val="22"/>
          <w:szCs w:val="22"/>
        </w:rPr>
      </w:pPr>
      <w:r w:rsidRPr="00FB2F3D">
        <w:rPr>
          <w:rFonts w:ascii="Arial" w:hAnsi="Arial" w:cs="Arial"/>
          <w:sz w:val="22"/>
          <w:szCs w:val="22"/>
        </w:rPr>
        <w:t>(f)</w:t>
      </w:r>
      <w:r w:rsidRPr="00FB2F3D">
        <w:rPr>
          <w:rFonts w:ascii="Arial" w:hAnsi="Arial" w:cs="Arial"/>
          <w:sz w:val="22"/>
          <w:szCs w:val="22"/>
        </w:rPr>
        <w:tab/>
      </w:r>
      <w:r w:rsidR="00162E0C" w:rsidRPr="00FB2F3D">
        <w:rPr>
          <w:rFonts w:ascii="Arial" w:hAnsi="Arial" w:cs="Arial"/>
          <w:sz w:val="22"/>
          <w:szCs w:val="22"/>
        </w:rPr>
        <w:t xml:space="preserve">likely developments in the </w:t>
      </w:r>
      <w:r w:rsidR="00AA2A71">
        <w:rPr>
          <w:rFonts w:ascii="Arial" w:hAnsi="Arial" w:cs="Arial"/>
          <w:sz w:val="22"/>
          <w:szCs w:val="22"/>
        </w:rPr>
        <w:t>Listed</w:t>
      </w:r>
      <w:r w:rsidR="002433F1" w:rsidRPr="00FB2F3D">
        <w:rPr>
          <w:rFonts w:ascii="Arial" w:hAnsi="Arial" w:cs="Arial"/>
          <w:sz w:val="22"/>
          <w:szCs w:val="22"/>
        </w:rPr>
        <w:t xml:space="preserve"> Entity</w:t>
      </w:r>
      <w:r w:rsidR="00162E0C" w:rsidRPr="00FB2F3D">
        <w:rPr>
          <w:rFonts w:ascii="Arial" w:hAnsi="Arial" w:cs="Arial"/>
          <w:sz w:val="22"/>
          <w:szCs w:val="22"/>
        </w:rPr>
        <w:t>'s operations in future financial years and the expected results of those operations;</w:t>
      </w:r>
    </w:p>
    <w:p w14:paraId="7675EB8F" w14:textId="6E864E22" w:rsidR="00162E0C" w:rsidRPr="00FB2F3D" w:rsidRDefault="00190802" w:rsidP="00190802">
      <w:pPr>
        <w:pStyle w:val="Heading5"/>
        <w:numPr>
          <w:ilvl w:val="0"/>
          <w:numId w:val="0"/>
        </w:numPr>
        <w:ind w:left="2160" w:hanging="720"/>
        <w:rPr>
          <w:rFonts w:ascii="Arial" w:hAnsi="Arial" w:cs="Arial"/>
          <w:sz w:val="22"/>
          <w:szCs w:val="22"/>
        </w:rPr>
      </w:pPr>
      <w:bookmarkStart w:id="818" w:name="_Ref410633538"/>
      <w:r w:rsidRPr="00FB2F3D">
        <w:rPr>
          <w:rFonts w:ascii="Arial" w:hAnsi="Arial" w:cs="Arial"/>
          <w:sz w:val="22"/>
          <w:szCs w:val="22"/>
        </w:rPr>
        <w:t>(g)</w:t>
      </w:r>
      <w:r w:rsidRPr="00FB2F3D">
        <w:rPr>
          <w:rFonts w:ascii="Arial" w:hAnsi="Arial" w:cs="Arial"/>
          <w:sz w:val="22"/>
          <w:szCs w:val="22"/>
        </w:rPr>
        <w:tab/>
      </w:r>
      <w:r w:rsidR="00162E0C" w:rsidRPr="00FB2F3D">
        <w:rPr>
          <w:rFonts w:ascii="Arial" w:hAnsi="Arial" w:cs="Arial"/>
          <w:sz w:val="22"/>
          <w:szCs w:val="22"/>
        </w:rPr>
        <w:t xml:space="preserve">a statement by Directors stating whether or not, in their opinion, the business of the </w:t>
      </w:r>
      <w:r w:rsidR="00AA2A71">
        <w:rPr>
          <w:rFonts w:ascii="Arial" w:hAnsi="Arial" w:cs="Arial"/>
          <w:sz w:val="22"/>
          <w:szCs w:val="22"/>
        </w:rPr>
        <w:t>Listed</w:t>
      </w:r>
      <w:r w:rsidR="002433F1" w:rsidRPr="00FB2F3D">
        <w:rPr>
          <w:rFonts w:ascii="Arial" w:hAnsi="Arial" w:cs="Arial"/>
          <w:sz w:val="22"/>
          <w:szCs w:val="22"/>
        </w:rPr>
        <w:t xml:space="preserve"> Entity</w:t>
      </w:r>
      <w:r w:rsidR="00162E0C" w:rsidRPr="00FB2F3D">
        <w:rPr>
          <w:rFonts w:ascii="Arial" w:hAnsi="Arial" w:cs="Arial"/>
          <w:sz w:val="22"/>
          <w:szCs w:val="22"/>
        </w:rPr>
        <w:t xml:space="preserve"> is a going concern,</w:t>
      </w:r>
      <w:r w:rsidR="00162E0C" w:rsidRPr="00FB2F3D">
        <w:rPr>
          <w:rFonts w:ascii="Arial" w:hAnsi="Arial" w:cs="Arial"/>
          <w:sz w:val="22"/>
          <w:szCs w:val="22"/>
          <w:lang w:eastAsia="ja-JP"/>
        </w:rPr>
        <w:t xml:space="preserve"> </w:t>
      </w:r>
      <w:r w:rsidR="00162E0C" w:rsidRPr="00FB2F3D">
        <w:rPr>
          <w:rFonts w:ascii="Arial" w:hAnsi="Arial" w:cs="Arial"/>
          <w:sz w:val="22"/>
          <w:szCs w:val="22"/>
        </w:rPr>
        <w:t xml:space="preserve">with supporting assumptions or qualifications as necessary; </w:t>
      </w:r>
      <w:bookmarkEnd w:id="818"/>
    </w:p>
    <w:p w14:paraId="24DABE65" w14:textId="438872C5" w:rsidR="00162E0C" w:rsidRPr="00FB2F3D" w:rsidRDefault="00190802" w:rsidP="00190802">
      <w:pPr>
        <w:pStyle w:val="Heading5"/>
        <w:numPr>
          <w:ilvl w:val="0"/>
          <w:numId w:val="0"/>
        </w:numPr>
        <w:ind w:left="2160" w:hanging="720"/>
        <w:rPr>
          <w:rFonts w:ascii="Arial" w:hAnsi="Arial" w:cs="Arial"/>
          <w:sz w:val="22"/>
          <w:szCs w:val="22"/>
        </w:rPr>
      </w:pPr>
      <w:bookmarkStart w:id="819" w:name="_Ref416794254"/>
      <w:r w:rsidRPr="00FB2F3D">
        <w:rPr>
          <w:rFonts w:ascii="Arial" w:hAnsi="Arial" w:cs="Arial"/>
          <w:sz w:val="22"/>
          <w:szCs w:val="22"/>
        </w:rPr>
        <w:t>(h)</w:t>
      </w:r>
      <w:r w:rsidRPr="00FB2F3D">
        <w:rPr>
          <w:rFonts w:ascii="Arial" w:hAnsi="Arial" w:cs="Arial"/>
          <w:sz w:val="22"/>
          <w:szCs w:val="22"/>
        </w:rPr>
        <w:tab/>
      </w:r>
      <w:r w:rsidR="00162E0C" w:rsidRPr="00FB2F3D">
        <w:rPr>
          <w:rFonts w:ascii="Arial" w:hAnsi="Arial" w:cs="Arial"/>
          <w:sz w:val="22"/>
          <w:szCs w:val="22"/>
        </w:rPr>
        <w:t xml:space="preserve">details relating to the identity and holdings of any Connected Person of the </w:t>
      </w:r>
      <w:r w:rsidR="00AA2A71">
        <w:rPr>
          <w:rFonts w:ascii="Arial" w:hAnsi="Arial" w:cs="Arial"/>
          <w:sz w:val="22"/>
          <w:szCs w:val="22"/>
        </w:rPr>
        <w:t>Listed</w:t>
      </w:r>
      <w:r w:rsidR="002433F1" w:rsidRPr="00FB2F3D">
        <w:rPr>
          <w:rFonts w:ascii="Arial" w:hAnsi="Arial" w:cs="Arial"/>
          <w:sz w:val="22"/>
          <w:szCs w:val="22"/>
        </w:rPr>
        <w:t xml:space="preserve"> Entity</w:t>
      </w:r>
      <w:bookmarkEnd w:id="819"/>
      <w:r w:rsidRPr="00FB2F3D">
        <w:rPr>
          <w:rFonts w:ascii="Arial" w:hAnsi="Arial" w:cs="Arial"/>
          <w:sz w:val="22"/>
          <w:szCs w:val="22"/>
        </w:rPr>
        <w:t>; and</w:t>
      </w:r>
    </w:p>
    <w:p w14:paraId="76C6DC77" w14:textId="2EC6684C" w:rsidR="00190802" w:rsidRPr="00FB2F3D" w:rsidRDefault="00190802" w:rsidP="00190802">
      <w:pPr>
        <w:pStyle w:val="Heading5"/>
        <w:numPr>
          <w:ilvl w:val="0"/>
          <w:numId w:val="0"/>
        </w:numPr>
        <w:ind w:left="2160" w:hanging="720"/>
        <w:rPr>
          <w:rFonts w:ascii="Arial" w:hAnsi="Arial" w:cs="Arial"/>
          <w:sz w:val="22"/>
          <w:szCs w:val="22"/>
        </w:rPr>
      </w:pPr>
      <w:r w:rsidRPr="00FB2F3D">
        <w:rPr>
          <w:rFonts w:ascii="Arial" w:hAnsi="Arial" w:cs="Arial"/>
          <w:sz w:val="22"/>
          <w:szCs w:val="22"/>
        </w:rPr>
        <w:t>(i)</w:t>
      </w:r>
      <w:r w:rsidRPr="00FB2F3D">
        <w:rPr>
          <w:rFonts w:ascii="Arial" w:hAnsi="Arial" w:cs="Arial"/>
          <w:sz w:val="22"/>
          <w:szCs w:val="22"/>
        </w:rPr>
        <w:tab/>
        <w:t xml:space="preserve">a statement </w:t>
      </w:r>
      <w:r w:rsidR="008050B7">
        <w:rPr>
          <w:rFonts w:ascii="Arial" w:hAnsi="Arial" w:cs="Arial"/>
          <w:sz w:val="22"/>
          <w:szCs w:val="22"/>
        </w:rPr>
        <w:t>by its</w:t>
      </w:r>
      <w:r w:rsidRPr="00FB2F3D">
        <w:rPr>
          <w:rFonts w:ascii="Arial" w:hAnsi="Arial" w:cs="Arial"/>
          <w:sz w:val="22"/>
          <w:szCs w:val="22"/>
        </w:rPr>
        <w:t xml:space="preserve"> auditors </w:t>
      </w:r>
      <w:r w:rsidR="008050B7">
        <w:rPr>
          <w:rFonts w:ascii="Arial" w:hAnsi="Arial" w:cs="Arial"/>
          <w:sz w:val="22"/>
          <w:szCs w:val="22"/>
        </w:rPr>
        <w:t xml:space="preserve">as </w:t>
      </w:r>
      <w:r w:rsidRPr="00FB2F3D">
        <w:rPr>
          <w:rFonts w:ascii="Arial" w:hAnsi="Arial" w:cs="Arial"/>
          <w:sz w:val="22"/>
          <w:szCs w:val="22"/>
        </w:rPr>
        <w:t>required under section 80 of the FSMR.</w:t>
      </w:r>
    </w:p>
    <w:p w14:paraId="4604AEC7"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3CB1D159" w14:textId="77777777" w:rsidR="00162E0C" w:rsidRPr="00FB2F3D" w:rsidRDefault="00162E0C" w:rsidP="00755725">
      <w:pPr>
        <w:pStyle w:val="GuidanceNotesnumbering"/>
        <w:numPr>
          <w:ilvl w:val="0"/>
          <w:numId w:val="81"/>
        </w:numPr>
        <w:rPr>
          <w:rFonts w:ascii="Arial" w:hAnsi="Arial" w:cs="Arial"/>
          <w:sz w:val="22"/>
          <w:szCs w:val="22"/>
        </w:rPr>
      </w:pPr>
      <w:r w:rsidRPr="00FB2F3D">
        <w:rPr>
          <w:rFonts w:ascii="Arial" w:hAnsi="Arial" w:cs="Arial"/>
          <w:sz w:val="22"/>
          <w:szCs w:val="22"/>
        </w:rPr>
        <w:t>With regard to the opinion required under the obligation in Rule </w:t>
      </w:r>
      <w:r w:rsidR="00693841" w:rsidRPr="00FB2F3D">
        <w:rPr>
          <w:rFonts w:ascii="Arial" w:hAnsi="Arial" w:cs="Arial"/>
          <w:sz w:val="22"/>
          <w:szCs w:val="22"/>
        </w:rPr>
        <w:t>10.1.4(2)(</w:t>
      </w:r>
      <w:r w:rsidR="00190802" w:rsidRPr="00FB2F3D">
        <w:rPr>
          <w:rFonts w:ascii="Arial" w:hAnsi="Arial" w:cs="Arial"/>
          <w:sz w:val="22"/>
          <w:szCs w:val="22"/>
        </w:rPr>
        <w:t>g</w:t>
      </w:r>
      <w:r w:rsidR="00693841" w:rsidRPr="00FB2F3D">
        <w:rPr>
          <w:rFonts w:ascii="Arial" w:hAnsi="Arial" w:cs="Arial"/>
          <w:sz w:val="22"/>
          <w:szCs w:val="22"/>
        </w:rPr>
        <w:t>)</w:t>
      </w:r>
      <w:r w:rsidRPr="00FB2F3D">
        <w:rPr>
          <w:rFonts w:ascii="Arial" w:hAnsi="Arial" w:cs="Arial"/>
          <w:sz w:val="22"/>
          <w:szCs w:val="22"/>
        </w:rPr>
        <w:t xml:space="preserve">, the </w:t>
      </w:r>
      <w:r w:rsidR="0035335F" w:rsidRPr="00FB2F3D">
        <w:rPr>
          <w:rFonts w:ascii="Arial" w:hAnsi="Arial" w:cs="Arial"/>
          <w:sz w:val="22"/>
          <w:szCs w:val="22"/>
        </w:rPr>
        <w:t>Regulator</w:t>
      </w:r>
      <w:r w:rsidRPr="00FB2F3D">
        <w:rPr>
          <w:rFonts w:ascii="Arial" w:hAnsi="Arial" w:cs="Arial"/>
          <w:sz w:val="22"/>
          <w:szCs w:val="22"/>
        </w:rPr>
        <w:t xml:space="preserve"> recognises that while the financial statements will be prepared by Persons other than the Directors, the Board has overall responsibilities to ensure the integrity and independence of the financial reporting process.</w:t>
      </w:r>
    </w:p>
    <w:p w14:paraId="0CB920FF" w14:textId="58BD4300" w:rsidR="009D0CDD" w:rsidRPr="00FB2F3D" w:rsidRDefault="004407BF" w:rsidP="00755725">
      <w:pPr>
        <w:pStyle w:val="GuidanceNotesnumbering"/>
        <w:numPr>
          <w:ilvl w:val="0"/>
          <w:numId w:val="81"/>
        </w:numPr>
        <w:rPr>
          <w:rFonts w:ascii="Arial" w:hAnsi="Arial" w:cs="Arial"/>
          <w:sz w:val="22"/>
          <w:szCs w:val="22"/>
        </w:rPr>
      </w:pPr>
      <w:r w:rsidRPr="00FB2F3D">
        <w:rPr>
          <w:rFonts w:ascii="Arial" w:hAnsi="Arial" w:cs="Arial"/>
          <w:sz w:val="22"/>
          <w:szCs w:val="22"/>
        </w:rPr>
        <w:t xml:space="preserve">Note that </w:t>
      </w:r>
      <w:r w:rsidR="008050B7">
        <w:rPr>
          <w:rFonts w:ascii="Arial" w:hAnsi="Arial" w:cs="Arial"/>
          <w:sz w:val="22"/>
          <w:szCs w:val="22"/>
        </w:rPr>
        <w:t>Listed Entities/</w:t>
      </w:r>
      <w:r w:rsidR="009D0CDD" w:rsidRPr="00FB2F3D">
        <w:rPr>
          <w:rFonts w:ascii="Arial" w:hAnsi="Arial" w:cs="Arial"/>
          <w:sz w:val="22"/>
          <w:szCs w:val="22"/>
        </w:rPr>
        <w:t xml:space="preserve">Reporting Entities are also required to comply with Rule </w:t>
      </w:r>
      <w:r w:rsidR="00693841" w:rsidRPr="00FB2F3D">
        <w:rPr>
          <w:rFonts w:ascii="Arial" w:hAnsi="Arial" w:cs="Arial"/>
          <w:sz w:val="22"/>
          <w:szCs w:val="22"/>
        </w:rPr>
        <w:t>9.2.10</w:t>
      </w:r>
      <w:r w:rsidR="009D0CDD" w:rsidRPr="00FB2F3D">
        <w:rPr>
          <w:rFonts w:ascii="Arial" w:hAnsi="Arial" w:cs="Arial"/>
          <w:sz w:val="22"/>
          <w:szCs w:val="22"/>
        </w:rPr>
        <w:t xml:space="preserve"> on annual reporting of their compliance with Corporate Governance Principles. </w:t>
      </w:r>
    </w:p>
    <w:p w14:paraId="35338C10" w14:textId="37C3A619" w:rsidR="00162E0C" w:rsidRPr="00FB2F3D" w:rsidRDefault="00162E0C" w:rsidP="002433F1">
      <w:pPr>
        <w:pStyle w:val="Heading3"/>
        <w:rPr>
          <w:rFonts w:ascii="Arial" w:hAnsi="Arial" w:cs="Arial"/>
          <w:sz w:val="22"/>
          <w:szCs w:val="22"/>
        </w:rPr>
      </w:pPr>
      <w:bookmarkStart w:id="820" w:name="_Ref410056306"/>
      <w:r w:rsidRPr="00FB2F3D">
        <w:rPr>
          <w:rFonts w:ascii="Arial" w:hAnsi="Arial" w:cs="Arial"/>
          <w:sz w:val="22"/>
          <w:szCs w:val="22"/>
        </w:rPr>
        <w:lastRenderedPageBreak/>
        <w:t>The annual financial report of a</w:t>
      </w:r>
      <w:r w:rsidR="002433F1" w:rsidRPr="00FB2F3D">
        <w:rPr>
          <w:rFonts w:ascii="Arial" w:hAnsi="Arial" w:cs="Arial"/>
          <w:sz w:val="22"/>
          <w:szCs w:val="22"/>
        </w:rPr>
        <w:t xml:space="preserve"> </w:t>
      </w:r>
      <w:r w:rsidR="008050B7">
        <w:rPr>
          <w:rFonts w:ascii="Arial" w:hAnsi="Arial" w:cs="Arial"/>
          <w:sz w:val="22"/>
          <w:szCs w:val="22"/>
        </w:rPr>
        <w:t>Listed</w:t>
      </w:r>
      <w:r w:rsidR="002433F1" w:rsidRPr="00FB2F3D">
        <w:rPr>
          <w:rFonts w:ascii="Arial" w:hAnsi="Arial" w:cs="Arial"/>
          <w:sz w:val="22"/>
          <w:szCs w:val="22"/>
        </w:rPr>
        <w:t xml:space="preserve"> Entity</w:t>
      </w:r>
      <w:r w:rsidRPr="00FB2F3D">
        <w:rPr>
          <w:rFonts w:ascii="Arial" w:hAnsi="Arial" w:cs="Arial"/>
          <w:sz w:val="22"/>
          <w:szCs w:val="22"/>
        </w:rPr>
        <w:t xml:space="preserve"> that is not a Public Listed Company must be audited by an independent, competent and qualified </w:t>
      </w:r>
      <w:r w:rsidR="00A85262" w:rsidRPr="00FB2F3D">
        <w:rPr>
          <w:rFonts w:ascii="Arial" w:hAnsi="Arial" w:cs="Arial"/>
          <w:sz w:val="22"/>
          <w:szCs w:val="22"/>
        </w:rPr>
        <w:t>auditor</w:t>
      </w:r>
      <w:r w:rsidRPr="00FB2F3D">
        <w:rPr>
          <w:rFonts w:ascii="Arial" w:hAnsi="Arial" w:cs="Arial"/>
          <w:sz w:val="22"/>
          <w:szCs w:val="22"/>
        </w:rPr>
        <w:t xml:space="preserve"> in accordance with the International Standards on Auditing as issued by the International Auditing and Assurance Standards Board ("</w:t>
      </w:r>
      <w:r w:rsidRPr="00FB2F3D">
        <w:rPr>
          <w:rFonts w:ascii="Arial" w:hAnsi="Arial" w:cs="Arial"/>
          <w:b/>
          <w:sz w:val="22"/>
          <w:szCs w:val="22"/>
        </w:rPr>
        <w:t>IAASB</w:t>
      </w:r>
      <w:r w:rsidRPr="00FB2F3D">
        <w:rPr>
          <w:rFonts w:ascii="Arial" w:hAnsi="Arial" w:cs="Arial"/>
          <w:sz w:val="22"/>
          <w:szCs w:val="22"/>
        </w:rPr>
        <w:t xml:space="preserve">") or other standards acceptable to the </w:t>
      </w:r>
      <w:r w:rsidR="0035335F" w:rsidRPr="00FB2F3D">
        <w:rPr>
          <w:rFonts w:ascii="Arial" w:hAnsi="Arial" w:cs="Arial"/>
          <w:sz w:val="22"/>
          <w:szCs w:val="22"/>
        </w:rPr>
        <w:t>Regulator</w:t>
      </w:r>
      <w:r w:rsidRPr="00FB2F3D">
        <w:rPr>
          <w:rFonts w:ascii="Arial" w:hAnsi="Arial" w:cs="Arial"/>
          <w:sz w:val="22"/>
          <w:szCs w:val="22"/>
        </w:rPr>
        <w:t>.</w:t>
      </w:r>
      <w:bookmarkEnd w:id="820"/>
    </w:p>
    <w:p w14:paraId="159108D9"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780D27CC" w14:textId="77777777" w:rsidR="00162E0C" w:rsidRPr="00FB2F3D" w:rsidRDefault="00162E0C" w:rsidP="00755725">
      <w:pPr>
        <w:pStyle w:val="GuidanceNotesnumbering"/>
        <w:numPr>
          <w:ilvl w:val="0"/>
          <w:numId w:val="82"/>
        </w:numPr>
        <w:rPr>
          <w:rFonts w:ascii="Arial" w:hAnsi="Arial" w:cs="Arial"/>
          <w:sz w:val="22"/>
          <w:szCs w:val="22"/>
        </w:rPr>
      </w:pPr>
      <w:r w:rsidRPr="00FB2F3D">
        <w:rPr>
          <w:rFonts w:ascii="Arial" w:hAnsi="Arial" w:cs="Arial"/>
          <w:sz w:val="22"/>
          <w:szCs w:val="22"/>
        </w:rPr>
        <w:t xml:space="preserve">A Public Listed Company is required under section </w:t>
      </w:r>
      <w:r w:rsidR="00C51E1E" w:rsidRPr="00FB2F3D">
        <w:rPr>
          <w:rFonts w:ascii="Arial" w:hAnsi="Arial" w:cs="Arial"/>
          <w:sz w:val="22"/>
          <w:szCs w:val="22"/>
        </w:rPr>
        <w:t>8</w:t>
      </w:r>
      <w:r w:rsidR="00F10576" w:rsidRPr="00FB2F3D">
        <w:rPr>
          <w:rFonts w:ascii="Arial" w:hAnsi="Arial" w:cs="Arial"/>
          <w:sz w:val="22"/>
          <w:szCs w:val="22"/>
        </w:rPr>
        <w:t>2</w:t>
      </w:r>
      <w:r w:rsidRPr="00FB2F3D">
        <w:rPr>
          <w:rFonts w:ascii="Arial" w:hAnsi="Arial" w:cs="Arial"/>
          <w:sz w:val="22"/>
          <w:szCs w:val="22"/>
        </w:rPr>
        <w:t xml:space="preserve"> of the FSMR to appoint an </w:t>
      </w:r>
      <w:r w:rsidR="00A85262" w:rsidRPr="00FB2F3D">
        <w:rPr>
          <w:rFonts w:ascii="Arial" w:hAnsi="Arial" w:cs="Arial"/>
          <w:sz w:val="22"/>
          <w:szCs w:val="22"/>
        </w:rPr>
        <w:t>auditor</w:t>
      </w:r>
      <w:r w:rsidRPr="00FB2F3D">
        <w:rPr>
          <w:rFonts w:ascii="Arial" w:hAnsi="Arial" w:cs="Arial"/>
          <w:sz w:val="22"/>
          <w:szCs w:val="22"/>
        </w:rPr>
        <w:t>. Under Rule </w:t>
      </w:r>
      <w:r w:rsidR="00693841" w:rsidRPr="00FB2F3D">
        <w:rPr>
          <w:rFonts w:ascii="Arial" w:hAnsi="Arial" w:cs="Arial"/>
          <w:sz w:val="22"/>
          <w:szCs w:val="22"/>
        </w:rPr>
        <w:t>10.2.7</w:t>
      </w:r>
      <w:r w:rsidRPr="00FB2F3D">
        <w:rPr>
          <w:rFonts w:ascii="Arial" w:hAnsi="Arial" w:cs="Arial"/>
          <w:sz w:val="22"/>
          <w:szCs w:val="22"/>
        </w:rPr>
        <w:t xml:space="preserve"> a Public Listed Company must require its </w:t>
      </w:r>
      <w:r w:rsidR="00A85262" w:rsidRPr="00FB2F3D">
        <w:rPr>
          <w:rFonts w:ascii="Arial" w:hAnsi="Arial" w:cs="Arial"/>
          <w:sz w:val="22"/>
          <w:szCs w:val="22"/>
        </w:rPr>
        <w:t>auditor</w:t>
      </w:r>
      <w:r w:rsidRPr="00FB2F3D">
        <w:rPr>
          <w:rFonts w:ascii="Arial" w:hAnsi="Arial" w:cs="Arial"/>
          <w:sz w:val="22"/>
          <w:szCs w:val="22"/>
        </w:rPr>
        <w:t xml:space="preserve"> to conduct an audit of its financial statements in accordance with the requirements of the relevant standards published by the International Auditing and Assurance Standards Board (IAASB) in respect of its financial business or other standards acceptable to the </w:t>
      </w:r>
      <w:r w:rsidR="0035335F" w:rsidRPr="00FB2F3D">
        <w:rPr>
          <w:rFonts w:ascii="Arial" w:hAnsi="Arial" w:cs="Arial"/>
          <w:sz w:val="22"/>
          <w:szCs w:val="22"/>
        </w:rPr>
        <w:t>Regulator</w:t>
      </w:r>
      <w:r w:rsidRPr="00FB2F3D">
        <w:rPr>
          <w:rFonts w:ascii="Arial" w:hAnsi="Arial" w:cs="Arial"/>
          <w:sz w:val="22"/>
          <w:szCs w:val="22"/>
        </w:rPr>
        <w:t xml:space="preserve"> and produce audit reports as specified in </w:t>
      </w:r>
      <w:r w:rsidR="00FA2A08" w:rsidRPr="00FB2F3D">
        <w:rPr>
          <w:rFonts w:ascii="Arial" w:hAnsi="Arial" w:cs="Arial"/>
          <w:sz w:val="22"/>
          <w:szCs w:val="22"/>
        </w:rPr>
        <w:t>GEN</w:t>
      </w:r>
      <w:r w:rsidRPr="00FB2F3D">
        <w:rPr>
          <w:rFonts w:ascii="Arial" w:hAnsi="Arial" w:cs="Arial"/>
          <w:sz w:val="22"/>
          <w:szCs w:val="22"/>
        </w:rPr>
        <w:t>.</w:t>
      </w:r>
    </w:p>
    <w:p w14:paraId="2BBCBB71" w14:textId="28CB367D" w:rsidR="00162E0C" w:rsidRPr="00FB2F3D" w:rsidRDefault="00162E0C" w:rsidP="002433F1">
      <w:pPr>
        <w:pStyle w:val="Heading3"/>
        <w:rPr>
          <w:rFonts w:ascii="Arial" w:hAnsi="Arial" w:cs="Arial"/>
          <w:sz w:val="22"/>
          <w:szCs w:val="22"/>
        </w:rPr>
      </w:pPr>
      <w:bookmarkStart w:id="821" w:name="_Ref410074705"/>
      <w:r w:rsidRPr="00FB2F3D">
        <w:rPr>
          <w:rFonts w:ascii="Arial" w:hAnsi="Arial" w:cs="Arial"/>
          <w:sz w:val="22"/>
          <w:szCs w:val="22"/>
        </w:rPr>
        <w:t xml:space="preserve">The annual financial report must be signed by at least two Directors of the </w:t>
      </w:r>
      <w:r w:rsidR="008050B7">
        <w:rPr>
          <w:rFonts w:ascii="Arial" w:hAnsi="Arial" w:cs="Arial"/>
          <w:sz w:val="22"/>
          <w:szCs w:val="22"/>
        </w:rPr>
        <w:t>Listed</w:t>
      </w:r>
      <w:r w:rsidR="002433F1" w:rsidRPr="00FB2F3D">
        <w:rPr>
          <w:rFonts w:ascii="Arial" w:hAnsi="Arial" w:cs="Arial"/>
          <w:sz w:val="22"/>
          <w:szCs w:val="22"/>
        </w:rPr>
        <w:t xml:space="preserve"> Entity</w:t>
      </w:r>
      <w:r w:rsidRPr="00FB2F3D">
        <w:rPr>
          <w:rFonts w:ascii="Arial" w:hAnsi="Arial" w:cs="Arial"/>
          <w:sz w:val="22"/>
          <w:szCs w:val="22"/>
        </w:rPr>
        <w:t>.</w:t>
      </w:r>
      <w:bookmarkEnd w:id="821"/>
    </w:p>
    <w:p w14:paraId="026F9B1F" w14:textId="77777777" w:rsidR="00162E0C" w:rsidRPr="00FB2F3D" w:rsidRDefault="00162E0C" w:rsidP="0083302D">
      <w:pPr>
        <w:pStyle w:val="TitleL"/>
        <w:rPr>
          <w:rFonts w:ascii="Arial" w:hAnsi="Arial" w:cs="Arial"/>
          <w:sz w:val="22"/>
          <w:szCs w:val="22"/>
        </w:rPr>
      </w:pPr>
      <w:r w:rsidRPr="00FB2F3D">
        <w:rPr>
          <w:rFonts w:ascii="Arial" w:hAnsi="Arial" w:cs="Arial"/>
          <w:sz w:val="22"/>
          <w:szCs w:val="22"/>
        </w:rPr>
        <w:t>Semi</w:t>
      </w:r>
      <w:r w:rsidRPr="00FB2F3D">
        <w:rPr>
          <w:rFonts w:ascii="Arial" w:hAnsi="Arial" w:cs="Arial"/>
          <w:sz w:val="22"/>
          <w:szCs w:val="22"/>
        </w:rPr>
        <w:noBreakHyphen/>
        <w:t>annual financial report</w:t>
      </w:r>
    </w:p>
    <w:p w14:paraId="0E9EA92A" w14:textId="77777777" w:rsidR="00162E0C" w:rsidRPr="00FB2F3D" w:rsidRDefault="007441BA" w:rsidP="002433F1">
      <w:pPr>
        <w:pStyle w:val="Heading3"/>
        <w:ind w:left="1440" w:hanging="1440"/>
        <w:rPr>
          <w:rFonts w:ascii="Arial" w:hAnsi="Arial" w:cs="Arial"/>
          <w:sz w:val="22"/>
          <w:szCs w:val="22"/>
        </w:rPr>
      </w:pPr>
      <w:r w:rsidRPr="00FB2F3D">
        <w:rPr>
          <w:rFonts w:ascii="Arial" w:hAnsi="Arial" w:cs="Arial"/>
          <w:sz w:val="22"/>
          <w:szCs w:val="22"/>
        </w:rPr>
        <w:t>(1)</w:t>
      </w:r>
      <w:r w:rsidR="0083302D" w:rsidRPr="00FB2F3D">
        <w:rPr>
          <w:rFonts w:ascii="Arial" w:hAnsi="Arial" w:cs="Arial"/>
          <w:sz w:val="22"/>
          <w:szCs w:val="22"/>
        </w:rPr>
        <w:tab/>
      </w:r>
      <w:r w:rsidR="00162E0C" w:rsidRPr="00FB2F3D">
        <w:rPr>
          <w:rFonts w:ascii="Arial" w:hAnsi="Arial" w:cs="Arial"/>
          <w:sz w:val="22"/>
          <w:szCs w:val="22"/>
        </w:rPr>
        <w:t xml:space="preserve">Pursuant to section </w:t>
      </w:r>
      <w:r w:rsidR="00F10576" w:rsidRPr="00FB2F3D">
        <w:rPr>
          <w:rFonts w:ascii="Arial" w:hAnsi="Arial" w:cs="Arial"/>
          <w:sz w:val="22"/>
          <w:szCs w:val="22"/>
        </w:rPr>
        <w:t>79</w:t>
      </w:r>
      <w:r w:rsidR="00162E0C" w:rsidRPr="00FB2F3D">
        <w:rPr>
          <w:rFonts w:ascii="Arial" w:hAnsi="Arial" w:cs="Arial"/>
          <w:sz w:val="22"/>
          <w:szCs w:val="22"/>
        </w:rPr>
        <w:t xml:space="preserve"> of the FSMR, a</w:t>
      </w:r>
      <w:r w:rsidR="002433F1" w:rsidRPr="00FB2F3D">
        <w:rPr>
          <w:rFonts w:ascii="Arial" w:hAnsi="Arial" w:cs="Arial"/>
          <w:sz w:val="22"/>
          <w:szCs w:val="22"/>
        </w:rPr>
        <w:t xml:space="preserve"> Reporting Entity</w:t>
      </w:r>
      <w:r w:rsidR="00162E0C" w:rsidRPr="00FB2F3D">
        <w:rPr>
          <w:rFonts w:ascii="Arial" w:hAnsi="Arial" w:cs="Arial"/>
          <w:sz w:val="22"/>
          <w:szCs w:val="22"/>
        </w:rPr>
        <w:t xml:space="preserve"> in respect of Shares, or Warrants or Certificates over Shares must, in addition to the annual financial report, prepare and file a semi</w:t>
      </w:r>
      <w:r w:rsidR="00162E0C" w:rsidRPr="00FB2F3D">
        <w:rPr>
          <w:rFonts w:ascii="Arial" w:hAnsi="Arial" w:cs="Arial"/>
          <w:sz w:val="22"/>
          <w:szCs w:val="22"/>
        </w:rPr>
        <w:noBreakHyphen/>
        <w:t xml:space="preserve">annual financial report which meets the requirements in </w:t>
      </w:r>
      <w:r w:rsidR="00693841" w:rsidRPr="00FB2F3D">
        <w:rPr>
          <w:rFonts w:ascii="Arial" w:hAnsi="Arial" w:cs="Arial"/>
          <w:sz w:val="22"/>
          <w:szCs w:val="22"/>
        </w:rPr>
        <w:t>(2)</w:t>
      </w:r>
      <w:r w:rsidR="0083302D" w:rsidRPr="00FB2F3D">
        <w:rPr>
          <w:rFonts w:ascii="Arial" w:hAnsi="Arial" w:cs="Arial"/>
          <w:sz w:val="22"/>
          <w:szCs w:val="22"/>
        </w:rPr>
        <w:t xml:space="preserve"> </w:t>
      </w:r>
      <w:r w:rsidR="00162E0C" w:rsidRPr="00FB2F3D">
        <w:rPr>
          <w:rFonts w:ascii="Arial" w:hAnsi="Arial" w:cs="Arial"/>
          <w:sz w:val="22"/>
          <w:szCs w:val="22"/>
        </w:rPr>
        <w:t xml:space="preserve">and </w:t>
      </w:r>
      <w:r w:rsidR="00693841" w:rsidRPr="00FB2F3D">
        <w:rPr>
          <w:rFonts w:ascii="Arial" w:hAnsi="Arial" w:cs="Arial"/>
          <w:sz w:val="22"/>
          <w:szCs w:val="22"/>
        </w:rPr>
        <w:t>(3)</w:t>
      </w:r>
      <w:r w:rsidR="00162E0C" w:rsidRPr="00FB2F3D">
        <w:rPr>
          <w:rFonts w:ascii="Arial" w:hAnsi="Arial" w:cs="Arial"/>
          <w:sz w:val="22"/>
          <w:szCs w:val="22"/>
        </w:rPr>
        <w:t>.</w:t>
      </w:r>
    </w:p>
    <w:p w14:paraId="77CC6CE0" w14:textId="77777777" w:rsidR="00162E0C" w:rsidRPr="00FB2F3D" w:rsidRDefault="00190802" w:rsidP="00190802">
      <w:pPr>
        <w:pStyle w:val="Heading4"/>
        <w:keepNext/>
        <w:numPr>
          <w:ilvl w:val="0"/>
          <w:numId w:val="0"/>
        </w:numPr>
        <w:ind w:left="1440" w:hanging="720"/>
        <w:rPr>
          <w:rFonts w:ascii="Arial" w:hAnsi="Arial" w:cs="Arial"/>
          <w:sz w:val="22"/>
          <w:szCs w:val="22"/>
        </w:rPr>
      </w:pPr>
      <w:bookmarkStart w:id="822" w:name="_Ref410668456"/>
      <w:r w:rsidRPr="00FB2F3D">
        <w:rPr>
          <w:rFonts w:ascii="Arial" w:hAnsi="Arial" w:cs="Arial"/>
          <w:sz w:val="22"/>
          <w:szCs w:val="22"/>
        </w:rPr>
        <w:t>(2)</w:t>
      </w:r>
      <w:r w:rsidRPr="00FB2F3D">
        <w:rPr>
          <w:rFonts w:ascii="Arial" w:hAnsi="Arial" w:cs="Arial"/>
          <w:sz w:val="22"/>
          <w:szCs w:val="22"/>
        </w:rPr>
        <w:tab/>
      </w:r>
      <w:r w:rsidR="007366C9" w:rsidRPr="00FB2F3D">
        <w:rPr>
          <w:rFonts w:ascii="Arial" w:hAnsi="Arial" w:cs="Arial"/>
          <w:sz w:val="22"/>
          <w:szCs w:val="22"/>
        </w:rPr>
        <w:t>A Reporting Entity</w:t>
      </w:r>
      <w:r w:rsidR="00162E0C" w:rsidRPr="00FB2F3D">
        <w:rPr>
          <w:rFonts w:ascii="Arial" w:hAnsi="Arial" w:cs="Arial"/>
          <w:sz w:val="22"/>
          <w:szCs w:val="22"/>
        </w:rPr>
        <w:t xml:space="preserve"> must:</w:t>
      </w:r>
      <w:bookmarkEnd w:id="822"/>
    </w:p>
    <w:p w14:paraId="7879BC31" w14:textId="77777777" w:rsidR="00162E0C" w:rsidRPr="00FB2F3D" w:rsidRDefault="00162E0C" w:rsidP="0083302D">
      <w:pPr>
        <w:pStyle w:val="Heading5"/>
        <w:keepNext/>
        <w:rPr>
          <w:rFonts w:ascii="Arial" w:hAnsi="Arial" w:cs="Arial"/>
          <w:sz w:val="22"/>
          <w:szCs w:val="22"/>
        </w:rPr>
      </w:pPr>
      <w:r w:rsidRPr="00FB2F3D">
        <w:rPr>
          <w:rFonts w:ascii="Arial" w:hAnsi="Arial" w:cs="Arial"/>
          <w:sz w:val="22"/>
          <w:szCs w:val="22"/>
        </w:rPr>
        <w:t>prepare such report:</w:t>
      </w:r>
    </w:p>
    <w:p w14:paraId="71359683"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for the first six months of each financial year or period</w:t>
      </w:r>
      <w:r w:rsidR="002455EB" w:rsidRPr="00FB2F3D">
        <w:rPr>
          <w:rFonts w:ascii="Arial" w:hAnsi="Arial" w:cs="Arial"/>
          <w:sz w:val="22"/>
          <w:szCs w:val="22"/>
        </w:rPr>
        <w:t>,</w:t>
      </w:r>
      <w:r w:rsidRPr="00FB2F3D">
        <w:rPr>
          <w:rFonts w:ascii="Arial" w:hAnsi="Arial" w:cs="Arial"/>
          <w:sz w:val="22"/>
          <w:szCs w:val="22"/>
        </w:rPr>
        <w:t xml:space="preserve"> and if there is a change to the accounting reference date, prepare such report in respect of the period up to the old accounting reference date; and</w:t>
      </w:r>
    </w:p>
    <w:p w14:paraId="2FDC2364"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 xml:space="preserve">in accordance with the applicable IFRS standards or other standards acceptable to the </w:t>
      </w:r>
      <w:r w:rsidR="0035335F" w:rsidRPr="00FB2F3D">
        <w:rPr>
          <w:rFonts w:ascii="Arial" w:hAnsi="Arial" w:cs="Arial"/>
          <w:sz w:val="22"/>
          <w:szCs w:val="22"/>
        </w:rPr>
        <w:t>Regulator</w:t>
      </w:r>
      <w:r w:rsidRPr="00FB2F3D">
        <w:rPr>
          <w:rFonts w:ascii="Arial" w:hAnsi="Arial" w:cs="Arial"/>
          <w:sz w:val="22"/>
          <w:szCs w:val="22"/>
        </w:rPr>
        <w:t>;</w:t>
      </w:r>
    </w:p>
    <w:p w14:paraId="2B467A49" w14:textId="77777777" w:rsidR="00162E0C" w:rsidRPr="00FB2F3D" w:rsidRDefault="00190802" w:rsidP="00190802">
      <w:pPr>
        <w:pStyle w:val="Heading5"/>
        <w:rPr>
          <w:rFonts w:ascii="Arial" w:hAnsi="Arial" w:cs="Arial"/>
          <w:sz w:val="22"/>
          <w:szCs w:val="22"/>
        </w:rPr>
      </w:pPr>
      <w:r w:rsidRPr="00FB2F3D">
        <w:rPr>
          <w:rFonts w:ascii="Arial" w:hAnsi="Arial" w:cs="Arial"/>
          <w:sz w:val="22"/>
          <w:szCs w:val="22"/>
        </w:rPr>
        <w:t>ensure</w:t>
      </w:r>
      <w:r w:rsidR="00162E0C" w:rsidRPr="00FB2F3D">
        <w:rPr>
          <w:rFonts w:ascii="Arial" w:hAnsi="Arial" w:cs="Arial"/>
          <w:sz w:val="22"/>
          <w:szCs w:val="22"/>
        </w:rPr>
        <w:t xml:space="preserve"> the financial statements have either been audited or reviewed by </w:t>
      </w:r>
      <w:r w:rsidR="00A85262" w:rsidRPr="00FB2F3D">
        <w:rPr>
          <w:rFonts w:ascii="Arial" w:hAnsi="Arial" w:cs="Arial"/>
          <w:sz w:val="22"/>
          <w:szCs w:val="22"/>
        </w:rPr>
        <w:t>auditor</w:t>
      </w:r>
      <w:r w:rsidR="00162E0C" w:rsidRPr="00FB2F3D">
        <w:rPr>
          <w:rFonts w:ascii="Arial" w:hAnsi="Arial" w:cs="Arial"/>
          <w:sz w:val="22"/>
          <w:szCs w:val="22"/>
        </w:rPr>
        <w:t>s,</w:t>
      </w:r>
      <w:r w:rsidRPr="00FB2F3D">
        <w:rPr>
          <w:rFonts w:ascii="Arial" w:hAnsi="Arial" w:cs="Arial"/>
          <w:sz w:val="22"/>
          <w:szCs w:val="22"/>
        </w:rPr>
        <w:t xml:space="preserve"> and the audit or review by the auditor is</w:t>
      </w:r>
      <w:r w:rsidR="00162E0C" w:rsidRPr="00FB2F3D">
        <w:rPr>
          <w:rFonts w:ascii="Arial" w:hAnsi="Arial" w:cs="Arial"/>
          <w:sz w:val="22"/>
          <w:szCs w:val="22"/>
        </w:rPr>
        <w:t xml:space="preserve"> include</w:t>
      </w:r>
      <w:r w:rsidRPr="00FB2F3D">
        <w:rPr>
          <w:rFonts w:ascii="Arial" w:hAnsi="Arial" w:cs="Arial"/>
          <w:sz w:val="22"/>
          <w:szCs w:val="22"/>
        </w:rPr>
        <w:t>d</w:t>
      </w:r>
      <w:r w:rsidR="00162E0C" w:rsidRPr="00FB2F3D">
        <w:rPr>
          <w:rFonts w:ascii="Arial" w:hAnsi="Arial" w:cs="Arial"/>
          <w:sz w:val="22"/>
          <w:szCs w:val="22"/>
        </w:rPr>
        <w:t xml:space="preserve"> </w:t>
      </w:r>
      <w:r w:rsidRPr="00FB2F3D">
        <w:rPr>
          <w:rFonts w:ascii="Arial" w:hAnsi="Arial" w:cs="Arial"/>
          <w:sz w:val="22"/>
          <w:szCs w:val="22"/>
        </w:rPr>
        <w:t xml:space="preserve">within </w:t>
      </w:r>
      <w:r w:rsidR="00162E0C" w:rsidRPr="00FB2F3D">
        <w:rPr>
          <w:rFonts w:ascii="Arial" w:hAnsi="Arial" w:cs="Arial"/>
          <w:sz w:val="22"/>
          <w:szCs w:val="22"/>
        </w:rPr>
        <w:t>the report; and</w:t>
      </w:r>
    </w:p>
    <w:p w14:paraId="49CE1CE2" w14:textId="77777777" w:rsidR="00162E0C" w:rsidRPr="00FB2F3D" w:rsidRDefault="00162E0C" w:rsidP="0083302D">
      <w:pPr>
        <w:pStyle w:val="Heading5"/>
        <w:keepNext/>
        <w:rPr>
          <w:rFonts w:ascii="Arial" w:hAnsi="Arial" w:cs="Arial"/>
          <w:sz w:val="22"/>
          <w:szCs w:val="22"/>
        </w:rPr>
      </w:pPr>
      <w:r w:rsidRPr="00FB2F3D">
        <w:rPr>
          <w:rFonts w:ascii="Arial" w:hAnsi="Arial" w:cs="Arial"/>
          <w:sz w:val="22"/>
          <w:szCs w:val="22"/>
        </w:rPr>
        <w:t>ensure that the report includes:</w:t>
      </w:r>
    </w:p>
    <w:p w14:paraId="0336E631" w14:textId="35E690D2" w:rsidR="00162E0C" w:rsidRPr="00FB2F3D" w:rsidRDefault="008050B7" w:rsidP="0061693E">
      <w:pPr>
        <w:pStyle w:val="Heading6"/>
        <w:rPr>
          <w:rFonts w:ascii="Arial" w:hAnsi="Arial" w:cs="Arial"/>
          <w:sz w:val="22"/>
          <w:szCs w:val="22"/>
        </w:rPr>
      </w:pPr>
      <w:r>
        <w:rPr>
          <w:rFonts w:ascii="Arial" w:hAnsi="Arial" w:cs="Arial"/>
          <w:sz w:val="22"/>
          <w:szCs w:val="22"/>
        </w:rPr>
        <w:t xml:space="preserve">except in the case of a Mining Exploration Reporting Entity or a Petroleum Exploration Reporting Entity, </w:t>
      </w:r>
      <w:r w:rsidR="00162E0C" w:rsidRPr="00FB2F3D">
        <w:rPr>
          <w:rFonts w:ascii="Arial" w:hAnsi="Arial" w:cs="Arial"/>
          <w:sz w:val="22"/>
          <w:szCs w:val="22"/>
        </w:rPr>
        <w:t>an indication of important events that have occurred during the first six months of the financial year, and their impact on the financial statements;</w:t>
      </w:r>
    </w:p>
    <w:p w14:paraId="6C29A257" w14:textId="66A8BD8C" w:rsidR="00162E0C" w:rsidRPr="00FB2F3D" w:rsidRDefault="008050B7" w:rsidP="0061693E">
      <w:pPr>
        <w:pStyle w:val="Heading6"/>
        <w:rPr>
          <w:rFonts w:ascii="Arial" w:hAnsi="Arial" w:cs="Arial"/>
          <w:sz w:val="22"/>
          <w:szCs w:val="22"/>
        </w:rPr>
      </w:pPr>
      <w:r>
        <w:rPr>
          <w:rFonts w:ascii="Arial" w:hAnsi="Arial" w:cs="Arial"/>
          <w:sz w:val="22"/>
          <w:szCs w:val="22"/>
        </w:rPr>
        <w:t xml:space="preserve">except in the case of a Mining Exploration Reporting Entity or a Petroleum Exploration Reporting Entity, </w:t>
      </w:r>
      <w:r w:rsidR="00162E0C" w:rsidRPr="00FB2F3D">
        <w:rPr>
          <w:rFonts w:ascii="Arial" w:hAnsi="Arial" w:cs="Arial"/>
          <w:sz w:val="22"/>
          <w:szCs w:val="22"/>
        </w:rPr>
        <w:t>a description of the principal risks and uncertainties for the remaining six months of the financial year; and</w:t>
      </w:r>
    </w:p>
    <w:p w14:paraId="1445DAD2" w14:textId="77777777" w:rsidR="00162E0C" w:rsidRPr="00FB2F3D" w:rsidRDefault="00162E0C" w:rsidP="0061693E">
      <w:pPr>
        <w:pStyle w:val="Heading6"/>
        <w:rPr>
          <w:rFonts w:ascii="Arial" w:hAnsi="Arial" w:cs="Arial"/>
          <w:sz w:val="22"/>
          <w:szCs w:val="22"/>
        </w:rPr>
      </w:pPr>
      <w:r w:rsidRPr="00FB2F3D">
        <w:rPr>
          <w:rFonts w:ascii="Arial" w:hAnsi="Arial" w:cs="Arial"/>
          <w:sz w:val="22"/>
          <w:szCs w:val="22"/>
        </w:rPr>
        <w:t>a condensed set of financial statements, an interim management report and associated responsibility statements.</w:t>
      </w:r>
    </w:p>
    <w:p w14:paraId="56E87464" w14:textId="6076E2EA" w:rsidR="00162E0C" w:rsidRPr="00FB2F3D" w:rsidRDefault="00190802" w:rsidP="00190802">
      <w:pPr>
        <w:pStyle w:val="Heading4"/>
        <w:numPr>
          <w:ilvl w:val="0"/>
          <w:numId w:val="0"/>
        </w:numPr>
        <w:ind w:left="1440" w:hanging="720"/>
        <w:rPr>
          <w:rFonts w:ascii="Arial" w:hAnsi="Arial" w:cs="Arial"/>
          <w:sz w:val="22"/>
          <w:szCs w:val="22"/>
        </w:rPr>
      </w:pPr>
      <w:bookmarkStart w:id="823" w:name="_Ref410668463"/>
      <w:r w:rsidRPr="00FB2F3D">
        <w:rPr>
          <w:rFonts w:ascii="Arial" w:hAnsi="Arial" w:cs="Arial"/>
          <w:sz w:val="22"/>
          <w:szCs w:val="22"/>
        </w:rPr>
        <w:lastRenderedPageBreak/>
        <w:t>(3)</w:t>
      </w:r>
      <w:r w:rsidRPr="00FB2F3D">
        <w:rPr>
          <w:rFonts w:ascii="Arial" w:hAnsi="Arial" w:cs="Arial"/>
          <w:sz w:val="22"/>
          <w:szCs w:val="22"/>
        </w:rPr>
        <w:tab/>
      </w:r>
      <w:r w:rsidR="00162E0C" w:rsidRPr="00FB2F3D">
        <w:rPr>
          <w:rFonts w:ascii="Arial" w:hAnsi="Arial" w:cs="Arial"/>
          <w:sz w:val="22"/>
          <w:szCs w:val="22"/>
        </w:rPr>
        <w:t>A semi</w:t>
      </w:r>
      <w:r w:rsidR="00162E0C" w:rsidRPr="00FB2F3D">
        <w:rPr>
          <w:rFonts w:ascii="Arial" w:hAnsi="Arial" w:cs="Arial"/>
          <w:sz w:val="22"/>
          <w:szCs w:val="22"/>
        </w:rPr>
        <w:noBreakHyphen/>
        <w:t>annual financial report must be signed by at least two Directors of the</w:t>
      </w:r>
      <w:r w:rsidR="00162E0C" w:rsidRPr="00FB2F3D">
        <w:rPr>
          <w:rFonts w:ascii="Arial" w:hAnsi="Arial" w:cs="Arial"/>
          <w:sz w:val="22"/>
          <w:szCs w:val="22"/>
          <w:lang w:eastAsia="ja-JP"/>
        </w:rPr>
        <w:t xml:space="preserve"> </w:t>
      </w:r>
      <w:r w:rsidR="008050B7">
        <w:rPr>
          <w:rFonts w:ascii="Arial" w:hAnsi="Arial" w:cs="Arial"/>
          <w:sz w:val="22"/>
          <w:szCs w:val="22"/>
        </w:rPr>
        <w:t>Listed</w:t>
      </w:r>
      <w:r w:rsidR="007366C9" w:rsidRPr="00FB2F3D">
        <w:rPr>
          <w:rFonts w:ascii="Arial" w:hAnsi="Arial" w:cs="Arial"/>
          <w:sz w:val="22"/>
          <w:szCs w:val="22"/>
        </w:rPr>
        <w:t xml:space="preserve"> Entity</w:t>
      </w:r>
      <w:r w:rsidR="00162E0C" w:rsidRPr="00FB2F3D">
        <w:rPr>
          <w:rFonts w:ascii="Arial" w:hAnsi="Arial" w:cs="Arial"/>
          <w:sz w:val="22"/>
          <w:szCs w:val="22"/>
        </w:rPr>
        <w:t>.</w:t>
      </w:r>
      <w:bookmarkEnd w:id="823"/>
    </w:p>
    <w:p w14:paraId="2EC612D2" w14:textId="72CDF575" w:rsidR="00162E0C" w:rsidRPr="00FB2F3D" w:rsidRDefault="008050B7" w:rsidP="006207B8">
      <w:pPr>
        <w:pStyle w:val="TitleL"/>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w:t>
      </w:r>
    </w:p>
    <w:p w14:paraId="7FCCCABE" w14:textId="75A941D2" w:rsidR="00162E0C" w:rsidRPr="00FB2F3D" w:rsidRDefault="007441BA" w:rsidP="007366C9">
      <w:pPr>
        <w:pStyle w:val="Heading3"/>
        <w:ind w:left="1440" w:hanging="1440"/>
        <w:rPr>
          <w:rFonts w:ascii="Arial" w:hAnsi="Arial" w:cs="Arial"/>
          <w:sz w:val="22"/>
          <w:szCs w:val="22"/>
        </w:rPr>
      </w:pPr>
      <w:bookmarkStart w:id="824" w:name="_Ref410074454"/>
      <w:bookmarkStart w:id="825" w:name="_Ref416814366"/>
      <w:r w:rsidRPr="00FB2F3D">
        <w:rPr>
          <w:rFonts w:ascii="Arial" w:hAnsi="Arial" w:cs="Arial"/>
          <w:sz w:val="22"/>
          <w:szCs w:val="22"/>
        </w:rPr>
        <w:t>(1)</w:t>
      </w:r>
      <w:r w:rsidR="0083302D" w:rsidRPr="00FB2F3D">
        <w:rPr>
          <w:rFonts w:ascii="Arial" w:hAnsi="Arial" w:cs="Arial"/>
          <w:sz w:val="22"/>
          <w:szCs w:val="22"/>
        </w:rPr>
        <w:tab/>
      </w:r>
      <w:r w:rsidR="00162E0C" w:rsidRPr="00FB2F3D">
        <w:rPr>
          <w:rFonts w:ascii="Arial" w:hAnsi="Arial" w:cs="Arial"/>
          <w:sz w:val="22"/>
          <w:szCs w:val="22"/>
        </w:rPr>
        <w:t>A</w:t>
      </w:r>
      <w:r w:rsidR="007366C9" w:rsidRPr="00FB2F3D">
        <w:rPr>
          <w:rFonts w:ascii="Arial" w:hAnsi="Arial" w:cs="Arial"/>
          <w:sz w:val="22"/>
          <w:szCs w:val="22"/>
        </w:rPr>
        <w:t xml:space="preserve"> Reporting Entity</w:t>
      </w:r>
      <w:r w:rsidR="00162E0C" w:rsidRPr="00FB2F3D">
        <w:rPr>
          <w:rFonts w:ascii="Arial" w:hAnsi="Arial" w:cs="Arial"/>
          <w:sz w:val="22"/>
          <w:szCs w:val="22"/>
        </w:rPr>
        <w:t xml:space="preserve"> where it is required by the FSMR and these Rules to prepare the following financial reports must </w:t>
      </w:r>
      <w:r w:rsidR="008050B7">
        <w:rPr>
          <w:rFonts w:ascii="Arial" w:hAnsi="Arial" w:cs="Arial"/>
          <w:sz w:val="22"/>
          <w:szCs w:val="22"/>
        </w:rPr>
        <w:t>D</w:t>
      </w:r>
      <w:r w:rsidR="00162E0C" w:rsidRPr="00FB2F3D">
        <w:rPr>
          <w:rFonts w:ascii="Arial" w:hAnsi="Arial" w:cs="Arial"/>
          <w:sz w:val="22"/>
          <w:szCs w:val="22"/>
        </w:rPr>
        <w:t>isclose, in accordance with Rule </w:t>
      </w:r>
      <w:bookmarkEnd w:id="824"/>
      <w:r w:rsidR="00693841" w:rsidRPr="00FB2F3D">
        <w:rPr>
          <w:rFonts w:ascii="Arial" w:hAnsi="Arial" w:cs="Arial"/>
          <w:sz w:val="22"/>
          <w:szCs w:val="22"/>
        </w:rPr>
        <w:t>7.7.1</w:t>
      </w:r>
      <w:r w:rsidR="00162E0C" w:rsidRPr="00FB2F3D">
        <w:rPr>
          <w:rFonts w:ascii="Arial" w:hAnsi="Arial" w:cs="Arial"/>
          <w:sz w:val="22"/>
          <w:szCs w:val="22"/>
        </w:rPr>
        <w:t>:</w:t>
      </w:r>
      <w:bookmarkEnd w:id="825"/>
    </w:p>
    <w:p w14:paraId="6E8ACDA9"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its annual financial report;</w:t>
      </w:r>
    </w:p>
    <w:p w14:paraId="5E00C94C"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its semi</w:t>
      </w:r>
      <w:r w:rsidRPr="00FB2F3D">
        <w:rPr>
          <w:rFonts w:ascii="Arial" w:hAnsi="Arial" w:cs="Arial"/>
          <w:sz w:val="22"/>
          <w:szCs w:val="22"/>
        </w:rPr>
        <w:noBreakHyphen/>
        <w:t>annual financial report; and</w:t>
      </w:r>
    </w:p>
    <w:p w14:paraId="5F376104"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its preliminary financial results.</w:t>
      </w:r>
    </w:p>
    <w:p w14:paraId="6A91D2AF" w14:textId="68C1E27C" w:rsidR="00162E0C" w:rsidRPr="00FB2F3D" w:rsidRDefault="007366C9" w:rsidP="007366C9">
      <w:pPr>
        <w:pStyle w:val="Heading4"/>
        <w:rPr>
          <w:rFonts w:ascii="Arial" w:hAnsi="Arial" w:cs="Arial"/>
          <w:sz w:val="22"/>
          <w:szCs w:val="22"/>
        </w:rPr>
      </w:pPr>
      <w:bookmarkStart w:id="826" w:name="_Ref416813564"/>
      <w:r w:rsidRPr="00FB2F3D">
        <w:rPr>
          <w:rFonts w:ascii="Arial" w:hAnsi="Arial" w:cs="Arial"/>
          <w:sz w:val="22"/>
          <w:szCs w:val="22"/>
        </w:rPr>
        <w:t>A Reporting Entity</w:t>
      </w:r>
      <w:r w:rsidR="00162E0C" w:rsidRPr="00FB2F3D">
        <w:rPr>
          <w:rFonts w:ascii="Arial" w:hAnsi="Arial" w:cs="Arial"/>
          <w:sz w:val="22"/>
          <w:szCs w:val="22"/>
        </w:rPr>
        <w:t xml:space="preserve"> must make the </w:t>
      </w:r>
      <w:r w:rsidR="008050B7">
        <w:rPr>
          <w:rFonts w:ascii="Arial" w:hAnsi="Arial" w:cs="Arial"/>
          <w:sz w:val="22"/>
          <w:szCs w:val="22"/>
        </w:rPr>
        <w:t>D</w:t>
      </w:r>
      <w:r w:rsidR="00162E0C" w:rsidRPr="00FB2F3D">
        <w:rPr>
          <w:rFonts w:ascii="Arial" w:hAnsi="Arial" w:cs="Arial"/>
          <w:sz w:val="22"/>
          <w:szCs w:val="22"/>
        </w:rPr>
        <w:t xml:space="preserve">isclosure required in </w:t>
      </w:r>
      <w:r w:rsidR="00693841" w:rsidRPr="00FB2F3D">
        <w:rPr>
          <w:rFonts w:ascii="Arial" w:hAnsi="Arial" w:cs="Arial"/>
          <w:sz w:val="22"/>
          <w:szCs w:val="22"/>
        </w:rPr>
        <w:t>(1)</w:t>
      </w:r>
      <w:r w:rsidR="0083302D" w:rsidRPr="00FB2F3D">
        <w:rPr>
          <w:rFonts w:ascii="Arial" w:hAnsi="Arial" w:cs="Arial"/>
          <w:sz w:val="22"/>
          <w:szCs w:val="22"/>
        </w:rPr>
        <w:t xml:space="preserve"> </w:t>
      </w:r>
      <w:r w:rsidR="00162E0C" w:rsidRPr="00FB2F3D">
        <w:rPr>
          <w:rFonts w:ascii="Arial" w:hAnsi="Arial" w:cs="Arial"/>
          <w:sz w:val="22"/>
          <w:szCs w:val="22"/>
        </w:rPr>
        <w:t>within the following time periods:</w:t>
      </w:r>
      <w:bookmarkEnd w:id="826"/>
    </w:p>
    <w:p w14:paraId="774C638E" w14:textId="77777777" w:rsidR="00162E0C" w:rsidRPr="00FB2F3D" w:rsidRDefault="00162E0C" w:rsidP="0061693E">
      <w:pPr>
        <w:pStyle w:val="Heading5"/>
        <w:rPr>
          <w:rFonts w:ascii="Arial" w:hAnsi="Arial" w:cs="Arial"/>
          <w:sz w:val="22"/>
          <w:szCs w:val="22"/>
        </w:rPr>
      </w:pPr>
      <w:bookmarkStart w:id="827" w:name="_Ref410635548"/>
      <w:r w:rsidRPr="00FB2F3D">
        <w:rPr>
          <w:rFonts w:ascii="Arial" w:hAnsi="Arial" w:cs="Arial"/>
          <w:sz w:val="22"/>
          <w:szCs w:val="22"/>
        </w:rPr>
        <w:t xml:space="preserve">in relation to its annual financial report, as soon as possible after the financial statements have been approved, but no later than </w:t>
      </w:r>
      <w:r w:rsidR="00B53984" w:rsidRPr="00FB2F3D">
        <w:rPr>
          <w:rFonts w:ascii="Arial" w:hAnsi="Arial" w:cs="Arial"/>
          <w:sz w:val="22"/>
          <w:szCs w:val="22"/>
        </w:rPr>
        <w:t>four months</w:t>
      </w:r>
      <w:r w:rsidRPr="00FB2F3D">
        <w:rPr>
          <w:rFonts w:ascii="Arial" w:hAnsi="Arial" w:cs="Arial"/>
          <w:sz w:val="22"/>
          <w:szCs w:val="22"/>
        </w:rPr>
        <w:t xml:space="preserve"> after the end of the financial period;</w:t>
      </w:r>
      <w:bookmarkEnd w:id="827"/>
    </w:p>
    <w:p w14:paraId="48943293" w14:textId="77777777" w:rsidR="00162E0C" w:rsidRPr="00FB2F3D" w:rsidRDefault="00162E0C" w:rsidP="0061693E">
      <w:pPr>
        <w:pStyle w:val="Heading5"/>
        <w:rPr>
          <w:rFonts w:ascii="Arial" w:hAnsi="Arial" w:cs="Arial"/>
          <w:sz w:val="22"/>
          <w:szCs w:val="22"/>
        </w:rPr>
      </w:pPr>
      <w:bookmarkStart w:id="828" w:name="_Ref410635694"/>
      <w:r w:rsidRPr="00FB2F3D">
        <w:rPr>
          <w:rFonts w:ascii="Arial" w:hAnsi="Arial" w:cs="Arial"/>
          <w:sz w:val="22"/>
          <w:szCs w:val="22"/>
        </w:rPr>
        <w:t>in relation to its semi</w:t>
      </w:r>
      <w:r w:rsidRPr="00FB2F3D">
        <w:rPr>
          <w:rFonts w:ascii="Arial" w:hAnsi="Arial" w:cs="Arial"/>
          <w:sz w:val="22"/>
          <w:szCs w:val="22"/>
        </w:rPr>
        <w:noBreakHyphen/>
        <w:t xml:space="preserve">annual financial report, as soon as possible and in any event no later than </w:t>
      </w:r>
      <w:r w:rsidR="00B53984" w:rsidRPr="00FB2F3D">
        <w:rPr>
          <w:rFonts w:ascii="Arial" w:hAnsi="Arial" w:cs="Arial"/>
          <w:sz w:val="22"/>
          <w:szCs w:val="22"/>
        </w:rPr>
        <w:t>two months</w:t>
      </w:r>
      <w:r w:rsidRPr="00FB2F3D">
        <w:rPr>
          <w:rFonts w:ascii="Arial" w:hAnsi="Arial" w:cs="Arial"/>
          <w:sz w:val="22"/>
          <w:szCs w:val="22"/>
        </w:rPr>
        <w:t xml:space="preserve"> after the end of the period to which the report relates; and</w:t>
      </w:r>
      <w:bookmarkEnd w:id="828"/>
    </w:p>
    <w:p w14:paraId="78651222" w14:textId="0C08D561" w:rsidR="00162E0C" w:rsidRPr="00FB2F3D" w:rsidRDefault="00162E0C" w:rsidP="0061693E">
      <w:pPr>
        <w:pStyle w:val="Heading5"/>
        <w:rPr>
          <w:rFonts w:ascii="Arial" w:hAnsi="Arial" w:cs="Arial"/>
          <w:sz w:val="22"/>
          <w:szCs w:val="22"/>
        </w:rPr>
      </w:pPr>
      <w:bookmarkStart w:id="829" w:name="_Ref410635707"/>
      <w:r w:rsidRPr="00FB2F3D">
        <w:rPr>
          <w:rFonts w:ascii="Arial" w:hAnsi="Arial" w:cs="Arial"/>
          <w:sz w:val="22"/>
          <w:szCs w:val="22"/>
        </w:rPr>
        <w:t xml:space="preserve">in relation to its preliminary financial results, as soon as possible but no later than </w:t>
      </w:r>
      <w:r w:rsidR="00024E79">
        <w:rPr>
          <w:rFonts w:ascii="Arial" w:hAnsi="Arial" w:cs="Arial"/>
          <w:sz w:val="22"/>
          <w:szCs w:val="22"/>
        </w:rPr>
        <w:t>two months</w:t>
      </w:r>
      <w:r w:rsidRPr="00FB2F3D">
        <w:rPr>
          <w:rFonts w:ascii="Arial" w:hAnsi="Arial" w:cs="Arial"/>
          <w:sz w:val="22"/>
          <w:szCs w:val="22"/>
        </w:rPr>
        <w:t xml:space="preserve"> after the </w:t>
      </w:r>
      <w:r w:rsidR="00024E79">
        <w:rPr>
          <w:rFonts w:ascii="Arial" w:hAnsi="Arial" w:cs="Arial"/>
          <w:sz w:val="22"/>
          <w:szCs w:val="22"/>
        </w:rPr>
        <w:t>end</w:t>
      </w:r>
      <w:r w:rsidRPr="00FB2F3D">
        <w:rPr>
          <w:rFonts w:ascii="Arial" w:hAnsi="Arial" w:cs="Arial"/>
          <w:sz w:val="22"/>
          <w:szCs w:val="22"/>
        </w:rPr>
        <w:t xml:space="preserve"> of the </w:t>
      </w:r>
      <w:r w:rsidR="00024E79">
        <w:rPr>
          <w:rFonts w:ascii="Arial" w:hAnsi="Arial" w:cs="Arial"/>
          <w:sz w:val="22"/>
          <w:szCs w:val="22"/>
        </w:rPr>
        <w:t>financial period</w:t>
      </w:r>
      <w:r w:rsidRPr="00FB2F3D">
        <w:rPr>
          <w:rFonts w:ascii="Arial" w:hAnsi="Arial" w:cs="Arial"/>
          <w:sz w:val="22"/>
          <w:szCs w:val="22"/>
        </w:rPr>
        <w:t>.</w:t>
      </w:r>
      <w:bookmarkEnd w:id="829"/>
    </w:p>
    <w:p w14:paraId="58758F4C" w14:textId="0460413B" w:rsidR="00162E0C" w:rsidRPr="00FB2F3D" w:rsidRDefault="00162E0C" w:rsidP="007366C9">
      <w:pPr>
        <w:pStyle w:val="Heading4"/>
        <w:rPr>
          <w:rFonts w:ascii="Arial" w:hAnsi="Arial" w:cs="Arial"/>
          <w:sz w:val="22"/>
          <w:szCs w:val="22"/>
        </w:rPr>
      </w:pPr>
      <w:r w:rsidRPr="00FB2F3D">
        <w:rPr>
          <w:rFonts w:ascii="Arial" w:hAnsi="Arial" w:cs="Arial"/>
          <w:sz w:val="22"/>
          <w:szCs w:val="22"/>
        </w:rPr>
        <w:t>A</w:t>
      </w:r>
      <w:r w:rsidR="007366C9" w:rsidRPr="00FB2F3D">
        <w:rPr>
          <w:rFonts w:ascii="Arial" w:hAnsi="Arial" w:cs="Arial"/>
          <w:sz w:val="22"/>
          <w:szCs w:val="22"/>
        </w:rPr>
        <w:t xml:space="preserve"> Reporting Entity</w:t>
      </w:r>
      <w:r w:rsidRPr="00FB2F3D">
        <w:rPr>
          <w:rFonts w:ascii="Arial" w:hAnsi="Arial" w:cs="Arial"/>
          <w:sz w:val="22"/>
          <w:szCs w:val="22"/>
        </w:rPr>
        <w:t xml:space="preserve"> must, where there is a change to its accounting reference date, </w:t>
      </w:r>
      <w:r w:rsidR="00024E79">
        <w:rPr>
          <w:rFonts w:ascii="Arial" w:hAnsi="Arial" w:cs="Arial"/>
          <w:sz w:val="22"/>
          <w:szCs w:val="22"/>
        </w:rPr>
        <w:t>D</w:t>
      </w:r>
      <w:r w:rsidRPr="00FB2F3D">
        <w:rPr>
          <w:rFonts w:ascii="Arial" w:hAnsi="Arial" w:cs="Arial"/>
          <w:sz w:val="22"/>
          <w:szCs w:val="22"/>
        </w:rPr>
        <w:t>isclose in accordance with Rule </w:t>
      </w:r>
      <w:r w:rsidR="00693841" w:rsidRPr="00FB2F3D">
        <w:rPr>
          <w:rFonts w:ascii="Arial" w:hAnsi="Arial" w:cs="Arial"/>
          <w:sz w:val="22"/>
          <w:szCs w:val="22"/>
        </w:rPr>
        <w:t>7.7.1</w:t>
      </w:r>
      <w:r w:rsidRPr="00FB2F3D">
        <w:rPr>
          <w:rFonts w:ascii="Arial" w:hAnsi="Arial" w:cs="Arial"/>
          <w:sz w:val="22"/>
          <w:szCs w:val="22"/>
        </w:rPr>
        <w:t>:</w:t>
      </w:r>
    </w:p>
    <w:p w14:paraId="310734A5" w14:textId="77777777" w:rsidR="00162E0C" w:rsidRPr="00FB2F3D" w:rsidRDefault="00162E0C" w:rsidP="0061693E">
      <w:pPr>
        <w:pStyle w:val="Heading5"/>
        <w:rPr>
          <w:rFonts w:ascii="Arial" w:hAnsi="Arial" w:cs="Arial"/>
          <w:sz w:val="22"/>
          <w:szCs w:val="22"/>
        </w:rPr>
      </w:pPr>
      <w:r w:rsidRPr="00FB2F3D">
        <w:rPr>
          <w:rFonts w:ascii="Arial" w:hAnsi="Arial" w:cs="Arial"/>
          <w:sz w:val="22"/>
          <w:szCs w:val="22"/>
        </w:rPr>
        <w:t>the change to its accounting reference date as soon as possible; and</w:t>
      </w:r>
    </w:p>
    <w:p w14:paraId="7C7B7634" w14:textId="77777777" w:rsidR="00162E0C" w:rsidRPr="00FB2F3D" w:rsidRDefault="00190802" w:rsidP="0061693E">
      <w:pPr>
        <w:pStyle w:val="Heading5"/>
        <w:rPr>
          <w:rFonts w:ascii="Arial" w:hAnsi="Arial" w:cs="Arial"/>
          <w:sz w:val="22"/>
          <w:szCs w:val="22"/>
        </w:rPr>
      </w:pPr>
      <w:r w:rsidRPr="00FB2F3D">
        <w:rPr>
          <w:rFonts w:ascii="Arial" w:hAnsi="Arial" w:cs="Arial"/>
          <w:sz w:val="22"/>
          <w:szCs w:val="22"/>
        </w:rPr>
        <w:t xml:space="preserve">if it is a Reporting Entity in relation to Shares, </w:t>
      </w:r>
      <w:r w:rsidR="00162E0C" w:rsidRPr="00FB2F3D">
        <w:rPr>
          <w:rFonts w:ascii="Arial" w:hAnsi="Arial" w:cs="Arial"/>
          <w:sz w:val="22"/>
          <w:szCs w:val="22"/>
        </w:rPr>
        <w:t>a second interim report within six months of the old accounting reference date if the change of the accounting reference date extends the annual accounting period to more than 14 months.</w:t>
      </w:r>
    </w:p>
    <w:p w14:paraId="2772A80C" w14:textId="546D6D29" w:rsidR="00162E0C" w:rsidRPr="00FB2F3D" w:rsidRDefault="00162E0C" w:rsidP="0061693E">
      <w:pPr>
        <w:pStyle w:val="Heading2"/>
        <w:rPr>
          <w:rFonts w:ascii="Arial" w:hAnsi="Arial" w:cs="Arial"/>
          <w:sz w:val="22"/>
          <w:szCs w:val="22"/>
        </w:rPr>
      </w:pPr>
      <w:bookmarkStart w:id="830" w:name="_Toc409521848"/>
      <w:bookmarkStart w:id="831" w:name="_Ref410073231"/>
      <w:bookmarkStart w:id="832" w:name="_Toc410136245"/>
      <w:bookmarkStart w:id="833" w:name="_Toc410605954"/>
      <w:bookmarkStart w:id="834" w:name="_Ref410633766"/>
      <w:bookmarkStart w:id="835" w:name="_Toc410658890"/>
      <w:bookmarkStart w:id="836" w:name="_Toc410659017"/>
      <w:bookmarkStart w:id="837" w:name="_Toc410835564"/>
      <w:bookmarkStart w:id="838" w:name="_Toc138325711"/>
      <w:r w:rsidRPr="00FB2F3D">
        <w:rPr>
          <w:rFonts w:ascii="Arial" w:hAnsi="Arial" w:cs="Arial"/>
          <w:sz w:val="22"/>
          <w:szCs w:val="22"/>
        </w:rPr>
        <w:t xml:space="preserve">Application in respect of a </w:t>
      </w:r>
      <w:r w:rsidR="00024E79">
        <w:rPr>
          <w:rFonts w:ascii="Arial" w:hAnsi="Arial" w:cs="Arial"/>
          <w:sz w:val="22"/>
          <w:szCs w:val="22"/>
        </w:rPr>
        <w:t>Reporting Entity</w:t>
      </w:r>
      <w:bookmarkEnd w:id="830"/>
      <w:bookmarkEnd w:id="831"/>
      <w:bookmarkEnd w:id="832"/>
      <w:bookmarkEnd w:id="833"/>
      <w:bookmarkEnd w:id="834"/>
      <w:bookmarkEnd w:id="835"/>
      <w:bookmarkEnd w:id="836"/>
      <w:bookmarkEnd w:id="837"/>
      <w:bookmarkEnd w:id="838"/>
    </w:p>
    <w:p w14:paraId="74A59146" w14:textId="2329C079" w:rsidR="00162E0C" w:rsidRPr="00FB2F3D" w:rsidRDefault="00162E0C" w:rsidP="0083302D">
      <w:pPr>
        <w:pStyle w:val="Heading3"/>
        <w:keepNext/>
        <w:rPr>
          <w:rFonts w:ascii="Arial" w:hAnsi="Arial" w:cs="Arial"/>
          <w:sz w:val="22"/>
          <w:szCs w:val="22"/>
        </w:rPr>
      </w:pPr>
      <w:r w:rsidRPr="00FB2F3D">
        <w:rPr>
          <w:rFonts w:ascii="Arial" w:hAnsi="Arial" w:cs="Arial"/>
          <w:sz w:val="22"/>
          <w:szCs w:val="22"/>
        </w:rPr>
        <w:t xml:space="preserve">This section applies to every </w:t>
      </w:r>
      <w:r w:rsidR="00024E79">
        <w:rPr>
          <w:rFonts w:ascii="Arial" w:hAnsi="Arial" w:cs="Arial"/>
          <w:sz w:val="22"/>
          <w:szCs w:val="22"/>
        </w:rPr>
        <w:t>Reporting Entity</w:t>
      </w:r>
      <w:r w:rsidRPr="00FB2F3D">
        <w:rPr>
          <w:rFonts w:ascii="Arial" w:hAnsi="Arial" w:cs="Arial"/>
          <w:sz w:val="22"/>
          <w:szCs w:val="22"/>
        </w:rPr>
        <w:t>.</w:t>
      </w:r>
    </w:p>
    <w:p w14:paraId="0EC31E1F"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6E67501E" w14:textId="152C30AB" w:rsidR="00162E0C" w:rsidRPr="00FB2F3D" w:rsidRDefault="00024E79" w:rsidP="00755725">
      <w:pPr>
        <w:pStyle w:val="GuidanceNotesnumbering"/>
        <w:numPr>
          <w:ilvl w:val="0"/>
          <w:numId w:val="43"/>
        </w:numPr>
        <w:rPr>
          <w:rFonts w:ascii="Arial" w:hAnsi="Arial" w:cs="Arial"/>
          <w:sz w:val="22"/>
          <w:szCs w:val="22"/>
        </w:rPr>
      </w:pPr>
      <w:r>
        <w:rPr>
          <w:rFonts w:ascii="Arial" w:hAnsi="Arial" w:cs="Arial"/>
          <w:sz w:val="22"/>
          <w:szCs w:val="22"/>
        </w:rPr>
        <w:t>In this section, obligations of a Reporting Entity may be read as applying to the Listed Entity for which the Reporting Entity is responsible</w:t>
      </w:r>
      <w:r w:rsidR="00162E0C" w:rsidRPr="00FB2F3D">
        <w:rPr>
          <w:rFonts w:ascii="Arial" w:hAnsi="Arial" w:cs="Arial"/>
          <w:sz w:val="22"/>
          <w:szCs w:val="22"/>
        </w:rPr>
        <w:t>.</w:t>
      </w:r>
    </w:p>
    <w:p w14:paraId="0C798C55" w14:textId="58B2D62B" w:rsidR="00162E0C" w:rsidRPr="00FB2F3D" w:rsidRDefault="00162E0C" w:rsidP="0083302D">
      <w:pPr>
        <w:pStyle w:val="GuidanceNotesnumbering"/>
        <w:rPr>
          <w:rFonts w:ascii="Arial" w:hAnsi="Arial" w:cs="Arial"/>
          <w:sz w:val="22"/>
          <w:szCs w:val="22"/>
        </w:rPr>
      </w:pPr>
      <w:r w:rsidRPr="00FB2F3D">
        <w:rPr>
          <w:rFonts w:ascii="Arial" w:hAnsi="Arial" w:cs="Arial"/>
          <w:sz w:val="22"/>
          <w:szCs w:val="22"/>
        </w:rPr>
        <w:t xml:space="preserve">A </w:t>
      </w:r>
      <w:r w:rsidR="00024E79">
        <w:rPr>
          <w:rFonts w:ascii="Arial" w:hAnsi="Arial" w:cs="Arial"/>
          <w:sz w:val="22"/>
          <w:szCs w:val="22"/>
        </w:rPr>
        <w:t>Reporting Entity</w:t>
      </w:r>
      <w:r w:rsidRPr="00FB2F3D">
        <w:rPr>
          <w:rFonts w:ascii="Arial" w:hAnsi="Arial" w:cs="Arial"/>
          <w:sz w:val="22"/>
          <w:szCs w:val="22"/>
        </w:rPr>
        <w:t xml:space="preserve"> is required under section </w:t>
      </w:r>
      <w:r w:rsidR="00C51E1E" w:rsidRPr="00FB2F3D">
        <w:rPr>
          <w:rFonts w:ascii="Arial" w:hAnsi="Arial" w:cs="Arial"/>
          <w:sz w:val="22"/>
          <w:szCs w:val="22"/>
        </w:rPr>
        <w:t>8</w:t>
      </w:r>
      <w:r w:rsidR="00F10576" w:rsidRPr="00FB2F3D">
        <w:rPr>
          <w:rFonts w:ascii="Arial" w:hAnsi="Arial" w:cs="Arial"/>
          <w:sz w:val="22"/>
          <w:szCs w:val="22"/>
        </w:rPr>
        <w:t>2</w:t>
      </w:r>
      <w:r w:rsidRPr="00FB2F3D">
        <w:rPr>
          <w:rFonts w:ascii="Arial" w:hAnsi="Arial" w:cs="Arial"/>
          <w:sz w:val="22"/>
          <w:szCs w:val="22"/>
        </w:rPr>
        <w:t xml:space="preserve"> of the FSMR to appoint an </w:t>
      </w:r>
      <w:r w:rsidR="00A85262" w:rsidRPr="00FB2F3D">
        <w:rPr>
          <w:rFonts w:ascii="Arial" w:hAnsi="Arial" w:cs="Arial"/>
          <w:sz w:val="22"/>
          <w:szCs w:val="22"/>
        </w:rPr>
        <w:t>auditor</w:t>
      </w:r>
      <w:r w:rsidRPr="00FB2F3D">
        <w:rPr>
          <w:rFonts w:ascii="Arial" w:hAnsi="Arial" w:cs="Arial"/>
          <w:sz w:val="22"/>
          <w:szCs w:val="22"/>
        </w:rPr>
        <w:t>.</w:t>
      </w:r>
    </w:p>
    <w:p w14:paraId="2E094F0E" w14:textId="77777777" w:rsidR="00162E0C" w:rsidRPr="00FB2F3D" w:rsidRDefault="00162E0C" w:rsidP="00F7531F">
      <w:pPr>
        <w:pStyle w:val="TitleL"/>
        <w:rPr>
          <w:rFonts w:ascii="Arial" w:hAnsi="Arial" w:cs="Arial"/>
          <w:sz w:val="22"/>
          <w:szCs w:val="22"/>
        </w:rPr>
      </w:pPr>
      <w:r w:rsidRPr="00FB2F3D">
        <w:rPr>
          <w:rFonts w:ascii="Arial" w:hAnsi="Arial" w:cs="Arial"/>
          <w:sz w:val="22"/>
          <w:szCs w:val="22"/>
        </w:rPr>
        <w:t xml:space="preserve">Appointment and termination of </w:t>
      </w:r>
      <w:r w:rsidR="00A85262" w:rsidRPr="00FB2F3D">
        <w:rPr>
          <w:rFonts w:ascii="Arial" w:hAnsi="Arial" w:cs="Arial"/>
          <w:sz w:val="22"/>
          <w:szCs w:val="22"/>
        </w:rPr>
        <w:t>auditor</w:t>
      </w:r>
      <w:r w:rsidRPr="00FB2F3D">
        <w:rPr>
          <w:rFonts w:ascii="Arial" w:hAnsi="Arial" w:cs="Arial"/>
          <w:sz w:val="22"/>
          <w:szCs w:val="22"/>
        </w:rPr>
        <w:t>s</w:t>
      </w:r>
    </w:p>
    <w:p w14:paraId="362A8C13" w14:textId="6B4A2E29" w:rsidR="00162E0C" w:rsidRPr="00FB2F3D" w:rsidRDefault="00162E0C" w:rsidP="00F7531F">
      <w:pPr>
        <w:pStyle w:val="Heading3"/>
        <w:keepNext/>
        <w:rPr>
          <w:rFonts w:ascii="Arial" w:hAnsi="Arial" w:cs="Arial"/>
          <w:sz w:val="22"/>
          <w:szCs w:val="22"/>
        </w:rPr>
      </w:pPr>
      <w:r w:rsidRPr="00FB2F3D">
        <w:rPr>
          <w:rFonts w:ascii="Arial" w:hAnsi="Arial" w:cs="Arial"/>
          <w:sz w:val="22"/>
          <w:szCs w:val="22"/>
        </w:rPr>
        <w:t xml:space="preserve">A </w:t>
      </w:r>
      <w:r w:rsidR="00024E79">
        <w:rPr>
          <w:rFonts w:ascii="Arial" w:hAnsi="Arial" w:cs="Arial"/>
          <w:sz w:val="22"/>
          <w:szCs w:val="22"/>
        </w:rPr>
        <w:t xml:space="preserve">Reporting Entity </w:t>
      </w:r>
      <w:r w:rsidRPr="00FB2F3D">
        <w:rPr>
          <w:rFonts w:ascii="Arial" w:hAnsi="Arial" w:cs="Arial"/>
          <w:sz w:val="22"/>
          <w:szCs w:val="22"/>
        </w:rPr>
        <w:t>must:</w:t>
      </w:r>
    </w:p>
    <w:p w14:paraId="194C9364" w14:textId="5ED77B33" w:rsidR="00162E0C" w:rsidRPr="00FB2F3D" w:rsidRDefault="00162E0C" w:rsidP="00C44814">
      <w:pPr>
        <w:pStyle w:val="Heading4"/>
        <w:rPr>
          <w:rFonts w:ascii="Arial" w:hAnsi="Arial" w:cs="Arial"/>
          <w:sz w:val="22"/>
          <w:szCs w:val="22"/>
        </w:rPr>
      </w:pPr>
      <w:r w:rsidRPr="00FB2F3D">
        <w:rPr>
          <w:rFonts w:ascii="Arial" w:hAnsi="Arial" w:cs="Arial"/>
          <w:sz w:val="22"/>
          <w:szCs w:val="22"/>
        </w:rPr>
        <w:t xml:space="preserve">notify the </w:t>
      </w:r>
      <w:r w:rsidR="0035335F" w:rsidRPr="00FB2F3D">
        <w:rPr>
          <w:rFonts w:ascii="Arial" w:hAnsi="Arial" w:cs="Arial"/>
          <w:sz w:val="22"/>
          <w:szCs w:val="22"/>
        </w:rPr>
        <w:t>Regulator</w:t>
      </w:r>
      <w:r w:rsidRPr="00FB2F3D">
        <w:rPr>
          <w:rFonts w:ascii="Arial" w:hAnsi="Arial" w:cs="Arial"/>
          <w:sz w:val="22"/>
          <w:szCs w:val="22"/>
        </w:rPr>
        <w:t xml:space="preserve"> of the appointment of an </w:t>
      </w:r>
      <w:r w:rsidR="00A85262" w:rsidRPr="00FB2F3D">
        <w:rPr>
          <w:rFonts w:ascii="Arial" w:hAnsi="Arial" w:cs="Arial"/>
          <w:sz w:val="22"/>
          <w:szCs w:val="22"/>
        </w:rPr>
        <w:t>auditor</w:t>
      </w:r>
      <w:r w:rsidRPr="00FB2F3D">
        <w:rPr>
          <w:rFonts w:ascii="Arial" w:hAnsi="Arial" w:cs="Arial"/>
          <w:sz w:val="22"/>
          <w:szCs w:val="22"/>
        </w:rPr>
        <w:t xml:space="preserve"> by completing and submitting </w:t>
      </w:r>
      <w:r w:rsidR="0029125A" w:rsidRPr="00FB2F3D">
        <w:rPr>
          <w:rFonts w:ascii="Arial" w:hAnsi="Arial" w:cs="Arial"/>
          <w:sz w:val="22"/>
          <w:szCs w:val="22"/>
        </w:rPr>
        <w:t>such form as the Regulator shall prescribe</w:t>
      </w:r>
      <w:r w:rsidRPr="00FB2F3D">
        <w:rPr>
          <w:rFonts w:ascii="Arial" w:hAnsi="Arial" w:cs="Arial"/>
          <w:sz w:val="22"/>
          <w:szCs w:val="22"/>
        </w:rPr>
        <w:t>;</w:t>
      </w:r>
      <w:r w:rsidR="00024E79">
        <w:rPr>
          <w:rFonts w:ascii="Arial" w:hAnsi="Arial" w:cs="Arial"/>
          <w:sz w:val="22"/>
          <w:szCs w:val="22"/>
        </w:rPr>
        <w:t xml:space="preserve"> and</w:t>
      </w:r>
    </w:p>
    <w:p w14:paraId="29BF18AE" w14:textId="202BD5EE" w:rsidR="00162E0C" w:rsidRPr="00FB2F3D" w:rsidRDefault="00162E0C" w:rsidP="00AA030F">
      <w:pPr>
        <w:pStyle w:val="Heading4"/>
        <w:rPr>
          <w:rFonts w:ascii="Arial" w:hAnsi="Arial" w:cs="Arial"/>
          <w:sz w:val="22"/>
          <w:szCs w:val="22"/>
        </w:rPr>
      </w:pPr>
      <w:r w:rsidRPr="00FB2F3D">
        <w:rPr>
          <w:rFonts w:ascii="Arial" w:hAnsi="Arial" w:cs="Arial"/>
          <w:sz w:val="22"/>
          <w:szCs w:val="22"/>
        </w:rPr>
        <w:lastRenderedPageBreak/>
        <w:t xml:space="preserve">prior to the appointment of the </w:t>
      </w:r>
      <w:r w:rsidR="00A85262" w:rsidRPr="00FB2F3D">
        <w:rPr>
          <w:rFonts w:ascii="Arial" w:hAnsi="Arial" w:cs="Arial"/>
          <w:sz w:val="22"/>
          <w:szCs w:val="22"/>
        </w:rPr>
        <w:t>auditor</w:t>
      </w:r>
      <w:r w:rsidRPr="00FB2F3D">
        <w:rPr>
          <w:rFonts w:ascii="Arial" w:hAnsi="Arial" w:cs="Arial"/>
          <w:sz w:val="22"/>
          <w:szCs w:val="22"/>
        </w:rPr>
        <w:t xml:space="preserve">, take reasonable steps to ensure that the </w:t>
      </w:r>
      <w:r w:rsidR="00A85262" w:rsidRPr="00FB2F3D">
        <w:rPr>
          <w:rFonts w:ascii="Arial" w:hAnsi="Arial" w:cs="Arial"/>
          <w:sz w:val="22"/>
          <w:szCs w:val="22"/>
        </w:rPr>
        <w:t>auditor</w:t>
      </w:r>
      <w:r w:rsidRPr="00FB2F3D">
        <w:rPr>
          <w:rFonts w:ascii="Arial" w:hAnsi="Arial" w:cs="Arial"/>
          <w:sz w:val="22"/>
          <w:szCs w:val="22"/>
        </w:rPr>
        <w:t xml:space="preserve"> has the required skills, resources and experience to audit the business of the </w:t>
      </w:r>
      <w:r w:rsidR="00024E79">
        <w:rPr>
          <w:rFonts w:ascii="Arial" w:hAnsi="Arial" w:cs="Arial"/>
          <w:sz w:val="22"/>
          <w:szCs w:val="22"/>
        </w:rPr>
        <w:t>Reporting Entity</w:t>
      </w:r>
      <w:r w:rsidRPr="00FB2F3D">
        <w:rPr>
          <w:rFonts w:ascii="Arial" w:hAnsi="Arial" w:cs="Arial"/>
          <w:sz w:val="22"/>
          <w:szCs w:val="22"/>
        </w:rPr>
        <w:t xml:space="preserve"> for which the </w:t>
      </w:r>
      <w:r w:rsidR="00A85262" w:rsidRPr="00FB2F3D">
        <w:rPr>
          <w:rFonts w:ascii="Arial" w:hAnsi="Arial" w:cs="Arial"/>
          <w:sz w:val="22"/>
          <w:szCs w:val="22"/>
        </w:rPr>
        <w:t>auditor</w:t>
      </w:r>
      <w:r w:rsidRPr="00FB2F3D">
        <w:rPr>
          <w:rFonts w:ascii="Arial" w:hAnsi="Arial" w:cs="Arial"/>
          <w:sz w:val="22"/>
          <w:szCs w:val="22"/>
        </w:rPr>
        <w:t xml:space="preserve"> has been </w:t>
      </w:r>
      <w:r w:rsidR="00EE4C51" w:rsidRPr="00FB2F3D">
        <w:rPr>
          <w:rFonts w:ascii="Arial" w:hAnsi="Arial" w:cs="Arial"/>
          <w:sz w:val="22"/>
          <w:szCs w:val="22"/>
        </w:rPr>
        <w:t>appointed</w:t>
      </w:r>
      <w:r w:rsidR="00AA030F" w:rsidRPr="00FB2F3D">
        <w:rPr>
          <w:rFonts w:ascii="Arial" w:hAnsi="Arial" w:cs="Arial"/>
          <w:sz w:val="22"/>
          <w:szCs w:val="22"/>
        </w:rPr>
        <w:t>.</w:t>
      </w:r>
    </w:p>
    <w:p w14:paraId="23228B47" w14:textId="1C744F88" w:rsidR="00162E0C" w:rsidRPr="00FB2F3D" w:rsidRDefault="00162E0C" w:rsidP="0061693E">
      <w:pPr>
        <w:pStyle w:val="Heading3"/>
        <w:rPr>
          <w:rFonts w:ascii="Arial" w:hAnsi="Arial" w:cs="Arial"/>
          <w:sz w:val="22"/>
          <w:szCs w:val="22"/>
        </w:rPr>
      </w:pPr>
      <w:r w:rsidRPr="00FB2F3D">
        <w:rPr>
          <w:rFonts w:ascii="Arial" w:hAnsi="Arial" w:cs="Arial"/>
          <w:sz w:val="22"/>
          <w:szCs w:val="22"/>
        </w:rPr>
        <w:t xml:space="preserve">A </w:t>
      </w:r>
      <w:r w:rsidR="00024E79">
        <w:rPr>
          <w:rFonts w:ascii="Arial" w:hAnsi="Arial" w:cs="Arial"/>
          <w:sz w:val="22"/>
          <w:szCs w:val="22"/>
        </w:rPr>
        <w:t>Reporting Entity</w:t>
      </w:r>
      <w:r w:rsidRPr="00FB2F3D">
        <w:rPr>
          <w:rFonts w:ascii="Arial" w:hAnsi="Arial" w:cs="Arial"/>
          <w:sz w:val="22"/>
          <w:szCs w:val="22"/>
        </w:rPr>
        <w:t xml:space="preserve"> must notify the </w:t>
      </w:r>
      <w:r w:rsidR="0035335F" w:rsidRPr="00FB2F3D">
        <w:rPr>
          <w:rFonts w:ascii="Arial" w:hAnsi="Arial" w:cs="Arial"/>
          <w:sz w:val="22"/>
          <w:szCs w:val="22"/>
        </w:rPr>
        <w:t>Regulator</w:t>
      </w:r>
      <w:r w:rsidRPr="00FB2F3D">
        <w:rPr>
          <w:rFonts w:ascii="Arial" w:hAnsi="Arial" w:cs="Arial"/>
          <w:sz w:val="22"/>
          <w:szCs w:val="22"/>
        </w:rPr>
        <w:t xml:space="preserve"> immediately if the appointment of its </w:t>
      </w:r>
      <w:r w:rsidR="00A85262" w:rsidRPr="00FB2F3D">
        <w:rPr>
          <w:rFonts w:ascii="Arial" w:hAnsi="Arial" w:cs="Arial"/>
          <w:sz w:val="22"/>
          <w:szCs w:val="22"/>
        </w:rPr>
        <w:t>auditor</w:t>
      </w:r>
      <w:r w:rsidRPr="00FB2F3D">
        <w:rPr>
          <w:rFonts w:ascii="Arial" w:hAnsi="Arial" w:cs="Arial"/>
          <w:sz w:val="22"/>
          <w:szCs w:val="22"/>
        </w:rPr>
        <w:t xml:space="preserve"> is or is about to be terminated, or on the resignation of its </w:t>
      </w:r>
      <w:r w:rsidR="00A85262" w:rsidRPr="00FB2F3D">
        <w:rPr>
          <w:rFonts w:ascii="Arial" w:hAnsi="Arial" w:cs="Arial"/>
          <w:sz w:val="22"/>
          <w:szCs w:val="22"/>
        </w:rPr>
        <w:t>auditor</w:t>
      </w:r>
      <w:r w:rsidRPr="00FB2F3D">
        <w:rPr>
          <w:rFonts w:ascii="Arial" w:hAnsi="Arial" w:cs="Arial"/>
          <w:sz w:val="22"/>
          <w:szCs w:val="22"/>
        </w:rPr>
        <w:t xml:space="preserve">, by completing and submitting </w:t>
      </w:r>
      <w:r w:rsidR="0029125A" w:rsidRPr="00FB2F3D">
        <w:rPr>
          <w:rFonts w:ascii="Arial" w:hAnsi="Arial" w:cs="Arial"/>
          <w:sz w:val="22"/>
          <w:szCs w:val="22"/>
        </w:rPr>
        <w:t>such form as the Regulator shall prescribe</w:t>
      </w:r>
      <w:r w:rsidRPr="00FB2F3D">
        <w:rPr>
          <w:rFonts w:ascii="Arial" w:hAnsi="Arial" w:cs="Arial"/>
          <w:sz w:val="22"/>
          <w:szCs w:val="22"/>
        </w:rPr>
        <w:t>.</w:t>
      </w:r>
    </w:p>
    <w:p w14:paraId="7F45E1E1" w14:textId="54AEAE42" w:rsidR="00162E0C" w:rsidRPr="00FB2F3D" w:rsidRDefault="00162E0C" w:rsidP="0061693E">
      <w:pPr>
        <w:pStyle w:val="Heading3"/>
        <w:rPr>
          <w:rFonts w:ascii="Arial" w:hAnsi="Arial" w:cs="Arial"/>
          <w:sz w:val="22"/>
          <w:szCs w:val="22"/>
        </w:rPr>
      </w:pPr>
      <w:r w:rsidRPr="00FB2F3D">
        <w:rPr>
          <w:rFonts w:ascii="Arial" w:hAnsi="Arial" w:cs="Arial"/>
          <w:sz w:val="22"/>
          <w:szCs w:val="22"/>
        </w:rPr>
        <w:t xml:space="preserve">A </w:t>
      </w:r>
      <w:r w:rsidR="008A2B4F">
        <w:rPr>
          <w:rFonts w:ascii="Arial" w:hAnsi="Arial" w:cs="Arial"/>
          <w:sz w:val="22"/>
          <w:szCs w:val="22"/>
        </w:rPr>
        <w:t>Reporting Entity</w:t>
      </w:r>
      <w:r w:rsidRPr="00FB2F3D">
        <w:rPr>
          <w:rFonts w:ascii="Arial" w:hAnsi="Arial" w:cs="Arial"/>
          <w:sz w:val="22"/>
          <w:szCs w:val="22"/>
        </w:rPr>
        <w:t xml:space="preserve"> must appoint an </w:t>
      </w:r>
      <w:r w:rsidR="00A85262" w:rsidRPr="00FB2F3D">
        <w:rPr>
          <w:rFonts w:ascii="Arial" w:hAnsi="Arial" w:cs="Arial"/>
          <w:sz w:val="22"/>
          <w:szCs w:val="22"/>
        </w:rPr>
        <w:t>auditor</w:t>
      </w:r>
      <w:r w:rsidRPr="00FB2F3D">
        <w:rPr>
          <w:rFonts w:ascii="Arial" w:hAnsi="Arial" w:cs="Arial"/>
          <w:sz w:val="22"/>
          <w:szCs w:val="22"/>
        </w:rPr>
        <w:t xml:space="preserve"> to fill any vacancy in the office of </w:t>
      </w:r>
      <w:r w:rsidR="00A85262" w:rsidRPr="00FB2F3D">
        <w:rPr>
          <w:rFonts w:ascii="Arial" w:hAnsi="Arial" w:cs="Arial"/>
          <w:sz w:val="22"/>
          <w:szCs w:val="22"/>
        </w:rPr>
        <w:t>auditor</w:t>
      </w:r>
      <w:r w:rsidRPr="00FB2F3D">
        <w:rPr>
          <w:rFonts w:ascii="Arial" w:hAnsi="Arial" w:cs="Arial"/>
          <w:sz w:val="22"/>
          <w:szCs w:val="22"/>
        </w:rPr>
        <w:t xml:space="preserve"> and ensure that the replacement </w:t>
      </w:r>
      <w:r w:rsidR="00A85262" w:rsidRPr="00FB2F3D">
        <w:rPr>
          <w:rFonts w:ascii="Arial" w:hAnsi="Arial" w:cs="Arial"/>
          <w:sz w:val="22"/>
          <w:szCs w:val="22"/>
        </w:rPr>
        <w:t>auditor</w:t>
      </w:r>
      <w:r w:rsidRPr="00FB2F3D">
        <w:rPr>
          <w:rFonts w:ascii="Arial" w:hAnsi="Arial" w:cs="Arial"/>
          <w:sz w:val="22"/>
          <w:szCs w:val="22"/>
        </w:rPr>
        <w:t xml:space="preserve"> can take up office at the time the vacancy arises or as soon as reasonably practicable.</w:t>
      </w:r>
    </w:p>
    <w:p w14:paraId="36F772B2" w14:textId="13859601" w:rsidR="00162E0C" w:rsidRPr="00FB2F3D" w:rsidRDefault="007441BA" w:rsidP="00F7531F">
      <w:pPr>
        <w:pStyle w:val="Heading3"/>
        <w:ind w:left="1440" w:hanging="1440"/>
        <w:rPr>
          <w:rFonts w:ascii="Arial" w:hAnsi="Arial" w:cs="Arial"/>
          <w:sz w:val="22"/>
          <w:szCs w:val="22"/>
        </w:rPr>
      </w:pPr>
      <w:r w:rsidRPr="00FB2F3D">
        <w:rPr>
          <w:rFonts w:ascii="Arial" w:hAnsi="Arial" w:cs="Arial"/>
          <w:sz w:val="22"/>
          <w:szCs w:val="22"/>
        </w:rPr>
        <w:t>(1)</w:t>
      </w:r>
      <w:r w:rsidR="00F7531F" w:rsidRPr="00FB2F3D">
        <w:rPr>
          <w:rFonts w:ascii="Arial" w:hAnsi="Arial" w:cs="Arial"/>
          <w:sz w:val="22"/>
          <w:szCs w:val="22"/>
        </w:rPr>
        <w:tab/>
      </w:r>
      <w:r w:rsidR="00162E0C" w:rsidRPr="00FB2F3D">
        <w:rPr>
          <w:rFonts w:ascii="Arial" w:hAnsi="Arial" w:cs="Arial"/>
          <w:sz w:val="22"/>
          <w:szCs w:val="22"/>
        </w:rPr>
        <w:t xml:space="preserve">A </w:t>
      </w:r>
      <w:r w:rsidR="008A2B4F">
        <w:rPr>
          <w:rFonts w:ascii="Arial" w:hAnsi="Arial" w:cs="Arial"/>
          <w:sz w:val="22"/>
          <w:szCs w:val="22"/>
        </w:rPr>
        <w:t>Reporting Entity</w:t>
      </w:r>
      <w:r w:rsidR="00162E0C" w:rsidRPr="00FB2F3D">
        <w:rPr>
          <w:rFonts w:ascii="Arial" w:hAnsi="Arial" w:cs="Arial"/>
          <w:sz w:val="22"/>
          <w:szCs w:val="22"/>
        </w:rPr>
        <w:t xml:space="preserve"> must take reasonable steps to ensure that the </w:t>
      </w:r>
      <w:r w:rsidR="00A85262" w:rsidRPr="00FB2F3D">
        <w:rPr>
          <w:rFonts w:ascii="Arial" w:hAnsi="Arial" w:cs="Arial"/>
          <w:sz w:val="22"/>
          <w:szCs w:val="22"/>
        </w:rPr>
        <w:t>auditor</w:t>
      </w:r>
      <w:r w:rsidR="00162E0C" w:rsidRPr="00FB2F3D">
        <w:rPr>
          <w:rFonts w:ascii="Arial" w:hAnsi="Arial" w:cs="Arial"/>
          <w:sz w:val="22"/>
          <w:szCs w:val="22"/>
        </w:rPr>
        <w:t xml:space="preserve"> and the relevant audit staff of the </w:t>
      </w:r>
      <w:r w:rsidR="00A85262" w:rsidRPr="00FB2F3D">
        <w:rPr>
          <w:rFonts w:ascii="Arial" w:hAnsi="Arial" w:cs="Arial"/>
          <w:sz w:val="22"/>
          <w:szCs w:val="22"/>
        </w:rPr>
        <w:t>auditor</w:t>
      </w:r>
      <w:r w:rsidR="00162E0C" w:rsidRPr="00FB2F3D">
        <w:rPr>
          <w:rFonts w:ascii="Arial" w:hAnsi="Arial" w:cs="Arial"/>
          <w:sz w:val="22"/>
          <w:szCs w:val="22"/>
        </w:rPr>
        <w:t xml:space="preserve"> are independent of and not subject to any conflict of interest with respect to the </w:t>
      </w:r>
      <w:r w:rsidR="008A2B4F">
        <w:rPr>
          <w:rFonts w:ascii="Arial" w:hAnsi="Arial" w:cs="Arial"/>
          <w:sz w:val="22"/>
          <w:szCs w:val="22"/>
        </w:rPr>
        <w:t>Reporting Entity</w:t>
      </w:r>
      <w:r w:rsidR="00162E0C" w:rsidRPr="00FB2F3D">
        <w:rPr>
          <w:rFonts w:ascii="Arial" w:hAnsi="Arial" w:cs="Arial"/>
          <w:sz w:val="22"/>
          <w:szCs w:val="22"/>
        </w:rPr>
        <w:t>.</w:t>
      </w:r>
    </w:p>
    <w:p w14:paraId="4DF7D72D" w14:textId="146C20F1" w:rsidR="00162E0C" w:rsidRPr="00FB2F3D" w:rsidRDefault="00AA030F" w:rsidP="00AA030F">
      <w:pPr>
        <w:pStyle w:val="Heading4"/>
        <w:numPr>
          <w:ilvl w:val="0"/>
          <w:numId w:val="0"/>
        </w:numPr>
        <w:ind w:left="1440" w:hanging="720"/>
        <w:rPr>
          <w:rFonts w:ascii="Arial" w:hAnsi="Arial" w:cs="Arial"/>
          <w:sz w:val="22"/>
          <w:szCs w:val="22"/>
        </w:rPr>
      </w:pPr>
      <w:r w:rsidRPr="00FB2F3D">
        <w:rPr>
          <w:rFonts w:ascii="Arial" w:hAnsi="Arial" w:cs="Arial"/>
          <w:sz w:val="22"/>
          <w:szCs w:val="22"/>
        </w:rPr>
        <w:t>(2)</w:t>
      </w:r>
      <w:r w:rsidRPr="00FB2F3D">
        <w:rPr>
          <w:rFonts w:ascii="Arial" w:hAnsi="Arial" w:cs="Arial"/>
          <w:sz w:val="22"/>
          <w:szCs w:val="22"/>
        </w:rPr>
        <w:tab/>
      </w:r>
      <w:r w:rsidR="00162E0C" w:rsidRPr="00FB2F3D">
        <w:rPr>
          <w:rFonts w:ascii="Arial" w:hAnsi="Arial" w:cs="Arial"/>
          <w:sz w:val="22"/>
          <w:szCs w:val="22"/>
        </w:rPr>
        <w:t xml:space="preserve">A </w:t>
      </w:r>
      <w:r w:rsidR="008A2B4F">
        <w:rPr>
          <w:rFonts w:ascii="Arial" w:hAnsi="Arial" w:cs="Arial"/>
          <w:sz w:val="22"/>
          <w:szCs w:val="22"/>
        </w:rPr>
        <w:t>Reporting Entity</w:t>
      </w:r>
      <w:r w:rsidR="00162E0C" w:rsidRPr="00FB2F3D">
        <w:rPr>
          <w:rFonts w:ascii="Arial" w:hAnsi="Arial" w:cs="Arial"/>
          <w:sz w:val="22"/>
          <w:szCs w:val="22"/>
        </w:rPr>
        <w:t xml:space="preserve"> must notify the </w:t>
      </w:r>
      <w:r w:rsidR="0035335F" w:rsidRPr="00FB2F3D">
        <w:rPr>
          <w:rFonts w:ascii="Arial" w:hAnsi="Arial" w:cs="Arial"/>
          <w:sz w:val="22"/>
          <w:szCs w:val="22"/>
        </w:rPr>
        <w:t>Regulator</w:t>
      </w:r>
      <w:r w:rsidR="00162E0C" w:rsidRPr="00FB2F3D">
        <w:rPr>
          <w:rFonts w:ascii="Arial" w:hAnsi="Arial" w:cs="Arial"/>
          <w:sz w:val="22"/>
          <w:szCs w:val="22"/>
        </w:rPr>
        <w:t xml:space="preserve"> if it becomes aware, or has reason to believe, that the </w:t>
      </w:r>
      <w:r w:rsidR="00A85262" w:rsidRPr="00FB2F3D">
        <w:rPr>
          <w:rFonts w:ascii="Arial" w:hAnsi="Arial" w:cs="Arial"/>
          <w:sz w:val="22"/>
          <w:szCs w:val="22"/>
        </w:rPr>
        <w:t>auditor</w:t>
      </w:r>
      <w:r w:rsidR="00162E0C" w:rsidRPr="00FB2F3D">
        <w:rPr>
          <w:rFonts w:ascii="Arial" w:hAnsi="Arial" w:cs="Arial"/>
          <w:sz w:val="22"/>
          <w:szCs w:val="22"/>
        </w:rPr>
        <w:t xml:space="preserve"> or the relevant audit staff of the </w:t>
      </w:r>
      <w:r w:rsidR="00A85262" w:rsidRPr="00FB2F3D">
        <w:rPr>
          <w:rFonts w:ascii="Arial" w:hAnsi="Arial" w:cs="Arial"/>
          <w:sz w:val="22"/>
          <w:szCs w:val="22"/>
        </w:rPr>
        <w:t>auditor</w:t>
      </w:r>
      <w:r w:rsidR="00162E0C" w:rsidRPr="00FB2F3D">
        <w:rPr>
          <w:rFonts w:ascii="Arial" w:hAnsi="Arial" w:cs="Arial"/>
          <w:sz w:val="22"/>
          <w:szCs w:val="22"/>
        </w:rPr>
        <w:t xml:space="preserve"> are no longer independent of the </w:t>
      </w:r>
      <w:r w:rsidR="00EF7A21">
        <w:rPr>
          <w:rFonts w:ascii="Arial" w:hAnsi="Arial" w:cs="Arial"/>
          <w:sz w:val="22"/>
          <w:szCs w:val="22"/>
        </w:rPr>
        <w:t>Reporting Entity</w:t>
      </w:r>
      <w:r w:rsidR="00162E0C" w:rsidRPr="00FB2F3D">
        <w:rPr>
          <w:rFonts w:ascii="Arial" w:hAnsi="Arial" w:cs="Arial"/>
          <w:sz w:val="22"/>
          <w:szCs w:val="22"/>
        </w:rPr>
        <w:t xml:space="preserve">, or have a conflict of interest which may affect their judgement in respect of the </w:t>
      </w:r>
      <w:r w:rsidR="00EF7A21">
        <w:rPr>
          <w:rFonts w:ascii="Arial" w:hAnsi="Arial" w:cs="Arial"/>
          <w:sz w:val="22"/>
          <w:szCs w:val="22"/>
        </w:rPr>
        <w:t>Reporting Entity</w:t>
      </w:r>
      <w:r w:rsidR="00162E0C" w:rsidRPr="00FB2F3D">
        <w:rPr>
          <w:rFonts w:ascii="Arial" w:hAnsi="Arial" w:cs="Arial"/>
          <w:sz w:val="22"/>
          <w:szCs w:val="22"/>
        </w:rPr>
        <w:t>.</w:t>
      </w:r>
    </w:p>
    <w:p w14:paraId="3806C240"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Guidance</w:t>
      </w:r>
    </w:p>
    <w:p w14:paraId="7656D01D" w14:textId="5121A067" w:rsidR="00162E0C" w:rsidRPr="00FB2F3D" w:rsidRDefault="00162E0C" w:rsidP="00AA030F">
      <w:pPr>
        <w:pStyle w:val="UK12Block05"/>
        <w:rPr>
          <w:rFonts w:ascii="Arial" w:hAnsi="Arial" w:cs="Arial"/>
          <w:sz w:val="22"/>
          <w:szCs w:val="22"/>
        </w:rPr>
      </w:pPr>
      <w:r w:rsidRPr="00FB2F3D">
        <w:rPr>
          <w:rFonts w:ascii="Arial" w:hAnsi="Arial" w:cs="Arial"/>
          <w:sz w:val="22"/>
          <w:szCs w:val="22"/>
        </w:rPr>
        <w:t xml:space="preserve">A </w:t>
      </w:r>
      <w:r w:rsidR="00EF7A21">
        <w:rPr>
          <w:rFonts w:ascii="Arial" w:hAnsi="Arial" w:cs="Arial"/>
          <w:sz w:val="22"/>
          <w:szCs w:val="22"/>
        </w:rPr>
        <w:t>Reporting Entity</w:t>
      </w:r>
      <w:r w:rsidRPr="00FB2F3D">
        <w:rPr>
          <w:rFonts w:ascii="Arial" w:hAnsi="Arial" w:cs="Arial"/>
          <w:sz w:val="22"/>
          <w:szCs w:val="22"/>
        </w:rPr>
        <w:t xml:space="preserve"> should consider whether there is any financial or personal relationship between it or any of its relevant Employees and the </w:t>
      </w:r>
      <w:r w:rsidR="00A85262" w:rsidRPr="00FB2F3D">
        <w:rPr>
          <w:rFonts w:ascii="Arial" w:hAnsi="Arial" w:cs="Arial"/>
          <w:sz w:val="22"/>
          <w:szCs w:val="22"/>
        </w:rPr>
        <w:t>auditor</w:t>
      </w:r>
      <w:r w:rsidRPr="00FB2F3D">
        <w:rPr>
          <w:rFonts w:ascii="Arial" w:hAnsi="Arial" w:cs="Arial"/>
          <w:sz w:val="22"/>
          <w:szCs w:val="22"/>
        </w:rPr>
        <w:t xml:space="preserve"> or any of the relevant Employees of the </w:t>
      </w:r>
      <w:r w:rsidR="00A85262" w:rsidRPr="00FB2F3D">
        <w:rPr>
          <w:rFonts w:ascii="Arial" w:hAnsi="Arial" w:cs="Arial"/>
          <w:sz w:val="22"/>
          <w:szCs w:val="22"/>
        </w:rPr>
        <w:t>auditor</w:t>
      </w:r>
      <w:r w:rsidRPr="00FB2F3D">
        <w:rPr>
          <w:rFonts w:ascii="Arial" w:hAnsi="Arial" w:cs="Arial"/>
          <w:sz w:val="22"/>
          <w:szCs w:val="22"/>
        </w:rPr>
        <w:t xml:space="preserve"> that may affect the judgement of the </w:t>
      </w:r>
      <w:r w:rsidR="00A85262" w:rsidRPr="00FB2F3D">
        <w:rPr>
          <w:rFonts w:ascii="Arial" w:hAnsi="Arial" w:cs="Arial"/>
          <w:sz w:val="22"/>
          <w:szCs w:val="22"/>
        </w:rPr>
        <w:t>auditor</w:t>
      </w:r>
      <w:r w:rsidRPr="00FB2F3D">
        <w:rPr>
          <w:rFonts w:ascii="Arial" w:hAnsi="Arial" w:cs="Arial"/>
          <w:sz w:val="22"/>
          <w:szCs w:val="22"/>
        </w:rPr>
        <w:t xml:space="preserve"> when conducting an audit of the </w:t>
      </w:r>
      <w:r w:rsidR="00EF7A21">
        <w:rPr>
          <w:rFonts w:ascii="Arial" w:hAnsi="Arial" w:cs="Arial"/>
          <w:sz w:val="22"/>
          <w:szCs w:val="22"/>
        </w:rPr>
        <w:t>Reporting Entity</w:t>
      </w:r>
      <w:r w:rsidRPr="00FB2F3D">
        <w:rPr>
          <w:rFonts w:ascii="Arial" w:hAnsi="Arial" w:cs="Arial"/>
          <w:sz w:val="22"/>
          <w:szCs w:val="22"/>
        </w:rPr>
        <w:t xml:space="preserve"> or complying with all its legal obligations, including the FSMR, </w:t>
      </w:r>
      <w:r w:rsidR="00FA2A08" w:rsidRPr="00FB2F3D">
        <w:rPr>
          <w:rFonts w:ascii="Arial" w:hAnsi="Arial" w:cs="Arial"/>
          <w:sz w:val="22"/>
          <w:szCs w:val="22"/>
        </w:rPr>
        <w:t>GEN,</w:t>
      </w:r>
      <w:r w:rsidRPr="00FB2F3D">
        <w:rPr>
          <w:rFonts w:ascii="Arial" w:hAnsi="Arial" w:cs="Arial"/>
          <w:sz w:val="22"/>
          <w:szCs w:val="22"/>
        </w:rPr>
        <w:t xml:space="preserve"> AML and other relevant </w:t>
      </w:r>
      <w:r w:rsidR="00AA030F" w:rsidRPr="00FB2F3D">
        <w:rPr>
          <w:rFonts w:ascii="Arial" w:hAnsi="Arial" w:cs="Arial"/>
          <w:sz w:val="22"/>
          <w:szCs w:val="22"/>
        </w:rPr>
        <w:t>Rulebook</w:t>
      </w:r>
      <w:r w:rsidRPr="00FB2F3D">
        <w:rPr>
          <w:rFonts w:ascii="Arial" w:hAnsi="Arial" w:cs="Arial"/>
          <w:sz w:val="22"/>
          <w:szCs w:val="22"/>
        </w:rPr>
        <w:t>s.</w:t>
      </w:r>
    </w:p>
    <w:p w14:paraId="7B7AD195" w14:textId="77777777" w:rsidR="00162E0C" w:rsidRPr="00FB2F3D" w:rsidRDefault="00162E0C" w:rsidP="00E4308A">
      <w:pPr>
        <w:pStyle w:val="TitleL"/>
        <w:rPr>
          <w:rFonts w:ascii="Arial" w:hAnsi="Arial" w:cs="Arial"/>
          <w:sz w:val="22"/>
          <w:szCs w:val="22"/>
        </w:rPr>
      </w:pPr>
      <w:r w:rsidRPr="00FB2F3D">
        <w:rPr>
          <w:rFonts w:ascii="Arial" w:hAnsi="Arial" w:cs="Arial"/>
          <w:sz w:val="22"/>
          <w:szCs w:val="22"/>
        </w:rPr>
        <w:t>Co</w:t>
      </w:r>
      <w:r w:rsidRPr="00FB2F3D">
        <w:rPr>
          <w:rFonts w:ascii="Arial" w:hAnsi="Arial" w:cs="Arial"/>
          <w:sz w:val="22"/>
          <w:szCs w:val="22"/>
        </w:rPr>
        <w:noBreakHyphen/>
        <w:t xml:space="preserve">operation with </w:t>
      </w:r>
      <w:r w:rsidR="00A85262" w:rsidRPr="00FB2F3D">
        <w:rPr>
          <w:rFonts w:ascii="Arial" w:hAnsi="Arial" w:cs="Arial"/>
          <w:sz w:val="22"/>
          <w:szCs w:val="22"/>
        </w:rPr>
        <w:t>auditor</w:t>
      </w:r>
      <w:r w:rsidRPr="00FB2F3D">
        <w:rPr>
          <w:rFonts w:ascii="Arial" w:hAnsi="Arial" w:cs="Arial"/>
          <w:sz w:val="22"/>
          <w:szCs w:val="22"/>
        </w:rPr>
        <w:t>s</w:t>
      </w:r>
    </w:p>
    <w:p w14:paraId="31C73472" w14:textId="530DE7A1" w:rsidR="00162E0C" w:rsidRPr="00FB2F3D" w:rsidRDefault="00162E0C" w:rsidP="0061693E">
      <w:pPr>
        <w:pStyle w:val="Heading3"/>
        <w:rPr>
          <w:rFonts w:ascii="Arial" w:hAnsi="Arial" w:cs="Arial"/>
          <w:sz w:val="22"/>
          <w:szCs w:val="22"/>
        </w:rPr>
      </w:pPr>
      <w:r w:rsidRPr="00FB2F3D">
        <w:rPr>
          <w:rFonts w:ascii="Arial" w:hAnsi="Arial" w:cs="Arial"/>
          <w:sz w:val="22"/>
          <w:szCs w:val="22"/>
        </w:rPr>
        <w:t xml:space="preserve">A </w:t>
      </w:r>
      <w:r w:rsidR="00EF7A21">
        <w:rPr>
          <w:rFonts w:ascii="Arial" w:hAnsi="Arial" w:cs="Arial"/>
          <w:sz w:val="22"/>
          <w:szCs w:val="22"/>
        </w:rPr>
        <w:t>Reporting Entity</w:t>
      </w:r>
      <w:r w:rsidRPr="00FB2F3D">
        <w:rPr>
          <w:rFonts w:ascii="Arial" w:hAnsi="Arial" w:cs="Arial"/>
          <w:sz w:val="22"/>
          <w:szCs w:val="22"/>
        </w:rPr>
        <w:t xml:space="preserve"> must take reasonable steps to ensure that it and its</w:t>
      </w:r>
      <w:r w:rsidRPr="00FB2F3D">
        <w:rPr>
          <w:rFonts w:ascii="Arial" w:hAnsi="Arial" w:cs="Arial"/>
          <w:sz w:val="22"/>
          <w:szCs w:val="22"/>
          <w:lang w:eastAsia="ja-JP"/>
        </w:rPr>
        <w:t xml:space="preserve"> </w:t>
      </w:r>
      <w:r w:rsidRPr="00FB2F3D">
        <w:rPr>
          <w:rFonts w:ascii="Arial" w:hAnsi="Arial" w:cs="Arial"/>
          <w:sz w:val="22"/>
          <w:szCs w:val="22"/>
        </w:rPr>
        <w:t>Employees:</w:t>
      </w:r>
    </w:p>
    <w:p w14:paraId="4233C1DF" w14:textId="77777777" w:rsidR="00162E0C" w:rsidRPr="00FB2F3D" w:rsidRDefault="00162E0C" w:rsidP="00C44814">
      <w:pPr>
        <w:pStyle w:val="Heading4"/>
        <w:rPr>
          <w:rFonts w:ascii="Arial" w:hAnsi="Arial" w:cs="Arial"/>
          <w:sz w:val="22"/>
          <w:szCs w:val="22"/>
        </w:rPr>
      </w:pPr>
      <w:r w:rsidRPr="00FB2F3D">
        <w:rPr>
          <w:rFonts w:ascii="Arial" w:hAnsi="Arial" w:cs="Arial"/>
          <w:sz w:val="22"/>
          <w:szCs w:val="22"/>
        </w:rPr>
        <w:t xml:space="preserve">provide any information to its </w:t>
      </w:r>
      <w:r w:rsidR="00A85262" w:rsidRPr="00FB2F3D">
        <w:rPr>
          <w:rFonts w:ascii="Arial" w:hAnsi="Arial" w:cs="Arial"/>
          <w:sz w:val="22"/>
          <w:szCs w:val="22"/>
        </w:rPr>
        <w:t>auditor</w:t>
      </w:r>
      <w:r w:rsidRPr="00FB2F3D">
        <w:rPr>
          <w:rFonts w:ascii="Arial" w:hAnsi="Arial" w:cs="Arial"/>
          <w:sz w:val="22"/>
          <w:szCs w:val="22"/>
        </w:rPr>
        <w:t xml:space="preserve"> that its </w:t>
      </w:r>
      <w:r w:rsidR="00A85262" w:rsidRPr="00FB2F3D">
        <w:rPr>
          <w:rFonts w:ascii="Arial" w:hAnsi="Arial" w:cs="Arial"/>
          <w:sz w:val="22"/>
          <w:szCs w:val="22"/>
        </w:rPr>
        <w:t>auditor</w:t>
      </w:r>
      <w:r w:rsidRPr="00FB2F3D">
        <w:rPr>
          <w:rFonts w:ascii="Arial" w:hAnsi="Arial" w:cs="Arial"/>
          <w:sz w:val="22"/>
          <w:szCs w:val="22"/>
        </w:rPr>
        <w:t xml:space="preserve"> reasonably requires, or is entitled to receive as </w:t>
      </w:r>
      <w:r w:rsidR="00A85262" w:rsidRPr="00FB2F3D">
        <w:rPr>
          <w:rFonts w:ascii="Arial" w:hAnsi="Arial" w:cs="Arial"/>
          <w:sz w:val="22"/>
          <w:szCs w:val="22"/>
        </w:rPr>
        <w:t>auditor</w:t>
      </w:r>
      <w:r w:rsidRPr="00FB2F3D">
        <w:rPr>
          <w:rFonts w:ascii="Arial" w:hAnsi="Arial" w:cs="Arial"/>
          <w:sz w:val="22"/>
          <w:szCs w:val="22"/>
        </w:rPr>
        <w:t>;</w:t>
      </w:r>
    </w:p>
    <w:p w14:paraId="56A1544A" w14:textId="77777777" w:rsidR="00162E0C" w:rsidRPr="00FB2F3D" w:rsidRDefault="00162E0C" w:rsidP="00C44814">
      <w:pPr>
        <w:pStyle w:val="Heading4"/>
        <w:rPr>
          <w:rFonts w:ascii="Arial" w:hAnsi="Arial" w:cs="Arial"/>
          <w:sz w:val="22"/>
          <w:szCs w:val="22"/>
        </w:rPr>
      </w:pPr>
      <w:bookmarkStart w:id="839" w:name="_Ref410668538"/>
      <w:r w:rsidRPr="00FB2F3D">
        <w:rPr>
          <w:rFonts w:ascii="Arial" w:hAnsi="Arial" w:cs="Arial"/>
          <w:sz w:val="22"/>
          <w:szCs w:val="22"/>
        </w:rPr>
        <w:t xml:space="preserve">give the </w:t>
      </w:r>
      <w:r w:rsidR="00A85262" w:rsidRPr="00FB2F3D">
        <w:rPr>
          <w:rFonts w:ascii="Arial" w:hAnsi="Arial" w:cs="Arial"/>
          <w:sz w:val="22"/>
          <w:szCs w:val="22"/>
        </w:rPr>
        <w:t>auditor</w:t>
      </w:r>
      <w:r w:rsidRPr="00FB2F3D">
        <w:rPr>
          <w:rFonts w:ascii="Arial" w:hAnsi="Arial" w:cs="Arial"/>
          <w:sz w:val="22"/>
          <w:szCs w:val="22"/>
        </w:rPr>
        <w:t xml:space="preserve"> right of access at all reasonable times to relevant records and information within its possession;</w:t>
      </w:r>
      <w:bookmarkEnd w:id="839"/>
    </w:p>
    <w:p w14:paraId="062B7147" w14:textId="77777777" w:rsidR="00162E0C" w:rsidRPr="00FB2F3D" w:rsidRDefault="00162E0C" w:rsidP="00C44814">
      <w:pPr>
        <w:pStyle w:val="Heading4"/>
        <w:rPr>
          <w:rFonts w:ascii="Arial" w:hAnsi="Arial" w:cs="Arial"/>
          <w:sz w:val="22"/>
          <w:szCs w:val="22"/>
        </w:rPr>
      </w:pPr>
      <w:r w:rsidRPr="00FB2F3D">
        <w:rPr>
          <w:rFonts w:ascii="Arial" w:hAnsi="Arial" w:cs="Arial"/>
          <w:sz w:val="22"/>
          <w:szCs w:val="22"/>
        </w:rPr>
        <w:t xml:space="preserve">allow the </w:t>
      </w:r>
      <w:r w:rsidR="00A85262" w:rsidRPr="00FB2F3D">
        <w:rPr>
          <w:rFonts w:ascii="Arial" w:hAnsi="Arial" w:cs="Arial"/>
          <w:sz w:val="22"/>
          <w:szCs w:val="22"/>
        </w:rPr>
        <w:t>auditor</w:t>
      </w:r>
      <w:r w:rsidRPr="00FB2F3D">
        <w:rPr>
          <w:rFonts w:ascii="Arial" w:hAnsi="Arial" w:cs="Arial"/>
          <w:sz w:val="22"/>
          <w:szCs w:val="22"/>
        </w:rPr>
        <w:t xml:space="preserve"> to make copies of any records or information referred to in paragra</w:t>
      </w:r>
      <w:r w:rsidR="00C44814" w:rsidRPr="00FB2F3D">
        <w:rPr>
          <w:rFonts w:ascii="Arial" w:hAnsi="Arial" w:cs="Arial"/>
          <w:sz w:val="22"/>
          <w:szCs w:val="22"/>
        </w:rPr>
        <w:t>ph (2);</w:t>
      </w:r>
    </w:p>
    <w:p w14:paraId="4BA574D4" w14:textId="77777777" w:rsidR="00162E0C" w:rsidRPr="00FB2F3D" w:rsidRDefault="00162E0C" w:rsidP="00C44814">
      <w:pPr>
        <w:pStyle w:val="Heading4"/>
        <w:rPr>
          <w:rFonts w:ascii="Arial" w:hAnsi="Arial" w:cs="Arial"/>
          <w:sz w:val="22"/>
          <w:szCs w:val="22"/>
        </w:rPr>
      </w:pPr>
      <w:r w:rsidRPr="00FB2F3D">
        <w:rPr>
          <w:rFonts w:ascii="Arial" w:hAnsi="Arial" w:cs="Arial"/>
          <w:sz w:val="22"/>
          <w:szCs w:val="22"/>
        </w:rPr>
        <w:t xml:space="preserve">do not interfere with the </w:t>
      </w:r>
      <w:r w:rsidR="00A85262" w:rsidRPr="00FB2F3D">
        <w:rPr>
          <w:rFonts w:ascii="Arial" w:hAnsi="Arial" w:cs="Arial"/>
          <w:sz w:val="22"/>
          <w:szCs w:val="22"/>
        </w:rPr>
        <w:t>auditor</w:t>
      </w:r>
      <w:r w:rsidRPr="00FB2F3D">
        <w:rPr>
          <w:rFonts w:ascii="Arial" w:hAnsi="Arial" w:cs="Arial"/>
          <w:sz w:val="22"/>
          <w:szCs w:val="22"/>
        </w:rPr>
        <w:t>'s ability to discharge its duties;</w:t>
      </w:r>
    </w:p>
    <w:p w14:paraId="257FC029" w14:textId="41BF49D5" w:rsidR="00162E0C" w:rsidRPr="00FB2F3D" w:rsidRDefault="00162E0C" w:rsidP="00C44814">
      <w:pPr>
        <w:pStyle w:val="Heading4"/>
        <w:rPr>
          <w:rFonts w:ascii="Arial" w:hAnsi="Arial" w:cs="Arial"/>
          <w:sz w:val="22"/>
          <w:szCs w:val="22"/>
        </w:rPr>
      </w:pPr>
      <w:r w:rsidRPr="00FB2F3D">
        <w:rPr>
          <w:rFonts w:ascii="Arial" w:hAnsi="Arial" w:cs="Arial"/>
          <w:sz w:val="22"/>
          <w:szCs w:val="22"/>
        </w:rPr>
        <w:t xml:space="preserve">report to the </w:t>
      </w:r>
      <w:r w:rsidR="00A85262" w:rsidRPr="00FB2F3D">
        <w:rPr>
          <w:rFonts w:ascii="Arial" w:hAnsi="Arial" w:cs="Arial"/>
          <w:sz w:val="22"/>
          <w:szCs w:val="22"/>
        </w:rPr>
        <w:t>auditor</w:t>
      </w:r>
      <w:r w:rsidRPr="00FB2F3D">
        <w:rPr>
          <w:rFonts w:ascii="Arial" w:hAnsi="Arial" w:cs="Arial"/>
          <w:sz w:val="22"/>
          <w:szCs w:val="22"/>
        </w:rPr>
        <w:t xml:space="preserve"> any matter which may significantly affect the financial position of the </w:t>
      </w:r>
      <w:r w:rsidR="00EF7A21">
        <w:rPr>
          <w:rFonts w:ascii="Arial" w:hAnsi="Arial" w:cs="Arial"/>
          <w:sz w:val="22"/>
          <w:szCs w:val="22"/>
        </w:rPr>
        <w:t>Reporting Entity</w:t>
      </w:r>
      <w:r w:rsidRPr="00FB2F3D">
        <w:rPr>
          <w:rFonts w:ascii="Arial" w:hAnsi="Arial" w:cs="Arial"/>
          <w:sz w:val="22"/>
          <w:szCs w:val="22"/>
        </w:rPr>
        <w:t>; and</w:t>
      </w:r>
    </w:p>
    <w:p w14:paraId="30FBA1E3" w14:textId="77777777" w:rsidR="00162E0C" w:rsidRPr="00FB2F3D" w:rsidRDefault="00162E0C" w:rsidP="00C44814">
      <w:pPr>
        <w:pStyle w:val="Heading4"/>
        <w:rPr>
          <w:rFonts w:ascii="Arial" w:hAnsi="Arial" w:cs="Arial"/>
          <w:sz w:val="22"/>
          <w:szCs w:val="22"/>
        </w:rPr>
      </w:pPr>
      <w:r w:rsidRPr="00FB2F3D">
        <w:rPr>
          <w:rFonts w:ascii="Arial" w:hAnsi="Arial" w:cs="Arial"/>
          <w:sz w:val="22"/>
          <w:szCs w:val="22"/>
        </w:rPr>
        <w:t xml:space="preserve">provide such other assistance as the </w:t>
      </w:r>
      <w:r w:rsidR="00A85262" w:rsidRPr="00FB2F3D">
        <w:rPr>
          <w:rFonts w:ascii="Arial" w:hAnsi="Arial" w:cs="Arial"/>
          <w:sz w:val="22"/>
          <w:szCs w:val="22"/>
        </w:rPr>
        <w:t>auditor</w:t>
      </w:r>
      <w:r w:rsidRPr="00FB2F3D">
        <w:rPr>
          <w:rFonts w:ascii="Arial" w:hAnsi="Arial" w:cs="Arial"/>
          <w:sz w:val="22"/>
          <w:szCs w:val="22"/>
        </w:rPr>
        <w:t xml:space="preserve"> may reasonably request it to provide.</w:t>
      </w:r>
    </w:p>
    <w:p w14:paraId="407E55C2" w14:textId="77777777" w:rsidR="00162E0C" w:rsidRPr="00FB2F3D" w:rsidRDefault="00162E0C" w:rsidP="00E4308A">
      <w:pPr>
        <w:pStyle w:val="TitleL"/>
        <w:rPr>
          <w:rFonts w:ascii="Arial" w:hAnsi="Arial" w:cs="Arial"/>
          <w:sz w:val="22"/>
          <w:szCs w:val="22"/>
        </w:rPr>
      </w:pPr>
      <w:r w:rsidRPr="00FB2F3D">
        <w:rPr>
          <w:rFonts w:ascii="Arial" w:hAnsi="Arial" w:cs="Arial"/>
          <w:sz w:val="22"/>
          <w:szCs w:val="22"/>
        </w:rPr>
        <w:t xml:space="preserve">Function of the </w:t>
      </w:r>
      <w:r w:rsidR="00A85262" w:rsidRPr="00FB2F3D">
        <w:rPr>
          <w:rFonts w:ascii="Arial" w:hAnsi="Arial" w:cs="Arial"/>
          <w:sz w:val="22"/>
          <w:szCs w:val="22"/>
        </w:rPr>
        <w:t>auditor</w:t>
      </w:r>
    </w:p>
    <w:p w14:paraId="49ACDA94" w14:textId="236BE44E" w:rsidR="00162E0C" w:rsidRPr="00FB2F3D" w:rsidRDefault="00162E0C" w:rsidP="00E4308A">
      <w:pPr>
        <w:pStyle w:val="Heading3"/>
        <w:keepNext/>
        <w:rPr>
          <w:rFonts w:ascii="Arial" w:hAnsi="Arial" w:cs="Arial"/>
          <w:sz w:val="22"/>
          <w:szCs w:val="22"/>
        </w:rPr>
      </w:pPr>
      <w:bookmarkStart w:id="840" w:name="_Ref410056360"/>
      <w:bookmarkStart w:id="841" w:name="_Ref410633773"/>
      <w:r w:rsidRPr="00FB2F3D">
        <w:rPr>
          <w:rFonts w:ascii="Arial" w:hAnsi="Arial" w:cs="Arial"/>
          <w:sz w:val="22"/>
          <w:szCs w:val="22"/>
        </w:rPr>
        <w:t xml:space="preserve">A </w:t>
      </w:r>
      <w:r w:rsidR="00EF7A21">
        <w:rPr>
          <w:rFonts w:ascii="Arial" w:hAnsi="Arial" w:cs="Arial"/>
          <w:sz w:val="22"/>
          <w:szCs w:val="22"/>
        </w:rPr>
        <w:t>Reporting Entity</w:t>
      </w:r>
      <w:r w:rsidRPr="00FB2F3D">
        <w:rPr>
          <w:rFonts w:ascii="Arial" w:hAnsi="Arial" w:cs="Arial"/>
          <w:sz w:val="22"/>
          <w:szCs w:val="22"/>
        </w:rPr>
        <w:t xml:space="preserve">, must in writing require its </w:t>
      </w:r>
      <w:r w:rsidR="00A85262" w:rsidRPr="00FB2F3D">
        <w:rPr>
          <w:rFonts w:ascii="Arial" w:hAnsi="Arial" w:cs="Arial"/>
          <w:sz w:val="22"/>
          <w:szCs w:val="22"/>
        </w:rPr>
        <w:t>auditor</w:t>
      </w:r>
      <w:r w:rsidRPr="00FB2F3D">
        <w:rPr>
          <w:rFonts w:ascii="Arial" w:hAnsi="Arial" w:cs="Arial"/>
          <w:sz w:val="22"/>
          <w:szCs w:val="22"/>
        </w:rPr>
        <w:t xml:space="preserve"> to</w:t>
      </w:r>
      <w:bookmarkEnd w:id="840"/>
      <w:r w:rsidRPr="00FB2F3D">
        <w:rPr>
          <w:rFonts w:ascii="Arial" w:hAnsi="Arial" w:cs="Arial"/>
          <w:sz w:val="22"/>
          <w:szCs w:val="22"/>
        </w:rPr>
        <w:t>:</w:t>
      </w:r>
      <w:bookmarkEnd w:id="841"/>
    </w:p>
    <w:p w14:paraId="074A3736" w14:textId="6E2CFA58" w:rsidR="00162E0C" w:rsidRPr="00FB2F3D" w:rsidRDefault="00162E0C" w:rsidP="00C44814">
      <w:pPr>
        <w:pStyle w:val="Heading4"/>
        <w:rPr>
          <w:rFonts w:ascii="Arial" w:hAnsi="Arial" w:cs="Arial"/>
          <w:sz w:val="22"/>
          <w:szCs w:val="22"/>
        </w:rPr>
      </w:pPr>
      <w:r w:rsidRPr="00FB2F3D">
        <w:rPr>
          <w:rFonts w:ascii="Arial" w:hAnsi="Arial" w:cs="Arial"/>
          <w:sz w:val="22"/>
          <w:szCs w:val="22"/>
        </w:rPr>
        <w:t xml:space="preserve">conduct an audit of the </w:t>
      </w:r>
      <w:r w:rsidR="00EF7A21">
        <w:rPr>
          <w:rFonts w:ascii="Arial" w:hAnsi="Arial" w:cs="Arial"/>
          <w:sz w:val="22"/>
          <w:szCs w:val="22"/>
        </w:rPr>
        <w:t>Reporting Entity</w:t>
      </w:r>
      <w:r w:rsidRPr="00FB2F3D">
        <w:rPr>
          <w:rFonts w:ascii="Arial" w:hAnsi="Arial" w:cs="Arial"/>
          <w:sz w:val="22"/>
          <w:szCs w:val="22"/>
        </w:rPr>
        <w:t xml:space="preserve">'s financial statements in accordance with the International Standards on Auditing as issued by the International </w:t>
      </w:r>
      <w:r w:rsidRPr="00FB2F3D">
        <w:rPr>
          <w:rFonts w:ascii="Arial" w:hAnsi="Arial" w:cs="Arial"/>
          <w:sz w:val="22"/>
          <w:szCs w:val="22"/>
        </w:rPr>
        <w:lastRenderedPageBreak/>
        <w:t xml:space="preserve">Auditing and Assurance Standards Board (IAASB) in respect of its financial business or other standards acceptable to the </w:t>
      </w:r>
      <w:r w:rsidR="0035335F" w:rsidRPr="00FB2F3D">
        <w:rPr>
          <w:rFonts w:ascii="Arial" w:hAnsi="Arial" w:cs="Arial"/>
          <w:sz w:val="22"/>
          <w:szCs w:val="22"/>
        </w:rPr>
        <w:t>Regulator</w:t>
      </w:r>
      <w:r w:rsidRPr="00FB2F3D">
        <w:rPr>
          <w:rFonts w:ascii="Arial" w:hAnsi="Arial" w:cs="Arial"/>
          <w:sz w:val="22"/>
          <w:szCs w:val="22"/>
        </w:rPr>
        <w:t>; and</w:t>
      </w:r>
    </w:p>
    <w:p w14:paraId="4534C51E" w14:textId="5020E434" w:rsidR="00162E0C" w:rsidRPr="00FB2F3D" w:rsidRDefault="00162E0C" w:rsidP="00C44814">
      <w:pPr>
        <w:pStyle w:val="Heading4"/>
        <w:rPr>
          <w:rFonts w:ascii="Arial" w:hAnsi="Arial" w:cs="Arial"/>
          <w:sz w:val="22"/>
          <w:szCs w:val="22"/>
        </w:rPr>
      </w:pPr>
      <w:r w:rsidRPr="00FB2F3D">
        <w:rPr>
          <w:rFonts w:ascii="Arial" w:hAnsi="Arial" w:cs="Arial"/>
          <w:sz w:val="22"/>
          <w:szCs w:val="22"/>
        </w:rPr>
        <w:t xml:space="preserve">produce a </w:t>
      </w:r>
      <w:r w:rsidR="00EF7A21">
        <w:rPr>
          <w:rFonts w:ascii="Arial" w:hAnsi="Arial" w:cs="Arial"/>
          <w:sz w:val="22"/>
          <w:szCs w:val="22"/>
        </w:rPr>
        <w:t>Reporting Entity</w:t>
      </w:r>
      <w:r w:rsidRPr="00FB2F3D">
        <w:rPr>
          <w:rFonts w:ascii="Arial" w:hAnsi="Arial" w:cs="Arial"/>
          <w:sz w:val="22"/>
          <w:szCs w:val="22"/>
        </w:rPr>
        <w:t xml:space="preserve"> </w:t>
      </w:r>
      <w:r w:rsidR="00A85262" w:rsidRPr="00FB2F3D">
        <w:rPr>
          <w:rFonts w:ascii="Arial" w:hAnsi="Arial" w:cs="Arial"/>
          <w:sz w:val="22"/>
          <w:szCs w:val="22"/>
        </w:rPr>
        <w:t>auditor</w:t>
      </w:r>
      <w:r w:rsidRPr="00FB2F3D">
        <w:rPr>
          <w:rFonts w:ascii="Arial" w:hAnsi="Arial" w:cs="Arial"/>
          <w:sz w:val="22"/>
          <w:szCs w:val="22"/>
        </w:rPr>
        <w:t>'s Report on the audited financial statements in acc</w:t>
      </w:r>
      <w:r w:rsidR="00FA2A08" w:rsidRPr="00FB2F3D">
        <w:rPr>
          <w:rFonts w:ascii="Arial" w:hAnsi="Arial" w:cs="Arial"/>
          <w:sz w:val="22"/>
          <w:szCs w:val="22"/>
        </w:rPr>
        <w:t>ordance with the FSMR and GEN</w:t>
      </w:r>
      <w:r w:rsidRPr="00FB2F3D">
        <w:rPr>
          <w:rFonts w:ascii="Arial" w:hAnsi="Arial" w:cs="Arial"/>
          <w:sz w:val="22"/>
          <w:szCs w:val="22"/>
        </w:rPr>
        <w:t>.</w:t>
      </w:r>
    </w:p>
    <w:p w14:paraId="147AFA13" w14:textId="67AA4F06" w:rsidR="00162E0C" w:rsidRDefault="00162E0C" w:rsidP="000C4BC2">
      <w:pPr>
        <w:pStyle w:val="Heading3"/>
        <w:rPr>
          <w:rFonts w:ascii="Arial" w:hAnsi="Arial" w:cs="Arial"/>
          <w:sz w:val="22"/>
          <w:szCs w:val="22"/>
        </w:rPr>
      </w:pPr>
      <w:r w:rsidRPr="00FB2F3D">
        <w:rPr>
          <w:rFonts w:ascii="Arial" w:hAnsi="Arial" w:cs="Arial"/>
          <w:sz w:val="22"/>
          <w:szCs w:val="22"/>
        </w:rPr>
        <w:t xml:space="preserve">A </w:t>
      </w:r>
      <w:r w:rsidR="00EF7A21">
        <w:rPr>
          <w:rFonts w:ascii="Arial" w:hAnsi="Arial" w:cs="Arial"/>
          <w:sz w:val="22"/>
          <w:szCs w:val="22"/>
        </w:rPr>
        <w:t>Reporting Entity</w:t>
      </w:r>
      <w:r w:rsidRPr="00FB2F3D">
        <w:rPr>
          <w:rFonts w:ascii="Arial" w:hAnsi="Arial" w:cs="Arial"/>
          <w:sz w:val="22"/>
          <w:szCs w:val="22"/>
        </w:rPr>
        <w:t xml:space="preserve"> must submit any </w:t>
      </w:r>
      <w:r w:rsidR="00A85262" w:rsidRPr="00FB2F3D">
        <w:rPr>
          <w:rFonts w:ascii="Arial" w:hAnsi="Arial" w:cs="Arial"/>
          <w:sz w:val="22"/>
          <w:szCs w:val="22"/>
        </w:rPr>
        <w:t>auditor</w:t>
      </w:r>
      <w:r w:rsidRPr="00FB2F3D">
        <w:rPr>
          <w:rFonts w:ascii="Arial" w:hAnsi="Arial" w:cs="Arial"/>
          <w:sz w:val="22"/>
          <w:szCs w:val="22"/>
        </w:rPr>
        <w:t>'s reports and financial statements required by this chapter</w:t>
      </w:r>
      <w:r w:rsidR="00265C63" w:rsidRPr="00FB2F3D">
        <w:rPr>
          <w:rFonts w:ascii="Arial" w:hAnsi="Arial" w:cs="Arial"/>
          <w:sz w:val="22"/>
          <w:szCs w:val="22"/>
        </w:rPr>
        <w:t xml:space="preserve"> </w:t>
      </w:r>
      <w:r w:rsidRPr="00FB2F3D">
        <w:rPr>
          <w:rFonts w:ascii="Arial" w:hAnsi="Arial" w:cs="Arial"/>
          <w:sz w:val="22"/>
          <w:szCs w:val="22"/>
        </w:rPr>
        <w:t xml:space="preserve">to the </w:t>
      </w:r>
      <w:r w:rsidR="0035335F" w:rsidRPr="00FB2F3D">
        <w:rPr>
          <w:rFonts w:ascii="Arial" w:hAnsi="Arial" w:cs="Arial"/>
          <w:sz w:val="22"/>
          <w:szCs w:val="22"/>
        </w:rPr>
        <w:t>Regulator</w:t>
      </w:r>
      <w:r w:rsidR="00265C63" w:rsidRPr="00FB2F3D">
        <w:rPr>
          <w:rFonts w:ascii="Arial" w:hAnsi="Arial" w:cs="Arial"/>
          <w:sz w:val="22"/>
          <w:szCs w:val="22"/>
        </w:rPr>
        <w:t xml:space="preserve"> within </w:t>
      </w:r>
      <w:r w:rsidR="00B53984" w:rsidRPr="00FB2F3D">
        <w:rPr>
          <w:rFonts w:ascii="Arial" w:hAnsi="Arial" w:cs="Arial"/>
          <w:sz w:val="22"/>
          <w:szCs w:val="22"/>
        </w:rPr>
        <w:t>four months</w:t>
      </w:r>
      <w:r w:rsidR="000C4BC2" w:rsidRPr="00FB2F3D">
        <w:rPr>
          <w:rFonts w:ascii="Arial" w:hAnsi="Arial" w:cs="Arial"/>
          <w:sz w:val="22"/>
          <w:szCs w:val="22"/>
        </w:rPr>
        <w:t xml:space="preserve"> </w:t>
      </w:r>
      <w:r w:rsidRPr="00FB2F3D">
        <w:rPr>
          <w:rFonts w:ascii="Arial" w:hAnsi="Arial" w:cs="Arial"/>
          <w:sz w:val="22"/>
          <w:szCs w:val="22"/>
        </w:rPr>
        <w:t xml:space="preserve">of the </w:t>
      </w:r>
      <w:r w:rsidR="001A770D">
        <w:rPr>
          <w:rFonts w:ascii="Arial" w:hAnsi="Arial" w:cs="Arial"/>
          <w:sz w:val="22"/>
          <w:szCs w:val="22"/>
        </w:rPr>
        <w:t>Reporting Entity</w:t>
      </w:r>
      <w:r w:rsidRPr="00FB2F3D">
        <w:rPr>
          <w:rFonts w:ascii="Arial" w:hAnsi="Arial" w:cs="Arial"/>
          <w:sz w:val="22"/>
          <w:szCs w:val="22"/>
        </w:rPr>
        <w:t>'s financial year end.</w:t>
      </w:r>
    </w:p>
    <w:p w14:paraId="2C81E2BD" w14:textId="7648DF6B" w:rsidR="00755725" w:rsidRPr="00DD3944" w:rsidRDefault="00755725" w:rsidP="00DD3944">
      <w:pPr>
        <w:pStyle w:val="Heading1"/>
        <w:rPr>
          <w:rFonts w:ascii="Arial" w:hAnsi="Arial" w:cs="Arial"/>
          <w:sz w:val="22"/>
          <w:szCs w:val="22"/>
        </w:rPr>
      </w:pPr>
      <w:bookmarkStart w:id="842" w:name="_Toc138325712"/>
      <w:r w:rsidRPr="00DD3944">
        <w:rPr>
          <w:rFonts w:ascii="Arial" w:hAnsi="Arial" w:cs="Arial"/>
          <w:sz w:val="22"/>
          <w:szCs w:val="22"/>
        </w:rPr>
        <w:t>ADDITIONAL OBLIGATIONS FOR MINING REPORTING ENTITIES</w:t>
      </w:r>
      <w:bookmarkEnd w:id="842"/>
    </w:p>
    <w:p w14:paraId="046F67DB" w14:textId="77777777" w:rsidR="00755725" w:rsidRPr="00C66239" w:rsidRDefault="00755725" w:rsidP="00C66239">
      <w:pPr>
        <w:pStyle w:val="TitleL"/>
        <w:rPr>
          <w:rFonts w:ascii="Arial" w:hAnsi="Arial" w:cs="Arial"/>
          <w:sz w:val="22"/>
          <w:szCs w:val="22"/>
        </w:rPr>
      </w:pPr>
      <w:r w:rsidRPr="00C66239">
        <w:rPr>
          <w:rFonts w:ascii="Arial" w:hAnsi="Arial" w:cs="Arial"/>
          <w:sz w:val="22"/>
          <w:szCs w:val="22"/>
        </w:rPr>
        <w:t>Guidance</w:t>
      </w:r>
    </w:p>
    <w:p w14:paraId="40EFEC23" w14:textId="77777777" w:rsidR="00755725" w:rsidRPr="00755725" w:rsidRDefault="00755725" w:rsidP="00755725">
      <w:pPr>
        <w:pStyle w:val="Level11fo"/>
        <w:spacing w:line="240" w:lineRule="auto"/>
        <w:ind w:left="1440" w:hanging="731"/>
        <w:jc w:val="both"/>
        <w:rPr>
          <w:rFonts w:cs="Arial"/>
          <w:bCs/>
          <w:sz w:val="22"/>
          <w:szCs w:val="22"/>
        </w:rPr>
      </w:pPr>
      <w:r w:rsidRPr="00755725">
        <w:rPr>
          <w:rFonts w:cs="Arial"/>
          <w:bCs/>
          <w:sz w:val="22"/>
          <w:szCs w:val="22"/>
        </w:rPr>
        <w:t>1.</w:t>
      </w:r>
      <w:r w:rsidRPr="00755725">
        <w:rPr>
          <w:rFonts w:cs="Arial"/>
          <w:bCs/>
          <w:sz w:val="22"/>
          <w:szCs w:val="22"/>
        </w:rPr>
        <w:tab/>
        <w:t>Chapter 11 sets out the disclosure requirements additional to those applicable to Persons who make, or intend to make, an Offer of Securities as provided for in chapter 4 and/or those Persons who are a Listed Entity, a Reporting Entity or an Applicant for admission to the Official List, where such disclosure relates to Exploration Targets, Exploration Results, Mineral Resources, Ore Reserves or Production Targets.</w:t>
      </w:r>
    </w:p>
    <w:p w14:paraId="4F42E1AA" w14:textId="77777777" w:rsidR="00755725" w:rsidRPr="00755725" w:rsidRDefault="00755725" w:rsidP="00755725">
      <w:pPr>
        <w:pStyle w:val="Level11fo"/>
        <w:spacing w:line="240" w:lineRule="auto"/>
        <w:ind w:left="1440" w:hanging="731"/>
        <w:jc w:val="both"/>
        <w:rPr>
          <w:rFonts w:cs="Arial"/>
          <w:bCs/>
          <w:sz w:val="22"/>
          <w:szCs w:val="22"/>
        </w:rPr>
      </w:pPr>
      <w:r w:rsidRPr="00755725">
        <w:rPr>
          <w:rFonts w:cs="Arial"/>
          <w:bCs/>
          <w:sz w:val="22"/>
          <w:szCs w:val="22"/>
        </w:rPr>
        <w:t>2.</w:t>
      </w:r>
      <w:r w:rsidRPr="00755725">
        <w:rPr>
          <w:rFonts w:cs="Arial"/>
          <w:bCs/>
          <w:sz w:val="22"/>
          <w:szCs w:val="22"/>
        </w:rPr>
        <w:tab/>
        <w:t xml:space="preserve">Each Mining Reporting Standard sets out its own disclosure/reporting obligations relevant to Exploration Targets, Exploration Results, Mineral Resources, Ore Reserves and Competent Person statements. These requirements are supplemented/replicated by the requirements set out in Rules 11.4, 11.5, 11.6 and 11.12.  </w:t>
      </w:r>
    </w:p>
    <w:p w14:paraId="53D826A0" w14:textId="77777777" w:rsidR="00755725" w:rsidRPr="00755725" w:rsidRDefault="00755725" w:rsidP="00755725">
      <w:pPr>
        <w:pStyle w:val="Level11fo"/>
        <w:spacing w:line="240" w:lineRule="auto"/>
        <w:ind w:left="1440" w:hanging="731"/>
        <w:jc w:val="both"/>
        <w:rPr>
          <w:rFonts w:cs="Arial"/>
          <w:b/>
          <w:sz w:val="22"/>
          <w:szCs w:val="22"/>
        </w:rPr>
      </w:pPr>
      <w:r w:rsidRPr="00755725">
        <w:rPr>
          <w:rFonts w:cs="Arial"/>
          <w:bCs/>
          <w:sz w:val="22"/>
          <w:szCs w:val="22"/>
        </w:rPr>
        <w:t>3.</w:t>
      </w:r>
      <w:r w:rsidRPr="00755725">
        <w:rPr>
          <w:rFonts w:cs="Arial"/>
          <w:bCs/>
          <w:sz w:val="22"/>
          <w:szCs w:val="22"/>
        </w:rPr>
        <w:tab/>
        <w:t xml:space="preserve">Rules 11.7 to 11.11 </w:t>
      </w:r>
      <w:r w:rsidRPr="00755725">
        <w:rPr>
          <w:rFonts w:cs="Arial"/>
          <w:sz w:val="22"/>
          <w:szCs w:val="22"/>
        </w:rPr>
        <w:t xml:space="preserve">relate to disclosure/reporting obligations not included in the Mining </w:t>
      </w:r>
      <w:r w:rsidRPr="00755725">
        <w:rPr>
          <w:rFonts w:cs="Arial"/>
          <w:bCs/>
          <w:sz w:val="22"/>
          <w:szCs w:val="22"/>
        </w:rPr>
        <w:t>Reporting Standard</w:t>
      </w:r>
      <w:r w:rsidRPr="00755725">
        <w:rPr>
          <w:rFonts w:cs="Arial"/>
          <w:sz w:val="22"/>
          <w:szCs w:val="22"/>
        </w:rPr>
        <w:t xml:space="preserve">s, including the </w:t>
      </w:r>
      <w:r w:rsidRPr="00755725">
        <w:rPr>
          <w:rFonts w:cs="Arial"/>
          <w:bCs/>
          <w:sz w:val="22"/>
          <w:szCs w:val="22"/>
        </w:rPr>
        <w:t>disclosure</w:t>
      </w:r>
      <w:r w:rsidRPr="00755725">
        <w:rPr>
          <w:rFonts w:cs="Arial"/>
          <w:sz w:val="22"/>
          <w:szCs w:val="22"/>
        </w:rPr>
        <w:t xml:space="preserve"> of Non-Equivalent Estimates, Production Targets, forecast financial information, quarterly reporting and the Summary of Reserves and Resources.  </w:t>
      </w:r>
    </w:p>
    <w:p w14:paraId="264EA93C" w14:textId="77777777" w:rsidR="00755725" w:rsidRPr="00755725" w:rsidRDefault="00755725" w:rsidP="00755725">
      <w:pPr>
        <w:jc w:val="both"/>
        <w:rPr>
          <w:rFonts w:ascii="Arial" w:hAnsi="Arial" w:cs="Arial"/>
          <w:b/>
          <w:bCs/>
          <w:sz w:val="22"/>
          <w:szCs w:val="22"/>
          <w:lang w:val="en-US"/>
        </w:rPr>
      </w:pPr>
    </w:p>
    <w:p w14:paraId="32BF25DC" w14:textId="5626571A" w:rsidR="00755725" w:rsidRPr="00DD3944" w:rsidRDefault="00755725" w:rsidP="00DD3944">
      <w:pPr>
        <w:pStyle w:val="Heading2"/>
        <w:rPr>
          <w:rFonts w:ascii="Arial" w:hAnsi="Arial" w:cs="Arial"/>
          <w:sz w:val="22"/>
          <w:szCs w:val="22"/>
        </w:rPr>
      </w:pPr>
      <w:bookmarkStart w:id="843" w:name="_Toc138325713"/>
      <w:r w:rsidRPr="00DD3944">
        <w:rPr>
          <w:rFonts w:ascii="Arial" w:hAnsi="Arial" w:cs="Arial"/>
          <w:sz w:val="22"/>
          <w:szCs w:val="22"/>
        </w:rPr>
        <w:t>Application</w:t>
      </w:r>
      <w:bookmarkEnd w:id="843"/>
    </w:p>
    <w:p w14:paraId="56BEC117" w14:textId="77777777" w:rsidR="00755725" w:rsidRPr="00755725" w:rsidRDefault="00755725" w:rsidP="00755725">
      <w:pPr>
        <w:ind w:left="720" w:hanging="720"/>
        <w:jc w:val="both"/>
        <w:rPr>
          <w:rFonts w:ascii="Arial" w:hAnsi="Arial" w:cs="Arial"/>
          <w:sz w:val="22"/>
          <w:szCs w:val="22"/>
          <w:lang w:val="en-US"/>
        </w:rPr>
      </w:pPr>
      <w:r w:rsidRPr="00DD3944">
        <w:rPr>
          <w:rFonts w:ascii="Arial" w:hAnsi="Arial" w:cs="Arial"/>
          <w:b/>
          <w:bCs/>
          <w:sz w:val="22"/>
          <w:szCs w:val="22"/>
          <w:lang w:val="en-US"/>
        </w:rPr>
        <w:t>11.1.1</w:t>
      </w:r>
      <w:r w:rsidRPr="00DD3944">
        <w:rPr>
          <w:rFonts w:ascii="Arial" w:hAnsi="Arial" w:cs="Arial"/>
          <w:b/>
          <w:bCs/>
          <w:sz w:val="22"/>
          <w:szCs w:val="22"/>
          <w:lang w:val="en-US"/>
        </w:rPr>
        <w:tab/>
      </w:r>
      <w:r w:rsidRPr="00DD3944">
        <w:rPr>
          <w:rFonts w:ascii="Arial" w:eastAsiaTheme="majorEastAsia" w:hAnsi="Arial" w:cs="Arial"/>
          <w:bCs/>
          <w:sz w:val="22"/>
          <w:szCs w:val="22"/>
        </w:rPr>
        <w:t>This Chapter applies to Persons who make, or intend to make, a disclosure relating to Exploration Targets, Exploration Results, Mineral Resources, Ore Reserves or Production Targets, including:</w:t>
      </w:r>
    </w:p>
    <w:p w14:paraId="6F028524" w14:textId="77777777" w:rsidR="00755725" w:rsidRPr="00755725" w:rsidRDefault="00755725" w:rsidP="00755725">
      <w:pPr>
        <w:ind w:left="720" w:hanging="720"/>
        <w:jc w:val="both"/>
        <w:rPr>
          <w:rFonts w:ascii="Arial" w:hAnsi="Arial" w:cs="Arial"/>
          <w:sz w:val="22"/>
          <w:szCs w:val="22"/>
          <w:lang w:val="en-US"/>
        </w:rPr>
      </w:pPr>
    </w:p>
    <w:p w14:paraId="4EBAA499" w14:textId="77777777" w:rsidR="00755725" w:rsidRPr="00755725" w:rsidRDefault="00755725" w:rsidP="00755725">
      <w:pPr>
        <w:ind w:left="1440" w:hanging="720"/>
        <w:jc w:val="both"/>
        <w:rPr>
          <w:rFonts w:ascii="Arial" w:hAnsi="Arial" w:cs="Arial"/>
          <w:sz w:val="22"/>
          <w:szCs w:val="22"/>
          <w:lang w:val="en-US"/>
        </w:rPr>
      </w:pPr>
      <w:r w:rsidRPr="00755725">
        <w:rPr>
          <w:rFonts w:ascii="Arial" w:hAnsi="Arial" w:cs="Arial"/>
          <w:sz w:val="22"/>
          <w:szCs w:val="22"/>
          <w:lang w:val="en-US"/>
        </w:rPr>
        <w:t xml:space="preserve">(1) </w:t>
      </w:r>
      <w:r w:rsidRPr="00755725">
        <w:rPr>
          <w:rFonts w:ascii="Arial" w:hAnsi="Arial" w:cs="Arial"/>
          <w:sz w:val="22"/>
          <w:szCs w:val="22"/>
          <w:lang w:val="en-US"/>
        </w:rPr>
        <w:tab/>
        <w:t>a Mining Reporting Entity;</w:t>
      </w:r>
    </w:p>
    <w:p w14:paraId="6949586C" w14:textId="77777777" w:rsidR="00755725" w:rsidRPr="00755725" w:rsidRDefault="00755725" w:rsidP="00755725">
      <w:pPr>
        <w:ind w:left="1440" w:hanging="720"/>
        <w:jc w:val="both"/>
        <w:rPr>
          <w:rFonts w:ascii="Arial" w:hAnsi="Arial" w:cs="Arial"/>
          <w:sz w:val="22"/>
          <w:szCs w:val="22"/>
          <w:lang w:val="en-US"/>
        </w:rPr>
      </w:pPr>
    </w:p>
    <w:p w14:paraId="3DD21514" w14:textId="77777777" w:rsidR="00755725" w:rsidRPr="00755725" w:rsidRDefault="00755725" w:rsidP="00755725">
      <w:pPr>
        <w:ind w:left="1440" w:hanging="720"/>
        <w:jc w:val="both"/>
        <w:rPr>
          <w:rFonts w:ascii="Arial" w:hAnsi="Arial" w:cs="Arial"/>
          <w:sz w:val="22"/>
          <w:szCs w:val="22"/>
          <w:lang w:val="en-US"/>
        </w:rPr>
      </w:pPr>
      <w:r w:rsidRPr="00755725">
        <w:rPr>
          <w:rFonts w:ascii="Arial" w:hAnsi="Arial" w:cs="Arial"/>
          <w:sz w:val="22"/>
          <w:szCs w:val="22"/>
          <w:lang w:val="en-US"/>
        </w:rPr>
        <w:t xml:space="preserve">(2) </w:t>
      </w:r>
      <w:r w:rsidRPr="00755725">
        <w:rPr>
          <w:rFonts w:ascii="Arial" w:hAnsi="Arial" w:cs="Arial"/>
          <w:sz w:val="22"/>
          <w:szCs w:val="22"/>
          <w:lang w:val="en-US"/>
        </w:rPr>
        <w:tab/>
        <w:t>a Person who makes or intends to make an Offer of Securities to the Public in or from the ADGM;</w:t>
      </w:r>
    </w:p>
    <w:p w14:paraId="3F7F850B" w14:textId="77777777" w:rsidR="00755725" w:rsidRPr="00755725" w:rsidRDefault="00755725" w:rsidP="00755725">
      <w:pPr>
        <w:ind w:left="1440" w:hanging="720"/>
        <w:jc w:val="both"/>
        <w:rPr>
          <w:rFonts w:ascii="Arial" w:hAnsi="Arial" w:cs="Arial"/>
          <w:sz w:val="22"/>
          <w:szCs w:val="22"/>
          <w:lang w:val="en-US"/>
        </w:rPr>
      </w:pPr>
    </w:p>
    <w:p w14:paraId="1A1FDC9A" w14:textId="77777777" w:rsidR="00755725" w:rsidRPr="00755725" w:rsidRDefault="00755725" w:rsidP="00755725">
      <w:pPr>
        <w:ind w:left="1440" w:hanging="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an Issuer; and</w:t>
      </w:r>
      <w:r w:rsidRPr="00755725">
        <w:rPr>
          <w:rFonts w:ascii="Arial" w:hAnsi="Arial" w:cs="Arial"/>
          <w:sz w:val="22"/>
          <w:szCs w:val="22"/>
          <w:lang w:val="en-US"/>
        </w:rPr>
        <w:tab/>
      </w:r>
    </w:p>
    <w:p w14:paraId="535EBF1C" w14:textId="77777777" w:rsidR="00755725" w:rsidRPr="00755725" w:rsidRDefault="00755725" w:rsidP="00755725">
      <w:pPr>
        <w:ind w:left="1440" w:hanging="720"/>
        <w:jc w:val="both"/>
        <w:rPr>
          <w:rFonts w:ascii="Arial" w:hAnsi="Arial" w:cs="Arial"/>
          <w:sz w:val="22"/>
          <w:szCs w:val="22"/>
          <w:lang w:val="en-US"/>
        </w:rPr>
      </w:pPr>
    </w:p>
    <w:p w14:paraId="74D673BA" w14:textId="77777777" w:rsidR="00755725" w:rsidRPr="00755725" w:rsidRDefault="00755725" w:rsidP="00755725">
      <w:pPr>
        <w:ind w:left="1440" w:hanging="720"/>
        <w:jc w:val="both"/>
        <w:rPr>
          <w:rFonts w:ascii="Arial" w:hAnsi="Arial" w:cs="Arial"/>
          <w:sz w:val="22"/>
          <w:szCs w:val="22"/>
          <w:lang w:val="en-US"/>
        </w:rPr>
      </w:pPr>
      <w:r w:rsidRPr="00755725">
        <w:rPr>
          <w:rFonts w:ascii="Arial" w:hAnsi="Arial" w:cs="Arial"/>
          <w:sz w:val="22"/>
          <w:szCs w:val="22"/>
          <w:lang w:val="en-US"/>
        </w:rPr>
        <w:t>(4)</w:t>
      </w:r>
      <w:r w:rsidRPr="00755725">
        <w:rPr>
          <w:rFonts w:ascii="Arial" w:hAnsi="Arial" w:cs="Arial"/>
          <w:sz w:val="22"/>
          <w:szCs w:val="22"/>
          <w:lang w:val="en-US"/>
        </w:rPr>
        <w:tab/>
        <w:t>a Listed Entity.</w:t>
      </w:r>
    </w:p>
    <w:p w14:paraId="6222AF9D" w14:textId="77777777" w:rsidR="00755725" w:rsidRPr="00755725" w:rsidRDefault="00755725" w:rsidP="00755725">
      <w:pPr>
        <w:ind w:left="1440" w:hanging="720"/>
        <w:jc w:val="both"/>
        <w:rPr>
          <w:rFonts w:ascii="Arial" w:hAnsi="Arial" w:cs="Arial"/>
          <w:sz w:val="22"/>
          <w:szCs w:val="22"/>
          <w:lang w:val="en-US"/>
        </w:rPr>
      </w:pPr>
    </w:p>
    <w:p w14:paraId="67B7FC6A" w14:textId="77777777" w:rsidR="00755725" w:rsidRPr="00755725" w:rsidRDefault="00755725" w:rsidP="00755725">
      <w:pPr>
        <w:ind w:left="720" w:hanging="720"/>
        <w:jc w:val="both"/>
        <w:rPr>
          <w:rFonts w:ascii="Arial" w:hAnsi="Arial" w:cs="Arial"/>
          <w:sz w:val="22"/>
          <w:szCs w:val="22"/>
          <w:lang w:val="en-US"/>
        </w:rPr>
      </w:pPr>
      <w:r w:rsidRPr="00DD3944">
        <w:rPr>
          <w:rFonts w:ascii="Arial" w:hAnsi="Arial" w:cs="Arial"/>
          <w:b/>
          <w:bCs/>
          <w:sz w:val="22"/>
          <w:szCs w:val="22"/>
          <w:lang w:val="en-US"/>
        </w:rPr>
        <w:t>11.1.2</w:t>
      </w:r>
      <w:r w:rsidRPr="00755725">
        <w:rPr>
          <w:rFonts w:ascii="Arial" w:hAnsi="Arial" w:cs="Arial"/>
          <w:sz w:val="22"/>
          <w:szCs w:val="22"/>
          <w:lang w:val="en-US"/>
        </w:rPr>
        <w:tab/>
        <w:t>For the purposes of this chapter, a reference to a Mining Reporting Entity shall also include Persons in Rule 11.1.1(2), (3) and (4), as applicable.</w:t>
      </w:r>
    </w:p>
    <w:p w14:paraId="185B5B4E" w14:textId="77777777" w:rsidR="00755725" w:rsidRPr="00755725" w:rsidRDefault="00755725" w:rsidP="00755725">
      <w:pPr>
        <w:ind w:left="720" w:hanging="720"/>
        <w:jc w:val="both"/>
        <w:rPr>
          <w:rFonts w:ascii="Arial" w:hAnsi="Arial" w:cs="Arial"/>
          <w:sz w:val="22"/>
          <w:szCs w:val="22"/>
          <w:lang w:val="en-US"/>
        </w:rPr>
      </w:pPr>
    </w:p>
    <w:p w14:paraId="03CA8F4A" w14:textId="7EDB52A0" w:rsidR="00755725" w:rsidRDefault="00755725" w:rsidP="00755725">
      <w:pPr>
        <w:ind w:left="720" w:hanging="720"/>
        <w:jc w:val="both"/>
        <w:rPr>
          <w:rFonts w:ascii="Arial" w:hAnsi="Arial" w:cs="Arial"/>
          <w:sz w:val="22"/>
          <w:szCs w:val="22"/>
          <w:lang w:val="en-US"/>
        </w:rPr>
      </w:pPr>
      <w:r w:rsidRPr="00DD3944">
        <w:rPr>
          <w:rFonts w:ascii="Arial" w:hAnsi="Arial" w:cs="Arial"/>
          <w:b/>
          <w:bCs/>
          <w:sz w:val="22"/>
          <w:szCs w:val="22"/>
          <w:lang w:val="en-US"/>
        </w:rPr>
        <w:t>11.1.3</w:t>
      </w:r>
      <w:r w:rsidRPr="00755725">
        <w:rPr>
          <w:rFonts w:ascii="Arial" w:hAnsi="Arial" w:cs="Arial"/>
          <w:sz w:val="22"/>
          <w:szCs w:val="22"/>
          <w:lang w:val="en-US"/>
        </w:rPr>
        <w:tab/>
        <w:t>Terms that are defined in a Mining Reporting Standard are deemed to be defined terms in this chapter.</w:t>
      </w:r>
    </w:p>
    <w:p w14:paraId="3EFDC9DF" w14:textId="77777777" w:rsidR="00DD3944" w:rsidRPr="00755725" w:rsidRDefault="00DD3944" w:rsidP="00755725">
      <w:pPr>
        <w:ind w:left="720" w:hanging="720"/>
        <w:jc w:val="both"/>
        <w:rPr>
          <w:rFonts w:ascii="Arial" w:hAnsi="Arial" w:cs="Arial"/>
          <w:sz w:val="22"/>
          <w:szCs w:val="22"/>
          <w:lang w:val="en-US"/>
        </w:rPr>
      </w:pPr>
    </w:p>
    <w:p w14:paraId="304170A4" w14:textId="2274FF13" w:rsidR="00755725" w:rsidRPr="00DD3944" w:rsidRDefault="00755725" w:rsidP="00DD3944">
      <w:pPr>
        <w:pStyle w:val="Heading2"/>
        <w:rPr>
          <w:rFonts w:ascii="Arial" w:hAnsi="Arial" w:cs="Arial"/>
          <w:sz w:val="22"/>
          <w:szCs w:val="22"/>
        </w:rPr>
      </w:pPr>
      <w:bookmarkStart w:id="844" w:name="_Toc138325714"/>
      <w:r w:rsidRPr="00DD3944">
        <w:rPr>
          <w:rFonts w:ascii="Arial" w:hAnsi="Arial" w:cs="Arial"/>
          <w:sz w:val="22"/>
          <w:szCs w:val="22"/>
        </w:rPr>
        <w:lastRenderedPageBreak/>
        <w:t>General rules for mining activity disclosures</w:t>
      </w:r>
      <w:bookmarkEnd w:id="844"/>
    </w:p>
    <w:p w14:paraId="598B06B6" w14:textId="77777777" w:rsidR="00755725" w:rsidRPr="00755725" w:rsidRDefault="00755725" w:rsidP="00755725">
      <w:pPr>
        <w:spacing w:after="240" w:line="246" w:lineRule="atLeast"/>
        <w:ind w:left="720" w:hanging="11"/>
        <w:jc w:val="both"/>
        <w:rPr>
          <w:rFonts w:ascii="Arial" w:hAnsi="Arial" w:cs="Arial"/>
          <w:b/>
          <w:bCs/>
          <w:sz w:val="22"/>
          <w:szCs w:val="22"/>
          <w:lang w:val="en-US"/>
        </w:rPr>
      </w:pPr>
      <w:r w:rsidRPr="00755725">
        <w:rPr>
          <w:rFonts w:ascii="Arial" w:hAnsi="Arial" w:cs="Arial"/>
          <w:b/>
          <w:bCs/>
          <w:sz w:val="22"/>
          <w:szCs w:val="22"/>
          <w:lang w:val="en-US"/>
        </w:rPr>
        <w:t>Requirements for all disclosures</w:t>
      </w:r>
    </w:p>
    <w:p w14:paraId="458D6ABB"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DD3944">
        <w:rPr>
          <w:rFonts w:ascii="Arial" w:hAnsi="Arial" w:cs="Arial"/>
          <w:b/>
          <w:bCs/>
          <w:sz w:val="22"/>
          <w:szCs w:val="22"/>
          <w:lang w:val="en-US"/>
        </w:rPr>
        <w:t>11.2.1</w:t>
      </w:r>
      <w:r w:rsidRPr="00755725">
        <w:rPr>
          <w:rFonts w:ascii="Arial" w:hAnsi="Arial" w:cs="Arial"/>
          <w:sz w:val="22"/>
          <w:szCs w:val="22"/>
          <w:lang w:val="en-US"/>
        </w:rPr>
        <w:tab/>
        <w:t>A disclosure by a Mining Reporting Entity that includes a statement about Exploration Targets, Exploration Results, Mineral Resources, Ore Reserves or Production Targets must be prepared in accordance with:</w:t>
      </w:r>
    </w:p>
    <w:p w14:paraId="5D445003"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(1)</w:t>
      </w:r>
      <w:r w:rsidRPr="00755725">
        <w:rPr>
          <w:rFonts w:ascii="Arial" w:hAnsi="Arial" w:cs="Arial"/>
          <w:sz w:val="22"/>
          <w:szCs w:val="22"/>
          <w:lang w:val="en-US"/>
        </w:rPr>
        <w:tab/>
        <w:t>a Mining Reporting Standard; and</w:t>
      </w:r>
    </w:p>
    <w:p w14:paraId="20BE7941" w14:textId="77777777" w:rsidR="00755725" w:rsidRPr="00755725" w:rsidRDefault="00755725" w:rsidP="00755725">
      <w:pPr>
        <w:spacing w:after="240" w:line="246" w:lineRule="atLeast"/>
        <w:ind w:left="720" w:hanging="720"/>
        <w:jc w:val="both"/>
        <w:rPr>
          <w:rFonts w:ascii="Arial" w:hAnsi="Arial" w:cs="Arial"/>
          <w:b/>
          <w:bCs/>
          <w:sz w:val="22"/>
          <w:szCs w:val="22"/>
          <w:lang w:val="en-US"/>
        </w:rPr>
      </w:pPr>
      <w:r w:rsidRPr="00755725">
        <w:rPr>
          <w:rFonts w:ascii="Arial" w:hAnsi="Arial" w:cs="Arial"/>
          <w:sz w:val="22"/>
          <w:szCs w:val="22"/>
          <w:lang w:val="en-US"/>
        </w:rPr>
        <w:tab/>
        <w:t>(2)</w:t>
      </w:r>
      <w:r w:rsidRPr="00755725">
        <w:rPr>
          <w:rFonts w:ascii="Arial" w:hAnsi="Arial" w:cs="Arial"/>
          <w:sz w:val="22"/>
          <w:szCs w:val="22"/>
          <w:lang w:val="en-US"/>
        </w:rPr>
        <w:tab/>
        <w:t>this chapter.</w:t>
      </w:r>
    </w:p>
    <w:p w14:paraId="463E773F" w14:textId="77777777" w:rsidR="00755725" w:rsidRPr="00C66239" w:rsidRDefault="00755725" w:rsidP="00C66239">
      <w:pPr>
        <w:pStyle w:val="TitleL"/>
        <w:rPr>
          <w:rFonts w:ascii="Arial" w:hAnsi="Arial" w:cs="Arial"/>
          <w:sz w:val="22"/>
          <w:szCs w:val="22"/>
        </w:rPr>
      </w:pPr>
      <w:r w:rsidRPr="00C66239">
        <w:rPr>
          <w:rFonts w:ascii="Arial" w:hAnsi="Arial" w:cs="Arial"/>
          <w:sz w:val="22"/>
          <w:szCs w:val="22"/>
        </w:rPr>
        <w:t xml:space="preserve">Guidance </w:t>
      </w:r>
    </w:p>
    <w:p w14:paraId="65719469" w14:textId="293652B2" w:rsidR="00755725" w:rsidRPr="00755725" w:rsidRDefault="00755725" w:rsidP="00755725">
      <w:pPr>
        <w:spacing w:after="240" w:line="246" w:lineRule="atLeast"/>
        <w:ind w:left="720"/>
        <w:jc w:val="both"/>
        <w:rPr>
          <w:rFonts w:ascii="Arial" w:hAnsi="Arial" w:cs="Arial"/>
          <w:sz w:val="22"/>
          <w:szCs w:val="22"/>
        </w:rPr>
      </w:pPr>
      <w:r w:rsidRPr="00755725">
        <w:rPr>
          <w:rFonts w:ascii="Arial" w:hAnsi="Arial" w:cs="Arial"/>
          <w:bCs/>
          <w:sz w:val="22"/>
          <w:szCs w:val="22"/>
        </w:rPr>
        <w:t xml:space="preserve">Rule </w:t>
      </w:r>
      <w:r w:rsidRPr="00755725">
        <w:rPr>
          <w:rFonts w:ascii="Arial" w:hAnsi="Arial" w:cs="Arial"/>
          <w:sz w:val="22"/>
          <w:szCs w:val="22"/>
        </w:rPr>
        <w:t xml:space="preserve">11.2.1 applies to all </w:t>
      </w:r>
      <w:r w:rsidRPr="00755725">
        <w:rPr>
          <w:rFonts w:ascii="Arial" w:hAnsi="Arial" w:cs="Arial"/>
          <w:bCs/>
          <w:sz w:val="22"/>
          <w:szCs w:val="22"/>
        </w:rPr>
        <w:t>disclosures made or required to be made under the Rules which include a</w:t>
      </w:r>
      <w:r w:rsidRPr="00755725">
        <w:rPr>
          <w:rFonts w:ascii="Arial" w:hAnsi="Arial" w:cs="Arial"/>
          <w:sz w:val="22"/>
          <w:szCs w:val="22"/>
        </w:rPr>
        <w:t xml:space="preserve"> </w:t>
      </w:r>
      <w:r w:rsidRPr="00755725">
        <w:rPr>
          <w:rFonts w:ascii="Arial" w:hAnsi="Arial" w:cs="Arial"/>
          <w:bCs/>
          <w:sz w:val="22"/>
          <w:szCs w:val="22"/>
        </w:rPr>
        <w:t>statement about Exploration Targets, Exploration Results, Mineral Resources, Ore Reserves or Production Targets</w:t>
      </w:r>
      <w:r w:rsidRPr="00755725">
        <w:rPr>
          <w:rFonts w:ascii="Arial" w:hAnsi="Arial" w:cs="Arial"/>
          <w:sz w:val="22"/>
          <w:szCs w:val="22"/>
        </w:rPr>
        <w:t>, including within a Prospectus, Exempt Offer document, bidder’s and target’s statements, annual reports, financial statements, technical papers, presentations, and website content and disclosures.</w:t>
      </w:r>
    </w:p>
    <w:p w14:paraId="515768E5" w14:textId="77777777" w:rsidR="00755725" w:rsidRPr="00755725" w:rsidRDefault="00755725" w:rsidP="00755725">
      <w:pPr>
        <w:pStyle w:val="Level11fo"/>
        <w:spacing w:before="0" w:after="240" w:line="246" w:lineRule="atLeast"/>
        <w:jc w:val="both"/>
        <w:rPr>
          <w:rFonts w:eastAsiaTheme="minorHAnsi" w:cs="Arial"/>
          <w:sz w:val="22"/>
          <w:szCs w:val="22"/>
          <w:lang w:val="en-GB"/>
        </w:rPr>
      </w:pPr>
      <w:r w:rsidRPr="00755725">
        <w:rPr>
          <w:rFonts w:eastAsiaTheme="minorHAnsi" w:cs="Arial"/>
          <w:sz w:val="22"/>
          <w:szCs w:val="22"/>
          <w:lang w:val="en-GB"/>
        </w:rPr>
        <w:t>In order to ensure consistency of its disclosures, Issuers and Mining Reporting Entities should be mindful of the table format for disclosure of Ore Reserves and Mineral Resources set out in MKT Form-11-1.</w:t>
      </w:r>
    </w:p>
    <w:p w14:paraId="215FF07C"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DD3944">
        <w:rPr>
          <w:rFonts w:ascii="Arial" w:hAnsi="Arial" w:cs="Arial"/>
          <w:b/>
          <w:bCs/>
          <w:sz w:val="22"/>
          <w:szCs w:val="22"/>
          <w:lang w:val="en-US"/>
        </w:rPr>
        <w:t>11.2.2</w:t>
      </w:r>
      <w:r w:rsidRPr="00755725">
        <w:rPr>
          <w:rFonts w:ascii="Arial" w:hAnsi="Arial" w:cs="Arial"/>
          <w:sz w:val="22"/>
          <w:szCs w:val="22"/>
          <w:lang w:val="en-US"/>
        </w:rPr>
        <w:tab/>
        <w:t>Where a disclosure by a Mining Reporting Entity does not meet a non-mandatory requirement contained in a Mining Reporting Standard, the Mining Reporting Entity must provide in its disclosure a statement as to how and why its disclosure differs from the non-mandatory requirement contained in the relevant Mining Reporting Standard.</w:t>
      </w:r>
    </w:p>
    <w:p w14:paraId="78998FF9" w14:textId="77777777" w:rsidR="00755725" w:rsidRPr="00C66239" w:rsidRDefault="00755725" w:rsidP="00C66239">
      <w:pPr>
        <w:pStyle w:val="TitleL"/>
        <w:rPr>
          <w:rFonts w:ascii="Arial" w:hAnsi="Arial" w:cs="Arial"/>
          <w:sz w:val="22"/>
          <w:szCs w:val="22"/>
        </w:rPr>
      </w:pPr>
      <w:r w:rsidRPr="00C66239">
        <w:rPr>
          <w:rFonts w:ascii="Arial" w:hAnsi="Arial" w:cs="Arial"/>
          <w:sz w:val="22"/>
          <w:szCs w:val="22"/>
        </w:rPr>
        <w:t>Guidance</w:t>
      </w:r>
    </w:p>
    <w:p w14:paraId="363535E0" w14:textId="77777777" w:rsidR="00755725" w:rsidRPr="00755725" w:rsidRDefault="00755725" w:rsidP="00755725">
      <w:pPr>
        <w:pStyle w:val="Level11fo"/>
        <w:spacing w:before="0" w:after="240" w:line="246" w:lineRule="atLeast"/>
        <w:jc w:val="both"/>
        <w:rPr>
          <w:rFonts w:cs="Arial"/>
          <w:b/>
          <w:sz w:val="22"/>
          <w:szCs w:val="22"/>
        </w:rPr>
      </w:pPr>
      <w:r w:rsidRPr="00755725">
        <w:rPr>
          <w:rFonts w:cs="Arial"/>
          <w:bCs/>
          <w:sz w:val="22"/>
          <w:szCs w:val="22"/>
        </w:rPr>
        <w:t>Rule 11.2.1(1)</w:t>
      </w:r>
      <w:r w:rsidRPr="00755725">
        <w:rPr>
          <w:rFonts w:cs="Arial"/>
          <w:sz w:val="22"/>
          <w:szCs w:val="22"/>
        </w:rPr>
        <w:t xml:space="preserve"> requires a Mining Reporting Entity to fully comply with all binding requirements set out in a Mining </w:t>
      </w:r>
      <w:r w:rsidRPr="00755725">
        <w:rPr>
          <w:rFonts w:cs="Arial"/>
          <w:bCs/>
          <w:sz w:val="22"/>
          <w:szCs w:val="22"/>
        </w:rPr>
        <w:t>Reporting Standard.</w:t>
      </w:r>
      <w:r w:rsidRPr="00755725">
        <w:rPr>
          <w:rFonts w:cs="Arial"/>
          <w:b/>
          <w:sz w:val="22"/>
          <w:szCs w:val="22"/>
        </w:rPr>
        <w:t xml:space="preserve"> </w:t>
      </w:r>
      <w:r w:rsidRPr="00755725">
        <w:rPr>
          <w:rFonts w:cs="Arial"/>
          <w:bCs/>
          <w:sz w:val="22"/>
          <w:szCs w:val="22"/>
        </w:rPr>
        <w:t>The Regulator</w:t>
      </w:r>
      <w:r w:rsidRPr="00755725">
        <w:rPr>
          <w:rFonts w:cs="Arial"/>
          <w:b/>
          <w:sz w:val="22"/>
          <w:szCs w:val="22"/>
        </w:rPr>
        <w:t xml:space="preserve"> </w:t>
      </w:r>
      <w:r w:rsidRPr="00755725">
        <w:rPr>
          <w:rFonts w:cs="Arial"/>
          <w:sz w:val="22"/>
          <w:szCs w:val="22"/>
        </w:rPr>
        <w:t>also expects</w:t>
      </w:r>
      <w:r w:rsidRPr="00755725">
        <w:rPr>
          <w:rFonts w:cs="Arial"/>
          <w:b/>
          <w:sz w:val="22"/>
          <w:szCs w:val="22"/>
        </w:rPr>
        <w:t xml:space="preserve"> </w:t>
      </w:r>
      <w:r w:rsidRPr="00755725">
        <w:rPr>
          <w:rFonts w:cs="Arial"/>
          <w:bCs/>
          <w:sz w:val="22"/>
          <w:szCs w:val="22"/>
        </w:rPr>
        <w:t>a Mining Reporting Entity to fully comply with all non-mandatory requirements set out in a Mining Reporting Standard, including, for example, Table 1 of the JORC Code or SAMREC Code, or explain its non-compliance in accordance with Rule 11.2.2.</w:t>
      </w:r>
    </w:p>
    <w:p w14:paraId="326093F0" w14:textId="77777777" w:rsidR="00755725" w:rsidRPr="00755725" w:rsidRDefault="00755725" w:rsidP="00755725">
      <w:pPr>
        <w:spacing w:after="240" w:line="246" w:lineRule="atLeast"/>
        <w:ind w:left="720" w:hanging="720"/>
        <w:jc w:val="both"/>
        <w:rPr>
          <w:rFonts w:ascii="Arial" w:hAnsi="Arial" w:cs="Arial"/>
          <w:sz w:val="22"/>
          <w:szCs w:val="22"/>
          <w:lang w:val="en-AU"/>
        </w:rPr>
      </w:pPr>
      <w:r w:rsidRPr="00DD3944">
        <w:rPr>
          <w:rFonts w:ascii="Arial" w:hAnsi="Arial" w:cs="Arial"/>
          <w:b/>
          <w:bCs/>
          <w:sz w:val="22"/>
          <w:szCs w:val="22"/>
          <w:lang w:val="en-AU"/>
        </w:rPr>
        <w:t>11.2.3</w:t>
      </w:r>
      <w:r w:rsidRPr="00755725">
        <w:rPr>
          <w:rFonts w:ascii="Arial" w:hAnsi="Arial" w:cs="Arial"/>
          <w:sz w:val="22"/>
          <w:szCs w:val="22"/>
          <w:lang w:val="en-AU"/>
        </w:rPr>
        <w:tab/>
        <w:t>I</w:t>
      </w:r>
      <w:r w:rsidRPr="00755725">
        <w:rPr>
          <w:rFonts w:ascii="Arial" w:hAnsi="Arial" w:cs="Arial"/>
          <w:bCs/>
          <w:sz w:val="22"/>
          <w:szCs w:val="22"/>
        </w:rPr>
        <w:t xml:space="preserve">f a Mining Reporting Entity changes the basis upon which it makes disclosures from </w:t>
      </w:r>
      <w:r w:rsidRPr="00755725">
        <w:rPr>
          <w:rFonts w:ascii="Arial" w:hAnsi="Arial" w:cs="Arial"/>
          <w:bCs/>
          <w:strike/>
          <w:sz w:val="22"/>
          <w:szCs w:val="22"/>
        </w:rPr>
        <w:t>a</w:t>
      </w:r>
      <w:r w:rsidRPr="00755725">
        <w:rPr>
          <w:rFonts w:ascii="Arial" w:hAnsi="Arial" w:cs="Arial"/>
          <w:bCs/>
          <w:sz w:val="22"/>
          <w:szCs w:val="22"/>
        </w:rPr>
        <w:t xml:space="preserve"> one Mining Reporting Standard</w:t>
      </w:r>
      <w:r w:rsidRPr="00755725">
        <w:rPr>
          <w:rFonts w:ascii="Arial" w:hAnsi="Arial" w:cs="Arial"/>
          <w:sz w:val="22"/>
          <w:szCs w:val="22"/>
        </w:rPr>
        <w:t xml:space="preserve"> </w:t>
      </w:r>
      <w:r w:rsidRPr="00755725">
        <w:rPr>
          <w:rFonts w:ascii="Arial" w:hAnsi="Arial" w:cs="Arial"/>
          <w:bCs/>
          <w:sz w:val="22"/>
          <w:szCs w:val="22"/>
        </w:rPr>
        <w:t xml:space="preserve">(the “Initial Mining Reporting Standard”) to a </w:t>
      </w:r>
      <w:r w:rsidRPr="00755725">
        <w:rPr>
          <w:rFonts w:ascii="Arial" w:hAnsi="Arial" w:cs="Arial"/>
          <w:bCs/>
          <w:strike/>
          <w:sz w:val="22"/>
          <w:szCs w:val="22"/>
        </w:rPr>
        <w:t>new</w:t>
      </w:r>
      <w:r w:rsidRPr="00755725">
        <w:rPr>
          <w:rFonts w:ascii="Arial" w:hAnsi="Arial" w:cs="Arial"/>
          <w:bCs/>
          <w:sz w:val="22"/>
          <w:szCs w:val="22"/>
        </w:rPr>
        <w:t xml:space="preserve"> different Mining Reporting Standard</w:t>
      </w:r>
      <w:r w:rsidRPr="00755725">
        <w:rPr>
          <w:rFonts w:ascii="Arial" w:hAnsi="Arial" w:cs="Arial"/>
          <w:sz w:val="22"/>
          <w:szCs w:val="22"/>
        </w:rPr>
        <w:t xml:space="preserve"> </w:t>
      </w:r>
      <w:r w:rsidRPr="00755725">
        <w:rPr>
          <w:rFonts w:ascii="Arial" w:hAnsi="Arial" w:cs="Arial"/>
          <w:bCs/>
          <w:sz w:val="22"/>
          <w:szCs w:val="22"/>
        </w:rPr>
        <w:t xml:space="preserve">(the “New Mining Reporting Standard”), then the Mining Reporting Entity must, when first making a disclosure under the New Mining Reporting Standard, </w:t>
      </w:r>
      <w:r w:rsidRPr="00755725">
        <w:rPr>
          <w:rFonts w:ascii="Arial" w:hAnsi="Arial" w:cs="Arial"/>
          <w:sz w:val="22"/>
          <w:szCs w:val="22"/>
        </w:rPr>
        <w:t>disclose</w:t>
      </w:r>
      <w:r w:rsidRPr="00755725">
        <w:rPr>
          <w:rFonts w:ascii="Arial" w:hAnsi="Arial" w:cs="Arial"/>
          <w:bCs/>
          <w:sz w:val="22"/>
          <w:szCs w:val="22"/>
        </w:rPr>
        <w:t xml:space="preserve"> a reconciliation of the differences between the </w:t>
      </w:r>
      <w:r w:rsidRPr="00755725">
        <w:rPr>
          <w:rFonts w:ascii="Arial" w:hAnsi="Arial" w:cs="Arial"/>
          <w:sz w:val="22"/>
          <w:szCs w:val="22"/>
        </w:rPr>
        <w:t>disclosures</w:t>
      </w:r>
      <w:r w:rsidRPr="00755725">
        <w:rPr>
          <w:rFonts w:ascii="Arial" w:hAnsi="Arial" w:cs="Arial"/>
          <w:b/>
          <w:bCs/>
          <w:sz w:val="22"/>
          <w:szCs w:val="22"/>
        </w:rPr>
        <w:t xml:space="preserve"> </w:t>
      </w:r>
      <w:r w:rsidRPr="00755725">
        <w:rPr>
          <w:rFonts w:ascii="Arial" w:hAnsi="Arial" w:cs="Arial"/>
          <w:bCs/>
          <w:sz w:val="22"/>
          <w:szCs w:val="22"/>
        </w:rPr>
        <w:t>under</w:t>
      </w:r>
      <w:r w:rsidRPr="00755725">
        <w:rPr>
          <w:rFonts w:ascii="Arial" w:hAnsi="Arial" w:cs="Arial"/>
          <w:b/>
          <w:bCs/>
          <w:sz w:val="22"/>
          <w:szCs w:val="22"/>
        </w:rPr>
        <w:t xml:space="preserve"> </w:t>
      </w:r>
      <w:r w:rsidRPr="00755725">
        <w:rPr>
          <w:rFonts w:ascii="Arial" w:hAnsi="Arial" w:cs="Arial"/>
          <w:bCs/>
          <w:sz w:val="22"/>
          <w:szCs w:val="22"/>
        </w:rPr>
        <w:t xml:space="preserve">the Initial Mining Reporting Standard and the </w:t>
      </w:r>
      <w:r w:rsidRPr="00755725">
        <w:rPr>
          <w:rFonts w:ascii="Arial" w:hAnsi="Arial" w:cs="Arial"/>
          <w:sz w:val="22"/>
          <w:szCs w:val="22"/>
        </w:rPr>
        <w:t>disclosures</w:t>
      </w:r>
      <w:r w:rsidRPr="00755725">
        <w:rPr>
          <w:rFonts w:ascii="Arial" w:hAnsi="Arial" w:cs="Arial"/>
          <w:b/>
          <w:bCs/>
          <w:sz w:val="22"/>
          <w:szCs w:val="22"/>
        </w:rPr>
        <w:t xml:space="preserve"> </w:t>
      </w:r>
      <w:r w:rsidRPr="00755725">
        <w:rPr>
          <w:rFonts w:ascii="Arial" w:hAnsi="Arial" w:cs="Arial"/>
          <w:bCs/>
          <w:sz w:val="22"/>
          <w:szCs w:val="22"/>
        </w:rPr>
        <w:t>under</w:t>
      </w:r>
      <w:r w:rsidRPr="00755725">
        <w:rPr>
          <w:rFonts w:ascii="Arial" w:hAnsi="Arial" w:cs="Arial"/>
          <w:b/>
          <w:bCs/>
          <w:sz w:val="22"/>
          <w:szCs w:val="22"/>
        </w:rPr>
        <w:t xml:space="preserve"> </w:t>
      </w:r>
      <w:r w:rsidRPr="00755725">
        <w:rPr>
          <w:rFonts w:ascii="Arial" w:hAnsi="Arial" w:cs="Arial"/>
          <w:bCs/>
          <w:sz w:val="22"/>
          <w:szCs w:val="22"/>
        </w:rPr>
        <w:t>the New Mining Reporting Standard.</w:t>
      </w:r>
    </w:p>
    <w:p w14:paraId="3E18358E" w14:textId="77777777" w:rsidR="00755725" w:rsidRPr="00755725" w:rsidRDefault="00755725" w:rsidP="00755725">
      <w:pPr>
        <w:spacing w:after="240" w:line="246" w:lineRule="atLeast"/>
        <w:ind w:left="720" w:hanging="720"/>
        <w:jc w:val="both"/>
        <w:rPr>
          <w:rFonts w:ascii="Arial" w:hAnsi="Arial" w:cs="Arial"/>
          <w:sz w:val="22"/>
          <w:szCs w:val="22"/>
          <w:lang w:val="en-AU"/>
        </w:rPr>
      </w:pPr>
      <w:r w:rsidRPr="00DD3944">
        <w:rPr>
          <w:rFonts w:ascii="Arial" w:hAnsi="Arial" w:cs="Arial"/>
          <w:b/>
          <w:bCs/>
          <w:sz w:val="22"/>
          <w:szCs w:val="22"/>
          <w:lang w:val="en-AU"/>
        </w:rPr>
        <w:t>11.2.4</w:t>
      </w:r>
      <w:r w:rsidRPr="00755725">
        <w:rPr>
          <w:rFonts w:ascii="Arial" w:hAnsi="Arial" w:cs="Arial"/>
          <w:sz w:val="22"/>
          <w:szCs w:val="22"/>
          <w:lang w:val="en-AU"/>
        </w:rPr>
        <w:tab/>
        <w:t>A disclosure by a Mining Reporting Entity that includes a statement about Exploration Targets, Exploration Results, Mineral Resources, Ore Reserves, Production Targets or a Technical Study must not include Historical Estimates.</w:t>
      </w:r>
    </w:p>
    <w:p w14:paraId="41CB5A7C" w14:textId="4D3D282B" w:rsidR="00755725" w:rsidRPr="00DD3944" w:rsidRDefault="00755725" w:rsidP="00DD3944">
      <w:pPr>
        <w:pStyle w:val="Heading2"/>
        <w:rPr>
          <w:rFonts w:ascii="Arial" w:hAnsi="Arial" w:cs="Arial"/>
          <w:sz w:val="22"/>
          <w:szCs w:val="22"/>
        </w:rPr>
      </w:pPr>
      <w:bookmarkStart w:id="845" w:name="_Toc138325715"/>
      <w:r w:rsidRPr="00DD3944">
        <w:rPr>
          <w:rFonts w:ascii="Arial" w:hAnsi="Arial" w:cs="Arial"/>
          <w:sz w:val="22"/>
          <w:szCs w:val="22"/>
        </w:rPr>
        <w:t>Prospectus – Mining Disclosures</w:t>
      </w:r>
      <w:bookmarkEnd w:id="845"/>
    </w:p>
    <w:p w14:paraId="315B0EFB"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C66239">
        <w:rPr>
          <w:rFonts w:ascii="Arial" w:hAnsi="Arial" w:cs="Arial"/>
          <w:b/>
          <w:bCs/>
          <w:sz w:val="22"/>
          <w:szCs w:val="22"/>
          <w:lang w:val="en-US"/>
        </w:rPr>
        <w:t>11.3.1</w:t>
      </w:r>
      <w:r w:rsidRPr="00755725">
        <w:rPr>
          <w:rFonts w:ascii="Arial" w:hAnsi="Arial" w:cs="Arial"/>
          <w:sz w:val="22"/>
          <w:szCs w:val="22"/>
          <w:lang w:val="en-US"/>
        </w:rPr>
        <w:tab/>
        <w:t>In addition to complying with the requirements of Chapter 4, a Prospectus:</w:t>
      </w:r>
    </w:p>
    <w:p w14:paraId="0D5A750D"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lastRenderedPageBreak/>
        <w:t>(1)</w:t>
      </w:r>
      <w:r w:rsidRPr="00755725">
        <w:rPr>
          <w:rFonts w:ascii="Arial" w:hAnsi="Arial" w:cs="Arial"/>
          <w:sz w:val="22"/>
          <w:szCs w:val="22"/>
          <w:lang w:val="en-US"/>
        </w:rPr>
        <w:tab/>
        <w:t>that includes a statement about Exploration Targets, Exploration Results, Mineral Resources, Ore Reserves or Production Targets, must comply with Rule 11.2.1; and</w:t>
      </w:r>
    </w:p>
    <w:p w14:paraId="62491A3C"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must include details in relation to the Mining Reporting Entity’s policies and practices in relation to operating in a sustainable manner, including:</w:t>
      </w:r>
    </w:p>
    <w:p w14:paraId="29805793" w14:textId="77777777" w:rsidR="00755725" w:rsidRPr="00755725" w:rsidRDefault="00755725" w:rsidP="00755725">
      <w:pPr>
        <w:spacing w:after="240" w:line="246" w:lineRule="atLeast"/>
        <w:ind w:left="2127" w:hanging="709"/>
        <w:jc w:val="both"/>
        <w:rPr>
          <w:rFonts w:ascii="Arial" w:hAnsi="Arial" w:cs="Arial"/>
          <w:sz w:val="22"/>
          <w:szCs w:val="22"/>
          <w:lang w:val="en-US"/>
        </w:rPr>
      </w:pPr>
      <w:r w:rsidRPr="00755725">
        <w:rPr>
          <w:rFonts w:ascii="Arial" w:hAnsi="Arial" w:cs="Arial"/>
          <w:sz w:val="22"/>
          <w:szCs w:val="22"/>
          <w:lang w:val="en-US"/>
        </w:rPr>
        <w:t>(i)</w:t>
      </w:r>
      <w:r w:rsidRPr="00755725">
        <w:rPr>
          <w:rFonts w:ascii="Arial" w:hAnsi="Arial" w:cs="Arial"/>
          <w:sz w:val="22"/>
          <w:szCs w:val="22"/>
          <w:lang w:val="en-US"/>
        </w:rPr>
        <w:tab/>
        <w:t>the Mining Reporting Entity’s policy with regards to environmental and social issues;</w:t>
      </w:r>
    </w:p>
    <w:p w14:paraId="3BAC6BD5"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(ii)</w:t>
      </w:r>
      <w:r w:rsidRPr="00755725">
        <w:rPr>
          <w:rFonts w:ascii="Arial" w:hAnsi="Arial" w:cs="Arial"/>
          <w:sz w:val="22"/>
          <w:szCs w:val="22"/>
          <w:lang w:val="en-US"/>
        </w:rPr>
        <w:tab/>
        <w:t>impact of the Mining Reporting Entity’s business practices on the environment and the communities in which it operates; and</w:t>
      </w:r>
    </w:p>
    <w:p w14:paraId="60B1A484"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(iii)</w:t>
      </w:r>
      <w:r w:rsidRPr="00755725">
        <w:rPr>
          <w:rFonts w:ascii="Arial" w:hAnsi="Arial" w:cs="Arial"/>
          <w:sz w:val="22"/>
          <w:szCs w:val="22"/>
          <w:lang w:val="en-US"/>
        </w:rPr>
        <w:tab/>
        <w:t>the environmental and social risks faced by the Mining Reporting Entity.</w:t>
      </w:r>
    </w:p>
    <w:p w14:paraId="1A014980" w14:textId="77777777" w:rsidR="00755725" w:rsidRPr="00755725" w:rsidRDefault="00755725" w:rsidP="00755725">
      <w:pPr>
        <w:spacing w:after="240" w:line="246" w:lineRule="atLeast"/>
        <w:ind w:left="720" w:hanging="720"/>
        <w:jc w:val="both"/>
        <w:rPr>
          <w:rFonts w:ascii="Arial" w:hAnsi="Arial" w:cs="Arial"/>
          <w:b/>
          <w:bCs/>
          <w:sz w:val="22"/>
          <w:szCs w:val="22"/>
          <w:lang w:val="en-US"/>
        </w:rPr>
      </w:pPr>
      <w:r w:rsidRPr="00755725">
        <w:rPr>
          <w:rFonts w:ascii="Arial" w:hAnsi="Arial" w:cs="Arial"/>
          <w:b/>
          <w:bCs/>
          <w:sz w:val="22"/>
          <w:szCs w:val="22"/>
          <w:lang w:val="en-US"/>
        </w:rPr>
        <w:tab/>
        <w:t>Valuation Report</w:t>
      </w:r>
    </w:p>
    <w:p w14:paraId="3E6D7C68"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C66239">
        <w:rPr>
          <w:rFonts w:ascii="Arial" w:hAnsi="Arial" w:cs="Arial"/>
          <w:b/>
          <w:bCs/>
          <w:sz w:val="22"/>
          <w:szCs w:val="22"/>
          <w:lang w:val="en-US"/>
        </w:rPr>
        <w:t>11.3.2</w:t>
      </w:r>
      <w:r w:rsidRPr="00755725">
        <w:rPr>
          <w:rFonts w:ascii="Arial" w:hAnsi="Arial" w:cs="Arial"/>
          <w:sz w:val="22"/>
          <w:szCs w:val="22"/>
          <w:lang w:val="en-US"/>
        </w:rPr>
        <w:tab/>
        <w:t>A Prospectus relating to a Mining Reporting Entity must include a Valuation Report on the Mineral Reserves and Ore Reserves of the company, as applicable. The Valuation Report must be prepared by an independent expert in accordance with a Valuation Standard. The effective date of the Valuation Report must not be more than 6 months earlier than the date of lodgement of the Prospectus offer document.</w:t>
      </w:r>
    </w:p>
    <w:p w14:paraId="094A7182"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C66239">
        <w:rPr>
          <w:rFonts w:ascii="Arial" w:hAnsi="Arial" w:cs="Arial"/>
          <w:b/>
          <w:bCs/>
          <w:sz w:val="22"/>
          <w:szCs w:val="22"/>
          <w:lang w:val="en-US"/>
        </w:rPr>
        <w:t>11.3.3</w:t>
      </w:r>
      <w:r w:rsidRPr="00755725">
        <w:rPr>
          <w:rFonts w:ascii="Arial" w:hAnsi="Arial" w:cs="Arial"/>
          <w:sz w:val="22"/>
          <w:szCs w:val="22"/>
          <w:lang w:val="en-US"/>
        </w:rPr>
        <w:tab/>
        <w:t>A Valuation Report must contain the following:</w:t>
      </w:r>
    </w:p>
    <w:p w14:paraId="07F145E5"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(1)</w:t>
      </w:r>
      <w:r w:rsidRPr="00755725">
        <w:rPr>
          <w:rFonts w:ascii="Arial" w:hAnsi="Arial" w:cs="Arial"/>
          <w:sz w:val="22"/>
          <w:szCs w:val="22"/>
          <w:lang w:val="en-US"/>
        </w:rPr>
        <w:tab/>
        <w:t>the Valuation Standard used;</w:t>
      </w:r>
    </w:p>
    <w:p w14:paraId="4E132879"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the principal assumptions used in arriving at the valuation, including but not limited to, assumed commodity prices, rate of discount and rate of inflation, and the basis for each assumption.  Contracted commodity prices must be used where applicable and available;</w:t>
      </w:r>
    </w:p>
    <w:p w14:paraId="50049255" w14:textId="77777777" w:rsidR="00755725" w:rsidRPr="00C66239" w:rsidRDefault="00755725" w:rsidP="00C66239">
      <w:pPr>
        <w:pStyle w:val="TitleL"/>
        <w:rPr>
          <w:rFonts w:ascii="Arial" w:hAnsi="Arial" w:cs="Arial"/>
          <w:sz w:val="22"/>
          <w:szCs w:val="22"/>
        </w:rPr>
      </w:pPr>
      <w:r w:rsidRPr="00C66239">
        <w:rPr>
          <w:rFonts w:ascii="Arial" w:hAnsi="Arial" w:cs="Arial"/>
          <w:sz w:val="22"/>
          <w:szCs w:val="22"/>
        </w:rPr>
        <w:t>Guidance</w:t>
      </w:r>
    </w:p>
    <w:p w14:paraId="5A6EA1B1" w14:textId="77777777" w:rsidR="00755725" w:rsidRPr="00755725" w:rsidRDefault="00755725" w:rsidP="00755725">
      <w:pPr>
        <w:spacing w:after="240" w:line="246" w:lineRule="atLeast"/>
        <w:ind w:left="709" w:firstLine="11"/>
        <w:jc w:val="both"/>
        <w:rPr>
          <w:rFonts w:ascii="Arial" w:hAnsi="Arial" w:cs="Arial"/>
          <w:sz w:val="22"/>
          <w:szCs w:val="22"/>
          <w:lang w:val="en-US"/>
        </w:rPr>
      </w:pPr>
      <w:r w:rsidRPr="00755725">
        <w:rPr>
          <w:rFonts w:ascii="Arial" w:hAnsi="Arial" w:cs="Arial"/>
          <w:sz w:val="22"/>
          <w:szCs w:val="22"/>
          <w:lang w:val="en-US"/>
        </w:rPr>
        <w:t>If contract commodity prices are unavailable, either forecast or constant prices may be used.  Where forecast commodity prices are used, this should be accompanied by a statement by the qualified person that such forecast was arrived at after due and careful enquiry and reflects their reasonably held view of the outlook of the future.</w:t>
      </w:r>
    </w:p>
    <w:p w14:paraId="613DE2D5"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an analysis of the sensitivity of the valuation to variation in the principal assumptions provided in (2) above. In relation to commodity prices, the scenarios must include both constant and forecast prices. In relation to the rate of discount, the scenarios must include the weighted average cost of capital;</w:t>
      </w:r>
    </w:p>
    <w:p w14:paraId="1E33F5EC"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(4)</w:t>
      </w:r>
      <w:r w:rsidRPr="00755725">
        <w:rPr>
          <w:rFonts w:ascii="Arial" w:hAnsi="Arial" w:cs="Arial"/>
          <w:sz w:val="22"/>
          <w:szCs w:val="22"/>
          <w:lang w:val="en-US"/>
        </w:rPr>
        <w:tab/>
        <w:t>an estimate of net present value.  If the valuation is arrived at on an alternative basis, an explanation of the basis and reasons for adopting the alternative basis; and</w:t>
      </w:r>
    </w:p>
    <w:p w14:paraId="4A6E31D4"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(5)</w:t>
      </w:r>
      <w:r w:rsidRPr="00755725">
        <w:rPr>
          <w:rFonts w:ascii="Arial" w:hAnsi="Arial" w:cs="Arial"/>
          <w:sz w:val="22"/>
          <w:szCs w:val="22"/>
          <w:lang w:val="en-US"/>
        </w:rPr>
        <w:tab/>
        <w:t>a risk factor highlighting the uncertainties inherent in the assumptions made in arriving at the valuation, and the effects they may have on the valuation of the Mineral Resources and Ore Reserves and the value of the offered Securities.</w:t>
      </w:r>
    </w:p>
    <w:p w14:paraId="007A7CB8" w14:textId="2A4509A0" w:rsidR="00755725" w:rsidRPr="00C66239" w:rsidRDefault="00755725" w:rsidP="00C66239">
      <w:pPr>
        <w:pStyle w:val="Heading2"/>
        <w:rPr>
          <w:rFonts w:ascii="Arial" w:hAnsi="Arial" w:cs="Arial"/>
          <w:sz w:val="22"/>
          <w:szCs w:val="22"/>
        </w:rPr>
      </w:pPr>
      <w:bookmarkStart w:id="846" w:name="_Toc138325716"/>
      <w:r w:rsidRPr="00C66239">
        <w:rPr>
          <w:rFonts w:ascii="Arial" w:hAnsi="Arial" w:cs="Arial"/>
          <w:sz w:val="22"/>
          <w:szCs w:val="22"/>
        </w:rPr>
        <w:lastRenderedPageBreak/>
        <w:t>Exploration Results</w:t>
      </w:r>
      <w:bookmarkEnd w:id="846"/>
    </w:p>
    <w:p w14:paraId="760F4521" w14:textId="77777777" w:rsidR="00755725" w:rsidRPr="00755725" w:rsidRDefault="00755725" w:rsidP="00755725">
      <w:pPr>
        <w:spacing w:after="240" w:line="246" w:lineRule="atLeast"/>
        <w:ind w:left="720" w:hanging="720"/>
        <w:jc w:val="both"/>
        <w:rPr>
          <w:rFonts w:ascii="Arial" w:hAnsi="Arial" w:cs="Arial"/>
          <w:b/>
          <w:bCs/>
          <w:sz w:val="22"/>
          <w:szCs w:val="22"/>
          <w:lang w:val="en-US"/>
        </w:rPr>
      </w:pPr>
      <w:r w:rsidRPr="00C66239">
        <w:rPr>
          <w:rFonts w:ascii="Arial" w:hAnsi="Arial" w:cs="Arial"/>
          <w:b/>
          <w:bCs/>
          <w:sz w:val="22"/>
          <w:szCs w:val="22"/>
          <w:lang w:val="en-US"/>
        </w:rPr>
        <w:t>11.4.1</w:t>
      </w:r>
      <w:r w:rsidRPr="00755725">
        <w:rPr>
          <w:rFonts w:ascii="Arial" w:hAnsi="Arial" w:cs="Arial"/>
          <w:sz w:val="22"/>
          <w:szCs w:val="22"/>
          <w:lang w:val="en-US"/>
        </w:rPr>
        <w:tab/>
        <w:t xml:space="preserve">A Mining Reporting Entity disclosing Exploration Results that are material and that have not been previously disclosed by the Mining Reporting Entity must ensure the disclosure contains the following: </w:t>
      </w:r>
    </w:p>
    <w:p w14:paraId="42DBFC39"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all information that is material to understanding the Exploration results;</w:t>
      </w:r>
    </w:p>
    <w:p w14:paraId="0C67F80B" w14:textId="270E57B0" w:rsidR="00755725" w:rsidRPr="00C66239" w:rsidRDefault="00755725" w:rsidP="00C66239">
      <w:pPr>
        <w:pStyle w:val="TitleL"/>
        <w:rPr>
          <w:rFonts w:ascii="Arial" w:hAnsi="Arial" w:cs="Arial"/>
          <w:sz w:val="22"/>
          <w:szCs w:val="22"/>
        </w:rPr>
      </w:pPr>
      <w:r w:rsidRPr="00C66239">
        <w:rPr>
          <w:rFonts w:ascii="Arial" w:hAnsi="Arial" w:cs="Arial"/>
          <w:sz w:val="22"/>
          <w:szCs w:val="22"/>
        </w:rPr>
        <w:t>Guidance</w:t>
      </w:r>
    </w:p>
    <w:p w14:paraId="0BA36F9A" w14:textId="77777777" w:rsidR="00755725" w:rsidRPr="00755725" w:rsidRDefault="00755725" w:rsidP="00755725">
      <w:pPr>
        <w:spacing w:after="240" w:line="246" w:lineRule="atLeast"/>
        <w:ind w:left="709"/>
        <w:jc w:val="both"/>
        <w:rPr>
          <w:rFonts w:ascii="Arial" w:hAnsi="Arial" w:cs="Arial"/>
          <w:sz w:val="22"/>
          <w:szCs w:val="22"/>
          <w:lang w:val="en-US"/>
        </w:rPr>
      </w:pPr>
      <w:r w:rsidRPr="00755725">
        <w:rPr>
          <w:rFonts w:ascii="Arial" w:hAnsi="Arial" w:cs="Arial"/>
          <w:sz w:val="22"/>
          <w:szCs w:val="22"/>
          <w:lang w:val="en-US"/>
        </w:rPr>
        <w:t>For a Reporting Entity disclosing against the JORC Code or SAMREC Code, for example, the Reporting Entity would need to have regard to each of the factors listed in:</w:t>
      </w:r>
    </w:p>
    <w:p w14:paraId="17FD23DD" w14:textId="77777777" w:rsidR="00755725" w:rsidRPr="00755725" w:rsidRDefault="00755725" w:rsidP="00755725">
      <w:pPr>
        <w:pStyle w:val="ListParagraph"/>
        <w:spacing w:after="240" w:line="246" w:lineRule="atLeast"/>
        <w:ind w:left="1418" w:hanging="709"/>
        <w:jc w:val="both"/>
        <w:rPr>
          <w:rFonts w:ascii="Arial" w:hAnsi="Arial" w:cs="Arial"/>
          <w:lang w:val="en-US"/>
        </w:rPr>
      </w:pPr>
      <w:r w:rsidRPr="00755725">
        <w:rPr>
          <w:rFonts w:ascii="Arial" w:hAnsi="Arial" w:cs="Arial"/>
          <w:lang w:val="en-US"/>
        </w:rPr>
        <w:t>a.</w:t>
      </w:r>
      <w:r w:rsidRPr="00755725">
        <w:rPr>
          <w:rFonts w:ascii="Arial" w:hAnsi="Arial" w:cs="Arial"/>
          <w:lang w:val="en-US"/>
        </w:rPr>
        <w:tab/>
        <w:t>Section 1 (sampling techniques and data); and</w:t>
      </w:r>
    </w:p>
    <w:p w14:paraId="6555A29C" w14:textId="77777777" w:rsidR="00755725" w:rsidRPr="00755725" w:rsidRDefault="00755725" w:rsidP="00755725">
      <w:pPr>
        <w:pStyle w:val="ListParagraph"/>
        <w:spacing w:after="240" w:line="246" w:lineRule="atLeast"/>
        <w:ind w:left="1418" w:hanging="709"/>
        <w:jc w:val="both"/>
        <w:rPr>
          <w:rFonts w:ascii="Arial" w:hAnsi="Arial" w:cs="Arial"/>
          <w:lang w:val="en-US"/>
        </w:rPr>
      </w:pPr>
    </w:p>
    <w:p w14:paraId="214C25E5" w14:textId="77777777" w:rsidR="00755725" w:rsidRPr="00755725" w:rsidRDefault="00755725" w:rsidP="00755725">
      <w:pPr>
        <w:pStyle w:val="ListParagraph"/>
        <w:spacing w:after="240" w:line="246" w:lineRule="atLeast"/>
        <w:ind w:left="1418" w:hanging="709"/>
        <w:jc w:val="both"/>
        <w:rPr>
          <w:rFonts w:ascii="Arial" w:hAnsi="Arial" w:cs="Arial"/>
          <w:lang w:val="en-US"/>
        </w:rPr>
      </w:pPr>
      <w:r w:rsidRPr="00755725">
        <w:rPr>
          <w:rFonts w:ascii="Arial" w:hAnsi="Arial" w:cs="Arial"/>
          <w:lang w:val="en-US"/>
        </w:rPr>
        <w:t>b.</w:t>
      </w:r>
      <w:r w:rsidRPr="00755725">
        <w:rPr>
          <w:rFonts w:ascii="Arial" w:hAnsi="Arial" w:cs="Arial"/>
          <w:lang w:val="en-US"/>
        </w:rPr>
        <w:tab/>
        <w:t xml:space="preserve">Section 2 (reporting of exploration results), </w:t>
      </w:r>
    </w:p>
    <w:p w14:paraId="01569943" w14:textId="77777777" w:rsidR="00755725" w:rsidRPr="00755725" w:rsidRDefault="00755725" w:rsidP="00755725">
      <w:pPr>
        <w:spacing w:after="240" w:line="246" w:lineRule="atLeast"/>
        <w:ind w:left="1440" w:hanging="731"/>
        <w:jc w:val="both"/>
        <w:rPr>
          <w:rFonts w:ascii="Arial" w:hAnsi="Arial" w:cs="Arial"/>
          <w:sz w:val="22"/>
          <w:szCs w:val="22"/>
          <w:lang w:val="en-US"/>
        </w:rPr>
      </w:pPr>
      <w:r w:rsidRPr="00755725">
        <w:rPr>
          <w:rFonts w:ascii="Arial" w:hAnsi="Arial" w:cs="Arial"/>
          <w:sz w:val="22"/>
          <w:szCs w:val="22"/>
          <w:lang w:val="en-US"/>
        </w:rPr>
        <w:t xml:space="preserve">of Table 1 of the JORC Code or the SAMREC Code.  </w:t>
      </w:r>
    </w:p>
    <w:p w14:paraId="7242555C"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if certain information is not included because the Mining Reporting Entity considers it not to be material, an explanation as to why that information/factor is not material to understanding the Exploration results;</w:t>
      </w:r>
    </w:p>
    <w:p w14:paraId="75D1A933"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in respect of material drill holes, a separate table setting out the following,  unless the Mining Reporting Entity determines that the information is not material to understanding the Exploration results:</w:t>
      </w:r>
    </w:p>
    <w:p w14:paraId="0754FBCC" w14:textId="77777777" w:rsidR="00755725" w:rsidRPr="00755725" w:rsidRDefault="00755725" w:rsidP="00755725">
      <w:pPr>
        <w:spacing w:after="240" w:line="246" w:lineRule="atLeast"/>
        <w:ind w:left="2268" w:hanging="85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easting and northing of the drill hole collar;</w:t>
      </w:r>
    </w:p>
    <w:p w14:paraId="624C74BC" w14:textId="77777777" w:rsidR="00755725" w:rsidRPr="00755725" w:rsidRDefault="00755725" w:rsidP="00755725">
      <w:pPr>
        <w:spacing w:after="240" w:line="246" w:lineRule="atLeast"/>
        <w:ind w:left="2268" w:hanging="85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elevation or RL of the drill hole collar;</w:t>
      </w:r>
    </w:p>
    <w:p w14:paraId="2A272FE8" w14:textId="77777777" w:rsidR="00755725" w:rsidRPr="00755725" w:rsidRDefault="00755725" w:rsidP="00755725">
      <w:pPr>
        <w:spacing w:after="240" w:line="246" w:lineRule="atLeast"/>
        <w:ind w:left="2268" w:hanging="850"/>
        <w:jc w:val="both"/>
        <w:rPr>
          <w:rFonts w:ascii="Arial" w:hAnsi="Arial" w:cs="Arial"/>
          <w:sz w:val="22"/>
          <w:szCs w:val="22"/>
          <w:lang w:val="en-US"/>
        </w:rPr>
      </w:pPr>
      <w:r w:rsidRPr="00755725">
        <w:rPr>
          <w:rFonts w:ascii="Arial" w:hAnsi="Arial" w:cs="Arial"/>
          <w:sz w:val="22"/>
          <w:szCs w:val="22"/>
          <w:lang w:val="en-US"/>
        </w:rPr>
        <w:t>(c)</w:t>
      </w:r>
      <w:r w:rsidRPr="00755725">
        <w:rPr>
          <w:rFonts w:ascii="Arial" w:hAnsi="Arial" w:cs="Arial"/>
          <w:sz w:val="22"/>
          <w:szCs w:val="22"/>
          <w:lang w:val="en-US"/>
        </w:rPr>
        <w:tab/>
        <w:t>dip and azimuth of the hole;</w:t>
      </w:r>
    </w:p>
    <w:p w14:paraId="3C65A86E" w14:textId="77777777" w:rsidR="00755725" w:rsidRPr="00755725" w:rsidRDefault="00755725" w:rsidP="00755725">
      <w:pPr>
        <w:spacing w:after="240" w:line="246" w:lineRule="atLeast"/>
        <w:ind w:left="2268" w:hanging="850"/>
        <w:jc w:val="both"/>
        <w:rPr>
          <w:rFonts w:ascii="Arial" w:hAnsi="Arial" w:cs="Arial"/>
          <w:sz w:val="22"/>
          <w:szCs w:val="22"/>
          <w:lang w:val="en-US"/>
        </w:rPr>
      </w:pPr>
      <w:r w:rsidRPr="00755725">
        <w:rPr>
          <w:rFonts w:ascii="Arial" w:hAnsi="Arial" w:cs="Arial"/>
          <w:sz w:val="22"/>
          <w:szCs w:val="22"/>
          <w:lang w:val="en-US"/>
        </w:rPr>
        <w:t>(d)</w:t>
      </w:r>
      <w:r w:rsidRPr="00755725">
        <w:rPr>
          <w:rFonts w:ascii="Arial" w:hAnsi="Arial" w:cs="Arial"/>
          <w:sz w:val="22"/>
          <w:szCs w:val="22"/>
          <w:lang w:val="en-US"/>
        </w:rPr>
        <w:tab/>
        <w:t>down hole width and depth; and</w:t>
      </w:r>
    </w:p>
    <w:p w14:paraId="22FB52F0" w14:textId="77777777" w:rsidR="00755725" w:rsidRPr="00755725" w:rsidRDefault="00755725" w:rsidP="00755725">
      <w:pPr>
        <w:spacing w:after="240" w:line="246" w:lineRule="atLeast"/>
        <w:ind w:left="2268" w:hanging="850"/>
        <w:jc w:val="both"/>
        <w:rPr>
          <w:rFonts w:ascii="Arial" w:hAnsi="Arial" w:cs="Arial"/>
          <w:sz w:val="22"/>
          <w:szCs w:val="22"/>
          <w:lang w:val="en-US"/>
        </w:rPr>
      </w:pPr>
      <w:r w:rsidRPr="00755725">
        <w:rPr>
          <w:rFonts w:ascii="Arial" w:hAnsi="Arial" w:cs="Arial"/>
          <w:sz w:val="22"/>
          <w:szCs w:val="22"/>
          <w:lang w:val="en-US"/>
        </w:rPr>
        <w:t xml:space="preserve">(e) </w:t>
      </w:r>
      <w:r w:rsidRPr="00755725">
        <w:rPr>
          <w:rFonts w:ascii="Arial" w:hAnsi="Arial" w:cs="Arial"/>
          <w:sz w:val="22"/>
          <w:szCs w:val="22"/>
          <w:lang w:val="en-US"/>
        </w:rPr>
        <w:tab/>
        <w:t>end of hole;</w:t>
      </w:r>
    </w:p>
    <w:p w14:paraId="1EA985E6"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(4)</w:t>
      </w:r>
      <w:r w:rsidRPr="00755725">
        <w:rPr>
          <w:rFonts w:ascii="Arial" w:hAnsi="Arial" w:cs="Arial"/>
          <w:sz w:val="22"/>
          <w:szCs w:val="22"/>
          <w:lang w:val="en-US"/>
        </w:rPr>
        <w:tab/>
        <w:t>where the Mining Reporting Entity has determined that any of the information in (3) is not material to understanding the Exploration results, an explanation from the Mining Reporting Entity as to why the information is not material.</w:t>
      </w:r>
    </w:p>
    <w:p w14:paraId="688291AF" w14:textId="77777777" w:rsidR="00755725" w:rsidRPr="00C66239" w:rsidRDefault="00755725" w:rsidP="00C66239">
      <w:pPr>
        <w:pStyle w:val="TitleL"/>
        <w:rPr>
          <w:rFonts w:ascii="Arial" w:hAnsi="Arial" w:cs="Arial"/>
          <w:sz w:val="22"/>
          <w:szCs w:val="22"/>
        </w:rPr>
      </w:pPr>
      <w:r w:rsidRPr="00C66239">
        <w:rPr>
          <w:rFonts w:ascii="Arial" w:hAnsi="Arial" w:cs="Arial"/>
          <w:sz w:val="22"/>
          <w:szCs w:val="22"/>
        </w:rPr>
        <w:t>Guidance</w:t>
      </w:r>
    </w:p>
    <w:p w14:paraId="741BCB33" w14:textId="77777777" w:rsidR="00755725" w:rsidRPr="00755725" w:rsidRDefault="00755725" w:rsidP="00755725">
      <w:pPr>
        <w:spacing w:after="240" w:line="246" w:lineRule="atLeast"/>
        <w:ind w:left="720"/>
        <w:jc w:val="both"/>
        <w:rPr>
          <w:rFonts w:ascii="Arial" w:hAnsi="Arial" w:cs="Arial"/>
          <w:sz w:val="22"/>
          <w:szCs w:val="22"/>
          <w:lang w:val="en-US"/>
        </w:rPr>
      </w:pPr>
      <w:r w:rsidRPr="00755725">
        <w:rPr>
          <w:rFonts w:ascii="Arial" w:hAnsi="Arial" w:cs="Arial"/>
          <w:sz w:val="22"/>
          <w:szCs w:val="22"/>
          <w:lang w:val="en-US"/>
        </w:rPr>
        <w:t xml:space="preserve">The Mining Reporting Standards set out additional requirements for public reports on Exploration Results. For example, clauses 18 and 19 of the JORC Code are applicable. </w:t>
      </w:r>
    </w:p>
    <w:p w14:paraId="694F618E" w14:textId="77234D54" w:rsidR="00755725" w:rsidRPr="00C66239" w:rsidRDefault="00755725" w:rsidP="00C66239">
      <w:pPr>
        <w:pStyle w:val="Heading2"/>
        <w:rPr>
          <w:rFonts w:ascii="Arial" w:hAnsi="Arial" w:cs="Arial"/>
          <w:sz w:val="22"/>
          <w:szCs w:val="22"/>
        </w:rPr>
      </w:pPr>
      <w:bookmarkStart w:id="847" w:name="_Toc138325717"/>
      <w:r w:rsidRPr="00C66239">
        <w:rPr>
          <w:rFonts w:ascii="Arial" w:hAnsi="Arial" w:cs="Arial"/>
          <w:sz w:val="22"/>
          <w:szCs w:val="22"/>
        </w:rPr>
        <w:t>Mineral Resources</w:t>
      </w:r>
      <w:bookmarkEnd w:id="847"/>
    </w:p>
    <w:p w14:paraId="255E7282"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C66239">
        <w:rPr>
          <w:rFonts w:ascii="Arial" w:hAnsi="Arial" w:cs="Arial"/>
          <w:b/>
          <w:bCs/>
          <w:sz w:val="22"/>
          <w:szCs w:val="22"/>
          <w:lang w:val="en-US"/>
        </w:rPr>
        <w:t>11.5.1</w:t>
      </w:r>
      <w:r w:rsidRPr="00755725">
        <w:rPr>
          <w:rFonts w:ascii="Arial" w:hAnsi="Arial" w:cs="Arial"/>
          <w:sz w:val="22"/>
          <w:szCs w:val="22"/>
          <w:lang w:val="en-US"/>
        </w:rPr>
        <w:tab/>
        <w:t>A Mining Reporting Entity disclosing estimates of Inferred Mineral Resources, Indicated Mineral Resources or Measured Mineral Resources that are material and that have not previously been disclosed by the Mining Reporting Entity or that have materially changed from the estimates last publicly disclosed, must ensure its disclosure contains the following:</w:t>
      </w:r>
    </w:p>
    <w:p w14:paraId="335BAA9C"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lastRenderedPageBreak/>
        <w:t>(1)</w:t>
      </w:r>
      <w:r w:rsidRPr="00755725">
        <w:rPr>
          <w:rFonts w:ascii="Arial" w:hAnsi="Arial" w:cs="Arial"/>
          <w:sz w:val="22"/>
          <w:szCs w:val="22"/>
          <w:lang w:val="en-US"/>
        </w:rPr>
        <w:tab/>
        <w:t>a fair and balanced representation of the information contained in the report prepared in accordance with (2), including a summary of all information material to understanding the reported estimates of Mineral Resources in relation to the:</w:t>
      </w:r>
    </w:p>
    <w:p w14:paraId="5EAD0427" w14:textId="77777777" w:rsidR="00755725" w:rsidRPr="00755725" w:rsidRDefault="00755725" w:rsidP="00755725">
      <w:pPr>
        <w:spacing w:after="240" w:line="246" w:lineRule="atLeast"/>
        <w:ind w:left="2127" w:hanging="72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geology and geological interpretation;</w:t>
      </w:r>
    </w:p>
    <w:p w14:paraId="2E853212" w14:textId="77777777" w:rsidR="00755725" w:rsidRPr="00755725" w:rsidRDefault="00755725" w:rsidP="00755725">
      <w:pPr>
        <w:spacing w:after="240" w:line="246" w:lineRule="atLeast"/>
        <w:ind w:left="2127"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drilling techniques;</w:t>
      </w:r>
    </w:p>
    <w:p w14:paraId="46DEB794" w14:textId="77777777" w:rsidR="00755725" w:rsidRPr="00755725" w:rsidRDefault="00755725" w:rsidP="00755725">
      <w:pPr>
        <w:spacing w:after="240" w:line="246" w:lineRule="atLeast"/>
        <w:ind w:left="2127" w:hanging="720"/>
        <w:jc w:val="both"/>
        <w:rPr>
          <w:rFonts w:ascii="Arial" w:hAnsi="Arial" w:cs="Arial"/>
          <w:sz w:val="22"/>
          <w:szCs w:val="22"/>
          <w:lang w:val="en-US"/>
        </w:rPr>
      </w:pPr>
      <w:r w:rsidRPr="00755725">
        <w:rPr>
          <w:rFonts w:ascii="Arial" w:hAnsi="Arial" w:cs="Arial"/>
          <w:sz w:val="22"/>
          <w:szCs w:val="22"/>
          <w:lang w:val="en-US"/>
        </w:rPr>
        <w:t>(c)</w:t>
      </w:r>
      <w:r w:rsidRPr="00755725">
        <w:rPr>
          <w:rFonts w:ascii="Arial" w:hAnsi="Arial" w:cs="Arial"/>
          <w:sz w:val="22"/>
          <w:szCs w:val="22"/>
          <w:lang w:val="en-US"/>
        </w:rPr>
        <w:tab/>
        <w:t>sampling and sub-sampling techniques;</w:t>
      </w:r>
    </w:p>
    <w:p w14:paraId="693576D7" w14:textId="77777777" w:rsidR="00755725" w:rsidRPr="00755725" w:rsidRDefault="00755725" w:rsidP="00755725">
      <w:pPr>
        <w:spacing w:after="240" w:line="246" w:lineRule="atLeast"/>
        <w:ind w:left="2127" w:hanging="720"/>
        <w:jc w:val="both"/>
        <w:rPr>
          <w:rFonts w:ascii="Arial" w:hAnsi="Arial" w:cs="Arial"/>
          <w:sz w:val="22"/>
          <w:szCs w:val="22"/>
          <w:lang w:val="en-US"/>
        </w:rPr>
      </w:pPr>
      <w:r w:rsidRPr="00755725">
        <w:rPr>
          <w:rFonts w:ascii="Arial" w:hAnsi="Arial" w:cs="Arial"/>
          <w:sz w:val="22"/>
          <w:szCs w:val="22"/>
          <w:lang w:val="en-US"/>
        </w:rPr>
        <w:t>(d)</w:t>
      </w:r>
      <w:r w:rsidRPr="00755725">
        <w:rPr>
          <w:rFonts w:ascii="Arial" w:hAnsi="Arial" w:cs="Arial"/>
          <w:sz w:val="22"/>
          <w:szCs w:val="22"/>
          <w:lang w:val="en-US"/>
        </w:rPr>
        <w:tab/>
        <w:t>sample analysis method;</w:t>
      </w:r>
    </w:p>
    <w:p w14:paraId="431CFA49" w14:textId="77777777" w:rsidR="00755725" w:rsidRPr="00755725" w:rsidRDefault="00755725" w:rsidP="00755725">
      <w:pPr>
        <w:spacing w:after="240" w:line="246" w:lineRule="atLeast"/>
        <w:ind w:left="2127" w:hanging="720"/>
        <w:jc w:val="both"/>
        <w:rPr>
          <w:rFonts w:ascii="Arial" w:hAnsi="Arial" w:cs="Arial"/>
          <w:sz w:val="22"/>
          <w:szCs w:val="22"/>
          <w:lang w:val="en-US"/>
        </w:rPr>
      </w:pPr>
      <w:r w:rsidRPr="00755725">
        <w:rPr>
          <w:rFonts w:ascii="Arial" w:hAnsi="Arial" w:cs="Arial"/>
          <w:sz w:val="22"/>
          <w:szCs w:val="22"/>
          <w:lang w:val="en-US"/>
        </w:rPr>
        <w:t>(e)</w:t>
      </w:r>
      <w:r w:rsidRPr="00755725">
        <w:rPr>
          <w:rFonts w:ascii="Arial" w:hAnsi="Arial" w:cs="Arial"/>
          <w:sz w:val="22"/>
          <w:szCs w:val="22"/>
          <w:lang w:val="en-US"/>
        </w:rPr>
        <w:tab/>
        <w:t>estimation methodology;</w:t>
      </w:r>
    </w:p>
    <w:p w14:paraId="49BA96BD"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(f)</w:t>
      </w:r>
      <w:r w:rsidRPr="00755725">
        <w:rPr>
          <w:rFonts w:ascii="Arial" w:hAnsi="Arial" w:cs="Arial"/>
          <w:sz w:val="22"/>
          <w:szCs w:val="22"/>
          <w:lang w:val="en-US"/>
        </w:rPr>
        <w:tab/>
        <w:t>mining and metallurgical methods and parameters, and other material modifying factors considered to date;</w:t>
      </w:r>
    </w:p>
    <w:p w14:paraId="1635B0CC" w14:textId="77777777" w:rsidR="00755725" w:rsidRPr="00755725" w:rsidRDefault="00755725" w:rsidP="00755725">
      <w:pPr>
        <w:spacing w:after="240" w:line="246" w:lineRule="atLeast"/>
        <w:ind w:left="2127" w:hanging="720"/>
        <w:jc w:val="both"/>
        <w:rPr>
          <w:rFonts w:ascii="Arial" w:hAnsi="Arial" w:cs="Arial"/>
          <w:sz w:val="22"/>
          <w:szCs w:val="22"/>
          <w:lang w:val="en-US"/>
        </w:rPr>
      </w:pPr>
      <w:r w:rsidRPr="00755725">
        <w:rPr>
          <w:rFonts w:ascii="Arial" w:hAnsi="Arial" w:cs="Arial"/>
          <w:sz w:val="22"/>
          <w:szCs w:val="22"/>
          <w:lang w:val="en-US"/>
        </w:rPr>
        <w:t>(g)</w:t>
      </w:r>
      <w:r w:rsidRPr="00755725">
        <w:rPr>
          <w:rFonts w:ascii="Arial" w:hAnsi="Arial" w:cs="Arial"/>
          <w:sz w:val="22"/>
          <w:szCs w:val="22"/>
          <w:lang w:val="en-US"/>
        </w:rPr>
        <w:tab/>
        <w:t>cut-off grade(s), including the basis for the selected cut-off grade(s); and</w:t>
      </w:r>
    </w:p>
    <w:p w14:paraId="24CC374F" w14:textId="77777777" w:rsidR="00755725" w:rsidRPr="00755725" w:rsidRDefault="00755725" w:rsidP="00755725">
      <w:pPr>
        <w:spacing w:after="240" w:line="246" w:lineRule="atLeast"/>
        <w:ind w:left="2127" w:hanging="709"/>
        <w:jc w:val="both"/>
        <w:rPr>
          <w:rFonts w:ascii="Arial" w:hAnsi="Arial" w:cs="Arial"/>
          <w:sz w:val="22"/>
          <w:szCs w:val="22"/>
          <w:lang w:val="en-US"/>
        </w:rPr>
      </w:pPr>
      <w:r w:rsidRPr="00755725">
        <w:rPr>
          <w:rFonts w:ascii="Arial" w:hAnsi="Arial" w:cs="Arial"/>
          <w:sz w:val="22"/>
          <w:szCs w:val="22"/>
          <w:lang w:val="en-US"/>
        </w:rPr>
        <w:t>(h)</w:t>
      </w:r>
      <w:r w:rsidRPr="00755725">
        <w:rPr>
          <w:rFonts w:ascii="Arial" w:hAnsi="Arial" w:cs="Arial"/>
          <w:sz w:val="22"/>
          <w:szCs w:val="22"/>
          <w:lang w:val="en-US"/>
        </w:rPr>
        <w:tab/>
        <w:t>criteria used for classification, including drill, data spacing and distribution; where estimates for more than one category of Mineral Resources are reported, separately identifying the drill spacing used to classify each category of Mineral Resources, i.e. Inferred Mineral Resources, Indicated Mineral Resources and Measured Mineral Resources.</w:t>
      </w:r>
    </w:p>
    <w:p w14:paraId="4972AA30"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a report providing all information that is material to understanding the estimates of Mineral Resources, taking into account the:</w:t>
      </w:r>
    </w:p>
    <w:p w14:paraId="4EF7E122" w14:textId="77777777" w:rsidR="00755725" w:rsidRPr="00755725" w:rsidRDefault="00755725" w:rsidP="00755725">
      <w:pPr>
        <w:spacing w:after="240" w:line="246" w:lineRule="atLeast"/>
        <w:ind w:left="720" w:firstLine="720"/>
        <w:jc w:val="both"/>
        <w:rPr>
          <w:rFonts w:ascii="Arial" w:hAnsi="Arial" w:cs="Arial"/>
          <w:sz w:val="22"/>
          <w:szCs w:val="22"/>
          <w:lang w:val="en-US"/>
        </w:rPr>
      </w:pPr>
      <w:r w:rsidRPr="00755725">
        <w:rPr>
          <w:rFonts w:ascii="Arial" w:hAnsi="Arial" w:cs="Arial"/>
          <w:sz w:val="22"/>
          <w:szCs w:val="22"/>
          <w:lang w:val="en-US"/>
        </w:rPr>
        <w:t xml:space="preserve">(a) </w:t>
      </w:r>
      <w:r w:rsidRPr="00755725">
        <w:rPr>
          <w:rFonts w:ascii="Arial" w:hAnsi="Arial" w:cs="Arial"/>
          <w:sz w:val="22"/>
          <w:szCs w:val="22"/>
          <w:lang w:val="en-US"/>
        </w:rPr>
        <w:tab/>
        <w:t>sampling techniques and data;</w:t>
      </w:r>
    </w:p>
    <w:p w14:paraId="1684AC32" w14:textId="77777777" w:rsidR="00755725" w:rsidRPr="00755725" w:rsidRDefault="00755725" w:rsidP="00755725">
      <w:pPr>
        <w:spacing w:after="240" w:line="246" w:lineRule="atLeast"/>
        <w:ind w:left="720" w:firstLine="720"/>
        <w:jc w:val="both"/>
        <w:rPr>
          <w:rFonts w:ascii="Arial" w:hAnsi="Arial" w:cs="Arial"/>
          <w:sz w:val="22"/>
          <w:szCs w:val="22"/>
          <w:lang w:val="en-US"/>
        </w:rPr>
      </w:pPr>
      <w:r w:rsidRPr="00755725">
        <w:rPr>
          <w:rFonts w:ascii="Arial" w:hAnsi="Arial" w:cs="Arial"/>
          <w:sz w:val="22"/>
          <w:szCs w:val="22"/>
          <w:lang w:val="en-US"/>
        </w:rPr>
        <w:t xml:space="preserve">(b) </w:t>
      </w:r>
      <w:r w:rsidRPr="00755725">
        <w:rPr>
          <w:rFonts w:ascii="Arial" w:hAnsi="Arial" w:cs="Arial"/>
          <w:sz w:val="22"/>
          <w:szCs w:val="22"/>
          <w:lang w:val="en-US"/>
        </w:rPr>
        <w:tab/>
        <w:t>reporting of Exploration results;</w:t>
      </w:r>
    </w:p>
    <w:p w14:paraId="7ACEC1A4" w14:textId="77777777" w:rsidR="00755725" w:rsidRPr="00755725" w:rsidRDefault="00755725" w:rsidP="00755725">
      <w:pPr>
        <w:spacing w:after="240" w:line="246" w:lineRule="atLeast"/>
        <w:ind w:left="720" w:firstLine="720"/>
        <w:jc w:val="both"/>
        <w:rPr>
          <w:rFonts w:ascii="Arial" w:hAnsi="Arial" w:cs="Arial"/>
          <w:sz w:val="22"/>
          <w:szCs w:val="22"/>
          <w:lang w:val="en-US"/>
        </w:rPr>
      </w:pPr>
      <w:r w:rsidRPr="00755725">
        <w:rPr>
          <w:rFonts w:ascii="Arial" w:hAnsi="Arial" w:cs="Arial"/>
          <w:sz w:val="22"/>
          <w:szCs w:val="22"/>
          <w:lang w:val="en-US"/>
        </w:rPr>
        <w:t>(d)</w:t>
      </w:r>
      <w:r w:rsidRPr="00755725">
        <w:rPr>
          <w:rFonts w:ascii="Arial" w:hAnsi="Arial" w:cs="Arial"/>
          <w:sz w:val="22"/>
          <w:szCs w:val="22"/>
          <w:lang w:val="en-US"/>
        </w:rPr>
        <w:tab/>
        <w:t xml:space="preserve">estimation and reporting of Mineral Resources; </w:t>
      </w:r>
    </w:p>
    <w:p w14:paraId="68E7BBB8" w14:textId="77777777" w:rsidR="00755725" w:rsidRPr="00755725" w:rsidRDefault="00755725" w:rsidP="00755725">
      <w:pPr>
        <w:spacing w:after="240" w:line="246" w:lineRule="atLeast"/>
        <w:ind w:left="720" w:firstLine="720"/>
        <w:jc w:val="both"/>
        <w:rPr>
          <w:rFonts w:ascii="Arial" w:hAnsi="Arial" w:cs="Arial"/>
          <w:sz w:val="22"/>
          <w:szCs w:val="22"/>
          <w:lang w:val="en-US"/>
        </w:rPr>
      </w:pPr>
      <w:r w:rsidRPr="00755725">
        <w:rPr>
          <w:rFonts w:ascii="Arial" w:hAnsi="Arial" w:cs="Arial"/>
          <w:sz w:val="22"/>
          <w:szCs w:val="22"/>
          <w:lang w:val="en-US"/>
        </w:rPr>
        <w:t>(e)</w:t>
      </w:r>
      <w:r w:rsidRPr="00755725">
        <w:rPr>
          <w:rFonts w:ascii="Arial" w:hAnsi="Arial" w:cs="Arial"/>
          <w:sz w:val="22"/>
          <w:szCs w:val="22"/>
          <w:lang w:val="en-US"/>
        </w:rPr>
        <w:tab/>
        <w:t xml:space="preserve">estimation and reporting of diamonds and other gemstones; or </w:t>
      </w:r>
      <w:r w:rsidRPr="00755725">
        <w:rPr>
          <w:rFonts w:ascii="Arial" w:hAnsi="Arial" w:cs="Arial"/>
          <w:sz w:val="22"/>
          <w:szCs w:val="22"/>
          <w:lang w:val="en-US"/>
        </w:rPr>
        <w:tab/>
      </w:r>
    </w:p>
    <w:p w14:paraId="1D196786" w14:textId="77777777" w:rsidR="00755725" w:rsidRPr="00755725" w:rsidRDefault="00755725" w:rsidP="00755725">
      <w:pPr>
        <w:spacing w:after="240" w:line="246" w:lineRule="atLeast"/>
        <w:ind w:left="1440" w:hanging="720"/>
        <w:jc w:val="both"/>
        <w:rPr>
          <w:rFonts w:ascii="Arial" w:hAnsi="Arial" w:cs="Arial"/>
          <w:b/>
          <w:bCs/>
          <w:sz w:val="22"/>
          <w:szCs w:val="22"/>
          <w:lang w:val="en-US"/>
        </w:rPr>
      </w:pPr>
      <w:r w:rsidRPr="00755725">
        <w:rPr>
          <w:rFonts w:ascii="Arial" w:hAnsi="Arial" w:cs="Arial"/>
          <w:sz w:val="22"/>
          <w:szCs w:val="22"/>
          <w:lang w:val="en-US"/>
        </w:rPr>
        <w:t>(3)</w:t>
      </w:r>
      <w:r w:rsidRPr="00755725">
        <w:rPr>
          <w:rFonts w:ascii="Arial" w:hAnsi="Arial" w:cs="Arial"/>
          <w:b/>
          <w:bCs/>
          <w:sz w:val="22"/>
          <w:szCs w:val="22"/>
          <w:lang w:val="en-US"/>
        </w:rPr>
        <w:tab/>
      </w:r>
      <w:r w:rsidRPr="00755725">
        <w:rPr>
          <w:rFonts w:ascii="Arial" w:hAnsi="Arial" w:cs="Arial"/>
          <w:sz w:val="22"/>
          <w:szCs w:val="22"/>
          <w:lang w:val="en-US"/>
        </w:rPr>
        <w:t>if certain information from (2) is not included because the Mining Reporting Entity considers it not to be material to understanding the estimates of Mineral Resources, an explanation from the Mining Reporting Entity as to why that information is not material to understanding the estimates of Mineral Resources.</w:t>
      </w:r>
    </w:p>
    <w:p w14:paraId="72A545CF" w14:textId="641DD785" w:rsidR="00755725" w:rsidRPr="00C66239" w:rsidRDefault="00755725" w:rsidP="00C66239">
      <w:pPr>
        <w:pStyle w:val="Heading2"/>
        <w:rPr>
          <w:rFonts w:ascii="Arial" w:hAnsi="Arial" w:cs="Arial"/>
          <w:sz w:val="22"/>
          <w:szCs w:val="22"/>
        </w:rPr>
      </w:pPr>
      <w:bookmarkStart w:id="848" w:name="_Toc138325718"/>
      <w:r w:rsidRPr="00C66239">
        <w:rPr>
          <w:rFonts w:ascii="Arial" w:hAnsi="Arial" w:cs="Arial"/>
          <w:sz w:val="22"/>
          <w:szCs w:val="22"/>
        </w:rPr>
        <w:t>Ore Reserves</w:t>
      </w:r>
      <w:bookmarkEnd w:id="848"/>
    </w:p>
    <w:p w14:paraId="49741700"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11.6.1</w:t>
      </w:r>
      <w:r w:rsidRPr="00755725">
        <w:rPr>
          <w:rFonts w:ascii="Arial" w:hAnsi="Arial" w:cs="Arial"/>
          <w:sz w:val="22"/>
          <w:szCs w:val="22"/>
          <w:lang w:val="en-US"/>
        </w:rPr>
        <w:tab/>
        <w:t>A Mining Reporting Entity disclosing estimates of Probable Ore Reserves or Proved Ore Reserves that are material, and that have not been previously disclosed by the Reporting Entity, or that have materially changed from the estimates last disclosed, must ensure the disclosure contains the following:</w:t>
      </w:r>
    </w:p>
    <w:p w14:paraId="05A33E22"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a fair and balanced representation of the information contained in the report prepared in accordance with (2) including a summary of all information material to understanding the reported estimates of Ore Reserves in relation to the:</w:t>
      </w:r>
    </w:p>
    <w:p w14:paraId="62935DBD"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 xml:space="preserve">material assumptions and the outcomes from the Technical Study, but not including a Scoping Study;  </w:t>
      </w:r>
    </w:p>
    <w:p w14:paraId="4A800F20" w14:textId="77777777" w:rsidR="00755725" w:rsidRPr="00C66239" w:rsidRDefault="00755725" w:rsidP="00C66239">
      <w:pPr>
        <w:pStyle w:val="TitleL"/>
        <w:rPr>
          <w:rFonts w:ascii="Arial" w:hAnsi="Arial" w:cs="Arial"/>
          <w:sz w:val="22"/>
          <w:szCs w:val="22"/>
        </w:rPr>
      </w:pPr>
      <w:r w:rsidRPr="00C66239">
        <w:rPr>
          <w:rFonts w:ascii="Arial" w:hAnsi="Arial" w:cs="Arial"/>
          <w:sz w:val="22"/>
          <w:szCs w:val="22"/>
        </w:rPr>
        <w:lastRenderedPageBreak/>
        <w:t>Guidance</w:t>
      </w:r>
    </w:p>
    <w:p w14:paraId="2DD114F2" w14:textId="77777777" w:rsidR="00755725" w:rsidRPr="00755725" w:rsidRDefault="00755725" w:rsidP="00755725">
      <w:pPr>
        <w:spacing w:after="240" w:line="246" w:lineRule="atLeast"/>
        <w:ind w:left="709"/>
        <w:jc w:val="both"/>
        <w:rPr>
          <w:rFonts w:ascii="Arial" w:hAnsi="Arial" w:cs="Arial"/>
          <w:sz w:val="22"/>
          <w:szCs w:val="22"/>
          <w:lang w:val="en-US"/>
        </w:rPr>
      </w:pPr>
      <w:r w:rsidRPr="00755725">
        <w:rPr>
          <w:rFonts w:ascii="Arial" w:hAnsi="Arial" w:cs="Arial"/>
          <w:sz w:val="22"/>
          <w:szCs w:val="22"/>
          <w:lang w:val="en-US"/>
        </w:rPr>
        <w:t xml:space="preserve">If the economic assumptions are commercially sensitive to the Mining Reporting Entity, an explanation of the methodology used to determine the assumptions rather than the actual figure, can be reported. </w:t>
      </w:r>
    </w:p>
    <w:p w14:paraId="491D44FB"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criteria used for classification, including the classification of the Mineral Resources on which the Ore Reserves are based and the confidence in the modifying factors applied;</w:t>
      </w:r>
    </w:p>
    <w:p w14:paraId="02EC2C73"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(c)</w:t>
      </w:r>
      <w:r w:rsidRPr="00755725">
        <w:rPr>
          <w:rFonts w:ascii="Arial" w:hAnsi="Arial" w:cs="Arial"/>
          <w:sz w:val="22"/>
          <w:szCs w:val="22"/>
          <w:lang w:val="en-US"/>
        </w:rPr>
        <w:tab/>
        <w:t>mining method selected and other mining assumptions, including mining recovery factors and mining dilution factors;</w:t>
      </w:r>
    </w:p>
    <w:p w14:paraId="3971F465"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(d)</w:t>
      </w:r>
      <w:r w:rsidRPr="00755725">
        <w:rPr>
          <w:rFonts w:ascii="Arial" w:hAnsi="Arial" w:cs="Arial"/>
          <w:sz w:val="22"/>
          <w:szCs w:val="22"/>
          <w:lang w:val="en-US"/>
        </w:rPr>
        <w:tab/>
        <w:t>processing method selected and other processing assumptions, including the recovery factors applied and the allowances made for deleterious elements;</w:t>
      </w:r>
    </w:p>
    <w:p w14:paraId="63B99E82"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(e)</w:t>
      </w:r>
      <w:r w:rsidRPr="00755725">
        <w:rPr>
          <w:rFonts w:ascii="Arial" w:hAnsi="Arial" w:cs="Arial"/>
          <w:sz w:val="22"/>
          <w:szCs w:val="22"/>
          <w:lang w:val="en-US"/>
        </w:rPr>
        <w:tab/>
        <w:t>basis of the cut-off grade(s) or quality parameters applied;</w:t>
      </w:r>
    </w:p>
    <w:p w14:paraId="6302CD92"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(f)</w:t>
      </w:r>
      <w:r w:rsidRPr="00755725">
        <w:rPr>
          <w:rFonts w:ascii="Arial" w:hAnsi="Arial" w:cs="Arial"/>
          <w:sz w:val="22"/>
          <w:szCs w:val="22"/>
          <w:lang w:val="en-US"/>
        </w:rPr>
        <w:tab/>
        <w:t>estimation methodology; and</w:t>
      </w:r>
    </w:p>
    <w:p w14:paraId="7D954CE7"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(g)</w:t>
      </w:r>
      <w:r w:rsidRPr="00755725">
        <w:rPr>
          <w:rFonts w:ascii="Arial" w:hAnsi="Arial" w:cs="Arial"/>
          <w:sz w:val="22"/>
          <w:szCs w:val="22"/>
          <w:lang w:val="en-US"/>
        </w:rPr>
        <w:tab/>
        <w:t>material modifying factors, including the status of environmental approvals, Mining Tenements and approvals, other government factors and infrastructure requirements for selecting mining methods and for transportation to market.</w:t>
      </w:r>
    </w:p>
    <w:p w14:paraId="63B42537"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a report providing all information that is material to understanding the estimates of Ore Reserves, taking into account the:</w:t>
      </w:r>
    </w:p>
    <w:p w14:paraId="11048D05" w14:textId="77777777" w:rsidR="00755725" w:rsidRPr="00755725" w:rsidRDefault="00755725" w:rsidP="00755725">
      <w:pPr>
        <w:spacing w:after="240" w:line="246" w:lineRule="atLeast"/>
        <w:ind w:left="720" w:firstLine="720"/>
        <w:jc w:val="both"/>
        <w:rPr>
          <w:rFonts w:ascii="Arial" w:hAnsi="Arial" w:cs="Arial"/>
          <w:sz w:val="22"/>
          <w:szCs w:val="22"/>
          <w:lang w:val="en-US"/>
        </w:rPr>
      </w:pPr>
      <w:r w:rsidRPr="00755725">
        <w:rPr>
          <w:rFonts w:ascii="Arial" w:hAnsi="Arial" w:cs="Arial"/>
          <w:sz w:val="22"/>
          <w:szCs w:val="22"/>
          <w:lang w:val="en-US"/>
        </w:rPr>
        <w:t xml:space="preserve">(a) </w:t>
      </w:r>
      <w:r w:rsidRPr="00755725">
        <w:rPr>
          <w:rFonts w:ascii="Arial" w:hAnsi="Arial" w:cs="Arial"/>
          <w:sz w:val="22"/>
          <w:szCs w:val="22"/>
          <w:lang w:val="en-US"/>
        </w:rPr>
        <w:tab/>
        <w:t>sampling techniques and data;</w:t>
      </w:r>
    </w:p>
    <w:p w14:paraId="76A2AAB7" w14:textId="77777777" w:rsidR="00755725" w:rsidRPr="00755725" w:rsidRDefault="00755725" w:rsidP="00755725">
      <w:pPr>
        <w:spacing w:after="240" w:line="246" w:lineRule="atLeast"/>
        <w:ind w:left="720" w:firstLine="720"/>
        <w:jc w:val="both"/>
        <w:rPr>
          <w:rFonts w:ascii="Arial" w:hAnsi="Arial" w:cs="Arial"/>
          <w:sz w:val="22"/>
          <w:szCs w:val="22"/>
          <w:lang w:val="en-US"/>
        </w:rPr>
      </w:pPr>
      <w:r w:rsidRPr="00755725">
        <w:rPr>
          <w:rFonts w:ascii="Arial" w:hAnsi="Arial" w:cs="Arial"/>
          <w:sz w:val="22"/>
          <w:szCs w:val="22"/>
          <w:lang w:val="en-US"/>
        </w:rPr>
        <w:t xml:space="preserve">(b) </w:t>
      </w:r>
      <w:r w:rsidRPr="00755725">
        <w:rPr>
          <w:rFonts w:ascii="Arial" w:hAnsi="Arial" w:cs="Arial"/>
          <w:sz w:val="22"/>
          <w:szCs w:val="22"/>
          <w:lang w:val="en-US"/>
        </w:rPr>
        <w:tab/>
        <w:t>reporting of Exploration results;</w:t>
      </w:r>
    </w:p>
    <w:p w14:paraId="597C2DA2" w14:textId="77777777" w:rsidR="00755725" w:rsidRPr="00755725" w:rsidRDefault="00755725" w:rsidP="00755725">
      <w:pPr>
        <w:spacing w:after="240" w:line="246" w:lineRule="atLeast"/>
        <w:ind w:left="720" w:firstLine="720"/>
        <w:jc w:val="both"/>
        <w:rPr>
          <w:rFonts w:ascii="Arial" w:hAnsi="Arial" w:cs="Arial"/>
          <w:sz w:val="22"/>
          <w:szCs w:val="22"/>
          <w:lang w:val="en-US"/>
        </w:rPr>
      </w:pPr>
      <w:r w:rsidRPr="00755725">
        <w:rPr>
          <w:rFonts w:ascii="Arial" w:hAnsi="Arial" w:cs="Arial"/>
          <w:sz w:val="22"/>
          <w:szCs w:val="22"/>
          <w:lang w:val="en-US"/>
        </w:rPr>
        <w:t>(d)</w:t>
      </w:r>
      <w:r w:rsidRPr="00755725">
        <w:rPr>
          <w:rFonts w:ascii="Arial" w:hAnsi="Arial" w:cs="Arial"/>
          <w:sz w:val="22"/>
          <w:szCs w:val="22"/>
          <w:lang w:val="en-US"/>
        </w:rPr>
        <w:tab/>
        <w:t xml:space="preserve">estimation and reporting of Mineral Resources; </w:t>
      </w:r>
    </w:p>
    <w:p w14:paraId="0BEF8323" w14:textId="77777777" w:rsidR="00755725" w:rsidRPr="00755725" w:rsidRDefault="00755725" w:rsidP="00755725">
      <w:pPr>
        <w:spacing w:after="240" w:line="246" w:lineRule="atLeast"/>
        <w:ind w:left="720" w:firstLine="720"/>
        <w:jc w:val="both"/>
        <w:rPr>
          <w:rFonts w:ascii="Arial" w:hAnsi="Arial" w:cs="Arial"/>
          <w:sz w:val="22"/>
          <w:szCs w:val="22"/>
          <w:lang w:val="en-US"/>
        </w:rPr>
      </w:pPr>
      <w:r w:rsidRPr="00755725">
        <w:rPr>
          <w:rFonts w:ascii="Arial" w:hAnsi="Arial" w:cs="Arial"/>
          <w:sz w:val="22"/>
          <w:szCs w:val="22"/>
          <w:lang w:val="en-US"/>
        </w:rPr>
        <w:t>(e)</w:t>
      </w:r>
      <w:r w:rsidRPr="00755725">
        <w:rPr>
          <w:rFonts w:ascii="Arial" w:hAnsi="Arial" w:cs="Arial"/>
          <w:sz w:val="22"/>
          <w:szCs w:val="22"/>
          <w:lang w:val="en-US"/>
        </w:rPr>
        <w:tab/>
        <w:t xml:space="preserve">estimation and reporting of Ore Reserves; </w:t>
      </w:r>
    </w:p>
    <w:p w14:paraId="7E867CAD" w14:textId="77777777" w:rsidR="00755725" w:rsidRPr="00755725" w:rsidRDefault="00755725" w:rsidP="00755725">
      <w:pPr>
        <w:spacing w:after="240" w:line="246" w:lineRule="atLeast"/>
        <w:ind w:left="720" w:firstLine="720"/>
        <w:jc w:val="both"/>
        <w:rPr>
          <w:rFonts w:ascii="Arial" w:hAnsi="Arial" w:cs="Arial"/>
          <w:sz w:val="22"/>
          <w:szCs w:val="22"/>
          <w:lang w:val="en-US"/>
        </w:rPr>
      </w:pPr>
      <w:r w:rsidRPr="00755725">
        <w:rPr>
          <w:rFonts w:ascii="Arial" w:hAnsi="Arial" w:cs="Arial"/>
          <w:sz w:val="22"/>
          <w:szCs w:val="22"/>
          <w:lang w:val="en-US"/>
        </w:rPr>
        <w:t>(f)</w:t>
      </w:r>
      <w:r w:rsidRPr="00755725">
        <w:rPr>
          <w:rFonts w:ascii="Arial" w:hAnsi="Arial" w:cs="Arial"/>
          <w:sz w:val="22"/>
          <w:szCs w:val="22"/>
          <w:lang w:val="en-US"/>
        </w:rPr>
        <w:tab/>
        <w:t xml:space="preserve">estimation and reporting of diamonds and other gemstones; or </w:t>
      </w:r>
      <w:r w:rsidRPr="00755725">
        <w:rPr>
          <w:rFonts w:ascii="Arial" w:hAnsi="Arial" w:cs="Arial"/>
          <w:sz w:val="22"/>
          <w:szCs w:val="22"/>
          <w:lang w:val="en-US"/>
        </w:rPr>
        <w:tab/>
      </w:r>
    </w:p>
    <w:p w14:paraId="0869E413" w14:textId="77777777" w:rsidR="00755725" w:rsidRPr="00C66239" w:rsidRDefault="00755725" w:rsidP="00C66239">
      <w:pPr>
        <w:pStyle w:val="TitleL"/>
        <w:rPr>
          <w:rFonts w:ascii="Arial" w:hAnsi="Arial" w:cs="Arial"/>
          <w:sz w:val="22"/>
          <w:szCs w:val="22"/>
        </w:rPr>
      </w:pPr>
      <w:r w:rsidRPr="00C66239">
        <w:rPr>
          <w:rFonts w:ascii="Arial" w:hAnsi="Arial" w:cs="Arial"/>
          <w:sz w:val="22"/>
          <w:szCs w:val="22"/>
        </w:rPr>
        <w:t>Guidance</w:t>
      </w:r>
    </w:p>
    <w:p w14:paraId="615F5DAE" w14:textId="77777777" w:rsidR="00755725" w:rsidRPr="00755725" w:rsidRDefault="00755725" w:rsidP="00755725">
      <w:pPr>
        <w:spacing w:after="240" w:line="246" w:lineRule="atLeast"/>
        <w:ind w:left="720"/>
        <w:jc w:val="both"/>
        <w:rPr>
          <w:rFonts w:ascii="Arial" w:hAnsi="Arial" w:cs="Arial"/>
          <w:sz w:val="22"/>
          <w:szCs w:val="22"/>
          <w:lang w:val="en-US"/>
        </w:rPr>
      </w:pPr>
      <w:r w:rsidRPr="00755725">
        <w:rPr>
          <w:rFonts w:ascii="Arial" w:hAnsi="Arial" w:cs="Arial"/>
          <w:sz w:val="22"/>
          <w:szCs w:val="22"/>
          <w:lang w:val="en-US"/>
        </w:rPr>
        <w:t>Mining Reporting Entities should refer to the sections of the Mining Reporting Standard relevant to a report on Ore Reserves</w:t>
      </w:r>
      <w:r w:rsidRPr="00755725">
        <w:rPr>
          <w:rFonts w:ascii="Arial" w:hAnsi="Arial" w:cs="Arial"/>
          <w:b/>
          <w:bCs/>
          <w:sz w:val="22"/>
          <w:szCs w:val="22"/>
          <w:lang w:val="en-US"/>
        </w:rPr>
        <w:t xml:space="preserve">. </w:t>
      </w:r>
    </w:p>
    <w:p w14:paraId="2299BF91" w14:textId="77777777" w:rsidR="00755725" w:rsidRPr="00755725" w:rsidRDefault="00755725" w:rsidP="00755725">
      <w:pPr>
        <w:spacing w:after="240" w:line="246" w:lineRule="atLeast"/>
        <w:ind w:left="1440" w:hanging="720"/>
        <w:jc w:val="both"/>
        <w:rPr>
          <w:rFonts w:ascii="Arial" w:hAnsi="Arial" w:cs="Arial"/>
          <w:b/>
          <w:bCs/>
          <w:sz w:val="22"/>
          <w:szCs w:val="22"/>
          <w:lang w:val="en-US"/>
        </w:rPr>
      </w:pPr>
      <w:r w:rsidRPr="00755725">
        <w:rPr>
          <w:rFonts w:ascii="Arial" w:hAnsi="Arial" w:cs="Arial"/>
          <w:sz w:val="22"/>
          <w:szCs w:val="22"/>
          <w:lang w:val="en-US"/>
        </w:rPr>
        <w:t>(3)</w:t>
      </w:r>
      <w:r w:rsidRPr="00755725">
        <w:rPr>
          <w:rFonts w:ascii="Arial" w:hAnsi="Arial" w:cs="Arial"/>
          <w:b/>
          <w:bCs/>
          <w:sz w:val="22"/>
          <w:szCs w:val="22"/>
          <w:lang w:val="en-US"/>
        </w:rPr>
        <w:tab/>
      </w:r>
      <w:r w:rsidRPr="00755725">
        <w:rPr>
          <w:rFonts w:ascii="Arial" w:hAnsi="Arial" w:cs="Arial"/>
          <w:sz w:val="22"/>
          <w:szCs w:val="22"/>
          <w:lang w:val="en-US"/>
        </w:rPr>
        <w:t>if certain information from (2) is not included because the Mining Reporting Entity considers it not to be material to understanding the estimates of Ore Reserves, an explanation from the Mining Reporting Entity as to why that information is not material to understanding the estimates of Ore Reserves.</w:t>
      </w:r>
    </w:p>
    <w:p w14:paraId="7F56F1F7" w14:textId="7CA6BBF9" w:rsidR="00755725" w:rsidRPr="00C66239" w:rsidRDefault="00755725" w:rsidP="00C66239">
      <w:pPr>
        <w:pStyle w:val="Heading2"/>
        <w:rPr>
          <w:rFonts w:ascii="Arial" w:hAnsi="Arial" w:cs="Arial"/>
          <w:sz w:val="22"/>
          <w:szCs w:val="22"/>
        </w:rPr>
      </w:pPr>
      <w:bookmarkStart w:id="849" w:name="_Toc138325719"/>
      <w:r w:rsidRPr="00C66239">
        <w:rPr>
          <w:rFonts w:ascii="Arial" w:hAnsi="Arial" w:cs="Arial"/>
          <w:sz w:val="22"/>
          <w:szCs w:val="22"/>
        </w:rPr>
        <w:t>Non-Equivalent Estimates</w:t>
      </w:r>
      <w:bookmarkEnd w:id="849"/>
    </w:p>
    <w:p w14:paraId="458D9E32"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C66239">
        <w:rPr>
          <w:rFonts w:ascii="Arial" w:hAnsi="Arial" w:cs="Arial"/>
          <w:b/>
          <w:bCs/>
          <w:sz w:val="22"/>
          <w:szCs w:val="22"/>
          <w:lang w:val="en-US"/>
        </w:rPr>
        <w:t>11.7.1</w:t>
      </w:r>
      <w:r w:rsidRPr="00755725">
        <w:rPr>
          <w:rFonts w:ascii="Arial" w:hAnsi="Arial" w:cs="Arial"/>
          <w:sz w:val="22"/>
          <w:szCs w:val="22"/>
          <w:lang w:val="en-US"/>
        </w:rPr>
        <w:tab/>
        <w:t>Where a Mining Reporting Entity discloses material Non-Equivalent Estimates of Mineralisation the Mining Reporting Entity does not need to comply with Rule 11.2.1(1) provided the Mining Reporting Entity complies with:</w:t>
      </w:r>
    </w:p>
    <w:p w14:paraId="64FABB9A"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(1)</w:t>
      </w:r>
      <w:r w:rsidRPr="00755725">
        <w:rPr>
          <w:rFonts w:ascii="Arial" w:hAnsi="Arial" w:cs="Arial"/>
          <w:sz w:val="22"/>
          <w:szCs w:val="22"/>
          <w:lang w:val="en-US"/>
        </w:rPr>
        <w:tab/>
        <w:t>Rule 11.7.2;</w:t>
      </w:r>
    </w:p>
    <w:p w14:paraId="01FC022D"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lastRenderedPageBreak/>
        <w:tab/>
        <w:t>(2)</w:t>
      </w:r>
      <w:r w:rsidRPr="00755725">
        <w:rPr>
          <w:rFonts w:ascii="Arial" w:hAnsi="Arial" w:cs="Arial"/>
          <w:sz w:val="22"/>
          <w:szCs w:val="22"/>
          <w:lang w:val="en-US"/>
        </w:rPr>
        <w:tab/>
        <w:t>Rule 11.7.3;</w:t>
      </w:r>
    </w:p>
    <w:p w14:paraId="3BEC3C29"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(3)</w:t>
      </w:r>
      <w:r w:rsidRPr="00755725">
        <w:rPr>
          <w:rFonts w:ascii="Arial" w:hAnsi="Arial" w:cs="Arial"/>
          <w:sz w:val="22"/>
          <w:szCs w:val="22"/>
          <w:lang w:val="en-US"/>
        </w:rPr>
        <w:tab/>
        <w:t>Rule 11.7.4; and</w:t>
      </w:r>
    </w:p>
    <w:p w14:paraId="70CCB321"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(4)</w:t>
      </w:r>
      <w:r w:rsidRPr="00755725">
        <w:rPr>
          <w:rFonts w:ascii="Arial" w:hAnsi="Arial" w:cs="Arial"/>
          <w:sz w:val="22"/>
          <w:szCs w:val="22"/>
          <w:lang w:val="en-US"/>
        </w:rPr>
        <w:tab/>
        <w:t>Rule 11.7.6.</w:t>
      </w:r>
    </w:p>
    <w:p w14:paraId="7800FFB5"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A94C5E">
        <w:rPr>
          <w:rFonts w:ascii="Arial" w:hAnsi="Arial" w:cs="Arial"/>
          <w:b/>
          <w:bCs/>
          <w:sz w:val="22"/>
          <w:szCs w:val="22"/>
          <w:lang w:val="en-US"/>
        </w:rPr>
        <w:t>11.7.2</w:t>
      </w:r>
      <w:r w:rsidRPr="00755725">
        <w:rPr>
          <w:rFonts w:ascii="Arial" w:hAnsi="Arial" w:cs="Arial"/>
          <w:sz w:val="22"/>
          <w:szCs w:val="22"/>
          <w:lang w:val="en-US"/>
        </w:rPr>
        <w:tab/>
        <w:t>A Mining Reporting Entity cannot disclose material Non-Equivalent Estimates of Mineralisation where it is attempting to disclose:</w:t>
      </w:r>
    </w:p>
    <w:p w14:paraId="595EB35F"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‘preliminary resources’ where the Mining Reporting Entity’s relevant exploration and evaluation programs are incomplete;</w:t>
      </w:r>
    </w:p>
    <w:p w14:paraId="21141DA7"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Ore Reserves when the appropriate Technical Study(s) required by a Mining Reporting Standard to allow the conversion of Mineral Resources to Ore Reserves has not yet been completed;</w:t>
      </w:r>
    </w:p>
    <w:p w14:paraId="1BC256DA"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 xml:space="preserve">(3) </w:t>
      </w:r>
      <w:r w:rsidRPr="00755725">
        <w:rPr>
          <w:rFonts w:ascii="Arial" w:hAnsi="Arial" w:cs="Arial"/>
          <w:sz w:val="22"/>
          <w:szCs w:val="22"/>
          <w:lang w:val="en-US"/>
        </w:rPr>
        <w:tab/>
        <w:t>Non-Equivalent Estimates of Mineralisation for areas adjacent to its Mining Tenements; or</w:t>
      </w:r>
    </w:p>
    <w:p w14:paraId="098AB21B"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(4)</w:t>
      </w:r>
      <w:r w:rsidRPr="00755725">
        <w:rPr>
          <w:rFonts w:ascii="Arial" w:hAnsi="Arial" w:cs="Arial"/>
          <w:sz w:val="22"/>
          <w:szCs w:val="22"/>
          <w:lang w:val="en-US"/>
        </w:rPr>
        <w:tab/>
        <w:t>with an intent to avoid the requirements of a Mining Reporting Standard and/or these Rules.</w:t>
      </w:r>
    </w:p>
    <w:p w14:paraId="28DF5F2C"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A94C5E">
        <w:rPr>
          <w:rFonts w:ascii="Arial" w:hAnsi="Arial" w:cs="Arial"/>
          <w:b/>
          <w:bCs/>
          <w:sz w:val="22"/>
          <w:szCs w:val="22"/>
          <w:lang w:val="en-US"/>
        </w:rPr>
        <w:t>11.7.3</w:t>
      </w:r>
      <w:r w:rsidRPr="00755725">
        <w:rPr>
          <w:rFonts w:ascii="Arial" w:hAnsi="Arial" w:cs="Arial"/>
          <w:sz w:val="22"/>
          <w:szCs w:val="22"/>
          <w:lang w:val="en-US"/>
        </w:rPr>
        <w:tab/>
        <w:t>A Mining Reporting Entity disclosing material Non-Equivalent Estimates of Mineralisation must ensure that the disclosure contains the following:</w:t>
      </w:r>
    </w:p>
    <w:p w14:paraId="1C52D8A7"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(1)</w:t>
      </w:r>
      <w:r w:rsidRPr="00755725">
        <w:rPr>
          <w:rFonts w:ascii="Arial" w:hAnsi="Arial" w:cs="Arial"/>
          <w:sz w:val="22"/>
          <w:szCs w:val="22"/>
          <w:lang w:val="en-US"/>
        </w:rPr>
        <w:tab/>
        <w:t>a prominent, and proximate, statement to the effect that:</w:t>
      </w:r>
    </w:p>
    <w:p w14:paraId="314E44F4"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 xml:space="preserve">the estimates are Non-Equivalent Estimates and are not disclosed in accordance with a Mining Reporting Standard; </w:t>
      </w:r>
    </w:p>
    <w:p w14:paraId="22B806A8"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a Competent Person has not done sufficient work to classify the Non-Equivalent Estimates as Mineral Resources or Ore Reserves in accordance with a Mining Reporting Standard; and</w:t>
      </w:r>
    </w:p>
    <w:p w14:paraId="08E40F7C"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(c)</w:t>
      </w:r>
      <w:r w:rsidRPr="00755725">
        <w:rPr>
          <w:rFonts w:ascii="Arial" w:hAnsi="Arial" w:cs="Arial"/>
          <w:sz w:val="22"/>
          <w:szCs w:val="22"/>
          <w:lang w:val="en-US"/>
        </w:rPr>
        <w:tab/>
        <w:t>it is uncertain whether, following evaluation and/or further Exploration work, the Non-Equivalent Estimates will ever be able to be disclosed as Mineral Resources or Ore Reserves in accordance with a Mining Reporting Standard.</w:t>
      </w:r>
    </w:p>
    <w:p w14:paraId="3032C138"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t>(2)</w:t>
      </w:r>
      <w:r w:rsidRPr="00755725">
        <w:rPr>
          <w:rFonts w:ascii="Arial" w:hAnsi="Arial" w:cs="Arial"/>
          <w:sz w:val="22"/>
          <w:szCs w:val="22"/>
          <w:lang w:val="en-US"/>
        </w:rPr>
        <w:tab/>
        <w:t>the source(s) and date(s) of the Non-Equivalent Estimates;</w:t>
      </w:r>
    </w:p>
    <w:p w14:paraId="262B4B86"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if the Non-Equivalent Estimates use categories of Mineralisation, a statement identifying whether the categories used:</w:t>
      </w:r>
    </w:p>
    <w:p w14:paraId="65FD26C6"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are different to those defined in a Mining Reporting Standard, and an explanation of the differences; or</w:t>
      </w:r>
    </w:p>
    <w:p w14:paraId="3BC564A1"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(b)</w:t>
      </w:r>
      <w:r w:rsidRPr="00755725">
        <w:rPr>
          <w:rFonts w:ascii="Arial" w:hAnsi="Arial" w:cs="Arial"/>
          <w:sz w:val="22"/>
          <w:szCs w:val="22"/>
          <w:lang w:val="en-US"/>
        </w:rPr>
        <w:tab/>
        <w:t>are the same as those defined in a Mining Reporting Standard;</w:t>
      </w:r>
    </w:p>
    <w:p w14:paraId="1EB24124"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t>(4)</w:t>
      </w:r>
      <w:r w:rsidRPr="00755725">
        <w:rPr>
          <w:rFonts w:ascii="Arial" w:hAnsi="Arial" w:cs="Arial"/>
          <w:sz w:val="22"/>
          <w:szCs w:val="22"/>
          <w:lang w:val="en-US"/>
        </w:rPr>
        <w:tab/>
        <w:t>the relevance of the Non-Equivalent Estimates to the Mining Reporting Entity;</w:t>
      </w:r>
    </w:p>
    <w:p w14:paraId="3779D4F3"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t>(5)</w:t>
      </w:r>
      <w:r w:rsidRPr="00755725">
        <w:rPr>
          <w:rFonts w:ascii="Arial" w:hAnsi="Arial" w:cs="Arial"/>
          <w:sz w:val="22"/>
          <w:szCs w:val="22"/>
          <w:lang w:val="en-US"/>
        </w:rPr>
        <w:tab/>
        <w:t>the reliability of the Non-Equivalent Estimates;</w:t>
      </w:r>
    </w:p>
    <w:p w14:paraId="57EB4412" w14:textId="77777777" w:rsidR="00755725" w:rsidRPr="00755725" w:rsidRDefault="00755725" w:rsidP="00755725">
      <w:pPr>
        <w:spacing w:after="240" w:line="246" w:lineRule="atLeast"/>
        <w:ind w:left="1440"/>
        <w:jc w:val="both"/>
        <w:rPr>
          <w:rFonts w:ascii="Arial" w:hAnsi="Arial" w:cs="Arial"/>
          <w:sz w:val="22"/>
          <w:szCs w:val="22"/>
          <w:lang w:val="en-US"/>
        </w:rPr>
      </w:pPr>
      <w:r w:rsidRPr="00755725">
        <w:rPr>
          <w:rFonts w:ascii="Arial" w:hAnsi="Arial" w:cs="Arial"/>
          <w:sz w:val="22"/>
          <w:szCs w:val="22"/>
          <w:lang w:val="en-US"/>
        </w:rPr>
        <w:t>Guidance: For example, the Mining Reporting Entity may want to have regard to the relevant criteria listed in Table 1 of the JORC Code.</w:t>
      </w:r>
    </w:p>
    <w:p w14:paraId="779F3F8D"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lastRenderedPageBreak/>
        <w:t>(6)</w:t>
      </w:r>
      <w:r w:rsidRPr="00755725">
        <w:rPr>
          <w:rFonts w:ascii="Arial" w:hAnsi="Arial" w:cs="Arial"/>
          <w:sz w:val="22"/>
          <w:szCs w:val="22"/>
          <w:lang w:val="en-US"/>
        </w:rPr>
        <w:tab/>
        <w:t>a summary of the evaluation and/or exploration work on which the Non-Equivalent Estimates are based;</w:t>
      </w:r>
    </w:p>
    <w:p w14:paraId="3355FC55"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(7)</w:t>
      </w:r>
      <w:r w:rsidRPr="00755725">
        <w:rPr>
          <w:rFonts w:ascii="Arial" w:hAnsi="Arial" w:cs="Arial"/>
          <w:sz w:val="22"/>
          <w:szCs w:val="22"/>
          <w:lang w:val="en-US"/>
        </w:rPr>
        <w:tab/>
        <w:t>a summary of the key assumptions, mining and processing parameters and methods used to prepare the Non-Equivalent Estimates;</w:t>
      </w:r>
    </w:p>
    <w:p w14:paraId="04BE2951"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(8)</w:t>
      </w:r>
      <w:r w:rsidRPr="00755725">
        <w:rPr>
          <w:rFonts w:ascii="Arial" w:hAnsi="Arial" w:cs="Arial"/>
          <w:sz w:val="22"/>
          <w:szCs w:val="22"/>
          <w:lang w:val="en-US"/>
        </w:rPr>
        <w:tab/>
        <w:t>details of any more recent estimates or data relevant to interpreting the Non-Equivalent Estimates, and the source(s) and date(s) of the estimates or data;</w:t>
      </w:r>
    </w:p>
    <w:p w14:paraId="0E43B323"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(9)</w:t>
      </w:r>
      <w:r w:rsidRPr="00755725">
        <w:rPr>
          <w:rFonts w:ascii="Arial" w:hAnsi="Arial" w:cs="Arial"/>
          <w:sz w:val="22"/>
          <w:szCs w:val="22"/>
          <w:lang w:val="en-US"/>
        </w:rPr>
        <w:tab/>
        <w:t>the evaluation and/or exploration work that needs to be undertaken to verify the Non-Equivalent Estimates as Mineral Resources or Ore Reserves in accordance with a Mining Reporting Standard;</w:t>
      </w:r>
    </w:p>
    <w:p w14:paraId="563C0DB8"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(10)</w:t>
      </w:r>
      <w:r w:rsidRPr="00755725">
        <w:rPr>
          <w:rFonts w:ascii="Arial" w:hAnsi="Arial" w:cs="Arial"/>
          <w:sz w:val="22"/>
          <w:szCs w:val="22"/>
          <w:lang w:val="en-US"/>
        </w:rPr>
        <w:tab/>
        <w:t>the proposed timing of the evaluation and/or exploration work disclosed in (9);</w:t>
      </w:r>
    </w:p>
    <w:p w14:paraId="58E73B09"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(11)</w:t>
      </w:r>
      <w:r w:rsidRPr="00755725">
        <w:rPr>
          <w:rFonts w:ascii="Arial" w:hAnsi="Arial" w:cs="Arial"/>
          <w:sz w:val="22"/>
          <w:szCs w:val="22"/>
          <w:lang w:val="en-US"/>
        </w:rPr>
        <w:tab/>
        <w:t>the proposed source of funding for the evaluation and/or exploration work disclosed pursuant to (9);</w:t>
      </w:r>
    </w:p>
    <w:p w14:paraId="39D0B764"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(12)</w:t>
      </w:r>
      <w:r w:rsidRPr="00755725">
        <w:rPr>
          <w:rFonts w:ascii="Arial" w:hAnsi="Arial" w:cs="Arial"/>
          <w:sz w:val="22"/>
          <w:szCs w:val="22"/>
          <w:lang w:val="en-US"/>
        </w:rPr>
        <w:tab/>
        <w:t>the mineral resources classification and reporting standard used in determining the Non-Equivalent Estimates; and</w:t>
      </w:r>
    </w:p>
    <w:p w14:paraId="1718391E"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(13)</w:t>
      </w:r>
      <w:r w:rsidRPr="00755725">
        <w:rPr>
          <w:rFonts w:ascii="Arial" w:hAnsi="Arial" w:cs="Arial"/>
          <w:sz w:val="22"/>
          <w:szCs w:val="22"/>
          <w:lang w:val="en-US"/>
        </w:rPr>
        <w:tab/>
        <w:t>a statement by a named Competent Person(s) that the information in the disclosure provided pursuant to (3) to (9) is an accurate representation of the available data and studies relating to the Non-Equivalent Estimates.</w:t>
      </w:r>
    </w:p>
    <w:p w14:paraId="1753F9CF"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A94C5E">
        <w:rPr>
          <w:rFonts w:ascii="Arial" w:hAnsi="Arial" w:cs="Arial"/>
          <w:b/>
          <w:bCs/>
          <w:sz w:val="22"/>
          <w:szCs w:val="22"/>
          <w:lang w:val="en-US"/>
        </w:rPr>
        <w:t>11.7.4</w:t>
      </w:r>
      <w:r w:rsidRPr="00755725">
        <w:rPr>
          <w:rFonts w:ascii="Arial" w:hAnsi="Arial" w:cs="Arial"/>
          <w:sz w:val="22"/>
          <w:szCs w:val="22"/>
          <w:lang w:val="en-US"/>
        </w:rPr>
        <w:tab/>
        <w:t>If a Mining Reporting Entity has disclosed Non-Equivalent Estimates that comply with the requirements of Rule 11.7.3, then any subsequent disclosure made in respect of the Non-Equivalent Estimates does not need to include the information in that Rule if the subsequent disclosure:</w:t>
      </w:r>
    </w:p>
    <w:p w14:paraId="0BA33FBC"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(1)</w:t>
      </w:r>
      <w:r w:rsidRPr="00755725">
        <w:rPr>
          <w:rFonts w:ascii="Arial" w:hAnsi="Arial" w:cs="Arial"/>
          <w:sz w:val="22"/>
          <w:szCs w:val="22"/>
          <w:lang w:val="en-US"/>
        </w:rPr>
        <w:tab/>
        <w:t>references the earlier disclosure that was in compliance with that Rule;</w:t>
      </w:r>
    </w:p>
    <w:p w14:paraId="10D0D85B"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(2)</w:t>
      </w:r>
      <w:r w:rsidRPr="00755725">
        <w:rPr>
          <w:rFonts w:ascii="Arial" w:hAnsi="Arial" w:cs="Arial"/>
          <w:sz w:val="22"/>
          <w:szCs w:val="22"/>
          <w:lang w:val="en-US"/>
        </w:rPr>
        <w:tab/>
        <w:t>contains a confirmation from the Mining Reporting Entity that:</w:t>
      </w:r>
    </w:p>
    <w:p w14:paraId="3708D25B"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the information provided in the earlier disclosure in compliance with that Rule continues to apply; and</w:t>
      </w:r>
    </w:p>
    <w:p w14:paraId="687AC8D8"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there is no new material information or data relating to the Non-Equivalent Estimates that impacts on the:</w:t>
      </w:r>
      <w:r w:rsidRPr="00755725">
        <w:rPr>
          <w:rFonts w:ascii="Arial" w:hAnsi="Arial" w:cs="Arial"/>
          <w:sz w:val="22"/>
          <w:szCs w:val="22"/>
          <w:lang w:val="en-US"/>
        </w:rPr>
        <w:tab/>
      </w:r>
    </w:p>
    <w:p w14:paraId="4977F3DD" w14:textId="77777777" w:rsidR="00755725" w:rsidRPr="00755725" w:rsidRDefault="00755725" w:rsidP="00755725">
      <w:pPr>
        <w:spacing w:after="240" w:line="246" w:lineRule="atLeast"/>
        <w:ind w:left="2835" w:hanging="708"/>
        <w:jc w:val="both"/>
        <w:rPr>
          <w:rFonts w:ascii="Arial" w:hAnsi="Arial" w:cs="Arial"/>
          <w:sz w:val="22"/>
          <w:szCs w:val="22"/>
          <w:lang w:val="en-US"/>
        </w:rPr>
      </w:pPr>
      <w:r w:rsidRPr="00755725">
        <w:rPr>
          <w:rFonts w:ascii="Arial" w:hAnsi="Arial" w:cs="Arial"/>
          <w:sz w:val="22"/>
          <w:szCs w:val="22"/>
          <w:lang w:val="en-US"/>
        </w:rPr>
        <w:t>(i)</w:t>
      </w:r>
      <w:r w:rsidRPr="00755725">
        <w:rPr>
          <w:rFonts w:ascii="Arial" w:hAnsi="Arial" w:cs="Arial"/>
          <w:sz w:val="22"/>
          <w:szCs w:val="22"/>
          <w:lang w:val="en-US"/>
        </w:rPr>
        <w:tab/>
        <w:t>reliability or interpretation of the Non-Equivalent Estimates; or</w:t>
      </w:r>
    </w:p>
    <w:p w14:paraId="19D3469F" w14:textId="77777777" w:rsidR="00755725" w:rsidRPr="00755725" w:rsidRDefault="00755725" w:rsidP="00755725">
      <w:pPr>
        <w:tabs>
          <w:tab w:val="left" w:pos="2977"/>
        </w:tabs>
        <w:spacing w:after="240" w:line="246" w:lineRule="atLeast"/>
        <w:ind w:left="2835" w:hanging="675"/>
        <w:jc w:val="both"/>
        <w:rPr>
          <w:rFonts w:ascii="Arial" w:hAnsi="Arial" w:cs="Arial"/>
          <w:sz w:val="22"/>
          <w:szCs w:val="22"/>
          <w:lang w:val="en-US"/>
        </w:rPr>
      </w:pPr>
      <w:r w:rsidRPr="00755725">
        <w:rPr>
          <w:rFonts w:ascii="Arial" w:hAnsi="Arial" w:cs="Arial"/>
          <w:sz w:val="22"/>
          <w:szCs w:val="22"/>
          <w:lang w:val="en-US"/>
        </w:rPr>
        <w:t>(ii)</w:t>
      </w:r>
      <w:r w:rsidRPr="00755725">
        <w:rPr>
          <w:rFonts w:ascii="Arial" w:hAnsi="Arial" w:cs="Arial"/>
          <w:sz w:val="22"/>
          <w:szCs w:val="22"/>
          <w:lang w:val="en-US"/>
        </w:rPr>
        <w:tab/>
        <w:t>Mining Reporting Entity’s ability to verify the Non-Equivalent Estimates as Mineral Resources or Ore Reserves in accordance with a Mining Reporting Standard; and</w:t>
      </w:r>
    </w:p>
    <w:p w14:paraId="5948F35D"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includes an at least equally prominent, and proximate, statement about the disclosed Non-Equivalent Estimates addressing the matters contained in Rule 11.7.3(1).</w:t>
      </w:r>
    </w:p>
    <w:p w14:paraId="5EAD1A10"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A94C5E">
        <w:rPr>
          <w:rFonts w:ascii="Arial" w:hAnsi="Arial" w:cs="Arial"/>
          <w:b/>
          <w:bCs/>
          <w:sz w:val="22"/>
          <w:szCs w:val="22"/>
          <w:lang w:val="en-US"/>
        </w:rPr>
        <w:t>11.7.5</w:t>
      </w:r>
      <w:r w:rsidRPr="00755725">
        <w:rPr>
          <w:rFonts w:ascii="Arial" w:hAnsi="Arial" w:cs="Arial"/>
          <w:sz w:val="22"/>
          <w:szCs w:val="22"/>
          <w:lang w:val="en-US"/>
        </w:rPr>
        <w:tab/>
        <w:t>A Mining Reporting Entity must ensure that Non-Equivalent Estimates of Mineralisation are not in a Technical Study of the Mining Reporting Entity’s Mineral Resources and Ore Reserves Holdings.</w:t>
      </w:r>
    </w:p>
    <w:p w14:paraId="31CDCB81" w14:textId="6F777709" w:rsidR="00755725" w:rsidRPr="00A94C5E" w:rsidRDefault="00755725" w:rsidP="00A94C5E">
      <w:pPr>
        <w:pStyle w:val="TitleL"/>
        <w:rPr>
          <w:rFonts w:ascii="Arial" w:hAnsi="Arial" w:cs="Arial"/>
          <w:sz w:val="22"/>
          <w:szCs w:val="22"/>
        </w:rPr>
      </w:pPr>
      <w:r w:rsidRPr="00A94C5E">
        <w:rPr>
          <w:rFonts w:ascii="Arial" w:hAnsi="Arial" w:cs="Arial"/>
          <w:sz w:val="22"/>
          <w:szCs w:val="22"/>
        </w:rPr>
        <w:lastRenderedPageBreak/>
        <w:t>Non-Equivalent Estimates – Summary of Reserves and Resources</w:t>
      </w:r>
    </w:p>
    <w:p w14:paraId="3F04D8B9"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A94C5E">
        <w:rPr>
          <w:rFonts w:ascii="Arial" w:hAnsi="Arial" w:cs="Arial"/>
          <w:b/>
          <w:bCs/>
          <w:sz w:val="22"/>
          <w:szCs w:val="22"/>
          <w:lang w:val="en-US"/>
        </w:rPr>
        <w:t>11.7.6</w:t>
      </w:r>
      <w:r w:rsidRPr="00755725">
        <w:rPr>
          <w:rFonts w:ascii="Arial" w:hAnsi="Arial" w:cs="Arial"/>
          <w:sz w:val="22"/>
          <w:szCs w:val="22"/>
          <w:lang w:val="en-US"/>
        </w:rPr>
        <w:tab/>
        <w:t>If a Mining Reporting Entity has previously disclosed Non-Equivalent Estimates compliance with Rule 11.7.3 which have not subsequently been disclosed as Mineral Resources or Ore Reserves in accordance with a Mining Reporting Standard, then:</w:t>
      </w:r>
    </w:p>
    <w:p w14:paraId="37FB0846"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the Mining Reporting Entity must disclose in its Summary of Reserves and Resources, the:</w:t>
      </w:r>
    </w:p>
    <w:p w14:paraId="347941D1"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 xml:space="preserve">steps it has taken in evaluating the previously disclosed Non-Equivalent Estimates; </w:t>
      </w:r>
    </w:p>
    <w:p w14:paraId="2ADEC758"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status of any further evaluation and/or exploration work required to verify and disclose the Non-Equivalent Estimates as Mineral Resources or Ore Reserves in accordance with the Mining Reporting Standard; and</w:t>
      </w:r>
    </w:p>
    <w:p w14:paraId="3F923B55"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(c)</w:t>
      </w:r>
      <w:r w:rsidRPr="00755725">
        <w:rPr>
          <w:rFonts w:ascii="Arial" w:hAnsi="Arial" w:cs="Arial"/>
          <w:sz w:val="22"/>
          <w:szCs w:val="22"/>
          <w:lang w:val="en-US"/>
        </w:rPr>
        <w:tab/>
        <w:t>status of the proposed source of funding for the evaluation and/or exploration work referred to in Rule 11.7.6(1)(b); and</w:t>
      </w:r>
    </w:p>
    <w:p w14:paraId="67FB06D7"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if it has been more than three years since the first disclosure of the Non-Equivalent Estimates under Rule 11.7.4 and those estimates have not been subsequently verified and disclosed as Mineral Resources or Ore Reserves in accordance with a Mining Reporting Standard, then the Mining Reporting Entity must disclose in its Summary of Reserves and Resources:</w:t>
      </w:r>
    </w:p>
    <w:p w14:paraId="24425394"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an explanation of why the Non-Equivalent Estimates have not been verified and disclosed as Mineral Resources or Ore Reserves in accordance with a Mining Reporting Standard; and</w:t>
      </w:r>
    </w:p>
    <w:p w14:paraId="1F8D16B4"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 xml:space="preserve">the Mining Reporting Entity’s intention, proposed timetable and proposed source of funding with regard to verifying and disclosing the Non-Equivalent Estimates as Mineral Resources or Ore Reserves in accordance with a Mining Reporting Standard. </w:t>
      </w:r>
    </w:p>
    <w:p w14:paraId="02ACCB3D" w14:textId="001A1032" w:rsidR="00755725" w:rsidRPr="00A94C5E" w:rsidRDefault="00755725" w:rsidP="00A94C5E">
      <w:pPr>
        <w:pStyle w:val="Heading2"/>
        <w:rPr>
          <w:rFonts w:ascii="Arial" w:hAnsi="Arial" w:cs="Arial"/>
          <w:sz w:val="22"/>
          <w:szCs w:val="22"/>
        </w:rPr>
      </w:pPr>
      <w:bookmarkStart w:id="850" w:name="_Toc138325720"/>
      <w:r w:rsidRPr="00A94C5E">
        <w:rPr>
          <w:rFonts w:ascii="Arial" w:hAnsi="Arial" w:cs="Arial"/>
          <w:sz w:val="22"/>
          <w:szCs w:val="22"/>
        </w:rPr>
        <w:t>Production Targets</w:t>
      </w:r>
      <w:bookmarkEnd w:id="850"/>
    </w:p>
    <w:p w14:paraId="39FDA074" w14:textId="77777777" w:rsidR="00755725" w:rsidRPr="00755725" w:rsidRDefault="00755725" w:rsidP="00A94C5E">
      <w:pPr>
        <w:spacing w:after="240" w:line="246" w:lineRule="atLeast"/>
        <w:ind w:left="709" w:hanging="709"/>
        <w:jc w:val="both"/>
        <w:rPr>
          <w:rFonts w:ascii="Arial" w:hAnsi="Arial" w:cs="Arial"/>
          <w:sz w:val="22"/>
          <w:szCs w:val="22"/>
          <w:lang w:val="en-US"/>
        </w:rPr>
      </w:pPr>
      <w:r w:rsidRPr="00A94C5E">
        <w:rPr>
          <w:rFonts w:ascii="Arial" w:hAnsi="Arial" w:cs="Arial"/>
          <w:b/>
          <w:bCs/>
          <w:sz w:val="22"/>
          <w:szCs w:val="22"/>
          <w:lang w:val="en-US"/>
        </w:rPr>
        <w:t>11.8.1</w:t>
      </w:r>
      <w:r w:rsidRPr="00755725">
        <w:rPr>
          <w:rFonts w:ascii="Arial" w:hAnsi="Arial" w:cs="Arial"/>
          <w:sz w:val="22"/>
          <w:szCs w:val="22"/>
          <w:lang w:val="en-US"/>
        </w:rPr>
        <w:tab/>
        <w:t>A Mining Reporting Entity must not disclose a Production Target that is based wholly on:</w:t>
      </w:r>
    </w:p>
    <w:p w14:paraId="52014BF2"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t>(1)</w:t>
      </w:r>
      <w:r w:rsidRPr="00755725">
        <w:rPr>
          <w:rFonts w:ascii="Arial" w:hAnsi="Arial" w:cs="Arial"/>
          <w:sz w:val="22"/>
          <w:szCs w:val="22"/>
          <w:lang w:val="en-US"/>
        </w:rPr>
        <w:tab/>
        <w:t>an Exploration Target;</w:t>
      </w:r>
    </w:p>
    <w:p w14:paraId="16CB7089"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t>(2)</w:t>
      </w:r>
      <w:r w:rsidRPr="00755725">
        <w:rPr>
          <w:rFonts w:ascii="Arial" w:hAnsi="Arial" w:cs="Arial"/>
          <w:sz w:val="22"/>
          <w:szCs w:val="22"/>
          <w:lang w:val="en-US"/>
        </w:rPr>
        <w:tab/>
        <w:t>a combination of Inferred Mineral Resources and an Exploration Target; or</w:t>
      </w:r>
    </w:p>
    <w:p w14:paraId="15A907A5"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t>(3)</w:t>
      </w:r>
      <w:r w:rsidRPr="00755725">
        <w:rPr>
          <w:rFonts w:ascii="Arial" w:hAnsi="Arial" w:cs="Arial"/>
          <w:sz w:val="22"/>
          <w:szCs w:val="22"/>
          <w:lang w:val="en-US"/>
        </w:rPr>
        <w:tab/>
        <w:t>or in part on, Non-Equivalent Estimates.</w:t>
      </w:r>
    </w:p>
    <w:p w14:paraId="1097108C" w14:textId="77777777" w:rsidR="00755725" w:rsidRPr="00755725" w:rsidRDefault="00755725" w:rsidP="00755725">
      <w:pPr>
        <w:spacing w:after="240" w:line="246" w:lineRule="atLeast"/>
        <w:jc w:val="both"/>
        <w:rPr>
          <w:rFonts w:ascii="Arial" w:hAnsi="Arial" w:cs="Arial"/>
          <w:sz w:val="22"/>
          <w:szCs w:val="22"/>
          <w:lang w:val="en-US"/>
        </w:rPr>
      </w:pPr>
      <w:r w:rsidRPr="00A94C5E">
        <w:rPr>
          <w:rFonts w:ascii="Arial" w:hAnsi="Arial" w:cs="Arial"/>
          <w:b/>
          <w:bCs/>
          <w:sz w:val="22"/>
          <w:szCs w:val="22"/>
          <w:lang w:val="en-US"/>
        </w:rPr>
        <w:t>11.8.2</w:t>
      </w:r>
      <w:r w:rsidRPr="00755725">
        <w:rPr>
          <w:rFonts w:ascii="Arial" w:hAnsi="Arial" w:cs="Arial"/>
          <w:sz w:val="22"/>
          <w:szCs w:val="22"/>
          <w:lang w:val="en-US"/>
        </w:rPr>
        <w:tab/>
        <w:t>A Production Target may be disclosed by a Mining Reporting Entity in relation to:</w:t>
      </w:r>
    </w:p>
    <w:p w14:paraId="0E6288E7" w14:textId="77777777" w:rsidR="00755725" w:rsidRPr="00755725" w:rsidRDefault="00755725" w:rsidP="00755725">
      <w:pPr>
        <w:spacing w:after="240" w:line="246" w:lineRule="atLeast"/>
        <w:ind w:left="1418" w:hanging="709"/>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the Mining Reporting Entity’s Mineral Resources and Ore Reserves Holdings; or</w:t>
      </w:r>
    </w:p>
    <w:p w14:paraId="752AC8AD"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a material Mining Project of the Mining Reporting Entity (or two or more Mining Projects which, together, are material).</w:t>
      </w:r>
    </w:p>
    <w:p w14:paraId="05618EFC"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A94C5E">
        <w:rPr>
          <w:rFonts w:ascii="Arial" w:hAnsi="Arial" w:cs="Arial"/>
          <w:b/>
          <w:bCs/>
          <w:sz w:val="22"/>
          <w:szCs w:val="22"/>
          <w:lang w:val="en-US"/>
        </w:rPr>
        <w:t>11.8.3</w:t>
      </w:r>
      <w:r w:rsidRPr="00755725">
        <w:rPr>
          <w:rFonts w:ascii="Arial" w:hAnsi="Arial" w:cs="Arial"/>
          <w:sz w:val="22"/>
          <w:szCs w:val="22"/>
          <w:lang w:val="en-US"/>
        </w:rPr>
        <w:tab/>
        <w:t>A Mining Reporting Entity’s disclosure pursuant to Rule 11.8.2 must include:</w:t>
      </w:r>
    </w:p>
    <w:p w14:paraId="0AB71006"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lastRenderedPageBreak/>
        <w:tab/>
        <w:t>(1)</w:t>
      </w:r>
      <w:r w:rsidRPr="00755725">
        <w:rPr>
          <w:rFonts w:ascii="Arial" w:hAnsi="Arial" w:cs="Arial"/>
          <w:sz w:val="22"/>
          <w:szCs w:val="22"/>
          <w:lang w:val="en-US"/>
        </w:rPr>
        <w:tab/>
        <w:t>in relation to the assumptions used to determine the Production Target:</w:t>
      </w:r>
    </w:p>
    <w:p w14:paraId="2BEE6BAE"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(a)</w:t>
      </w:r>
      <w:r w:rsidRPr="00755725">
        <w:rPr>
          <w:rFonts w:ascii="Arial" w:hAnsi="Arial" w:cs="Arial"/>
          <w:sz w:val="22"/>
          <w:szCs w:val="22"/>
          <w:lang w:val="en-US"/>
        </w:rPr>
        <w:tab/>
        <w:t>all material economic assumptions employed; or</w:t>
      </w:r>
    </w:p>
    <w:p w14:paraId="74A5C035"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if the Mining Reporting Entity considers the material economic assumptions to be commercially sensitive, a statement to that effect and an explanation of the methodology used to determine the material economic assumptions; and</w:t>
      </w:r>
    </w:p>
    <w:p w14:paraId="15CBB4D5" w14:textId="77777777" w:rsidR="00755725" w:rsidRPr="00A94C5E" w:rsidRDefault="00755725" w:rsidP="00A94C5E">
      <w:pPr>
        <w:pStyle w:val="TitleL"/>
        <w:rPr>
          <w:rFonts w:ascii="Arial" w:hAnsi="Arial" w:cs="Arial"/>
          <w:sz w:val="22"/>
          <w:szCs w:val="22"/>
        </w:rPr>
      </w:pPr>
      <w:r w:rsidRPr="00A94C5E">
        <w:rPr>
          <w:rFonts w:ascii="Arial" w:hAnsi="Arial" w:cs="Arial"/>
          <w:sz w:val="22"/>
          <w:szCs w:val="22"/>
        </w:rPr>
        <w:t xml:space="preserve">Guidance </w:t>
      </w:r>
    </w:p>
    <w:p w14:paraId="42E5015B" w14:textId="77777777" w:rsidR="00755725" w:rsidRPr="00755725" w:rsidRDefault="00755725" w:rsidP="00755725">
      <w:pPr>
        <w:spacing w:after="240" w:line="246" w:lineRule="atLeast"/>
        <w:ind w:left="709"/>
        <w:jc w:val="both"/>
        <w:rPr>
          <w:rFonts w:ascii="Arial" w:hAnsi="Arial" w:cs="Arial"/>
          <w:sz w:val="22"/>
          <w:szCs w:val="22"/>
          <w:lang w:val="en-US"/>
        </w:rPr>
      </w:pPr>
      <w:r w:rsidRPr="00755725">
        <w:rPr>
          <w:rFonts w:ascii="Arial" w:hAnsi="Arial" w:cs="Arial"/>
          <w:sz w:val="22"/>
          <w:szCs w:val="22"/>
          <w:lang w:val="en-US"/>
        </w:rPr>
        <w:t>A Mining Reporting Entity that considers certain information relating to the material economic assumptions to be commercially sensitive should refer to paragraphs 47-54 of the Guidance on Mining and paragraphs 127 and 128 of the Guidance on Continuous Disclosure.</w:t>
      </w:r>
    </w:p>
    <w:p w14:paraId="6671DFD1"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(c)</w:t>
      </w:r>
      <w:r w:rsidRPr="00755725">
        <w:rPr>
          <w:rFonts w:ascii="Arial" w:hAnsi="Arial" w:cs="Arial"/>
          <w:sz w:val="22"/>
          <w:szCs w:val="22"/>
          <w:lang w:val="en-US"/>
        </w:rPr>
        <w:tab/>
        <w:t>all other material assumptions utilised.</w:t>
      </w:r>
    </w:p>
    <w:p w14:paraId="39A43403"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if forecast commodity prices have been used in the determination of the Production Target, a statement that such forecast commodity pricing was arrived at on reasonable grounds.</w:t>
      </w:r>
    </w:p>
    <w:p w14:paraId="6B6C1DD2"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the proportions of the Production Target based on:</w:t>
      </w:r>
    </w:p>
    <w:p w14:paraId="2DC0ED1D"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ab/>
        <w:t>(a)</w:t>
      </w:r>
      <w:r w:rsidRPr="00755725">
        <w:rPr>
          <w:rFonts w:ascii="Arial" w:hAnsi="Arial" w:cs="Arial"/>
          <w:sz w:val="22"/>
          <w:szCs w:val="22"/>
          <w:lang w:val="en-US"/>
        </w:rPr>
        <w:tab/>
        <w:t>Probable Ore Reserves and Proved Ore Reserves;</w:t>
      </w:r>
    </w:p>
    <w:p w14:paraId="5D5533B2"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ab/>
        <w:t>(b)</w:t>
      </w:r>
      <w:r w:rsidRPr="00755725">
        <w:rPr>
          <w:rFonts w:ascii="Arial" w:hAnsi="Arial" w:cs="Arial"/>
          <w:sz w:val="22"/>
          <w:szCs w:val="22"/>
          <w:lang w:val="en-US"/>
        </w:rPr>
        <w:tab/>
        <w:t>Indicated Mineral Resources and Measured Mineral Resources;</w:t>
      </w:r>
    </w:p>
    <w:p w14:paraId="28AD1C6A"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ab/>
        <w:t>(c)</w:t>
      </w:r>
      <w:r w:rsidRPr="00755725">
        <w:rPr>
          <w:rFonts w:ascii="Arial" w:hAnsi="Arial" w:cs="Arial"/>
          <w:sz w:val="22"/>
          <w:szCs w:val="22"/>
          <w:lang w:val="en-US"/>
        </w:rPr>
        <w:tab/>
        <w:t>Inferred Mineral Resources; and</w:t>
      </w:r>
    </w:p>
    <w:p w14:paraId="1427E5CD"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ab/>
        <w:t>(d)</w:t>
      </w:r>
      <w:r w:rsidRPr="00755725">
        <w:rPr>
          <w:rFonts w:ascii="Arial" w:hAnsi="Arial" w:cs="Arial"/>
          <w:sz w:val="22"/>
          <w:szCs w:val="22"/>
          <w:lang w:val="en-US"/>
        </w:rPr>
        <w:tab/>
        <w:t>an Exploration Target.</w:t>
      </w:r>
    </w:p>
    <w:p w14:paraId="59A7B466"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(4)</w:t>
      </w:r>
      <w:r w:rsidRPr="00755725">
        <w:rPr>
          <w:rFonts w:ascii="Arial" w:hAnsi="Arial" w:cs="Arial"/>
          <w:sz w:val="22"/>
          <w:szCs w:val="22"/>
          <w:lang w:val="en-US"/>
        </w:rPr>
        <w:tab/>
        <w:t>a statement that the respective proportions of Inferred Mineral Resources and the Exploration Target (if applicable) are not the determining factors in the viability of the Production Target and do not feature as a significant proportion in the early mine plan;</w:t>
      </w:r>
    </w:p>
    <w:p w14:paraId="11C09F79"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(5)</w:t>
      </w:r>
      <w:r w:rsidRPr="00755725">
        <w:rPr>
          <w:rFonts w:ascii="Arial" w:hAnsi="Arial" w:cs="Arial"/>
          <w:sz w:val="22"/>
          <w:szCs w:val="22"/>
          <w:lang w:val="en-US"/>
        </w:rPr>
        <w:tab/>
        <w:t>if the Production Target is wholly based on Inferred Mineral Resources:</w:t>
      </w:r>
    </w:p>
    <w:p w14:paraId="25B2A672"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an explanation as to why the Mining Reporting Entity believes it has a reasonable basis for disclosing a Production Target wholly based on Inferred Mineral Resources;</w:t>
      </w:r>
    </w:p>
    <w:p w14:paraId="51A833D0"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the level of confidence in relation to which the Inferred Mineral Resources are estimated and the basis for that level of confidence;</w:t>
      </w:r>
    </w:p>
    <w:p w14:paraId="3CD88895"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(c)</w:t>
      </w:r>
      <w:r w:rsidRPr="00755725">
        <w:rPr>
          <w:rFonts w:ascii="Arial" w:hAnsi="Arial" w:cs="Arial"/>
          <w:sz w:val="22"/>
          <w:szCs w:val="22"/>
          <w:lang w:val="en-US"/>
        </w:rPr>
        <w:tab/>
        <w:t>a Technical Study of a sufficient level of confidence to support the Production Target, prepared by, or under the supervision of, a named independent Competent Person(s); and</w:t>
      </w:r>
    </w:p>
    <w:p w14:paraId="59FC83AF" w14:textId="77777777" w:rsidR="00755725" w:rsidRPr="00755725" w:rsidRDefault="00755725" w:rsidP="00755725">
      <w:pPr>
        <w:spacing w:after="240" w:line="246" w:lineRule="atLeast"/>
        <w:ind w:left="2127" w:hanging="709"/>
        <w:jc w:val="both"/>
        <w:rPr>
          <w:rFonts w:ascii="Arial" w:hAnsi="Arial" w:cs="Arial"/>
          <w:sz w:val="22"/>
          <w:szCs w:val="22"/>
          <w:lang w:val="en-US"/>
        </w:rPr>
      </w:pPr>
      <w:r w:rsidRPr="00755725">
        <w:rPr>
          <w:rFonts w:ascii="Arial" w:hAnsi="Arial" w:cs="Arial"/>
          <w:sz w:val="22"/>
          <w:szCs w:val="22"/>
          <w:lang w:val="en-US"/>
        </w:rPr>
        <w:t>(d)</w:t>
      </w:r>
      <w:r w:rsidRPr="00755725">
        <w:rPr>
          <w:rFonts w:ascii="Arial" w:hAnsi="Arial" w:cs="Arial"/>
          <w:sz w:val="22"/>
          <w:szCs w:val="22"/>
          <w:lang w:val="en-US"/>
        </w:rPr>
        <w:tab/>
        <w:t>an at least equally prominent, and proximate, statement to the effect that:</w:t>
      </w:r>
    </w:p>
    <w:p w14:paraId="4754BC52" w14:textId="77777777" w:rsidR="00755725" w:rsidRPr="00755725" w:rsidRDefault="00755725" w:rsidP="00755725">
      <w:pPr>
        <w:spacing w:after="240" w:line="246" w:lineRule="atLeast"/>
        <w:ind w:left="2160" w:hanging="742"/>
        <w:jc w:val="both"/>
        <w:rPr>
          <w:rFonts w:ascii="Arial" w:hAnsi="Arial" w:cs="Arial"/>
          <w:i/>
          <w:iCs/>
          <w:sz w:val="22"/>
          <w:szCs w:val="22"/>
          <w:lang w:val="en-US"/>
        </w:rPr>
      </w:pPr>
      <w:r w:rsidRPr="00755725">
        <w:rPr>
          <w:rFonts w:ascii="Arial" w:hAnsi="Arial" w:cs="Arial"/>
          <w:sz w:val="22"/>
          <w:szCs w:val="22"/>
          <w:lang w:val="en-US"/>
        </w:rPr>
        <w:tab/>
        <w:t>“</w:t>
      </w:r>
      <w:r w:rsidRPr="00755725">
        <w:rPr>
          <w:rFonts w:ascii="Arial" w:hAnsi="Arial" w:cs="Arial"/>
          <w:i/>
          <w:iCs/>
          <w:sz w:val="22"/>
          <w:szCs w:val="22"/>
          <w:lang w:val="en-US"/>
        </w:rPr>
        <w:t xml:space="preserve">The level of geological confidence associated with inferred mineral resources is low. Though further evaluation and/or exploration work is required to establish sufficient confidence that the production target will </w:t>
      </w:r>
      <w:r w:rsidRPr="00755725">
        <w:rPr>
          <w:rFonts w:ascii="Arial" w:hAnsi="Arial" w:cs="Arial"/>
          <w:i/>
          <w:iCs/>
          <w:sz w:val="22"/>
          <w:szCs w:val="22"/>
          <w:lang w:val="en-US"/>
        </w:rPr>
        <w:lastRenderedPageBreak/>
        <w:t>be met, there is no certainty that further evaluation and/or exploration work will result in the determination of indicated mineral resources or that the production target itself will be realised.  The mining reporting entity’s production target is based on its current expectation of future results or events, and should not be solely relied upon by investors when making investment decisions.”</w:t>
      </w:r>
      <w:r w:rsidRPr="00755725">
        <w:rPr>
          <w:rFonts w:ascii="Arial" w:hAnsi="Arial" w:cs="Arial"/>
          <w:i/>
          <w:iCs/>
          <w:sz w:val="22"/>
          <w:szCs w:val="22"/>
          <w:lang w:val="en-US"/>
        </w:rPr>
        <w:tab/>
      </w:r>
    </w:p>
    <w:p w14:paraId="18C97746" w14:textId="77777777" w:rsidR="00755725" w:rsidRPr="00A94C5E" w:rsidRDefault="00755725" w:rsidP="00A94C5E">
      <w:pPr>
        <w:pStyle w:val="TitleL"/>
        <w:rPr>
          <w:rFonts w:ascii="Arial" w:hAnsi="Arial" w:cs="Arial"/>
          <w:sz w:val="22"/>
          <w:szCs w:val="22"/>
        </w:rPr>
      </w:pPr>
      <w:r w:rsidRPr="00A94C5E">
        <w:rPr>
          <w:rFonts w:ascii="Arial" w:hAnsi="Arial" w:cs="Arial"/>
          <w:sz w:val="22"/>
          <w:szCs w:val="22"/>
        </w:rPr>
        <w:t>Guidance</w:t>
      </w:r>
    </w:p>
    <w:p w14:paraId="03F177F9" w14:textId="77777777" w:rsidR="00755725" w:rsidRPr="00755725" w:rsidRDefault="00755725" w:rsidP="00755725">
      <w:pPr>
        <w:spacing w:after="240" w:line="246" w:lineRule="atLeast"/>
        <w:ind w:left="709"/>
        <w:jc w:val="both"/>
        <w:rPr>
          <w:rFonts w:ascii="Arial" w:hAnsi="Arial" w:cs="Arial"/>
          <w:sz w:val="22"/>
          <w:szCs w:val="22"/>
          <w:lang w:val="en-US"/>
        </w:rPr>
      </w:pPr>
      <w:r w:rsidRPr="00755725">
        <w:rPr>
          <w:rFonts w:ascii="Arial" w:hAnsi="Arial" w:cs="Arial"/>
          <w:sz w:val="22"/>
          <w:szCs w:val="22"/>
          <w:lang w:val="en-US"/>
        </w:rPr>
        <w:t>Any statement about a Production Target will be deemed to be misleading unless the person making the statement has reasonable grounds for making the statement.  The Regulator considers that it is only under exceptional circumstances that a Mining Reporting Entity might form a view that it has reasonable grounds for a Production Target to be wholly based on Inferred Mineral Resources.</w:t>
      </w:r>
    </w:p>
    <w:p w14:paraId="61944021"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(6)</w:t>
      </w:r>
      <w:r w:rsidRPr="00755725">
        <w:rPr>
          <w:rFonts w:ascii="Arial" w:hAnsi="Arial" w:cs="Arial"/>
          <w:sz w:val="22"/>
          <w:szCs w:val="22"/>
          <w:lang w:val="en-US"/>
        </w:rPr>
        <w:tab/>
        <w:t>if the Production Target is in part based on Inferred Mineral Resources, an at least equally prominent, and proximate, statement to the effect that:</w:t>
      </w:r>
    </w:p>
    <w:p w14:paraId="0F6D266E" w14:textId="77777777" w:rsidR="00755725" w:rsidRPr="00755725" w:rsidRDefault="00755725" w:rsidP="00755725">
      <w:pPr>
        <w:spacing w:after="240" w:line="246" w:lineRule="atLeast"/>
        <w:ind w:left="1440" w:hanging="720"/>
        <w:jc w:val="both"/>
        <w:rPr>
          <w:rFonts w:ascii="Arial" w:hAnsi="Arial" w:cs="Arial"/>
          <w:i/>
          <w:iCs/>
          <w:sz w:val="22"/>
          <w:szCs w:val="22"/>
          <w:lang w:val="en-US"/>
        </w:rPr>
      </w:pPr>
      <w:r w:rsidRPr="00755725">
        <w:rPr>
          <w:rFonts w:ascii="Arial" w:hAnsi="Arial" w:cs="Arial"/>
          <w:sz w:val="22"/>
          <w:szCs w:val="22"/>
          <w:lang w:val="en-US"/>
        </w:rPr>
        <w:tab/>
        <w:t>“</w:t>
      </w:r>
      <w:r w:rsidRPr="00755725">
        <w:rPr>
          <w:rFonts w:ascii="Arial" w:hAnsi="Arial" w:cs="Arial"/>
          <w:i/>
          <w:iCs/>
          <w:sz w:val="22"/>
          <w:szCs w:val="22"/>
          <w:lang w:val="en-US"/>
        </w:rPr>
        <w:t>The level of geological confidence associated with inferred mineral resources is low. There is no certainty that further evaluation and/or exploration work will result in the determination of indicated mineral resources or that the production target itself will be realised.</w:t>
      </w:r>
      <w:r w:rsidRPr="00755725">
        <w:rPr>
          <w:rFonts w:ascii="Arial" w:hAnsi="Arial" w:cs="Arial"/>
          <w:sz w:val="22"/>
          <w:szCs w:val="22"/>
          <w:lang w:val="en-US"/>
        </w:rPr>
        <w:t>”</w:t>
      </w:r>
    </w:p>
    <w:p w14:paraId="696807C6"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(7)</w:t>
      </w:r>
      <w:r w:rsidRPr="00755725">
        <w:rPr>
          <w:rFonts w:ascii="Arial" w:hAnsi="Arial" w:cs="Arial"/>
          <w:sz w:val="22"/>
          <w:szCs w:val="22"/>
          <w:lang w:val="en-US"/>
        </w:rPr>
        <w:tab/>
        <w:t>if the Production Target is in part based on an Exploration Target:</w:t>
      </w:r>
    </w:p>
    <w:p w14:paraId="56FF3183"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a statement of the factors that lead the Mining Reporting Entity to believe that it has a reasonable basis for disclosing a Production Target based, in part, on an Exploration Target; and</w:t>
      </w:r>
    </w:p>
    <w:p w14:paraId="171B4EBA"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an at least equally prominent, and proximate, statement to the effect that:</w:t>
      </w:r>
    </w:p>
    <w:p w14:paraId="0DA7EAC6"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ab/>
        <w:t>“</w:t>
      </w:r>
      <w:r w:rsidRPr="00755725">
        <w:rPr>
          <w:rFonts w:ascii="Arial" w:hAnsi="Arial" w:cs="Arial"/>
          <w:i/>
          <w:iCs/>
          <w:sz w:val="22"/>
          <w:szCs w:val="22"/>
          <w:lang w:val="en-US"/>
        </w:rPr>
        <w:t>The potential quantity and grade of an Exploration Target is only conceptual in nature. There has been insufficient exploration to determine a Mineral Resource and there is no certainty that further exploration work will result in the determination of Mineral Resources or that the Production Target itself will be realised.</w:t>
      </w:r>
      <w:r w:rsidRPr="00755725">
        <w:rPr>
          <w:rFonts w:ascii="Arial" w:hAnsi="Arial" w:cs="Arial"/>
          <w:sz w:val="22"/>
          <w:szCs w:val="22"/>
          <w:lang w:val="en-US"/>
        </w:rPr>
        <w:t>”</w:t>
      </w:r>
    </w:p>
    <w:p w14:paraId="7DE6600E"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A94C5E">
        <w:rPr>
          <w:rFonts w:ascii="Arial" w:hAnsi="Arial" w:cs="Arial"/>
          <w:b/>
          <w:bCs/>
          <w:sz w:val="22"/>
          <w:szCs w:val="22"/>
          <w:lang w:val="en-US"/>
        </w:rPr>
        <w:t>11.8.4</w:t>
      </w:r>
      <w:r w:rsidRPr="00755725">
        <w:rPr>
          <w:rFonts w:ascii="Arial" w:hAnsi="Arial" w:cs="Arial"/>
          <w:sz w:val="22"/>
          <w:szCs w:val="22"/>
          <w:lang w:val="en-US"/>
        </w:rPr>
        <w:tab/>
        <w:t>If a Mining Reporting Entity made a disclosure under Rule 11.8.2, then any subsequent disclosure in relation to a Production Target need not include the information required to be disclosed by Rule 11.8.3 where the subsequent disclosure:</w:t>
      </w:r>
    </w:p>
    <w:p w14:paraId="09FFE6C9"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(1)</w:t>
      </w:r>
      <w:r w:rsidRPr="00755725">
        <w:rPr>
          <w:rFonts w:ascii="Arial" w:hAnsi="Arial" w:cs="Arial"/>
          <w:sz w:val="22"/>
          <w:szCs w:val="22"/>
          <w:lang w:val="en-US"/>
        </w:rPr>
        <w:tab/>
        <w:t>references the earlier disclosure that was in compliance with Rule 11.8.3;</w:t>
      </w:r>
    </w:p>
    <w:p w14:paraId="39455D80"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 xml:space="preserve">(2) </w:t>
      </w:r>
      <w:r w:rsidRPr="00755725">
        <w:rPr>
          <w:rFonts w:ascii="Arial" w:hAnsi="Arial" w:cs="Arial"/>
          <w:sz w:val="22"/>
          <w:szCs w:val="22"/>
          <w:lang w:val="en-US"/>
        </w:rPr>
        <w:tab/>
        <w:t>contains a statement confirming that all the material assumptions in the initial disclosure, upon which the Production Target is based continue to apply and have not materially changed;</w:t>
      </w:r>
    </w:p>
    <w:p w14:paraId="3520BEFC"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 xml:space="preserve">(3) </w:t>
      </w:r>
      <w:r w:rsidRPr="00755725">
        <w:rPr>
          <w:rFonts w:ascii="Arial" w:hAnsi="Arial" w:cs="Arial"/>
          <w:sz w:val="22"/>
          <w:szCs w:val="22"/>
          <w:lang w:val="en-US"/>
        </w:rPr>
        <w:tab/>
        <w:t>if the Production Target is wholly based upon Inferred Mineral Resources, includes an at least equally prominent, and proximate, statement about the disclosed Production Target to the effect of the statement set out in Rule 11.8.3(5)(d); and</w:t>
      </w:r>
    </w:p>
    <w:p w14:paraId="444B87F6"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lastRenderedPageBreak/>
        <w:t xml:space="preserve">(4)  </w:t>
      </w:r>
      <w:r w:rsidRPr="00755725">
        <w:rPr>
          <w:rFonts w:ascii="Arial" w:hAnsi="Arial" w:cs="Arial"/>
          <w:sz w:val="22"/>
          <w:szCs w:val="22"/>
          <w:lang w:val="en-US"/>
        </w:rPr>
        <w:tab/>
        <w:t>if the Production Target is based in part upon an Exploration Target, includes an at least equally prominent, and proximate, statement about the disclosed Production Target to the effect of the statement set out in Rule 11.8.3(7)(b).</w:t>
      </w:r>
    </w:p>
    <w:p w14:paraId="20ABCDF9"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A94C5E">
        <w:rPr>
          <w:rFonts w:ascii="Arial" w:hAnsi="Arial" w:cs="Arial"/>
          <w:b/>
          <w:bCs/>
          <w:sz w:val="22"/>
          <w:szCs w:val="22"/>
          <w:lang w:val="en-US"/>
        </w:rPr>
        <w:t>11.8.5</w:t>
      </w:r>
      <w:r w:rsidRPr="00755725">
        <w:rPr>
          <w:rFonts w:ascii="Arial" w:hAnsi="Arial" w:cs="Arial"/>
          <w:sz w:val="22"/>
          <w:szCs w:val="22"/>
          <w:lang w:val="en-US"/>
        </w:rPr>
        <w:tab/>
        <w:t>A Mining Reporting Entity’s disclosure is not required to comply with Rule 11.8.3 where a Production Target relating to an operating mine(s) is wholly based upon:</w:t>
      </w:r>
    </w:p>
    <w:p w14:paraId="7A09889E"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(1)</w:t>
      </w:r>
      <w:r w:rsidRPr="00755725">
        <w:rPr>
          <w:rFonts w:ascii="Arial" w:hAnsi="Arial" w:cs="Arial"/>
          <w:sz w:val="22"/>
          <w:szCs w:val="22"/>
          <w:lang w:val="en-US"/>
        </w:rPr>
        <w:tab/>
        <w:t>Ore Reserves;</w:t>
      </w:r>
    </w:p>
    <w:p w14:paraId="5ACB1A52"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(2)</w:t>
      </w:r>
      <w:r w:rsidRPr="00755725">
        <w:rPr>
          <w:rFonts w:ascii="Arial" w:hAnsi="Arial" w:cs="Arial"/>
          <w:sz w:val="22"/>
          <w:szCs w:val="22"/>
          <w:lang w:val="en-US"/>
        </w:rPr>
        <w:tab/>
        <w:t>a combination of Ore Reserves and Measured Mineral Resources; or</w:t>
      </w:r>
    </w:p>
    <w:p w14:paraId="3CBD9E9F"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(3)</w:t>
      </w:r>
      <w:r w:rsidRPr="00755725">
        <w:rPr>
          <w:rFonts w:ascii="Arial" w:hAnsi="Arial" w:cs="Arial"/>
          <w:sz w:val="22"/>
          <w:szCs w:val="22"/>
          <w:lang w:val="en-US"/>
        </w:rPr>
        <w:tab/>
        <w:t>a combination of Ore Reserves; and</w:t>
      </w:r>
    </w:p>
    <w:p w14:paraId="517B03A4"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(a)</w:t>
      </w:r>
      <w:r w:rsidRPr="00755725">
        <w:rPr>
          <w:rFonts w:ascii="Arial" w:hAnsi="Arial" w:cs="Arial"/>
          <w:sz w:val="22"/>
          <w:szCs w:val="22"/>
          <w:lang w:val="en-US"/>
        </w:rPr>
        <w:tab/>
        <w:t>Measured Mineral Resources; and/or</w:t>
      </w:r>
    </w:p>
    <w:p w14:paraId="77478829"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Indicated Mineral Resources, provided that the Indicated Mineral Resources are not the determining factor in project viability.</w:t>
      </w:r>
    </w:p>
    <w:p w14:paraId="0E3F8814" w14:textId="48591279" w:rsidR="00755725" w:rsidRPr="00A94C5E" w:rsidRDefault="00755725" w:rsidP="00A94C5E">
      <w:pPr>
        <w:pStyle w:val="Heading2"/>
        <w:rPr>
          <w:rFonts w:ascii="Arial" w:hAnsi="Arial" w:cs="Arial"/>
          <w:sz w:val="22"/>
          <w:szCs w:val="22"/>
        </w:rPr>
      </w:pPr>
      <w:bookmarkStart w:id="851" w:name="_Toc138325721"/>
      <w:r w:rsidRPr="00A94C5E">
        <w:rPr>
          <w:rFonts w:ascii="Arial" w:hAnsi="Arial" w:cs="Arial"/>
          <w:sz w:val="22"/>
          <w:szCs w:val="22"/>
        </w:rPr>
        <w:t>Forecast financial information</w:t>
      </w:r>
      <w:bookmarkEnd w:id="851"/>
    </w:p>
    <w:p w14:paraId="3654326B"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B07896">
        <w:rPr>
          <w:rFonts w:ascii="Arial" w:hAnsi="Arial" w:cs="Arial"/>
          <w:b/>
          <w:bCs/>
          <w:sz w:val="22"/>
          <w:szCs w:val="22"/>
          <w:lang w:val="en-US"/>
        </w:rPr>
        <w:t>11.9.1</w:t>
      </w:r>
      <w:r w:rsidRPr="00755725">
        <w:rPr>
          <w:rFonts w:ascii="Arial" w:hAnsi="Arial" w:cs="Arial"/>
          <w:sz w:val="22"/>
          <w:szCs w:val="22"/>
          <w:lang w:val="en-US"/>
        </w:rPr>
        <w:tab/>
        <w:t>Forecast financial information derived from a Production Target may be disclosed in relation to either a Mining Reporting Entity’s:</w:t>
      </w:r>
    </w:p>
    <w:p w14:paraId="571F13D4"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(1)</w:t>
      </w:r>
      <w:r w:rsidRPr="00755725">
        <w:rPr>
          <w:rFonts w:ascii="Arial" w:hAnsi="Arial" w:cs="Arial"/>
          <w:sz w:val="22"/>
          <w:szCs w:val="22"/>
          <w:lang w:val="en-US"/>
        </w:rPr>
        <w:tab/>
        <w:t>Mineral Resources and Ore Reserves Holdings; or</w:t>
      </w:r>
    </w:p>
    <w:p w14:paraId="5E488780"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(2)</w:t>
      </w:r>
      <w:r w:rsidRPr="00755725">
        <w:rPr>
          <w:rFonts w:ascii="Arial" w:hAnsi="Arial" w:cs="Arial"/>
          <w:sz w:val="22"/>
          <w:szCs w:val="22"/>
          <w:lang w:val="en-US"/>
        </w:rPr>
        <w:tab/>
        <w:t>material Mining Project(s).</w:t>
      </w:r>
    </w:p>
    <w:p w14:paraId="1F833163"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B07896">
        <w:rPr>
          <w:rFonts w:ascii="Arial" w:hAnsi="Arial" w:cs="Arial"/>
          <w:b/>
          <w:bCs/>
          <w:sz w:val="22"/>
          <w:szCs w:val="22"/>
          <w:lang w:val="en-US"/>
        </w:rPr>
        <w:t>11.9.2</w:t>
      </w:r>
      <w:r w:rsidRPr="00755725">
        <w:rPr>
          <w:rFonts w:ascii="Arial" w:hAnsi="Arial" w:cs="Arial"/>
          <w:sz w:val="22"/>
          <w:szCs w:val="22"/>
          <w:lang w:val="en-US"/>
        </w:rPr>
        <w:tab/>
        <w:t>A Mining Reporting Entity’s disclosure pursuant to Rule 11.9.1 must include:</w:t>
      </w:r>
    </w:p>
    <w:p w14:paraId="070A6E6C" w14:textId="77777777" w:rsidR="00755725" w:rsidRPr="00755725" w:rsidRDefault="00755725" w:rsidP="00755725">
      <w:pPr>
        <w:spacing w:after="240" w:line="246" w:lineRule="atLeast"/>
        <w:ind w:left="1418" w:hanging="709"/>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in relation to the assumptions used to determine the forecast financial information:</w:t>
      </w:r>
    </w:p>
    <w:p w14:paraId="363AD557" w14:textId="77777777" w:rsidR="00755725" w:rsidRPr="00755725" w:rsidRDefault="00755725" w:rsidP="00755725">
      <w:pPr>
        <w:spacing w:after="240" w:line="246" w:lineRule="atLeast"/>
        <w:ind w:left="720" w:firstLine="72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all material economic assumptions employed;</w:t>
      </w:r>
    </w:p>
    <w:p w14:paraId="0A17359D"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if the Mining Reporting Entity considers the material economic assumptions to be commercially sensitive, a statement to that effect and an explanation of the methodology used to determine the material economic assumptions; and</w:t>
      </w:r>
    </w:p>
    <w:p w14:paraId="377074B1" w14:textId="77777777" w:rsidR="00755725" w:rsidRPr="00B07896" w:rsidRDefault="00755725" w:rsidP="00B07896">
      <w:pPr>
        <w:pStyle w:val="TitleL"/>
        <w:rPr>
          <w:rFonts w:ascii="Arial" w:hAnsi="Arial" w:cs="Arial"/>
          <w:sz w:val="22"/>
          <w:szCs w:val="22"/>
        </w:rPr>
      </w:pPr>
      <w:r w:rsidRPr="00B07896">
        <w:rPr>
          <w:rFonts w:ascii="Arial" w:hAnsi="Arial" w:cs="Arial"/>
          <w:sz w:val="22"/>
          <w:szCs w:val="22"/>
        </w:rPr>
        <w:t xml:space="preserve">Guidance </w:t>
      </w:r>
    </w:p>
    <w:p w14:paraId="70398E07" w14:textId="77777777" w:rsidR="00755725" w:rsidRPr="00755725" w:rsidRDefault="00755725" w:rsidP="00755725">
      <w:pPr>
        <w:spacing w:after="240" w:line="246" w:lineRule="atLeast"/>
        <w:ind w:left="709"/>
        <w:jc w:val="both"/>
        <w:rPr>
          <w:rFonts w:ascii="Arial" w:hAnsi="Arial" w:cs="Arial"/>
          <w:sz w:val="22"/>
          <w:szCs w:val="22"/>
          <w:lang w:val="en-US"/>
        </w:rPr>
      </w:pPr>
      <w:r w:rsidRPr="00755725">
        <w:rPr>
          <w:rFonts w:ascii="Arial" w:hAnsi="Arial" w:cs="Arial"/>
          <w:sz w:val="22"/>
          <w:szCs w:val="22"/>
          <w:lang w:val="en-US"/>
        </w:rPr>
        <w:t>A Mining Reporting Entity that considers certain information relating to the material economic assumptions to be commercially sensitive should refer to paragraphs 47-54 of the Guidance on Mining and paragraphs 127 and 128 of the Guidance on Continuous Disclosure.</w:t>
      </w:r>
    </w:p>
    <w:p w14:paraId="6B0A99AD" w14:textId="77777777" w:rsidR="00755725" w:rsidRPr="00755725" w:rsidRDefault="00755725" w:rsidP="00755725">
      <w:pPr>
        <w:spacing w:after="240" w:line="246" w:lineRule="atLeast"/>
        <w:ind w:left="1440"/>
        <w:jc w:val="both"/>
        <w:rPr>
          <w:rFonts w:ascii="Arial" w:hAnsi="Arial" w:cs="Arial"/>
          <w:sz w:val="22"/>
          <w:szCs w:val="22"/>
          <w:lang w:val="en-US"/>
        </w:rPr>
      </w:pPr>
      <w:r w:rsidRPr="00755725">
        <w:rPr>
          <w:rFonts w:ascii="Arial" w:hAnsi="Arial" w:cs="Arial"/>
          <w:sz w:val="22"/>
          <w:szCs w:val="22"/>
          <w:lang w:val="en-US"/>
        </w:rPr>
        <w:t>(c)</w:t>
      </w:r>
      <w:r w:rsidRPr="00755725">
        <w:rPr>
          <w:rFonts w:ascii="Arial" w:hAnsi="Arial" w:cs="Arial"/>
          <w:sz w:val="22"/>
          <w:szCs w:val="22"/>
          <w:lang w:val="en-US"/>
        </w:rPr>
        <w:tab/>
        <w:t>all other material assumptions utilised.</w:t>
      </w:r>
    </w:p>
    <w:p w14:paraId="10B67ADC"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the Production Target from which the forecast financial information is derived (including all the information contained in Rule 11.8.3).</w:t>
      </w:r>
    </w:p>
    <w:p w14:paraId="43940AE3"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B07896">
        <w:rPr>
          <w:rFonts w:ascii="Arial" w:hAnsi="Arial" w:cs="Arial"/>
          <w:b/>
          <w:bCs/>
          <w:sz w:val="22"/>
          <w:szCs w:val="22"/>
          <w:lang w:val="en-US"/>
        </w:rPr>
        <w:t>11.9.3</w:t>
      </w:r>
      <w:r w:rsidRPr="00755725">
        <w:rPr>
          <w:rFonts w:ascii="Arial" w:hAnsi="Arial" w:cs="Arial"/>
          <w:sz w:val="22"/>
          <w:szCs w:val="22"/>
          <w:lang w:val="en-US"/>
        </w:rPr>
        <w:tab/>
        <w:t>If a Mining Reporting Entity has made a disclosure under Rule 11.9.1, then any subsequent disclosure in relation to forecast financial information derived from a Production Target need not include the information in Rule 11.9.2 where the subsequent disclosure:</w:t>
      </w:r>
    </w:p>
    <w:p w14:paraId="21726C73"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lastRenderedPageBreak/>
        <w:tab/>
        <w:t xml:space="preserve">(1) </w:t>
      </w:r>
      <w:r w:rsidRPr="00755725">
        <w:rPr>
          <w:rFonts w:ascii="Arial" w:hAnsi="Arial" w:cs="Arial"/>
          <w:sz w:val="22"/>
          <w:szCs w:val="22"/>
          <w:lang w:val="en-US"/>
        </w:rPr>
        <w:tab/>
        <w:t>references the earlier disclosure that was in compliance with Rule 11.9.2;</w:t>
      </w:r>
    </w:p>
    <w:p w14:paraId="3DB74448"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contains a statement confirming that all the material assumptions in the initial disclosure upon which the forecast financial information derived from a Production Target is based continue to apply and have not materially changed;</w:t>
      </w:r>
    </w:p>
    <w:p w14:paraId="3AC34317"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 xml:space="preserve">if the Production Target upon which the forecast financial information is derived is wholly based on Inferred Mineral Resources, includes an at least equally prominent, and proximate, statement about the disclosed forecast financial information to the effect of the statement set out in Rule 11.8.3(5)(d); and </w:t>
      </w:r>
    </w:p>
    <w:p w14:paraId="6FF1A763"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(4)</w:t>
      </w:r>
      <w:r w:rsidRPr="00755725">
        <w:rPr>
          <w:rFonts w:ascii="Arial" w:hAnsi="Arial" w:cs="Arial"/>
          <w:sz w:val="22"/>
          <w:szCs w:val="22"/>
          <w:lang w:val="en-US"/>
        </w:rPr>
        <w:tab/>
        <w:t>if the Production Target upon which the forecast financial information is derived is based in part upon an Exploration Target, includes an at least equally prominent, and proximate, statement about the disclosed forecast financial information to the effect of the statement set out in Rule 11.8.3(7)(b).</w:t>
      </w:r>
    </w:p>
    <w:p w14:paraId="24AF7F98"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B07896">
        <w:rPr>
          <w:rFonts w:ascii="Arial" w:hAnsi="Arial" w:cs="Arial"/>
          <w:b/>
          <w:bCs/>
          <w:sz w:val="22"/>
          <w:szCs w:val="22"/>
          <w:lang w:val="en-US"/>
        </w:rPr>
        <w:t>11.9.4</w:t>
      </w:r>
      <w:r w:rsidRPr="00755725">
        <w:rPr>
          <w:rFonts w:ascii="Arial" w:hAnsi="Arial" w:cs="Arial"/>
          <w:sz w:val="22"/>
          <w:szCs w:val="22"/>
          <w:lang w:val="en-US"/>
        </w:rPr>
        <w:tab/>
        <w:t>A disclosure by a Mining Reporting Entity is not required to comply with Rule 11.9.2 where the forecast financial information derived from a Production Target relating to an operating mine(s) is wholly based on:</w:t>
      </w:r>
      <w:r w:rsidRPr="00755725">
        <w:rPr>
          <w:rFonts w:ascii="Arial" w:hAnsi="Arial" w:cs="Arial"/>
          <w:sz w:val="22"/>
          <w:szCs w:val="22"/>
          <w:lang w:val="en-US"/>
        </w:rPr>
        <w:tab/>
      </w:r>
    </w:p>
    <w:p w14:paraId="7BBEC328"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(1)</w:t>
      </w:r>
      <w:r w:rsidRPr="00755725">
        <w:rPr>
          <w:rFonts w:ascii="Arial" w:hAnsi="Arial" w:cs="Arial"/>
          <w:sz w:val="22"/>
          <w:szCs w:val="22"/>
          <w:lang w:val="en-US"/>
        </w:rPr>
        <w:tab/>
        <w:t xml:space="preserve">Ore Reserves; </w:t>
      </w:r>
    </w:p>
    <w:p w14:paraId="6051C6AC"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(2)</w:t>
      </w:r>
      <w:r w:rsidRPr="00755725">
        <w:rPr>
          <w:rFonts w:ascii="Arial" w:hAnsi="Arial" w:cs="Arial"/>
          <w:sz w:val="22"/>
          <w:szCs w:val="22"/>
          <w:lang w:val="en-US"/>
        </w:rPr>
        <w:tab/>
        <w:t>a combination of Ore Reserves and Measured Mineral Resources; or</w:t>
      </w:r>
    </w:p>
    <w:p w14:paraId="3C3F991D"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(3)</w:t>
      </w:r>
      <w:r w:rsidRPr="00755725">
        <w:rPr>
          <w:rFonts w:ascii="Arial" w:hAnsi="Arial" w:cs="Arial"/>
          <w:sz w:val="22"/>
          <w:szCs w:val="22"/>
          <w:lang w:val="en-US"/>
        </w:rPr>
        <w:tab/>
        <w:t>a combination of Ore Reserves; and</w:t>
      </w:r>
    </w:p>
    <w:p w14:paraId="6EE1C533"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(a)</w:t>
      </w:r>
      <w:r w:rsidRPr="00755725">
        <w:rPr>
          <w:rFonts w:ascii="Arial" w:hAnsi="Arial" w:cs="Arial"/>
          <w:sz w:val="22"/>
          <w:szCs w:val="22"/>
          <w:lang w:val="en-US"/>
        </w:rPr>
        <w:tab/>
        <w:t>Measured Mineral Resources; and/or</w:t>
      </w:r>
    </w:p>
    <w:p w14:paraId="6657234C"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Indicated Mineral Resources, provided that the Indicated Mineral Resources are not the determining factor in project viability.</w:t>
      </w:r>
    </w:p>
    <w:p w14:paraId="37F1F87F" w14:textId="67BA018A" w:rsidR="00755725" w:rsidRPr="00B07896" w:rsidRDefault="00755725" w:rsidP="00B07896">
      <w:pPr>
        <w:pStyle w:val="Heading2"/>
        <w:rPr>
          <w:rFonts w:ascii="Arial" w:hAnsi="Arial" w:cs="Arial"/>
          <w:sz w:val="22"/>
          <w:szCs w:val="22"/>
        </w:rPr>
      </w:pPr>
      <w:bookmarkStart w:id="852" w:name="_Toc138325722"/>
      <w:r w:rsidRPr="00B07896">
        <w:rPr>
          <w:rFonts w:ascii="Arial" w:hAnsi="Arial" w:cs="Arial"/>
          <w:sz w:val="22"/>
          <w:szCs w:val="22"/>
        </w:rPr>
        <w:t>Quarterly Reports</w:t>
      </w:r>
      <w:bookmarkEnd w:id="852"/>
      <w:r w:rsidRPr="00B07896">
        <w:rPr>
          <w:rFonts w:ascii="Arial" w:hAnsi="Arial" w:cs="Arial"/>
          <w:sz w:val="22"/>
          <w:szCs w:val="22"/>
        </w:rPr>
        <w:t xml:space="preserve"> </w:t>
      </w:r>
    </w:p>
    <w:p w14:paraId="58D6EA77" w14:textId="311BA68C" w:rsidR="00755725" w:rsidRPr="00755725" w:rsidRDefault="00755725" w:rsidP="00B07896">
      <w:pPr>
        <w:pStyle w:val="TitleL"/>
        <w:rPr>
          <w:rFonts w:ascii="Arial" w:hAnsi="Arial" w:cs="Arial"/>
          <w:b w:val="0"/>
          <w:bCs/>
          <w:sz w:val="22"/>
          <w:szCs w:val="22"/>
          <w:lang w:val="en-US"/>
        </w:rPr>
      </w:pPr>
      <w:r w:rsidRPr="00B07896">
        <w:rPr>
          <w:rFonts w:ascii="Arial" w:hAnsi="Arial" w:cs="Arial"/>
          <w:sz w:val="22"/>
          <w:szCs w:val="22"/>
        </w:rPr>
        <w:t>Quarterly Reports – Mining Exploration Reporting Entities</w:t>
      </w:r>
    </w:p>
    <w:p w14:paraId="47EDB843"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B07896">
        <w:rPr>
          <w:rFonts w:ascii="Arial" w:hAnsi="Arial" w:cs="Arial"/>
          <w:b/>
          <w:bCs/>
          <w:sz w:val="22"/>
          <w:szCs w:val="22"/>
          <w:lang w:val="en-US"/>
        </w:rPr>
        <w:t>11.10.1</w:t>
      </w:r>
      <w:r w:rsidRPr="00755725">
        <w:rPr>
          <w:rFonts w:ascii="Arial" w:hAnsi="Arial" w:cs="Arial"/>
          <w:sz w:val="22"/>
          <w:szCs w:val="22"/>
          <w:lang w:val="en-US"/>
        </w:rPr>
        <w:tab/>
        <w:t>A Mining Exploration Reporting Entity must disclose a report for each quarter of its financial year containing the following information in respect of the Mining Exploration Reporting Entity and all controlled entities, on a consolidated basis, if applicable:</w:t>
      </w:r>
    </w:p>
    <w:p w14:paraId="05C2C4CD"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details of the activities relating to mining:</w:t>
      </w:r>
    </w:p>
    <w:p w14:paraId="1C049383"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Exploration, or a statement that there have been no activities relating to Exploration; and</w:t>
      </w:r>
    </w:p>
    <w:p w14:paraId="769BD46A"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production and development, or a statement that there have been no activities relating to mining production and development;</w:t>
      </w:r>
    </w:p>
    <w:p w14:paraId="5330DFD1"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(2)</w:t>
      </w:r>
      <w:r w:rsidRPr="00755725">
        <w:rPr>
          <w:rFonts w:ascii="Arial" w:hAnsi="Arial" w:cs="Arial"/>
          <w:sz w:val="22"/>
          <w:szCs w:val="22"/>
          <w:lang w:val="en-US"/>
        </w:rPr>
        <w:tab/>
        <w:t>a summary of any expenditure incurred relating to mining:</w:t>
      </w:r>
    </w:p>
    <w:p w14:paraId="150731C4"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(a)</w:t>
      </w:r>
      <w:r w:rsidRPr="00755725">
        <w:rPr>
          <w:rFonts w:ascii="Arial" w:hAnsi="Arial" w:cs="Arial"/>
          <w:sz w:val="22"/>
          <w:szCs w:val="22"/>
          <w:lang w:val="en-US"/>
        </w:rPr>
        <w:tab/>
        <w:t>Exploration activities; and</w:t>
      </w:r>
    </w:p>
    <w:p w14:paraId="500CE1B4"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(b)</w:t>
      </w:r>
      <w:r w:rsidRPr="00755725">
        <w:rPr>
          <w:rFonts w:ascii="Arial" w:hAnsi="Arial" w:cs="Arial"/>
          <w:sz w:val="22"/>
          <w:szCs w:val="22"/>
          <w:lang w:val="en-US"/>
        </w:rPr>
        <w:tab/>
        <w:t>production and development;</w:t>
      </w:r>
    </w:p>
    <w:p w14:paraId="193B8465"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the Mining Tenements held at the end of the quarter, their location and the percentage interest held, including the beneficial interests in farm-in or farm-out agreements;</w:t>
      </w:r>
    </w:p>
    <w:p w14:paraId="1B52CD8B"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lastRenderedPageBreak/>
        <w:t>(4)</w:t>
      </w:r>
      <w:r w:rsidRPr="00755725">
        <w:rPr>
          <w:rFonts w:ascii="Arial" w:hAnsi="Arial" w:cs="Arial"/>
          <w:sz w:val="22"/>
          <w:szCs w:val="22"/>
          <w:lang w:val="en-US"/>
        </w:rPr>
        <w:tab/>
        <w:t>the Mining Tenements, including beneficial interests in farm-in or farm-out agreements acquired or disposed of during the quarter, and their location;</w:t>
      </w:r>
    </w:p>
    <w:p w14:paraId="52A3FF79"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(5)</w:t>
      </w:r>
      <w:r w:rsidRPr="00755725">
        <w:rPr>
          <w:rFonts w:ascii="Arial" w:hAnsi="Arial" w:cs="Arial"/>
          <w:sz w:val="22"/>
          <w:szCs w:val="22"/>
          <w:lang w:val="en-US"/>
        </w:rPr>
        <w:tab/>
        <w:t>at least once every 12 months, the Summary of Reserves and Resources required by Rule 11.11.1 unless it is included in the Mining Exploration Reporting Entity’s annual report; and</w:t>
      </w:r>
    </w:p>
    <w:p w14:paraId="788CA4B6"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(6)</w:t>
      </w:r>
      <w:r w:rsidRPr="00755725">
        <w:rPr>
          <w:rFonts w:ascii="Arial" w:hAnsi="Arial" w:cs="Arial"/>
          <w:sz w:val="22"/>
          <w:szCs w:val="22"/>
          <w:lang w:val="en-US"/>
        </w:rPr>
        <w:tab/>
        <w:t>when the previous, and upcoming, disclosure required by (5) was, and will be, disclosed.</w:t>
      </w:r>
    </w:p>
    <w:p w14:paraId="4697DF90"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B07896">
        <w:rPr>
          <w:rFonts w:ascii="Arial" w:hAnsi="Arial" w:cs="Arial"/>
          <w:b/>
          <w:bCs/>
          <w:sz w:val="22"/>
          <w:szCs w:val="22"/>
          <w:lang w:val="en-US"/>
        </w:rPr>
        <w:t>11.10.2</w:t>
      </w:r>
      <w:r w:rsidRPr="00755725">
        <w:rPr>
          <w:rFonts w:ascii="Arial" w:hAnsi="Arial" w:cs="Arial"/>
          <w:sz w:val="22"/>
          <w:szCs w:val="22"/>
          <w:lang w:val="en-US"/>
        </w:rPr>
        <w:tab/>
        <w:t>A Mining Exploration Reporting Entity must disclose the report required by Rule 11.10.1 no later than 1 month after the end of the quarter.</w:t>
      </w:r>
    </w:p>
    <w:p w14:paraId="4B68847C" w14:textId="5EC13EDC" w:rsidR="00755725" w:rsidRPr="00755725" w:rsidRDefault="00755725" w:rsidP="00B07896">
      <w:pPr>
        <w:pStyle w:val="TitleL"/>
        <w:rPr>
          <w:rFonts w:ascii="Arial" w:hAnsi="Arial" w:cs="Arial"/>
          <w:sz w:val="22"/>
          <w:szCs w:val="22"/>
          <w:lang w:val="en-US"/>
        </w:rPr>
      </w:pPr>
      <w:r w:rsidRPr="00B07896">
        <w:rPr>
          <w:rFonts w:ascii="Arial" w:hAnsi="Arial" w:cs="Arial"/>
          <w:sz w:val="22"/>
          <w:szCs w:val="22"/>
        </w:rPr>
        <w:t>Quarterly Reports – Mining Production Reporting Entities</w:t>
      </w:r>
    </w:p>
    <w:p w14:paraId="03AF557A"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B07896">
        <w:rPr>
          <w:rFonts w:ascii="Arial" w:hAnsi="Arial" w:cs="Arial"/>
          <w:b/>
          <w:bCs/>
          <w:sz w:val="22"/>
          <w:szCs w:val="22"/>
          <w:lang w:val="en-US"/>
        </w:rPr>
        <w:t>11.10.3</w:t>
      </w:r>
      <w:r w:rsidRPr="00755725">
        <w:rPr>
          <w:rFonts w:ascii="Arial" w:hAnsi="Arial" w:cs="Arial"/>
          <w:sz w:val="22"/>
          <w:szCs w:val="22"/>
          <w:lang w:val="en-US"/>
        </w:rPr>
        <w:tab/>
        <w:t>A Mining Production Reporting Entity must disclose a report for each quarter of its financial year containing the following information in respect of the Mining Production Reporting Entity and all controlled entities on a consolidated basis, if applicable:</w:t>
      </w:r>
    </w:p>
    <w:p w14:paraId="786EE748"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details of the activities relating to mining production and development, or a statement that there have been no activities relating to mining production and development;</w:t>
      </w:r>
    </w:p>
    <w:p w14:paraId="51ABBDAD"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a summary of any expenditure incurred relating to mining production and development activities, if any;</w:t>
      </w:r>
    </w:p>
    <w:p w14:paraId="44986DE3"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t>(3)</w:t>
      </w:r>
      <w:r w:rsidRPr="00755725">
        <w:rPr>
          <w:rFonts w:ascii="Arial" w:hAnsi="Arial" w:cs="Arial"/>
          <w:sz w:val="22"/>
          <w:szCs w:val="22"/>
          <w:lang w:val="en-US"/>
        </w:rPr>
        <w:tab/>
        <w:t>a summary of:</w:t>
      </w:r>
      <w:r w:rsidRPr="00755725">
        <w:rPr>
          <w:rFonts w:ascii="Arial" w:hAnsi="Arial" w:cs="Arial"/>
          <w:sz w:val="22"/>
          <w:szCs w:val="22"/>
          <w:lang w:val="en-US"/>
        </w:rPr>
        <w:tab/>
      </w:r>
    </w:p>
    <w:p w14:paraId="26BC87B7"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the activities relating to mining Exploration, or a statement that there have been no activities relating to mining Exploration; and</w:t>
      </w:r>
    </w:p>
    <w:p w14:paraId="29AF40B0"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(b)</w:t>
      </w:r>
      <w:r w:rsidRPr="00755725">
        <w:rPr>
          <w:rFonts w:ascii="Arial" w:hAnsi="Arial" w:cs="Arial"/>
          <w:sz w:val="22"/>
          <w:szCs w:val="22"/>
          <w:lang w:val="en-US"/>
        </w:rPr>
        <w:tab/>
        <w:t>any expenditure incurred relating to mining Exploration activities;</w:t>
      </w:r>
    </w:p>
    <w:p w14:paraId="4351652C"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(4)</w:t>
      </w:r>
      <w:r w:rsidRPr="00755725">
        <w:rPr>
          <w:rFonts w:ascii="Arial" w:hAnsi="Arial" w:cs="Arial"/>
          <w:sz w:val="22"/>
          <w:szCs w:val="22"/>
          <w:lang w:val="en-US"/>
        </w:rPr>
        <w:tab/>
        <w:t>at least once every 12 months, the Summary of Reserves and Resources required by Rule 11.11.1 unless it is included in the Mining Reporting Entity’s annual report; and</w:t>
      </w:r>
    </w:p>
    <w:p w14:paraId="24A31C88"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(5)</w:t>
      </w:r>
      <w:r w:rsidRPr="00755725">
        <w:rPr>
          <w:rFonts w:ascii="Arial" w:hAnsi="Arial" w:cs="Arial"/>
          <w:sz w:val="22"/>
          <w:szCs w:val="22"/>
          <w:lang w:val="en-US"/>
        </w:rPr>
        <w:tab/>
        <w:t>when the previous, and upcoming, disclosure required by Rule 11.10.3(4) was, and will be, disclosed.</w:t>
      </w:r>
    </w:p>
    <w:p w14:paraId="208A5531"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B07896">
        <w:rPr>
          <w:rFonts w:ascii="Arial" w:hAnsi="Arial" w:cs="Arial"/>
          <w:b/>
          <w:bCs/>
          <w:sz w:val="22"/>
          <w:szCs w:val="22"/>
          <w:lang w:val="en-US"/>
        </w:rPr>
        <w:t>11.10.4</w:t>
      </w:r>
      <w:r w:rsidRPr="00755725">
        <w:rPr>
          <w:rFonts w:ascii="Arial" w:hAnsi="Arial" w:cs="Arial"/>
          <w:sz w:val="22"/>
          <w:szCs w:val="22"/>
          <w:lang w:val="en-US"/>
        </w:rPr>
        <w:tab/>
        <w:t>A Mining Production Reporting Entity must disclose the report required by Rule 11.10.3 no later than 1 month after the end of the quarter.</w:t>
      </w:r>
    </w:p>
    <w:p w14:paraId="75F2ECB9" w14:textId="67E5EC50" w:rsidR="00755725" w:rsidRPr="00B07896" w:rsidRDefault="00755725" w:rsidP="00B07896">
      <w:pPr>
        <w:pStyle w:val="Heading2"/>
        <w:rPr>
          <w:rFonts w:ascii="Arial" w:hAnsi="Arial" w:cs="Arial"/>
          <w:sz w:val="22"/>
          <w:szCs w:val="22"/>
        </w:rPr>
      </w:pPr>
      <w:bookmarkStart w:id="853" w:name="_Toc138325723"/>
      <w:r w:rsidRPr="00B07896">
        <w:rPr>
          <w:rFonts w:ascii="Arial" w:hAnsi="Arial" w:cs="Arial"/>
          <w:sz w:val="22"/>
          <w:szCs w:val="22"/>
        </w:rPr>
        <w:t>Summary of Reserves and Resources</w:t>
      </w:r>
      <w:bookmarkEnd w:id="853"/>
      <w:r w:rsidRPr="00B07896">
        <w:rPr>
          <w:rFonts w:ascii="Arial" w:hAnsi="Arial" w:cs="Arial"/>
          <w:sz w:val="22"/>
          <w:szCs w:val="22"/>
        </w:rPr>
        <w:t xml:space="preserve"> </w:t>
      </w:r>
    </w:p>
    <w:p w14:paraId="037070B1"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B07896">
        <w:rPr>
          <w:rFonts w:ascii="Arial" w:hAnsi="Arial" w:cs="Arial"/>
          <w:b/>
          <w:bCs/>
          <w:sz w:val="22"/>
          <w:szCs w:val="22"/>
          <w:lang w:val="en-US"/>
        </w:rPr>
        <w:t>11.11.1</w:t>
      </w:r>
      <w:r w:rsidRPr="00755725">
        <w:rPr>
          <w:rFonts w:ascii="Arial" w:hAnsi="Arial" w:cs="Arial"/>
          <w:sz w:val="22"/>
          <w:szCs w:val="22"/>
          <w:lang w:val="en-US"/>
        </w:rPr>
        <w:tab/>
        <w:t>A Mining Reporting Entity must include in its Summary of Reserves and Resources, a table in the form of MKT Form 11-1, as of a date no earlier than one month prior to the disclosure of the Summary of Reserves and Resources.</w:t>
      </w:r>
    </w:p>
    <w:p w14:paraId="0B9FF6F8"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B07896">
        <w:rPr>
          <w:rFonts w:ascii="Arial" w:hAnsi="Arial" w:cs="Arial"/>
          <w:b/>
          <w:bCs/>
          <w:sz w:val="22"/>
          <w:szCs w:val="22"/>
          <w:lang w:val="en-US"/>
        </w:rPr>
        <w:t>11.11.2</w:t>
      </w:r>
      <w:r w:rsidRPr="00755725">
        <w:rPr>
          <w:rFonts w:ascii="Arial" w:hAnsi="Arial" w:cs="Arial"/>
          <w:sz w:val="22"/>
          <w:szCs w:val="22"/>
          <w:lang w:val="en-US"/>
        </w:rPr>
        <w:tab/>
        <w:t>A Mining Reporting Entity must include in its Summary of Reserves and Resources, or its annual financial report, an update on its policies and practices for operating in a sustainable manner, as initially required by Rule 11.3.1(2).</w:t>
      </w:r>
    </w:p>
    <w:p w14:paraId="12D23235" w14:textId="5F8BC2FA" w:rsidR="00755725" w:rsidRPr="00B07896" w:rsidRDefault="00755725" w:rsidP="00B07896">
      <w:pPr>
        <w:pStyle w:val="Heading2"/>
        <w:rPr>
          <w:rFonts w:ascii="Arial" w:hAnsi="Arial" w:cs="Arial"/>
          <w:sz w:val="22"/>
          <w:szCs w:val="22"/>
        </w:rPr>
      </w:pPr>
      <w:bookmarkStart w:id="854" w:name="_Toc138325724"/>
      <w:r w:rsidRPr="00B07896">
        <w:rPr>
          <w:rFonts w:ascii="Arial" w:hAnsi="Arial" w:cs="Arial"/>
          <w:sz w:val="22"/>
          <w:szCs w:val="22"/>
        </w:rPr>
        <w:lastRenderedPageBreak/>
        <w:t>Other Requirements</w:t>
      </w:r>
      <w:bookmarkEnd w:id="854"/>
    </w:p>
    <w:p w14:paraId="24DCD1E1" w14:textId="77777777" w:rsidR="00755725" w:rsidRPr="00B07896" w:rsidRDefault="00755725" w:rsidP="00B07896">
      <w:pPr>
        <w:pStyle w:val="TitleL"/>
        <w:rPr>
          <w:rFonts w:ascii="Arial" w:hAnsi="Arial" w:cs="Arial"/>
          <w:sz w:val="22"/>
          <w:szCs w:val="22"/>
        </w:rPr>
      </w:pPr>
      <w:r w:rsidRPr="00B07896">
        <w:rPr>
          <w:rFonts w:ascii="Arial" w:hAnsi="Arial" w:cs="Arial"/>
          <w:sz w:val="22"/>
          <w:szCs w:val="22"/>
        </w:rPr>
        <w:t xml:space="preserve">Competent Persons </w:t>
      </w:r>
    </w:p>
    <w:p w14:paraId="466C682C"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532080">
        <w:rPr>
          <w:rFonts w:ascii="Arial" w:hAnsi="Arial" w:cs="Arial"/>
          <w:b/>
          <w:bCs/>
          <w:sz w:val="22"/>
          <w:szCs w:val="22"/>
          <w:lang w:val="en-US"/>
        </w:rPr>
        <w:t>11.12.1</w:t>
      </w:r>
      <w:r w:rsidRPr="00755725">
        <w:rPr>
          <w:rFonts w:ascii="Arial" w:hAnsi="Arial" w:cs="Arial"/>
          <w:sz w:val="22"/>
          <w:szCs w:val="22"/>
          <w:lang w:val="en-US"/>
        </w:rPr>
        <w:tab/>
        <w:t>Subject to Rule 11.12.2, a disclosure by a Mining Reporting Entity containing Exploration Targets, Exploration Results, or estimates of Mineral Resources or Ore Reserves must state:</w:t>
      </w:r>
    </w:p>
    <w:p w14:paraId="47E54C1B"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that it is based on, and fairly represents, information and supporting documentation prepared by a named Competent Person(s);</w:t>
      </w:r>
    </w:p>
    <w:p w14:paraId="42A585C5"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in each case, whether the Competent Person is an employee of the Mining Reporting Entity or a Related Party and, if not, the name of the Competent Person’s employer; and</w:t>
      </w:r>
    </w:p>
    <w:p w14:paraId="6309A7DD"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in each case, the name of the professional organisation of which each Competent Person is a member.</w:t>
      </w:r>
    </w:p>
    <w:p w14:paraId="0479A633"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532080">
        <w:rPr>
          <w:rFonts w:ascii="Arial" w:hAnsi="Arial" w:cs="Arial"/>
          <w:b/>
          <w:bCs/>
          <w:sz w:val="22"/>
          <w:szCs w:val="22"/>
          <w:lang w:val="en-US"/>
        </w:rPr>
        <w:t>11.12.2</w:t>
      </w:r>
      <w:r w:rsidRPr="00755725">
        <w:rPr>
          <w:rFonts w:ascii="Arial" w:hAnsi="Arial" w:cs="Arial"/>
          <w:sz w:val="22"/>
          <w:szCs w:val="22"/>
          <w:lang w:val="en-US"/>
        </w:rPr>
        <w:tab/>
        <w:t xml:space="preserve">The disclosure made in Rule 11.12.1 must only be made with the prior written consent of the Competent Person(s) as to the form and context in which the Exploration Results or estimates of Mineral Resources or Ore Reserves, as the case may be, and the supporting information is presented in the disclosure. </w:t>
      </w:r>
    </w:p>
    <w:p w14:paraId="49E9AEFF" w14:textId="77777777" w:rsidR="00755725" w:rsidRPr="00532080" w:rsidRDefault="00755725" w:rsidP="00532080">
      <w:pPr>
        <w:pStyle w:val="TitleL"/>
        <w:rPr>
          <w:rFonts w:ascii="Arial" w:hAnsi="Arial" w:cs="Arial"/>
          <w:sz w:val="22"/>
          <w:szCs w:val="22"/>
        </w:rPr>
      </w:pPr>
      <w:r w:rsidRPr="00532080">
        <w:rPr>
          <w:rFonts w:ascii="Arial" w:hAnsi="Arial" w:cs="Arial"/>
          <w:sz w:val="22"/>
          <w:szCs w:val="22"/>
        </w:rPr>
        <w:t xml:space="preserve">Guidance </w:t>
      </w:r>
    </w:p>
    <w:p w14:paraId="24EB3685" w14:textId="77777777" w:rsidR="00755725" w:rsidRPr="00755725" w:rsidRDefault="00755725" w:rsidP="00755725">
      <w:pPr>
        <w:spacing w:after="240" w:line="246" w:lineRule="atLeast"/>
        <w:ind w:left="720"/>
        <w:jc w:val="both"/>
        <w:rPr>
          <w:rFonts w:ascii="Arial" w:hAnsi="Arial" w:cs="Arial"/>
          <w:sz w:val="22"/>
          <w:szCs w:val="22"/>
          <w:lang w:val="en-US"/>
        </w:rPr>
      </w:pPr>
      <w:r w:rsidRPr="00755725">
        <w:rPr>
          <w:rFonts w:ascii="Arial" w:hAnsi="Arial" w:cs="Arial"/>
          <w:sz w:val="22"/>
          <w:szCs w:val="22"/>
          <w:lang w:val="en-US"/>
        </w:rPr>
        <w:t>This requirement applies to disclosures containing Exploration Results under Rule 11.4 or any original or updated estimates of Mineral Resources or Ore Reserves under Rules 11.5 or 11.6. For the requirement relating to the Summary of Reserves and Resources, refer to Rule 11.11.</w:t>
      </w:r>
    </w:p>
    <w:p w14:paraId="6E974389"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532080">
        <w:rPr>
          <w:rFonts w:ascii="Arial" w:hAnsi="Arial" w:cs="Arial"/>
          <w:b/>
          <w:bCs/>
          <w:sz w:val="22"/>
          <w:szCs w:val="22"/>
          <w:lang w:val="en-US"/>
        </w:rPr>
        <w:t>11.12.3</w:t>
      </w:r>
      <w:r w:rsidRPr="00755725">
        <w:rPr>
          <w:rFonts w:ascii="Arial" w:hAnsi="Arial" w:cs="Arial"/>
          <w:sz w:val="22"/>
          <w:szCs w:val="22"/>
          <w:lang w:val="en-US"/>
        </w:rPr>
        <w:tab/>
        <w:t>Rule 11.12.1 only applies the first time a Mining Reporting Entity discloses Exploration Results in accordance with Rule 11.4 or original or updated estimates of Mineral Resources or Ore Reserves in accordance with Rules 11.5 or 11.6 provided that:</w:t>
      </w:r>
    </w:p>
    <w:p w14:paraId="3C06D9F4"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any subsequent disclosure that refers to those Exploration Results or estimates of Mineral Resources or Ore Reserves references the earlier disclosure that was in compliance with Rule 11.12.1; and</w:t>
      </w:r>
    </w:p>
    <w:p w14:paraId="6DE430CB"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the Mining Reporting Entity confirms in the subsequent disclosure that it is not aware of any new information or data that materially affects the information included in the earlier disclosure(s) and, in the case of estimates of Mineral Resources or Ore Reserves, that all material assumptions and technical parameters underpinning the estimates in the earlier disclosure(s) continue to apply and have not materially changed.</w:t>
      </w:r>
    </w:p>
    <w:p w14:paraId="6630BCB4" w14:textId="77777777" w:rsidR="00755725" w:rsidRPr="00532080" w:rsidRDefault="00755725" w:rsidP="00532080">
      <w:pPr>
        <w:pStyle w:val="TitleL"/>
        <w:rPr>
          <w:rFonts w:ascii="Arial" w:hAnsi="Arial" w:cs="Arial"/>
          <w:sz w:val="22"/>
          <w:szCs w:val="22"/>
        </w:rPr>
      </w:pPr>
      <w:r w:rsidRPr="00532080">
        <w:rPr>
          <w:rFonts w:ascii="Arial" w:hAnsi="Arial" w:cs="Arial"/>
          <w:sz w:val="22"/>
          <w:szCs w:val="22"/>
        </w:rPr>
        <w:t xml:space="preserve">Mining Tenement joint venture disclosures </w:t>
      </w:r>
    </w:p>
    <w:p w14:paraId="76C42106"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532080">
        <w:rPr>
          <w:rFonts w:ascii="Arial" w:hAnsi="Arial" w:cs="Arial"/>
          <w:b/>
          <w:bCs/>
          <w:sz w:val="22"/>
          <w:szCs w:val="22"/>
          <w:lang w:val="en-US"/>
        </w:rPr>
        <w:t>11.12.4</w:t>
      </w:r>
      <w:r w:rsidRPr="00755725">
        <w:rPr>
          <w:rFonts w:ascii="Arial" w:hAnsi="Arial" w:cs="Arial"/>
          <w:sz w:val="22"/>
          <w:szCs w:val="22"/>
          <w:lang w:val="en-US"/>
        </w:rPr>
        <w:tab/>
        <w:t>A Mining Reporting Entity must not, and must ensure that its controlled entities do not, enter a joint venture agreement to investigate or explore a Mining Tenement, unless the agreement provides that:</w:t>
      </w:r>
    </w:p>
    <w:p w14:paraId="5D33E900"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if the Mining Reporting Entity requests it, the operator of the joint venture will provide the Mining Reporting Entity all the information the Mining Reporting Entity requires in order to comply with these Rules; and</w:t>
      </w:r>
    </w:p>
    <w:p w14:paraId="2B7E8EBA"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lastRenderedPageBreak/>
        <w:t>(2)</w:t>
      </w:r>
      <w:r w:rsidRPr="00755725">
        <w:rPr>
          <w:rFonts w:ascii="Arial" w:hAnsi="Arial" w:cs="Arial"/>
          <w:sz w:val="22"/>
          <w:szCs w:val="22"/>
          <w:lang w:val="en-US"/>
        </w:rPr>
        <w:tab/>
        <w:t>the Mining Reporting Entity may disclose that information as necessary for the Mining Reporting Entity to comply with these Rules.</w:t>
      </w:r>
    </w:p>
    <w:p w14:paraId="3136345D" w14:textId="77777777" w:rsidR="00755725" w:rsidRPr="00532080" w:rsidRDefault="00755725" w:rsidP="00532080">
      <w:pPr>
        <w:pStyle w:val="TitleL"/>
        <w:rPr>
          <w:rFonts w:ascii="Arial" w:hAnsi="Arial" w:cs="Arial"/>
          <w:sz w:val="22"/>
          <w:szCs w:val="22"/>
        </w:rPr>
      </w:pPr>
      <w:r w:rsidRPr="00532080">
        <w:rPr>
          <w:rFonts w:ascii="Arial" w:hAnsi="Arial" w:cs="Arial"/>
          <w:sz w:val="22"/>
          <w:szCs w:val="22"/>
        </w:rPr>
        <w:t xml:space="preserve">NI 43-101 Reports </w:t>
      </w:r>
    </w:p>
    <w:p w14:paraId="07838F82" w14:textId="1165FD52" w:rsidR="00755725" w:rsidRPr="00755725" w:rsidRDefault="00755725" w:rsidP="00755725">
      <w:pPr>
        <w:spacing w:after="240" w:line="246" w:lineRule="atLeast"/>
        <w:ind w:left="720" w:hanging="862"/>
        <w:jc w:val="both"/>
        <w:rPr>
          <w:rFonts w:ascii="Arial" w:hAnsi="Arial" w:cs="Arial"/>
          <w:sz w:val="22"/>
          <w:szCs w:val="22"/>
          <w:lang w:val="en-US"/>
        </w:rPr>
      </w:pPr>
      <w:r w:rsidRPr="00532080">
        <w:rPr>
          <w:rFonts w:ascii="Arial" w:hAnsi="Arial" w:cs="Arial"/>
          <w:b/>
          <w:bCs/>
          <w:sz w:val="22"/>
          <w:szCs w:val="22"/>
          <w:lang w:val="en-US"/>
        </w:rPr>
        <w:t>11.12.5</w:t>
      </w:r>
      <w:r w:rsidRPr="00755725">
        <w:rPr>
          <w:rFonts w:ascii="Arial" w:hAnsi="Arial" w:cs="Arial"/>
          <w:sz w:val="22"/>
          <w:szCs w:val="22"/>
          <w:lang w:val="en-US"/>
        </w:rPr>
        <w:tab/>
        <w:t xml:space="preserve">Where a requirement within NI 43-101 specifically requires a report to be lodged with the Canadian System for Electronic Document Analysis and Retrieval or “SEDAR”, a Mining Reporting Entity is to disclose such report as otherwise set out, and in accordance, with these Rules. </w:t>
      </w:r>
    </w:p>
    <w:p w14:paraId="7334B773" w14:textId="45266EAA" w:rsidR="00755725" w:rsidRPr="00532080" w:rsidRDefault="00755725" w:rsidP="00532080">
      <w:pPr>
        <w:pStyle w:val="Heading1"/>
        <w:rPr>
          <w:rFonts w:ascii="Arial" w:hAnsi="Arial" w:cs="Arial"/>
          <w:sz w:val="22"/>
          <w:szCs w:val="22"/>
        </w:rPr>
      </w:pPr>
      <w:bookmarkStart w:id="855" w:name="_Toc138325725"/>
      <w:r w:rsidRPr="00532080">
        <w:rPr>
          <w:rFonts w:ascii="Arial" w:hAnsi="Arial" w:cs="Arial"/>
          <w:sz w:val="22"/>
          <w:szCs w:val="22"/>
        </w:rPr>
        <w:t>ADDITIONAL OBLIGATIONS FOR PETROLEUM REPORTING ENTITIES</w:t>
      </w:r>
      <w:bookmarkEnd w:id="855"/>
    </w:p>
    <w:p w14:paraId="486EAE36" w14:textId="77777777" w:rsidR="00755725" w:rsidRPr="00532080" w:rsidRDefault="00755725" w:rsidP="00532080">
      <w:pPr>
        <w:pStyle w:val="TitleL"/>
        <w:rPr>
          <w:rFonts w:ascii="Arial" w:hAnsi="Arial" w:cs="Arial"/>
          <w:sz w:val="22"/>
          <w:szCs w:val="22"/>
        </w:rPr>
      </w:pPr>
      <w:r w:rsidRPr="00532080">
        <w:rPr>
          <w:rFonts w:ascii="Arial" w:hAnsi="Arial" w:cs="Arial"/>
          <w:sz w:val="22"/>
          <w:szCs w:val="22"/>
        </w:rPr>
        <w:t>Guidance</w:t>
      </w:r>
    </w:p>
    <w:p w14:paraId="591E3C23" w14:textId="77777777" w:rsidR="00755725" w:rsidRPr="00755725" w:rsidRDefault="00755725" w:rsidP="00755725">
      <w:pPr>
        <w:spacing w:after="240" w:line="246" w:lineRule="atLeast"/>
        <w:ind w:left="720"/>
        <w:jc w:val="both"/>
        <w:rPr>
          <w:rFonts w:ascii="Arial" w:hAnsi="Arial" w:cs="Arial"/>
          <w:sz w:val="22"/>
          <w:szCs w:val="22"/>
          <w:lang w:val="en-US"/>
        </w:rPr>
      </w:pPr>
      <w:r w:rsidRPr="00755725">
        <w:rPr>
          <w:rFonts w:ascii="Arial" w:hAnsi="Arial" w:cs="Arial"/>
          <w:sz w:val="22"/>
          <w:szCs w:val="22"/>
          <w:lang w:val="en-US"/>
        </w:rPr>
        <w:t>Chapter 12 sets out the additional disclosure requirements additional to those applicable to Persons who make, or intend to make, an Offer of Securities as provided for in chapter 4 and/or those Persons who are a Listed Entity/Reporting Entity or an Applicant for admission to the Official List of Securities, where such disclosure relates to Petroleum Resources, including Petroleum Reserves, Contingent Resources or Prospective Resources.</w:t>
      </w:r>
    </w:p>
    <w:p w14:paraId="77F5E17B" w14:textId="560834F4" w:rsidR="00755725" w:rsidRPr="00532080" w:rsidRDefault="00755725" w:rsidP="00532080">
      <w:pPr>
        <w:pStyle w:val="Heading2"/>
        <w:rPr>
          <w:rFonts w:ascii="Arial" w:hAnsi="Arial" w:cs="Arial"/>
          <w:sz w:val="22"/>
          <w:szCs w:val="22"/>
        </w:rPr>
      </w:pPr>
      <w:bookmarkStart w:id="856" w:name="_Toc138325726"/>
      <w:r w:rsidRPr="00532080">
        <w:rPr>
          <w:rFonts w:ascii="Arial" w:hAnsi="Arial" w:cs="Arial"/>
          <w:sz w:val="22"/>
          <w:szCs w:val="22"/>
        </w:rPr>
        <w:t>Application</w:t>
      </w:r>
      <w:bookmarkEnd w:id="856"/>
    </w:p>
    <w:p w14:paraId="2ED81290"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532080">
        <w:rPr>
          <w:rFonts w:ascii="Arial" w:hAnsi="Arial" w:cs="Arial"/>
          <w:b/>
          <w:bCs/>
          <w:sz w:val="22"/>
          <w:szCs w:val="22"/>
          <w:lang w:val="en-US"/>
        </w:rPr>
        <w:t>12.1.1</w:t>
      </w:r>
      <w:r w:rsidRPr="00755725">
        <w:rPr>
          <w:rFonts w:ascii="Arial" w:hAnsi="Arial" w:cs="Arial"/>
          <w:sz w:val="22"/>
          <w:szCs w:val="22"/>
          <w:lang w:val="en-US"/>
        </w:rPr>
        <w:tab/>
        <w:t>This Chapter applies to Persons who make, or intend to make, a disclosure relating to Petroleum Resources including:</w:t>
      </w:r>
    </w:p>
    <w:p w14:paraId="324CE0ED"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 xml:space="preserve">(1) </w:t>
      </w:r>
      <w:r w:rsidRPr="00755725">
        <w:rPr>
          <w:rFonts w:ascii="Arial" w:hAnsi="Arial" w:cs="Arial"/>
          <w:sz w:val="22"/>
          <w:szCs w:val="22"/>
          <w:lang w:val="en-US"/>
        </w:rPr>
        <w:tab/>
        <w:t>a Petroleum Reporting Entity;</w:t>
      </w:r>
    </w:p>
    <w:p w14:paraId="4A5DA9EE"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 xml:space="preserve">(2) </w:t>
      </w:r>
      <w:r w:rsidRPr="00755725">
        <w:rPr>
          <w:rFonts w:ascii="Arial" w:hAnsi="Arial" w:cs="Arial"/>
          <w:sz w:val="22"/>
          <w:szCs w:val="22"/>
          <w:lang w:val="en-US"/>
        </w:rPr>
        <w:tab/>
        <w:t>a Person who makes or intends to make an Offer of Securities to the Public in or from the ADGM;</w:t>
      </w:r>
    </w:p>
    <w:p w14:paraId="064CF465"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an Issuer; and</w:t>
      </w:r>
    </w:p>
    <w:p w14:paraId="51486D81"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(4)</w:t>
      </w:r>
      <w:r w:rsidRPr="00755725">
        <w:rPr>
          <w:rFonts w:ascii="Arial" w:hAnsi="Arial" w:cs="Arial"/>
          <w:sz w:val="22"/>
          <w:szCs w:val="22"/>
          <w:lang w:val="en-US"/>
        </w:rPr>
        <w:tab/>
        <w:t>a Listed Entity.</w:t>
      </w:r>
    </w:p>
    <w:p w14:paraId="629DCB26"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532080">
        <w:rPr>
          <w:rFonts w:ascii="Arial" w:hAnsi="Arial" w:cs="Arial"/>
          <w:b/>
          <w:bCs/>
          <w:sz w:val="22"/>
          <w:szCs w:val="22"/>
          <w:lang w:val="en-US"/>
        </w:rPr>
        <w:t>12.1.2</w:t>
      </w:r>
      <w:r w:rsidRPr="00755725">
        <w:rPr>
          <w:rFonts w:ascii="Arial" w:hAnsi="Arial" w:cs="Arial"/>
          <w:sz w:val="22"/>
          <w:szCs w:val="22"/>
          <w:lang w:val="en-US"/>
        </w:rPr>
        <w:tab/>
        <w:t>For the purposes of this chapter, a reference to a Petroleum Reporting Entity shall also include Persons in Rule 12.1.1(2), (3) and (4), as applicable.</w:t>
      </w:r>
    </w:p>
    <w:p w14:paraId="5A87501D"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532080">
        <w:rPr>
          <w:rFonts w:ascii="Arial" w:hAnsi="Arial" w:cs="Arial"/>
          <w:b/>
          <w:bCs/>
          <w:sz w:val="22"/>
          <w:szCs w:val="22"/>
          <w:lang w:val="en-US"/>
        </w:rPr>
        <w:t>12.1.3</w:t>
      </w:r>
      <w:r w:rsidRPr="00755725">
        <w:rPr>
          <w:rFonts w:ascii="Arial" w:hAnsi="Arial" w:cs="Arial"/>
          <w:sz w:val="22"/>
          <w:szCs w:val="22"/>
          <w:lang w:val="en-US"/>
        </w:rPr>
        <w:tab/>
        <w:t>Terms that are defined in the Petroleum Reporting Standard are deemed to be defined terms in this Chapter 12.</w:t>
      </w:r>
    </w:p>
    <w:p w14:paraId="1419442D" w14:textId="3C57EA62" w:rsidR="00755725" w:rsidRPr="00532080" w:rsidRDefault="00755725" w:rsidP="00532080">
      <w:pPr>
        <w:pStyle w:val="Heading2"/>
        <w:rPr>
          <w:rFonts w:ascii="Arial" w:hAnsi="Arial" w:cs="Arial"/>
          <w:sz w:val="22"/>
          <w:szCs w:val="22"/>
        </w:rPr>
      </w:pPr>
      <w:bookmarkStart w:id="857" w:name="_Toc138325727"/>
      <w:r w:rsidRPr="00532080">
        <w:rPr>
          <w:rFonts w:ascii="Arial" w:hAnsi="Arial" w:cs="Arial"/>
          <w:sz w:val="22"/>
          <w:szCs w:val="22"/>
        </w:rPr>
        <w:t>General rules for Petroleum activity disclosures</w:t>
      </w:r>
      <w:bookmarkEnd w:id="857"/>
    </w:p>
    <w:p w14:paraId="28592B72" w14:textId="6339AD54" w:rsidR="00755725" w:rsidRPr="00755725" w:rsidRDefault="00755725" w:rsidP="00532080">
      <w:pPr>
        <w:pStyle w:val="TitleL"/>
        <w:rPr>
          <w:rFonts w:ascii="Arial" w:hAnsi="Arial" w:cs="Arial"/>
          <w:b w:val="0"/>
          <w:bCs/>
          <w:sz w:val="22"/>
          <w:szCs w:val="22"/>
          <w:lang w:val="en-US"/>
        </w:rPr>
      </w:pPr>
      <w:r w:rsidRPr="00532080">
        <w:rPr>
          <w:rFonts w:ascii="Arial" w:hAnsi="Arial" w:cs="Arial"/>
          <w:sz w:val="22"/>
          <w:szCs w:val="22"/>
        </w:rPr>
        <w:t>Requirements for all disclosures</w:t>
      </w:r>
    </w:p>
    <w:p w14:paraId="7FE4779F"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532080">
        <w:rPr>
          <w:rFonts w:ascii="Arial" w:hAnsi="Arial" w:cs="Arial"/>
          <w:b/>
          <w:bCs/>
          <w:sz w:val="22"/>
          <w:szCs w:val="22"/>
          <w:lang w:val="en-US"/>
        </w:rPr>
        <w:t>12.2.1</w:t>
      </w:r>
      <w:r w:rsidRPr="00755725">
        <w:rPr>
          <w:rFonts w:ascii="Arial" w:hAnsi="Arial" w:cs="Arial"/>
          <w:sz w:val="22"/>
          <w:szCs w:val="22"/>
          <w:lang w:val="en-US"/>
        </w:rPr>
        <w:tab/>
        <w:t>A disclosure by a Petroleum Reporting Entity that includes a statement about Petroleum Resources, including estimates of Petroleum Reserves, Contingent Resources or Prospective Resources must be prepared in accordance with:</w:t>
      </w:r>
    </w:p>
    <w:p w14:paraId="7ACE0C57"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(1)</w:t>
      </w:r>
      <w:r w:rsidRPr="00755725">
        <w:rPr>
          <w:rFonts w:ascii="Arial" w:hAnsi="Arial" w:cs="Arial"/>
          <w:sz w:val="22"/>
          <w:szCs w:val="22"/>
          <w:lang w:val="en-US"/>
        </w:rPr>
        <w:tab/>
        <w:t>the Petroleum Reporting Standard; and</w:t>
      </w:r>
    </w:p>
    <w:p w14:paraId="4DBC4FEE" w14:textId="77777777" w:rsidR="00755725" w:rsidRPr="00755725" w:rsidRDefault="00755725" w:rsidP="00755725">
      <w:pPr>
        <w:spacing w:after="240" w:line="246" w:lineRule="atLeast"/>
        <w:ind w:left="720" w:hanging="720"/>
        <w:jc w:val="both"/>
        <w:rPr>
          <w:rFonts w:ascii="Arial" w:hAnsi="Arial" w:cs="Arial"/>
          <w:b/>
          <w:bCs/>
          <w:sz w:val="22"/>
          <w:szCs w:val="22"/>
          <w:lang w:val="en-US"/>
        </w:rPr>
      </w:pPr>
      <w:r w:rsidRPr="00755725">
        <w:rPr>
          <w:rFonts w:ascii="Arial" w:hAnsi="Arial" w:cs="Arial"/>
          <w:sz w:val="22"/>
          <w:szCs w:val="22"/>
          <w:lang w:val="en-US"/>
        </w:rPr>
        <w:tab/>
        <w:t>(2)</w:t>
      </w:r>
      <w:r w:rsidRPr="00755725">
        <w:rPr>
          <w:rFonts w:ascii="Arial" w:hAnsi="Arial" w:cs="Arial"/>
          <w:sz w:val="22"/>
          <w:szCs w:val="22"/>
          <w:lang w:val="en-US"/>
        </w:rPr>
        <w:tab/>
        <w:t>this Chapter 12 of the Rules.</w:t>
      </w:r>
    </w:p>
    <w:p w14:paraId="4C532DB5" w14:textId="77777777" w:rsidR="00755725" w:rsidRPr="00532080" w:rsidRDefault="00755725" w:rsidP="00532080">
      <w:pPr>
        <w:pStyle w:val="TitleL"/>
        <w:rPr>
          <w:rFonts w:ascii="Arial" w:hAnsi="Arial" w:cs="Arial"/>
          <w:sz w:val="22"/>
          <w:szCs w:val="22"/>
        </w:rPr>
      </w:pPr>
      <w:r w:rsidRPr="00532080">
        <w:rPr>
          <w:rFonts w:ascii="Arial" w:hAnsi="Arial" w:cs="Arial"/>
          <w:sz w:val="22"/>
          <w:szCs w:val="22"/>
        </w:rPr>
        <w:lastRenderedPageBreak/>
        <w:t>Guidance</w:t>
      </w:r>
    </w:p>
    <w:p w14:paraId="2E0D6733" w14:textId="77777777" w:rsidR="00755725" w:rsidRPr="00755725" w:rsidRDefault="00755725" w:rsidP="00755725">
      <w:pPr>
        <w:spacing w:after="240" w:line="246" w:lineRule="atLeast"/>
        <w:ind w:left="720"/>
        <w:jc w:val="both"/>
        <w:rPr>
          <w:rFonts w:ascii="Arial" w:hAnsi="Arial" w:cs="Arial"/>
          <w:sz w:val="22"/>
          <w:szCs w:val="22"/>
        </w:rPr>
      </w:pPr>
      <w:r w:rsidRPr="00755725">
        <w:rPr>
          <w:rFonts w:ascii="Arial" w:hAnsi="Arial" w:cs="Arial"/>
          <w:bCs/>
          <w:sz w:val="22"/>
          <w:szCs w:val="22"/>
        </w:rPr>
        <w:t xml:space="preserve">Rule </w:t>
      </w:r>
      <w:r w:rsidRPr="00755725">
        <w:rPr>
          <w:rFonts w:ascii="Arial" w:hAnsi="Arial" w:cs="Arial"/>
          <w:sz w:val="22"/>
          <w:szCs w:val="22"/>
        </w:rPr>
        <w:t xml:space="preserve">12.2.1 applies to all </w:t>
      </w:r>
      <w:r w:rsidRPr="00755725">
        <w:rPr>
          <w:rFonts w:ascii="Arial" w:hAnsi="Arial" w:cs="Arial"/>
          <w:bCs/>
          <w:sz w:val="22"/>
          <w:szCs w:val="22"/>
        </w:rPr>
        <w:t>disclosures made or required to be made under these Rules which include a statement about Petroleum Resources, including estimates of Petroleum Reserves, Contingent Resources or Prospective Resources</w:t>
      </w:r>
      <w:r w:rsidRPr="00755725">
        <w:rPr>
          <w:rFonts w:ascii="Arial" w:hAnsi="Arial" w:cs="Arial"/>
          <w:sz w:val="22"/>
          <w:szCs w:val="22"/>
        </w:rPr>
        <w:t>, including within a Prospectus, Exempt Offer document, bidder’s and target’s statements, annual reports, financial statements, technical papers, presentations, and website content and disclosures.</w:t>
      </w:r>
    </w:p>
    <w:p w14:paraId="533CDF53" w14:textId="77777777" w:rsidR="00755725" w:rsidRPr="00755725" w:rsidRDefault="00755725" w:rsidP="00755725">
      <w:pPr>
        <w:pStyle w:val="Level11fo"/>
        <w:spacing w:before="0" w:after="240" w:line="246" w:lineRule="atLeast"/>
        <w:jc w:val="both"/>
        <w:rPr>
          <w:rFonts w:eastAsiaTheme="minorHAnsi" w:cs="Arial"/>
          <w:sz w:val="22"/>
          <w:szCs w:val="22"/>
          <w:lang w:val="en-GB"/>
        </w:rPr>
      </w:pPr>
      <w:r w:rsidRPr="00755725">
        <w:rPr>
          <w:rFonts w:eastAsiaTheme="minorHAnsi" w:cs="Arial"/>
          <w:sz w:val="22"/>
          <w:szCs w:val="22"/>
          <w:lang w:val="en-GB"/>
        </w:rPr>
        <w:t>To ensure consistency of its disclosures, Issuers and Petroleum Reporting Entities should be mindful of the table format for disclosure of Petroleum Resources set out in Form-12-1.</w:t>
      </w:r>
    </w:p>
    <w:p w14:paraId="61505E26"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532080">
        <w:rPr>
          <w:rFonts w:ascii="Arial" w:hAnsi="Arial" w:cs="Arial"/>
          <w:b/>
          <w:bCs/>
          <w:sz w:val="22"/>
          <w:szCs w:val="22"/>
          <w:lang w:val="en-US"/>
        </w:rPr>
        <w:t>12.2.2</w:t>
      </w:r>
      <w:r w:rsidRPr="00755725">
        <w:rPr>
          <w:rFonts w:ascii="Arial" w:hAnsi="Arial" w:cs="Arial"/>
          <w:sz w:val="22"/>
          <w:szCs w:val="22"/>
          <w:lang w:val="en-US"/>
        </w:rPr>
        <w:tab/>
        <w:t>Where a disclosure by a Petroleum Reporting Entity does not meet a non-mandatory requirement contained in the Petroleum Reporting Standard, the Petroleum Reporting Entity must provide in its disclosure a statement as to how and why its disclosure differs from the non-mandatory requirement contained in the relevant Petroleum Reporting Standard.</w:t>
      </w:r>
    </w:p>
    <w:p w14:paraId="6338C054" w14:textId="77777777" w:rsidR="00755725" w:rsidRPr="00532080" w:rsidRDefault="00755725" w:rsidP="00532080">
      <w:pPr>
        <w:pStyle w:val="TitleL"/>
        <w:rPr>
          <w:rFonts w:ascii="Arial" w:hAnsi="Arial" w:cs="Arial"/>
          <w:sz w:val="22"/>
          <w:szCs w:val="22"/>
        </w:rPr>
      </w:pPr>
      <w:r w:rsidRPr="00532080">
        <w:rPr>
          <w:rFonts w:ascii="Arial" w:hAnsi="Arial" w:cs="Arial"/>
          <w:sz w:val="22"/>
          <w:szCs w:val="22"/>
        </w:rPr>
        <w:t xml:space="preserve">Guidance </w:t>
      </w:r>
    </w:p>
    <w:p w14:paraId="13373F45" w14:textId="77777777" w:rsidR="00755725" w:rsidRPr="00755725" w:rsidRDefault="00755725" w:rsidP="00755725">
      <w:pPr>
        <w:pStyle w:val="Level11fo"/>
        <w:spacing w:before="0" w:after="240" w:line="246" w:lineRule="atLeast"/>
        <w:jc w:val="both"/>
        <w:rPr>
          <w:rFonts w:cs="Arial"/>
          <w:b/>
          <w:sz w:val="22"/>
          <w:szCs w:val="22"/>
        </w:rPr>
      </w:pPr>
      <w:r w:rsidRPr="00755725">
        <w:rPr>
          <w:rFonts w:cs="Arial"/>
          <w:bCs/>
          <w:sz w:val="22"/>
          <w:szCs w:val="22"/>
        </w:rPr>
        <w:t>Rule 12.2.1(1)</w:t>
      </w:r>
      <w:r w:rsidRPr="00755725">
        <w:rPr>
          <w:rFonts w:cs="Arial"/>
          <w:sz w:val="22"/>
          <w:szCs w:val="22"/>
        </w:rPr>
        <w:t xml:space="preserve"> requires a </w:t>
      </w:r>
      <w:r w:rsidRPr="00755725">
        <w:rPr>
          <w:rFonts w:cs="Arial"/>
          <w:sz w:val="22"/>
          <w:szCs w:val="22"/>
          <w:lang w:val="en-US"/>
        </w:rPr>
        <w:t>Petroleum</w:t>
      </w:r>
      <w:r w:rsidRPr="00755725">
        <w:rPr>
          <w:rFonts w:cs="Arial"/>
          <w:sz w:val="22"/>
          <w:szCs w:val="22"/>
        </w:rPr>
        <w:t xml:space="preserve"> Reporting Entity to fully comply with all binding requirements set out in the </w:t>
      </w:r>
      <w:r w:rsidRPr="00755725">
        <w:rPr>
          <w:rFonts w:cs="Arial"/>
          <w:sz w:val="22"/>
          <w:szCs w:val="22"/>
          <w:lang w:val="en-US"/>
        </w:rPr>
        <w:t>Petroleum</w:t>
      </w:r>
      <w:r w:rsidRPr="00755725">
        <w:rPr>
          <w:rFonts w:cs="Arial"/>
          <w:sz w:val="22"/>
          <w:szCs w:val="22"/>
        </w:rPr>
        <w:t xml:space="preserve"> </w:t>
      </w:r>
      <w:r w:rsidRPr="00755725">
        <w:rPr>
          <w:rFonts w:cs="Arial"/>
          <w:bCs/>
          <w:sz w:val="22"/>
          <w:szCs w:val="22"/>
        </w:rPr>
        <w:t>Reporting Standard (including any tables, appendices or schedules)</w:t>
      </w:r>
      <w:r w:rsidRPr="00755725">
        <w:rPr>
          <w:rFonts w:cs="Arial"/>
          <w:b/>
          <w:sz w:val="22"/>
          <w:szCs w:val="22"/>
        </w:rPr>
        <w:t xml:space="preserve">.  </w:t>
      </w:r>
      <w:r w:rsidRPr="00755725">
        <w:rPr>
          <w:rFonts w:cs="Arial"/>
          <w:bCs/>
          <w:sz w:val="22"/>
          <w:szCs w:val="22"/>
        </w:rPr>
        <w:t>The Regulator</w:t>
      </w:r>
      <w:r w:rsidRPr="00755725">
        <w:rPr>
          <w:rFonts w:cs="Arial"/>
          <w:b/>
          <w:sz w:val="22"/>
          <w:szCs w:val="22"/>
        </w:rPr>
        <w:t xml:space="preserve"> </w:t>
      </w:r>
      <w:r w:rsidRPr="00755725">
        <w:rPr>
          <w:rFonts w:cs="Arial"/>
          <w:sz w:val="22"/>
          <w:szCs w:val="22"/>
        </w:rPr>
        <w:t>also expects</w:t>
      </w:r>
      <w:r w:rsidRPr="00755725">
        <w:rPr>
          <w:rFonts w:cs="Arial"/>
          <w:b/>
          <w:sz w:val="22"/>
          <w:szCs w:val="22"/>
        </w:rPr>
        <w:t xml:space="preserve"> </w:t>
      </w:r>
      <w:r w:rsidRPr="00755725">
        <w:rPr>
          <w:rFonts w:cs="Arial"/>
          <w:bCs/>
          <w:sz w:val="22"/>
          <w:szCs w:val="22"/>
        </w:rPr>
        <w:t xml:space="preserve">a </w:t>
      </w:r>
      <w:r w:rsidRPr="00755725">
        <w:rPr>
          <w:rFonts w:cs="Arial"/>
          <w:sz w:val="22"/>
          <w:szCs w:val="22"/>
          <w:lang w:val="en-US"/>
        </w:rPr>
        <w:t>Petroleum</w:t>
      </w:r>
      <w:r w:rsidRPr="00755725">
        <w:rPr>
          <w:rFonts w:cs="Arial"/>
          <w:bCs/>
          <w:sz w:val="22"/>
          <w:szCs w:val="22"/>
        </w:rPr>
        <w:t xml:space="preserve"> Reporting Entity to fully comply with all non-mandatory requirements set out in the </w:t>
      </w:r>
      <w:r w:rsidRPr="00755725">
        <w:rPr>
          <w:rFonts w:cs="Arial"/>
          <w:sz w:val="22"/>
          <w:szCs w:val="22"/>
          <w:lang w:val="en-US"/>
        </w:rPr>
        <w:t>Petroleum</w:t>
      </w:r>
      <w:r w:rsidRPr="00755725">
        <w:rPr>
          <w:rFonts w:cs="Arial"/>
          <w:bCs/>
          <w:sz w:val="22"/>
          <w:szCs w:val="22"/>
        </w:rPr>
        <w:t xml:space="preserve"> Reporting Standard, or explain their non-compliance in accordance with Rule 12.2.2.</w:t>
      </w:r>
    </w:p>
    <w:p w14:paraId="4982EAFF" w14:textId="77777777" w:rsidR="00755725" w:rsidRPr="00755725" w:rsidRDefault="00755725" w:rsidP="00755725">
      <w:pPr>
        <w:spacing w:after="240" w:line="246" w:lineRule="atLeast"/>
        <w:ind w:left="720" w:hanging="720"/>
        <w:jc w:val="both"/>
        <w:rPr>
          <w:rFonts w:ascii="Arial" w:hAnsi="Arial" w:cs="Arial"/>
          <w:sz w:val="22"/>
          <w:szCs w:val="22"/>
          <w:lang w:val="en-AU"/>
        </w:rPr>
      </w:pPr>
      <w:r w:rsidRPr="00532080">
        <w:rPr>
          <w:rFonts w:ascii="Arial" w:hAnsi="Arial" w:cs="Arial"/>
          <w:b/>
          <w:bCs/>
          <w:sz w:val="22"/>
          <w:szCs w:val="22"/>
          <w:lang w:val="en-AU"/>
        </w:rPr>
        <w:t>12.2.3</w:t>
      </w:r>
      <w:r w:rsidRPr="00755725">
        <w:rPr>
          <w:rFonts w:ascii="Arial" w:hAnsi="Arial" w:cs="Arial"/>
          <w:sz w:val="22"/>
          <w:szCs w:val="22"/>
          <w:lang w:val="en-AU"/>
        </w:rPr>
        <w:tab/>
        <w:t xml:space="preserve">A </w:t>
      </w:r>
      <w:r w:rsidRPr="00755725">
        <w:rPr>
          <w:rFonts w:ascii="Arial" w:hAnsi="Arial" w:cs="Arial"/>
          <w:sz w:val="22"/>
          <w:szCs w:val="22"/>
          <w:lang w:val="en-US"/>
        </w:rPr>
        <w:t>Petroleum</w:t>
      </w:r>
      <w:r w:rsidRPr="00755725">
        <w:rPr>
          <w:rFonts w:ascii="Arial" w:hAnsi="Arial" w:cs="Arial"/>
          <w:sz w:val="22"/>
          <w:szCs w:val="22"/>
          <w:lang w:val="en-AU"/>
        </w:rPr>
        <w:t xml:space="preserve"> Reporting Entity must disclose Petroleum Resources in the most specific resource class that the Petroleum Resources can be classified under the </w:t>
      </w:r>
      <w:r w:rsidRPr="00755725">
        <w:rPr>
          <w:rFonts w:ascii="Arial" w:hAnsi="Arial" w:cs="Arial"/>
          <w:sz w:val="22"/>
          <w:szCs w:val="22"/>
          <w:lang w:val="en-US"/>
        </w:rPr>
        <w:t>Petroleum</w:t>
      </w:r>
      <w:r w:rsidRPr="00755725">
        <w:rPr>
          <w:rFonts w:ascii="Arial" w:hAnsi="Arial" w:cs="Arial"/>
          <w:sz w:val="22"/>
          <w:szCs w:val="22"/>
          <w:lang w:val="en-AU"/>
        </w:rPr>
        <w:t xml:space="preserve"> Reporting Standard.</w:t>
      </w:r>
    </w:p>
    <w:p w14:paraId="3E7E0391" w14:textId="6101CFB7" w:rsidR="00755725" w:rsidRPr="00755725" w:rsidRDefault="00755725" w:rsidP="00532080">
      <w:pPr>
        <w:pStyle w:val="TitleL"/>
        <w:rPr>
          <w:rFonts w:ascii="Arial" w:hAnsi="Arial" w:cs="Arial"/>
          <w:b w:val="0"/>
          <w:bCs/>
          <w:sz w:val="22"/>
          <w:szCs w:val="22"/>
          <w:lang w:val="en-AU"/>
        </w:rPr>
      </w:pPr>
      <w:r w:rsidRPr="00532080">
        <w:rPr>
          <w:rFonts w:ascii="Arial" w:hAnsi="Arial" w:cs="Arial"/>
          <w:sz w:val="22"/>
          <w:szCs w:val="22"/>
        </w:rPr>
        <w:t>Guidance</w:t>
      </w:r>
    </w:p>
    <w:p w14:paraId="035B9DBB" w14:textId="77777777" w:rsidR="00755725" w:rsidRPr="00755725" w:rsidRDefault="00755725" w:rsidP="00755725">
      <w:pPr>
        <w:spacing w:after="240" w:line="246" w:lineRule="atLeast"/>
        <w:ind w:left="720" w:hanging="720"/>
        <w:jc w:val="both"/>
        <w:rPr>
          <w:rFonts w:ascii="Arial" w:hAnsi="Arial" w:cs="Arial"/>
          <w:sz w:val="22"/>
          <w:szCs w:val="22"/>
          <w:lang w:val="en-AU"/>
        </w:rPr>
      </w:pPr>
      <w:r w:rsidRPr="00755725">
        <w:rPr>
          <w:rFonts w:ascii="Arial" w:hAnsi="Arial" w:cs="Arial"/>
          <w:sz w:val="22"/>
          <w:szCs w:val="22"/>
          <w:lang w:val="en-AU"/>
        </w:rPr>
        <w:tab/>
        <w:t xml:space="preserve">The specific classes for Petroleum Resources are identified in section 1.1 of the </w:t>
      </w:r>
      <w:r w:rsidRPr="00755725">
        <w:rPr>
          <w:rFonts w:ascii="Arial" w:hAnsi="Arial" w:cs="Arial"/>
          <w:sz w:val="22"/>
          <w:szCs w:val="22"/>
          <w:lang w:val="en-US"/>
        </w:rPr>
        <w:t>Petroleum</w:t>
      </w:r>
      <w:r w:rsidRPr="00755725">
        <w:rPr>
          <w:rFonts w:ascii="Arial" w:hAnsi="Arial" w:cs="Arial"/>
          <w:sz w:val="22"/>
          <w:szCs w:val="22"/>
          <w:lang w:val="en-AU"/>
        </w:rPr>
        <w:t xml:space="preserve"> Reporting Standard. They are production, Petroleum Reserves, Contingent Resources, Prospective Resources and unrecoverable Petroleum. The PRMS Guidelines provide additional guidance on Petroleum Resource classification.</w:t>
      </w:r>
    </w:p>
    <w:p w14:paraId="6CBED06B" w14:textId="77777777" w:rsidR="00755725" w:rsidRPr="00755725" w:rsidRDefault="00755725" w:rsidP="00755725">
      <w:pPr>
        <w:spacing w:after="240" w:line="246" w:lineRule="atLeast"/>
        <w:ind w:left="720" w:hanging="720"/>
        <w:jc w:val="both"/>
        <w:rPr>
          <w:rFonts w:ascii="Arial" w:hAnsi="Arial" w:cs="Arial"/>
          <w:sz w:val="22"/>
          <w:szCs w:val="22"/>
          <w:lang w:val="en-AU"/>
        </w:rPr>
      </w:pPr>
      <w:r w:rsidRPr="00532080">
        <w:rPr>
          <w:rFonts w:ascii="Arial" w:hAnsi="Arial" w:cs="Arial"/>
          <w:b/>
          <w:bCs/>
          <w:sz w:val="22"/>
          <w:szCs w:val="22"/>
          <w:lang w:val="en-AU"/>
        </w:rPr>
        <w:t>12.2.4</w:t>
      </w:r>
      <w:r w:rsidRPr="00755725">
        <w:rPr>
          <w:rFonts w:ascii="Arial" w:hAnsi="Arial" w:cs="Arial"/>
          <w:sz w:val="22"/>
          <w:szCs w:val="22"/>
          <w:lang w:val="en-AU"/>
        </w:rPr>
        <w:tab/>
        <w:t>A disclosure that includes estimates of Petroleum Reserves, Contingent Resources or Prospective Resources must:</w:t>
      </w:r>
    </w:p>
    <w:p w14:paraId="6F4E8FA1" w14:textId="77777777" w:rsidR="00755725" w:rsidRPr="00755725" w:rsidRDefault="00755725" w:rsidP="00755725">
      <w:pPr>
        <w:spacing w:after="240" w:line="246" w:lineRule="atLeast"/>
        <w:ind w:left="1440" w:hanging="720"/>
        <w:jc w:val="both"/>
        <w:rPr>
          <w:rFonts w:ascii="Arial" w:hAnsi="Arial" w:cs="Arial"/>
          <w:sz w:val="22"/>
          <w:szCs w:val="22"/>
          <w:lang w:val="en-AU"/>
        </w:rPr>
      </w:pPr>
      <w:r w:rsidRPr="00755725">
        <w:rPr>
          <w:rFonts w:ascii="Arial" w:hAnsi="Arial" w:cs="Arial"/>
          <w:sz w:val="22"/>
          <w:szCs w:val="22"/>
          <w:lang w:val="en-AU"/>
        </w:rPr>
        <w:t>(1)</w:t>
      </w:r>
      <w:r w:rsidRPr="00755725">
        <w:rPr>
          <w:rFonts w:ascii="Arial" w:hAnsi="Arial" w:cs="Arial"/>
          <w:sz w:val="22"/>
          <w:szCs w:val="22"/>
          <w:lang w:val="en-AU"/>
        </w:rPr>
        <w:tab/>
        <w:t>clearly identify whether the Deterministic Method or Probabilistic Method was used in preparing the estimates; and</w:t>
      </w:r>
    </w:p>
    <w:p w14:paraId="33E90FF2" w14:textId="47F1ACD3" w:rsidR="00755725" w:rsidRPr="00532080" w:rsidRDefault="00755725" w:rsidP="00532080">
      <w:pPr>
        <w:pStyle w:val="TitleL"/>
        <w:rPr>
          <w:rFonts w:ascii="Arial" w:hAnsi="Arial" w:cs="Arial"/>
          <w:sz w:val="22"/>
          <w:szCs w:val="22"/>
        </w:rPr>
      </w:pPr>
      <w:r w:rsidRPr="00532080">
        <w:rPr>
          <w:rFonts w:ascii="Arial" w:hAnsi="Arial" w:cs="Arial"/>
          <w:sz w:val="22"/>
          <w:szCs w:val="22"/>
        </w:rPr>
        <w:t>Guidance</w:t>
      </w:r>
    </w:p>
    <w:p w14:paraId="0F158584" w14:textId="77777777" w:rsidR="00755725" w:rsidRPr="00755725" w:rsidRDefault="00755725" w:rsidP="00755725">
      <w:pPr>
        <w:spacing w:after="240" w:line="246" w:lineRule="atLeast"/>
        <w:ind w:left="709"/>
        <w:jc w:val="both"/>
        <w:rPr>
          <w:rFonts w:ascii="Arial" w:hAnsi="Arial" w:cs="Arial"/>
          <w:sz w:val="22"/>
          <w:szCs w:val="22"/>
          <w:lang w:val="en-AU"/>
        </w:rPr>
      </w:pPr>
      <w:r w:rsidRPr="00755725">
        <w:rPr>
          <w:rFonts w:ascii="Arial" w:hAnsi="Arial" w:cs="Arial"/>
          <w:sz w:val="22"/>
          <w:szCs w:val="22"/>
          <w:lang w:val="en-AU"/>
        </w:rPr>
        <w:t>Additional guidance on Deterministic Methods (in sections 4.1 and 5.2) and Probabilistic Methods (in section 5.3 and 7.1) is provided in the PRMS Guidelines.</w:t>
      </w:r>
    </w:p>
    <w:p w14:paraId="47AFE12F" w14:textId="77777777" w:rsidR="00755725" w:rsidRPr="00755725" w:rsidRDefault="00755725" w:rsidP="00755725">
      <w:pPr>
        <w:spacing w:after="240" w:line="246" w:lineRule="atLeast"/>
        <w:jc w:val="both"/>
        <w:rPr>
          <w:rFonts w:ascii="Arial" w:hAnsi="Arial" w:cs="Arial"/>
          <w:sz w:val="22"/>
          <w:szCs w:val="22"/>
          <w:lang w:val="en-AU"/>
        </w:rPr>
      </w:pPr>
      <w:r w:rsidRPr="00755725">
        <w:rPr>
          <w:rFonts w:ascii="Arial" w:hAnsi="Arial" w:cs="Arial"/>
          <w:sz w:val="22"/>
          <w:szCs w:val="22"/>
          <w:lang w:val="en-AU"/>
        </w:rPr>
        <w:tab/>
        <w:t>(2)</w:t>
      </w:r>
      <w:r w:rsidRPr="00755725">
        <w:rPr>
          <w:rFonts w:ascii="Arial" w:hAnsi="Arial" w:cs="Arial"/>
          <w:sz w:val="22"/>
          <w:szCs w:val="22"/>
          <w:lang w:val="en-AU"/>
        </w:rPr>
        <w:tab/>
        <w:t>identify the Evaluation Date.</w:t>
      </w:r>
    </w:p>
    <w:p w14:paraId="415EA5CF" w14:textId="2B7A624B" w:rsidR="00755725" w:rsidRPr="00755725" w:rsidRDefault="00755725" w:rsidP="00532080">
      <w:pPr>
        <w:pStyle w:val="TitleL"/>
        <w:rPr>
          <w:rFonts w:ascii="Arial" w:hAnsi="Arial" w:cs="Arial"/>
          <w:b w:val="0"/>
          <w:bCs/>
          <w:sz w:val="22"/>
          <w:szCs w:val="22"/>
          <w:lang w:val="en-AU"/>
        </w:rPr>
      </w:pPr>
      <w:r w:rsidRPr="00532080">
        <w:rPr>
          <w:rFonts w:ascii="Arial" w:hAnsi="Arial" w:cs="Arial"/>
          <w:sz w:val="22"/>
          <w:szCs w:val="22"/>
        </w:rPr>
        <w:lastRenderedPageBreak/>
        <w:t>Guidance</w:t>
      </w:r>
    </w:p>
    <w:p w14:paraId="670BD8F4" w14:textId="77777777" w:rsidR="00755725" w:rsidRPr="00755725" w:rsidRDefault="00755725" w:rsidP="00755725">
      <w:pPr>
        <w:spacing w:after="240" w:line="246" w:lineRule="atLeast"/>
        <w:ind w:left="709" w:firstLine="11"/>
        <w:jc w:val="both"/>
        <w:rPr>
          <w:rFonts w:ascii="Arial" w:hAnsi="Arial" w:cs="Arial"/>
          <w:sz w:val="22"/>
          <w:szCs w:val="22"/>
          <w:lang w:val="en-AU"/>
        </w:rPr>
      </w:pPr>
      <w:r w:rsidRPr="00755725">
        <w:rPr>
          <w:rFonts w:ascii="Arial" w:hAnsi="Arial" w:cs="Arial"/>
          <w:sz w:val="22"/>
          <w:szCs w:val="22"/>
          <w:lang w:val="en-AU"/>
        </w:rPr>
        <w:t xml:space="preserve">To ensure consistency of its disclosures, a </w:t>
      </w:r>
      <w:r w:rsidRPr="00755725">
        <w:rPr>
          <w:rFonts w:ascii="Arial" w:hAnsi="Arial" w:cs="Arial"/>
          <w:sz w:val="22"/>
          <w:szCs w:val="22"/>
          <w:lang w:val="en-US"/>
        </w:rPr>
        <w:t>Petroleum</w:t>
      </w:r>
      <w:r w:rsidRPr="00755725">
        <w:rPr>
          <w:rFonts w:ascii="Arial" w:hAnsi="Arial" w:cs="Arial"/>
          <w:sz w:val="22"/>
          <w:szCs w:val="22"/>
          <w:lang w:val="en-AU"/>
        </w:rPr>
        <w:t xml:space="preserve"> Reporting Entity should be mindful of the table format for disclosure of Petroleum Reserves, Contingent Resources and Prospective Resources set out in Form 12-1.</w:t>
      </w:r>
    </w:p>
    <w:p w14:paraId="4C8EF1EA" w14:textId="77777777" w:rsidR="00755725" w:rsidRPr="00755725" w:rsidRDefault="00755725" w:rsidP="00755725">
      <w:pPr>
        <w:spacing w:after="240" w:line="246" w:lineRule="atLeast"/>
        <w:ind w:left="720" w:hanging="720"/>
        <w:jc w:val="both"/>
        <w:rPr>
          <w:rFonts w:ascii="Arial" w:hAnsi="Arial" w:cs="Arial"/>
          <w:sz w:val="22"/>
          <w:szCs w:val="22"/>
          <w:lang w:val="en-AU"/>
        </w:rPr>
      </w:pPr>
      <w:r w:rsidRPr="00532080">
        <w:rPr>
          <w:rFonts w:ascii="Arial" w:hAnsi="Arial" w:cs="Arial"/>
          <w:b/>
          <w:bCs/>
          <w:sz w:val="22"/>
          <w:szCs w:val="22"/>
          <w:lang w:val="en-AU"/>
        </w:rPr>
        <w:t>12.2.5</w:t>
      </w:r>
      <w:r w:rsidRPr="00755725">
        <w:rPr>
          <w:rFonts w:ascii="Arial" w:hAnsi="Arial" w:cs="Arial"/>
          <w:sz w:val="22"/>
          <w:szCs w:val="22"/>
          <w:lang w:val="en-AU"/>
        </w:rPr>
        <w:tab/>
        <w:t xml:space="preserve">If Total Petroleum Initially-In-Place, Estimated Ultimate Recovery or Discovered Petroleum Initially-In-Place are disclosed by a </w:t>
      </w:r>
      <w:r w:rsidRPr="00755725">
        <w:rPr>
          <w:rFonts w:ascii="Arial" w:hAnsi="Arial" w:cs="Arial"/>
          <w:sz w:val="22"/>
          <w:szCs w:val="22"/>
          <w:lang w:val="en-US"/>
        </w:rPr>
        <w:t>Petroleum</w:t>
      </w:r>
      <w:r w:rsidRPr="00755725">
        <w:rPr>
          <w:rFonts w:ascii="Arial" w:hAnsi="Arial" w:cs="Arial"/>
          <w:sz w:val="22"/>
          <w:szCs w:val="22"/>
          <w:lang w:val="en-AU"/>
        </w:rPr>
        <w:t xml:space="preserve"> Reporting Entity, all of the following information must, where applicable, be prominently and proximately included in the disclosure:</w:t>
      </w:r>
    </w:p>
    <w:p w14:paraId="22E37FB7" w14:textId="77777777" w:rsidR="00755725" w:rsidRPr="00755725" w:rsidRDefault="00755725" w:rsidP="00755725">
      <w:pPr>
        <w:spacing w:after="240" w:line="246" w:lineRule="atLeast"/>
        <w:ind w:left="720" w:hanging="720"/>
        <w:jc w:val="both"/>
        <w:rPr>
          <w:rFonts w:ascii="Arial" w:hAnsi="Arial" w:cs="Arial"/>
          <w:sz w:val="22"/>
          <w:szCs w:val="22"/>
          <w:lang w:val="en-AU"/>
        </w:rPr>
      </w:pPr>
      <w:r w:rsidRPr="00755725">
        <w:rPr>
          <w:rFonts w:ascii="Arial" w:hAnsi="Arial" w:cs="Arial"/>
          <w:sz w:val="22"/>
          <w:szCs w:val="22"/>
          <w:lang w:val="en-AU"/>
        </w:rPr>
        <w:tab/>
        <w:t>(1)</w:t>
      </w:r>
      <w:r w:rsidRPr="00755725">
        <w:rPr>
          <w:rFonts w:ascii="Arial" w:hAnsi="Arial" w:cs="Arial"/>
          <w:sz w:val="22"/>
          <w:szCs w:val="22"/>
          <w:lang w:val="en-AU"/>
        </w:rPr>
        <w:tab/>
        <w:t>an estimate of Petroleum Reserves;</w:t>
      </w:r>
    </w:p>
    <w:p w14:paraId="0CA763EE" w14:textId="77777777" w:rsidR="00755725" w:rsidRPr="00755725" w:rsidRDefault="00755725" w:rsidP="00755725">
      <w:pPr>
        <w:spacing w:after="240" w:line="246" w:lineRule="atLeast"/>
        <w:ind w:left="720" w:hanging="720"/>
        <w:jc w:val="both"/>
        <w:rPr>
          <w:rFonts w:ascii="Arial" w:hAnsi="Arial" w:cs="Arial"/>
          <w:sz w:val="22"/>
          <w:szCs w:val="22"/>
          <w:lang w:val="en-AU"/>
        </w:rPr>
      </w:pPr>
      <w:r w:rsidRPr="00755725">
        <w:rPr>
          <w:rFonts w:ascii="Arial" w:hAnsi="Arial" w:cs="Arial"/>
          <w:sz w:val="22"/>
          <w:szCs w:val="22"/>
          <w:lang w:val="en-AU"/>
        </w:rPr>
        <w:tab/>
        <w:t>(2)</w:t>
      </w:r>
      <w:r w:rsidRPr="00755725">
        <w:rPr>
          <w:rFonts w:ascii="Arial" w:hAnsi="Arial" w:cs="Arial"/>
          <w:sz w:val="22"/>
          <w:szCs w:val="22"/>
          <w:lang w:val="en-AU"/>
        </w:rPr>
        <w:tab/>
        <w:t>an estimate of Contingent Resources;</w:t>
      </w:r>
    </w:p>
    <w:p w14:paraId="0CB149C7" w14:textId="77777777" w:rsidR="00755725" w:rsidRPr="00755725" w:rsidRDefault="00755725" w:rsidP="00755725">
      <w:pPr>
        <w:spacing w:after="240" w:line="246" w:lineRule="atLeast"/>
        <w:ind w:left="720" w:hanging="720"/>
        <w:jc w:val="both"/>
        <w:rPr>
          <w:rFonts w:ascii="Arial" w:hAnsi="Arial" w:cs="Arial"/>
          <w:sz w:val="22"/>
          <w:szCs w:val="22"/>
          <w:lang w:val="en-AU"/>
        </w:rPr>
      </w:pPr>
      <w:r w:rsidRPr="00755725">
        <w:rPr>
          <w:rFonts w:ascii="Arial" w:hAnsi="Arial" w:cs="Arial"/>
          <w:sz w:val="22"/>
          <w:szCs w:val="22"/>
          <w:lang w:val="en-AU"/>
        </w:rPr>
        <w:tab/>
        <w:t>(3)</w:t>
      </w:r>
      <w:r w:rsidRPr="00755725">
        <w:rPr>
          <w:rFonts w:ascii="Arial" w:hAnsi="Arial" w:cs="Arial"/>
          <w:sz w:val="22"/>
          <w:szCs w:val="22"/>
          <w:lang w:val="en-AU"/>
        </w:rPr>
        <w:tab/>
        <w:t>an estimate of Prospective Resources; and</w:t>
      </w:r>
    </w:p>
    <w:p w14:paraId="08680022" w14:textId="77777777" w:rsidR="00755725" w:rsidRPr="00755725" w:rsidRDefault="00755725" w:rsidP="00755725">
      <w:pPr>
        <w:spacing w:after="240" w:line="246" w:lineRule="atLeast"/>
        <w:ind w:left="720" w:hanging="720"/>
        <w:jc w:val="both"/>
        <w:rPr>
          <w:rFonts w:ascii="Arial" w:hAnsi="Arial" w:cs="Arial"/>
          <w:sz w:val="22"/>
          <w:szCs w:val="22"/>
          <w:lang w:val="en-AU"/>
        </w:rPr>
      </w:pPr>
      <w:r w:rsidRPr="00755725">
        <w:rPr>
          <w:rFonts w:ascii="Arial" w:hAnsi="Arial" w:cs="Arial"/>
          <w:sz w:val="22"/>
          <w:szCs w:val="22"/>
          <w:lang w:val="en-AU"/>
        </w:rPr>
        <w:tab/>
        <w:t>(4)</w:t>
      </w:r>
      <w:r w:rsidRPr="00755725">
        <w:rPr>
          <w:rFonts w:ascii="Arial" w:hAnsi="Arial" w:cs="Arial"/>
          <w:sz w:val="22"/>
          <w:szCs w:val="22"/>
          <w:lang w:val="en-AU"/>
        </w:rPr>
        <w:tab/>
        <w:t>whether, and how, each class of Petroleum Resource was adjusted for risk.</w:t>
      </w:r>
    </w:p>
    <w:p w14:paraId="18D9CB9B" w14:textId="77777777" w:rsidR="00755725" w:rsidRPr="00532080" w:rsidRDefault="00755725" w:rsidP="00532080">
      <w:pPr>
        <w:pStyle w:val="TitleL"/>
        <w:rPr>
          <w:rFonts w:ascii="Arial" w:hAnsi="Arial" w:cs="Arial"/>
          <w:sz w:val="22"/>
          <w:szCs w:val="22"/>
        </w:rPr>
      </w:pPr>
      <w:r w:rsidRPr="00532080">
        <w:rPr>
          <w:rFonts w:ascii="Arial" w:hAnsi="Arial" w:cs="Arial"/>
          <w:sz w:val="22"/>
          <w:szCs w:val="22"/>
        </w:rPr>
        <w:t>Guidance</w:t>
      </w:r>
    </w:p>
    <w:p w14:paraId="7664B613" w14:textId="77777777" w:rsidR="00755725" w:rsidRPr="00755725" w:rsidRDefault="00755725" w:rsidP="00755725">
      <w:pPr>
        <w:spacing w:after="240" w:line="246" w:lineRule="atLeast"/>
        <w:ind w:left="720" w:hanging="11"/>
        <w:jc w:val="both"/>
        <w:rPr>
          <w:rFonts w:ascii="Arial" w:hAnsi="Arial" w:cs="Arial"/>
          <w:sz w:val="22"/>
          <w:szCs w:val="22"/>
          <w:lang w:val="en-AU"/>
        </w:rPr>
      </w:pPr>
      <w:r w:rsidRPr="00755725">
        <w:rPr>
          <w:rFonts w:ascii="Arial" w:hAnsi="Arial" w:cs="Arial"/>
          <w:sz w:val="22"/>
          <w:szCs w:val="22"/>
          <w:lang w:val="en-AU"/>
        </w:rPr>
        <w:t xml:space="preserve">The </w:t>
      </w:r>
      <w:r w:rsidRPr="00755725">
        <w:rPr>
          <w:rFonts w:ascii="Arial" w:hAnsi="Arial" w:cs="Arial"/>
          <w:sz w:val="22"/>
          <w:szCs w:val="22"/>
          <w:lang w:val="en-US"/>
        </w:rPr>
        <w:t>Petroleum</w:t>
      </w:r>
      <w:r w:rsidRPr="00755725">
        <w:rPr>
          <w:rFonts w:ascii="Arial" w:hAnsi="Arial" w:cs="Arial"/>
          <w:sz w:val="22"/>
          <w:szCs w:val="22"/>
          <w:lang w:val="en-AU"/>
        </w:rPr>
        <w:t xml:space="preserve"> Reporting Standard defines Total Petroleum Initially-In-Place, Estimated Ultimate Recovery and Discovered Petroleum Initially-In-Place in section 1.1 and its Appendix A. The Petroleum Reporting Standard identifies ‘remaining recoverable resources’ in section 1.2 and its Appendix A. Additional guidance on Total Petroleum Initially-In-Place is set out in section 2.2 of the PRMS Guidelines.</w:t>
      </w:r>
    </w:p>
    <w:p w14:paraId="10A9DCA8" w14:textId="0E486934" w:rsidR="00755725" w:rsidRPr="00532080" w:rsidRDefault="00755725" w:rsidP="00532080">
      <w:pPr>
        <w:pStyle w:val="Heading2"/>
        <w:rPr>
          <w:rFonts w:ascii="Arial" w:hAnsi="Arial" w:cs="Arial"/>
          <w:sz w:val="22"/>
          <w:szCs w:val="22"/>
        </w:rPr>
      </w:pPr>
      <w:bookmarkStart w:id="858" w:name="_Toc138325728"/>
      <w:r w:rsidRPr="00532080">
        <w:rPr>
          <w:rFonts w:ascii="Arial" w:hAnsi="Arial" w:cs="Arial"/>
          <w:sz w:val="22"/>
          <w:szCs w:val="22"/>
        </w:rPr>
        <w:t>Prospectus – Petroleum disclosures</w:t>
      </w:r>
      <w:bookmarkEnd w:id="858"/>
    </w:p>
    <w:p w14:paraId="5F82E648"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532080">
        <w:rPr>
          <w:rFonts w:ascii="Arial" w:hAnsi="Arial" w:cs="Arial"/>
          <w:b/>
          <w:bCs/>
          <w:sz w:val="22"/>
          <w:szCs w:val="22"/>
          <w:lang w:val="en-US"/>
        </w:rPr>
        <w:t>12.3.1</w:t>
      </w:r>
      <w:r w:rsidRPr="00755725">
        <w:rPr>
          <w:rFonts w:ascii="Arial" w:hAnsi="Arial" w:cs="Arial"/>
          <w:sz w:val="22"/>
          <w:szCs w:val="22"/>
          <w:lang w:val="en-US"/>
        </w:rPr>
        <w:tab/>
        <w:t>In addition to complying with Chapter 4, a Prospectus must:</w:t>
      </w:r>
    </w:p>
    <w:p w14:paraId="3BC93C69"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 xml:space="preserve">if it includes a statement about </w:t>
      </w:r>
      <w:r w:rsidRPr="00755725">
        <w:rPr>
          <w:rFonts w:ascii="Arial" w:hAnsi="Arial" w:cs="Arial"/>
          <w:sz w:val="22"/>
          <w:szCs w:val="22"/>
          <w:lang w:val="en-AU"/>
        </w:rPr>
        <w:t xml:space="preserve">Petroleum Resources that includes estimates of Petroleum Reserves, Contingent Resources or Prospective Resources, </w:t>
      </w:r>
      <w:r w:rsidRPr="00755725">
        <w:rPr>
          <w:rFonts w:ascii="Arial" w:hAnsi="Arial" w:cs="Arial"/>
          <w:sz w:val="22"/>
          <w:szCs w:val="22"/>
          <w:lang w:val="en-US"/>
        </w:rPr>
        <w:t>comply with Rule 12.2; and</w:t>
      </w:r>
    </w:p>
    <w:p w14:paraId="321F6355" w14:textId="77777777" w:rsidR="00755725" w:rsidRPr="00755725" w:rsidRDefault="00755725" w:rsidP="00755725">
      <w:pPr>
        <w:spacing w:after="240" w:line="246" w:lineRule="atLeast"/>
        <w:ind w:left="1418" w:hanging="709"/>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include details in relation to the Petroleum Reporting Entity’s policies and practices in relation to operating in a sustainable manner, including:</w:t>
      </w:r>
    </w:p>
    <w:p w14:paraId="79328FE3" w14:textId="77777777" w:rsidR="00755725" w:rsidRPr="00755725" w:rsidRDefault="00755725" w:rsidP="00755725">
      <w:pPr>
        <w:spacing w:after="240" w:line="246" w:lineRule="atLeast"/>
        <w:ind w:left="2127" w:hanging="709"/>
        <w:jc w:val="both"/>
        <w:rPr>
          <w:rFonts w:ascii="Arial" w:hAnsi="Arial" w:cs="Arial"/>
          <w:sz w:val="22"/>
          <w:szCs w:val="22"/>
          <w:lang w:val="en-US"/>
        </w:rPr>
      </w:pPr>
      <w:r w:rsidRPr="00755725">
        <w:rPr>
          <w:rFonts w:ascii="Arial" w:hAnsi="Arial" w:cs="Arial"/>
          <w:sz w:val="22"/>
          <w:szCs w:val="22"/>
          <w:lang w:val="en-US"/>
        </w:rPr>
        <w:t>(i)</w:t>
      </w:r>
      <w:r w:rsidRPr="00755725">
        <w:rPr>
          <w:rFonts w:ascii="Arial" w:hAnsi="Arial" w:cs="Arial"/>
          <w:sz w:val="22"/>
          <w:szCs w:val="22"/>
          <w:lang w:val="en-US"/>
        </w:rPr>
        <w:tab/>
        <w:t>the Petroleum Reporting Entity’s policy with regards to environmental and social issues;</w:t>
      </w:r>
    </w:p>
    <w:p w14:paraId="23C6F9C4"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(ii)</w:t>
      </w:r>
      <w:r w:rsidRPr="00755725">
        <w:rPr>
          <w:rFonts w:ascii="Arial" w:hAnsi="Arial" w:cs="Arial"/>
          <w:sz w:val="22"/>
          <w:szCs w:val="22"/>
          <w:lang w:val="en-US"/>
        </w:rPr>
        <w:tab/>
        <w:t>impact of the Petroleum Reporting Entity’s business practices on the environment and the communities in which it operates; and</w:t>
      </w:r>
    </w:p>
    <w:p w14:paraId="2368A940"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(iii)</w:t>
      </w:r>
      <w:r w:rsidRPr="00755725">
        <w:rPr>
          <w:rFonts w:ascii="Arial" w:hAnsi="Arial" w:cs="Arial"/>
          <w:sz w:val="22"/>
          <w:szCs w:val="22"/>
          <w:lang w:val="en-US"/>
        </w:rPr>
        <w:tab/>
        <w:t>the environmental and social risks faced by the Petroleum Reporting Entity.</w:t>
      </w:r>
    </w:p>
    <w:p w14:paraId="0131B5F3" w14:textId="460FA1BC" w:rsidR="00755725" w:rsidRPr="00532080" w:rsidRDefault="00755725" w:rsidP="00532080">
      <w:pPr>
        <w:pStyle w:val="TitleL"/>
        <w:rPr>
          <w:rFonts w:ascii="Arial" w:hAnsi="Arial" w:cs="Arial"/>
          <w:sz w:val="22"/>
          <w:szCs w:val="22"/>
        </w:rPr>
      </w:pPr>
      <w:r w:rsidRPr="00532080">
        <w:rPr>
          <w:rFonts w:ascii="Arial" w:hAnsi="Arial" w:cs="Arial"/>
          <w:sz w:val="22"/>
          <w:szCs w:val="22"/>
        </w:rPr>
        <w:t>Valuation Report</w:t>
      </w:r>
    </w:p>
    <w:p w14:paraId="6B1DD981"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532080">
        <w:rPr>
          <w:rFonts w:ascii="Arial" w:hAnsi="Arial" w:cs="Arial"/>
          <w:b/>
          <w:bCs/>
          <w:sz w:val="22"/>
          <w:szCs w:val="22"/>
          <w:lang w:val="en-US"/>
        </w:rPr>
        <w:t>12.3.2</w:t>
      </w:r>
      <w:r w:rsidRPr="00755725">
        <w:rPr>
          <w:rFonts w:ascii="Arial" w:hAnsi="Arial" w:cs="Arial"/>
          <w:sz w:val="22"/>
          <w:szCs w:val="22"/>
          <w:lang w:val="en-US"/>
        </w:rPr>
        <w:tab/>
        <w:t>A Prospectus relating to a Petroleum Reporting Entity must include a Valuation Report on the Petroleum Resources of the company. The Valuation Report must be prepared by an independent expert in accordance with the Petroleum Reporting Standard, the VALMIN Code, the SAMVAL Code, or the CIMVAL Code. The effective date of the Valuation Report must not be more than 6 months earlier than the date of lodgment of the Prospectus offer document.</w:t>
      </w:r>
    </w:p>
    <w:p w14:paraId="732E2CD6"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532080">
        <w:rPr>
          <w:rFonts w:ascii="Arial" w:hAnsi="Arial" w:cs="Arial"/>
          <w:b/>
          <w:bCs/>
          <w:sz w:val="22"/>
          <w:szCs w:val="22"/>
          <w:lang w:val="en-US"/>
        </w:rPr>
        <w:lastRenderedPageBreak/>
        <w:t>12.3.3</w:t>
      </w:r>
      <w:r w:rsidRPr="00755725">
        <w:rPr>
          <w:rFonts w:ascii="Arial" w:hAnsi="Arial" w:cs="Arial"/>
          <w:sz w:val="22"/>
          <w:szCs w:val="22"/>
          <w:lang w:val="en-US"/>
        </w:rPr>
        <w:tab/>
        <w:t>With regard to any Valuation Report, the following must be disclosed:</w:t>
      </w:r>
    </w:p>
    <w:p w14:paraId="4D7B069A"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the principal assumptions used in arriving at the valuation, including but not limited to, assumed commodity prices, rate of discount and rate of inflation, and the basis for each assumption.  Contracted commodity prices must be used where applicable and available;</w:t>
      </w:r>
    </w:p>
    <w:p w14:paraId="03B91B57" w14:textId="77777777" w:rsidR="00755725" w:rsidRPr="00532080" w:rsidRDefault="00755725" w:rsidP="00532080">
      <w:pPr>
        <w:pStyle w:val="TitleL"/>
        <w:rPr>
          <w:rFonts w:ascii="Arial" w:hAnsi="Arial" w:cs="Arial"/>
          <w:sz w:val="22"/>
          <w:szCs w:val="22"/>
        </w:rPr>
      </w:pPr>
      <w:r w:rsidRPr="00532080">
        <w:rPr>
          <w:rFonts w:ascii="Arial" w:hAnsi="Arial" w:cs="Arial"/>
          <w:sz w:val="22"/>
          <w:szCs w:val="22"/>
        </w:rPr>
        <w:t>Guidance</w:t>
      </w:r>
    </w:p>
    <w:p w14:paraId="6F5A8077" w14:textId="77777777" w:rsidR="00755725" w:rsidRPr="00755725" w:rsidRDefault="00755725" w:rsidP="00755725">
      <w:pPr>
        <w:spacing w:after="240" w:line="246" w:lineRule="atLeast"/>
        <w:ind w:left="709"/>
        <w:jc w:val="both"/>
        <w:rPr>
          <w:rFonts w:ascii="Arial" w:hAnsi="Arial" w:cs="Arial"/>
          <w:sz w:val="22"/>
          <w:szCs w:val="22"/>
          <w:lang w:val="en-US"/>
        </w:rPr>
      </w:pPr>
      <w:r w:rsidRPr="00755725">
        <w:rPr>
          <w:rFonts w:ascii="Arial" w:hAnsi="Arial" w:cs="Arial"/>
          <w:sz w:val="22"/>
          <w:szCs w:val="22"/>
          <w:lang w:val="en-US"/>
        </w:rPr>
        <w:t>If commodity prices are unavailable, either forecast or constant prices may be used.  Where forecast commodity prices are used, this should be accompanied by a statement by the qualified person that such forecast was arrived at after due and careful enquiry and reflects their view of a reasonable outlook of the future.</w:t>
      </w:r>
    </w:p>
    <w:p w14:paraId="7DFF4758"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analysis of the sensitivity of the valuation to variation in the principal assumptions provided in (1) above. In relation to commodity prices, the scenarios must include both constant and forecast prices. In relation to the rate of discount, the scenarios must include the weighted average cost of capital;</w:t>
      </w:r>
    </w:p>
    <w:p w14:paraId="4560ED62"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an estimate of net present value.  If the valuation is arrived at on an alternative basis, an explanation of the basis and reasons for adopting the alternative basis; and</w:t>
      </w:r>
    </w:p>
    <w:p w14:paraId="327FB087"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(4)</w:t>
      </w:r>
      <w:r w:rsidRPr="00755725">
        <w:rPr>
          <w:rFonts w:ascii="Arial" w:hAnsi="Arial" w:cs="Arial"/>
          <w:sz w:val="22"/>
          <w:szCs w:val="22"/>
          <w:lang w:val="en-US"/>
        </w:rPr>
        <w:tab/>
        <w:t>a risk factor highlighting the uncertainties inherent in the assumptions made in arriving at the valuation, and the effects they may have on the valuation of the Petroleum Resources and the value of the offered Securities.</w:t>
      </w:r>
    </w:p>
    <w:p w14:paraId="67A40268" w14:textId="23071E7D" w:rsidR="00755725" w:rsidRPr="00532080" w:rsidRDefault="00755725" w:rsidP="00532080">
      <w:pPr>
        <w:pStyle w:val="Heading2"/>
        <w:rPr>
          <w:rFonts w:ascii="Arial" w:hAnsi="Arial" w:cs="Arial"/>
          <w:sz w:val="22"/>
          <w:szCs w:val="22"/>
        </w:rPr>
      </w:pPr>
      <w:bookmarkStart w:id="859" w:name="_Toc138325729"/>
      <w:r w:rsidRPr="00532080">
        <w:rPr>
          <w:rFonts w:ascii="Arial" w:hAnsi="Arial" w:cs="Arial"/>
          <w:sz w:val="22"/>
          <w:szCs w:val="22"/>
        </w:rPr>
        <w:t>Geophysical surveys</w:t>
      </w:r>
      <w:bookmarkEnd w:id="859"/>
    </w:p>
    <w:p w14:paraId="19FD480B"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532080">
        <w:rPr>
          <w:rFonts w:ascii="Arial" w:hAnsi="Arial" w:cs="Arial"/>
          <w:b/>
          <w:bCs/>
          <w:sz w:val="22"/>
          <w:szCs w:val="22"/>
          <w:lang w:val="en-US"/>
        </w:rPr>
        <w:t>12.4.1</w:t>
      </w:r>
      <w:r w:rsidRPr="00755725">
        <w:rPr>
          <w:rFonts w:ascii="Arial" w:hAnsi="Arial" w:cs="Arial"/>
          <w:sz w:val="22"/>
          <w:szCs w:val="22"/>
          <w:lang w:val="en-US"/>
        </w:rPr>
        <w:tab/>
        <w:t>A disclosure by a Petroleum Reporting Entity on any geophysical survey in relation to Petroleum must include:</w:t>
      </w:r>
    </w:p>
    <w:p w14:paraId="24C195EE" w14:textId="77777777" w:rsidR="00755725" w:rsidRPr="00755725" w:rsidRDefault="00755725" w:rsidP="00755725">
      <w:pPr>
        <w:spacing w:after="240" w:line="246" w:lineRule="atLeast"/>
        <w:ind w:left="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the name of the survey;</w:t>
      </w:r>
    </w:p>
    <w:p w14:paraId="31A18D53" w14:textId="77777777" w:rsidR="00755725" w:rsidRPr="00755725" w:rsidRDefault="00755725" w:rsidP="00755725">
      <w:pPr>
        <w:spacing w:after="240" w:line="246" w:lineRule="atLeast"/>
        <w:ind w:left="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its nature and status; and</w:t>
      </w:r>
    </w:p>
    <w:p w14:paraId="1DB77608" w14:textId="77777777" w:rsidR="00755725" w:rsidRPr="00755725" w:rsidRDefault="00755725" w:rsidP="00755725">
      <w:pPr>
        <w:spacing w:after="240" w:line="246" w:lineRule="atLeast"/>
        <w:ind w:left="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the permit under which the survey is being conducted.</w:t>
      </w:r>
    </w:p>
    <w:p w14:paraId="2237D252" w14:textId="5BA8D262" w:rsidR="00755725" w:rsidRPr="00532080" w:rsidRDefault="00755725" w:rsidP="00532080">
      <w:pPr>
        <w:pStyle w:val="Heading2"/>
        <w:rPr>
          <w:rFonts w:ascii="Arial" w:hAnsi="Arial" w:cs="Arial"/>
          <w:sz w:val="22"/>
          <w:szCs w:val="22"/>
        </w:rPr>
      </w:pPr>
      <w:bookmarkStart w:id="860" w:name="_Toc138325730"/>
      <w:r w:rsidRPr="00532080">
        <w:rPr>
          <w:rFonts w:ascii="Arial" w:hAnsi="Arial" w:cs="Arial"/>
          <w:sz w:val="22"/>
          <w:szCs w:val="22"/>
        </w:rPr>
        <w:t>Exploration and drilling</w:t>
      </w:r>
      <w:bookmarkEnd w:id="860"/>
    </w:p>
    <w:p w14:paraId="528C5D38"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532080">
        <w:rPr>
          <w:rFonts w:ascii="Arial" w:hAnsi="Arial" w:cs="Arial"/>
          <w:b/>
          <w:bCs/>
          <w:sz w:val="22"/>
          <w:szCs w:val="22"/>
          <w:lang w:val="en-US"/>
        </w:rPr>
        <w:t>12.5.1</w:t>
      </w:r>
      <w:r w:rsidRPr="00755725">
        <w:rPr>
          <w:rFonts w:ascii="Arial" w:hAnsi="Arial" w:cs="Arial"/>
          <w:sz w:val="22"/>
          <w:szCs w:val="22"/>
          <w:lang w:val="en-US"/>
        </w:rPr>
        <w:tab/>
        <w:t>A Petroleum Reporting Entity disclosing material Exploration and drilling information in relation to Petroleum Resources must ensure the disclosure contains:</w:t>
      </w:r>
    </w:p>
    <w:p w14:paraId="6DE1077B"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(1)</w:t>
      </w:r>
      <w:r w:rsidRPr="00755725">
        <w:rPr>
          <w:rFonts w:ascii="Arial" w:hAnsi="Arial" w:cs="Arial"/>
          <w:sz w:val="22"/>
          <w:szCs w:val="22"/>
          <w:lang w:val="en-US"/>
        </w:rPr>
        <w:tab/>
        <w:t>the name, type and location of the well(s);</w:t>
      </w:r>
    </w:p>
    <w:p w14:paraId="6CE8E73A"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the details of the permit or lease in which the well is located, including land tenure status;</w:t>
      </w:r>
    </w:p>
    <w:p w14:paraId="3DFB8B7D"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t>(3)</w:t>
      </w:r>
      <w:r w:rsidRPr="00755725">
        <w:rPr>
          <w:rFonts w:ascii="Arial" w:hAnsi="Arial" w:cs="Arial"/>
          <w:sz w:val="22"/>
          <w:szCs w:val="22"/>
          <w:lang w:val="en-US"/>
        </w:rPr>
        <w:tab/>
        <w:t>the Petroleum Reporting Entity’s working interest in the well;</w:t>
      </w:r>
    </w:p>
    <w:p w14:paraId="76231824"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(4)</w:t>
      </w:r>
      <w:r w:rsidRPr="00755725">
        <w:rPr>
          <w:rFonts w:ascii="Arial" w:hAnsi="Arial" w:cs="Arial"/>
          <w:sz w:val="22"/>
          <w:szCs w:val="22"/>
          <w:lang w:val="en-US"/>
        </w:rPr>
        <w:tab/>
        <w:t>the net pay thickness, where the gross pay thickness is disclosed in relation to an internal of conventional resources;</w:t>
      </w:r>
    </w:p>
    <w:p w14:paraId="3B622633"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t>(5)</w:t>
      </w:r>
      <w:r w:rsidRPr="00755725">
        <w:rPr>
          <w:rFonts w:ascii="Arial" w:hAnsi="Arial" w:cs="Arial"/>
          <w:sz w:val="22"/>
          <w:szCs w:val="22"/>
          <w:lang w:val="en-US"/>
        </w:rPr>
        <w:tab/>
        <w:t>the geological rock type of the formation drilled;</w:t>
      </w:r>
    </w:p>
    <w:p w14:paraId="3F603597"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t>(6)</w:t>
      </w:r>
      <w:r w:rsidRPr="00755725">
        <w:rPr>
          <w:rFonts w:ascii="Arial" w:hAnsi="Arial" w:cs="Arial"/>
          <w:sz w:val="22"/>
          <w:szCs w:val="22"/>
          <w:lang w:val="en-US"/>
        </w:rPr>
        <w:tab/>
        <w:t>the depth of the zones tested;</w:t>
      </w:r>
    </w:p>
    <w:p w14:paraId="68F4AB22"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lastRenderedPageBreak/>
        <w:tab/>
        <w:t xml:space="preserve">(7) </w:t>
      </w:r>
      <w:r w:rsidRPr="00755725">
        <w:rPr>
          <w:rFonts w:ascii="Arial" w:hAnsi="Arial" w:cs="Arial"/>
          <w:sz w:val="22"/>
          <w:szCs w:val="22"/>
          <w:lang w:val="en-US"/>
        </w:rPr>
        <w:tab/>
        <w:t>the types of, and duration of, the test(s) undertaken;</w:t>
      </w:r>
    </w:p>
    <w:p w14:paraId="0D5629EC"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t>(8)</w:t>
      </w:r>
      <w:r w:rsidRPr="00755725">
        <w:rPr>
          <w:rFonts w:ascii="Arial" w:hAnsi="Arial" w:cs="Arial"/>
          <w:sz w:val="22"/>
          <w:szCs w:val="22"/>
          <w:lang w:val="en-US"/>
        </w:rPr>
        <w:tab/>
        <w:t>the Petroleum phases recovered in the test(s);</w:t>
      </w:r>
    </w:p>
    <w:p w14:paraId="3D92EBCC"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t>(9)</w:t>
      </w:r>
      <w:r w:rsidRPr="00755725">
        <w:rPr>
          <w:rFonts w:ascii="Arial" w:hAnsi="Arial" w:cs="Arial"/>
          <w:sz w:val="22"/>
          <w:szCs w:val="22"/>
          <w:lang w:val="en-US"/>
        </w:rPr>
        <w:tab/>
        <w:t>any other recovery associated with the test(s) and their respective proportions;</w:t>
      </w:r>
    </w:p>
    <w:p w14:paraId="486CB944"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(10)</w:t>
      </w:r>
      <w:r w:rsidRPr="00755725">
        <w:rPr>
          <w:rFonts w:ascii="Arial" w:hAnsi="Arial" w:cs="Arial"/>
          <w:sz w:val="22"/>
          <w:szCs w:val="22"/>
          <w:lang w:val="en-US"/>
        </w:rPr>
        <w:tab/>
        <w:t>the choke size used, flow rates and, if measured, the volumes of the Petroleum phases;</w:t>
      </w:r>
    </w:p>
    <w:p w14:paraId="0E0C3C79"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(11)</w:t>
      </w:r>
      <w:r w:rsidRPr="00755725">
        <w:rPr>
          <w:rFonts w:ascii="Arial" w:hAnsi="Arial" w:cs="Arial"/>
          <w:sz w:val="22"/>
          <w:szCs w:val="22"/>
          <w:lang w:val="en-US"/>
        </w:rPr>
        <w:tab/>
        <w:t>the details of any fracture simulation, including its size, nature and number of fracture stimulations;</w:t>
      </w:r>
    </w:p>
    <w:p w14:paraId="0678AE79"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t>(12)</w:t>
      </w:r>
      <w:r w:rsidRPr="00755725">
        <w:rPr>
          <w:rFonts w:ascii="Arial" w:hAnsi="Arial" w:cs="Arial"/>
          <w:sz w:val="22"/>
          <w:szCs w:val="22"/>
          <w:lang w:val="en-US"/>
        </w:rPr>
        <w:tab/>
        <w:t>any material volumes of non-Petroleum gases;</w:t>
      </w:r>
    </w:p>
    <w:p w14:paraId="5ECA1A7E"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t>(13)</w:t>
      </w:r>
      <w:r w:rsidRPr="00755725">
        <w:rPr>
          <w:rFonts w:ascii="Arial" w:hAnsi="Arial" w:cs="Arial"/>
          <w:sz w:val="22"/>
          <w:szCs w:val="22"/>
          <w:lang w:val="en-US"/>
        </w:rPr>
        <w:tab/>
        <w:t>any data aggregation methods used; and</w:t>
      </w:r>
    </w:p>
    <w:p w14:paraId="0A673901"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t>(14)</w:t>
      </w:r>
      <w:r w:rsidRPr="00755725">
        <w:rPr>
          <w:rFonts w:ascii="Arial" w:hAnsi="Arial" w:cs="Arial"/>
          <w:sz w:val="22"/>
          <w:szCs w:val="22"/>
          <w:lang w:val="en-US"/>
        </w:rPr>
        <w:tab/>
        <w:t>any other information that is material to understanding the disclosure.</w:t>
      </w:r>
    </w:p>
    <w:p w14:paraId="35029E0D" w14:textId="70594D11" w:rsidR="00755725" w:rsidRPr="00532080" w:rsidRDefault="00755725" w:rsidP="00532080">
      <w:pPr>
        <w:pStyle w:val="Heading2"/>
        <w:rPr>
          <w:rFonts w:ascii="Arial" w:hAnsi="Arial" w:cs="Arial"/>
          <w:sz w:val="22"/>
          <w:szCs w:val="22"/>
        </w:rPr>
      </w:pPr>
      <w:bookmarkStart w:id="861" w:name="_Toc138325731"/>
      <w:r w:rsidRPr="00532080">
        <w:rPr>
          <w:rFonts w:ascii="Arial" w:hAnsi="Arial" w:cs="Arial"/>
          <w:sz w:val="22"/>
          <w:szCs w:val="22"/>
        </w:rPr>
        <w:t>Initial disclosure of Petroleum Resources</w:t>
      </w:r>
      <w:bookmarkEnd w:id="861"/>
    </w:p>
    <w:p w14:paraId="40762586"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532080">
        <w:rPr>
          <w:rFonts w:ascii="Arial" w:hAnsi="Arial" w:cs="Arial"/>
          <w:b/>
          <w:bCs/>
          <w:sz w:val="22"/>
          <w:szCs w:val="22"/>
          <w:lang w:val="en-US"/>
        </w:rPr>
        <w:t>12.6.1</w:t>
      </w:r>
      <w:r w:rsidRPr="00755725">
        <w:rPr>
          <w:rFonts w:ascii="Arial" w:hAnsi="Arial" w:cs="Arial"/>
          <w:sz w:val="22"/>
          <w:szCs w:val="22"/>
          <w:lang w:val="en-US"/>
        </w:rPr>
        <w:tab/>
        <w:t>A Petroleum Reporting Entity must immediately disclose any new material estimates of Prospective Resources, Contingent Resources or Petroleum Reserves that have not previously been disclosed.</w:t>
      </w:r>
    </w:p>
    <w:p w14:paraId="0F8A667E"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532080">
        <w:rPr>
          <w:rFonts w:ascii="Arial" w:hAnsi="Arial" w:cs="Arial"/>
          <w:b/>
          <w:bCs/>
          <w:sz w:val="22"/>
          <w:szCs w:val="22"/>
          <w:lang w:val="en-US"/>
        </w:rPr>
        <w:t>12.6.2</w:t>
      </w:r>
      <w:r w:rsidRPr="00755725">
        <w:rPr>
          <w:rFonts w:ascii="Arial" w:hAnsi="Arial" w:cs="Arial"/>
          <w:sz w:val="22"/>
          <w:szCs w:val="22"/>
          <w:lang w:val="en-US"/>
        </w:rPr>
        <w:tab/>
        <w:t>A Petroleum Reporting Entity making a disclosure under Rule 12.6.1 must ensure the disclosure contains:</w:t>
      </w:r>
    </w:p>
    <w:p w14:paraId="4B8A96F6"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the types of permits or licences held by the Petroleum Reporting Entity relating to the estimates;</w:t>
      </w:r>
    </w:p>
    <w:p w14:paraId="1ECE3522"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an explanation of the new data and information;</w:t>
      </w:r>
    </w:p>
    <w:p w14:paraId="67D9240E"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an explanation of how the new data and information has affected the estimates of Prospective Resources, Contingent Resources or Petroleum Resources; and</w:t>
      </w:r>
    </w:p>
    <w:p w14:paraId="10490A9A"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(4)</w:t>
      </w:r>
      <w:r w:rsidRPr="00755725">
        <w:rPr>
          <w:rFonts w:ascii="Arial" w:hAnsi="Arial" w:cs="Arial"/>
          <w:sz w:val="22"/>
          <w:szCs w:val="22"/>
          <w:lang w:val="en-US"/>
        </w:rPr>
        <w:tab/>
        <w:t>any changes or additions to the information previously disclosed relating to:</w:t>
      </w:r>
    </w:p>
    <w:p w14:paraId="5D285D6E"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ab/>
        <w:t>(a)</w:t>
      </w:r>
      <w:r w:rsidRPr="00755725">
        <w:rPr>
          <w:rFonts w:ascii="Arial" w:hAnsi="Arial" w:cs="Arial"/>
          <w:sz w:val="22"/>
          <w:szCs w:val="22"/>
          <w:lang w:val="en-US"/>
        </w:rPr>
        <w:tab/>
        <w:t>Prospective Resources under Rules 12.8.1(1) to 12.8.1(4);</w:t>
      </w:r>
    </w:p>
    <w:p w14:paraId="70953A99"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ab/>
        <w:t>(b)</w:t>
      </w:r>
      <w:r w:rsidRPr="00755725">
        <w:rPr>
          <w:rFonts w:ascii="Arial" w:hAnsi="Arial" w:cs="Arial"/>
          <w:sz w:val="22"/>
          <w:szCs w:val="22"/>
          <w:lang w:val="en-US"/>
        </w:rPr>
        <w:tab/>
        <w:t>Contingent Resources under Rules 12.10.1(1) to 12.10.1(5); and</w:t>
      </w:r>
    </w:p>
    <w:p w14:paraId="27F5E02B"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ab/>
        <w:t>(c)</w:t>
      </w:r>
      <w:r w:rsidRPr="00755725">
        <w:rPr>
          <w:rFonts w:ascii="Arial" w:hAnsi="Arial" w:cs="Arial"/>
          <w:sz w:val="22"/>
          <w:szCs w:val="22"/>
          <w:lang w:val="en-US"/>
        </w:rPr>
        <w:tab/>
        <w:t>Petroleum Reserves under Rules 12.12.1(1) to 12.12.1(7).</w:t>
      </w:r>
    </w:p>
    <w:p w14:paraId="1EA58A58" w14:textId="76CBB7CF" w:rsidR="00755725" w:rsidRPr="00532080" w:rsidRDefault="00755725" w:rsidP="00532080">
      <w:pPr>
        <w:pStyle w:val="Heading2"/>
        <w:rPr>
          <w:rFonts w:ascii="Arial" w:hAnsi="Arial" w:cs="Arial"/>
          <w:sz w:val="22"/>
          <w:szCs w:val="22"/>
        </w:rPr>
      </w:pPr>
      <w:bookmarkStart w:id="862" w:name="_Toc138325732"/>
      <w:r w:rsidRPr="00532080">
        <w:rPr>
          <w:rFonts w:ascii="Arial" w:hAnsi="Arial" w:cs="Arial"/>
          <w:sz w:val="22"/>
          <w:szCs w:val="22"/>
        </w:rPr>
        <w:t>Prospective Resources</w:t>
      </w:r>
      <w:bookmarkEnd w:id="862"/>
    </w:p>
    <w:p w14:paraId="4FB918B3"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532080">
        <w:rPr>
          <w:rFonts w:ascii="Arial" w:hAnsi="Arial" w:cs="Arial"/>
          <w:b/>
          <w:bCs/>
          <w:sz w:val="22"/>
          <w:szCs w:val="22"/>
          <w:lang w:val="en-US"/>
        </w:rPr>
        <w:t>12.7.1</w:t>
      </w:r>
      <w:r w:rsidRPr="00755725">
        <w:rPr>
          <w:rFonts w:ascii="Arial" w:hAnsi="Arial" w:cs="Arial"/>
          <w:sz w:val="22"/>
          <w:szCs w:val="22"/>
          <w:lang w:val="en-US"/>
        </w:rPr>
        <w:tab/>
        <w:t>A Petroleum Reporting Entity disclosing estimates of Prospective Resources must:</w:t>
      </w:r>
    </w:p>
    <w:p w14:paraId="0AF576DA"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be categorised and disclosed as either Low Estimate (1U), Best Estimate (2U) or High Estimate (3U) in the category that best reflects the degree of uncertainty in the estimated quantities of potentially recoverable Petroleum;</w:t>
      </w:r>
    </w:p>
    <w:p w14:paraId="05DD4B49"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if a High Estimate of Prospective Resources is disclosed, disclose the Best Estimate and Low Estimate of Prospective Resources; and</w:t>
      </w:r>
    </w:p>
    <w:p w14:paraId="159DEAF1" w14:textId="77777777" w:rsidR="00755725" w:rsidRPr="00755725" w:rsidRDefault="00755725" w:rsidP="00755725">
      <w:pPr>
        <w:spacing w:after="240" w:line="246" w:lineRule="atLeast"/>
        <w:ind w:left="1418" w:hanging="709"/>
        <w:jc w:val="both"/>
        <w:rPr>
          <w:rFonts w:ascii="Arial" w:hAnsi="Arial" w:cs="Arial"/>
          <w:sz w:val="22"/>
          <w:szCs w:val="22"/>
          <w:lang w:val="en-US"/>
        </w:rPr>
      </w:pPr>
      <w:r w:rsidRPr="00755725">
        <w:rPr>
          <w:rFonts w:ascii="Arial" w:hAnsi="Arial" w:cs="Arial"/>
          <w:sz w:val="22"/>
          <w:szCs w:val="22"/>
          <w:lang w:val="en-US"/>
        </w:rPr>
        <w:lastRenderedPageBreak/>
        <w:t>(3)</w:t>
      </w:r>
      <w:r w:rsidRPr="00755725">
        <w:rPr>
          <w:rFonts w:ascii="Arial" w:hAnsi="Arial" w:cs="Arial"/>
          <w:sz w:val="22"/>
          <w:szCs w:val="22"/>
          <w:lang w:val="en-US"/>
        </w:rPr>
        <w:tab/>
        <w:t>disclose an at least equally prominent, and proximate, statement to the effect that:</w:t>
      </w:r>
    </w:p>
    <w:p w14:paraId="664AD499" w14:textId="77777777" w:rsidR="00755725" w:rsidRPr="00755725" w:rsidRDefault="00755725" w:rsidP="00755725">
      <w:pPr>
        <w:spacing w:after="240" w:line="246" w:lineRule="atLeast"/>
        <w:ind w:left="1440"/>
        <w:jc w:val="both"/>
        <w:rPr>
          <w:rFonts w:ascii="Arial" w:hAnsi="Arial" w:cs="Arial"/>
          <w:i/>
          <w:iCs/>
          <w:sz w:val="22"/>
          <w:szCs w:val="22"/>
          <w:lang w:val="en-US"/>
        </w:rPr>
      </w:pPr>
      <w:r w:rsidRPr="00755725">
        <w:rPr>
          <w:rFonts w:ascii="Arial" w:hAnsi="Arial" w:cs="Arial"/>
          <w:sz w:val="22"/>
          <w:szCs w:val="22"/>
          <w:lang w:val="en-US"/>
        </w:rPr>
        <w:t>“</w:t>
      </w:r>
      <w:r w:rsidRPr="00755725">
        <w:rPr>
          <w:rFonts w:ascii="Arial" w:hAnsi="Arial" w:cs="Arial"/>
          <w:i/>
          <w:iCs/>
          <w:sz w:val="22"/>
          <w:szCs w:val="22"/>
          <w:lang w:val="en-US"/>
        </w:rPr>
        <w:t>The estimated quantities of petroleum</w:t>
      </w:r>
      <w:r w:rsidRPr="00755725">
        <w:rPr>
          <w:rFonts w:ascii="Arial" w:hAnsi="Arial" w:cs="Arial"/>
          <w:sz w:val="22"/>
          <w:szCs w:val="22"/>
          <w:lang w:val="en-US"/>
        </w:rPr>
        <w:t xml:space="preserve"> </w:t>
      </w:r>
      <w:r w:rsidRPr="00755725">
        <w:rPr>
          <w:rFonts w:ascii="Arial" w:hAnsi="Arial" w:cs="Arial"/>
          <w:i/>
          <w:iCs/>
          <w:sz w:val="22"/>
          <w:szCs w:val="22"/>
          <w:lang w:val="en-US"/>
        </w:rPr>
        <w:t>that may potentially be recovered by the application of a future development project(s) relate to undiscovered accumulations. These estimates have both an associated risk of discovery and a risk of development. Further exploration appraisal and evaluation is required to determine the existence of a significant quantity of potentially moveable petroleum.</w:t>
      </w:r>
      <w:r w:rsidRPr="00755725">
        <w:rPr>
          <w:rFonts w:ascii="Arial" w:hAnsi="Arial" w:cs="Arial"/>
          <w:sz w:val="22"/>
          <w:szCs w:val="22"/>
          <w:lang w:val="en-US"/>
        </w:rPr>
        <w:t>”</w:t>
      </w:r>
      <w:r w:rsidRPr="00755725">
        <w:rPr>
          <w:rFonts w:ascii="Arial" w:hAnsi="Arial" w:cs="Arial"/>
          <w:i/>
          <w:iCs/>
          <w:sz w:val="22"/>
          <w:szCs w:val="22"/>
          <w:lang w:val="en-US"/>
        </w:rPr>
        <w:t xml:space="preserve"> </w:t>
      </w:r>
    </w:p>
    <w:p w14:paraId="5FCAE27F" w14:textId="5416AC19" w:rsidR="00755725" w:rsidRPr="00532080" w:rsidRDefault="00755725" w:rsidP="00532080">
      <w:pPr>
        <w:pStyle w:val="Heading2"/>
        <w:rPr>
          <w:rFonts w:ascii="Arial" w:hAnsi="Arial" w:cs="Arial"/>
          <w:sz w:val="22"/>
          <w:szCs w:val="22"/>
        </w:rPr>
      </w:pPr>
      <w:bookmarkStart w:id="863" w:name="_Toc138325733"/>
      <w:r w:rsidRPr="00532080">
        <w:rPr>
          <w:rFonts w:ascii="Arial" w:hAnsi="Arial" w:cs="Arial"/>
          <w:sz w:val="22"/>
          <w:szCs w:val="22"/>
        </w:rPr>
        <w:t>Prospective Resources – Material Changes</w:t>
      </w:r>
      <w:bookmarkEnd w:id="863"/>
    </w:p>
    <w:p w14:paraId="05601814"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532080">
        <w:rPr>
          <w:rFonts w:ascii="Arial" w:hAnsi="Arial" w:cs="Arial"/>
          <w:b/>
          <w:bCs/>
          <w:sz w:val="22"/>
          <w:szCs w:val="22"/>
          <w:lang w:val="en-US"/>
        </w:rPr>
        <w:t>12.8.1</w:t>
      </w:r>
      <w:r w:rsidRPr="00755725">
        <w:rPr>
          <w:rFonts w:ascii="Arial" w:hAnsi="Arial" w:cs="Arial"/>
          <w:sz w:val="22"/>
          <w:szCs w:val="22"/>
          <w:lang w:val="en-US"/>
        </w:rPr>
        <w:tab/>
        <w:t>A Petroleum Reporting Entity disclosing estimates of Prospective Resources that are material and that have not previously been disclosed by the Petroleum Reporting Entity, must ensure the disclosure contains:</w:t>
      </w:r>
    </w:p>
    <w:p w14:paraId="528866FF"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the types of permits or licenses held by the Petroleum Reporting Entity for the disclosed estimates of Prospective Resources;</w:t>
      </w:r>
    </w:p>
    <w:p w14:paraId="55E41329"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(2)</w:t>
      </w:r>
      <w:r w:rsidRPr="00755725">
        <w:rPr>
          <w:rFonts w:ascii="Arial" w:hAnsi="Arial" w:cs="Arial"/>
          <w:sz w:val="22"/>
          <w:szCs w:val="22"/>
          <w:lang w:val="en-US"/>
        </w:rPr>
        <w:tab/>
        <w:t>a description of:</w:t>
      </w:r>
    </w:p>
    <w:p w14:paraId="29BFF386"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(a)</w:t>
      </w:r>
      <w:r w:rsidRPr="00755725">
        <w:rPr>
          <w:rFonts w:ascii="Arial" w:hAnsi="Arial" w:cs="Arial"/>
          <w:sz w:val="22"/>
          <w:szCs w:val="22"/>
          <w:lang w:val="en-US"/>
        </w:rPr>
        <w:tab/>
        <w:t>the method of estimation;</w:t>
      </w:r>
    </w:p>
    <w:p w14:paraId="43EE172C"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any further Exploration activities to be undertaken (including studies, further data acquisition and evaluation work, and Exploration drilling); and</w:t>
      </w:r>
    </w:p>
    <w:p w14:paraId="1FFBD55E"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(c)</w:t>
      </w:r>
      <w:r w:rsidRPr="00755725">
        <w:rPr>
          <w:rFonts w:ascii="Arial" w:hAnsi="Arial" w:cs="Arial"/>
          <w:sz w:val="22"/>
          <w:szCs w:val="22"/>
          <w:lang w:val="en-US"/>
        </w:rPr>
        <w:tab/>
        <w:t>the expected timing of those Exploration activities;</w:t>
      </w:r>
    </w:p>
    <w:p w14:paraId="1B353D95"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the Petroleum Reporting Entity’s assessment of the likelihood of discovery and development associated with the disclosed estimates of Prospective Resources; and</w:t>
      </w:r>
    </w:p>
    <w:p w14:paraId="64884D13"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(4)</w:t>
      </w:r>
      <w:r w:rsidRPr="00755725">
        <w:rPr>
          <w:rFonts w:ascii="Arial" w:hAnsi="Arial" w:cs="Arial"/>
          <w:sz w:val="22"/>
          <w:szCs w:val="22"/>
          <w:lang w:val="en-US"/>
        </w:rPr>
        <w:tab/>
        <w:t>an explanation of the relevant risk factors.</w:t>
      </w:r>
    </w:p>
    <w:p w14:paraId="5C01CAD6" w14:textId="72F8EFD4" w:rsidR="00755725" w:rsidRPr="00532080" w:rsidRDefault="00755725" w:rsidP="00532080">
      <w:pPr>
        <w:pStyle w:val="TitleL"/>
        <w:rPr>
          <w:rFonts w:ascii="Arial" w:hAnsi="Arial" w:cs="Arial"/>
          <w:sz w:val="22"/>
          <w:szCs w:val="22"/>
        </w:rPr>
      </w:pPr>
      <w:r w:rsidRPr="00532080">
        <w:rPr>
          <w:rFonts w:ascii="Arial" w:hAnsi="Arial" w:cs="Arial"/>
          <w:sz w:val="22"/>
          <w:szCs w:val="22"/>
        </w:rPr>
        <w:t>Guidance</w:t>
      </w:r>
    </w:p>
    <w:p w14:paraId="4BCF5406" w14:textId="77777777" w:rsidR="00755725" w:rsidRPr="00755725" w:rsidRDefault="00755725" w:rsidP="00755725">
      <w:pPr>
        <w:spacing w:after="240" w:line="246" w:lineRule="atLeast"/>
        <w:ind w:left="720" w:hanging="720"/>
        <w:jc w:val="both"/>
        <w:rPr>
          <w:rFonts w:ascii="Arial" w:hAnsi="Arial" w:cs="Arial"/>
          <w:b/>
          <w:bCs/>
          <w:sz w:val="22"/>
          <w:szCs w:val="22"/>
          <w:highlight w:val="green"/>
          <w:lang w:val="en-US"/>
        </w:rPr>
      </w:pPr>
      <w:r w:rsidRPr="00755725">
        <w:rPr>
          <w:rFonts w:ascii="Arial" w:hAnsi="Arial" w:cs="Arial"/>
          <w:sz w:val="22"/>
          <w:szCs w:val="22"/>
          <w:lang w:val="en-US"/>
        </w:rPr>
        <w:tab/>
      </w:r>
      <w:r w:rsidRPr="00755725">
        <w:rPr>
          <w:rFonts w:ascii="Arial" w:eastAsia="SymbolMT" w:hAnsi="Arial" w:cs="Arial"/>
          <w:sz w:val="22"/>
          <w:szCs w:val="22"/>
        </w:rPr>
        <w:t>Sections 1.1, 2.16, 3.2, 4.8, 6.2, 7.1 and 8.5 of the PRMS Guidelines provide additional guidance on Prospective Resources.</w:t>
      </w:r>
    </w:p>
    <w:p w14:paraId="6BD753AD" w14:textId="051E01FE" w:rsidR="00755725" w:rsidRPr="00DF7866" w:rsidRDefault="00755725" w:rsidP="00DF7866">
      <w:pPr>
        <w:pStyle w:val="Heading2"/>
        <w:rPr>
          <w:rFonts w:ascii="Arial" w:hAnsi="Arial" w:cs="Arial"/>
          <w:sz w:val="22"/>
          <w:szCs w:val="22"/>
        </w:rPr>
      </w:pPr>
      <w:bookmarkStart w:id="864" w:name="_Toc138325734"/>
      <w:r w:rsidRPr="00DF7866">
        <w:rPr>
          <w:rFonts w:ascii="Arial" w:hAnsi="Arial" w:cs="Arial"/>
          <w:sz w:val="22"/>
          <w:szCs w:val="22"/>
        </w:rPr>
        <w:t>Contingent Resources</w:t>
      </w:r>
      <w:bookmarkEnd w:id="864"/>
    </w:p>
    <w:p w14:paraId="3EB20A76" w14:textId="77777777" w:rsidR="00755725" w:rsidRPr="00755725" w:rsidRDefault="00755725" w:rsidP="00755725">
      <w:pPr>
        <w:spacing w:after="240" w:line="246" w:lineRule="atLeast"/>
        <w:jc w:val="both"/>
        <w:rPr>
          <w:rFonts w:ascii="Arial" w:hAnsi="Arial" w:cs="Arial"/>
          <w:sz w:val="22"/>
          <w:szCs w:val="22"/>
          <w:lang w:val="en-US"/>
        </w:rPr>
      </w:pPr>
      <w:r w:rsidRPr="00DF7866">
        <w:rPr>
          <w:rFonts w:ascii="Arial" w:hAnsi="Arial" w:cs="Arial"/>
          <w:b/>
          <w:bCs/>
          <w:sz w:val="22"/>
          <w:szCs w:val="22"/>
          <w:lang w:val="en-US"/>
        </w:rPr>
        <w:t>12.9.1</w:t>
      </w:r>
      <w:r w:rsidRPr="00755725">
        <w:rPr>
          <w:rFonts w:ascii="Arial" w:hAnsi="Arial" w:cs="Arial"/>
          <w:sz w:val="22"/>
          <w:szCs w:val="22"/>
          <w:lang w:val="en-US"/>
        </w:rPr>
        <w:tab/>
        <w:t>A Petroleum Reporting Entity disclosing estimates of Contingent Resources must:</w:t>
      </w:r>
    </w:p>
    <w:p w14:paraId="4F481906"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be categorised and disclosed as either C1, C2 or C3 in the category that best reflects the degree of uncertainty in the estimated quantities of potentially recoverable Petroleum and if an estimate of C3 is disclosed, also disclose estimates of C2 and C1;</w:t>
      </w:r>
    </w:p>
    <w:p w14:paraId="1BF4D1F3"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not disclose a mean estimate of Contingent Resources; and</w:t>
      </w:r>
    </w:p>
    <w:p w14:paraId="1A2717CB"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where the disclosure represents aggregated estimates of Contingent Resources:</w:t>
      </w:r>
    </w:p>
    <w:p w14:paraId="68C88948" w14:textId="77777777" w:rsidR="00755725" w:rsidRPr="00755725" w:rsidRDefault="00755725" w:rsidP="00755725">
      <w:pPr>
        <w:spacing w:after="240" w:line="246" w:lineRule="atLeast"/>
        <w:ind w:left="144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include the aggregation method used, which must be either:</w:t>
      </w:r>
    </w:p>
    <w:p w14:paraId="70477462" w14:textId="77777777" w:rsidR="00755725" w:rsidRPr="00755725" w:rsidRDefault="00755725" w:rsidP="00755725">
      <w:pPr>
        <w:spacing w:after="240" w:line="246" w:lineRule="atLeast"/>
        <w:ind w:left="1440" w:firstLine="720"/>
        <w:jc w:val="both"/>
        <w:rPr>
          <w:rFonts w:ascii="Arial" w:hAnsi="Arial" w:cs="Arial"/>
          <w:sz w:val="22"/>
          <w:szCs w:val="22"/>
          <w:lang w:val="en-US"/>
        </w:rPr>
      </w:pPr>
      <w:r w:rsidRPr="00755725">
        <w:rPr>
          <w:rFonts w:ascii="Arial" w:hAnsi="Arial" w:cs="Arial"/>
          <w:sz w:val="22"/>
          <w:szCs w:val="22"/>
          <w:lang w:val="en-US"/>
        </w:rPr>
        <w:lastRenderedPageBreak/>
        <w:t>(i)</w:t>
      </w:r>
      <w:r w:rsidRPr="00755725">
        <w:rPr>
          <w:rFonts w:ascii="Arial" w:hAnsi="Arial" w:cs="Arial"/>
          <w:sz w:val="22"/>
          <w:szCs w:val="22"/>
          <w:lang w:val="en-US"/>
        </w:rPr>
        <w:tab/>
        <w:t>an arithmetic summation by category (being C1, C2 or C3); or</w:t>
      </w:r>
    </w:p>
    <w:p w14:paraId="0048BCA8" w14:textId="77777777" w:rsidR="00755725" w:rsidRPr="00755725" w:rsidRDefault="00755725" w:rsidP="00755725">
      <w:pPr>
        <w:spacing w:after="240" w:line="246" w:lineRule="atLeast"/>
        <w:ind w:left="2880" w:hanging="720"/>
        <w:jc w:val="both"/>
        <w:rPr>
          <w:rFonts w:ascii="Arial" w:hAnsi="Arial" w:cs="Arial"/>
          <w:sz w:val="22"/>
          <w:szCs w:val="22"/>
          <w:lang w:val="en-US"/>
        </w:rPr>
      </w:pPr>
      <w:r w:rsidRPr="00755725">
        <w:rPr>
          <w:rFonts w:ascii="Arial" w:hAnsi="Arial" w:cs="Arial"/>
          <w:sz w:val="22"/>
          <w:szCs w:val="22"/>
          <w:lang w:val="en-US"/>
        </w:rPr>
        <w:t>(ii)</w:t>
      </w:r>
      <w:r w:rsidRPr="00755725">
        <w:rPr>
          <w:rFonts w:ascii="Arial" w:hAnsi="Arial" w:cs="Arial"/>
          <w:sz w:val="22"/>
          <w:szCs w:val="22"/>
          <w:lang w:val="en-US"/>
        </w:rPr>
        <w:tab/>
        <w:t>a statistical aggregation of uncertainty distributions up to the field, property of project level; and</w:t>
      </w:r>
    </w:p>
    <w:p w14:paraId="017A1FA0"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where Rule 12.9.1(3)(a)(i) applies, include a statement to the effect that the aggregate C1 may be a very conservative estimate and the aggregate C3 may be a very optimistic estimate due to the portfolio effects of arithmetic summation.</w:t>
      </w:r>
    </w:p>
    <w:p w14:paraId="451BDF25" w14:textId="77777777" w:rsidR="00755725" w:rsidRPr="00DF7866" w:rsidRDefault="00755725" w:rsidP="00DF7866">
      <w:pPr>
        <w:pStyle w:val="TitleL"/>
        <w:rPr>
          <w:rFonts w:ascii="Arial" w:hAnsi="Arial" w:cs="Arial"/>
          <w:sz w:val="22"/>
          <w:szCs w:val="22"/>
        </w:rPr>
      </w:pPr>
      <w:r w:rsidRPr="00DF7866">
        <w:rPr>
          <w:rFonts w:ascii="Arial" w:hAnsi="Arial" w:cs="Arial"/>
          <w:sz w:val="22"/>
          <w:szCs w:val="22"/>
        </w:rPr>
        <w:t>Guidance</w:t>
      </w:r>
    </w:p>
    <w:p w14:paraId="594C621F" w14:textId="77777777" w:rsidR="00755725" w:rsidRPr="00755725" w:rsidRDefault="00755725" w:rsidP="00755725">
      <w:pPr>
        <w:spacing w:after="240" w:line="246" w:lineRule="atLeast"/>
        <w:ind w:left="709"/>
        <w:jc w:val="both"/>
        <w:rPr>
          <w:rFonts w:ascii="Arial" w:hAnsi="Arial" w:cs="Arial"/>
          <w:sz w:val="22"/>
          <w:szCs w:val="22"/>
          <w:lang w:val="en-US"/>
        </w:rPr>
      </w:pPr>
      <w:r w:rsidRPr="00755725">
        <w:rPr>
          <w:rFonts w:ascii="Arial" w:hAnsi="Arial" w:cs="Arial"/>
          <w:sz w:val="22"/>
          <w:szCs w:val="22"/>
          <w:lang w:val="en-US"/>
        </w:rPr>
        <w:t xml:space="preserve">The Petroleum Reporting Standard defines ‘aggregated’ in section 4.2.5 and its Appendix A. </w:t>
      </w:r>
      <w:r w:rsidRPr="00755725">
        <w:rPr>
          <w:rFonts w:ascii="Arial" w:eastAsia="SymbolMT" w:hAnsi="Arial" w:cs="Arial"/>
          <w:sz w:val="22"/>
          <w:szCs w:val="22"/>
        </w:rPr>
        <w:t>Sections 1.1, 2.1, 4.1, 5.1, 6.26 and 8.1 of the PRMS Guidelines provide additional guidance concerning aggregation.</w:t>
      </w:r>
    </w:p>
    <w:p w14:paraId="625D2FF4" w14:textId="769E6DF4" w:rsidR="00755725" w:rsidRPr="00DF7866" w:rsidRDefault="00755725" w:rsidP="00DF7866">
      <w:pPr>
        <w:pStyle w:val="Heading2"/>
        <w:rPr>
          <w:rFonts w:ascii="Arial" w:hAnsi="Arial" w:cs="Arial"/>
          <w:sz w:val="22"/>
          <w:szCs w:val="22"/>
        </w:rPr>
      </w:pPr>
      <w:bookmarkStart w:id="865" w:name="_Toc138325735"/>
      <w:r w:rsidRPr="00DF7866">
        <w:rPr>
          <w:rFonts w:ascii="Arial" w:hAnsi="Arial" w:cs="Arial"/>
          <w:sz w:val="22"/>
          <w:szCs w:val="22"/>
        </w:rPr>
        <w:t>Contingent Resources – Material Changes</w:t>
      </w:r>
      <w:bookmarkEnd w:id="865"/>
    </w:p>
    <w:p w14:paraId="2C0584AD"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DF7866">
        <w:rPr>
          <w:rFonts w:ascii="Arial" w:hAnsi="Arial" w:cs="Arial"/>
          <w:b/>
          <w:bCs/>
          <w:sz w:val="22"/>
          <w:szCs w:val="22"/>
          <w:lang w:val="en-US"/>
        </w:rPr>
        <w:t>12.10.1</w:t>
      </w:r>
      <w:r w:rsidRPr="00755725">
        <w:rPr>
          <w:rFonts w:ascii="Arial" w:hAnsi="Arial" w:cs="Arial"/>
          <w:sz w:val="22"/>
          <w:szCs w:val="22"/>
          <w:lang w:val="en-US"/>
        </w:rPr>
        <w:tab/>
        <w:t>A Petroleum Reporting Entity disclosing estimates of Contingent Resources that are material, and that have not previously been disclosed by the Petroleum Reporting Entity, must ensure the disclosure contains:</w:t>
      </w:r>
    </w:p>
    <w:p w14:paraId="6ABF9CF0"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the types of permits or licences held by the Petroleum Reporting Entity relevant to the disclosed estimates of Contingent Resources;</w:t>
      </w:r>
    </w:p>
    <w:p w14:paraId="53F496F3"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 xml:space="preserve">(2) </w:t>
      </w:r>
      <w:r w:rsidRPr="00755725">
        <w:rPr>
          <w:rFonts w:ascii="Arial" w:hAnsi="Arial" w:cs="Arial"/>
          <w:sz w:val="22"/>
          <w:szCs w:val="22"/>
          <w:lang w:val="en-US"/>
        </w:rPr>
        <w:tab/>
        <w:t>the basis for, confirming the existence of a significant quantity of potentially moveable Petroleum, and the determination of a discovery;</w:t>
      </w:r>
    </w:p>
    <w:p w14:paraId="694FDA77"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t>(3)</w:t>
      </w:r>
      <w:r w:rsidRPr="00755725">
        <w:rPr>
          <w:rFonts w:ascii="Arial" w:hAnsi="Arial" w:cs="Arial"/>
          <w:sz w:val="22"/>
          <w:szCs w:val="22"/>
          <w:lang w:val="en-US"/>
        </w:rPr>
        <w:tab/>
        <w:t>a description of:</w:t>
      </w:r>
    </w:p>
    <w:p w14:paraId="377D008A"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(a)</w:t>
      </w:r>
      <w:r w:rsidRPr="00755725">
        <w:rPr>
          <w:rFonts w:ascii="Arial" w:hAnsi="Arial" w:cs="Arial"/>
          <w:sz w:val="22"/>
          <w:szCs w:val="22"/>
          <w:lang w:val="en-US"/>
        </w:rPr>
        <w:tab/>
        <w:t>the method of estimation;</w:t>
      </w:r>
    </w:p>
    <w:p w14:paraId="518A8AE5"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 xml:space="preserve">the key contingencies that resulted in the estimates being classified as Contingent Resources; </w:t>
      </w:r>
    </w:p>
    <w:p w14:paraId="4AFF4816"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(c)</w:t>
      </w:r>
      <w:r w:rsidRPr="00755725">
        <w:rPr>
          <w:rFonts w:ascii="Arial" w:hAnsi="Arial" w:cs="Arial"/>
          <w:sz w:val="22"/>
          <w:szCs w:val="22"/>
          <w:lang w:val="en-US"/>
        </w:rPr>
        <w:tab/>
        <w:t>any further appraisal drilling and evaluation work to be undertaken to assess the potential for commercial recovery, and to progress the relevant project;</w:t>
      </w:r>
    </w:p>
    <w:p w14:paraId="3E7D461D"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(4)</w:t>
      </w:r>
      <w:r w:rsidRPr="00755725">
        <w:rPr>
          <w:rFonts w:ascii="Arial" w:hAnsi="Arial" w:cs="Arial"/>
          <w:sz w:val="22"/>
          <w:szCs w:val="22"/>
          <w:lang w:val="en-US"/>
        </w:rPr>
        <w:tab/>
        <w:t>if the disclosed estimates of Contingent Resources are contingent on technology under development, to ensure that Unrecoverable quantities are not classified as part of the Contingent Resources, an explanation of whether the technology has:</w:t>
      </w:r>
    </w:p>
    <w:p w14:paraId="66F7A35F"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(a)</w:t>
      </w:r>
      <w:r w:rsidRPr="00755725">
        <w:rPr>
          <w:rFonts w:ascii="Arial" w:hAnsi="Arial" w:cs="Arial"/>
          <w:sz w:val="22"/>
          <w:szCs w:val="22"/>
          <w:lang w:val="en-US"/>
        </w:rPr>
        <w:tab/>
        <w:t>been demonstrated to be commercially viable in analogous reservoirs;</w:t>
      </w:r>
    </w:p>
    <w:p w14:paraId="45434F60"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been demonstrated to be commercially viable in other reservoirs that are not analogous, and that a pilot project, which is planned and budgeted, will be necessary to demonstrate commerciality for this reservoir; or</w:t>
      </w:r>
    </w:p>
    <w:p w14:paraId="4248E3E0"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(c)</w:t>
      </w:r>
      <w:r w:rsidRPr="00755725">
        <w:rPr>
          <w:rFonts w:ascii="Arial" w:hAnsi="Arial" w:cs="Arial"/>
          <w:sz w:val="22"/>
          <w:szCs w:val="22"/>
          <w:lang w:val="en-US"/>
        </w:rPr>
        <w:tab/>
        <w:t>not been demonstrated to be commercially viable, but is currently under active development, and there is sufficient evidence to indicate that the technology may reasonably be expected to be available for commercial application within five years; and</w:t>
      </w:r>
    </w:p>
    <w:p w14:paraId="015AE597"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lastRenderedPageBreak/>
        <w:t>(5)</w:t>
      </w:r>
      <w:r w:rsidRPr="00755725">
        <w:rPr>
          <w:rFonts w:ascii="Arial" w:hAnsi="Arial" w:cs="Arial"/>
          <w:sz w:val="22"/>
          <w:szCs w:val="22"/>
          <w:lang w:val="en-US"/>
        </w:rPr>
        <w:tab/>
        <w:t>if the disclosed estimates of Contingent Resources relate to Unconventional Petroleum Resources, the:</w:t>
      </w:r>
    </w:p>
    <w:p w14:paraId="172683D6"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(a)</w:t>
      </w:r>
      <w:r w:rsidRPr="00755725">
        <w:rPr>
          <w:rFonts w:ascii="Arial" w:hAnsi="Arial" w:cs="Arial"/>
          <w:sz w:val="22"/>
          <w:szCs w:val="22"/>
          <w:lang w:val="en-US"/>
        </w:rPr>
        <w:tab/>
        <w:t>type(s) of Unconventional Contingent Resource;</w:t>
      </w:r>
    </w:p>
    <w:p w14:paraId="3B9C6224"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(b)</w:t>
      </w:r>
      <w:r w:rsidRPr="00755725">
        <w:rPr>
          <w:rFonts w:ascii="Arial" w:hAnsi="Arial" w:cs="Arial"/>
          <w:sz w:val="22"/>
          <w:szCs w:val="22"/>
          <w:lang w:val="en-US"/>
        </w:rPr>
        <w:tab/>
        <w:t>land area;</w:t>
      </w:r>
    </w:p>
    <w:p w14:paraId="796DC34C"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(c)</w:t>
      </w:r>
      <w:r w:rsidRPr="00755725">
        <w:rPr>
          <w:rFonts w:ascii="Arial" w:hAnsi="Arial" w:cs="Arial"/>
          <w:sz w:val="22"/>
          <w:szCs w:val="22"/>
          <w:lang w:val="en-US"/>
        </w:rPr>
        <w:tab/>
        <w:t>number of wells; and</w:t>
      </w:r>
    </w:p>
    <w:p w14:paraId="02EA3665"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(d)</w:t>
      </w:r>
      <w:r w:rsidRPr="00755725">
        <w:rPr>
          <w:rFonts w:ascii="Arial" w:hAnsi="Arial" w:cs="Arial"/>
          <w:sz w:val="22"/>
          <w:szCs w:val="22"/>
          <w:lang w:val="en-US"/>
        </w:rPr>
        <w:tab/>
        <w:t>specialised extraction technology proposed to be utilised.</w:t>
      </w:r>
    </w:p>
    <w:p w14:paraId="6E3576DD" w14:textId="77777777" w:rsidR="00755725" w:rsidRPr="00DF7866" w:rsidRDefault="00755725" w:rsidP="00DF7866">
      <w:pPr>
        <w:pStyle w:val="TitleL"/>
        <w:rPr>
          <w:rFonts w:ascii="Arial" w:hAnsi="Arial" w:cs="Arial"/>
          <w:sz w:val="22"/>
          <w:szCs w:val="22"/>
        </w:rPr>
      </w:pPr>
      <w:r w:rsidRPr="00DF7866">
        <w:rPr>
          <w:rFonts w:ascii="Arial" w:hAnsi="Arial" w:cs="Arial"/>
          <w:sz w:val="22"/>
          <w:szCs w:val="22"/>
        </w:rPr>
        <w:t>Guidance</w:t>
      </w:r>
    </w:p>
    <w:p w14:paraId="141DE2A4" w14:textId="77777777" w:rsidR="00755725" w:rsidRPr="00755725" w:rsidRDefault="00755725" w:rsidP="00755725">
      <w:pPr>
        <w:spacing w:after="240" w:line="246" w:lineRule="atLeast"/>
        <w:ind w:left="709"/>
        <w:jc w:val="both"/>
        <w:rPr>
          <w:rFonts w:ascii="Arial" w:hAnsi="Arial" w:cs="Arial"/>
          <w:sz w:val="22"/>
          <w:szCs w:val="22"/>
          <w:lang w:val="en-US"/>
        </w:rPr>
      </w:pPr>
      <w:r w:rsidRPr="00755725">
        <w:rPr>
          <w:rFonts w:ascii="Arial" w:hAnsi="Arial" w:cs="Arial"/>
          <w:sz w:val="22"/>
          <w:szCs w:val="22"/>
          <w:lang w:val="en-US"/>
        </w:rPr>
        <w:t xml:space="preserve">The Petroleum Reporting Standard defines ‘unconventional resources’ in section 2.4 and its Appendix A. </w:t>
      </w:r>
      <w:r w:rsidRPr="00755725">
        <w:rPr>
          <w:rFonts w:ascii="Arial" w:eastAsia="SymbolMT" w:hAnsi="Arial" w:cs="Arial"/>
          <w:sz w:val="22"/>
          <w:szCs w:val="22"/>
        </w:rPr>
        <w:t>Sections 1.1 and 8.6 of the PRMS Guidelines provide additional guidance on Unconventional Petroleum Resources.</w:t>
      </w:r>
    </w:p>
    <w:p w14:paraId="598C7CC7" w14:textId="138D6B42" w:rsidR="00755725" w:rsidRPr="00DF7866" w:rsidRDefault="00755725" w:rsidP="00DF7866">
      <w:pPr>
        <w:pStyle w:val="Heading2"/>
        <w:rPr>
          <w:rFonts w:ascii="Arial" w:hAnsi="Arial" w:cs="Arial"/>
          <w:sz w:val="22"/>
          <w:szCs w:val="22"/>
        </w:rPr>
      </w:pPr>
      <w:bookmarkStart w:id="866" w:name="_Toc138325736"/>
      <w:r w:rsidRPr="00DF7866">
        <w:rPr>
          <w:rFonts w:ascii="Arial" w:hAnsi="Arial" w:cs="Arial"/>
          <w:sz w:val="22"/>
          <w:szCs w:val="22"/>
        </w:rPr>
        <w:t>Petroleum Reserves</w:t>
      </w:r>
      <w:bookmarkEnd w:id="866"/>
    </w:p>
    <w:p w14:paraId="7D9BB7E7"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DF7866">
        <w:rPr>
          <w:rFonts w:ascii="Arial" w:hAnsi="Arial" w:cs="Arial"/>
          <w:b/>
          <w:bCs/>
          <w:sz w:val="22"/>
          <w:szCs w:val="22"/>
          <w:lang w:val="en-US"/>
        </w:rPr>
        <w:t>12.11.1</w:t>
      </w:r>
      <w:r w:rsidRPr="00755725">
        <w:rPr>
          <w:rFonts w:ascii="Arial" w:hAnsi="Arial" w:cs="Arial"/>
          <w:sz w:val="22"/>
          <w:szCs w:val="22"/>
          <w:lang w:val="en-US"/>
        </w:rPr>
        <w:tab/>
        <w:t>A Petroleum Reporting Entity disclosing estimates of Petroleum Reserves must comply with the following:</w:t>
      </w:r>
    </w:p>
    <w:p w14:paraId="59EB2269"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the term ‘reserves’ must only be used for estimates of commercially recoverable quantities of Petroleum;</w:t>
      </w:r>
    </w:p>
    <w:p w14:paraId="2C93FBF9"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Petroleum Reserves must be categorised and disclosed as either 1P, 2P or 3P in the most specific category that best reflects the degree of uncertainty in the estimated quantities of recoverable Petroleum, and if an estimate of 3P is disclosed, also disclose estimates of 2P and 1P;</w:t>
      </w:r>
    </w:p>
    <w:p w14:paraId="44365387"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the Reference Point used for the purpose of measuring and assessing the estimated Petroleum Reserves must be identified;</w:t>
      </w:r>
    </w:p>
    <w:p w14:paraId="732F343D" w14:textId="77777777" w:rsidR="00755725" w:rsidRPr="00DF7866" w:rsidRDefault="00755725" w:rsidP="00DF7866">
      <w:pPr>
        <w:pStyle w:val="TitleL"/>
        <w:rPr>
          <w:rFonts w:ascii="Arial" w:hAnsi="Arial" w:cs="Arial"/>
          <w:sz w:val="22"/>
          <w:szCs w:val="22"/>
        </w:rPr>
      </w:pPr>
      <w:r w:rsidRPr="00DF7866">
        <w:rPr>
          <w:rFonts w:ascii="Arial" w:hAnsi="Arial" w:cs="Arial"/>
          <w:sz w:val="22"/>
          <w:szCs w:val="22"/>
        </w:rPr>
        <w:t>Guidance</w:t>
      </w:r>
    </w:p>
    <w:p w14:paraId="74F3EBF6" w14:textId="77777777" w:rsidR="00755725" w:rsidRPr="00755725" w:rsidRDefault="00755725" w:rsidP="00755725">
      <w:pPr>
        <w:spacing w:after="240" w:line="246" w:lineRule="atLeast"/>
        <w:ind w:left="709" w:firstLine="11"/>
        <w:jc w:val="both"/>
        <w:rPr>
          <w:rFonts w:ascii="Arial" w:hAnsi="Arial" w:cs="Arial"/>
          <w:sz w:val="22"/>
          <w:szCs w:val="22"/>
          <w:lang w:val="en-US"/>
        </w:rPr>
      </w:pPr>
      <w:r w:rsidRPr="00755725">
        <w:rPr>
          <w:rFonts w:ascii="Arial" w:hAnsi="Arial" w:cs="Arial"/>
          <w:sz w:val="22"/>
          <w:szCs w:val="22"/>
          <w:lang w:val="en-US"/>
        </w:rPr>
        <w:t xml:space="preserve">Sections 7.1 and 9.13 of the PRMS </w:t>
      </w:r>
      <w:r w:rsidRPr="00755725">
        <w:rPr>
          <w:rFonts w:ascii="Arial" w:hAnsi="Arial" w:cs="Arial"/>
          <w:sz w:val="22"/>
          <w:szCs w:val="22"/>
          <w:lang w:val="en-AU"/>
        </w:rPr>
        <w:t>Guidelines provide specific guidance on Reference Points.</w:t>
      </w:r>
    </w:p>
    <w:p w14:paraId="4CB03A79"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(4)</w:t>
      </w:r>
      <w:r w:rsidRPr="00755725">
        <w:rPr>
          <w:rFonts w:ascii="Arial" w:hAnsi="Arial" w:cs="Arial"/>
          <w:sz w:val="22"/>
          <w:szCs w:val="22"/>
          <w:lang w:val="en-US"/>
        </w:rPr>
        <w:tab/>
        <w:t>If Petroleum Reserves are not disclosed net of CiO up to the Reference Point, the disclosure is to identify the portion of the Petroleum Reserves that will be consumed as fuel in production and lease plant operations;</w:t>
      </w:r>
    </w:p>
    <w:p w14:paraId="1FC00269" w14:textId="77777777" w:rsidR="00755725" w:rsidRPr="00DF7866" w:rsidRDefault="00755725" w:rsidP="00DF7866">
      <w:pPr>
        <w:pStyle w:val="TitleL"/>
        <w:rPr>
          <w:rFonts w:ascii="Arial" w:hAnsi="Arial" w:cs="Arial"/>
          <w:sz w:val="22"/>
          <w:szCs w:val="22"/>
        </w:rPr>
      </w:pPr>
      <w:r w:rsidRPr="00DF7866">
        <w:rPr>
          <w:rFonts w:ascii="Arial" w:hAnsi="Arial" w:cs="Arial"/>
          <w:sz w:val="22"/>
          <w:szCs w:val="22"/>
        </w:rPr>
        <w:t>Guidance</w:t>
      </w:r>
    </w:p>
    <w:p w14:paraId="24293071"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 xml:space="preserve">Section 9.1 of the PRMS </w:t>
      </w:r>
      <w:r w:rsidRPr="00755725">
        <w:rPr>
          <w:rFonts w:ascii="Arial" w:hAnsi="Arial" w:cs="Arial"/>
          <w:sz w:val="22"/>
          <w:szCs w:val="22"/>
          <w:lang w:val="en-AU"/>
        </w:rPr>
        <w:t>Guidelines provide specific guidance on CiO (lease fuel).</w:t>
      </w:r>
    </w:p>
    <w:p w14:paraId="5B341EAA" w14:textId="77777777" w:rsidR="00755725" w:rsidRPr="00755725" w:rsidRDefault="00755725" w:rsidP="00755725">
      <w:pPr>
        <w:spacing w:after="240" w:line="246" w:lineRule="atLeast"/>
        <w:ind w:firstLine="720"/>
        <w:jc w:val="both"/>
        <w:rPr>
          <w:rFonts w:ascii="Arial" w:hAnsi="Arial" w:cs="Arial"/>
          <w:sz w:val="22"/>
          <w:szCs w:val="22"/>
          <w:lang w:val="en-US"/>
        </w:rPr>
      </w:pPr>
      <w:r w:rsidRPr="00755725">
        <w:rPr>
          <w:rFonts w:ascii="Arial" w:hAnsi="Arial" w:cs="Arial"/>
          <w:sz w:val="22"/>
          <w:szCs w:val="22"/>
          <w:lang w:val="en-US"/>
        </w:rPr>
        <w:t>(5)</w:t>
      </w:r>
      <w:r w:rsidRPr="00755725">
        <w:rPr>
          <w:rFonts w:ascii="Arial" w:hAnsi="Arial" w:cs="Arial"/>
          <w:sz w:val="22"/>
          <w:szCs w:val="22"/>
          <w:lang w:val="en-US"/>
        </w:rPr>
        <w:tab/>
        <w:t>it must not disclose a mean estimate of Petroleum Reserves;</w:t>
      </w:r>
    </w:p>
    <w:p w14:paraId="798941C3"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(6)</w:t>
      </w:r>
      <w:r w:rsidRPr="00755725">
        <w:rPr>
          <w:rFonts w:ascii="Arial" w:hAnsi="Arial" w:cs="Arial"/>
          <w:sz w:val="22"/>
          <w:szCs w:val="22"/>
          <w:lang w:val="en-US"/>
        </w:rPr>
        <w:tab/>
        <w:t>where the disclosure represents aggregated estimates of Petroleum Reserves:</w:t>
      </w:r>
    </w:p>
    <w:p w14:paraId="21ACC629" w14:textId="77777777" w:rsidR="00755725" w:rsidRPr="00755725" w:rsidRDefault="00755725" w:rsidP="00755725">
      <w:pPr>
        <w:spacing w:after="240" w:line="246" w:lineRule="atLeast"/>
        <w:ind w:left="144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it must include the aggregation method used, which must be either:</w:t>
      </w:r>
    </w:p>
    <w:p w14:paraId="7C3AD128" w14:textId="77777777" w:rsidR="00755725" w:rsidRPr="00755725" w:rsidRDefault="00755725" w:rsidP="00755725">
      <w:pPr>
        <w:spacing w:after="240" w:line="246" w:lineRule="atLeast"/>
        <w:ind w:left="1440" w:firstLine="720"/>
        <w:jc w:val="both"/>
        <w:rPr>
          <w:rFonts w:ascii="Arial" w:hAnsi="Arial" w:cs="Arial"/>
          <w:sz w:val="22"/>
          <w:szCs w:val="22"/>
          <w:lang w:val="en-US"/>
        </w:rPr>
      </w:pPr>
      <w:r w:rsidRPr="00755725">
        <w:rPr>
          <w:rFonts w:ascii="Arial" w:hAnsi="Arial" w:cs="Arial"/>
          <w:sz w:val="22"/>
          <w:szCs w:val="22"/>
          <w:lang w:val="en-US"/>
        </w:rPr>
        <w:t>(i)</w:t>
      </w:r>
      <w:r w:rsidRPr="00755725">
        <w:rPr>
          <w:rFonts w:ascii="Arial" w:hAnsi="Arial" w:cs="Arial"/>
          <w:sz w:val="22"/>
          <w:szCs w:val="22"/>
          <w:lang w:val="en-US"/>
        </w:rPr>
        <w:tab/>
        <w:t>an arithmetic summation by category, being 1P, 2P or 3P; or</w:t>
      </w:r>
    </w:p>
    <w:p w14:paraId="7776E98F" w14:textId="77777777" w:rsidR="00755725" w:rsidRPr="00755725" w:rsidRDefault="00755725" w:rsidP="00755725">
      <w:pPr>
        <w:spacing w:after="240" w:line="246" w:lineRule="atLeast"/>
        <w:ind w:left="2880" w:hanging="720"/>
        <w:jc w:val="both"/>
        <w:rPr>
          <w:rFonts w:ascii="Arial" w:hAnsi="Arial" w:cs="Arial"/>
          <w:sz w:val="22"/>
          <w:szCs w:val="22"/>
          <w:lang w:val="en-US"/>
        </w:rPr>
      </w:pPr>
      <w:r w:rsidRPr="00755725">
        <w:rPr>
          <w:rFonts w:ascii="Arial" w:hAnsi="Arial" w:cs="Arial"/>
          <w:sz w:val="22"/>
          <w:szCs w:val="22"/>
          <w:lang w:val="en-US"/>
        </w:rPr>
        <w:t>(ii)</w:t>
      </w:r>
      <w:r w:rsidRPr="00755725">
        <w:rPr>
          <w:rFonts w:ascii="Arial" w:hAnsi="Arial" w:cs="Arial"/>
          <w:sz w:val="22"/>
          <w:szCs w:val="22"/>
          <w:lang w:val="en-US"/>
        </w:rPr>
        <w:tab/>
        <w:t>a statistical aggregation of uncertainty distributions up to the field, property of project level; and</w:t>
      </w:r>
    </w:p>
    <w:p w14:paraId="27EB00DF"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lastRenderedPageBreak/>
        <w:t>(b)</w:t>
      </w:r>
      <w:r w:rsidRPr="00755725">
        <w:rPr>
          <w:rFonts w:ascii="Arial" w:hAnsi="Arial" w:cs="Arial"/>
          <w:sz w:val="22"/>
          <w:szCs w:val="22"/>
          <w:lang w:val="en-US"/>
        </w:rPr>
        <w:tab/>
        <w:t>where Rule 12.7.1(5)(a)(i) applies, it must include a statement to the effect that the aggregate 1P may be a very conservative estimate and the aggregate 3P may be a very optimistic estimate due to the portfolio effects of arithmetic summation.</w:t>
      </w:r>
    </w:p>
    <w:p w14:paraId="7D8D3078" w14:textId="77777777" w:rsidR="00755725" w:rsidRPr="00DF7866" w:rsidRDefault="00755725" w:rsidP="00DF7866">
      <w:pPr>
        <w:pStyle w:val="TitleL"/>
        <w:rPr>
          <w:rFonts w:ascii="Arial" w:hAnsi="Arial" w:cs="Arial"/>
          <w:sz w:val="22"/>
          <w:szCs w:val="22"/>
        </w:rPr>
      </w:pPr>
      <w:r w:rsidRPr="00DF7866">
        <w:rPr>
          <w:rFonts w:ascii="Arial" w:hAnsi="Arial" w:cs="Arial"/>
          <w:sz w:val="22"/>
          <w:szCs w:val="22"/>
        </w:rPr>
        <w:t>Guidance</w:t>
      </w:r>
    </w:p>
    <w:p w14:paraId="2C89540C" w14:textId="77777777" w:rsidR="00755725" w:rsidRPr="00755725" w:rsidRDefault="00755725" w:rsidP="00755725">
      <w:pPr>
        <w:autoSpaceDE w:val="0"/>
        <w:autoSpaceDN w:val="0"/>
        <w:adjustRightInd w:val="0"/>
        <w:spacing w:after="240" w:line="246" w:lineRule="atLeast"/>
        <w:ind w:left="709"/>
        <w:jc w:val="both"/>
        <w:rPr>
          <w:rFonts w:ascii="Arial" w:eastAsia="SymbolMT" w:hAnsi="Arial" w:cs="Arial"/>
          <w:strike/>
          <w:sz w:val="22"/>
          <w:szCs w:val="22"/>
        </w:rPr>
      </w:pPr>
      <w:r w:rsidRPr="00755725">
        <w:rPr>
          <w:rFonts w:ascii="Arial" w:hAnsi="Arial" w:cs="Arial"/>
          <w:sz w:val="22"/>
          <w:szCs w:val="22"/>
          <w:lang w:val="en-US"/>
        </w:rPr>
        <w:t>The Petroleum Reporting Standard defines ‘aggregated’ in section 4.2.5 and its Appendix A. Sections 1.1, 2.1, 4.1, 5.1, 6.26 and 8.1</w:t>
      </w:r>
      <w:r w:rsidRPr="00755725">
        <w:rPr>
          <w:rFonts w:ascii="Arial" w:eastAsia="SymbolMT" w:hAnsi="Arial" w:cs="Arial"/>
          <w:sz w:val="22"/>
          <w:szCs w:val="22"/>
        </w:rPr>
        <w:t xml:space="preserve"> of the PRMS Guidelines provide additional guidance on aggregation. </w:t>
      </w:r>
      <w:r w:rsidRPr="00755725">
        <w:rPr>
          <w:rFonts w:ascii="Arial" w:eastAsia="SymbolMT" w:hAnsi="Arial" w:cs="Arial"/>
          <w:strike/>
          <w:sz w:val="22"/>
          <w:szCs w:val="22"/>
        </w:rPr>
        <w:t xml:space="preserve"> </w:t>
      </w:r>
    </w:p>
    <w:p w14:paraId="2B6A0BEE"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(7)</w:t>
      </w:r>
      <w:r w:rsidRPr="00755725">
        <w:rPr>
          <w:rFonts w:ascii="Arial" w:hAnsi="Arial" w:cs="Arial"/>
          <w:sz w:val="22"/>
          <w:szCs w:val="22"/>
          <w:lang w:val="en-US"/>
        </w:rPr>
        <w:tab/>
        <w:t>if Petroleum Reserves are disclosed beyond the field, property or project level, estimates of Petroleum Reserves must be aggregated by arithmetic summation by category beyond the relevant field, property or project level;</w:t>
      </w:r>
    </w:p>
    <w:p w14:paraId="1E586C73"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(8)</w:t>
      </w:r>
      <w:r w:rsidRPr="00755725">
        <w:rPr>
          <w:rFonts w:ascii="Arial" w:hAnsi="Arial" w:cs="Arial"/>
          <w:sz w:val="22"/>
          <w:szCs w:val="22"/>
          <w:lang w:val="en-US"/>
        </w:rPr>
        <w:tab/>
        <w:t>if a Petroleum Reserves replacement ratio is disclosed, it must disclose an explanation of how the Petroleum Reserves replacement ratio was calculated.</w:t>
      </w:r>
      <w:r w:rsidRPr="00755725">
        <w:rPr>
          <w:rFonts w:ascii="Arial" w:hAnsi="Arial" w:cs="Arial"/>
          <w:sz w:val="22"/>
          <w:szCs w:val="22"/>
          <w:lang w:val="en-US"/>
        </w:rPr>
        <w:tab/>
      </w:r>
    </w:p>
    <w:p w14:paraId="41453A17" w14:textId="54E68122" w:rsidR="00755725" w:rsidRPr="00DF7866" w:rsidRDefault="00755725" w:rsidP="00DF7866">
      <w:pPr>
        <w:pStyle w:val="Heading2"/>
        <w:rPr>
          <w:rFonts w:ascii="Arial" w:hAnsi="Arial" w:cs="Arial"/>
          <w:sz w:val="22"/>
          <w:szCs w:val="22"/>
        </w:rPr>
      </w:pPr>
      <w:bookmarkStart w:id="867" w:name="_Toc138325737"/>
      <w:r w:rsidRPr="00DF7866">
        <w:rPr>
          <w:rFonts w:ascii="Arial" w:hAnsi="Arial" w:cs="Arial"/>
          <w:sz w:val="22"/>
          <w:szCs w:val="22"/>
        </w:rPr>
        <w:t>Petroleum Reserves – Material Changes</w:t>
      </w:r>
      <w:bookmarkEnd w:id="867"/>
    </w:p>
    <w:p w14:paraId="17D254AE"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DF7866">
        <w:rPr>
          <w:rFonts w:ascii="Arial" w:hAnsi="Arial" w:cs="Arial"/>
          <w:b/>
          <w:bCs/>
          <w:sz w:val="22"/>
          <w:szCs w:val="22"/>
          <w:lang w:val="en-US"/>
        </w:rPr>
        <w:t>12.12.1</w:t>
      </w:r>
      <w:r w:rsidRPr="00755725">
        <w:rPr>
          <w:rFonts w:ascii="Arial" w:hAnsi="Arial" w:cs="Arial"/>
          <w:sz w:val="22"/>
          <w:szCs w:val="22"/>
          <w:lang w:val="en-US"/>
        </w:rPr>
        <w:tab/>
        <w:t>A Petroleum Reporting Entity disclosing estimates of Petroleum Reserves that are material and that have not previously been disclosed by the Petroleum Reporting Entity must ensure the disclosure contains:</w:t>
      </w:r>
    </w:p>
    <w:p w14:paraId="7B076642" w14:textId="77777777" w:rsidR="00755725" w:rsidRPr="00755725" w:rsidRDefault="00755725" w:rsidP="00755725">
      <w:pPr>
        <w:spacing w:after="240" w:line="246" w:lineRule="atLeast"/>
        <w:ind w:left="1418"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in relation to the assumptions used to calculate the estimates of Petroleum Reserves:</w:t>
      </w:r>
    </w:p>
    <w:p w14:paraId="65EAE404"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(a)</w:t>
      </w:r>
      <w:r w:rsidRPr="00755725">
        <w:rPr>
          <w:rFonts w:ascii="Arial" w:hAnsi="Arial" w:cs="Arial"/>
          <w:sz w:val="22"/>
          <w:szCs w:val="22"/>
          <w:lang w:val="en-US"/>
        </w:rPr>
        <w:tab/>
        <w:t>all material economic assumptions utilised; or</w:t>
      </w:r>
    </w:p>
    <w:p w14:paraId="7F3A58F9"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if the Petroleum Reporting Entity considers the material economic assumptions to be commercially sensitive, a statement to that effect and an explanation of the methodology used to determine the material economic assumptions;</w:t>
      </w:r>
    </w:p>
    <w:p w14:paraId="7C743B65" w14:textId="77777777" w:rsidR="00755725" w:rsidRPr="00DF7866" w:rsidRDefault="00755725" w:rsidP="00DF7866">
      <w:pPr>
        <w:pStyle w:val="TitleL"/>
        <w:rPr>
          <w:rFonts w:ascii="Arial" w:hAnsi="Arial" w:cs="Arial"/>
          <w:sz w:val="22"/>
          <w:szCs w:val="22"/>
        </w:rPr>
      </w:pPr>
      <w:r w:rsidRPr="00DF7866">
        <w:rPr>
          <w:rFonts w:ascii="Arial" w:hAnsi="Arial" w:cs="Arial"/>
          <w:sz w:val="22"/>
          <w:szCs w:val="22"/>
        </w:rPr>
        <w:t xml:space="preserve">Guidance </w:t>
      </w:r>
    </w:p>
    <w:p w14:paraId="1217841C" w14:textId="77777777" w:rsidR="00755725" w:rsidRPr="00755725" w:rsidRDefault="00755725" w:rsidP="00755725">
      <w:pPr>
        <w:spacing w:after="240" w:line="246" w:lineRule="atLeast"/>
        <w:ind w:left="709"/>
        <w:jc w:val="both"/>
        <w:rPr>
          <w:rFonts w:ascii="Arial" w:hAnsi="Arial" w:cs="Arial"/>
          <w:sz w:val="22"/>
          <w:szCs w:val="22"/>
          <w:lang w:val="en-US"/>
        </w:rPr>
      </w:pPr>
      <w:r w:rsidRPr="00755725">
        <w:rPr>
          <w:rFonts w:ascii="Arial" w:hAnsi="Arial" w:cs="Arial"/>
          <w:sz w:val="22"/>
          <w:szCs w:val="22"/>
          <w:lang w:val="en-US"/>
        </w:rPr>
        <w:t>A Petroleum Reporting Entity that considers certain information relating to the material economic assumptions to be commercially sensitive should refer to paragraphs 66-74 of the Guidance on Petroleum Disclosures and paragraphs 127 and 128 of the Guidance on Continuous Disclosure.</w:t>
      </w:r>
    </w:p>
    <w:p w14:paraId="2B33E7BC"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details of whether the Petroleum Reporting Entity has operator or non-operator interests, and if applicable, the name of the operator;</w:t>
      </w:r>
    </w:p>
    <w:p w14:paraId="014DEEAB" w14:textId="77777777" w:rsidR="00755725" w:rsidRPr="00755725" w:rsidRDefault="00755725" w:rsidP="00755725">
      <w:pPr>
        <w:spacing w:after="240" w:line="246" w:lineRule="atLeast"/>
        <w:ind w:firstLine="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a description:</w:t>
      </w:r>
    </w:p>
    <w:p w14:paraId="25C9C1A8" w14:textId="77777777" w:rsidR="00755725" w:rsidRPr="00755725" w:rsidRDefault="00755725" w:rsidP="00755725">
      <w:pPr>
        <w:spacing w:after="240" w:line="246" w:lineRule="atLeast"/>
        <w:ind w:firstLine="720"/>
        <w:jc w:val="both"/>
        <w:rPr>
          <w:rFonts w:ascii="Arial" w:hAnsi="Arial" w:cs="Arial"/>
          <w:sz w:val="22"/>
          <w:szCs w:val="22"/>
          <w:lang w:val="en-US"/>
        </w:rPr>
      </w:pPr>
      <w:r w:rsidRPr="00755725">
        <w:rPr>
          <w:rFonts w:ascii="Arial" w:hAnsi="Arial" w:cs="Arial"/>
          <w:sz w:val="22"/>
          <w:szCs w:val="22"/>
          <w:lang w:val="en-US"/>
        </w:rPr>
        <w:tab/>
        <w:t>(a)</w:t>
      </w:r>
      <w:r w:rsidRPr="00755725">
        <w:rPr>
          <w:rFonts w:ascii="Arial" w:hAnsi="Arial" w:cs="Arial"/>
          <w:sz w:val="22"/>
          <w:szCs w:val="22"/>
          <w:lang w:val="en-US"/>
        </w:rPr>
        <w:tab/>
        <w:t>the basis for confirming commercial producibility;</w:t>
      </w:r>
    </w:p>
    <w:p w14:paraId="481711F7" w14:textId="77777777" w:rsidR="00755725" w:rsidRPr="00755725" w:rsidRDefault="00755725" w:rsidP="00755725">
      <w:pPr>
        <w:spacing w:after="240" w:line="246" w:lineRule="atLeast"/>
        <w:ind w:firstLine="720"/>
        <w:jc w:val="both"/>
        <w:rPr>
          <w:rFonts w:ascii="Arial" w:hAnsi="Arial" w:cs="Arial"/>
          <w:sz w:val="22"/>
          <w:szCs w:val="22"/>
          <w:lang w:val="en-US"/>
        </w:rPr>
      </w:pPr>
      <w:r w:rsidRPr="00755725">
        <w:rPr>
          <w:rFonts w:ascii="Arial" w:hAnsi="Arial" w:cs="Arial"/>
          <w:sz w:val="22"/>
          <w:szCs w:val="22"/>
          <w:lang w:val="en-US"/>
        </w:rPr>
        <w:tab/>
        <w:t>(b)</w:t>
      </w:r>
      <w:r w:rsidRPr="00755725">
        <w:rPr>
          <w:rFonts w:ascii="Arial" w:hAnsi="Arial" w:cs="Arial"/>
          <w:sz w:val="22"/>
          <w:szCs w:val="22"/>
          <w:lang w:val="en-US"/>
        </w:rPr>
        <w:tab/>
        <w:t>the method of estimation;</w:t>
      </w:r>
    </w:p>
    <w:p w14:paraId="3818FE18" w14:textId="77777777" w:rsidR="00755725" w:rsidRPr="00755725" w:rsidRDefault="00755725" w:rsidP="00755725">
      <w:pPr>
        <w:spacing w:after="240" w:line="246" w:lineRule="atLeast"/>
        <w:ind w:firstLine="720"/>
        <w:jc w:val="both"/>
        <w:rPr>
          <w:rFonts w:ascii="Arial" w:hAnsi="Arial" w:cs="Arial"/>
          <w:sz w:val="22"/>
          <w:szCs w:val="22"/>
          <w:lang w:val="en-US"/>
        </w:rPr>
      </w:pPr>
      <w:r w:rsidRPr="00755725">
        <w:rPr>
          <w:rFonts w:ascii="Arial" w:hAnsi="Arial" w:cs="Arial"/>
          <w:sz w:val="22"/>
          <w:szCs w:val="22"/>
          <w:lang w:val="en-US"/>
        </w:rPr>
        <w:tab/>
        <w:t>(c)</w:t>
      </w:r>
      <w:r w:rsidRPr="00755725">
        <w:rPr>
          <w:rFonts w:ascii="Arial" w:hAnsi="Arial" w:cs="Arial"/>
          <w:sz w:val="22"/>
          <w:szCs w:val="22"/>
          <w:lang w:val="en-US"/>
        </w:rPr>
        <w:tab/>
        <w:t>the proposed Extraction method/parameters;</w:t>
      </w:r>
    </w:p>
    <w:p w14:paraId="31D8BA48" w14:textId="77777777" w:rsidR="00755725" w:rsidRPr="00755725" w:rsidRDefault="00755725" w:rsidP="00755725">
      <w:pPr>
        <w:spacing w:after="240" w:line="246" w:lineRule="atLeast"/>
        <w:ind w:firstLine="720"/>
        <w:jc w:val="both"/>
        <w:rPr>
          <w:rFonts w:ascii="Arial" w:hAnsi="Arial" w:cs="Arial"/>
          <w:sz w:val="22"/>
          <w:szCs w:val="22"/>
          <w:lang w:val="en-US"/>
        </w:rPr>
      </w:pPr>
      <w:r w:rsidRPr="00755725">
        <w:rPr>
          <w:rFonts w:ascii="Arial" w:hAnsi="Arial" w:cs="Arial"/>
          <w:sz w:val="22"/>
          <w:szCs w:val="22"/>
          <w:lang w:val="en-US"/>
        </w:rPr>
        <w:tab/>
        <w:t>(d)</w:t>
      </w:r>
      <w:r w:rsidRPr="00755725">
        <w:rPr>
          <w:rFonts w:ascii="Arial" w:hAnsi="Arial" w:cs="Arial"/>
          <w:sz w:val="22"/>
          <w:szCs w:val="22"/>
          <w:lang w:val="en-US"/>
        </w:rPr>
        <w:tab/>
        <w:t>any specialised processing required following Extraction; and</w:t>
      </w:r>
    </w:p>
    <w:p w14:paraId="626F34A5"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lastRenderedPageBreak/>
        <w:t>(e)</w:t>
      </w:r>
      <w:r w:rsidRPr="00755725">
        <w:rPr>
          <w:rFonts w:ascii="Arial" w:hAnsi="Arial" w:cs="Arial"/>
          <w:sz w:val="22"/>
          <w:szCs w:val="22"/>
          <w:lang w:val="en-US"/>
        </w:rPr>
        <w:tab/>
        <w:t>any other modifying factors or information that would reasonably be required to allow investors to make informed decisions on the validity of the Petroleum Reserves;</w:t>
      </w:r>
    </w:p>
    <w:p w14:paraId="5F438BA3"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(4)</w:t>
      </w:r>
      <w:r w:rsidRPr="00755725">
        <w:rPr>
          <w:rFonts w:ascii="Arial" w:hAnsi="Arial" w:cs="Arial"/>
          <w:sz w:val="22"/>
          <w:szCs w:val="22"/>
          <w:lang w:val="en-US"/>
        </w:rPr>
        <w:tab/>
        <w:t>if the estimate of Petroleum Reserves relate to Developed Petroleum Reserves, the estimated quantities (in aggregate) to be recovered from existing wells and facilities;</w:t>
      </w:r>
    </w:p>
    <w:p w14:paraId="3D50C30F"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(5)</w:t>
      </w:r>
      <w:r w:rsidRPr="00755725">
        <w:rPr>
          <w:rFonts w:ascii="Arial" w:hAnsi="Arial" w:cs="Arial"/>
          <w:sz w:val="22"/>
          <w:szCs w:val="22"/>
          <w:lang w:val="en-US"/>
        </w:rPr>
        <w:tab/>
        <w:t>if the estimate of Petroleum Reserves relate to Undeveloped Petroleum Reserves, details of the:</w:t>
      </w:r>
    </w:p>
    <w:p w14:paraId="5E57DDEE"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status of the relevant project, including any environmental approvals required;</w:t>
      </w:r>
    </w:p>
    <w:p w14:paraId="6BE9D83D"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estimated quantities (in aggregate) to be recovered through future investment;</w:t>
      </w:r>
    </w:p>
    <w:p w14:paraId="051981C4"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ab/>
        <w:t>(c)</w:t>
      </w:r>
      <w:r w:rsidRPr="00755725">
        <w:rPr>
          <w:rFonts w:ascii="Arial" w:hAnsi="Arial" w:cs="Arial"/>
          <w:sz w:val="22"/>
          <w:szCs w:val="22"/>
          <w:lang w:val="en-US"/>
        </w:rPr>
        <w:tab/>
        <w:t>date anticipated for development of the well(s);</w:t>
      </w:r>
    </w:p>
    <w:p w14:paraId="3E93FB5E"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ab/>
        <w:t>(d)</w:t>
      </w:r>
      <w:r w:rsidRPr="00755725">
        <w:rPr>
          <w:rFonts w:ascii="Arial" w:hAnsi="Arial" w:cs="Arial"/>
          <w:sz w:val="22"/>
          <w:szCs w:val="22"/>
          <w:lang w:val="en-US"/>
        </w:rPr>
        <w:tab/>
        <w:t>marketing, and investment, arrangements that justify development; and</w:t>
      </w:r>
    </w:p>
    <w:p w14:paraId="4E1F23B5"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ab/>
        <w:t>(e)</w:t>
      </w:r>
      <w:r w:rsidRPr="00755725">
        <w:rPr>
          <w:rFonts w:ascii="Arial" w:hAnsi="Arial" w:cs="Arial"/>
          <w:sz w:val="22"/>
          <w:szCs w:val="22"/>
          <w:lang w:val="en-US"/>
        </w:rPr>
        <w:tab/>
        <w:t>requirements for access to transportation infrastructure, if applicable.</w:t>
      </w:r>
    </w:p>
    <w:p w14:paraId="1BA9B970"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(6)</w:t>
      </w:r>
      <w:r w:rsidRPr="00755725">
        <w:rPr>
          <w:rFonts w:ascii="Arial" w:hAnsi="Arial" w:cs="Arial"/>
          <w:sz w:val="22"/>
          <w:szCs w:val="22"/>
          <w:lang w:val="en-US"/>
        </w:rPr>
        <w:tab/>
        <w:t>if the estimates of Petroleum Reserves relate to Unconventional Petroleum Resources, the</w:t>
      </w:r>
    </w:p>
    <w:p w14:paraId="593BB9A1"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ab/>
        <w:t>(a)</w:t>
      </w:r>
      <w:r w:rsidRPr="00755725">
        <w:rPr>
          <w:rFonts w:ascii="Arial" w:hAnsi="Arial" w:cs="Arial"/>
          <w:sz w:val="22"/>
          <w:szCs w:val="22"/>
          <w:lang w:val="en-US"/>
        </w:rPr>
        <w:tab/>
        <w:t>type(s) of Unconventional Petroleum Resource;</w:t>
      </w:r>
    </w:p>
    <w:p w14:paraId="634D3B50"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ab/>
        <w:t>(b)</w:t>
      </w:r>
      <w:r w:rsidRPr="00755725">
        <w:rPr>
          <w:rFonts w:ascii="Arial" w:hAnsi="Arial" w:cs="Arial"/>
          <w:sz w:val="22"/>
          <w:szCs w:val="22"/>
          <w:lang w:val="en-US"/>
        </w:rPr>
        <w:tab/>
        <w:t>land area;</w:t>
      </w:r>
    </w:p>
    <w:p w14:paraId="24E9667F"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ab/>
        <w:t>(c)</w:t>
      </w:r>
      <w:r w:rsidRPr="00755725">
        <w:rPr>
          <w:rFonts w:ascii="Arial" w:hAnsi="Arial" w:cs="Arial"/>
          <w:sz w:val="22"/>
          <w:szCs w:val="22"/>
          <w:lang w:val="en-US"/>
        </w:rPr>
        <w:tab/>
        <w:t xml:space="preserve">number of wells; and </w:t>
      </w:r>
    </w:p>
    <w:p w14:paraId="290DE856"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ab/>
        <w:t>(d)</w:t>
      </w:r>
      <w:r w:rsidRPr="00755725">
        <w:rPr>
          <w:rFonts w:ascii="Arial" w:hAnsi="Arial" w:cs="Arial"/>
          <w:sz w:val="22"/>
          <w:szCs w:val="22"/>
          <w:lang w:val="en-US"/>
        </w:rPr>
        <w:tab/>
        <w:t>specialised extraction technology proposed, if applicable, to be utilised.</w:t>
      </w:r>
    </w:p>
    <w:p w14:paraId="1596E8B0" w14:textId="6F869A32" w:rsidR="00755725" w:rsidRPr="00DF7866" w:rsidRDefault="00755725" w:rsidP="00DF7866">
      <w:pPr>
        <w:pStyle w:val="TitleL"/>
        <w:rPr>
          <w:rFonts w:ascii="Arial" w:hAnsi="Arial" w:cs="Arial"/>
          <w:sz w:val="22"/>
          <w:szCs w:val="22"/>
        </w:rPr>
      </w:pPr>
      <w:r w:rsidRPr="00DF7866">
        <w:rPr>
          <w:rFonts w:ascii="Arial" w:hAnsi="Arial" w:cs="Arial"/>
          <w:sz w:val="22"/>
          <w:szCs w:val="22"/>
        </w:rPr>
        <w:t>Guidance</w:t>
      </w:r>
    </w:p>
    <w:p w14:paraId="59695950" w14:textId="77777777" w:rsidR="00755725" w:rsidRPr="00755725" w:rsidRDefault="00755725" w:rsidP="00755725">
      <w:pPr>
        <w:spacing w:after="240" w:line="246" w:lineRule="atLeast"/>
        <w:ind w:left="709"/>
        <w:jc w:val="both"/>
        <w:rPr>
          <w:rFonts w:ascii="Arial" w:hAnsi="Arial" w:cs="Arial"/>
          <w:sz w:val="22"/>
          <w:szCs w:val="22"/>
          <w:lang w:val="en-US"/>
        </w:rPr>
      </w:pPr>
      <w:r w:rsidRPr="00755725">
        <w:rPr>
          <w:rFonts w:ascii="Arial" w:hAnsi="Arial" w:cs="Arial"/>
          <w:sz w:val="22"/>
          <w:szCs w:val="22"/>
          <w:lang w:val="en-US"/>
        </w:rPr>
        <w:t xml:space="preserve">The Petroleum Reporting Standard defines ‘Unconventional Resources’ in section 2.4 and its Appendix A. </w:t>
      </w:r>
      <w:r w:rsidRPr="00755725">
        <w:rPr>
          <w:rFonts w:ascii="Arial" w:eastAsia="SymbolMT" w:hAnsi="Arial" w:cs="Arial"/>
          <w:sz w:val="22"/>
          <w:szCs w:val="22"/>
        </w:rPr>
        <w:t>Sections 1.1 and 8.6 of the PRMS Guidelines provide additional guidance on Unconventional Petroleum Resources.</w:t>
      </w:r>
    </w:p>
    <w:p w14:paraId="399446CD"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(7)</w:t>
      </w:r>
      <w:r w:rsidRPr="00755725">
        <w:rPr>
          <w:rFonts w:ascii="Arial" w:hAnsi="Arial" w:cs="Arial"/>
          <w:sz w:val="22"/>
          <w:szCs w:val="22"/>
          <w:lang w:val="en-US"/>
        </w:rPr>
        <w:tab/>
        <w:t>if 1P is zero for the estimates of Petroleum Resources, details of why 1P is zero and why, in the absence of 1P, 3P and 2P have been disclosed;</w:t>
      </w:r>
    </w:p>
    <w:p w14:paraId="086D002A" w14:textId="1F993DA1" w:rsidR="00755725" w:rsidRPr="00DF7866" w:rsidRDefault="00755725" w:rsidP="00DF7866">
      <w:pPr>
        <w:pStyle w:val="Heading2"/>
        <w:rPr>
          <w:rFonts w:ascii="Arial" w:hAnsi="Arial" w:cs="Arial"/>
          <w:sz w:val="22"/>
          <w:szCs w:val="22"/>
        </w:rPr>
      </w:pPr>
      <w:bookmarkStart w:id="868" w:name="_Toc138325738"/>
      <w:r w:rsidRPr="00DF7866">
        <w:rPr>
          <w:rFonts w:ascii="Arial" w:hAnsi="Arial" w:cs="Arial"/>
          <w:sz w:val="22"/>
          <w:szCs w:val="22"/>
        </w:rPr>
        <w:t>Quarterly Reports</w:t>
      </w:r>
      <w:bookmarkEnd w:id="868"/>
      <w:r w:rsidRPr="00DF7866">
        <w:rPr>
          <w:rFonts w:ascii="Arial" w:hAnsi="Arial" w:cs="Arial"/>
          <w:sz w:val="22"/>
          <w:szCs w:val="22"/>
        </w:rPr>
        <w:t xml:space="preserve"> </w:t>
      </w:r>
    </w:p>
    <w:p w14:paraId="58AC0EFE" w14:textId="383D4175" w:rsidR="00755725" w:rsidRPr="00DF7866" w:rsidRDefault="00755725" w:rsidP="00DF7866">
      <w:pPr>
        <w:pStyle w:val="TitleL"/>
        <w:rPr>
          <w:rFonts w:ascii="Arial" w:hAnsi="Arial" w:cs="Arial"/>
          <w:sz w:val="22"/>
          <w:szCs w:val="22"/>
        </w:rPr>
      </w:pPr>
      <w:r w:rsidRPr="00DF7866">
        <w:rPr>
          <w:rFonts w:ascii="Arial" w:hAnsi="Arial" w:cs="Arial"/>
          <w:sz w:val="22"/>
          <w:szCs w:val="22"/>
        </w:rPr>
        <w:t>Quarterly Reports – Petroleum Exploration Reporting Entities</w:t>
      </w:r>
    </w:p>
    <w:p w14:paraId="5BC807E7"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DF7866">
        <w:rPr>
          <w:rFonts w:ascii="Arial" w:hAnsi="Arial" w:cs="Arial"/>
          <w:b/>
          <w:bCs/>
          <w:sz w:val="22"/>
          <w:szCs w:val="22"/>
          <w:lang w:val="en-US"/>
        </w:rPr>
        <w:t>12.13.1</w:t>
      </w:r>
      <w:r w:rsidRPr="00755725">
        <w:rPr>
          <w:rFonts w:ascii="Arial" w:hAnsi="Arial" w:cs="Arial"/>
          <w:sz w:val="22"/>
          <w:szCs w:val="22"/>
          <w:lang w:val="en-US"/>
        </w:rPr>
        <w:tab/>
        <w:t>A Petroleum Exploration Reporting Entity must disclose a report for each quarter of its financial year containing the following information in respect of the Petroleum Exploration Reporting Entity and all controlled entities, on a consolidated basis, if applicable:</w:t>
      </w:r>
    </w:p>
    <w:p w14:paraId="23E41CC2"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details of the activities relating to Petroleum:</w:t>
      </w:r>
    </w:p>
    <w:p w14:paraId="01301147"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Exploration, or a statement that there have been no activities relating to Exploration; and</w:t>
      </w:r>
    </w:p>
    <w:p w14:paraId="2C137941"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lastRenderedPageBreak/>
        <w:t>(b)</w:t>
      </w:r>
      <w:r w:rsidRPr="00755725">
        <w:rPr>
          <w:rFonts w:ascii="Arial" w:hAnsi="Arial" w:cs="Arial"/>
          <w:sz w:val="22"/>
          <w:szCs w:val="22"/>
          <w:lang w:val="en-US"/>
        </w:rPr>
        <w:tab/>
        <w:t>production and development, or a statement that there have been no activities relating to mining production and development;</w:t>
      </w:r>
    </w:p>
    <w:p w14:paraId="021F8FC1"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t>(2)</w:t>
      </w:r>
      <w:r w:rsidRPr="00755725">
        <w:rPr>
          <w:rFonts w:ascii="Arial" w:hAnsi="Arial" w:cs="Arial"/>
          <w:sz w:val="22"/>
          <w:szCs w:val="22"/>
          <w:lang w:val="en-US"/>
        </w:rPr>
        <w:tab/>
        <w:t>a summary of any expenditure incurred relating to Petroleum:</w:t>
      </w:r>
    </w:p>
    <w:p w14:paraId="0FDA95A0"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(a)</w:t>
      </w:r>
      <w:r w:rsidRPr="00755725">
        <w:rPr>
          <w:rFonts w:ascii="Arial" w:hAnsi="Arial" w:cs="Arial"/>
          <w:sz w:val="22"/>
          <w:szCs w:val="22"/>
          <w:lang w:val="en-US"/>
        </w:rPr>
        <w:tab/>
        <w:t>Exploration activities; and</w:t>
      </w:r>
    </w:p>
    <w:p w14:paraId="4FAAE74B"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(b)</w:t>
      </w:r>
      <w:r w:rsidRPr="00755725">
        <w:rPr>
          <w:rFonts w:ascii="Arial" w:hAnsi="Arial" w:cs="Arial"/>
          <w:sz w:val="22"/>
          <w:szCs w:val="22"/>
          <w:lang w:val="en-US"/>
        </w:rPr>
        <w:tab/>
        <w:t>production and development;</w:t>
      </w:r>
    </w:p>
    <w:p w14:paraId="6A77F801"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 xml:space="preserve">the Petroleum Tenements held at the end of the quarter, their location and the percentage interest held, including the beneficial interests in farm-in or farm-out agreements; </w:t>
      </w:r>
    </w:p>
    <w:p w14:paraId="17723919"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(4)</w:t>
      </w:r>
      <w:r w:rsidRPr="00755725">
        <w:rPr>
          <w:rFonts w:ascii="Arial" w:hAnsi="Arial" w:cs="Arial"/>
          <w:sz w:val="22"/>
          <w:szCs w:val="22"/>
          <w:lang w:val="en-US"/>
        </w:rPr>
        <w:tab/>
        <w:t>the Petroleum Tenements, including beneficial interests in farm-in or farm-out agreements, acquired or disposed of during the quarter, and their location;</w:t>
      </w:r>
    </w:p>
    <w:p w14:paraId="14053BCB"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(5)</w:t>
      </w:r>
      <w:r w:rsidRPr="00755725">
        <w:rPr>
          <w:rFonts w:ascii="Arial" w:hAnsi="Arial" w:cs="Arial"/>
          <w:sz w:val="22"/>
          <w:szCs w:val="22"/>
          <w:lang w:val="en-US"/>
        </w:rPr>
        <w:tab/>
        <w:t>at least once every 12 months, the Summary of Reserves and Resources required by Rule 12.14.1 unless it is included in the Petroleum Exploration Reporting Entity’s annual report; and</w:t>
      </w:r>
    </w:p>
    <w:p w14:paraId="27D387B4"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(6)</w:t>
      </w:r>
      <w:r w:rsidRPr="00755725">
        <w:rPr>
          <w:rFonts w:ascii="Arial" w:hAnsi="Arial" w:cs="Arial"/>
          <w:sz w:val="22"/>
          <w:szCs w:val="22"/>
          <w:lang w:val="en-US"/>
        </w:rPr>
        <w:tab/>
        <w:t>when the previous, and upcoming, disclosure required by (5) was, and is, to be disclosed.</w:t>
      </w:r>
    </w:p>
    <w:p w14:paraId="7909DDA1"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DF7866">
        <w:rPr>
          <w:rFonts w:ascii="Arial" w:hAnsi="Arial" w:cs="Arial"/>
          <w:b/>
          <w:bCs/>
          <w:sz w:val="22"/>
          <w:szCs w:val="22"/>
          <w:lang w:val="en-US"/>
        </w:rPr>
        <w:t>12.13.2</w:t>
      </w:r>
      <w:r w:rsidRPr="00755725">
        <w:rPr>
          <w:rFonts w:ascii="Arial" w:hAnsi="Arial" w:cs="Arial"/>
          <w:sz w:val="22"/>
          <w:szCs w:val="22"/>
          <w:lang w:val="en-US"/>
        </w:rPr>
        <w:tab/>
        <w:t>A Petroleum Exploration Reporting Entity must disclose the report required by Rule 12.13.1 no later than one month after the end of the quarter.</w:t>
      </w:r>
    </w:p>
    <w:p w14:paraId="0A885025" w14:textId="164BF005" w:rsidR="00755725" w:rsidRPr="00DF7866" w:rsidRDefault="00755725" w:rsidP="00DF7866">
      <w:pPr>
        <w:pStyle w:val="TitleL"/>
        <w:rPr>
          <w:rFonts w:ascii="Arial" w:hAnsi="Arial" w:cs="Arial"/>
          <w:sz w:val="22"/>
          <w:szCs w:val="22"/>
        </w:rPr>
      </w:pPr>
      <w:r w:rsidRPr="00DF7866">
        <w:rPr>
          <w:rFonts w:ascii="Arial" w:hAnsi="Arial" w:cs="Arial"/>
          <w:sz w:val="22"/>
          <w:szCs w:val="22"/>
        </w:rPr>
        <w:t>Quarterly Reports – Petroleum Production Reporting Entities</w:t>
      </w:r>
    </w:p>
    <w:p w14:paraId="2A774939"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DF7866">
        <w:rPr>
          <w:rFonts w:ascii="Arial" w:hAnsi="Arial" w:cs="Arial"/>
          <w:b/>
          <w:bCs/>
          <w:sz w:val="22"/>
          <w:szCs w:val="22"/>
          <w:lang w:val="en-US"/>
        </w:rPr>
        <w:t>12.13.3</w:t>
      </w:r>
      <w:r w:rsidRPr="00755725">
        <w:rPr>
          <w:rFonts w:ascii="Arial" w:hAnsi="Arial" w:cs="Arial"/>
          <w:sz w:val="22"/>
          <w:szCs w:val="22"/>
          <w:lang w:val="en-US"/>
        </w:rPr>
        <w:tab/>
        <w:t>A Petroleum Production Reporting Entity must disclose a report for each quarter of its financial year containing the following information in respect of the Petroleum Production Reporting Entity and all controlled entities, on a consolidated basis, if applicable:</w:t>
      </w:r>
    </w:p>
    <w:p w14:paraId="3D40E8DF"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details of the activities relating to Petroleum production and development, or a statement that there have been no activities relating to Petroleum production and development;</w:t>
      </w:r>
    </w:p>
    <w:p w14:paraId="7E3292B1"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a summary of any expenditure incurred relating to Petroleum production and development activities;</w:t>
      </w:r>
    </w:p>
    <w:p w14:paraId="75328EC7" w14:textId="77777777" w:rsidR="00755725" w:rsidRPr="00755725" w:rsidRDefault="00755725" w:rsidP="00755725">
      <w:pPr>
        <w:spacing w:after="240" w:line="246" w:lineRule="atLeast"/>
        <w:jc w:val="both"/>
        <w:rPr>
          <w:rFonts w:ascii="Arial" w:hAnsi="Arial" w:cs="Arial"/>
          <w:sz w:val="22"/>
          <w:szCs w:val="22"/>
          <w:lang w:val="en-US"/>
        </w:rPr>
      </w:pPr>
      <w:r w:rsidRPr="00755725">
        <w:rPr>
          <w:rFonts w:ascii="Arial" w:hAnsi="Arial" w:cs="Arial"/>
          <w:sz w:val="22"/>
          <w:szCs w:val="22"/>
          <w:lang w:val="en-US"/>
        </w:rPr>
        <w:tab/>
        <w:t>(3)</w:t>
      </w:r>
      <w:r w:rsidRPr="00755725">
        <w:rPr>
          <w:rFonts w:ascii="Arial" w:hAnsi="Arial" w:cs="Arial"/>
          <w:sz w:val="22"/>
          <w:szCs w:val="22"/>
          <w:lang w:val="en-US"/>
        </w:rPr>
        <w:tab/>
        <w:t>a summary of:</w:t>
      </w:r>
      <w:r w:rsidRPr="00755725">
        <w:rPr>
          <w:rFonts w:ascii="Arial" w:hAnsi="Arial" w:cs="Arial"/>
          <w:sz w:val="22"/>
          <w:szCs w:val="22"/>
          <w:lang w:val="en-US"/>
        </w:rPr>
        <w:tab/>
      </w:r>
    </w:p>
    <w:p w14:paraId="2F9C5983"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the activities relating to Petroleum Exploration, or a statement that there have been no activities relating to Petroleum Exploration; and</w:t>
      </w:r>
    </w:p>
    <w:p w14:paraId="1C22BBC0" w14:textId="77777777" w:rsidR="00755725" w:rsidRPr="00755725" w:rsidRDefault="00755725" w:rsidP="00755725">
      <w:pPr>
        <w:spacing w:after="240" w:line="246" w:lineRule="atLeast"/>
        <w:ind w:left="720" w:hanging="720"/>
        <w:jc w:val="both"/>
        <w:rPr>
          <w:rFonts w:ascii="Arial" w:hAnsi="Arial" w:cs="Arial"/>
          <w:sz w:val="22"/>
          <w:szCs w:val="22"/>
          <w:lang w:val="en-US"/>
        </w:rPr>
      </w:pPr>
      <w:r w:rsidRPr="00755725">
        <w:rPr>
          <w:rFonts w:ascii="Arial" w:hAnsi="Arial" w:cs="Arial"/>
          <w:sz w:val="22"/>
          <w:szCs w:val="22"/>
          <w:lang w:val="en-US"/>
        </w:rPr>
        <w:tab/>
      </w:r>
      <w:r w:rsidRPr="00755725">
        <w:rPr>
          <w:rFonts w:ascii="Arial" w:hAnsi="Arial" w:cs="Arial"/>
          <w:sz w:val="22"/>
          <w:szCs w:val="22"/>
          <w:lang w:val="en-US"/>
        </w:rPr>
        <w:tab/>
        <w:t>(b)</w:t>
      </w:r>
      <w:r w:rsidRPr="00755725">
        <w:rPr>
          <w:rFonts w:ascii="Arial" w:hAnsi="Arial" w:cs="Arial"/>
          <w:sz w:val="22"/>
          <w:szCs w:val="22"/>
          <w:lang w:val="en-US"/>
        </w:rPr>
        <w:tab/>
        <w:t>any expenditure incurred relating to Petroleum Exploration activities</w:t>
      </w:r>
    </w:p>
    <w:p w14:paraId="7B898153"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(4)</w:t>
      </w:r>
      <w:r w:rsidRPr="00755725">
        <w:rPr>
          <w:rFonts w:ascii="Arial" w:hAnsi="Arial" w:cs="Arial"/>
          <w:sz w:val="22"/>
          <w:szCs w:val="22"/>
          <w:lang w:val="en-US"/>
        </w:rPr>
        <w:tab/>
        <w:t>at least once every 12 months, the Summary of Reserves and Resources required by Rule 12.14.1 unless it is included in the Petroleum Production Reporting Entity’s annual report; and</w:t>
      </w:r>
    </w:p>
    <w:p w14:paraId="65333F6B"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(5)</w:t>
      </w:r>
      <w:r w:rsidRPr="00755725">
        <w:rPr>
          <w:rFonts w:ascii="Arial" w:hAnsi="Arial" w:cs="Arial"/>
          <w:sz w:val="22"/>
          <w:szCs w:val="22"/>
          <w:lang w:val="en-US"/>
        </w:rPr>
        <w:tab/>
        <w:t>when the previous, and upcoming, disclosure required by Rule 12.13.3(4) was, and will be, disclosed.</w:t>
      </w:r>
    </w:p>
    <w:p w14:paraId="7A14C5DB"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DF7866">
        <w:rPr>
          <w:rFonts w:ascii="Arial" w:hAnsi="Arial" w:cs="Arial"/>
          <w:b/>
          <w:bCs/>
          <w:sz w:val="22"/>
          <w:szCs w:val="22"/>
          <w:lang w:val="en-US"/>
        </w:rPr>
        <w:t>12.13.4</w:t>
      </w:r>
      <w:r w:rsidRPr="00755725">
        <w:rPr>
          <w:rFonts w:ascii="Arial" w:hAnsi="Arial" w:cs="Arial"/>
          <w:sz w:val="22"/>
          <w:szCs w:val="22"/>
          <w:lang w:val="en-US"/>
        </w:rPr>
        <w:tab/>
        <w:t>A Petroleum Production Reporting Entity must disclose the report required by Rule 12.13.3 no later than one month after the end of the quarter.</w:t>
      </w:r>
    </w:p>
    <w:p w14:paraId="09F76889" w14:textId="44CEBC24" w:rsidR="00755725" w:rsidRPr="00DF7866" w:rsidRDefault="00755725" w:rsidP="00DF7866">
      <w:pPr>
        <w:pStyle w:val="Heading2"/>
        <w:rPr>
          <w:rFonts w:ascii="Arial" w:hAnsi="Arial" w:cs="Arial"/>
          <w:sz w:val="22"/>
          <w:szCs w:val="22"/>
        </w:rPr>
      </w:pPr>
      <w:bookmarkStart w:id="869" w:name="_Toc138325739"/>
      <w:r w:rsidRPr="00DF7866">
        <w:rPr>
          <w:rFonts w:ascii="Arial" w:hAnsi="Arial" w:cs="Arial"/>
          <w:sz w:val="22"/>
          <w:szCs w:val="22"/>
        </w:rPr>
        <w:lastRenderedPageBreak/>
        <w:t>Summary of Reserves and Resources</w:t>
      </w:r>
      <w:bookmarkEnd w:id="869"/>
      <w:r w:rsidRPr="00DF7866">
        <w:rPr>
          <w:rFonts w:ascii="Arial" w:hAnsi="Arial" w:cs="Arial"/>
          <w:sz w:val="22"/>
          <w:szCs w:val="22"/>
        </w:rPr>
        <w:t xml:space="preserve"> </w:t>
      </w:r>
    </w:p>
    <w:p w14:paraId="7371FA8D"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DF7866">
        <w:rPr>
          <w:rFonts w:ascii="Arial" w:hAnsi="Arial" w:cs="Arial"/>
          <w:b/>
          <w:bCs/>
          <w:sz w:val="22"/>
          <w:szCs w:val="22"/>
          <w:lang w:val="en-US"/>
        </w:rPr>
        <w:t>12.14.1</w:t>
      </w:r>
      <w:r w:rsidRPr="00755725">
        <w:rPr>
          <w:rFonts w:ascii="Arial" w:hAnsi="Arial" w:cs="Arial"/>
          <w:sz w:val="22"/>
          <w:szCs w:val="22"/>
          <w:lang w:val="en-US"/>
        </w:rPr>
        <w:tab/>
        <w:t>Subject to Rule 12.14.3, a Petroleum Reporting Entity must include in its Summary of Reserves and Resources a table in the form of MKT Form 12-1, as of a date no earlier than one month prior to the disclosure of the Summary of Reserves and Resources.</w:t>
      </w:r>
    </w:p>
    <w:p w14:paraId="76A5E88F"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DF7866">
        <w:rPr>
          <w:rFonts w:ascii="Arial" w:hAnsi="Arial" w:cs="Arial"/>
          <w:b/>
          <w:bCs/>
          <w:sz w:val="22"/>
          <w:szCs w:val="22"/>
          <w:lang w:val="en-US"/>
        </w:rPr>
        <w:t>12.14.2</w:t>
      </w:r>
      <w:r w:rsidRPr="00755725">
        <w:rPr>
          <w:rFonts w:ascii="Arial" w:hAnsi="Arial" w:cs="Arial"/>
          <w:sz w:val="22"/>
          <w:szCs w:val="22"/>
          <w:lang w:val="en-US"/>
        </w:rPr>
        <w:tab/>
        <w:t>A Petroleum Reporting Entity must include in its Summary of Reserves and Resources, or its annual financial report, an update on its policies and practices for operating in a sustainable manner (as initially required by Rule 12.3.1(2)).</w:t>
      </w:r>
    </w:p>
    <w:p w14:paraId="55D7A12C"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DF7866">
        <w:rPr>
          <w:rFonts w:ascii="Arial" w:hAnsi="Arial" w:cs="Arial"/>
          <w:b/>
          <w:bCs/>
          <w:sz w:val="22"/>
          <w:szCs w:val="22"/>
          <w:lang w:val="en-US"/>
        </w:rPr>
        <w:t>12.14.3</w:t>
      </w:r>
      <w:r w:rsidRPr="00755725">
        <w:rPr>
          <w:rFonts w:ascii="Arial" w:hAnsi="Arial" w:cs="Arial"/>
          <w:sz w:val="22"/>
          <w:szCs w:val="22"/>
          <w:lang w:val="en-US"/>
        </w:rPr>
        <w:tab/>
        <w:t>A Petroleum Reporting Entity that is required to file SEC compliant Forms 10-K and 20-F Reports annually with the SEC is not required to comply with Rule 12.14.1.</w:t>
      </w:r>
    </w:p>
    <w:p w14:paraId="4C4EEC20" w14:textId="051B9081" w:rsidR="00755725" w:rsidRPr="00DF7866" w:rsidRDefault="00755725" w:rsidP="00DF7866">
      <w:pPr>
        <w:pStyle w:val="Heading2"/>
        <w:rPr>
          <w:rFonts w:ascii="Arial" w:hAnsi="Arial" w:cs="Arial"/>
          <w:sz w:val="22"/>
          <w:szCs w:val="22"/>
        </w:rPr>
      </w:pPr>
      <w:bookmarkStart w:id="870" w:name="_Toc138325740"/>
      <w:r w:rsidRPr="00DF7866">
        <w:rPr>
          <w:rFonts w:ascii="Arial" w:hAnsi="Arial" w:cs="Arial"/>
          <w:sz w:val="22"/>
          <w:szCs w:val="22"/>
        </w:rPr>
        <w:t>Other Requirements</w:t>
      </w:r>
      <w:bookmarkEnd w:id="870"/>
    </w:p>
    <w:p w14:paraId="0AC56AFC" w14:textId="77777777" w:rsidR="00755725" w:rsidRPr="00DF7866" w:rsidRDefault="00755725" w:rsidP="00DF7866">
      <w:pPr>
        <w:pStyle w:val="TitleL"/>
        <w:rPr>
          <w:rFonts w:ascii="Arial" w:hAnsi="Arial" w:cs="Arial"/>
          <w:sz w:val="22"/>
          <w:szCs w:val="22"/>
        </w:rPr>
      </w:pPr>
      <w:r w:rsidRPr="00DF7866">
        <w:rPr>
          <w:rFonts w:ascii="Arial" w:hAnsi="Arial" w:cs="Arial"/>
          <w:sz w:val="22"/>
          <w:szCs w:val="22"/>
        </w:rPr>
        <w:t xml:space="preserve">Competent Persons </w:t>
      </w:r>
    </w:p>
    <w:p w14:paraId="437A766C"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DF7866">
        <w:rPr>
          <w:rFonts w:ascii="Arial" w:hAnsi="Arial" w:cs="Arial"/>
          <w:b/>
          <w:bCs/>
          <w:sz w:val="22"/>
          <w:szCs w:val="22"/>
          <w:lang w:val="en-US"/>
        </w:rPr>
        <w:t>12.15.1</w:t>
      </w:r>
      <w:r w:rsidRPr="00755725">
        <w:rPr>
          <w:rFonts w:ascii="Arial" w:hAnsi="Arial" w:cs="Arial"/>
          <w:sz w:val="22"/>
          <w:szCs w:val="22"/>
          <w:lang w:val="en-US"/>
        </w:rPr>
        <w:tab/>
        <w:t>A Petroleum Reporting Entity disclosing estimates of Prospective Resources, Contingent Resources or Petroleum Reserves must have the estimates prepared by a Competent Person.</w:t>
      </w:r>
    </w:p>
    <w:p w14:paraId="4C1DE4AD"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DF7866">
        <w:rPr>
          <w:rFonts w:ascii="Arial" w:hAnsi="Arial" w:cs="Arial"/>
          <w:b/>
          <w:bCs/>
          <w:sz w:val="22"/>
          <w:szCs w:val="22"/>
          <w:lang w:val="en-US"/>
        </w:rPr>
        <w:t>12.15.2</w:t>
      </w:r>
      <w:r w:rsidRPr="00755725">
        <w:rPr>
          <w:rFonts w:ascii="Arial" w:hAnsi="Arial" w:cs="Arial"/>
          <w:sz w:val="22"/>
          <w:szCs w:val="22"/>
          <w:lang w:val="en-US"/>
        </w:rPr>
        <w:tab/>
        <w:t>A disclosure by a Petroleum Reporting Entity containing Prospective Resources, Contingent Resources or Petroleum Reserves must state:</w:t>
      </w:r>
    </w:p>
    <w:p w14:paraId="31DA99B7"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that it is based on, and fairly represents, information and supporting documentation prepared by a named Competent Person(s);</w:t>
      </w:r>
    </w:p>
    <w:p w14:paraId="2A47C54B"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whether the Competent Person is an employee of the Petroleum Reporting Entity or a Related Party and, if not, the name of the Competent Person’s employer; and</w:t>
      </w:r>
    </w:p>
    <w:p w14:paraId="1E68907C"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(3)</w:t>
      </w:r>
      <w:r w:rsidRPr="00755725">
        <w:rPr>
          <w:rFonts w:ascii="Arial" w:hAnsi="Arial" w:cs="Arial"/>
          <w:sz w:val="22"/>
          <w:szCs w:val="22"/>
          <w:lang w:val="en-US"/>
        </w:rPr>
        <w:tab/>
        <w:t>the name of the professional organisation of which each Competent Person is a member.</w:t>
      </w:r>
    </w:p>
    <w:p w14:paraId="2C7BAE67"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DF7866">
        <w:rPr>
          <w:rFonts w:ascii="Arial" w:hAnsi="Arial" w:cs="Arial"/>
          <w:b/>
          <w:bCs/>
          <w:sz w:val="22"/>
          <w:szCs w:val="22"/>
          <w:lang w:val="en-US"/>
        </w:rPr>
        <w:t>12.15.3</w:t>
      </w:r>
      <w:r w:rsidRPr="00755725">
        <w:rPr>
          <w:rFonts w:ascii="Arial" w:hAnsi="Arial" w:cs="Arial"/>
          <w:sz w:val="22"/>
          <w:szCs w:val="22"/>
          <w:lang w:val="en-US"/>
        </w:rPr>
        <w:tab/>
        <w:t>The statement referred to in Rule 12.15.2:</w:t>
      </w:r>
    </w:p>
    <w:p w14:paraId="1FDE7897"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must only be disclosed with the prior written consent of the Competent Person(s) as to the form and context in which the estimated Prospective Resources, Contingent Resources or Prospective Resources, as the case may be, and the supporting information is presented in the disclosure; and</w:t>
      </w:r>
    </w:p>
    <w:p w14:paraId="34C50429"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only applies the first time a Petroleum Reporting Entity discloses original or updated estimates of Prospective Resources, Contingent Resources or Petroleum Reserves where:</w:t>
      </w:r>
    </w:p>
    <w:p w14:paraId="053D616E"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(a)</w:t>
      </w:r>
      <w:r w:rsidRPr="00755725">
        <w:rPr>
          <w:rFonts w:ascii="Arial" w:hAnsi="Arial" w:cs="Arial"/>
          <w:sz w:val="22"/>
          <w:szCs w:val="22"/>
          <w:lang w:val="en-US"/>
        </w:rPr>
        <w:tab/>
        <w:t>any subsequent disclosure that refers to the estimates of Prospective Resources, Contingent Resources or Petroleum Reserves references the earlier disclosure containing the statements and consent referred to in Rules 12.15.2 and 12.15.3(1); and</w:t>
      </w:r>
    </w:p>
    <w:p w14:paraId="1ECF65D8" w14:textId="77777777" w:rsidR="00755725" w:rsidRPr="00755725" w:rsidRDefault="00755725" w:rsidP="00755725">
      <w:pPr>
        <w:spacing w:after="240" w:line="246" w:lineRule="atLeast"/>
        <w:ind w:left="2160" w:hanging="720"/>
        <w:jc w:val="both"/>
        <w:rPr>
          <w:rFonts w:ascii="Arial" w:hAnsi="Arial" w:cs="Arial"/>
          <w:sz w:val="22"/>
          <w:szCs w:val="22"/>
          <w:lang w:val="en-US"/>
        </w:rPr>
      </w:pPr>
      <w:r w:rsidRPr="00755725">
        <w:rPr>
          <w:rFonts w:ascii="Arial" w:hAnsi="Arial" w:cs="Arial"/>
          <w:sz w:val="22"/>
          <w:szCs w:val="22"/>
          <w:lang w:val="en-US"/>
        </w:rPr>
        <w:t>(b)</w:t>
      </w:r>
      <w:r w:rsidRPr="00755725">
        <w:rPr>
          <w:rFonts w:ascii="Arial" w:hAnsi="Arial" w:cs="Arial"/>
          <w:sz w:val="22"/>
          <w:szCs w:val="22"/>
          <w:lang w:val="en-US"/>
        </w:rPr>
        <w:tab/>
        <w:t xml:space="preserve">the Petroleum Reporting Entity confirms in the subsequent disclosure that it is not aware of any new information or data that materially affects the information included in the earlier disclosure, and that all material assumptions and technical parameters underpinning the estimates in </w:t>
      </w:r>
      <w:r w:rsidRPr="00755725">
        <w:rPr>
          <w:rFonts w:ascii="Arial" w:hAnsi="Arial" w:cs="Arial"/>
          <w:sz w:val="22"/>
          <w:szCs w:val="22"/>
          <w:lang w:val="en-US"/>
        </w:rPr>
        <w:lastRenderedPageBreak/>
        <w:t>the earlier disclosure continue to apply and have not materially changed.</w:t>
      </w:r>
    </w:p>
    <w:p w14:paraId="1582E1BE" w14:textId="77777777" w:rsidR="00755725" w:rsidRPr="00DF7866" w:rsidRDefault="00755725" w:rsidP="00DF7866">
      <w:pPr>
        <w:pStyle w:val="TitleL"/>
        <w:rPr>
          <w:rFonts w:ascii="Arial" w:hAnsi="Arial" w:cs="Arial"/>
          <w:sz w:val="22"/>
          <w:szCs w:val="22"/>
        </w:rPr>
      </w:pPr>
      <w:r w:rsidRPr="00DF7866">
        <w:rPr>
          <w:rFonts w:ascii="Arial" w:hAnsi="Arial" w:cs="Arial"/>
          <w:sz w:val="22"/>
          <w:szCs w:val="22"/>
        </w:rPr>
        <w:t xml:space="preserve">Petroleum Tenement join venture disclosures </w:t>
      </w:r>
    </w:p>
    <w:p w14:paraId="591AFA6F" w14:textId="77777777" w:rsidR="00755725" w:rsidRPr="00755725" w:rsidRDefault="00755725" w:rsidP="00755725">
      <w:pPr>
        <w:spacing w:after="240" w:line="246" w:lineRule="atLeast"/>
        <w:ind w:left="720" w:hanging="862"/>
        <w:jc w:val="both"/>
        <w:rPr>
          <w:rFonts w:ascii="Arial" w:hAnsi="Arial" w:cs="Arial"/>
          <w:sz w:val="22"/>
          <w:szCs w:val="22"/>
          <w:lang w:val="en-US"/>
        </w:rPr>
      </w:pPr>
      <w:r w:rsidRPr="00DF7866">
        <w:rPr>
          <w:rFonts w:ascii="Arial" w:hAnsi="Arial" w:cs="Arial"/>
          <w:b/>
          <w:bCs/>
          <w:sz w:val="22"/>
          <w:szCs w:val="22"/>
          <w:lang w:val="en-US"/>
        </w:rPr>
        <w:t>12.15.4</w:t>
      </w:r>
      <w:r w:rsidRPr="00755725">
        <w:rPr>
          <w:rFonts w:ascii="Arial" w:hAnsi="Arial" w:cs="Arial"/>
          <w:sz w:val="22"/>
          <w:szCs w:val="22"/>
          <w:lang w:val="en-US"/>
        </w:rPr>
        <w:tab/>
        <w:t>A Petroleum Reporting Entity must not, and must ensure that its controlled entities do not, enter a joint venture agreement to investigate or explore a Petroleum Tenement, unless the agreement provides that:</w:t>
      </w:r>
    </w:p>
    <w:p w14:paraId="7B0647F1"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(1)</w:t>
      </w:r>
      <w:r w:rsidRPr="00755725">
        <w:rPr>
          <w:rFonts w:ascii="Arial" w:hAnsi="Arial" w:cs="Arial"/>
          <w:sz w:val="22"/>
          <w:szCs w:val="22"/>
          <w:lang w:val="en-US"/>
        </w:rPr>
        <w:tab/>
        <w:t>if the Petroleum Reporting Entity requests it, the operator of the joint venture will provide the Petroleum Reporting Entity with all of the information the Petroleum Reporting Entity requires to comply with these Rules; and</w:t>
      </w:r>
    </w:p>
    <w:p w14:paraId="3B02DDAA" w14:textId="77777777" w:rsidR="00755725" w:rsidRPr="00755725" w:rsidRDefault="00755725" w:rsidP="00755725">
      <w:pPr>
        <w:spacing w:after="240" w:line="246" w:lineRule="atLeast"/>
        <w:ind w:left="1440" w:hanging="720"/>
        <w:jc w:val="both"/>
        <w:rPr>
          <w:rFonts w:ascii="Arial" w:hAnsi="Arial" w:cs="Arial"/>
          <w:sz w:val="22"/>
          <w:szCs w:val="22"/>
          <w:lang w:val="en-US"/>
        </w:rPr>
      </w:pPr>
      <w:r w:rsidRPr="00755725">
        <w:rPr>
          <w:rFonts w:ascii="Arial" w:hAnsi="Arial" w:cs="Arial"/>
          <w:sz w:val="22"/>
          <w:szCs w:val="22"/>
          <w:lang w:val="en-US"/>
        </w:rPr>
        <w:t>(2)</w:t>
      </w:r>
      <w:r w:rsidRPr="00755725">
        <w:rPr>
          <w:rFonts w:ascii="Arial" w:hAnsi="Arial" w:cs="Arial"/>
          <w:sz w:val="22"/>
          <w:szCs w:val="22"/>
          <w:lang w:val="en-US"/>
        </w:rPr>
        <w:tab/>
        <w:t>the Petroleum Reporting Entity may disclose that information as necessary for the Petroleum Reporting Entity to comply with these Rules.</w:t>
      </w:r>
    </w:p>
    <w:p w14:paraId="4CD86D23" w14:textId="77777777" w:rsidR="00A94A30" w:rsidRPr="00FB2F3D" w:rsidRDefault="00A94A30" w:rsidP="00A94A30">
      <w:pPr>
        <w:pStyle w:val="S2Heading1"/>
        <w:numPr>
          <w:ilvl w:val="0"/>
          <w:numId w:val="0"/>
        </w:numPr>
        <w:ind w:left="864" w:hanging="864"/>
        <w:rPr>
          <w:rFonts w:ascii="Arial" w:hAnsi="Arial" w:cs="Arial"/>
          <w:sz w:val="22"/>
          <w:szCs w:val="22"/>
        </w:rPr>
      </w:pPr>
      <w:bookmarkStart w:id="871" w:name="_Ref410049682"/>
      <w:bookmarkStart w:id="872" w:name="_Ref410049706"/>
      <w:bookmarkStart w:id="873" w:name="_Ref410073926"/>
      <w:bookmarkStart w:id="874" w:name="_Toc410136274"/>
      <w:bookmarkStart w:id="875" w:name="_Ref410567961"/>
    </w:p>
    <w:p w14:paraId="25DFC76F" w14:textId="77777777" w:rsidR="00A94A30" w:rsidRPr="00FB2F3D" w:rsidRDefault="00A94A30" w:rsidP="00A94A30">
      <w:pPr>
        <w:pStyle w:val="S2Heading3"/>
        <w:rPr>
          <w:rFonts w:ascii="Arial" w:hAnsi="Arial" w:cs="Arial"/>
          <w:sz w:val="22"/>
          <w:szCs w:val="22"/>
        </w:rPr>
        <w:sectPr w:rsidR="00A94A30" w:rsidRPr="00FB2F3D" w:rsidSect="009722D7">
          <w:footerReference w:type="default" r:id="rId13"/>
          <w:pgSz w:w="11909" w:h="16834" w:code="9"/>
          <w:pgMar w:top="1440" w:right="1440" w:bottom="1440" w:left="1440" w:header="720" w:footer="720" w:gutter="0"/>
          <w:pgNumType w:start="1"/>
          <w:cols w:space="720"/>
          <w:docGrid w:linePitch="360"/>
        </w:sectPr>
      </w:pPr>
    </w:p>
    <w:p w14:paraId="14F2C07F" w14:textId="77777777" w:rsidR="00162E0C" w:rsidRPr="00FB2F3D" w:rsidRDefault="00162E0C" w:rsidP="004F72F0">
      <w:pPr>
        <w:pStyle w:val="S2Heading1"/>
        <w:rPr>
          <w:rFonts w:ascii="Arial" w:hAnsi="Arial" w:cs="Arial"/>
          <w:sz w:val="22"/>
          <w:szCs w:val="22"/>
        </w:rPr>
      </w:pPr>
      <w:bookmarkStart w:id="876" w:name="_Toc410605984"/>
      <w:bookmarkStart w:id="877" w:name="_Toc410658920"/>
      <w:bookmarkStart w:id="878" w:name="_Toc410659047"/>
      <w:bookmarkStart w:id="879" w:name="_Ref410666420"/>
      <w:bookmarkStart w:id="880" w:name="_Ref410732634"/>
      <w:bookmarkStart w:id="881" w:name="_Toc410835592"/>
      <w:bookmarkStart w:id="882" w:name="_Ref416751488"/>
      <w:bookmarkStart w:id="883" w:name="_Ref416751678"/>
      <w:bookmarkStart w:id="884" w:name="_Ref416751690"/>
      <w:bookmarkStart w:id="885" w:name="_Ref416751700"/>
      <w:bookmarkStart w:id="886" w:name="_Toc138325741"/>
      <w:r w:rsidRPr="00FB2F3D">
        <w:rPr>
          <w:rFonts w:ascii="Arial" w:hAnsi="Arial" w:cs="Arial"/>
          <w:sz w:val="22"/>
          <w:szCs w:val="22"/>
        </w:rPr>
        <w:lastRenderedPageBreak/>
        <w:t>CONTENT OF A PROSPECTUS</w:t>
      </w:r>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p>
    <w:p w14:paraId="3FCF9371" w14:textId="77777777" w:rsidR="00162E0C" w:rsidRPr="00FB2F3D" w:rsidRDefault="00162E0C" w:rsidP="00270A15">
      <w:pPr>
        <w:pStyle w:val="S2Heading2"/>
        <w:rPr>
          <w:rFonts w:ascii="Arial" w:hAnsi="Arial" w:cs="Arial"/>
          <w:b/>
          <w:sz w:val="22"/>
          <w:szCs w:val="22"/>
        </w:rPr>
      </w:pPr>
      <w:bookmarkStart w:id="887" w:name="_Ref410049697"/>
      <w:bookmarkStart w:id="888" w:name="_Toc410136275"/>
      <w:bookmarkStart w:id="889" w:name="_Toc410605985"/>
      <w:bookmarkStart w:id="890" w:name="_Toc410658921"/>
      <w:bookmarkStart w:id="891" w:name="_Toc410659048"/>
      <w:bookmarkStart w:id="892" w:name="_Toc410835593"/>
      <w:bookmarkStart w:id="893" w:name="_Toc138325742"/>
      <w:r w:rsidRPr="00FB2F3D">
        <w:rPr>
          <w:rFonts w:ascii="Arial" w:hAnsi="Arial" w:cs="Arial"/>
          <w:sz w:val="22"/>
          <w:szCs w:val="22"/>
        </w:rPr>
        <w:t>Registration statement</w:t>
      </w:r>
      <w:bookmarkEnd w:id="887"/>
      <w:bookmarkEnd w:id="888"/>
      <w:bookmarkEnd w:id="889"/>
      <w:bookmarkEnd w:id="890"/>
      <w:bookmarkEnd w:id="891"/>
      <w:bookmarkEnd w:id="892"/>
      <w:bookmarkEnd w:id="893"/>
    </w:p>
    <w:p w14:paraId="19581E96" w14:textId="77777777" w:rsidR="00162E0C" w:rsidRPr="00FB2F3D" w:rsidRDefault="00162E0C" w:rsidP="00270A15">
      <w:pPr>
        <w:pStyle w:val="S2Heading3"/>
        <w:rPr>
          <w:rFonts w:ascii="Arial" w:hAnsi="Arial" w:cs="Arial"/>
          <w:sz w:val="22"/>
          <w:szCs w:val="22"/>
        </w:rPr>
      </w:pPr>
      <w:bookmarkStart w:id="894" w:name="_Ref410050143"/>
      <w:bookmarkStart w:id="895" w:name="_Toc410659049"/>
      <w:r w:rsidRPr="00FB2F3D">
        <w:rPr>
          <w:rFonts w:ascii="Arial" w:hAnsi="Arial" w:cs="Arial"/>
          <w:sz w:val="22"/>
          <w:szCs w:val="22"/>
        </w:rPr>
        <w:t>This table forms part of Rule </w:t>
      </w:r>
      <w:r w:rsidR="00693841" w:rsidRPr="00FB2F3D">
        <w:rPr>
          <w:rFonts w:ascii="Arial" w:hAnsi="Arial" w:cs="Arial"/>
          <w:sz w:val="22"/>
          <w:szCs w:val="22"/>
        </w:rPr>
        <w:t>4.5.1(3)(b)</w:t>
      </w:r>
      <w:r w:rsidRPr="00FB2F3D">
        <w:rPr>
          <w:rFonts w:ascii="Arial" w:hAnsi="Arial" w:cs="Arial"/>
          <w:sz w:val="22"/>
          <w:szCs w:val="22"/>
        </w:rPr>
        <w:t>.</w:t>
      </w:r>
      <w:bookmarkEnd w:id="894"/>
      <w:bookmarkEnd w:id="895"/>
    </w:p>
    <w:p w14:paraId="649A0D5F" w14:textId="77777777" w:rsidR="00162E0C" w:rsidRPr="00FB2F3D" w:rsidRDefault="007441BA" w:rsidP="00270A15">
      <w:pPr>
        <w:pStyle w:val="S2Heading3"/>
        <w:ind w:left="1440" w:hanging="1440"/>
        <w:rPr>
          <w:rFonts w:ascii="Arial" w:hAnsi="Arial" w:cs="Arial"/>
          <w:sz w:val="22"/>
          <w:szCs w:val="22"/>
        </w:rPr>
      </w:pPr>
      <w:bookmarkStart w:id="896" w:name="_Toc410659050"/>
      <w:r w:rsidRPr="00FB2F3D">
        <w:rPr>
          <w:rFonts w:ascii="Arial" w:hAnsi="Arial" w:cs="Arial"/>
          <w:sz w:val="22"/>
          <w:szCs w:val="22"/>
        </w:rPr>
        <w:t>(1)</w:t>
      </w:r>
      <w:r w:rsidR="00270A15" w:rsidRPr="00FB2F3D">
        <w:rPr>
          <w:rFonts w:ascii="Arial" w:hAnsi="Arial" w:cs="Arial"/>
          <w:sz w:val="22"/>
          <w:szCs w:val="22"/>
        </w:rPr>
        <w:tab/>
      </w:r>
      <w:r w:rsidR="00162E0C" w:rsidRPr="00FB2F3D">
        <w:rPr>
          <w:rFonts w:ascii="Arial" w:hAnsi="Arial" w:cs="Arial"/>
          <w:sz w:val="22"/>
          <w:szCs w:val="22"/>
        </w:rPr>
        <w:t>The reference to an "</w:t>
      </w:r>
      <w:r w:rsidR="000A19CB" w:rsidRPr="00FB2F3D">
        <w:rPr>
          <w:rFonts w:ascii="Arial" w:hAnsi="Arial" w:cs="Arial"/>
          <w:sz w:val="22"/>
          <w:szCs w:val="22"/>
        </w:rPr>
        <w:t>Issuer</w:t>
      </w:r>
      <w:r w:rsidR="00162E0C" w:rsidRPr="00FB2F3D">
        <w:rPr>
          <w:rFonts w:ascii="Arial" w:hAnsi="Arial" w:cs="Arial"/>
          <w:sz w:val="22"/>
          <w:szCs w:val="22"/>
        </w:rPr>
        <w:t xml:space="preserve">" in this </w:t>
      </w:r>
      <w:r w:rsidR="00693841" w:rsidRPr="00FB2F3D">
        <w:rPr>
          <w:rFonts w:ascii="Arial" w:hAnsi="Arial" w:cs="Arial"/>
          <w:sz w:val="22"/>
          <w:szCs w:val="22"/>
        </w:rPr>
        <w:t>APP 1</w:t>
      </w:r>
      <w:r w:rsidR="00162E0C" w:rsidRPr="00FB2F3D">
        <w:rPr>
          <w:rFonts w:ascii="Arial" w:hAnsi="Arial" w:cs="Arial"/>
          <w:sz w:val="22"/>
          <w:szCs w:val="22"/>
        </w:rPr>
        <w:t xml:space="preserve"> is a reference to the Person offering </w:t>
      </w:r>
      <w:r w:rsidR="004B46BD" w:rsidRPr="00FB2F3D">
        <w:rPr>
          <w:rFonts w:ascii="Arial" w:hAnsi="Arial" w:cs="Arial"/>
          <w:sz w:val="22"/>
          <w:szCs w:val="22"/>
        </w:rPr>
        <w:t>Securities</w:t>
      </w:r>
      <w:r w:rsidR="00162E0C" w:rsidRPr="00FB2F3D">
        <w:rPr>
          <w:rFonts w:ascii="Arial" w:hAnsi="Arial" w:cs="Arial"/>
          <w:sz w:val="22"/>
          <w:szCs w:val="22"/>
        </w:rPr>
        <w:t xml:space="preserve"> under the Prospectus as specified in Rule </w:t>
      </w:r>
      <w:r w:rsidR="00693841" w:rsidRPr="00FB2F3D">
        <w:rPr>
          <w:rFonts w:ascii="Arial" w:hAnsi="Arial" w:cs="Arial"/>
          <w:sz w:val="22"/>
          <w:szCs w:val="22"/>
        </w:rPr>
        <w:t>1.1.1(2)(a)</w:t>
      </w:r>
      <w:r w:rsidR="0098450E" w:rsidRPr="00FB2F3D">
        <w:rPr>
          <w:rFonts w:ascii="Arial" w:hAnsi="Arial" w:cs="Arial"/>
          <w:sz w:val="22"/>
          <w:szCs w:val="22"/>
        </w:rPr>
        <w:t xml:space="preserve"> </w:t>
      </w:r>
      <w:r w:rsidR="00162E0C" w:rsidRPr="00FB2F3D">
        <w:rPr>
          <w:rFonts w:ascii="Arial" w:hAnsi="Arial" w:cs="Arial"/>
          <w:sz w:val="22"/>
          <w:szCs w:val="22"/>
        </w:rPr>
        <w:t xml:space="preserve">and </w:t>
      </w:r>
      <w:r w:rsidR="00693841" w:rsidRPr="00FB2F3D">
        <w:rPr>
          <w:rFonts w:ascii="Arial" w:hAnsi="Arial" w:cs="Arial"/>
          <w:sz w:val="22"/>
          <w:szCs w:val="22"/>
        </w:rPr>
        <w:t>(b)</w:t>
      </w:r>
      <w:r w:rsidR="00162E0C" w:rsidRPr="00FB2F3D">
        <w:rPr>
          <w:rFonts w:ascii="Arial" w:hAnsi="Arial" w:cs="Arial"/>
          <w:sz w:val="22"/>
          <w:szCs w:val="22"/>
        </w:rPr>
        <w:t>.</w:t>
      </w:r>
      <w:bookmarkEnd w:id="896"/>
    </w:p>
    <w:p w14:paraId="04FFEE26" w14:textId="77777777" w:rsidR="00162E0C" w:rsidRPr="00FB2F3D" w:rsidRDefault="007A0A24" w:rsidP="007A0A24">
      <w:pPr>
        <w:pStyle w:val="S2Heading4"/>
        <w:numPr>
          <w:ilvl w:val="0"/>
          <w:numId w:val="0"/>
        </w:numPr>
        <w:ind w:left="1440" w:hanging="540"/>
        <w:rPr>
          <w:rFonts w:ascii="Arial" w:hAnsi="Arial" w:cs="Arial"/>
          <w:sz w:val="22"/>
          <w:szCs w:val="22"/>
        </w:rPr>
      </w:pPr>
      <w:bookmarkStart w:id="897" w:name="_Toc410659051"/>
      <w:r w:rsidRPr="00FB2F3D">
        <w:rPr>
          <w:rFonts w:ascii="Arial" w:hAnsi="Arial" w:cs="Arial"/>
          <w:sz w:val="22"/>
          <w:szCs w:val="22"/>
        </w:rPr>
        <w:t>(2)</w:t>
      </w:r>
      <w:r w:rsidRPr="00FB2F3D">
        <w:rPr>
          <w:rFonts w:ascii="Arial" w:hAnsi="Arial" w:cs="Arial"/>
          <w:sz w:val="22"/>
          <w:szCs w:val="22"/>
        </w:rPr>
        <w:tab/>
      </w:r>
      <w:r w:rsidR="00162E0C" w:rsidRPr="00FB2F3D">
        <w:rPr>
          <w:rFonts w:ascii="Arial" w:hAnsi="Arial" w:cs="Arial"/>
          <w:sz w:val="22"/>
          <w:szCs w:val="22"/>
        </w:rPr>
        <w:t xml:space="preserve">An </w:t>
      </w:r>
      <w:r w:rsidR="000A19CB" w:rsidRPr="00FB2F3D">
        <w:rPr>
          <w:rFonts w:ascii="Arial" w:hAnsi="Arial" w:cs="Arial"/>
          <w:sz w:val="22"/>
          <w:szCs w:val="22"/>
        </w:rPr>
        <w:t>Issuer</w:t>
      </w:r>
      <w:r w:rsidR="00162E0C" w:rsidRPr="00FB2F3D">
        <w:rPr>
          <w:rFonts w:ascii="Arial" w:hAnsi="Arial" w:cs="Arial"/>
          <w:sz w:val="22"/>
          <w:szCs w:val="22"/>
        </w:rPr>
        <w:t xml:space="preserve"> must include the specified information in relation to the </w:t>
      </w:r>
      <w:r w:rsidR="004B46BD" w:rsidRPr="00FB2F3D">
        <w:rPr>
          <w:rFonts w:ascii="Arial" w:hAnsi="Arial" w:cs="Arial"/>
          <w:sz w:val="22"/>
          <w:szCs w:val="22"/>
        </w:rPr>
        <w:t>Securities</w:t>
      </w:r>
      <w:r w:rsidR="00162E0C" w:rsidRPr="00FB2F3D">
        <w:rPr>
          <w:rFonts w:ascii="Arial" w:hAnsi="Arial" w:cs="Arial"/>
          <w:sz w:val="22"/>
          <w:szCs w:val="22"/>
        </w:rPr>
        <w:t xml:space="preserve"> identified with a "</w:t>
      </w:r>
      <w:r w:rsidR="00162E0C" w:rsidRPr="00FB2F3D">
        <w:rPr>
          <w:rFonts w:ascii="Arial" w:eastAsia="Wingdings" w:hAnsi="Arial" w:cs="Arial"/>
          <w:sz w:val="22"/>
          <w:szCs w:val="22"/>
        </w:rPr>
        <w:sym w:font="Wingdings" w:char="F0FC"/>
      </w:r>
      <w:r w:rsidR="00162E0C" w:rsidRPr="00FB2F3D">
        <w:rPr>
          <w:rFonts w:ascii="Arial" w:hAnsi="Arial" w:cs="Arial"/>
          <w:sz w:val="22"/>
          <w:szCs w:val="22"/>
        </w:rPr>
        <w:t>" in this table which are the subject of the relevant Prospectus.</w:t>
      </w:r>
      <w:bookmarkEnd w:id="897"/>
    </w:p>
    <w:p w14:paraId="695FEC36" w14:textId="51F5B6D1" w:rsidR="007A0A24" w:rsidRPr="00FB2F3D" w:rsidRDefault="007A0A24" w:rsidP="007A0A24">
      <w:pPr>
        <w:pStyle w:val="S2Heading4"/>
        <w:numPr>
          <w:ilvl w:val="0"/>
          <w:numId w:val="0"/>
        </w:numPr>
        <w:ind w:left="1440" w:hanging="540"/>
        <w:rPr>
          <w:rFonts w:ascii="Arial" w:hAnsi="Arial" w:cs="Arial"/>
          <w:sz w:val="22"/>
          <w:szCs w:val="22"/>
        </w:rPr>
      </w:pPr>
      <w:r w:rsidRPr="00FB2F3D">
        <w:rPr>
          <w:rFonts w:ascii="Arial" w:hAnsi="Arial" w:cs="Arial"/>
          <w:sz w:val="22"/>
          <w:szCs w:val="22"/>
        </w:rPr>
        <w:t>(3)</w:t>
      </w:r>
      <w:r w:rsidRPr="00FB2F3D">
        <w:rPr>
          <w:rFonts w:ascii="Arial" w:hAnsi="Arial" w:cs="Arial"/>
          <w:sz w:val="22"/>
          <w:szCs w:val="22"/>
        </w:rPr>
        <w:tab/>
      </w:r>
      <w:r w:rsidRPr="00FB2F3D">
        <w:rPr>
          <w:rFonts w:ascii="Arial" w:eastAsia="Times New Roman" w:hAnsi="Arial" w:cs="Arial"/>
          <w:iCs w:val="0"/>
          <w:color w:val="000000" w:themeColor="text1"/>
          <w:sz w:val="22"/>
          <w:szCs w:val="22"/>
          <w:lang w:eastAsia="ar-SA"/>
        </w:rPr>
        <w:t>If an asteri</w:t>
      </w:r>
      <w:r w:rsidR="00605244">
        <w:rPr>
          <w:rFonts w:ascii="Arial" w:eastAsia="Times New Roman" w:hAnsi="Arial" w:cs="Arial"/>
          <w:iCs w:val="0"/>
          <w:color w:val="000000" w:themeColor="text1"/>
          <w:sz w:val="22"/>
          <w:szCs w:val="22"/>
          <w:lang w:eastAsia="ar-SA"/>
        </w:rPr>
        <w:t>sk</w:t>
      </w:r>
      <w:r w:rsidRPr="00FB2F3D">
        <w:rPr>
          <w:rFonts w:ascii="Arial" w:eastAsia="Times New Roman" w:hAnsi="Arial" w:cs="Arial"/>
          <w:iCs w:val="0"/>
          <w:color w:val="000000" w:themeColor="text1"/>
          <w:sz w:val="22"/>
          <w:szCs w:val="22"/>
          <w:lang w:eastAsia="ar-SA"/>
        </w:rPr>
        <w:t xml:space="preserve"> is used when identifying a Security, the requirement to provide the item of information for that Security is qualified as specified in the relevant item.</w:t>
      </w:r>
    </w:p>
    <w:tbl>
      <w:tblPr>
        <w:tblStyle w:val="TableGrid"/>
        <w:tblW w:w="5000" w:type="pct"/>
        <w:tblLayout w:type="fixed"/>
        <w:tblLook w:val="04A0" w:firstRow="1" w:lastRow="0" w:firstColumn="1" w:lastColumn="0" w:noHBand="0" w:noVBand="1"/>
      </w:tblPr>
      <w:tblGrid>
        <w:gridCol w:w="639"/>
        <w:gridCol w:w="9479"/>
        <w:gridCol w:w="357"/>
        <w:gridCol w:w="622"/>
        <w:gridCol w:w="354"/>
        <w:gridCol w:w="711"/>
        <w:gridCol w:w="622"/>
        <w:gridCol w:w="622"/>
        <w:gridCol w:w="538"/>
      </w:tblGrid>
      <w:tr w:rsidR="00162E0C" w:rsidRPr="00FB2F3D" w14:paraId="4E1391D5" w14:textId="77777777" w:rsidTr="0061693E">
        <w:trPr>
          <w:tblHeader/>
        </w:trPr>
        <w:tc>
          <w:tcPr>
            <w:tcW w:w="229" w:type="pct"/>
          </w:tcPr>
          <w:p w14:paraId="1FF5CD9A" w14:textId="77777777" w:rsidR="00162E0C" w:rsidRPr="00FB2F3D" w:rsidRDefault="00162E0C" w:rsidP="00F817D8">
            <w:pPr>
              <w:pStyle w:val="UK12Block"/>
              <w:keepNext/>
              <w:spacing w:after="0"/>
              <w:rPr>
                <w:rFonts w:ascii="Arial" w:hAnsi="Arial" w:cs="Arial"/>
                <w:sz w:val="22"/>
                <w:szCs w:val="22"/>
                <w:lang w:eastAsia="ja-JP"/>
              </w:rPr>
            </w:pPr>
          </w:p>
        </w:tc>
        <w:tc>
          <w:tcPr>
            <w:tcW w:w="4771" w:type="pct"/>
            <w:gridSpan w:val="8"/>
          </w:tcPr>
          <w:p w14:paraId="33DD5BB2" w14:textId="77777777" w:rsidR="00162E0C" w:rsidRPr="00FB2F3D" w:rsidRDefault="00162E0C" w:rsidP="00F817D8">
            <w:pPr>
              <w:pStyle w:val="UK12Block"/>
              <w:keepNext/>
              <w:spacing w:after="0"/>
              <w:jc w:val="right"/>
              <w:rPr>
                <w:rFonts w:ascii="Arial" w:hAnsi="Arial" w:cs="Arial"/>
                <w:b/>
                <w:sz w:val="22"/>
                <w:szCs w:val="22"/>
                <w:lang w:eastAsia="ja-JP"/>
              </w:rPr>
            </w:pPr>
            <w:r w:rsidRPr="00FB2F3D">
              <w:rPr>
                <w:rFonts w:ascii="Arial" w:hAnsi="Arial" w:cs="Arial"/>
                <w:b/>
                <w:sz w:val="22"/>
                <w:szCs w:val="22"/>
                <w:lang w:eastAsia="ja-JP"/>
              </w:rPr>
              <w:t>A1.1.1</w:t>
            </w:r>
          </w:p>
        </w:tc>
      </w:tr>
      <w:tr w:rsidR="00162E0C" w:rsidRPr="00FB2F3D" w14:paraId="263B07F9" w14:textId="77777777" w:rsidTr="008016B7">
        <w:trPr>
          <w:cantSplit/>
          <w:trHeight w:val="1430"/>
          <w:tblHeader/>
        </w:trPr>
        <w:tc>
          <w:tcPr>
            <w:tcW w:w="229" w:type="pct"/>
          </w:tcPr>
          <w:p w14:paraId="5FCE6DDF" w14:textId="77777777" w:rsidR="00162E0C" w:rsidRPr="00FB2F3D" w:rsidRDefault="00162E0C" w:rsidP="00F817D8">
            <w:pPr>
              <w:pStyle w:val="UK12Block"/>
              <w:keepNext/>
              <w:spacing w:after="0"/>
              <w:rPr>
                <w:rFonts w:ascii="Arial" w:hAnsi="Arial" w:cs="Arial"/>
                <w:sz w:val="22"/>
                <w:szCs w:val="22"/>
              </w:rPr>
            </w:pPr>
          </w:p>
        </w:tc>
        <w:tc>
          <w:tcPr>
            <w:tcW w:w="3399" w:type="pct"/>
          </w:tcPr>
          <w:p w14:paraId="0D59E785" w14:textId="77777777" w:rsidR="00162E0C" w:rsidRPr="00FB2F3D" w:rsidRDefault="00162E0C" w:rsidP="00F817D8">
            <w:pPr>
              <w:pStyle w:val="UK12Block"/>
              <w:keepNext/>
              <w:spacing w:after="0"/>
              <w:rPr>
                <w:rFonts w:ascii="Arial" w:hAnsi="Arial" w:cs="Arial"/>
                <w:b/>
                <w:sz w:val="22"/>
                <w:szCs w:val="22"/>
              </w:rPr>
            </w:pPr>
            <w:r w:rsidRPr="00FB2F3D">
              <w:rPr>
                <w:rFonts w:ascii="Arial" w:hAnsi="Arial" w:cs="Arial"/>
                <w:b/>
                <w:sz w:val="22"/>
                <w:szCs w:val="22"/>
              </w:rPr>
              <w:t>CONTENTS OF PROSPECTUS – REGISTRATION STATEMENT</w:t>
            </w:r>
          </w:p>
        </w:tc>
        <w:tc>
          <w:tcPr>
            <w:tcW w:w="128" w:type="pct"/>
            <w:textDirection w:val="tbRl"/>
          </w:tcPr>
          <w:p w14:paraId="4D13952F" w14:textId="77777777" w:rsidR="00162E0C" w:rsidRPr="00FB2F3D" w:rsidRDefault="00162E0C" w:rsidP="00FE28B5">
            <w:pPr>
              <w:pStyle w:val="UK10Block"/>
              <w:keepNext/>
              <w:spacing w:after="0" w:line="240" w:lineRule="auto"/>
              <w:jc w:val="left"/>
              <w:rPr>
                <w:rFonts w:ascii="Arial" w:hAnsi="Arial" w:cs="Arial"/>
                <w:sz w:val="22"/>
                <w:szCs w:val="22"/>
              </w:rPr>
            </w:pPr>
            <w:r w:rsidRPr="00FB2F3D">
              <w:rPr>
                <w:rFonts w:ascii="Arial" w:hAnsi="Arial" w:cs="Arial"/>
                <w:sz w:val="22"/>
                <w:szCs w:val="22"/>
              </w:rPr>
              <w:t>Shares</w:t>
            </w:r>
          </w:p>
        </w:tc>
        <w:tc>
          <w:tcPr>
            <w:tcW w:w="223" w:type="pct"/>
            <w:textDirection w:val="tbRl"/>
          </w:tcPr>
          <w:p w14:paraId="034F0AF0" w14:textId="77777777" w:rsidR="00162E0C" w:rsidRPr="00FB2F3D" w:rsidRDefault="00162E0C" w:rsidP="00FE28B5">
            <w:pPr>
              <w:pStyle w:val="UK10Block"/>
              <w:keepNext/>
              <w:spacing w:after="0" w:line="240" w:lineRule="auto"/>
              <w:jc w:val="left"/>
              <w:rPr>
                <w:rFonts w:ascii="Arial" w:hAnsi="Arial" w:cs="Arial"/>
                <w:sz w:val="22"/>
                <w:szCs w:val="22"/>
              </w:rPr>
            </w:pPr>
            <w:r w:rsidRPr="00FB2F3D">
              <w:rPr>
                <w:rFonts w:ascii="Arial" w:hAnsi="Arial" w:cs="Arial"/>
                <w:sz w:val="22"/>
                <w:szCs w:val="22"/>
              </w:rPr>
              <w:t>Warrants over Shares</w:t>
            </w:r>
          </w:p>
        </w:tc>
        <w:tc>
          <w:tcPr>
            <w:tcW w:w="127" w:type="pct"/>
            <w:textDirection w:val="tbRl"/>
          </w:tcPr>
          <w:p w14:paraId="0A634B05" w14:textId="77777777" w:rsidR="00162E0C" w:rsidRPr="00FB2F3D" w:rsidRDefault="00162E0C" w:rsidP="00FE28B5">
            <w:pPr>
              <w:pStyle w:val="UK10Block"/>
              <w:keepNext/>
              <w:spacing w:after="0" w:line="240" w:lineRule="auto"/>
              <w:jc w:val="left"/>
              <w:rPr>
                <w:rFonts w:ascii="Arial" w:hAnsi="Arial" w:cs="Arial"/>
                <w:sz w:val="22"/>
                <w:szCs w:val="22"/>
              </w:rPr>
            </w:pPr>
            <w:r w:rsidRPr="00FB2F3D">
              <w:rPr>
                <w:rFonts w:ascii="Arial" w:hAnsi="Arial" w:cs="Arial"/>
                <w:sz w:val="22"/>
                <w:szCs w:val="22"/>
              </w:rPr>
              <w:t>Debentures</w:t>
            </w:r>
          </w:p>
        </w:tc>
        <w:tc>
          <w:tcPr>
            <w:tcW w:w="255" w:type="pct"/>
            <w:textDirection w:val="tbRl"/>
          </w:tcPr>
          <w:p w14:paraId="1E41AA48" w14:textId="77777777" w:rsidR="00162E0C" w:rsidRPr="00FB2F3D" w:rsidRDefault="00162E0C" w:rsidP="00FE28B5">
            <w:pPr>
              <w:pStyle w:val="UK10Block"/>
              <w:keepNext/>
              <w:spacing w:after="0" w:line="240" w:lineRule="auto"/>
              <w:jc w:val="left"/>
              <w:rPr>
                <w:rFonts w:ascii="Arial" w:hAnsi="Arial" w:cs="Arial"/>
                <w:sz w:val="22"/>
                <w:szCs w:val="22"/>
              </w:rPr>
            </w:pPr>
            <w:r w:rsidRPr="00FB2F3D">
              <w:rPr>
                <w:rFonts w:ascii="Arial" w:hAnsi="Arial" w:cs="Arial"/>
                <w:sz w:val="22"/>
                <w:szCs w:val="22"/>
              </w:rPr>
              <w:t>Warrants over</w:t>
            </w:r>
            <w:r w:rsidRPr="00FB2F3D">
              <w:rPr>
                <w:rFonts w:ascii="Arial" w:hAnsi="Arial" w:cs="Arial"/>
                <w:sz w:val="22"/>
                <w:szCs w:val="22"/>
                <w:lang w:eastAsia="ja-JP"/>
              </w:rPr>
              <w:t xml:space="preserve"> </w:t>
            </w:r>
            <w:r w:rsidRPr="00FB2F3D">
              <w:rPr>
                <w:rFonts w:ascii="Arial" w:hAnsi="Arial" w:cs="Arial"/>
                <w:sz w:val="22"/>
                <w:szCs w:val="22"/>
              </w:rPr>
              <w:t>Debentures</w:t>
            </w:r>
          </w:p>
        </w:tc>
        <w:tc>
          <w:tcPr>
            <w:tcW w:w="223" w:type="pct"/>
            <w:textDirection w:val="tbRl"/>
          </w:tcPr>
          <w:p w14:paraId="582E3DC0" w14:textId="77777777" w:rsidR="00162E0C" w:rsidRPr="00FB2F3D" w:rsidRDefault="00162E0C" w:rsidP="00FE28B5">
            <w:pPr>
              <w:pStyle w:val="UK10Block"/>
              <w:keepNext/>
              <w:spacing w:after="0" w:line="240" w:lineRule="auto"/>
              <w:jc w:val="left"/>
              <w:rPr>
                <w:rFonts w:ascii="Arial" w:hAnsi="Arial" w:cs="Arial"/>
                <w:sz w:val="22"/>
                <w:szCs w:val="22"/>
              </w:rPr>
            </w:pPr>
            <w:r w:rsidRPr="00FB2F3D">
              <w:rPr>
                <w:rFonts w:ascii="Arial" w:hAnsi="Arial" w:cs="Arial"/>
                <w:sz w:val="22"/>
                <w:szCs w:val="22"/>
              </w:rPr>
              <w:t>Certificates over</w:t>
            </w:r>
            <w:r w:rsidRPr="00FB2F3D">
              <w:rPr>
                <w:rFonts w:ascii="Arial" w:hAnsi="Arial" w:cs="Arial"/>
                <w:sz w:val="22"/>
                <w:szCs w:val="22"/>
                <w:lang w:eastAsia="ja-JP"/>
              </w:rPr>
              <w:t xml:space="preserve"> </w:t>
            </w:r>
            <w:r w:rsidRPr="00FB2F3D">
              <w:rPr>
                <w:rFonts w:ascii="Arial" w:hAnsi="Arial" w:cs="Arial"/>
                <w:sz w:val="22"/>
                <w:szCs w:val="22"/>
              </w:rPr>
              <w:t>Shares</w:t>
            </w:r>
          </w:p>
        </w:tc>
        <w:tc>
          <w:tcPr>
            <w:tcW w:w="223" w:type="pct"/>
            <w:textDirection w:val="tbRl"/>
          </w:tcPr>
          <w:p w14:paraId="0103C2C9" w14:textId="77777777" w:rsidR="00162E0C" w:rsidRPr="00FB2F3D" w:rsidRDefault="00162E0C" w:rsidP="00FE28B5">
            <w:pPr>
              <w:pStyle w:val="UK10Block"/>
              <w:keepNext/>
              <w:spacing w:after="0" w:line="240" w:lineRule="auto"/>
              <w:jc w:val="left"/>
              <w:rPr>
                <w:rFonts w:ascii="Arial" w:hAnsi="Arial" w:cs="Arial"/>
                <w:sz w:val="22"/>
                <w:szCs w:val="22"/>
              </w:rPr>
            </w:pPr>
            <w:r w:rsidRPr="00FB2F3D">
              <w:rPr>
                <w:rFonts w:ascii="Arial" w:hAnsi="Arial" w:cs="Arial"/>
                <w:sz w:val="22"/>
                <w:szCs w:val="22"/>
              </w:rPr>
              <w:t>Certificates over</w:t>
            </w:r>
            <w:r w:rsidRPr="00FB2F3D">
              <w:rPr>
                <w:rFonts w:ascii="Arial" w:hAnsi="Arial" w:cs="Arial"/>
                <w:sz w:val="22"/>
                <w:szCs w:val="22"/>
                <w:lang w:eastAsia="ja-JP"/>
              </w:rPr>
              <w:t xml:space="preserve"> </w:t>
            </w:r>
            <w:r w:rsidRPr="00FB2F3D">
              <w:rPr>
                <w:rFonts w:ascii="Arial" w:hAnsi="Arial" w:cs="Arial"/>
                <w:sz w:val="22"/>
                <w:szCs w:val="22"/>
              </w:rPr>
              <w:t>Debentures</w:t>
            </w:r>
          </w:p>
        </w:tc>
        <w:tc>
          <w:tcPr>
            <w:tcW w:w="193" w:type="pct"/>
            <w:textDirection w:val="tbRl"/>
          </w:tcPr>
          <w:p w14:paraId="08545484" w14:textId="77777777" w:rsidR="00162E0C" w:rsidRPr="00FB2F3D" w:rsidRDefault="00162E0C" w:rsidP="00FE28B5">
            <w:pPr>
              <w:pStyle w:val="UK10Block"/>
              <w:keepNext/>
              <w:spacing w:after="0" w:line="240" w:lineRule="auto"/>
              <w:jc w:val="left"/>
              <w:rPr>
                <w:rFonts w:ascii="Arial" w:hAnsi="Arial" w:cs="Arial"/>
                <w:sz w:val="22"/>
                <w:szCs w:val="22"/>
              </w:rPr>
            </w:pPr>
            <w:r w:rsidRPr="00FB2F3D">
              <w:rPr>
                <w:rFonts w:ascii="Arial" w:hAnsi="Arial" w:cs="Arial"/>
                <w:sz w:val="22"/>
                <w:szCs w:val="22"/>
              </w:rPr>
              <w:t>Structured</w:t>
            </w:r>
            <w:r w:rsidRPr="00FB2F3D">
              <w:rPr>
                <w:rFonts w:ascii="Arial" w:hAnsi="Arial" w:cs="Arial"/>
                <w:sz w:val="22"/>
                <w:szCs w:val="22"/>
                <w:lang w:eastAsia="ja-JP"/>
              </w:rPr>
              <w:t xml:space="preserve"> </w:t>
            </w:r>
            <w:r w:rsidRPr="00FB2F3D">
              <w:rPr>
                <w:rFonts w:ascii="Arial" w:hAnsi="Arial" w:cs="Arial"/>
                <w:sz w:val="22"/>
                <w:szCs w:val="22"/>
              </w:rPr>
              <w:t>Products</w:t>
            </w:r>
          </w:p>
        </w:tc>
      </w:tr>
      <w:tr w:rsidR="00162E0C" w:rsidRPr="00FB2F3D" w14:paraId="3EE1B3ED" w14:textId="77777777" w:rsidTr="0061693E">
        <w:tc>
          <w:tcPr>
            <w:tcW w:w="5000" w:type="pct"/>
            <w:gridSpan w:val="9"/>
          </w:tcPr>
          <w:p w14:paraId="41ADAD64" w14:textId="77777777" w:rsidR="00162E0C" w:rsidRPr="00FB2F3D" w:rsidRDefault="00162E0C" w:rsidP="00755725">
            <w:pPr>
              <w:pStyle w:val="UK12Block"/>
              <w:keepNext/>
              <w:numPr>
                <w:ilvl w:val="0"/>
                <w:numId w:val="59"/>
              </w:numPr>
              <w:spacing w:after="0"/>
              <w:rPr>
                <w:rFonts w:ascii="Arial" w:hAnsi="Arial" w:cs="Arial"/>
                <w:b/>
                <w:sz w:val="22"/>
                <w:szCs w:val="22"/>
              </w:rPr>
            </w:pPr>
            <w:r w:rsidRPr="00FB2F3D">
              <w:rPr>
                <w:rFonts w:ascii="Arial" w:hAnsi="Arial" w:cs="Arial"/>
                <w:b/>
                <w:sz w:val="22"/>
                <w:szCs w:val="22"/>
              </w:rPr>
              <w:t>INFORMATION ABOUT THE ISSUER</w:t>
            </w:r>
          </w:p>
        </w:tc>
      </w:tr>
      <w:tr w:rsidR="00162E0C" w:rsidRPr="00FB2F3D" w14:paraId="722D65A9" w14:textId="77777777" w:rsidTr="008016B7">
        <w:tc>
          <w:tcPr>
            <w:tcW w:w="229" w:type="pct"/>
          </w:tcPr>
          <w:p w14:paraId="73C05E1E" w14:textId="77777777" w:rsidR="00162E0C" w:rsidRPr="00FB2F3D" w:rsidRDefault="00DB4AD2" w:rsidP="00755725">
            <w:pPr>
              <w:pStyle w:val="UK12Block"/>
              <w:numPr>
                <w:ilvl w:val="1"/>
                <w:numId w:val="59"/>
              </w:numPr>
              <w:spacing w:after="0"/>
              <w:rPr>
                <w:rFonts w:ascii="Arial" w:hAnsi="Arial" w:cs="Arial"/>
                <w:b/>
                <w:sz w:val="22"/>
                <w:szCs w:val="22"/>
              </w:rPr>
            </w:pPr>
            <w:r w:rsidRPr="00FB2F3D">
              <w:rPr>
                <w:rFonts w:ascii="Arial" w:hAnsi="Arial" w:cs="Arial"/>
                <w:b/>
                <w:sz w:val="22"/>
                <w:szCs w:val="22"/>
              </w:rPr>
              <w:tab/>
            </w:r>
          </w:p>
        </w:tc>
        <w:tc>
          <w:tcPr>
            <w:tcW w:w="3399" w:type="pct"/>
          </w:tcPr>
          <w:p w14:paraId="35E788A1" w14:textId="77777777" w:rsidR="00162E0C" w:rsidRPr="00FB2F3D" w:rsidRDefault="00162E0C" w:rsidP="00270A15">
            <w:pPr>
              <w:pStyle w:val="UK12Block"/>
              <w:rPr>
                <w:rFonts w:ascii="Arial" w:hAnsi="Arial" w:cs="Arial"/>
                <w:b/>
                <w:sz w:val="22"/>
                <w:szCs w:val="22"/>
                <w:lang w:eastAsia="ja-JP"/>
              </w:rPr>
            </w:pPr>
            <w:r w:rsidRPr="00FB2F3D">
              <w:rPr>
                <w:rFonts w:ascii="Arial" w:hAnsi="Arial" w:cs="Arial"/>
                <w:b/>
                <w:sz w:val="22"/>
                <w:szCs w:val="22"/>
              </w:rPr>
              <w:t>General information</w:t>
            </w:r>
          </w:p>
          <w:p w14:paraId="0E715957" w14:textId="77777777" w:rsidR="00162E0C" w:rsidRPr="00FB2F3D" w:rsidRDefault="00162E0C" w:rsidP="00270A15">
            <w:pPr>
              <w:pStyle w:val="UK12Block"/>
              <w:rPr>
                <w:rFonts w:ascii="Arial" w:hAnsi="Arial" w:cs="Arial"/>
                <w:sz w:val="22"/>
                <w:szCs w:val="22"/>
                <w:lang w:eastAsia="ja-JP"/>
              </w:rPr>
            </w:pPr>
            <w:r w:rsidRPr="00FB2F3D">
              <w:rPr>
                <w:rFonts w:ascii="Arial" w:hAnsi="Arial" w:cs="Arial"/>
                <w:sz w:val="22"/>
                <w:szCs w:val="22"/>
              </w:rPr>
              <w:t xml:space="preserve">General information about the </w:t>
            </w:r>
            <w:r w:rsidR="000A19CB" w:rsidRPr="00FB2F3D">
              <w:rPr>
                <w:rFonts w:ascii="Arial" w:hAnsi="Arial" w:cs="Arial"/>
                <w:sz w:val="22"/>
                <w:szCs w:val="22"/>
              </w:rPr>
              <w:t>Issuer</w:t>
            </w:r>
            <w:r w:rsidRPr="00FB2F3D">
              <w:rPr>
                <w:rFonts w:ascii="Arial" w:hAnsi="Arial" w:cs="Arial"/>
                <w:sz w:val="22"/>
                <w:szCs w:val="22"/>
              </w:rPr>
              <w:t xml:space="preserve"> including:</w:t>
            </w:r>
          </w:p>
          <w:p w14:paraId="2D7D11B5" w14:textId="77777777" w:rsidR="00DB4AD2" w:rsidRPr="00FB2F3D" w:rsidRDefault="00162E0C" w:rsidP="00755725">
            <w:pPr>
              <w:pStyle w:val="UK12Block"/>
              <w:numPr>
                <w:ilvl w:val="4"/>
                <w:numId w:val="60"/>
              </w:numPr>
              <w:rPr>
                <w:rFonts w:ascii="Arial" w:hAnsi="Arial" w:cs="Arial"/>
                <w:sz w:val="22"/>
                <w:szCs w:val="22"/>
              </w:rPr>
            </w:pPr>
            <w:r w:rsidRPr="00FB2F3D">
              <w:rPr>
                <w:rFonts w:ascii="Arial" w:hAnsi="Arial" w:cs="Arial"/>
                <w:sz w:val="22"/>
                <w:szCs w:val="22"/>
              </w:rPr>
              <w:t xml:space="preserve">the full legal name of the </w:t>
            </w:r>
            <w:r w:rsidR="000A19CB" w:rsidRPr="00FB2F3D">
              <w:rPr>
                <w:rFonts w:ascii="Arial" w:hAnsi="Arial" w:cs="Arial"/>
                <w:sz w:val="22"/>
                <w:szCs w:val="22"/>
              </w:rPr>
              <w:t>Issuer</w:t>
            </w:r>
            <w:r w:rsidRPr="00FB2F3D">
              <w:rPr>
                <w:rFonts w:ascii="Arial" w:hAnsi="Arial" w:cs="Arial"/>
                <w:sz w:val="22"/>
                <w:szCs w:val="22"/>
              </w:rPr>
              <w:t>;</w:t>
            </w:r>
          </w:p>
          <w:p w14:paraId="321D21F3" w14:textId="77777777" w:rsidR="00DB4AD2" w:rsidRPr="00FB2F3D" w:rsidRDefault="00162E0C" w:rsidP="00755725">
            <w:pPr>
              <w:pStyle w:val="UK12Block"/>
              <w:numPr>
                <w:ilvl w:val="4"/>
                <w:numId w:val="60"/>
              </w:numPr>
              <w:rPr>
                <w:rFonts w:ascii="Arial" w:hAnsi="Arial" w:cs="Arial"/>
                <w:sz w:val="22"/>
                <w:szCs w:val="22"/>
              </w:rPr>
            </w:pPr>
            <w:r w:rsidRPr="00FB2F3D">
              <w:rPr>
                <w:rFonts w:ascii="Arial" w:hAnsi="Arial" w:cs="Arial"/>
                <w:sz w:val="22"/>
                <w:szCs w:val="22"/>
              </w:rPr>
              <w:t xml:space="preserve">if different to the legal name, the full commercial name of the </w:t>
            </w:r>
            <w:r w:rsidR="000A19CB" w:rsidRPr="00FB2F3D">
              <w:rPr>
                <w:rFonts w:ascii="Arial" w:hAnsi="Arial" w:cs="Arial"/>
                <w:sz w:val="22"/>
                <w:szCs w:val="22"/>
              </w:rPr>
              <w:t>Issuer</w:t>
            </w:r>
            <w:r w:rsidRPr="00FB2F3D">
              <w:rPr>
                <w:rFonts w:ascii="Arial" w:hAnsi="Arial" w:cs="Arial"/>
                <w:sz w:val="22"/>
                <w:szCs w:val="22"/>
              </w:rPr>
              <w:t>;</w:t>
            </w:r>
          </w:p>
          <w:p w14:paraId="22AC2EE9" w14:textId="77777777" w:rsidR="00162E0C" w:rsidRPr="00FB2F3D" w:rsidRDefault="00162E0C" w:rsidP="00755725">
            <w:pPr>
              <w:pStyle w:val="UK12Block"/>
              <w:numPr>
                <w:ilvl w:val="4"/>
                <w:numId w:val="60"/>
              </w:numPr>
              <w:rPr>
                <w:rFonts w:ascii="Arial" w:hAnsi="Arial" w:cs="Arial"/>
                <w:sz w:val="22"/>
                <w:szCs w:val="22"/>
              </w:rPr>
            </w:pPr>
            <w:r w:rsidRPr="00FB2F3D">
              <w:rPr>
                <w:rFonts w:ascii="Arial" w:hAnsi="Arial" w:cs="Arial"/>
                <w:sz w:val="22"/>
                <w:szCs w:val="22"/>
              </w:rPr>
              <w:t xml:space="preserve">the legal form of the </w:t>
            </w:r>
            <w:r w:rsidR="000A19CB" w:rsidRPr="00FB2F3D">
              <w:rPr>
                <w:rFonts w:ascii="Arial" w:hAnsi="Arial" w:cs="Arial"/>
                <w:sz w:val="22"/>
                <w:szCs w:val="22"/>
              </w:rPr>
              <w:t>Issuer</w:t>
            </w:r>
            <w:r w:rsidRPr="00FB2F3D">
              <w:rPr>
                <w:rFonts w:ascii="Arial" w:hAnsi="Arial" w:cs="Arial"/>
                <w:sz w:val="22"/>
                <w:szCs w:val="22"/>
              </w:rPr>
              <w:t>;</w:t>
            </w:r>
          </w:p>
          <w:p w14:paraId="42906CFF" w14:textId="77777777" w:rsidR="00162E0C" w:rsidRPr="00FB2F3D" w:rsidRDefault="00162E0C" w:rsidP="00755725">
            <w:pPr>
              <w:pStyle w:val="UK12Block"/>
              <w:numPr>
                <w:ilvl w:val="4"/>
                <w:numId w:val="60"/>
              </w:numPr>
              <w:rPr>
                <w:rFonts w:ascii="Arial" w:hAnsi="Arial" w:cs="Arial"/>
                <w:sz w:val="22"/>
                <w:szCs w:val="22"/>
              </w:rPr>
            </w:pPr>
            <w:r w:rsidRPr="00FB2F3D">
              <w:rPr>
                <w:rFonts w:ascii="Arial" w:hAnsi="Arial" w:cs="Arial"/>
                <w:sz w:val="22"/>
                <w:szCs w:val="22"/>
              </w:rPr>
              <w:t xml:space="preserve">the country of incorporation of the </w:t>
            </w:r>
            <w:r w:rsidR="000A19CB" w:rsidRPr="00FB2F3D">
              <w:rPr>
                <w:rFonts w:ascii="Arial" w:hAnsi="Arial" w:cs="Arial"/>
                <w:sz w:val="22"/>
                <w:szCs w:val="22"/>
              </w:rPr>
              <w:t>Issuer</w:t>
            </w:r>
            <w:r w:rsidRPr="00FB2F3D">
              <w:rPr>
                <w:rFonts w:ascii="Arial" w:hAnsi="Arial" w:cs="Arial"/>
                <w:sz w:val="22"/>
                <w:szCs w:val="22"/>
              </w:rPr>
              <w:t xml:space="preserve"> and its incorporation number;</w:t>
            </w:r>
          </w:p>
          <w:p w14:paraId="39B25000" w14:textId="77777777" w:rsidR="00162E0C" w:rsidRPr="00FB2F3D" w:rsidRDefault="00162E0C" w:rsidP="00755725">
            <w:pPr>
              <w:pStyle w:val="UK12Block"/>
              <w:numPr>
                <w:ilvl w:val="4"/>
                <w:numId w:val="60"/>
              </w:numPr>
              <w:rPr>
                <w:rFonts w:ascii="Arial" w:hAnsi="Arial" w:cs="Arial"/>
                <w:sz w:val="22"/>
                <w:szCs w:val="22"/>
              </w:rPr>
            </w:pPr>
            <w:r w:rsidRPr="00FB2F3D">
              <w:rPr>
                <w:rFonts w:ascii="Arial" w:hAnsi="Arial" w:cs="Arial"/>
                <w:sz w:val="22"/>
                <w:szCs w:val="22"/>
              </w:rPr>
              <w:lastRenderedPageBreak/>
              <w:t xml:space="preserve">if domiciled in a jurisdiction outside the country of incorporation, the legislation under which the </w:t>
            </w:r>
            <w:r w:rsidR="000A19CB" w:rsidRPr="00FB2F3D">
              <w:rPr>
                <w:rFonts w:ascii="Arial" w:hAnsi="Arial" w:cs="Arial"/>
                <w:sz w:val="22"/>
                <w:szCs w:val="22"/>
              </w:rPr>
              <w:t>Issuer</w:t>
            </w:r>
            <w:r w:rsidRPr="00FB2F3D">
              <w:rPr>
                <w:rFonts w:ascii="Arial" w:hAnsi="Arial" w:cs="Arial"/>
                <w:sz w:val="22"/>
                <w:szCs w:val="22"/>
              </w:rPr>
              <w:t xml:space="preserve"> operates;</w:t>
            </w:r>
          </w:p>
          <w:p w14:paraId="08B3CFEB" w14:textId="77777777" w:rsidR="00162E0C" w:rsidRPr="00FB2F3D" w:rsidRDefault="00162E0C" w:rsidP="00755725">
            <w:pPr>
              <w:pStyle w:val="UK12Block"/>
              <w:numPr>
                <w:ilvl w:val="4"/>
                <w:numId w:val="60"/>
              </w:numPr>
              <w:rPr>
                <w:rFonts w:ascii="Arial" w:hAnsi="Arial" w:cs="Arial"/>
                <w:sz w:val="22"/>
                <w:szCs w:val="22"/>
              </w:rPr>
            </w:pPr>
            <w:r w:rsidRPr="00FB2F3D">
              <w:rPr>
                <w:rFonts w:ascii="Arial" w:hAnsi="Arial" w:cs="Arial"/>
                <w:sz w:val="22"/>
                <w:szCs w:val="22"/>
              </w:rPr>
              <w:t xml:space="preserve">if registered in a place other than the country of incorporation, the place of registration of the </w:t>
            </w:r>
            <w:r w:rsidR="000A19CB" w:rsidRPr="00FB2F3D">
              <w:rPr>
                <w:rFonts w:ascii="Arial" w:hAnsi="Arial" w:cs="Arial"/>
                <w:sz w:val="22"/>
                <w:szCs w:val="22"/>
              </w:rPr>
              <w:t>Issuer</w:t>
            </w:r>
            <w:r w:rsidRPr="00FB2F3D">
              <w:rPr>
                <w:rFonts w:ascii="Arial" w:hAnsi="Arial" w:cs="Arial"/>
                <w:sz w:val="22"/>
                <w:szCs w:val="22"/>
              </w:rPr>
              <w:t xml:space="preserve"> and its registration number;</w:t>
            </w:r>
          </w:p>
          <w:p w14:paraId="753C1B85" w14:textId="77777777" w:rsidR="00162E0C" w:rsidRPr="00FB2F3D" w:rsidRDefault="00162E0C" w:rsidP="00755725">
            <w:pPr>
              <w:pStyle w:val="UK12Block"/>
              <w:numPr>
                <w:ilvl w:val="4"/>
                <w:numId w:val="60"/>
              </w:numPr>
              <w:rPr>
                <w:rFonts w:ascii="Arial" w:hAnsi="Arial" w:cs="Arial"/>
                <w:sz w:val="22"/>
                <w:szCs w:val="22"/>
              </w:rPr>
            </w:pPr>
            <w:r w:rsidRPr="00FB2F3D">
              <w:rPr>
                <w:rFonts w:ascii="Arial" w:hAnsi="Arial" w:cs="Arial"/>
                <w:sz w:val="22"/>
                <w:szCs w:val="22"/>
              </w:rPr>
              <w:t xml:space="preserve">the date of incorporation and registration and the length of time the </w:t>
            </w:r>
            <w:r w:rsidR="000A19CB" w:rsidRPr="00FB2F3D">
              <w:rPr>
                <w:rFonts w:ascii="Arial" w:hAnsi="Arial" w:cs="Arial"/>
                <w:sz w:val="22"/>
                <w:szCs w:val="22"/>
              </w:rPr>
              <w:t>Issuer</w:t>
            </w:r>
            <w:r w:rsidRPr="00FB2F3D">
              <w:rPr>
                <w:rFonts w:ascii="Arial" w:hAnsi="Arial" w:cs="Arial"/>
                <w:sz w:val="22"/>
                <w:szCs w:val="22"/>
              </w:rPr>
              <w:t xml:space="preserve"> has remained incorporated or registered (or both) as is relevant. Where the </w:t>
            </w:r>
            <w:r w:rsidR="000A19CB" w:rsidRPr="00FB2F3D">
              <w:rPr>
                <w:rFonts w:ascii="Arial" w:hAnsi="Arial" w:cs="Arial"/>
                <w:sz w:val="22"/>
                <w:szCs w:val="22"/>
              </w:rPr>
              <w:t>Issuer</w:t>
            </w:r>
            <w:r w:rsidRPr="00FB2F3D">
              <w:rPr>
                <w:rFonts w:ascii="Arial" w:hAnsi="Arial" w:cs="Arial"/>
                <w:sz w:val="22"/>
                <w:szCs w:val="22"/>
              </w:rPr>
              <w:t xml:space="preserve"> has a fixed life, this must be stated together with the end date; </w:t>
            </w:r>
          </w:p>
          <w:p w14:paraId="1DF8C384" w14:textId="77777777" w:rsidR="00162E0C" w:rsidRPr="00FB2F3D" w:rsidRDefault="00162E0C" w:rsidP="00755725">
            <w:pPr>
              <w:pStyle w:val="UK12Block"/>
              <w:numPr>
                <w:ilvl w:val="4"/>
                <w:numId w:val="60"/>
              </w:numPr>
              <w:rPr>
                <w:rFonts w:ascii="Arial" w:hAnsi="Arial" w:cs="Arial"/>
                <w:sz w:val="22"/>
                <w:szCs w:val="22"/>
              </w:rPr>
            </w:pPr>
            <w:r w:rsidRPr="00FB2F3D">
              <w:rPr>
                <w:rFonts w:ascii="Arial" w:hAnsi="Arial" w:cs="Arial"/>
                <w:sz w:val="22"/>
                <w:szCs w:val="22"/>
              </w:rPr>
              <w:t>the address and telephone number of its registered office (and its principal place of business if different from its registered office); and</w:t>
            </w:r>
          </w:p>
          <w:p w14:paraId="6B715EB7" w14:textId="77777777" w:rsidR="00162E0C" w:rsidRPr="00FB2F3D" w:rsidRDefault="00162E0C" w:rsidP="00755725">
            <w:pPr>
              <w:pStyle w:val="UK12Block"/>
              <w:numPr>
                <w:ilvl w:val="4"/>
                <w:numId w:val="60"/>
              </w:numPr>
              <w:rPr>
                <w:rFonts w:ascii="Arial" w:hAnsi="Arial" w:cs="Arial"/>
                <w:sz w:val="22"/>
                <w:szCs w:val="22"/>
              </w:rPr>
            </w:pPr>
            <w:r w:rsidRPr="00FB2F3D">
              <w:rPr>
                <w:rFonts w:ascii="Arial" w:hAnsi="Arial" w:cs="Arial"/>
                <w:sz w:val="22"/>
                <w:szCs w:val="22"/>
              </w:rPr>
              <w:t xml:space="preserve">if the </w:t>
            </w:r>
            <w:r w:rsidR="004B46BD" w:rsidRPr="00FB2F3D">
              <w:rPr>
                <w:rFonts w:ascii="Arial" w:hAnsi="Arial" w:cs="Arial"/>
                <w:sz w:val="22"/>
                <w:szCs w:val="22"/>
              </w:rPr>
              <w:t>Securities</w:t>
            </w:r>
            <w:r w:rsidRPr="00FB2F3D">
              <w:rPr>
                <w:rFonts w:ascii="Arial" w:hAnsi="Arial" w:cs="Arial"/>
                <w:sz w:val="22"/>
                <w:szCs w:val="22"/>
              </w:rPr>
              <w:t xml:space="preserve"> are asset backed </w:t>
            </w:r>
            <w:r w:rsidR="004B46BD" w:rsidRPr="00FB2F3D">
              <w:rPr>
                <w:rFonts w:ascii="Arial" w:hAnsi="Arial" w:cs="Arial"/>
                <w:sz w:val="22"/>
                <w:szCs w:val="22"/>
              </w:rPr>
              <w:t>Securities</w:t>
            </w:r>
            <w:r w:rsidRPr="00FB2F3D">
              <w:rPr>
                <w:rFonts w:ascii="Arial" w:hAnsi="Arial" w:cs="Arial"/>
                <w:sz w:val="22"/>
                <w:szCs w:val="22"/>
              </w:rPr>
              <w:t xml:space="preserve">, a statement whether the </w:t>
            </w:r>
            <w:r w:rsidR="000A19CB" w:rsidRPr="00FB2F3D">
              <w:rPr>
                <w:rFonts w:ascii="Arial" w:hAnsi="Arial" w:cs="Arial"/>
                <w:sz w:val="22"/>
                <w:szCs w:val="22"/>
              </w:rPr>
              <w:t>Issuer</w:t>
            </w:r>
            <w:r w:rsidRPr="00FB2F3D">
              <w:rPr>
                <w:rFonts w:ascii="Arial" w:hAnsi="Arial" w:cs="Arial"/>
                <w:sz w:val="22"/>
                <w:szCs w:val="22"/>
              </w:rPr>
              <w:t xml:space="preserve"> has been established as a special purpose vehicle or entity for the purpose of issuing asset backed </w:t>
            </w:r>
            <w:r w:rsidR="004B46BD" w:rsidRPr="00FB2F3D">
              <w:rPr>
                <w:rFonts w:ascii="Arial" w:hAnsi="Arial" w:cs="Arial"/>
                <w:sz w:val="22"/>
                <w:szCs w:val="22"/>
              </w:rPr>
              <w:t>Securities</w:t>
            </w:r>
            <w:r w:rsidRPr="00FB2F3D">
              <w:rPr>
                <w:rFonts w:ascii="Arial" w:hAnsi="Arial" w:cs="Arial"/>
                <w:sz w:val="22"/>
                <w:szCs w:val="22"/>
              </w:rPr>
              <w:t>.</w:t>
            </w:r>
          </w:p>
        </w:tc>
        <w:tc>
          <w:tcPr>
            <w:tcW w:w="128" w:type="pct"/>
          </w:tcPr>
          <w:p w14:paraId="774B826C" w14:textId="77777777" w:rsidR="00162E0C" w:rsidRPr="00FB2F3D" w:rsidRDefault="00162E0C" w:rsidP="00270A15">
            <w:pPr>
              <w:pStyle w:val="UK12Block"/>
              <w:rPr>
                <w:rFonts w:ascii="Arial" w:hAnsi="Arial" w:cs="Arial"/>
                <w:sz w:val="22"/>
                <w:szCs w:val="22"/>
              </w:rPr>
            </w:pPr>
            <w:r w:rsidRPr="00FB2F3D">
              <w:rPr>
                <w:rFonts w:ascii="Arial" w:hAnsi="Arial" w:cs="Arial"/>
                <w:sz w:val="22"/>
                <w:szCs w:val="22"/>
              </w:rPr>
              <w:lastRenderedPageBreak/>
              <w:sym w:font="Wingdings" w:char="F0FC"/>
            </w:r>
          </w:p>
        </w:tc>
        <w:tc>
          <w:tcPr>
            <w:tcW w:w="223" w:type="pct"/>
          </w:tcPr>
          <w:p w14:paraId="26D75176"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2D5CE8D2"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5" w:type="pct"/>
          </w:tcPr>
          <w:p w14:paraId="605C88AB"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58F3F3CB"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21DC8D43"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3" w:type="pct"/>
          </w:tcPr>
          <w:p w14:paraId="25240701"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r>
      <w:tr w:rsidR="00162E0C" w:rsidRPr="00FB2F3D" w14:paraId="449643C2" w14:textId="77777777" w:rsidTr="008016B7">
        <w:tc>
          <w:tcPr>
            <w:tcW w:w="229" w:type="pct"/>
          </w:tcPr>
          <w:p w14:paraId="52A1FC5B" w14:textId="77777777" w:rsidR="00162E0C" w:rsidRPr="00FB2F3D" w:rsidRDefault="00162E0C" w:rsidP="00755725">
            <w:pPr>
              <w:pStyle w:val="UK12Block"/>
              <w:numPr>
                <w:ilvl w:val="1"/>
                <w:numId w:val="59"/>
              </w:numPr>
              <w:spacing w:after="0"/>
              <w:rPr>
                <w:rFonts w:ascii="Arial" w:hAnsi="Arial" w:cs="Arial"/>
                <w:b/>
                <w:sz w:val="22"/>
                <w:szCs w:val="22"/>
              </w:rPr>
            </w:pPr>
          </w:p>
        </w:tc>
        <w:tc>
          <w:tcPr>
            <w:tcW w:w="3399" w:type="pct"/>
          </w:tcPr>
          <w:p w14:paraId="2B5B018E" w14:textId="77777777" w:rsidR="00162E0C" w:rsidRPr="00FB2F3D" w:rsidRDefault="00162E0C" w:rsidP="00270A15">
            <w:pPr>
              <w:pStyle w:val="UK12Block"/>
              <w:rPr>
                <w:rFonts w:ascii="Arial" w:hAnsi="Arial" w:cs="Arial"/>
                <w:b/>
                <w:sz w:val="22"/>
                <w:szCs w:val="22"/>
              </w:rPr>
            </w:pPr>
            <w:r w:rsidRPr="00FB2F3D">
              <w:rPr>
                <w:rFonts w:ascii="Arial" w:hAnsi="Arial" w:cs="Arial"/>
                <w:b/>
                <w:sz w:val="22"/>
                <w:szCs w:val="22"/>
              </w:rPr>
              <w:t>Investments</w:t>
            </w:r>
          </w:p>
          <w:p w14:paraId="5D577DE6" w14:textId="77777777" w:rsidR="00162E0C" w:rsidRPr="00FB2F3D" w:rsidRDefault="00162E0C" w:rsidP="00270A15">
            <w:pPr>
              <w:pStyle w:val="UK12Block"/>
              <w:rPr>
                <w:rFonts w:ascii="Arial" w:hAnsi="Arial" w:cs="Arial"/>
                <w:sz w:val="22"/>
                <w:szCs w:val="22"/>
              </w:rPr>
            </w:pPr>
            <w:r w:rsidRPr="00FB2F3D">
              <w:rPr>
                <w:rFonts w:ascii="Arial" w:hAnsi="Arial" w:cs="Arial"/>
                <w:sz w:val="22"/>
                <w:szCs w:val="22"/>
              </w:rPr>
              <w:t>Information about</w:t>
            </w:r>
            <w:r w:rsidR="007A0A24" w:rsidRPr="00FB2F3D">
              <w:rPr>
                <w:rFonts w:ascii="Arial" w:hAnsi="Arial" w:cs="Arial"/>
                <w:sz w:val="22"/>
                <w:szCs w:val="22"/>
              </w:rPr>
              <w:t xml:space="preserve"> the</w:t>
            </w:r>
            <w:r w:rsidRPr="00FB2F3D">
              <w:rPr>
                <w:rFonts w:ascii="Arial" w:hAnsi="Arial" w:cs="Arial"/>
                <w:sz w:val="22"/>
                <w:szCs w:val="22"/>
              </w:rPr>
              <w:t>:</w:t>
            </w:r>
          </w:p>
          <w:p w14:paraId="0085CE2E" w14:textId="77777777" w:rsidR="00DB4AD2" w:rsidRPr="00FB2F3D" w:rsidRDefault="000A19CB" w:rsidP="00755725">
            <w:pPr>
              <w:pStyle w:val="UK12Block"/>
              <w:numPr>
                <w:ilvl w:val="0"/>
                <w:numId w:val="61"/>
              </w:numPr>
              <w:rPr>
                <w:rFonts w:ascii="Arial" w:hAnsi="Arial" w:cs="Arial"/>
                <w:sz w:val="22"/>
                <w:szCs w:val="22"/>
              </w:rPr>
            </w:pPr>
            <w:r w:rsidRPr="00FB2F3D">
              <w:rPr>
                <w:rFonts w:ascii="Arial" w:hAnsi="Arial" w:cs="Arial"/>
                <w:sz w:val="22"/>
                <w:szCs w:val="22"/>
              </w:rPr>
              <w:t>Issuer</w:t>
            </w:r>
            <w:r w:rsidR="00162E0C" w:rsidRPr="00FB2F3D">
              <w:rPr>
                <w:rFonts w:ascii="Arial" w:hAnsi="Arial" w:cs="Arial"/>
                <w:sz w:val="22"/>
                <w:szCs w:val="22"/>
              </w:rPr>
              <w:t xml:space="preserve">'s principal </w:t>
            </w:r>
            <w:r w:rsidR="009C4BF8" w:rsidRPr="00FB2F3D">
              <w:rPr>
                <w:rFonts w:ascii="Arial" w:hAnsi="Arial" w:cs="Arial"/>
                <w:sz w:val="22"/>
                <w:szCs w:val="22"/>
              </w:rPr>
              <w:t>investment</w:t>
            </w:r>
            <w:r w:rsidR="00162E0C" w:rsidRPr="00FB2F3D">
              <w:rPr>
                <w:rFonts w:ascii="Arial" w:hAnsi="Arial" w:cs="Arial"/>
                <w:sz w:val="22"/>
                <w:szCs w:val="22"/>
              </w:rPr>
              <w:t>s</w:t>
            </w:r>
            <w:r w:rsidR="007A0A24" w:rsidRPr="00FB2F3D">
              <w:rPr>
                <w:rFonts w:ascii="Arial" w:hAnsi="Arial" w:cs="Arial"/>
                <w:sz w:val="22"/>
                <w:szCs w:val="22"/>
              </w:rPr>
              <w:t>, including the amount,</w:t>
            </w:r>
            <w:r w:rsidR="00162E0C" w:rsidRPr="00FB2F3D">
              <w:rPr>
                <w:rFonts w:ascii="Arial" w:hAnsi="Arial" w:cs="Arial"/>
                <w:sz w:val="22"/>
                <w:szCs w:val="22"/>
              </w:rPr>
              <w:t xml:space="preserve"> for each financial year </w:t>
            </w:r>
            <w:r w:rsidR="007A0A24" w:rsidRPr="00FB2F3D">
              <w:rPr>
                <w:rFonts w:ascii="Arial" w:hAnsi="Arial" w:cs="Arial"/>
                <w:sz w:val="22"/>
                <w:szCs w:val="22"/>
              </w:rPr>
              <w:t xml:space="preserve">of </w:t>
            </w:r>
            <w:r w:rsidR="00162E0C" w:rsidRPr="00FB2F3D">
              <w:rPr>
                <w:rFonts w:ascii="Arial" w:hAnsi="Arial" w:cs="Arial"/>
                <w:sz w:val="22"/>
                <w:szCs w:val="22"/>
              </w:rPr>
              <w:t>the period covered by the historical financial information up to the date of the Registration Statement;</w:t>
            </w:r>
            <w:r w:rsidR="007A0A24" w:rsidRPr="00FB2F3D">
              <w:rPr>
                <w:rFonts w:ascii="Arial" w:hAnsi="Arial" w:cs="Arial"/>
                <w:sz w:val="22"/>
                <w:szCs w:val="22"/>
              </w:rPr>
              <w:t xml:space="preserve"> and</w:t>
            </w:r>
          </w:p>
          <w:p w14:paraId="28436439" w14:textId="77777777" w:rsidR="00162E0C" w:rsidRPr="00FB2F3D" w:rsidRDefault="000A19CB" w:rsidP="00755725">
            <w:pPr>
              <w:pStyle w:val="UK12Block"/>
              <w:numPr>
                <w:ilvl w:val="0"/>
                <w:numId w:val="61"/>
              </w:numPr>
              <w:rPr>
                <w:rFonts w:ascii="Arial" w:hAnsi="Arial" w:cs="Arial"/>
                <w:sz w:val="22"/>
                <w:szCs w:val="22"/>
              </w:rPr>
            </w:pPr>
            <w:r w:rsidRPr="00FB2F3D">
              <w:rPr>
                <w:rFonts w:ascii="Arial" w:hAnsi="Arial" w:cs="Arial"/>
                <w:sz w:val="22"/>
                <w:szCs w:val="22"/>
              </w:rPr>
              <w:t>Issuer</w:t>
            </w:r>
            <w:r w:rsidR="00162E0C" w:rsidRPr="00FB2F3D">
              <w:rPr>
                <w:rFonts w:ascii="Arial" w:hAnsi="Arial" w:cs="Arial"/>
                <w:sz w:val="22"/>
                <w:szCs w:val="22"/>
              </w:rPr>
              <w:t xml:space="preserve">'s principal </w:t>
            </w:r>
            <w:r w:rsidR="009C4BF8" w:rsidRPr="00FB2F3D">
              <w:rPr>
                <w:rFonts w:ascii="Arial" w:hAnsi="Arial" w:cs="Arial"/>
                <w:sz w:val="22"/>
                <w:szCs w:val="22"/>
              </w:rPr>
              <w:t>investment</w:t>
            </w:r>
            <w:r w:rsidR="00162E0C" w:rsidRPr="00FB2F3D">
              <w:rPr>
                <w:rFonts w:ascii="Arial" w:hAnsi="Arial" w:cs="Arial"/>
                <w:sz w:val="22"/>
                <w:szCs w:val="22"/>
              </w:rPr>
              <w:t xml:space="preserve">s that are in progress, including the geographic distribution of these </w:t>
            </w:r>
            <w:r w:rsidR="009C4BF8" w:rsidRPr="00FB2F3D">
              <w:rPr>
                <w:rFonts w:ascii="Arial" w:hAnsi="Arial" w:cs="Arial"/>
                <w:sz w:val="22"/>
                <w:szCs w:val="22"/>
              </w:rPr>
              <w:t>investment</w:t>
            </w:r>
            <w:r w:rsidR="00162E0C" w:rsidRPr="00FB2F3D">
              <w:rPr>
                <w:rFonts w:ascii="Arial" w:hAnsi="Arial" w:cs="Arial"/>
                <w:sz w:val="22"/>
                <w:szCs w:val="22"/>
              </w:rPr>
              <w:t>s (home and abroad</w:t>
            </w:r>
            <w:r w:rsidR="007A0A24" w:rsidRPr="00FB2F3D">
              <w:rPr>
                <w:rFonts w:ascii="Arial" w:hAnsi="Arial" w:cs="Arial"/>
                <w:sz w:val="22"/>
                <w:szCs w:val="22"/>
              </w:rPr>
              <w:t>) and the</w:t>
            </w:r>
            <w:r w:rsidR="00162E0C" w:rsidRPr="00FB2F3D">
              <w:rPr>
                <w:rFonts w:ascii="Arial" w:hAnsi="Arial" w:cs="Arial"/>
                <w:sz w:val="22"/>
                <w:szCs w:val="22"/>
              </w:rPr>
              <w:t xml:space="preserve"> method of financing (internal) or external).</w:t>
            </w:r>
          </w:p>
        </w:tc>
        <w:tc>
          <w:tcPr>
            <w:tcW w:w="128" w:type="pct"/>
          </w:tcPr>
          <w:p w14:paraId="3C68AA50"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165A889C"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2A3773AF" w14:textId="77777777" w:rsidR="00162E0C" w:rsidRPr="00FB2F3D" w:rsidRDefault="00162E0C" w:rsidP="00270A15">
            <w:pPr>
              <w:pStyle w:val="UK12Block"/>
              <w:rPr>
                <w:rFonts w:ascii="Arial" w:hAnsi="Arial" w:cs="Arial"/>
                <w:sz w:val="22"/>
                <w:szCs w:val="22"/>
              </w:rPr>
            </w:pPr>
          </w:p>
        </w:tc>
        <w:tc>
          <w:tcPr>
            <w:tcW w:w="255" w:type="pct"/>
          </w:tcPr>
          <w:p w14:paraId="2C5DBE18" w14:textId="77777777" w:rsidR="00162E0C" w:rsidRPr="00FB2F3D" w:rsidRDefault="00162E0C" w:rsidP="00270A15">
            <w:pPr>
              <w:pStyle w:val="UK12Block"/>
              <w:rPr>
                <w:rFonts w:ascii="Arial" w:hAnsi="Arial" w:cs="Arial"/>
                <w:sz w:val="22"/>
                <w:szCs w:val="22"/>
              </w:rPr>
            </w:pPr>
          </w:p>
        </w:tc>
        <w:tc>
          <w:tcPr>
            <w:tcW w:w="223" w:type="pct"/>
          </w:tcPr>
          <w:p w14:paraId="23525711"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28E2F16E" w14:textId="77777777" w:rsidR="00162E0C" w:rsidRPr="00FB2F3D" w:rsidRDefault="00162E0C" w:rsidP="00270A15">
            <w:pPr>
              <w:pStyle w:val="UK12Block"/>
              <w:rPr>
                <w:rFonts w:ascii="Arial" w:hAnsi="Arial" w:cs="Arial"/>
                <w:sz w:val="22"/>
                <w:szCs w:val="22"/>
              </w:rPr>
            </w:pPr>
          </w:p>
        </w:tc>
        <w:tc>
          <w:tcPr>
            <w:tcW w:w="193" w:type="pct"/>
          </w:tcPr>
          <w:p w14:paraId="2554E307"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r>
      <w:tr w:rsidR="00162E0C" w:rsidRPr="00FB2F3D" w14:paraId="76E1C236" w14:textId="77777777" w:rsidTr="0061693E">
        <w:tc>
          <w:tcPr>
            <w:tcW w:w="5000" w:type="pct"/>
            <w:gridSpan w:val="9"/>
          </w:tcPr>
          <w:p w14:paraId="53B23681" w14:textId="77777777" w:rsidR="00162E0C" w:rsidRPr="00FB2F3D" w:rsidRDefault="00162E0C" w:rsidP="00755725">
            <w:pPr>
              <w:pStyle w:val="UK12Block"/>
              <w:keepNext/>
              <w:numPr>
                <w:ilvl w:val="0"/>
                <w:numId w:val="59"/>
              </w:numPr>
              <w:spacing w:after="0"/>
              <w:rPr>
                <w:rFonts w:ascii="Arial" w:hAnsi="Arial" w:cs="Arial"/>
                <w:b/>
                <w:sz w:val="22"/>
                <w:szCs w:val="22"/>
              </w:rPr>
            </w:pPr>
            <w:r w:rsidRPr="00FB2F3D">
              <w:rPr>
                <w:rFonts w:ascii="Arial" w:hAnsi="Arial" w:cs="Arial"/>
                <w:b/>
                <w:sz w:val="22"/>
                <w:szCs w:val="22"/>
              </w:rPr>
              <w:lastRenderedPageBreak/>
              <w:t>OPERATIONAL FINANCIAL OVERVIEW</w:t>
            </w:r>
          </w:p>
        </w:tc>
      </w:tr>
      <w:tr w:rsidR="00162E0C" w:rsidRPr="00FB2F3D" w14:paraId="3FF3FA42" w14:textId="77777777" w:rsidTr="008016B7">
        <w:tc>
          <w:tcPr>
            <w:tcW w:w="229" w:type="pct"/>
          </w:tcPr>
          <w:p w14:paraId="4DE4792B" w14:textId="77777777" w:rsidR="00162E0C" w:rsidRPr="00FB2F3D" w:rsidRDefault="00162E0C" w:rsidP="00755725">
            <w:pPr>
              <w:pStyle w:val="UK12Block"/>
              <w:numPr>
                <w:ilvl w:val="1"/>
                <w:numId w:val="59"/>
              </w:numPr>
              <w:spacing w:after="0"/>
              <w:rPr>
                <w:rFonts w:ascii="Arial" w:hAnsi="Arial" w:cs="Arial"/>
                <w:b/>
                <w:sz w:val="22"/>
                <w:szCs w:val="22"/>
              </w:rPr>
            </w:pPr>
          </w:p>
        </w:tc>
        <w:tc>
          <w:tcPr>
            <w:tcW w:w="3399" w:type="pct"/>
          </w:tcPr>
          <w:p w14:paraId="510941A9" w14:textId="77777777" w:rsidR="00162E0C" w:rsidRPr="00FB2F3D" w:rsidRDefault="00162E0C" w:rsidP="00270A15">
            <w:pPr>
              <w:pStyle w:val="UK12Block"/>
              <w:rPr>
                <w:rFonts w:ascii="Arial" w:hAnsi="Arial" w:cs="Arial"/>
                <w:b/>
                <w:sz w:val="22"/>
                <w:szCs w:val="22"/>
              </w:rPr>
            </w:pPr>
            <w:r w:rsidRPr="00FB2F3D">
              <w:rPr>
                <w:rFonts w:ascii="Arial" w:hAnsi="Arial" w:cs="Arial"/>
                <w:b/>
                <w:sz w:val="22"/>
                <w:szCs w:val="22"/>
              </w:rPr>
              <w:t>Actual and proposed business activities</w:t>
            </w:r>
          </w:p>
          <w:p w14:paraId="6B28BE78" w14:textId="77777777" w:rsidR="00162E0C" w:rsidRPr="00FB2F3D" w:rsidRDefault="00162E0C" w:rsidP="00270A15">
            <w:pPr>
              <w:pStyle w:val="UK12Block"/>
              <w:rPr>
                <w:rFonts w:ascii="Arial" w:hAnsi="Arial" w:cs="Arial"/>
                <w:sz w:val="22"/>
                <w:szCs w:val="22"/>
              </w:rPr>
            </w:pPr>
            <w:r w:rsidRPr="00FB2F3D">
              <w:rPr>
                <w:rFonts w:ascii="Arial" w:hAnsi="Arial" w:cs="Arial"/>
                <w:sz w:val="22"/>
                <w:szCs w:val="22"/>
              </w:rPr>
              <w:t xml:space="preserve">A detailed description of the actual and proposed principal operations of the </w:t>
            </w:r>
            <w:r w:rsidR="000A19CB" w:rsidRPr="00FB2F3D">
              <w:rPr>
                <w:rFonts w:ascii="Arial" w:hAnsi="Arial" w:cs="Arial"/>
                <w:sz w:val="22"/>
                <w:szCs w:val="22"/>
              </w:rPr>
              <w:t>Issuer</w:t>
            </w:r>
            <w:r w:rsidRPr="00FB2F3D">
              <w:rPr>
                <w:rFonts w:ascii="Arial" w:hAnsi="Arial" w:cs="Arial"/>
                <w:sz w:val="22"/>
                <w:szCs w:val="22"/>
              </w:rPr>
              <w:t xml:space="preserve"> including:</w:t>
            </w:r>
          </w:p>
          <w:p w14:paraId="151FE5C7" w14:textId="77777777" w:rsidR="00162E0C" w:rsidRPr="00FB2F3D" w:rsidRDefault="00162E0C" w:rsidP="00755725">
            <w:pPr>
              <w:pStyle w:val="UK12Block"/>
              <w:numPr>
                <w:ilvl w:val="2"/>
                <w:numId w:val="59"/>
              </w:numPr>
              <w:rPr>
                <w:rFonts w:ascii="Arial" w:hAnsi="Arial" w:cs="Arial"/>
                <w:sz w:val="22"/>
                <w:szCs w:val="22"/>
              </w:rPr>
            </w:pPr>
            <w:r w:rsidRPr="00FB2F3D">
              <w:rPr>
                <w:rFonts w:ascii="Arial" w:hAnsi="Arial" w:cs="Arial"/>
                <w:sz w:val="22"/>
                <w:szCs w:val="22"/>
              </w:rPr>
              <w:t xml:space="preserve">the history of the </w:t>
            </w:r>
            <w:r w:rsidR="000A19CB" w:rsidRPr="00FB2F3D">
              <w:rPr>
                <w:rFonts w:ascii="Arial" w:hAnsi="Arial" w:cs="Arial"/>
                <w:sz w:val="22"/>
                <w:szCs w:val="22"/>
              </w:rPr>
              <w:t>Issuer</w:t>
            </w:r>
            <w:r w:rsidRPr="00FB2F3D">
              <w:rPr>
                <w:rFonts w:ascii="Arial" w:hAnsi="Arial" w:cs="Arial"/>
                <w:sz w:val="22"/>
                <w:szCs w:val="22"/>
              </w:rPr>
              <w:t>;</w:t>
            </w:r>
          </w:p>
        </w:tc>
        <w:tc>
          <w:tcPr>
            <w:tcW w:w="128" w:type="pct"/>
          </w:tcPr>
          <w:p w14:paraId="03BEB13A"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45A1BECF"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6921E2A3"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5" w:type="pct"/>
          </w:tcPr>
          <w:p w14:paraId="54008671"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3332873A"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347A7E4F"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3" w:type="pct"/>
          </w:tcPr>
          <w:p w14:paraId="5A4C660E"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r>
      <w:tr w:rsidR="00162E0C" w:rsidRPr="00FB2F3D" w14:paraId="14DF2656" w14:textId="77777777" w:rsidTr="008016B7">
        <w:tc>
          <w:tcPr>
            <w:tcW w:w="229" w:type="pct"/>
          </w:tcPr>
          <w:p w14:paraId="0DD48148" w14:textId="77777777" w:rsidR="00162E0C" w:rsidRPr="00FB2F3D" w:rsidRDefault="00162E0C" w:rsidP="00270A15">
            <w:pPr>
              <w:pStyle w:val="UK12Block"/>
              <w:rPr>
                <w:rFonts w:ascii="Arial" w:hAnsi="Arial" w:cs="Arial"/>
                <w:sz w:val="22"/>
                <w:szCs w:val="22"/>
              </w:rPr>
            </w:pPr>
          </w:p>
        </w:tc>
        <w:tc>
          <w:tcPr>
            <w:tcW w:w="3399" w:type="pct"/>
          </w:tcPr>
          <w:p w14:paraId="2C706FB0" w14:textId="77777777" w:rsidR="00162E0C" w:rsidRPr="00FB2F3D" w:rsidRDefault="007A0A24" w:rsidP="00755725">
            <w:pPr>
              <w:pStyle w:val="UK12Block"/>
              <w:numPr>
                <w:ilvl w:val="2"/>
                <w:numId w:val="59"/>
              </w:numPr>
              <w:rPr>
                <w:rFonts w:ascii="Arial" w:hAnsi="Arial" w:cs="Arial"/>
                <w:sz w:val="22"/>
                <w:szCs w:val="22"/>
              </w:rPr>
            </w:pPr>
            <w:r w:rsidRPr="00FB2F3D">
              <w:rPr>
                <w:rFonts w:ascii="Arial" w:hAnsi="Arial" w:cs="Arial"/>
                <w:sz w:val="22"/>
                <w:szCs w:val="22"/>
              </w:rPr>
              <w:t>t</w:t>
            </w:r>
            <w:r w:rsidR="00162E0C" w:rsidRPr="00FB2F3D">
              <w:rPr>
                <w:rFonts w:ascii="Arial" w:hAnsi="Arial" w:cs="Arial"/>
                <w:sz w:val="22"/>
                <w:szCs w:val="22"/>
              </w:rPr>
              <w:t xml:space="preserve">he principal activities and business of the </w:t>
            </w:r>
            <w:r w:rsidR="000A19CB" w:rsidRPr="00FB2F3D">
              <w:rPr>
                <w:rFonts w:ascii="Arial" w:hAnsi="Arial" w:cs="Arial"/>
                <w:sz w:val="22"/>
                <w:szCs w:val="22"/>
              </w:rPr>
              <w:t>Issuer</w:t>
            </w:r>
            <w:r w:rsidR="00162E0C" w:rsidRPr="00FB2F3D">
              <w:rPr>
                <w:rFonts w:ascii="Arial" w:hAnsi="Arial" w:cs="Arial"/>
                <w:sz w:val="22"/>
                <w:szCs w:val="22"/>
              </w:rPr>
              <w:t>;</w:t>
            </w:r>
          </w:p>
        </w:tc>
        <w:tc>
          <w:tcPr>
            <w:tcW w:w="128" w:type="pct"/>
          </w:tcPr>
          <w:p w14:paraId="7079862E"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011D8B5A"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657799E4"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5" w:type="pct"/>
          </w:tcPr>
          <w:p w14:paraId="3857A163"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14D724F0"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1CB0DA17"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3" w:type="pct"/>
          </w:tcPr>
          <w:p w14:paraId="47AB6219"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r>
      <w:tr w:rsidR="00162E0C" w:rsidRPr="00FB2F3D" w14:paraId="48590B82" w14:textId="77777777" w:rsidTr="008016B7">
        <w:tc>
          <w:tcPr>
            <w:tcW w:w="229" w:type="pct"/>
          </w:tcPr>
          <w:p w14:paraId="4FCE6F22" w14:textId="77777777" w:rsidR="00162E0C" w:rsidRPr="00FB2F3D" w:rsidRDefault="00162E0C" w:rsidP="00270A15">
            <w:pPr>
              <w:pStyle w:val="UK12Block"/>
              <w:rPr>
                <w:rFonts w:ascii="Arial" w:hAnsi="Arial" w:cs="Arial"/>
                <w:sz w:val="22"/>
                <w:szCs w:val="22"/>
              </w:rPr>
            </w:pPr>
          </w:p>
        </w:tc>
        <w:tc>
          <w:tcPr>
            <w:tcW w:w="3399" w:type="pct"/>
          </w:tcPr>
          <w:p w14:paraId="3D8A468A" w14:textId="77777777" w:rsidR="00162E0C" w:rsidRPr="00FB2F3D" w:rsidRDefault="007A0A24" w:rsidP="00755725">
            <w:pPr>
              <w:pStyle w:val="UK12Block"/>
              <w:numPr>
                <w:ilvl w:val="2"/>
                <w:numId w:val="59"/>
              </w:numPr>
              <w:rPr>
                <w:rFonts w:ascii="Arial" w:hAnsi="Arial" w:cs="Arial"/>
                <w:sz w:val="22"/>
                <w:szCs w:val="22"/>
              </w:rPr>
            </w:pPr>
            <w:r w:rsidRPr="00FB2F3D">
              <w:rPr>
                <w:rFonts w:ascii="Arial" w:hAnsi="Arial" w:cs="Arial"/>
                <w:sz w:val="22"/>
                <w:szCs w:val="22"/>
              </w:rPr>
              <w:t>the</w:t>
            </w:r>
            <w:r w:rsidR="00162E0C" w:rsidRPr="00FB2F3D">
              <w:rPr>
                <w:rFonts w:ascii="Arial" w:hAnsi="Arial" w:cs="Arial"/>
                <w:sz w:val="22"/>
                <w:szCs w:val="22"/>
              </w:rPr>
              <w:t xml:space="preserve"> important events in the development of the </w:t>
            </w:r>
            <w:r w:rsidR="000A19CB" w:rsidRPr="00FB2F3D">
              <w:rPr>
                <w:rFonts w:ascii="Arial" w:hAnsi="Arial" w:cs="Arial"/>
                <w:sz w:val="22"/>
                <w:szCs w:val="22"/>
              </w:rPr>
              <w:t>Issuer</w:t>
            </w:r>
            <w:r w:rsidR="00162E0C" w:rsidRPr="00FB2F3D">
              <w:rPr>
                <w:rFonts w:ascii="Arial" w:hAnsi="Arial" w:cs="Arial"/>
                <w:sz w:val="22"/>
                <w:szCs w:val="22"/>
              </w:rPr>
              <w:t>'s business;</w:t>
            </w:r>
          </w:p>
        </w:tc>
        <w:tc>
          <w:tcPr>
            <w:tcW w:w="128" w:type="pct"/>
          </w:tcPr>
          <w:p w14:paraId="7CC0F824"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11FC7F62"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1EAF8149" w14:textId="77777777" w:rsidR="00162E0C" w:rsidRPr="00FB2F3D" w:rsidRDefault="00162E0C" w:rsidP="00270A15">
            <w:pPr>
              <w:pStyle w:val="UK12Block"/>
              <w:rPr>
                <w:rFonts w:ascii="Arial" w:hAnsi="Arial" w:cs="Arial"/>
                <w:sz w:val="22"/>
                <w:szCs w:val="22"/>
              </w:rPr>
            </w:pPr>
          </w:p>
        </w:tc>
        <w:tc>
          <w:tcPr>
            <w:tcW w:w="255" w:type="pct"/>
          </w:tcPr>
          <w:p w14:paraId="4DFF8737" w14:textId="77777777" w:rsidR="00162E0C" w:rsidRPr="00FB2F3D" w:rsidRDefault="00162E0C" w:rsidP="00270A15">
            <w:pPr>
              <w:pStyle w:val="UK12Block"/>
              <w:rPr>
                <w:rFonts w:ascii="Arial" w:hAnsi="Arial" w:cs="Arial"/>
                <w:sz w:val="22"/>
                <w:szCs w:val="22"/>
              </w:rPr>
            </w:pPr>
          </w:p>
        </w:tc>
        <w:tc>
          <w:tcPr>
            <w:tcW w:w="223" w:type="pct"/>
          </w:tcPr>
          <w:p w14:paraId="5EF31D93"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2FC26D04" w14:textId="77777777" w:rsidR="00162E0C" w:rsidRPr="00FB2F3D" w:rsidRDefault="00162E0C" w:rsidP="00270A15">
            <w:pPr>
              <w:pStyle w:val="UK12Block"/>
              <w:rPr>
                <w:rFonts w:ascii="Arial" w:hAnsi="Arial" w:cs="Arial"/>
                <w:sz w:val="22"/>
                <w:szCs w:val="22"/>
              </w:rPr>
            </w:pPr>
          </w:p>
        </w:tc>
        <w:tc>
          <w:tcPr>
            <w:tcW w:w="193" w:type="pct"/>
          </w:tcPr>
          <w:p w14:paraId="50DCF969"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r>
      <w:tr w:rsidR="00162E0C" w:rsidRPr="00FB2F3D" w14:paraId="79CC7F4B" w14:textId="77777777" w:rsidTr="008016B7">
        <w:tc>
          <w:tcPr>
            <w:tcW w:w="229" w:type="pct"/>
          </w:tcPr>
          <w:p w14:paraId="1B1B5651" w14:textId="77777777" w:rsidR="00162E0C" w:rsidRPr="00FB2F3D" w:rsidRDefault="00162E0C" w:rsidP="00270A15">
            <w:pPr>
              <w:pStyle w:val="UK12Block"/>
              <w:rPr>
                <w:rFonts w:ascii="Arial" w:hAnsi="Arial" w:cs="Arial"/>
                <w:sz w:val="22"/>
                <w:szCs w:val="22"/>
              </w:rPr>
            </w:pPr>
          </w:p>
        </w:tc>
        <w:tc>
          <w:tcPr>
            <w:tcW w:w="3399" w:type="pct"/>
          </w:tcPr>
          <w:p w14:paraId="02CB1DF9" w14:textId="77777777" w:rsidR="00162E0C" w:rsidRPr="00FB2F3D" w:rsidRDefault="00162E0C" w:rsidP="00755725">
            <w:pPr>
              <w:pStyle w:val="UK12Block"/>
              <w:numPr>
                <w:ilvl w:val="2"/>
                <w:numId w:val="59"/>
              </w:numPr>
              <w:rPr>
                <w:rFonts w:ascii="Arial" w:hAnsi="Arial" w:cs="Arial"/>
                <w:sz w:val="22"/>
                <w:szCs w:val="22"/>
              </w:rPr>
            </w:pPr>
            <w:r w:rsidRPr="00FB2F3D">
              <w:rPr>
                <w:rFonts w:ascii="Arial" w:hAnsi="Arial" w:cs="Arial"/>
                <w:sz w:val="22"/>
                <w:szCs w:val="22"/>
              </w:rPr>
              <w:t>the nature</w:t>
            </w:r>
            <w:r w:rsidR="007A0A24" w:rsidRPr="00FB2F3D">
              <w:rPr>
                <w:rFonts w:ascii="Arial" w:hAnsi="Arial" w:cs="Arial"/>
                <w:sz w:val="22"/>
                <w:szCs w:val="22"/>
              </w:rPr>
              <w:t>, and key factors relating to,</w:t>
            </w:r>
            <w:r w:rsidRPr="00FB2F3D">
              <w:rPr>
                <w:rFonts w:ascii="Arial" w:hAnsi="Arial" w:cs="Arial"/>
                <w:sz w:val="22"/>
                <w:szCs w:val="22"/>
              </w:rPr>
              <w:t xml:space="preserve"> the </w:t>
            </w:r>
            <w:r w:rsidR="000A19CB" w:rsidRPr="00FB2F3D">
              <w:rPr>
                <w:rFonts w:ascii="Arial" w:hAnsi="Arial" w:cs="Arial"/>
                <w:sz w:val="22"/>
                <w:szCs w:val="22"/>
              </w:rPr>
              <w:t>Issuer</w:t>
            </w:r>
            <w:r w:rsidRPr="00FB2F3D">
              <w:rPr>
                <w:rFonts w:ascii="Arial" w:hAnsi="Arial" w:cs="Arial"/>
                <w:sz w:val="22"/>
                <w:szCs w:val="22"/>
              </w:rPr>
              <w:t xml:space="preserve">'s operations and its principal activities, specifying the main categories of products sold and/or services performed for each financial year </w:t>
            </w:r>
            <w:r w:rsidR="007A0A24" w:rsidRPr="00FB2F3D">
              <w:rPr>
                <w:rFonts w:ascii="Arial" w:hAnsi="Arial" w:cs="Arial"/>
                <w:sz w:val="22"/>
                <w:szCs w:val="22"/>
              </w:rPr>
              <w:t xml:space="preserve">of </w:t>
            </w:r>
            <w:r w:rsidRPr="00FB2F3D">
              <w:rPr>
                <w:rFonts w:ascii="Arial" w:hAnsi="Arial" w:cs="Arial"/>
                <w:sz w:val="22"/>
                <w:szCs w:val="22"/>
              </w:rPr>
              <w:t>the period covered by the historical financial information;</w:t>
            </w:r>
          </w:p>
        </w:tc>
        <w:tc>
          <w:tcPr>
            <w:tcW w:w="128" w:type="pct"/>
          </w:tcPr>
          <w:p w14:paraId="454983F1"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30578E05"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29F01BA7"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5" w:type="pct"/>
          </w:tcPr>
          <w:p w14:paraId="7B61943B"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69808EF9"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03F9C3E6"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3" w:type="pct"/>
          </w:tcPr>
          <w:p w14:paraId="1FDCEF13"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r>
      <w:tr w:rsidR="00162E0C" w:rsidRPr="00FB2F3D" w14:paraId="0409993E" w14:textId="77777777" w:rsidTr="008016B7">
        <w:tc>
          <w:tcPr>
            <w:tcW w:w="229" w:type="pct"/>
          </w:tcPr>
          <w:p w14:paraId="353C66D1" w14:textId="77777777" w:rsidR="00162E0C" w:rsidRPr="00FB2F3D" w:rsidRDefault="00162E0C" w:rsidP="00270A15">
            <w:pPr>
              <w:pStyle w:val="UK12Block"/>
              <w:rPr>
                <w:rFonts w:ascii="Arial" w:hAnsi="Arial" w:cs="Arial"/>
                <w:sz w:val="22"/>
                <w:szCs w:val="22"/>
              </w:rPr>
            </w:pPr>
          </w:p>
        </w:tc>
        <w:tc>
          <w:tcPr>
            <w:tcW w:w="3399" w:type="pct"/>
          </w:tcPr>
          <w:p w14:paraId="69414274" w14:textId="77777777" w:rsidR="00162E0C" w:rsidRPr="00FB2F3D" w:rsidRDefault="00162E0C" w:rsidP="00755725">
            <w:pPr>
              <w:pStyle w:val="UK12Block"/>
              <w:numPr>
                <w:ilvl w:val="2"/>
                <w:numId w:val="59"/>
              </w:numPr>
              <w:rPr>
                <w:rFonts w:ascii="Arial" w:hAnsi="Arial" w:cs="Arial"/>
                <w:sz w:val="22"/>
                <w:szCs w:val="22"/>
              </w:rPr>
            </w:pPr>
            <w:r w:rsidRPr="00FB2F3D">
              <w:rPr>
                <w:rFonts w:ascii="Arial" w:hAnsi="Arial" w:cs="Arial"/>
                <w:sz w:val="22"/>
                <w:szCs w:val="22"/>
              </w:rPr>
              <w:t xml:space="preserve">an indication of any significant new products and/or services that have been introduced by the </w:t>
            </w:r>
            <w:r w:rsidR="000A19CB" w:rsidRPr="00FB2F3D">
              <w:rPr>
                <w:rFonts w:ascii="Arial" w:hAnsi="Arial" w:cs="Arial"/>
                <w:sz w:val="22"/>
                <w:szCs w:val="22"/>
              </w:rPr>
              <w:t>Issuer</w:t>
            </w:r>
            <w:r w:rsidRPr="00FB2F3D">
              <w:rPr>
                <w:rFonts w:ascii="Arial" w:hAnsi="Arial" w:cs="Arial"/>
                <w:sz w:val="22"/>
                <w:szCs w:val="22"/>
              </w:rPr>
              <w:t xml:space="preserve"> and, to the extent the development of new products or services has been publicly disclosed, the status of the development;</w:t>
            </w:r>
          </w:p>
        </w:tc>
        <w:tc>
          <w:tcPr>
            <w:tcW w:w="128" w:type="pct"/>
          </w:tcPr>
          <w:p w14:paraId="079F56E0"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06D49716"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24B4D3F3"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5" w:type="pct"/>
          </w:tcPr>
          <w:p w14:paraId="4833EA84"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0AB8B09C"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6A5BFE4D"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3" w:type="pct"/>
          </w:tcPr>
          <w:p w14:paraId="6637C190"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r>
      <w:tr w:rsidR="00162E0C" w:rsidRPr="00FB2F3D" w14:paraId="47AF026E" w14:textId="77777777" w:rsidTr="008016B7">
        <w:tc>
          <w:tcPr>
            <w:tcW w:w="229" w:type="pct"/>
          </w:tcPr>
          <w:p w14:paraId="7F489086" w14:textId="77777777" w:rsidR="00162E0C" w:rsidRPr="00FB2F3D" w:rsidRDefault="00162E0C" w:rsidP="00270A15">
            <w:pPr>
              <w:pStyle w:val="UK12Block"/>
              <w:rPr>
                <w:rFonts w:ascii="Arial" w:hAnsi="Arial" w:cs="Arial"/>
                <w:sz w:val="22"/>
                <w:szCs w:val="22"/>
              </w:rPr>
            </w:pPr>
          </w:p>
        </w:tc>
        <w:tc>
          <w:tcPr>
            <w:tcW w:w="3399" w:type="pct"/>
          </w:tcPr>
          <w:p w14:paraId="1DDD5CF1" w14:textId="77777777" w:rsidR="00162E0C" w:rsidRPr="00FB2F3D" w:rsidRDefault="00162E0C" w:rsidP="00755725">
            <w:pPr>
              <w:pStyle w:val="UK12Block"/>
              <w:numPr>
                <w:ilvl w:val="2"/>
                <w:numId w:val="59"/>
              </w:numPr>
              <w:rPr>
                <w:rFonts w:ascii="Arial" w:hAnsi="Arial" w:cs="Arial"/>
                <w:sz w:val="22"/>
                <w:szCs w:val="22"/>
              </w:rPr>
            </w:pPr>
            <w:r w:rsidRPr="00FB2F3D">
              <w:rPr>
                <w:rFonts w:ascii="Arial" w:hAnsi="Arial" w:cs="Arial"/>
                <w:sz w:val="22"/>
                <w:szCs w:val="22"/>
              </w:rPr>
              <w:t xml:space="preserve">the principal markets in which the </w:t>
            </w:r>
            <w:r w:rsidR="000A19CB" w:rsidRPr="00FB2F3D">
              <w:rPr>
                <w:rFonts w:ascii="Arial" w:hAnsi="Arial" w:cs="Arial"/>
                <w:sz w:val="22"/>
                <w:szCs w:val="22"/>
              </w:rPr>
              <w:t>Issuer</w:t>
            </w:r>
            <w:r w:rsidRPr="00FB2F3D">
              <w:rPr>
                <w:rFonts w:ascii="Arial" w:hAnsi="Arial" w:cs="Arial"/>
                <w:sz w:val="22"/>
                <w:szCs w:val="22"/>
              </w:rPr>
              <w:t xml:space="preserve"> operates, including a breakdown of total revenues by category of activity and geographic market for each financial year</w:t>
            </w:r>
            <w:r w:rsidR="007A0A24" w:rsidRPr="00FB2F3D">
              <w:rPr>
                <w:rFonts w:ascii="Arial" w:hAnsi="Arial" w:cs="Arial"/>
                <w:sz w:val="22"/>
                <w:szCs w:val="22"/>
              </w:rPr>
              <w:t xml:space="preserve"> of</w:t>
            </w:r>
            <w:r w:rsidRPr="00FB2F3D">
              <w:rPr>
                <w:rFonts w:ascii="Arial" w:hAnsi="Arial" w:cs="Arial"/>
                <w:sz w:val="22"/>
                <w:szCs w:val="22"/>
              </w:rPr>
              <w:t xml:space="preserve"> the period covered by the historical financial information;</w:t>
            </w:r>
          </w:p>
          <w:p w14:paraId="5043518E" w14:textId="77777777" w:rsidR="007A0A24" w:rsidRPr="00FB2F3D" w:rsidRDefault="007A0A24" w:rsidP="007A0A24">
            <w:pPr>
              <w:pStyle w:val="UK12Block"/>
              <w:ind w:left="239" w:hanging="239"/>
              <w:rPr>
                <w:rFonts w:ascii="Arial" w:hAnsi="Arial" w:cs="Arial"/>
                <w:sz w:val="22"/>
                <w:szCs w:val="22"/>
              </w:rPr>
            </w:pPr>
            <w:r w:rsidRPr="00FB2F3D">
              <w:rPr>
                <w:rFonts w:ascii="Arial" w:hAnsi="Arial" w:cs="Arial"/>
                <w:iCs/>
                <w:color w:val="000000" w:themeColor="text1"/>
                <w:sz w:val="22"/>
                <w:szCs w:val="22"/>
                <w:lang w:eastAsia="ar-SA"/>
              </w:rPr>
              <w:t>*</w:t>
            </w:r>
            <w:r w:rsidRPr="00FB2F3D">
              <w:rPr>
                <w:rFonts w:ascii="Arial" w:hAnsi="Arial" w:cs="Arial"/>
                <w:iCs/>
                <w:color w:val="000000" w:themeColor="text1"/>
                <w:sz w:val="22"/>
                <w:szCs w:val="22"/>
                <w:lang w:eastAsia="ar-SA"/>
              </w:rPr>
              <w:tab/>
            </w:r>
            <w:r w:rsidRPr="00FB2F3D">
              <w:rPr>
                <w:rFonts w:ascii="Arial" w:hAnsi="Arial" w:cs="Arial"/>
                <w:i/>
                <w:color w:val="000000" w:themeColor="text1"/>
                <w:sz w:val="22"/>
                <w:szCs w:val="22"/>
                <w:lang w:eastAsia="ar-SA"/>
              </w:rPr>
              <w:t>The information in 2.1(f) is not required to be included for Debentures that have a denomination of US$100,000 or more per Security</w:t>
            </w:r>
          </w:p>
        </w:tc>
        <w:tc>
          <w:tcPr>
            <w:tcW w:w="128" w:type="pct"/>
          </w:tcPr>
          <w:p w14:paraId="419CA3C8"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3143F86A"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179DBC4C" w14:textId="77777777" w:rsidR="00162E0C" w:rsidRPr="00FB2F3D" w:rsidRDefault="007A0A24" w:rsidP="00270A15">
            <w:pPr>
              <w:pStyle w:val="UK12Block"/>
              <w:rPr>
                <w:rFonts w:ascii="Arial" w:hAnsi="Arial" w:cs="Arial"/>
                <w:sz w:val="22"/>
                <w:szCs w:val="22"/>
              </w:rPr>
            </w:pPr>
            <w:r w:rsidRPr="00FB2F3D">
              <w:rPr>
                <w:rFonts w:ascii="Arial" w:eastAsia="Wingdings" w:hAnsi="Arial" w:cs="Arial"/>
                <w:sz w:val="22"/>
                <w:szCs w:val="22"/>
              </w:rPr>
              <w:t>*</w:t>
            </w:r>
            <w:r w:rsidRPr="00FB2F3D">
              <w:rPr>
                <w:rFonts w:ascii="Arial" w:eastAsia="Wingdings" w:hAnsi="Arial" w:cs="Arial"/>
                <w:sz w:val="22"/>
                <w:szCs w:val="22"/>
              </w:rPr>
              <w:sym w:font="Wingdings" w:char="F0FC"/>
            </w:r>
          </w:p>
        </w:tc>
        <w:tc>
          <w:tcPr>
            <w:tcW w:w="255" w:type="pct"/>
          </w:tcPr>
          <w:p w14:paraId="194D7585" w14:textId="77777777" w:rsidR="00162E0C" w:rsidRPr="00FB2F3D" w:rsidRDefault="00162E0C" w:rsidP="00270A15">
            <w:pPr>
              <w:pStyle w:val="UK12Block"/>
              <w:rPr>
                <w:rFonts w:ascii="Arial" w:hAnsi="Arial" w:cs="Arial"/>
                <w:sz w:val="22"/>
                <w:szCs w:val="22"/>
              </w:rPr>
            </w:pPr>
          </w:p>
        </w:tc>
        <w:tc>
          <w:tcPr>
            <w:tcW w:w="223" w:type="pct"/>
          </w:tcPr>
          <w:p w14:paraId="4BA234D9"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28D25841" w14:textId="77777777" w:rsidR="00162E0C" w:rsidRPr="00FB2F3D" w:rsidRDefault="00162E0C" w:rsidP="00270A15">
            <w:pPr>
              <w:pStyle w:val="UK12Block"/>
              <w:rPr>
                <w:rFonts w:ascii="Arial" w:hAnsi="Arial" w:cs="Arial"/>
                <w:sz w:val="22"/>
                <w:szCs w:val="22"/>
              </w:rPr>
            </w:pPr>
          </w:p>
        </w:tc>
        <w:tc>
          <w:tcPr>
            <w:tcW w:w="193" w:type="pct"/>
          </w:tcPr>
          <w:p w14:paraId="28906CEA"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r>
      <w:tr w:rsidR="00162E0C" w:rsidRPr="00FB2F3D" w14:paraId="615E3AD3" w14:textId="77777777" w:rsidTr="008016B7">
        <w:tc>
          <w:tcPr>
            <w:tcW w:w="229" w:type="pct"/>
          </w:tcPr>
          <w:p w14:paraId="1FFD235C" w14:textId="77777777" w:rsidR="00162E0C" w:rsidRPr="00FB2F3D" w:rsidRDefault="00162E0C" w:rsidP="00270A15">
            <w:pPr>
              <w:pStyle w:val="UK12Block"/>
              <w:rPr>
                <w:rFonts w:ascii="Arial" w:hAnsi="Arial" w:cs="Arial"/>
                <w:sz w:val="22"/>
                <w:szCs w:val="22"/>
              </w:rPr>
            </w:pPr>
          </w:p>
        </w:tc>
        <w:tc>
          <w:tcPr>
            <w:tcW w:w="3399" w:type="pct"/>
          </w:tcPr>
          <w:p w14:paraId="4D423B64" w14:textId="77777777" w:rsidR="00162E0C" w:rsidRPr="00FB2F3D" w:rsidRDefault="00162E0C" w:rsidP="00755725">
            <w:pPr>
              <w:pStyle w:val="UK12Block"/>
              <w:numPr>
                <w:ilvl w:val="2"/>
                <w:numId w:val="59"/>
              </w:numPr>
              <w:rPr>
                <w:rFonts w:ascii="Arial" w:hAnsi="Arial" w:cs="Arial"/>
                <w:sz w:val="22"/>
                <w:szCs w:val="22"/>
              </w:rPr>
            </w:pPr>
            <w:r w:rsidRPr="00FB2F3D">
              <w:rPr>
                <w:rFonts w:ascii="Arial" w:hAnsi="Arial" w:cs="Arial"/>
                <w:sz w:val="22"/>
                <w:szCs w:val="22"/>
              </w:rPr>
              <w:t xml:space="preserve">details of any major </w:t>
            </w:r>
            <w:r w:rsidR="00BA3095" w:rsidRPr="00FB2F3D">
              <w:rPr>
                <w:rFonts w:ascii="Arial" w:hAnsi="Arial" w:cs="Arial"/>
                <w:sz w:val="22"/>
                <w:szCs w:val="22"/>
              </w:rPr>
              <w:t>Customer</w:t>
            </w:r>
            <w:r w:rsidRPr="00FB2F3D">
              <w:rPr>
                <w:rFonts w:ascii="Arial" w:hAnsi="Arial" w:cs="Arial"/>
                <w:sz w:val="22"/>
                <w:szCs w:val="22"/>
              </w:rPr>
              <w:t xml:space="preserve">s, suppliers or other material dependencies of the </w:t>
            </w:r>
            <w:r w:rsidR="000A19CB" w:rsidRPr="00FB2F3D">
              <w:rPr>
                <w:rFonts w:ascii="Arial" w:hAnsi="Arial" w:cs="Arial"/>
                <w:sz w:val="22"/>
                <w:szCs w:val="22"/>
              </w:rPr>
              <w:t>Issuer</w:t>
            </w:r>
            <w:r w:rsidRPr="00FB2F3D">
              <w:rPr>
                <w:rFonts w:ascii="Arial" w:hAnsi="Arial" w:cs="Arial"/>
                <w:sz w:val="22"/>
                <w:szCs w:val="22"/>
              </w:rPr>
              <w:t>;</w:t>
            </w:r>
          </w:p>
        </w:tc>
        <w:tc>
          <w:tcPr>
            <w:tcW w:w="128" w:type="pct"/>
          </w:tcPr>
          <w:p w14:paraId="00ED434C"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293B7787"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6965435E"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5" w:type="pct"/>
          </w:tcPr>
          <w:p w14:paraId="6CD663DF"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77C247C3"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7347F774"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3" w:type="pct"/>
          </w:tcPr>
          <w:p w14:paraId="2AED0179"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r>
      <w:tr w:rsidR="00162E0C" w:rsidRPr="00FB2F3D" w14:paraId="7293F4F9" w14:textId="77777777" w:rsidTr="008016B7">
        <w:tc>
          <w:tcPr>
            <w:tcW w:w="229" w:type="pct"/>
          </w:tcPr>
          <w:p w14:paraId="77038F82" w14:textId="77777777" w:rsidR="00162E0C" w:rsidRPr="00FB2F3D" w:rsidRDefault="00162E0C" w:rsidP="00270A15">
            <w:pPr>
              <w:pStyle w:val="UK12Block"/>
              <w:rPr>
                <w:rFonts w:ascii="Arial" w:hAnsi="Arial" w:cs="Arial"/>
                <w:sz w:val="22"/>
                <w:szCs w:val="22"/>
              </w:rPr>
            </w:pPr>
          </w:p>
        </w:tc>
        <w:tc>
          <w:tcPr>
            <w:tcW w:w="3399" w:type="pct"/>
          </w:tcPr>
          <w:p w14:paraId="5EA56CC7" w14:textId="77777777" w:rsidR="00162E0C" w:rsidRPr="00FB2F3D" w:rsidRDefault="00162E0C" w:rsidP="00755725">
            <w:pPr>
              <w:pStyle w:val="UK12Block"/>
              <w:numPr>
                <w:ilvl w:val="2"/>
                <w:numId w:val="59"/>
              </w:numPr>
              <w:rPr>
                <w:rFonts w:ascii="Arial" w:hAnsi="Arial" w:cs="Arial"/>
                <w:sz w:val="22"/>
                <w:szCs w:val="22"/>
              </w:rPr>
            </w:pPr>
            <w:r w:rsidRPr="00FB2F3D">
              <w:rPr>
                <w:rFonts w:ascii="Arial" w:hAnsi="Arial" w:cs="Arial"/>
                <w:sz w:val="22"/>
                <w:szCs w:val="22"/>
              </w:rPr>
              <w:t xml:space="preserve">if material to the </w:t>
            </w:r>
            <w:r w:rsidR="000A19CB" w:rsidRPr="00FB2F3D">
              <w:rPr>
                <w:rFonts w:ascii="Arial" w:hAnsi="Arial" w:cs="Arial"/>
                <w:sz w:val="22"/>
                <w:szCs w:val="22"/>
              </w:rPr>
              <w:t>Issuer</w:t>
            </w:r>
            <w:r w:rsidRPr="00FB2F3D">
              <w:rPr>
                <w:rFonts w:ascii="Arial" w:hAnsi="Arial" w:cs="Arial"/>
                <w:sz w:val="22"/>
                <w:szCs w:val="22"/>
              </w:rPr>
              <w:t xml:space="preserve">'s business or profitability, a summary of the extent to which the </w:t>
            </w:r>
            <w:r w:rsidR="000A19CB" w:rsidRPr="00FB2F3D">
              <w:rPr>
                <w:rFonts w:ascii="Arial" w:hAnsi="Arial" w:cs="Arial"/>
                <w:sz w:val="22"/>
                <w:szCs w:val="22"/>
              </w:rPr>
              <w:t>Issuer</w:t>
            </w:r>
            <w:r w:rsidRPr="00FB2F3D">
              <w:rPr>
                <w:rFonts w:ascii="Arial" w:hAnsi="Arial" w:cs="Arial"/>
                <w:sz w:val="22"/>
                <w:szCs w:val="22"/>
              </w:rPr>
              <w:t xml:space="preserve"> is dependent on any patents or licences, industrial, commercial or financial contracts or new manufacturing processes;</w:t>
            </w:r>
          </w:p>
        </w:tc>
        <w:tc>
          <w:tcPr>
            <w:tcW w:w="128" w:type="pct"/>
          </w:tcPr>
          <w:p w14:paraId="0B4B068E"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58473D84"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400FD92E"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5" w:type="pct"/>
          </w:tcPr>
          <w:p w14:paraId="3B0B8697"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44371045"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0F77F080"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3" w:type="pct"/>
          </w:tcPr>
          <w:p w14:paraId="07521247"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r>
      <w:tr w:rsidR="00162E0C" w:rsidRPr="00FB2F3D" w14:paraId="2DF21195" w14:textId="77777777" w:rsidTr="008016B7">
        <w:tc>
          <w:tcPr>
            <w:tcW w:w="229" w:type="pct"/>
          </w:tcPr>
          <w:p w14:paraId="3129E3BA" w14:textId="77777777" w:rsidR="00162E0C" w:rsidRPr="00FB2F3D" w:rsidRDefault="00162E0C" w:rsidP="00270A15">
            <w:pPr>
              <w:pStyle w:val="UK12Block"/>
              <w:rPr>
                <w:rFonts w:ascii="Arial" w:hAnsi="Arial" w:cs="Arial"/>
                <w:sz w:val="22"/>
                <w:szCs w:val="22"/>
              </w:rPr>
            </w:pPr>
          </w:p>
        </w:tc>
        <w:tc>
          <w:tcPr>
            <w:tcW w:w="3399" w:type="pct"/>
          </w:tcPr>
          <w:p w14:paraId="2F12265F" w14:textId="77777777" w:rsidR="00162E0C" w:rsidRPr="00FB2F3D" w:rsidRDefault="00162E0C" w:rsidP="00755725">
            <w:pPr>
              <w:pStyle w:val="UK12Block"/>
              <w:numPr>
                <w:ilvl w:val="2"/>
                <w:numId w:val="59"/>
              </w:numPr>
              <w:rPr>
                <w:rFonts w:ascii="Arial" w:hAnsi="Arial" w:cs="Arial"/>
                <w:sz w:val="22"/>
                <w:szCs w:val="22"/>
              </w:rPr>
            </w:pPr>
            <w:r w:rsidRPr="00FB2F3D">
              <w:rPr>
                <w:rFonts w:ascii="Arial" w:hAnsi="Arial" w:cs="Arial"/>
                <w:sz w:val="22"/>
                <w:szCs w:val="22"/>
              </w:rPr>
              <w:t xml:space="preserve">the basis for any statement made by the </w:t>
            </w:r>
            <w:r w:rsidR="000A19CB" w:rsidRPr="00FB2F3D">
              <w:rPr>
                <w:rFonts w:ascii="Arial" w:hAnsi="Arial" w:cs="Arial"/>
                <w:sz w:val="22"/>
                <w:szCs w:val="22"/>
              </w:rPr>
              <w:t>Issuer</w:t>
            </w:r>
            <w:r w:rsidRPr="00FB2F3D">
              <w:rPr>
                <w:rFonts w:ascii="Arial" w:hAnsi="Arial" w:cs="Arial"/>
                <w:sz w:val="22"/>
                <w:szCs w:val="22"/>
              </w:rPr>
              <w:t xml:space="preserve"> regarding its competitive position;</w:t>
            </w:r>
          </w:p>
        </w:tc>
        <w:tc>
          <w:tcPr>
            <w:tcW w:w="128" w:type="pct"/>
          </w:tcPr>
          <w:p w14:paraId="6656CF25"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2B55A6F8"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0FF33A7C"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5" w:type="pct"/>
          </w:tcPr>
          <w:p w14:paraId="011757FB"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7796DCBF"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719F7DCD"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3" w:type="pct"/>
          </w:tcPr>
          <w:p w14:paraId="0EAA14F1"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r>
      <w:tr w:rsidR="00162E0C" w:rsidRPr="00FB2F3D" w14:paraId="3937D455" w14:textId="77777777" w:rsidTr="008016B7">
        <w:tc>
          <w:tcPr>
            <w:tcW w:w="229" w:type="pct"/>
          </w:tcPr>
          <w:p w14:paraId="3A99452A" w14:textId="77777777" w:rsidR="00162E0C" w:rsidRPr="00FB2F3D" w:rsidRDefault="00162E0C" w:rsidP="00270A15">
            <w:pPr>
              <w:pStyle w:val="UK12Block"/>
              <w:rPr>
                <w:rFonts w:ascii="Arial" w:hAnsi="Arial" w:cs="Arial"/>
                <w:sz w:val="22"/>
                <w:szCs w:val="22"/>
              </w:rPr>
            </w:pPr>
          </w:p>
        </w:tc>
        <w:tc>
          <w:tcPr>
            <w:tcW w:w="3399" w:type="pct"/>
          </w:tcPr>
          <w:p w14:paraId="24FF3367" w14:textId="77777777" w:rsidR="00162E0C" w:rsidRPr="00FB2F3D" w:rsidRDefault="00162E0C" w:rsidP="00755725">
            <w:pPr>
              <w:pStyle w:val="UK12Block"/>
              <w:numPr>
                <w:ilvl w:val="2"/>
                <w:numId w:val="59"/>
              </w:numPr>
              <w:rPr>
                <w:rFonts w:ascii="Arial" w:hAnsi="Arial" w:cs="Arial"/>
                <w:sz w:val="22"/>
                <w:szCs w:val="22"/>
              </w:rPr>
            </w:pPr>
            <w:r w:rsidRPr="00FB2F3D">
              <w:rPr>
                <w:rFonts w:ascii="Arial" w:hAnsi="Arial" w:cs="Arial"/>
                <w:sz w:val="22"/>
                <w:szCs w:val="22"/>
              </w:rPr>
              <w:t xml:space="preserve">where the information given under this item has been influenced by exceptional factors, </w:t>
            </w:r>
            <w:r w:rsidR="00FC02C0" w:rsidRPr="00FB2F3D">
              <w:rPr>
                <w:rFonts w:ascii="Arial" w:hAnsi="Arial" w:cs="Arial"/>
                <w:sz w:val="22"/>
                <w:szCs w:val="22"/>
              </w:rPr>
              <w:t xml:space="preserve">a </w:t>
            </w:r>
            <w:r w:rsidRPr="00FB2F3D">
              <w:rPr>
                <w:rFonts w:ascii="Arial" w:hAnsi="Arial" w:cs="Arial"/>
                <w:sz w:val="22"/>
                <w:szCs w:val="22"/>
              </w:rPr>
              <w:t>statement about that fact; and</w:t>
            </w:r>
          </w:p>
        </w:tc>
        <w:tc>
          <w:tcPr>
            <w:tcW w:w="128" w:type="pct"/>
          </w:tcPr>
          <w:p w14:paraId="6D63B368"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24E69771"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3D4C8ADD" w14:textId="77777777" w:rsidR="00162E0C" w:rsidRPr="00FB2F3D" w:rsidRDefault="00162E0C" w:rsidP="00270A15">
            <w:pPr>
              <w:pStyle w:val="UK12Block"/>
              <w:rPr>
                <w:rFonts w:ascii="Arial" w:hAnsi="Arial" w:cs="Arial"/>
                <w:sz w:val="22"/>
                <w:szCs w:val="22"/>
              </w:rPr>
            </w:pPr>
          </w:p>
        </w:tc>
        <w:tc>
          <w:tcPr>
            <w:tcW w:w="255" w:type="pct"/>
          </w:tcPr>
          <w:p w14:paraId="3C781EB2" w14:textId="77777777" w:rsidR="00162E0C" w:rsidRPr="00FB2F3D" w:rsidRDefault="00162E0C" w:rsidP="00270A15">
            <w:pPr>
              <w:pStyle w:val="UK12Block"/>
              <w:rPr>
                <w:rFonts w:ascii="Arial" w:hAnsi="Arial" w:cs="Arial"/>
                <w:sz w:val="22"/>
                <w:szCs w:val="22"/>
              </w:rPr>
            </w:pPr>
          </w:p>
        </w:tc>
        <w:tc>
          <w:tcPr>
            <w:tcW w:w="223" w:type="pct"/>
          </w:tcPr>
          <w:p w14:paraId="673E6768"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6011EB54" w14:textId="77777777" w:rsidR="00162E0C" w:rsidRPr="00FB2F3D" w:rsidRDefault="00162E0C" w:rsidP="00270A15">
            <w:pPr>
              <w:pStyle w:val="UK12Block"/>
              <w:rPr>
                <w:rFonts w:ascii="Arial" w:hAnsi="Arial" w:cs="Arial"/>
                <w:sz w:val="22"/>
                <w:szCs w:val="22"/>
              </w:rPr>
            </w:pPr>
          </w:p>
        </w:tc>
        <w:tc>
          <w:tcPr>
            <w:tcW w:w="193" w:type="pct"/>
          </w:tcPr>
          <w:p w14:paraId="2A7DDA98"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r>
      <w:tr w:rsidR="00162E0C" w:rsidRPr="00FB2F3D" w14:paraId="76310217" w14:textId="77777777" w:rsidTr="008016B7">
        <w:tc>
          <w:tcPr>
            <w:tcW w:w="229" w:type="pct"/>
          </w:tcPr>
          <w:p w14:paraId="2DD995ED" w14:textId="77777777" w:rsidR="00162E0C" w:rsidRPr="00FB2F3D" w:rsidRDefault="00162E0C" w:rsidP="00270A15">
            <w:pPr>
              <w:pStyle w:val="UK12Block"/>
              <w:rPr>
                <w:rFonts w:ascii="Arial" w:hAnsi="Arial" w:cs="Arial"/>
                <w:sz w:val="22"/>
                <w:szCs w:val="22"/>
              </w:rPr>
            </w:pPr>
          </w:p>
        </w:tc>
        <w:tc>
          <w:tcPr>
            <w:tcW w:w="3399" w:type="pct"/>
          </w:tcPr>
          <w:p w14:paraId="0F595ECC" w14:textId="77777777" w:rsidR="00162E0C" w:rsidRPr="00FB2F3D" w:rsidRDefault="00162E0C" w:rsidP="00755725">
            <w:pPr>
              <w:pStyle w:val="UK12Block"/>
              <w:numPr>
                <w:ilvl w:val="2"/>
                <w:numId w:val="59"/>
              </w:numPr>
              <w:rPr>
                <w:rFonts w:ascii="Arial" w:hAnsi="Arial" w:cs="Arial"/>
                <w:sz w:val="22"/>
                <w:szCs w:val="22"/>
              </w:rPr>
            </w:pPr>
            <w:r w:rsidRPr="00FB2F3D">
              <w:rPr>
                <w:rFonts w:ascii="Arial" w:hAnsi="Arial" w:cs="Arial"/>
                <w:sz w:val="22"/>
                <w:szCs w:val="22"/>
              </w:rPr>
              <w:t xml:space="preserve">where the </w:t>
            </w:r>
            <w:r w:rsidR="000A19CB" w:rsidRPr="00FB2F3D">
              <w:rPr>
                <w:rFonts w:ascii="Arial" w:hAnsi="Arial" w:cs="Arial"/>
                <w:sz w:val="22"/>
                <w:szCs w:val="22"/>
              </w:rPr>
              <w:t>Issuer</w:t>
            </w:r>
            <w:r w:rsidRPr="00FB2F3D">
              <w:rPr>
                <w:rFonts w:ascii="Arial" w:hAnsi="Arial" w:cs="Arial"/>
                <w:sz w:val="22"/>
                <w:szCs w:val="22"/>
              </w:rPr>
              <w:t xml:space="preserve"> belongs to a Group, relevant material information as specified above in relation to the Group's activities.</w:t>
            </w:r>
          </w:p>
        </w:tc>
        <w:tc>
          <w:tcPr>
            <w:tcW w:w="128" w:type="pct"/>
          </w:tcPr>
          <w:p w14:paraId="72966656"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0EE0F438"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6705CF4C" w14:textId="77777777" w:rsidR="00162E0C" w:rsidRPr="00FB2F3D" w:rsidRDefault="00162E0C" w:rsidP="00270A15">
            <w:pPr>
              <w:pStyle w:val="UK12Block"/>
              <w:rPr>
                <w:rFonts w:ascii="Arial" w:hAnsi="Arial" w:cs="Arial"/>
                <w:sz w:val="22"/>
                <w:szCs w:val="22"/>
              </w:rPr>
            </w:pPr>
          </w:p>
        </w:tc>
        <w:tc>
          <w:tcPr>
            <w:tcW w:w="255" w:type="pct"/>
          </w:tcPr>
          <w:p w14:paraId="64EE9756" w14:textId="77777777" w:rsidR="00162E0C" w:rsidRPr="00FB2F3D" w:rsidRDefault="00162E0C" w:rsidP="00270A15">
            <w:pPr>
              <w:pStyle w:val="UK12Block"/>
              <w:rPr>
                <w:rFonts w:ascii="Arial" w:hAnsi="Arial" w:cs="Arial"/>
                <w:sz w:val="22"/>
                <w:szCs w:val="22"/>
              </w:rPr>
            </w:pPr>
          </w:p>
        </w:tc>
        <w:tc>
          <w:tcPr>
            <w:tcW w:w="223" w:type="pct"/>
          </w:tcPr>
          <w:p w14:paraId="30309A55"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539D6B6C" w14:textId="77777777" w:rsidR="00162E0C" w:rsidRPr="00FB2F3D" w:rsidRDefault="00162E0C" w:rsidP="00270A15">
            <w:pPr>
              <w:pStyle w:val="UK12Block"/>
              <w:rPr>
                <w:rFonts w:ascii="Arial" w:hAnsi="Arial" w:cs="Arial"/>
                <w:sz w:val="22"/>
                <w:szCs w:val="22"/>
              </w:rPr>
            </w:pPr>
          </w:p>
        </w:tc>
        <w:tc>
          <w:tcPr>
            <w:tcW w:w="193" w:type="pct"/>
          </w:tcPr>
          <w:p w14:paraId="592EDF15"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r>
      <w:tr w:rsidR="00162E0C" w:rsidRPr="00FB2F3D" w14:paraId="3FA33906" w14:textId="77777777" w:rsidTr="008016B7">
        <w:tc>
          <w:tcPr>
            <w:tcW w:w="229" w:type="pct"/>
          </w:tcPr>
          <w:p w14:paraId="512A27E9" w14:textId="77777777" w:rsidR="00162E0C" w:rsidRPr="00FB2F3D" w:rsidRDefault="00162E0C" w:rsidP="00755725">
            <w:pPr>
              <w:pStyle w:val="UK12Block"/>
              <w:numPr>
                <w:ilvl w:val="1"/>
                <w:numId w:val="59"/>
              </w:numPr>
              <w:spacing w:after="0"/>
              <w:rPr>
                <w:rFonts w:ascii="Arial" w:hAnsi="Arial" w:cs="Arial"/>
                <w:b/>
                <w:sz w:val="22"/>
                <w:szCs w:val="22"/>
              </w:rPr>
            </w:pPr>
          </w:p>
        </w:tc>
        <w:tc>
          <w:tcPr>
            <w:tcW w:w="3399" w:type="pct"/>
          </w:tcPr>
          <w:p w14:paraId="594A03B7" w14:textId="77777777" w:rsidR="00162E0C" w:rsidRPr="00FB2F3D" w:rsidRDefault="00162E0C" w:rsidP="00270A15">
            <w:pPr>
              <w:pStyle w:val="UK12Block"/>
              <w:rPr>
                <w:rFonts w:ascii="Arial" w:hAnsi="Arial" w:cs="Arial"/>
                <w:b/>
                <w:sz w:val="22"/>
                <w:szCs w:val="22"/>
              </w:rPr>
            </w:pPr>
            <w:r w:rsidRPr="00FB2F3D">
              <w:rPr>
                <w:rFonts w:ascii="Arial" w:hAnsi="Arial" w:cs="Arial"/>
                <w:b/>
                <w:sz w:val="22"/>
                <w:szCs w:val="22"/>
              </w:rPr>
              <w:t>Significant factors affecting income/operations</w:t>
            </w:r>
          </w:p>
          <w:p w14:paraId="077D56CE" w14:textId="77777777" w:rsidR="00265F29" w:rsidRPr="00FB2F3D" w:rsidRDefault="00162E0C" w:rsidP="00755725">
            <w:pPr>
              <w:pStyle w:val="UK12Block"/>
              <w:numPr>
                <w:ilvl w:val="2"/>
                <w:numId w:val="59"/>
              </w:numPr>
              <w:rPr>
                <w:rFonts w:ascii="Arial" w:hAnsi="Arial" w:cs="Arial"/>
                <w:sz w:val="22"/>
                <w:szCs w:val="22"/>
              </w:rPr>
            </w:pPr>
            <w:r w:rsidRPr="00FB2F3D">
              <w:rPr>
                <w:rFonts w:ascii="Arial" w:hAnsi="Arial" w:cs="Arial"/>
                <w:sz w:val="22"/>
                <w:szCs w:val="22"/>
              </w:rPr>
              <w:t>Information regarding significant factors, including unusual</w:t>
            </w:r>
            <w:r w:rsidRPr="00FB2F3D">
              <w:rPr>
                <w:rFonts w:ascii="Arial" w:hAnsi="Arial" w:cs="Arial"/>
                <w:sz w:val="22"/>
                <w:szCs w:val="22"/>
                <w:lang w:eastAsia="ja-JP"/>
              </w:rPr>
              <w:t xml:space="preserve"> </w:t>
            </w:r>
            <w:r w:rsidRPr="00FB2F3D">
              <w:rPr>
                <w:rFonts w:ascii="Arial" w:hAnsi="Arial" w:cs="Arial"/>
                <w:sz w:val="22"/>
                <w:szCs w:val="22"/>
              </w:rPr>
              <w:t xml:space="preserve">or infrequent events or new developments, which are materially affecting or may likely to so affect the </w:t>
            </w:r>
            <w:r w:rsidR="000A19CB" w:rsidRPr="00FB2F3D">
              <w:rPr>
                <w:rFonts w:ascii="Arial" w:hAnsi="Arial" w:cs="Arial"/>
                <w:sz w:val="22"/>
                <w:szCs w:val="22"/>
              </w:rPr>
              <w:t>Issuer</w:t>
            </w:r>
            <w:r w:rsidRPr="00FB2F3D">
              <w:rPr>
                <w:rFonts w:ascii="Arial" w:hAnsi="Arial" w:cs="Arial"/>
                <w:sz w:val="22"/>
                <w:szCs w:val="22"/>
              </w:rPr>
              <w:t>'s income from operations, indicating the extent to which income was so affected.</w:t>
            </w:r>
          </w:p>
          <w:p w14:paraId="6E77CFB6" w14:textId="77777777" w:rsidR="00265F29" w:rsidRPr="00FB2F3D" w:rsidRDefault="00162E0C" w:rsidP="00755725">
            <w:pPr>
              <w:pStyle w:val="UK12Block"/>
              <w:numPr>
                <w:ilvl w:val="2"/>
                <w:numId w:val="59"/>
              </w:numPr>
              <w:rPr>
                <w:rFonts w:ascii="Arial" w:hAnsi="Arial" w:cs="Arial"/>
                <w:sz w:val="22"/>
                <w:szCs w:val="22"/>
              </w:rPr>
            </w:pPr>
            <w:r w:rsidRPr="00FB2F3D">
              <w:rPr>
                <w:rFonts w:ascii="Arial" w:hAnsi="Arial" w:cs="Arial"/>
                <w:sz w:val="22"/>
                <w:szCs w:val="22"/>
              </w:rPr>
              <w:t>Where the financial statements disclose material changes in net sales or revenues, a narrative discussion of the reasons for such monetary or political policies changes.</w:t>
            </w:r>
          </w:p>
          <w:p w14:paraId="05685FC6" w14:textId="77777777" w:rsidR="00162E0C" w:rsidRPr="00FB2F3D" w:rsidRDefault="00162E0C" w:rsidP="00755725">
            <w:pPr>
              <w:pStyle w:val="UK12Block"/>
              <w:numPr>
                <w:ilvl w:val="2"/>
                <w:numId w:val="59"/>
              </w:numPr>
              <w:rPr>
                <w:rFonts w:ascii="Arial" w:hAnsi="Arial" w:cs="Arial"/>
                <w:sz w:val="22"/>
                <w:szCs w:val="22"/>
              </w:rPr>
            </w:pPr>
            <w:r w:rsidRPr="00FB2F3D">
              <w:rPr>
                <w:rFonts w:ascii="Arial" w:hAnsi="Arial" w:cs="Arial"/>
                <w:sz w:val="22"/>
                <w:szCs w:val="22"/>
              </w:rPr>
              <w:t>Information regarding any governmental, economic, fiscal, monetary or political policies or factors that have materially affected, or could materially affect, directly</w:t>
            </w:r>
            <w:r w:rsidRPr="00FB2F3D">
              <w:rPr>
                <w:rFonts w:ascii="Arial" w:hAnsi="Arial" w:cs="Arial"/>
                <w:sz w:val="22"/>
                <w:szCs w:val="22"/>
                <w:lang w:eastAsia="ja-JP"/>
              </w:rPr>
              <w:t xml:space="preserve"> </w:t>
            </w:r>
            <w:r w:rsidRPr="00FB2F3D">
              <w:rPr>
                <w:rFonts w:ascii="Arial" w:hAnsi="Arial" w:cs="Arial"/>
                <w:sz w:val="22"/>
                <w:szCs w:val="22"/>
              </w:rPr>
              <w:t xml:space="preserve">or indirectly, the </w:t>
            </w:r>
            <w:r w:rsidR="000A19CB" w:rsidRPr="00FB2F3D">
              <w:rPr>
                <w:rFonts w:ascii="Arial" w:hAnsi="Arial" w:cs="Arial"/>
                <w:sz w:val="22"/>
                <w:szCs w:val="22"/>
              </w:rPr>
              <w:t>Issuer</w:t>
            </w:r>
            <w:r w:rsidRPr="00FB2F3D">
              <w:rPr>
                <w:rFonts w:ascii="Arial" w:hAnsi="Arial" w:cs="Arial"/>
                <w:sz w:val="22"/>
                <w:szCs w:val="22"/>
              </w:rPr>
              <w:t>'s operations.</w:t>
            </w:r>
          </w:p>
        </w:tc>
        <w:tc>
          <w:tcPr>
            <w:tcW w:w="128" w:type="pct"/>
          </w:tcPr>
          <w:p w14:paraId="102EDCB7"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70D60B47"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5E7BA8D7" w14:textId="77777777" w:rsidR="00162E0C" w:rsidRPr="00FB2F3D" w:rsidRDefault="00162E0C" w:rsidP="00270A15">
            <w:pPr>
              <w:pStyle w:val="UK12Block"/>
              <w:rPr>
                <w:rFonts w:ascii="Arial" w:hAnsi="Arial" w:cs="Arial"/>
                <w:sz w:val="22"/>
                <w:szCs w:val="22"/>
              </w:rPr>
            </w:pPr>
          </w:p>
        </w:tc>
        <w:tc>
          <w:tcPr>
            <w:tcW w:w="255" w:type="pct"/>
          </w:tcPr>
          <w:p w14:paraId="4909184C" w14:textId="77777777" w:rsidR="00162E0C" w:rsidRPr="00FB2F3D" w:rsidRDefault="00162E0C" w:rsidP="00270A15">
            <w:pPr>
              <w:pStyle w:val="UK12Block"/>
              <w:rPr>
                <w:rFonts w:ascii="Arial" w:hAnsi="Arial" w:cs="Arial"/>
                <w:sz w:val="22"/>
                <w:szCs w:val="22"/>
              </w:rPr>
            </w:pPr>
          </w:p>
        </w:tc>
        <w:tc>
          <w:tcPr>
            <w:tcW w:w="223" w:type="pct"/>
          </w:tcPr>
          <w:p w14:paraId="7CF5ED6D"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01A27C4B" w14:textId="77777777" w:rsidR="00162E0C" w:rsidRPr="00FB2F3D" w:rsidRDefault="00162E0C" w:rsidP="00270A15">
            <w:pPr>
              <w:pStyle w:val="UK12Block"/>
              <w:rPr>
                <w:rFonts w:ascii="Arial" w:hAnsi="Arial" w:cs="Arial"/>
                <w:sz w:val="22"/>
                <w:szCs w:val="22"/>
              </w:rPr>
            </w:pPr>
          </w:p>
        </w:tc>
        <w:tc>
          <w:tcPr>
            <w:tcW w:w="193" w:type="pct"/>
          </w:tcPr>
          <w:p w14:paraId="5186E8F1"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r>
      <w:tr w:rsidR="00162E0C" w:rsidRPr="00FB2F3D" w14:paraId="0B97F867" w14:textId="77777777" w:rsidTr="008016B7">
        <w:tc>
          <w:tcPr>
            <w:tcW w:w="229" w:type="pct"/>
          </w:tcPr>
          <w:p w14:paraId="73CF6774" w14:textId="77777777" w:rsidR="00162E0C" w:rsidRPr="00FB2F3D" w:rsidRDefault="00162E0C" w:rsidP="00755725">
            <w:pPr>
              <w:pStyle w:val="UK12Block"/>
              <w:numPr>
                <w:ilvl w:val="1"/>
                <w:numId w:val="59"/>
              </w:numPr>
              <w:spacing w:after="0"/>
              <w:rPr>
                <w:rFonts w:ascii="Arial" w:hAnsi="Arial" w:cs="Arial"/>
                <w:sz w:val="22"/>
                <w:szCs w:val="22"/>
              </w:rPr>
            </w:pPr>
          </w:p>
        </w:tc>
        <w:tc>
          <w:tcPr>
            <w:tcW w:w="3399" w:type="pct"/>
          </w:tcPr>
          <w:p w14:paraId="76C0C9E5" w14:textId="77777777" w:rsidR="00162E0C" w:rsidRPr="00FB2F3D" w:rsidRDefault="00162E0C" w:rsidP="00270A15">
            <w:pPr>
              <w:pStyle w:val="UK12Block"/>
              <w:rPr>
                <w:rFonts w:ascii="Arial" w:hAnsi="Arial" w:cs="Arial"/>
                <w:b/>
                <w:sz w:val="22"/>
                <w:szCs w:val="22"/>
              </w:rPr>
            </w:pPr>
            <w:r w:rsidRPr="00FB2F3D">
              <w:rPr>
                <w:rFonts w:ascii="Arial" w:hAnsi="Arial" w:cs="Arial"/>
                <w:b/>
                <w:sz w:val="22"/>
                <w:szCs w:val="22"/>
              </w:rPr>
              <w:t>Risk factors</w:t>
            </w:r>
          </w:p>
          <w:p w14:paraId="5D0E40AA" w14:textId="77777777" w:rsidR="00162E0C" w:rsidRPr="00FB2F3D" w:rsidRDefault="00162E0C" w:rsidP="00270A15">
            <w:pPr>
              <w:pStyle w:val="UK12Block"/>
              <w:rPr>
                <w:rFonts w:ascii="Arial" w:hAnsi="Arial" w:cs="Arial"/>
                <w:sz w:val="22"/>
                <w:szCs w:val="22"/>
              </w:rPr>
            </w:pPr>
            <w:r w:rsidRPr="00FB2F3D">
              <w:rPr>
                <w:rFonts w:ascii="Arial" w:hAnsi="Arial" w:cs="Arial"/>
                <w:sz w:val="22"/>
                <w:szCs w:val="22"/>
              </w:rPr>
              <w:lastRenderedPageBreak/>
              <w:t xml:space="preserve">Prominent disclosure of risk factors that are specific to the </w:t>
            </w:r>
            <w:r w:rsidR="000A19CB" w:rsidRPr="00FB2F3D">
              <w:rPr>
                <w:rFonts w:ascii="Arial" w:hAnsi="Arial" w:cs="Arial"/>
                <w:sz w:val="22"/>
                <w:szCs w:val="22"/>
              </w:rPr>
              <w:t>Issuer</w:t>
            </w:r>
            <w:r w:rsidRPr="00FB2F3D">
              <w:rPr>
                <w:rFonts w:ascii="Arial" w:hAnsi="Arial" w:cs="Arial"/>
                <w:sz w:val="22"/>
                <w:szCs w:val="22"/>
              </w:rPr>
              <w:t xml:space="preserve"> and if relevant, its industry in a section headed</w:t>
            </w:r>
            <w:r w:rsidRPr="00FB2F3D">
              <w:rPr>
                <w:rFonts w:ascii="Arial" w:hAnsi="Arial" w:cs="Arial"/>
                <w:sz w:val="22"/>
                <w:szCs w:val="22"/>
                <w:lang w:eastAsia="ja-JP"/>
              </w:rPr>
              <w:t xml:space="preserve"> </w:t>
            </w:r>
            <w:r w:rsidRPr="00FB2F3D">
              <w:rPr>
                <w:rFonts w:ascii="Arial" w:hAnsi="Arial" w:cs="Arial"/>
                <w:sz w:val="22"/>
                <w:szCs w:val="22"/>
              </w:rPr>
              <w:t>"Risk Factors" containing information including:</w:t>
            </w:r>
          </w:p>
          <w:p w14:paraId="06D397F2" w14:textId="77777777" w:rsidR="00265F29" w:rsidRPr="00FB2F3D" w:rsidRDefault="00162E0C" w:rsidP="00755725">
            <w:pPr>
              <w:pStyle w:val="UK12Block"/>
              <w:numPr>
                <w:ilvl w:val="2"/>
                <w:numId w:val="59"/>
              </w:numPr>
              <w:rPr>
                <w:rFonts w:ascii="Arial" w:hAnsi="Arial" w:cs="Arial"/>
                <w:sz w:val="22"/>
                <w:szCs w:val="22"/>
              </w:rPr>
            </w:pPr>
            <w:r w:rsidRPr="00FB2F3D">
              <w:rPr>
                <w:rFonts w:ascii="Arial" w:hAnsi="Arial" w:cs="Arial"/>
                <w:sz w:val="22"/>
                <w:szCs w:val="22"/>
              </w:rPr>
              <w:t xml:space="preserve">the material risks associated with investing in the </w:t>
            </w:r>
            <w:r w:rsidR="000A19CB" w:rsidRPr="00FB2F3D">
              <w:rPr>
                <w:rFonts w:ascii="Arial" w:hAnsi="Arial" w:cs="Arial"/>
                <w:sz w:val="22"/>
                <w:szCs w:val="22"/>
              </w:rPr>
              <w:t>Issuer</w:t>
            </w:r>
            <w:r w:rsidRPr="00FB2F3D">
              <w:rPr>
                <w:rFonts w:ascii="Arial" w:hAnsi="Arial" w:cs="Arial"/>
                <w:sz w:val="22"/>
                <w:szCs w:val="22"/>
              </w:rPr>
              <w:t xml:space="preserve">, and where applicable, any risks associated with the assets to be acquired using the proceeds of the </w:t>
            </w:r>
            <w:r w:rsidR="00FB37F9" w:rsidRPr="00FB2F3D">
              <w:rPr>
                <w:rFonts w:ascii="Arial" w:hAnsi="Arial" w:cs="Arial"/>
                <w:sz w:val="22"/>
                <w:szCs w:val="22"/>
              </w:rPr>
              <w:t>Offer</w:t>
            </w:r>
            <w:r w:rsidRPr="00FB2F3D">
              <w:rPr>
                <w:rFonts w:ascii="Arial" w:hAnsi="Arial" w:cs="Arial"/>
                <w:sz w:val="22"/>
                <w:szCs w:val="22"/>
              </w:rPr>
              <w:t>;</w:t>
            </w:r>
          </w:p>
          <w:p w14:paraId="7E78DEC0" w14:textId="77777777" w:rsidR="00265F29" w:rsidRPr="00FB2F3D" w:rsidRDefault="00162E0C" w:rsidP="00755725">
            <w:pPr>
              <w:pStyle w:val="UK12Block"/>
              <w:numPr>
                <w:ilvl w:val="2"/>
                <w:numId w:val="59"/>
              </w:numPr>
              <w:rPr>
                <w:rFonts w:ascii="Arial" w:hAnsi="Arial" w:cs="Arial"/>
                <w:sz w:val="22"/>
                <w:szCs w:val="22"/>
              </w:rPr>
            </w:pPr>
            <w:r w:rsidRPr="00FB2F3D">
              <w:rPr>
                <w:rFonts w:ascii="Arial" w:hAnsi="Arial" w:cs="Arial"/>
                <w:sz w:val="22"/>
                <w:szCs w:val="22"/>
              </w:rPr>
              <w:t xml:space="preserve">the effect that the material risks may have on the </w:t>
            </w:r>
            <w:r w:rsidR="000A19CB" w:rsidRPr="00FB2F3D">
              <w:rPr>
                <w:rFonts w:ascii="Arial" w:hAnsi="Arial" w:cs="Arial"/>
                <w:sz w:val="22"/>
                <w:szCs w:val="22"/>
              </w:rPr>
              <w:t>Issuer</w:t>
            </w:r>
            <w:r w:rsidRPr="00FB2F3D">
              <w:rPr>
                <w:rFonts w:ascii="Arial" w:hAnsi="Arial" w:cs="Arial"/>
                <w:sz w:val="22"/>
                <w:szCs w:val="22"/>
              </w:rPr>
              <w:t xml:space="preserve"> together with a discussion of how the risk could affect the business, operating results and financial condition of the </w:t>
            </w:r>
            <w:r w:rsidR="000A19CB" w:rsidRPr="00FB2F3D">
              <w:rPr>
                <w:rFonts w:ascii="Arial" w:hAnsi="Arial" w:cs="Arial"/>
                <w:sz w:val="22"/>
                <w:szCs w:val="22"/>
              </w:rPr>
              <w:t>Issuer</w:t>
            </w:r>
            <w:r w:rsidRPr="00FB2F3D">
              <w:rPr>
                <w:rFonts w:ascii="Arial" w:hAnsi="Arial" w:cs="Arial"/>
                <w:sz w:val="22"/>
                <w:szCs w:val="22"/>
              </w:rPr>
              <w:t>;</w:t>
            </w:r>
          </w:p>
          <w:p w14:paraId="7E0662A8" w14:textId="77777777" w:rsidR="00265F29" w:rsidRPr="00FB2F3D" w:rsidRDefault="00162E0C" w:rsidP="00755725">
            <w:pPr>
              <w:pStyle w:val="UK12Block"/>
              <w:numPr>
                <w:ilvl w:val="2"/>
                <w:numId w:val="59"/>
              </w:numPr>
              <w:rPr>
                <w:rFonts w:ascii="Arial" w:hAnsi="Arial" w:cs="Arial"/>
                <w:sz w:val="22"/>
                <w:szCs w:val="22"/>
              </w:rPr>
            </w:pPr>
            <w:r w:rsidRPr="00FB2F3D">
              <w:rPr>
                <w:rFonts w:ascii="Arial" w:hAnsi="Arial" w:cs="Arial"/>
                <w:sz w:val="22"/>
                <w:szCs w:val="22"/>
              </w:rPr>
              <w:t xml:space="preserve">any steps proposed by the </w:t>
            </w:r>
            <w:r w:rsidR="000A19CB" w:rsidRPr="00FB2F3D">
              <w:rPr>
                <w:rFonts w:ascii="Arial" w:hAnsi="Arial" w:cs="Arial"/>
                <w:sz w:val="22"/>
                <w:szCs w:val="22"/>
              </w:rPr>
              <w:t>Issuer</w:t>
            </w:r>
            <w:r w:rsidRPr="00FB2F3D">
              <w:rPr>
                <w:rFonts w:ascii="Arial" w:hAnsi="Arial" w:cs="Arial"/>
                <w:sz w:val="22"/>
                <w:szCs w:val="22"/>
              </w:rPr>
              <w:t xml:space="preserve"> to mitigate or manage the risks; and</w:t>
            </w:r>
          </w:p>
          <w:p w14:paraId="5603D16C" w14:textId="77777777" w:rsidR="00162E0C" w:rsidRPr="00FB2F3D" w:rsidRDefault="00162E0C" w:rsidP="00755725">
            <w:pPr>
              <w:pStyle w:val="UK12Block"/>
              <w:numPr>
                <w:ilvl w:val="2"/>
                <w:numId w:val="59"/>
              </w:numPr>
              <w:rPr>
                <w:rFonts w:ascii="Arial" w:hAnsi="Arial" w:cs="Arial"/>
                <w:sz w:val="22"/>
                <w:szCs w:val="22"/>
              </w:rPr>
            </w:pPr>
            <w:r w:rsidRPr="00FB2F3D">
              <w:rPr>
                <w:rFonts w:ascii="Arial" w:hAnsi="Arial" w:cs="Arial"/>
                <w:sz w:val="22"/>
                <w:szCs w:val="22"/>
              </w:rPr>
              <w:t xml:space="preserve">general and specific risks relating to the industry and the jurisdiction in which the </w:t>
            </w:r>
            <w:r w:rsidR="000A19CB" w:rsidRPr="00FB2F3D">
              <w:rPr>
                <w:rFonts w:ascii="Arial" w:hAnsi="Arial" w:cs="Arial"/>
                <w:sz w:val="22"/>
                <w:szCs w:val="22"/>
              </w:rPr>
              <w:t>Issuer</w:t>
            </w:r>
            <w:r w:rsidRPr="00FB2F3D">
              <w:rPr>
                <w:rFonts w:ascii="Arial" w:hAnsi="Arial" w:cs="Arial"/>
                <w:sz w:val="22"/>
                <w:szCs w:val="22"/>
              </w:rPr>
              <w:t xml:space="preserve"> operates.</w:t>
            </w:r>
          </w:p>
        </w:tc>
        <w:tc>
          <w:tcPr>
            <w:tcW w:w="128" w:type="pct"/>
          </w:tcPr>
          <w:p w14:paraId="6B8608F4"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lastRenderedPageBreak/>
              <w:sym w:font="Wingdings" w:char="F0FC"/>
            </w:r>
          </w:p>
        </w:tc>
        <w:tc>
          <w:tcPr>
            <w:tcW w:w="223" w:type="pct"/>
          </w:tcPr>
          <w:p w14:paraId="101267FD"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2D2C0564"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5" w:type="pct"/>
          </w:tcPr>
          <w:p w14:paraId="0CD794D0"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4574ADFA"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2843356D"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3" w:type="pct"/>
          </w:tcPr>
          <w:p w14:paraId="356555C3"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r>
      <w:tr w:rsidR="00162E0C" w:rsidRPr="00FB2F3D" w14:paraId="6DAB0B38" w14:textId="77777777" w:rsidTr="008016B7">
        <w:tc>
          <w:tcPr>
            <w:tcW w:w="229" w:type="pct"/>
          </w:tcPr>
          <w:p w14:paraId="602143BC" w14:textId="77777777" w:rsidR="00162E0C" w:rsidRPr="00FB2F3D" w:rsidRDefault="00162E0C" w:rsidP="00755725">
            <w:pPr>
              <w:pStyle w:val="UK12Block"/>
              <w:numPr>
                <w:ilvl w:val="1"/>
                <w:numId w:val="59"/>
              </w:numPr>
              <w:spacing w:after="0"/>
              <w:rPr>
                <w:rFonts w:ascii="Arial" w:hAnsi="Arial" w:cs="Arial"/>
                <w:b/>
                <w:sz w:val="22"/>
                <w:szCs w:val="22"/>
              </w:rPr>
            </w:pPr>
          </w:p>
        </w:tc>
        <w:tc>
          <w:tcPr>
            <w:tcW w:w="3399" w:type="pct"/>
          </w:tcPr>
          <w:p w14:paraId="7730659A" w14:textId="77777777" w:rsidR="00162E0C" w:rsidRPr="00FB2F3D" w:rsidRDefault="00162E0C" w:rsidP="00270A15">
            <w:pPr>
              <w:pStyle w:val="UK12Block"/>
              <w:rPr>
                <w:rFonts w:ascii="Arial" w:hAnsi="Arial" w:cs="Arial"/>
                <w:b/>
                <w:sz w:val="22"/>
                <w:szCs w:val="22"/>
              </w:rPr>
            </w:pPr>
            <w:r w:rsidRPr="00FB2F3D">
              <w:rPr>
                <w:rFonts w:ascii="Arial" w:hAnsi="Arial" w:cs="Arial"/>
                <w:b/>
                <w:sz w:val="22"/>
                <w:szCs w:val="22"/>
              </w:rPr>
              <w:t>Production and sales trends.</w:t>
            </w:r>
          </w:p>
          <w:p w14:paraId="16B6AAC7" w14:textId="77777777" w:rsidR="00265F29" w:rsidRPr="00FB2F3D" w:rsidRDefault="00162E0C" w:rsidP="00755725">
            <w:pPr>
              <w:pStyle w:val="UK12Block"/>
              <w:numPr>
                <w:ilvl w:val="2"/>
                <w:numId w:val="59"/>
              </w:numPr>
              <w:rPr>
                <w:rFonts w:ascii="Arial" w:hAnsi="Arial" w:cs="Arial"/>
                <w:sz w:val="22"/>
                <w:szCs w:val="22"/>
              </w:rPr>
            </w:pPr>
            <w:r w:rsidRPr="00FB2F3D">
              <w:rPr>
                <w:rFonts w:ascii="Arial" w:hAnsi="Arial" w:cs="Arial"/>
                <w:sz w:val="22"/>
                <w:szCs w:val="22"/>
              </w:rPr>
              <w:t>Information about</w:t>
            </w:r>
            <w:r w:rsidRPr="00FB2F3D">
              <w:rPr>
                <w:rFonts w:ascii="Arial" w:hAnsi="Arial" w:cs="Arial"/>
                <w:sz w:val="22"/>
                <w:szCs w:val="22"/>
                <w:lang w:eastAsia="ja-JP"/>
              </w:rPr>
              <w:t xml:space="preserve"> </w:t>
            </w:r>
            <w:r w:rsidRPr="00FB2F3D">
              <w:rPr>
                <w:rFonts w:ascii="Arial" w:hAnsi="Arial" w:cs="Arial"/>
                <w:sz w:val="22"/>
                <w:szCs w:val="22"/>
              </w:rPr>
              <w:t>the most significant recent trends in production, sales and inventory, and costs and selling prices since the end of the last financial year to the date of the Registration Statement</w:t>
            </w:r>
            <w:r w:rsidRPr="00FB2F3D">
              <w:rPr>
                <w:rFonts w:ascii="Arial" w:hAnsi="Arial" w:cs="Arial"/>
                <w:sz w:val="22"/>
                <w:szCs w:val="22"/>
                <w:lang w:eastAsia="ja-JP"/>
              </w:rPr>
              <w:t>.</w:t>
            </w:r>
          </w:p>
        </w:tc>
        <w:tc>
          <w:tcPr>
            <w:tcW w:w="128" w:type="pct"/>
          </w:tcPr>
          <w:p w14:paraId="78C24212"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4F6DAC11"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3D6EE802"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5" w:type="pct"/>
          </w:tcPr>
          <w:p w14:paraId="62C77AC7"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19BE0D45"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2B0FD5E7"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3" w:type="pct"/>
          </w:tcPr>
          <w:p w14:paraId="198DBD7C"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r>
      <w:tr w:rsidR="00162E0C" w:rsidRPr="00FB2F3D" w14:paraId="2A2103D7" w14:textId="77777777" w:rsidTr="008016B7">
        <w:trPr>
          <w:cantSplit/>
        </w:trPr>
        <w:tc>
          <w:tcPr>
            <w:tcW w:w="229" w:type="pct"/>
          </w:tcPr>
          <w:p w14:paraId="55DA66FE" w14:textId="77777777" w:rsidR="00162E0C" w:rsidRPr="00FB2F3D" w:rsidRDefault="00162E0C" w:rsidP="00270A15">
            <w:pPr>
              <w:pStyle w:val="UK12Block"/>
              <w:rPr>
                <w:rFonts w:ascii="Arial" w:hAnsi="Arial" w:cs="Arial"/>
                <w:sz w:val="22"/>
                <w:szCs w:val="22"/>
              </w:rPr>
            </w:pPr>
          </w:p>
        </w:tc>
        <w:tc>
          <w:tcPr>
            <w:tcW w:w="3399" w:type="pct"/>
          </w:tcPr>
          <w:p w14:paraId="36ADFDA8" w14:textId="77777777" w:rsidR="00162E0C" w:rsidRPr="00FB2F3D" w:rsidRDefault="00162E0C" w:rsidP="00755725">
            <w:pPr>
              <w:pStyle w:val="UK12Block"/>
              <w:numPr>
                <w:ilvl w:val="2"/>
                <w:numId w:val="59"/>
              </w:numPr>
              <w:rPr>
                <w:rFonts w:ascii="Arial" w:hAnsi="Arial" w:cs="Arial"/>
                <w:sz w:val="22"/>
                <w:szCs w:val="22"/>
              </w:rPr>
            </w:pPr>
            <w:r w:rsidRPr="00FB2F3D">
              <w:rPr>
                <w:rFonts w:ascii="Arial" w:hAnsi="Arial" w:cs="Arial"/>
                <w:sz w:val="22"/>
                <w:szCs w:val="22"/>
              </w:rPr>
              <w:t>If:</w:t>
            </w:r>
          </w:p>
          <w:p w14:paraId="4BE8F8A3" w14:textId="77777777" w:rsidR="00162E0C" w:rsidRPr="00FB2F3D" w:rsidRDefault="00162E0C" w:rsidP="00755725">
            <w:pPr>
              <w:pStyle w:val="UK12Block"/>
              <w:numPr>
                <w:ilvl w:val="3"/>
                <w:numId w:val="59"/>
              </w:numPr>
              <w:rPr>
                <w:rFonts w:ascii="Arial" w:hAnsi="Arial" w:cs="Arial"/>
                <w:sz w:val="22"/>
                <w:szCs w:val="22"/>
              </w:rPr>
            </w:pPr>
            <w:r w:rsidRPr="00FB2F3D">
              <w:rPr>
                <w:rFonts w:ascii="Arial" w:hAnsi="Arial" w:cs="Arial"/>
                <w:sz w:val="22"/>
                <w:szCs w:val="22"/>
              </w:rPr>
              <w:t>there has been no material adverse change relating to the information referred to in (a)</w:t>
            </w:r>
            <w:r w:rsidR="00265F29" w:rsidRPr="00FB2F3D">
              <w:rPr>
                <w:rFonts w:ascii="Arial" w:hAnsi="Arial" w:cs="Arial"/>
                <w:sz w:val="22"/>
                <w:szCs w:val="22"/>
              </w:rPr>
              <w:t xml:space="preserve"> </w:t>
            </w:r>
            <w:r w:rsidRPr="00FB2F3D">
              <w:rPr>
                <w:rFonts w:ascii="Arial" w:hAnsi="Arial" w:cs="Arial"/>
                <w:sz w:val="22"/>
                <w:szCs w:val="22"/>
              </w:rPr>
              <w:t xml:space="preserve">since the date of its last published financial statements, a statement to that effect; </w:t>
            </w:r>
            <w:r w:rsidR="007A0A24" w:rsidRPr="00FB2F3D">
              <w:rPr>
                <w:rFonts w:ascii="Arial" w:hAnsi="Arial" w:cs="Arial"/>
                <w:sz w:val="22"/>
                <w:szCs w:val="22"/>
              </w:rPr>
              <w:t>or</w:t>
            </w:r>
          </w:p>
          <w:p w14:paraId="4397608D" w14:textId="77777777" w:rsidR="00162E0C" w:rsidRPr="00FB2F3D" w:rsidRDefault="00162E0C" w:rsidP="00755725">
            <w:pPr>
              <w:pStyle w:val="UK12Block"/>
              <w:numPr>
                <w:ilvl w:val="3"/>
                <w:numId w:val="59"/>
              </w:numPr>
              <w:rPr>
                <w:rFonts w:ascii="Arial" w:hAnsi="Arial" w:cs="Arial"/>
                <w:sz w:val="22"/>
                <w:szCs w:val="22"/>
              </w:rPr>
            </w:pPr>
            <w:r w:rsidRPr="00FB2F3D">
              <w:rPr>
                <w:rFonts w:ascii="Arial" w:hAnsi="Arial" w:cs="Arial"/>
                <w:sz w:val="22"/>
                <w:szCs w:val="22"/>
              </w:rPr>
              <w:t xml:space="preserve">the </w:t>
            </w:r>
            <w:r w:rsidR="000A19CB" w:rsidRPr="00FB2F3D">
              <w:rPr>
                <w:rFonts w:ascii="Arial" w:hAnsi="Arial" w:cs="Arial"/>
                <w:sz w:val="22"/>
                <w:szCs w:val="22"/>
              </w:rPr>
              <w:t>Issuer</w:t>
            </w:r>
            <w:r w:rsidRPr="00FB2F3D">
              <w:rPr>
                <w:rFonts w:ascii="Arial" w:hAnsi="Arial" w:cs="Arial"/>
                <w:sz w:val="22"/>
                <w:szCs w:val="22"/>
              </w:rPr>
              <w:t xml:space="preserve"> is not in a position to make such a statement, details of the material adverse change.</w:t>
            </w:r>
          </w:p>
        </w:tc>
        <w:tc>
          <w:tcPr>
            <w:tcW w:w="128" w:type="pct"/>
          </w:tcPr>
          <w:p w14:paraId="215FEB2C" w14:textId="77777777" w:rsidR="00162E0C" w:rsidRPr="00FB2F3D" w:rsidRDefault="00162E0C" w:rsidP="00270A15">
            <w:pPr>
              <w:pStyle w:val="UK12Block"/>
              <w:rPr>
                <w:rFonts w:ascii="Arial" w:hAnsi="Arial" w:cs="Arial"/>
                <w:sz w:val="22"/>
                <w:szCs w:val="22"/>
              </w:rPr>
            </w:pPr>
          </w:p>
        </w:tc>
        <w:tc>
          <w:tcPr>
            <w:tcW w:w="223" w:type="pct"/>
          </w:tcPr>
          <w:p w14:paraId="77CDCAAD" w14:textId="77777777" w:rsidR="00162E0C" w:rsidRPr="00FB2F3D" w:rsidRDefault="00162E0C" w:rsidP="00270A15">
            <w:pPr>
              <w:pStyle w:val="UK12Block"/>
              <w:rPr>
                <w:rFonts w:ascii="Arial" w:hAnsi="Arial" w:cs="Arial"/>
                <w:sz w:val="22"/>
                <w:szCs w:val="22"/>
              </w:rPr>
            </w:pPr>
          </w:p>
        </w:tc>
        <w:tc>
          <w:tcPr>
            <w:tcW w:w="127" w:type="pct"/>
          </w:tcPr>
          <w:p w14:paraId="2CE54AEE"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5" w:type="pct"/>
          </w:tcPr>
          <w:p w14:paraId="73785E81"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6BCE7718" w14:textId="77777777" w:rsidR="00162E0C" w:rsidRPr="00FB2F3D" w:rsidRDefault="00162E0C" w:rsidP="00270A15">
            <w:pPr>
              <w:pStyle w:val="UK12Block"/>
              <w:rPr>
                <w:rFonts w:ascii="Arial" w:hAnsi="Arial" w:cs="Arial"/>
                <w:sz w:val="22"/>
                <w:szCs w:val="22"/>
              </w:rPr>
            </w:pPr>
          </w:p>
        </w:tc>
        <w:tc>
          <w:tcPr>
            <w:tcW w:w="223" w:type="pct"/>
          </w:tcPr>
          <w:p w14:paraId="6ABBB3D9"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3" w:type="pct"/>
          </w:tcPr>
          <w:p w14:paraId="3DEF8DD5" w14:textId="77777777" w:rsidR="00162E0C" w:rsidRPr="00FB2F3D" w:rsidRDefault="00162E0C" w:rsidP="00270A15">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4113CC3D" w14:textId="77777777" w:rsidTr="008016B7">
        <w:tc>
          <w:tcPr>
            <w:tcW w:w="229" w:type="pct"/>
          </w:tcPr>
          <w:p w14:paraId="4F9D1251" w14:textId="77777777" w:rsidR="00567333" w:rsidRPr="00FB2F3D" w:rsidRDefault="00567333" w:rsidP="00567333">
            <w:pPr>
              <w:pStyle w:val="UK12Block"/>
              <w:rPr>
                <w:rFonts w:ascii="Arial" w:hAnsi="Arial" w:cs="Arial"/>
                <w:sz w:val="22"/>
                <w:szCs w:val="22"/>
              </w:rPr>
            </w:pPr>
          </w:p>
        </w:tc>
        <w:tc>
          <w:tcPr>
            <w:tcW w:w="3399" w:type="pct"/>
          </w:tcPr>
          <w:p w14:paraId="57D484A4"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Information on any known trends, uncertainties, demands, commitments or events that are reasonably likely to have a material effect on the Issuer's prospects for the next 12</w:t>
            </w:r>
            <w:r w:rsidRPr="00FB2F3D">
              <w:rPr>
                <w:rFonts w:ascii="Arial" w:hAnsi="Arial" w:cs="Arial"/>
                <w:sz w:val="22"/>
                <w:szCs w:val="22"/>
                <w:lang w:eastAsia="ja-JP"/>
              </w:rPr>
              <w:t xml:space="preserve"> </w:t>
            </w:r>
            <w:r w:rsidRPr="00FB2F3D">
              <w:rPr>
                <w:rFonts w:ascii="Arial" w:hAnsi="Arial" w:cs="Arial"/>
                <w:sz w:val="22"/>
                <w:szCs w:val="22"/>
              </w:rPr>
              <w:t>months.</w:t>
            </w:r>
          </w:p>
          <w:p w14:paraId="0EF171E8" w14:textId="77777777" w:rsidR="00567333" w:rsidRPr="00FB2F3D" w:rsidRDefault="00567333" w:rsidP="00567333">
            <w:pPr>
              <w:pStyle w:val="UK12Block"/>
              <w:ind w:left="239" w:hanging="239"/>
              <w:rPr>
                <w:rFonts w:ascii="Arial" w:hAnsi="Arial" w:cs="Arial"/>
                <w:sz w:val="22"/>
                <w:szCs w:val="22"/>
              </w:rPr>
            </w:pPr>
            <w:r w:rsidRPr="00FB2F3D">
              <w:rPr>
                <w:rFonts w:ascii="Arial" w:hAnsi="Arial" w:cs="Arial"/>
                <w:iCs/>
                <w:color w:val="000000" w:themeColor="text1"/>
                <w:sz w:val="22"/>
                <w:szCs w:val="22"/>
                <w:lang w:eastAsia="ar-SA"/>
              </w:rPr>
              <w:t>*</w:t>
            </w:r>
            <w:r w:rsidRPr="00FB2F3D">
              <w:rPr>
                <w:rFonts w:ascii="Arial" w:hAnsi="Arial" w:cs="Arial"/>
                <w:iCs/>
                <w:color w:val="000000" w:themeColor="text1"/>
                <w:sz w:val="22"/>
                <w:szCs w:val="22"/>
                <w:lang w:eastAsia="ar-SA"/>
              </w:rPr>
              <w:tab/>
            </w:r>
            <w:r w:rsidRPr="00FB2F3D">
              <w:rPr>
                <w:rFonts w:ascii="Arial" w:hAnsi="Arial" w:cs="Arial"/>
                <w:i/>
                <w:color w:val="000000" w:themeColor="text1"/>
                <w:sz w:val="22"/>
                <w:szCs w:val="22"/>
                <w:lang w:eastAsia="ar-SA"/>
              </w:rPr>
              <w:t>The information in 2.4(c) is not required to be included for Debentures that have a denomination of US$100,000 or more per Security</w:t>
            </w:r>
          </w:p>
        </w:tc>
        <w:tc>
          <w:tcPr>
            <w:tcW w:w="128" w:type="pct"/>
          </w:tcPr>
          <w:p w14:paraId="5FAB7B17"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509E08D5"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59C5A74C"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t>*</w:t>
            </w:r>
            <w:r w:rsidRPr="00FB2F3D">
              <w:rPr>
                <w:rFonts w:ascii="Arial" w:eastAsia="Wingdings" w:hAnsi="Arial" w:cs="Arial"/>
                <w:sz w:val="22"/>
                <w:szCs w:val="22"/>
              </w:rPr>
              <w:sym w:font="Wingdings" w:char="F0FC"/>
            </w:r>
          </w:p>
        </w:tc>
        <w:tc>
          <w:tcPr>
            <w:tcW w:w="255" w:type="pct"/>
          </w:tcPr>
          <w:p w14:paraId="0EAFF93C" w14:textId="77777777" w:rsidR="00567333" w:rsidRPr="00FB2F3D" w:rsidRDefault="00567333" w:rsidP="00567333">
            <w:pPr>
              <w:pStyle w:val="UK12Block"/>
              <w:rPr>
                <w:rFonts w:ascii="Arial" w:hAnsi="Arial" w:cs="Arial"/>
                <w:sz w:val="22"/>
                <w:szCs w:val="22"/>
              </w:rPr>
            </w:pPr>
          </w:p>
        </w:tc>
        <w:tc>
          <w:tcPr>
            <w:tcW w:w="223" w:type="pct"/>
          </w:tcPr>
          <w:p w14:paraId="0FF9387C"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66F89DAC" w14:textId="77777777" w:rsidR="00567333" w:rsidRPr="00FB2F3D" w:rsidRDefault="00567333" w:rsidP="00567333">
            <w:pPr>
              <w:pStyle w:val="UK12Block"/>
              <w:rPr>
                <w:rFonts w:ascii="Arial" w:hAnsi="Arial" w:cs="Arial"/>
                <w:sz w:val="22"/>
                <w:szCs w:val="22"/>
              </w:rPr>
            </w:pPr>
          </w:p>
        </w:tc>
        <w:tc>
          <w:tcPr>
            <w:tcW w:w="193" w:type="pct"/>
          </w:tcPr>
          <w:p w14:paraId="6AC5CB43"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21C82DF2" w14:textId="77777777" w:rsidTr="0061693E">
        <w:tc>
          <w:tcPr>
            <w:tcW w:w="5000" w:type="pct"/>
            <w:gridSpan w:val="9"/>
          </w:tcPr>
          <w:p w14:paraId="2F8F2697" w14:textId="77777777" w:rsidR="00567333" w:rsidRPr="00FB2F3D" w:rsidRDefault="00567333" w:rsidP="00755725">
            <w:pPr>
              <w:pStyle w:val="UK12Block"/>
              <w:keepNext/>
              <w:numPr>
                <w:ilvl w:val="0"/>
                <w:numId w:val="59"/>
              </w:numPr>
              <w:spacing w:after="0"/>
              <w:rPr>
                <w:rFonts w:ascii="Arial" w:hAnsi="Arial" w:cs="Arial"/>
                <w:b/>
                <w:sz w:val="22"/>
                <w:szCs w:val="22"/>
              </w:rPr>
            </w:pPr>
            <w:r w:rsidRPr="00FB2F3D">
              <w:rPr>
                <w:rFonts w:ascii="Arial" w:hAnsi="Arial" w:cs="Arial"/>
                <w:b/>
                <w:sz w:val="22"/>
                <w:szCs w:val="22"/>
              </w:rPr>
              <w:t>CONSTITUTION AND ORGANISATIONAL STRUCTURE</w:t>
            </w:r>
          </w:p>
        </w:tc>
      </w:tr>
      <w:tr w:rsidR="00567333" w:rsidRPr="00FB2F3D" w14:paraId="014853B2" w14:textId="77777777" w:rsidTr="008016B7">
        <w:tc>
          <w:tcPr>
            <w:tcW w:w="229" w:type="pct"/>
          </w:tcPr>
          <w:p w14:paraId="17977482" w14:textId="77777777" w:rsidR="00567333" w:rsidRPr="00FB2F3D" w:rsidRDefault="00567333" w:rsidP="00755725">
            <w:pPr>
              <w:pStyle w:val="UK12Block"/>
              <w:numPr>
                <w:ilvl w:val="1"/>
                <w:numId w:val="59"/>
              </w:numPr>
              <w:spacing w:after="0"/>
              <w:rPr>
                <w:rFonts w:ascii="Arial" w:hAnsi="Arial" w:cs="Arial"/>
                <w:sz w:val="22"/>
                <w:szCs w:val="22"/>
              </w:rPr>
            </w:pPr>
          </w:p>
        </w:tc>
        <w:tc>
          <w:tcPr>
            <w:tcW w:w="3399" w:type="pct"/>
          </w:tcPr>
          <w:p w14:paraId="285D5FAB"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Constitution</w:t>
            </w:r>
          </w:p>
          <w:p w14:paraId="212BDEB1" w14:textId="77777777" w:rsidR="00567333" w:rsidRPr="00FB2F3D" w:rsidRDefault="00567333" w:rsidP="00567333">
            <w:pPr>
              <w:pStyle w:val="UK12Block"/>
              <w:rPr>
                <w:rFonts w:ascii="Arial" w:hAnsi="Arial" w:cs="Arial"/>
                <w:sz w:val="22"/>
                <w:szCs w:val="22"/>
              </w:rPr>
            </w:pPr>
            <w:r w:rsidRPr="00FB2F3D">
              <w:rPr>
                <w:rFonts w:ascii="Arial" w:hAnsi="Arial" w:cs="Arial"/>
                <w:sz w:val="22"/>
                <w:szCs w:val="22"/>
              </w:rPr>
              <w:t>A summary of the provisions of the constitution of the Issuer including:</w:t>
            </w:r>
          </w:p>
          <w:p w14:paraId="2B0AEF4A"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 description of the Issuer's objectives and purpose and where they can be found in the constitution;</w:t>
            </w:r>
          </w:p>
          <w:p w14:paraId="5D8AAC31"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 summary of any provisions of the constitution with respect to its Directors and any Person involved in the Senior Management of the Issuer including the members of the administrative, management and supervisory bodies;</w:t>
            </w:r>
          </w:p>
          <w:p w14:paraId="2BFCCA7D"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lastRenderedPageBreak/>
              <w:t>a description of the rights, preferences and restrictions attaching to each class of the existing Securities;</w:t>
            </w:r>
          </w:p>
          <w:p w14:paraId="1BF0EC76"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 description of what action is necessary to change the rights of holders of the Securities, indicating where the conditions are more significant than is required by any law applicable to the Issuer;</w:t>
            </w:r>
            <w:r w:rsidRPr="00FB2F3D">
              <w:rPr>
                <w:rStyle w:val="FootnoteReference"/>
                <w:rFonts w:ascii="Arial" w:hAnsi="Arial" w:cs="Arial"/>
                <w:sz w:val="22"/>
                <w:szCs w:val="22"/>
              </w:rPr>
              <w:footnoteReference w:id="1"/>
            </w:r>
          </w:p>
          <w:p w14:paraId="04AC368C"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 description of the conditions governing the manner in which annual general meetings and extraordinary general meetings of holders of Securities are called including the conditions of admission to the meeting;</w:t>
            </w:r>
          </w:p>
          <w:p w14:paraId="5DB55DDE"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 brief description of any provision of the constitution that would have an effect of delaying, deferring or preventing a change in control of the Issuer;</w:t>
            </w:r>
          </w:p>
          <w:p w14:paraId="11DEF2A8"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an indication whether there are any provisions in the constitution, governing the ownership threshold above which Shareholder ownership must be disclosed;</w:t>
            </w:r>
          </w:p>
          <w:p w14:paraId="310FC4D0"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 description of the conditions imposed by the constitution governing changes in the capital, where such conditions are more stringent than is required by law applicable to the Issuer;</w:t>
            </w:r>
            <w:r w:rsidRPr="00FB2F3D">
              <w:rPr>
                <w:rStyle w:val="FootnoteReference"/>
                <w:rFonts w:ascii="Arial" w:hAnsi="Arial" w:cs="Arial"/>
                <w:sz w:val="22"/>
                <w:szCs w:val="22"/>
              </w:rPr>
              <w:footnoteReference w:id="2"/>
            </w:r>
          </w:p>
          <w:p w14:paraId="44FE38BA"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any arrangements by which a single investor or group of investors may exercise significant influence over the Issuer; and</w:t>
            </w:r>
          </w:p>
          <w:p w14:paraId="67D31740"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any other aspects of the constitution of the Issuer which may be relevant to investors.</w:t>
            </w:r>
          </w:p>
        </w:tc>
        <w:tc>
          <w:tcPr>
            <w:tcW w:w="128" w:type="pct"/>
          </w:tcPr>
          <w:p w14:paraId="282FF0BB"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lastRenderedPageBreak/>
              <w:sym w:font="Wingdings" w:char="F0FC"/>
            </w:r>
          </w:p>
        </w:tc>
        <w:tc>
          <w:tcPr>
            <w:tcW w:w="223" w:type="pct"/>
          </w:tcPr>
          <w:p w14:paraId="523300C9"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09B20A78" w14:textId="77777777" w:rsidR="00567333" w:rsidRPr="00FB2F3D" w:rsidRDefault="00567333" w:rsidP="00567333">
            <w:pPr>
              <w:pStyle w:val="UK12Block"/>
              <w:rPr>
                <w:rFonts w:ascii="Arial" w:hAnsi="Arial" w:cs="Arial"/>
                <w:sz w:val="22"/>
                <w:szCs w:val="22"/>
              </w:rPr>
            </w:pPr>
          </w:p>
        </w:tc>
        <w:tc>
          <w:tcPr>
            <w:tcW w:w="255" w:type="pct"/>
          </w:tcPr>
          <w:p w14:paraId="0E486335" w14:textId="77777777" w:rsidR="00567333" w:rsidRPr="00FB2F3D" w:rsidRDefault="00567333" w:rsidP="00567333">
            <w:pPr>
              <w:pStyle w:val="UK12Block"/>
              <w:rPr>
                <w:rFonts w:ascii="Arial" w:hAnsi="Arial" w:cs="Arial"/>
                <w:sz w:val="22"/>
                <w:szCs w:val="22"/>
              </w:rPr>
            </w:pPr>
          </w:p>
        </w:tc>
        <w:tc>
          <w:tcPr>
            <w:tcW w:w="223" w:type="pct"/>
          </w:tcPr>
          <w:p w14:paraId="0A1291EB"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0574978D" w14:textId="77777777" w:rsidR="00567333" w:rsidRPr="00FB2F3D" w:rsidRDefault="00567333" w:rsidP="00567333">
            <w:pPr>
              <w:pStyle w:val="UK12Block"/>
              <w:rPr>
                <w:rFonts w:ascii="Arial" w:hAnsi="Arial" w:cs="Arial"/>
                <w:sz w:val="22"/>
                <w:szCs w:val="22"/>
              </w:rPr>
            </w:pPr>
          </w:p>
        </w:tc>
        <w:tc>
          <w:tcPr>
            <w:tcW w:w="193" w:type="pct"/>
          </w:tcPr>
          <w:p w14:paraId="64E6B205"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41474100" w14:textId="77777777" w:rsidTr="008016B7">
        <w:tc>
          <w:tcPr>
            <w:tcW w:w="229" w:type="pct"/>
          </w:tcPr>
          <w:p w14:paraId="4EBF7A07" w14:textId="77777777" w:rsidR="00567333" w:rsidRPr="00FB2F3D" w:rsidRDefault="00567333" w:rsidP="00755725">
            <w:pPr>
              <w:pStyle w:val="UK12Block"/>
              <w:numPr>
                <w:ilvl w:val="1"/>
                <w:numId w:val="59"/>
              </w:numPr>
              <w:spacing w:after="0"/>
              <w:rPr>
                <w:rFonts w:ascii="Arial" w:hAnsi="Arial" w:cs="Arial"/>
                <w:b/>
                <w:sz w:val="22"/>
                <w:szCs w:val="22"/>
              </w:rPr>
            </w:pPr>
          </w:p>
        </w:tc>
        <w:tc>
          <w:tcPr>
            <w:tcW w:w="3399" w:type="pct"/>
          </w:tcPr>
          <w:p w14:paraId="22B93863"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Directors'</w:t>
            </w:r>
            <w:r w:rsidRPr="00FB2F3D">
              <w:rPr>
                <w:rStyle w:val="FootnoteReference"/>
                <w:rFonts w:ascii="Arial" w:hAnsi="Arial" w:cs="Arial"/>
                <w:b/>
                <w:sz w:val="22"/>
                <w:szCs w:val="22"/>
              </w:rPr>
              <w:footnoteReference w:id="3"/>
            </w:r>
            <w:r w:rsidRPr="00FB2F3D">
              <w:rPr>
                <w:rFonts w:ascii="Arial" w:hAnsi="Arial" w:cs="Arial"/>
                <w:b/>
                <w:sz w:val="22"/>
                <w:szCs w:val="22"/>
              </w:rPr>
              <w:t xml:space="preserve"> powers under the constitution</w:t>
            </w:r>
          </w:p>
          <w:p w14:paraId="36B4E4BD" w14:textId="77777777" w:rsidR="00567333" w:rsidRPr="00FB2F3D" w:rsidRDefault="00567333" w:rsidP="00567333">
            <w:pPr>
              <w:pStyle w:val="UK12Block"/>
              <w:rPr>
                <w:rFonts w:ascii="Arial" w:hAnsi="Arial" w:cs="Arial"/>
                <w:sz w:val="22"/>
                <w:szCs w:val="22"/>
              </w:rPr>
            </w:pPr>
            <w:r w:rsidRPr="00FB2F3D">
              <w:rPr>
                <w:rFonts w:ascii="Arial" w:hAnsi="Arial" w:cs="Arial"/>
                <w:sz w:val="22"/>
                <w:szCs w:val="22"/>
              </w:rPr>
              <w:t>A summary of the provisions of the constitution of the Issuer under which:</w:t>
            </w:r>
          </w:p>
          <w:p w14:paraId="54B7F808"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 Director has the power to vote on a proposal, arrangement, or contract in which he is materially interested;</w:t>
            </w:r>
          </w:p>
          <w:p w14:paraId="30B32EC9"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 Director has the power, in the absence of an independent quorum, to vote on remuneration (including pension or other benefits) to themselves or any members of the Board;</w:t>
            </w:r>
          </w:p>
          <w:p w14:paraId="6516B3BA"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 Director can exercise borrowing powers and how such borrowing powers may be varied; and</w:t>
            </w:r>
          </w:p>
          <w:p w14:paraId="32F9D730"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the retirement or non</w:t>
            </w:r>
            <w:r w:rsidRPr="00FB2F3D">
              <w:rPr>
                <w:rFonts w:ascii="Arial" w:hAnsi="Arial" w:cs="Arial"/>
                <w:sz w:val="22"/>
                <w:szCs w:val="22"/>
              </w:rPr>
              <w:noBreakHyphen/>
              <w:t>retirement of Directors is provided, including any age limit in respect</w:t>
            </w:r>
            <w:r w:rsidRPr="00FB2F3D">
              <w:rPr>
                <w:rFonts w:ascii="Arial" w:hAnsi="Arial" w:cs="Arial"/>
                <w:sz w:val="22"/>
                <w:szCs w:val="22"/>
                <w:lang w:eastAsia="ja-JP"/>
              </w:rPr>
              <w:t xml:space="preserve"> </w:t>
            </w:r>
            <w:r w:rsidRPr="00FB2F3D">
              <w:rPr>
                <w:rFonts w:ascii="Arial" w:hAnsi="Arial" w:cs="Arial"/>
                <w:sz w:val="22"/>
                <w:szCs w:val="22"/>
              </w:rPr>
              <w:t>of retirement.</w:t>
            </w:r>
          </w:p>
        </w:tc>
        <w:tc>
          <w:tcPr>
            <w:tcW w:w="128" w:type="pct"/>
          </w:tcPr>
          <w:p w14:paraId="35C12681"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4DEEE314"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608A434A" w14:textId="77777777" w:rsidR="00567333" w:rsidRPr="00FB2F3D" w:rsidRDefault="00567333" w:rsidP="00567333">
            <w:pPr>
              <w:pStyle w:val="UK12Block"/>
              <w:rPr>
                <w:rFonts w:ascii="Arial" w:hAnsi="Arial" w:cs="Arial"/>
                <w:sz w:val="22"/>
                <w:szCs w:val="22"/>
              </w:rPr>
            </w:pPr>
          </w:p>
        </w:tc>
        <w:tc>
          <w:tcPr>
            <w:tcW w:w="255" w:type="pct"/>
          </w:tcPr>
          <w:p w14:paraId="33446399" w14:textId="77777777" w:rsidR="00567333" w:rsidRPr="00FB2F3D" w:rsidRDefault="00567333" w:rsidP="00567333">
            <w:pPr>
              <w:pStyle w:val="UK12Block"/>
              <w:rPr>
                <w:rFonts w:ascii="Arial" w:hAnsi="Arial" w:cs="Arial"/>
                <w:sz w:val="22"/>
                <w:szCs w:val="22"/>
              </w:rPr>
            </w:pPr>
          </w:p>
        </w:tc>
        <w:tc>
          <w:tcPr>
            <w:tcW w:w="223" w:type="pct"/>
          </w:tcPr>
          <w:p w14:paraId="61ADA5C5"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5DBD5174" w14:textId="77777777" w:rsidR="00567333" w:rsidRPr="00FB2F3D" w:rsidRDefault="00567333" w:rsidP="00567333">
            <w:pPr>
              <w:pStyle w:val="UK12Block"/>
              <w:rPr>
                <w:rFonts w:ascii="Arial" w:hAnsi="Arial" w:cs="Arial"/>
                <w:sz w:val="22"/>
                <w:szCs w:val="22"/>
              </w:rPr>
            </w:pPr>
          </w:p>
        </w:tc>
        <w:tc>
          <w:tcPr>
            <w:tcW w:w="193" w:type="pct"/>
          </w:tcPr>
          <w:p w14:paraId="42EAB5A5"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336D5FBC" w14:textId="77777777" w:rsidTr="008016B7">
        <w:tc>
          <w:tcPr>
            <w:tcW w:w="229" w:type="pct"/>
          </w:tcPr>
          <w:p w14:paraId="65957078" w14:textId="77777777" w:rsidR="00567333" w:rsidRPr="00FB2F3D" w:rsidRDefault="00567333" w:rsidP="00755725">
            <w:pPr>
              <w:pStyle w:val="UK12Block"/>
              <w:numPr>
                <w:ilvl w:val="1"/>
                <w:numId w:val="59"/>
              </w:numPr>
              <w:spacing w:after="0"/>
              <w:rPr>
                <w:rFonts w:ascii="Arial" w:hAnsi="Arial" w:cs="Arial"/>
                <w:sz w:val="22"/>
                <w:szCs w:val="22"/>
              </w:rPr>
            </w:pPr>
          </w:p>
        </w:tc>
        <w:tc>
          <w:tcPr>
            <w:tcW w:w="3399" w:type="pct"/>
          </w:tcPr>
          <w:p w14:paraId="310892C5"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Group Structure</w:t>
            </w:r>
          </w:p>
          <w:p w14:paraId="30F36DFA" w14:textId="77777777" w:rsidR="00567333" w:rsidRPr="00FB2F3D" w:rsidRDefault="00567333" w:rsidP="00567333">
            <w:pPr>
              <w:pStyle w:val="UK12Block"/>
              <w:rPr>
                <w:rFonts w:ascii="Arial" w:hAnsi="Arial" w:cs="Arial"/>
                <w:sz w:val="22"/>
                <w:szCs w:val="22"/>
              </w:rPr>
            </w:pPr>
            <w:r w:rsidRPr="00FB2F3D">
              <w:rPr>
                <w:rFonts w:ascii="Arial" w:hAnsi="Arial" w:cs="Arial"/>
                <w:sz w:val="22"/>
                <w:szCs w:val="22"/>
              </w:rPr>
              <w:t>If the Issuer is a member of a Group, information about the Issuer's Group including:</w:t>
            </w:r>
          </w:p>
          <w:p w14:paraId="05CEE491"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the identity of all the members of the Group;</w:t>
            </w:r>
          </w:p>
        </w:tc>
        <w:tc>
          <w:tcPr>
            <w:tcW w:w="128" w:type="pct"/>
          </w:tcPr>
          <w:p w14:paraId="6D2352DC"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7F2EA6FF"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3BC98630"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5" w:type="pct"/>
          </w:tcPr>
          <w:p w14:paraId="3D2DBB86"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1E7FE696"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2BBDD957"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3" w:type="pct"/>
          </w:tcPr>
          <w:p w14:paraId="2D47B812"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3CF1FB3E" w14:textId="77777777" w:rsidTr="008016B7">
        <w:tc>
          <w:tcPr>
            <w:tcW w:w="229" w:type="pct"/>
          </w:tcPr>
          <w:p w14:paraId="05FE76EF" w14:textId="77777777" w:rsidR="00567333" w:rsidRPr="00FB2F3D" w:rsidRDefault="00567333" w:rsidP="00567333">
            <w:pPr>
              <w:pStyle w:val="UK12Block"/>
              <w:rPr>
                <w:rFonts w:ascii="Arial" w:hAnsi="Arial" w:cs="Arial"/>
                <w:sz w:val="22"/>
                <w:szCs w:val="22"/>
              </w:rPr>
            </w:pPr>
          </w:p>
        </w:tc>
        <w:tc>
          <w:tcPr>
            <w:tcW w:w="3399" w:type="pct"/>
          </w:tcPr>
          <w:p w14:paraId="0E2554D1"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 brief description of the Group explaining the Issuer's position within the Group;</w:t>
            </w:r>
          </w:p>
        </w:tc>
        <w:tc>
          <w:tcPr>
            <w:tcW w:w="128" w:type="pct"/>
          </w:tcPr>
          <w:p w14:paraId="49338CEC"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59B22003"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2182EA9C"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5" w:type="pct"/>
          </w:tcPr>
          <w:p w14:paraId="366F1C25"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5F977721"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50C215F6"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3" w:type="pct"/>
          </w:tcPr>
          <w:p w14:paraId="40D16A90"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27F794F2" w14:textId="77777777" w:rsidTr="008016B7">
        <w:tc>
          <w:tcPr>
            <w:tcW w:w="229" w:type="pct"/>
          </w:tcPr>
          <w:p w14:paraId="2A4046B4" w14:textId="77777777" w:rsidR="00567333" w:rsidRPr="00FB2F3D" w:rsidRDefault="00567333" w:rsidP="00567333">
            <w:pPr>
              <w:pStyle w:val="UK12Block"/>
              <w:rPr>
                <w:rFonts w:ascii="Arial" w:hAnsi="Arial" w:cs="Arial"/>
                <w:sz w:val="22"/>
                <w:szCs w:val="22"/>
              </w:rPr>
            </w:pPr>
          </w:p>
        </w:tc>
        <w:tc>
          <w:tcPr>
            <w:tcW w:w="3399" w:type="pct"/>
          </w:tcPr>
          <w:p w14:paraId="7EE51E4F"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the identity of the ultimate Holding Company of the Issuer and where it is domiciled; and</w:t>
            </w:r>
          </w:p>
        </w:tc>
        <w:tc>
          <w:tcPr>
            <w:tcW w:w="128" w:type="pct"/>
          </w:tcPr>
          <w:p w14:paraId="36C8C25F"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4ED59226"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72549B43" w14:textId="77777777" w:rsidR="00567333" w:rsidRPr="00FB2F3D" w:rsidRDefault="00567333" w:rsidP="00567333">
            <w:pPr>
              <w:pStyle w:val="UK12Block"/>
              <w:rPr>
                <w:rFonts w:ascii="Arial" w:hAnsi="Arial" w:cs="Arial"/>
                <w:sz w:val="22"/>
                <w:szCs w:val="22"/>
              </w:rPr>
            </w:pPr>
          </w:p>
        </w:tc>
        <w:tc>
          <w:tcPr>
            <w:tcW w:w="255" w:type="pct"/>
          </w:tcPr>
          <w:p w14:paraId="32D542EA" w14:textId="77777777" w:rsidR="00567333" w:rsidRPr="00FB2F3D" w:rsidRDefault="00567333" w:rsidP="00567333">
            <w:pPr>
              <w:pStyle w:val="UK12Block"/>
              <w:rPr>
                <w:rFonts w:ascii="Arial" w:hAnsi="Arial" w:cs="Arial"/>
                <w:sz w:val="22"/>
                <w:szCs w:val="22"/>
              </w:rPr>
            </w:pPr>
          </w:p>
        </w:tc>
        <w:tc>
          <w:tcPr>
            <w:tcW w:w="223" w:type="pct"/>
          </w:tcPr>
          <w:p w14:paraId="3A74E24D"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311A6EE7" w14:textId="77777777" w:rsidR="00567333" w:rsidRPr="00FB2F3D" w:rsidRDefault="00567333" w:rsidP="00567333">
            <w:pPr>
              <w:pStyle w:val="UK12Block"/>
              <w:rPr>
                <w:rFonts w:ascii="Arial" w:hAnsi="Arial" w:cs="Arial"/>
                <w:sz w:val="22"/>
                <w:szCs w:val="22"/>
              </w:rPr>
            </w:pPr>
          </w:p>
        </w:tc>
        <w:tc>
          <w:tcPr>
            <w:tcW w:w="193" w:type="pct"/>
          </w:tcPr>
          <w:p w14:paraId="5E1D5FF8"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5995ABA8" w14:textId="77777777" w:rsidTr="008016B7">
        <w:tc>
          <w:tcPr>
            <w:tcW w:w="229" w:type="pct"/>
          </w:tcPr>
          <w:p w14:paraId="6019D84F" w14:textId="77777777" w:rsidR="00567333" w:rsidRPr="00FB2F3D" w:rsidRDefault="00567333" w:rsidP="00567333">
            <w:pPr>
              <w:pStyle w:val="UK12Block"/>
              <w:rPr>
                <w:rFonts w:ascii="Arial" w:hAnsi="Arial" w:cs="Arial"/>
                <w:sz w:val="22"/>
                <w:szCs w:val="22"/>
              </w:rPr>
            </w:pPr>
          </w:p>
        </w:tc>
        <w:tc>
          <w:tcPr>
            <w:tcW w:w="3399" w:type="pct"/>
          </w:tcPr>
          <w:p w14:paraId="5A8C4B14"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 list of significant Subsidiaries of the Issuer, including name, country of incorporation or domicile, proportion of ownership interest and, if different, proportion of voting power or other form of control held.</w:t>
            </w:r>
          </w:p>
        </w:tc>
        <w:tc>
          <w:tcPr>
            <w:tcW w:w="128" w:type="pct"/>
          </w:tcPr>
          <w:p w14:paraId="53292C2F"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6D90F2D2"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6CC043C5" w14:textId="77777777" w:rsidR="00567333" w:rsidRPr="00FB2F3D" w:rsidRDefault="00567333" w:rsidP="00567333">
            <w:pPr>
              <w:pStyle w:val="UK12Block"/>
              <w:rPr>
                <w:rFonts w:ascii="Arial" w:hAnsi="Arial" w:cs="Arial"/>
                <w:sz w:val="22"/>
                <w:szCs w:val="22"/>
              </w:rPr>
            </w:pPr>
          </w:p>
        </w:tc>
        <w:tc>
          <w:tcPr>
            <w:tcW w:w="255" w:type="pct"/>
          </w:tcPr>
          <w:p w14:paraId="26F4C28C" w14:textId="77777777" w:rsidR="00567333" w:rsidRPr="00FB2F3D" w:rsidRDefault="00567333" w:rsidP="00567333">
            <w:pPr>
              <w:pStyle w:val="UK12Block"/>
              <w:rPr>
                <w:rFonts w:ascii="Arial" w:hAnsi="Arial" w:cs="Arial"/>
                <w:sz w:val="22"/>
                <w:szCs w:val="22"/>
              </w:rPr>
            </w:pPr>
          </w:p>
        </w:tc>
        <w:tc>
          <w:tcPr>
            <w:tcW w:w="223" w:type="pct"/>
          </w:tcPr>
          <w:p w14:paraId="16D83094"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7ECC6EAF" w14:textId="77777777" w:rsidR="00567333" w:rsidRPr="00FB2F3D" w:rsidRDefault="00567333" w:rsidP="00567333">
            <w:pPr>
              <w:pStyle w:val="UK12Block"/>
              <w:rPr>
                <w:rFonts w:ascii="Arial" w:hAnsi="Arial" w:cs="Arial"/>
                <w:sz w:val="22"/>
                <w:szCs w:val="22"/>
              </w:rPr>
            </w:pPr>
          </w:p>
        </w:tc>
        <w:tc>
          <w:tcPr>
            <w:tcW w:w="193" w:type="pct"/>
          </w:tcPr>
          <w:p w14:paraId="03BF3660"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0BC39E39" w14:textId="77777777" w:rsidTr="0061693E">
        <w:tc>
          <w:tcPr>
            <w:tcW w:w="5000" w:type="pct"/>
            <w:gridSpan w:val="9"/>
          </w:tcPr>
          <w:p w14:paraId="5DE7415E" w14:textId="77777777" w:rsidR="00567333" w:rsidRPr="00FB2F3D" w:rsidRDefault="00567333" w:rsidP="00755725">
            <w:pPr>
              <w:pStyle w:val="UK12Block"/>
              <w:keepNext/>
              <w:numPr>
                <w:ilvl w:val="0"/>
                <w:numId w:val="59"/>
              </w:numPr>
              <w:spacing w:after="0"/>
              <w:rPr>
                <w:rFonts w:ascii="Arial" w:hAnsi="Arial" w:cs="Arial"/>
                <w:b/>
                <w:sz w:val="22"/>
                <w:szCs w:val="22"/>
              </w:rPr>
            </w:pPr>
            <w:r w:rsidRPr="00FB2F3D">
              <w:rPr>
                <w:rFonts w:ascii="Arial" w:hAnsi="Arial" w:cs="Arial"/>
                <w:b/>
                <w:sz w:val="22"/>
                <w:szCs w:val="22"/>
              </w:rPr>
              <w:t>ASSETS</w:t>
            </w:r>
          </w:p>
        </w:tc>
      </w:tr>
      <w:tr w:rsidR="00567333" w:rsidRPr="00FB2F3D" w14:paraId="0BC64E16" w14:textId="77777777" w:rsidTr="008016B7">
        <w:tc>
          <w:tcPr>
            <w:tcW w:w="229" w:type="pct"/>
          </w:tcPr>
          <w:p w14:paraId="6A99B9D6" w14:textId="77777777" w:rsidR="00567333" w:rsidRPr="00FB2F3D" w:rsidRDefault="00567333" w:rsidP="00755725">
            <w:pPr>
              <w:pStyle w:val="UK12Block"/>
              <w:numPr>
                <w:ilvl w:val="1"/>
                <w:numId w:val="59"/>
              </w:numPr>
              <w:spacing w:after="0"/>
              <w:rPr>
                <w:rFonts w:ascii="Arial" w:hAnsi="Arial" w:cs="Arial"/>
                <w:b/>
                <w:sz w:val="22"/>
                <w:szCs w:val="22"/>
              </w:rPr>
            </w:pPr>
          </w:p>
        </w:tc>
        <w:tc>
          <w:tcPr>
            <w:tcW w:w="3399" w:type="pct"/>
          </w:tcPr>
          <w:p w14:paraId="267B2B5F"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Property, plant and equipment</w:t>
            </w:r>
          </w:p>
          <w:p w14:paraId="5E3BB32D" w14:textId="77777777" w:rsidR="00567333" w:rsidRPr="00FB2F3D" w:rsidRDefault="00567333" w:rsidP="00567333">
            <w:pPr>
              <w:pStyle w:val="UK12Block"/>
              <w:rPr>
                <w:rFonts w:ascii="Arial" w:hAnsi="Arial" w:cs="Arial"/>
                <w:sz w:val="22"/>
                <w:szCs w:val="22"/>
              </w:rPr>
            </w:pPr>
            <w:r w:rsidRPr="00FB2F3D">
              <w:rPr>
                <w:rFonts w:ascii="Arial" w:hAnsi="Arial" w:cs="Arial"/>
                <w:sz w:val="22"/>
                <w:szCs w:val="22"/>
              </w:rPr>
              <w:t>Information about:</w:t>
            </w:r>
          </w:p>
          <w:p w14:paraId="3355B31E"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existing</w:t>
            </w:r>
            <w:r w:rsidRPr="00FB2F3D">
              <w:rPr>
                <w:rFonts w:ascii="Arial" w:hAnsi="Arial" w:cs="Arial"/>
                <w:sz w:val="22"/>
                <w:szCs w:val="22"/>
                <w:lang w:eastAsia="ja-JP"/>
              </w:rPr>
              <w:t xml:space="preserve"> </w:t>
            </w:r>
            <w:r w:rsidRPr="00FB2F3D">
              <w:rPr>
                <w:rFonts w:ascii="Arial" w:hAnsi="Arial" w:cs="Arial"/>
                <w:sz w:val="22"/>
                <w:szCs w:val="22"/>
              </w:rPr>
              <w:t>material fixed</w:t>
            </w:r>
            <w:r w:rsidRPr="00FB2F3D">
              <w:rPr>
                <w:rFonts w:ascii="Arial" w:hAnsi="Arial" w:cs="Arial"/>
                <w:sz w:val="22"/>
                <w:szCs w:val="22"/>
                <w:lang w:eastAsia="ja-JP"/>
              </w:rPr>
              <w:t xml:space="preserve"> </w:t>
            </w:r>
            <w:r w:rsidRPr="00FB2F3D">
              <w:rPr>
                <w:rFonts w:ascii="Arial" w:hAnsi="Arial" w:cs="Arial"/>
                <w:sz w:val="22"/>
                <w:szCs w:val="22"/>
              </w:rPr>
              <w:t>assets, including</w:t>
            </w:r>
            <w:r w:rsidRPr="00FB2F3D">
              <w:rPr>
                <w:rFonts w:ascii="Arial" w:hAnsi="Arial" w:cs="Arial"/>
                <w:sz w:val="22"/>
                <w:szCs w:val="22"/>
                <w:lang w:eastAsia="ja-JP"/>
              </w:rPr>
              <w:t xml:space="preserve"> </w:t>
            </w:r>
            <w:r w:rsidRPr="00FB2F3D">
              <w:rPr>
                <w:rFonts w:ascii="Arial" w:hAnsi="Arial" w:cs="Arial"/>
                <w:sz w:val="22"/>
                <w:szCs w:val="22"/>
              </w:rPr>
              <w:t>any leased</w:t>
            </w:r>
            <w:r w:rsidRPr="00FB2F3D">
              <w:rPr>
                <w:rFonts w:ascii="Arial" w:hAnsi="Arial" w:cs="Arial"/>
                <w:sz w:val="22"/>
                <w:szCs w:val="22"/>
                <w:lang w:eastAsia="ja-JP"/>
              </w:rPr>
              <w:t xml:space="preserve"> </w:t>
            </w:r>
            <w:r w:rsidRPr="00FB2F3D">
              <w:rPr>
                <w:rFonts w:ascii="Arial" w:hAnsi="Arial" w:cs="Arial"/>
                <w:sz w:val="22"/>
                <w:szCs w:val="22"/>
              </w:rPr>
              <w:t>properties, and</w:t>
            </w:r>
            <w:r w:rsidRPr="00FB2F3D">
              <w:rPr>
                <w:rFonts w:ascii="Arial" w:hAnsi="Arial" w:cs="Arial"/>
                <w:sz w:val="22"/>
                <w:szCs w:val="22"/>
                <w:lang w:eastAsia="ja-JP"/>
              </w:rPr>
              <w:t xml:space="preserve"> </w:t>
            </w:r>
            <w:r w:rsidRPr="00FB2F3D">
              <w:rPr>
                <w:rFonts w:ascii="Arial" w:hAnsi="Arial" w:cs="Arial"/>
                <w:sz w:val="22"/>
                <w:szCs w:val="22"/>
              </w:rPr>
              <w:t>any major encumbrances in respect of such assets;</w:t>
            </w:r>
            <w:bookmarkStart w:id="898" w:name="item41b"/>
          </w:p>
          <w:bookmarkEnd w:id="898"/>
          <w:p w14:paraId="79C563B5"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planned acquisitions of material fixed assets, including leased properties, and any major encumbrances in respect to those assets; and</w:t>
            </w:r>
          </w:p>
          <w:p w14:paraId="248F007B"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 description of any environmental issues that may affect the Issuer's utilisation of the assets referred to in (a) and (b)</w:t>
            </w:r>
            <w:r w:rsidRPr="00FB2F3D">
              <w:rPr>
                <w:rFonts w:ascii="Arial" w:hAnsi="Arial" w:cs="Arial"/>
                <w:sz w:val="22"/>
                <w:szCs w:val="22"/>
                <w:lang w:eastAsia="ja-JP"/>
              </w:rPr>
              <w:t>.</w:t>
            </w:r>
          </w:p>
        </w:tc>
        <w:tc>
          <w:tcPr>
            <w:tcW w:w="128" w:type="pct"/>
          </w:tcPr>
          <w:p w14:paraId="1D122D8D"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5D6A3CE8"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4FAF8372" w14:textId="77777777" w:rsidR="00567333" w:rsidRPr="00FB2F3D" w:rsidRDefault="00567333" w:rsidP="00567333">
            <w:pPr>
              <w:pStyle w:val="UK12Block"/>
              <w:rPr>
                <w:rFonts w:ascii="Arial" w:hAnsi="Arial" w:cs="Arial"/>
                <w:sz w:val="22"/>
                <w:szCs w:val="22"/>
              </w:rPr>
            </w:pPr>
          </w:p>
        </w:tc>
        <w:tc>
          <w:tcPr>
            <w:tcW w:w="255" w:type="pct"/>
          </w:tcPr>
          <w:p w14:paraId="1B528D39" w14:textId="77777777" w:rsidR="00567333" w:rsidRPr="00FB2F3D" w:rsidRDefault="00567333" w:rsidP="00567333">
            <w:pPr>
              <w:pStyle w:val="UK12Block"/>
              <w:rPr>
                <w:rFonts w:ascii="Arial" w:hAnsi="Arial" w:cs="Arial"/>
                <w:sz w:val="22"/>
                <w:szCs w:val="22"/>
              </w:rPr>
            </w:pPr>
          </w:p>
        </w:tc>
        <w:tc>
          <w:tcPr>
            <w:tcW w:w="223" w:type="pct"/>
          </w:tcPr>
          <w:p w14:paraId="49009142"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35D16ABE" w14:textId="77777777" w:rsidR="00567333" w:rsidRPr="00FB2F3D" w:rsidRDefault="00567333" w:rsidP="00567333">
            <w:pPr>
              <w:pStyle w:val="UK12Block"/>
              <w:rPr>
                <w:rFonts w:ascii="Arial" w:hAnsi="Arial" w:cs="Arial"/>
                <w:sz w:val="22"/>
                <w:szCs w:val="22"/>
              </w:rPr>
            </w:pPr>
          </w:p>
        </w:tc>
        <w:tc>
          <w:tcPr>
            <w:tcW w:w="193" w:type="pct"/>
          </w:tcPr>
          <w:p w14:paraId="3DF8C5BA"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1C6F48BF" w14:textId="77777777" w:rsidTr="008016B7">
        <w:tc>
          <w:tcPr>
            <w:tcW w:w="229" w:type="pct"/>
          </w:tcPr>
          <w:p w14:paraId="51AE497B" w14:textId="77777777" w:rsidR="00567333" w:rsidRPr="00FB2F3D" w:rsidRDefault="00567333" w:rsidP="00755725">
            <w:pPr>
              <w:pStyle w:val="UK12Block"/>
              <w:numPr>
                <w:ilvl w:val="1"/>
                <w:numId w:val="59"/>
              </w:numPr>
              <w:spacing w:after="0"/>
              <w:rPr>
                <w:rFonts w:ascii="Arial" w:hAnsi="Arial" w:cs="Arial"/>
                <w:b/>
                <w:sz w:val="22"/>
                <w:szCs w:val="22"/>
              </w:rPr>
            </w:pPr>
          </w:p>
        </w:tc>
        <w:tc>
          <w:tcPr>
            <w:tcW w:w="3399" w:type="pct"/>
          </w:tcPr>
          <w:p w14:paraId="2645C2F6" w14:textId="77777777" w:rsidR="00567333" w:rsidRPr="00FB2F3D" w:rsidRDefault="00567333" w:rsidP="00567333">
            <w:pPr>
              <w:pStyle w:val="UK12Block"/>
              <w:rPr>
                <w:rFonts w:ascii="Arial" w:hAnsi="Arial" w:cs="Arial"/>
                <w:b/>
                <w:sz w:val="22"/>
                <w:szCs w:val="22"/>
                <w:lang w:eastAsia="ja-JP"/>
              </w:rPr>
            </w:pPr>
            <w:r w:rsidRPr="00FB2F3D">
              <w:rPr>
                <w:rFonts w:ascii="Arial" w:hAnsi="Arial" w:cs="Arial"/>
                <w:b/>
                <w:sz w:val="22"/>
                <w:szCs w:val="22"/>
              </w:rPr>
              <w:t>Material contracts</w:t>
            </w:r>
          </w:p>
          <w:p w14:paraId="5D551196" w14:textId="77777777" w:rsidR="00567333" w:rsidRPr="00FB2F3D" w:rsidRDefault="00567333" w:rsidP="00567333">
            <w:pPr>
              <w:pStyle w:val="UK12Block"/>
              <w:rPr>
                <w:rFonts w:ascii="Arial" w:hAnsi="Arial" w:cs="Arial"/>
                <w:sz w:val="22"/>
                <w:szCs w:val="22"/>
              </w:rPr>
            </w:pPr>
            <w:r w:rsidRPr="00FB2F3D">
              <w:rPr>
                <w:rFonts w:ascii="Arial" w:hAnsi="Arial" w:cs="Arial"/>
                <w:sz w:val="22"/>
                <w:szCs w:val="22"/>
              </w:rPr>
              <w:t>Information about material contracts of</w:t>
            </w:r>
            <w:r w:rsidRPr="00FB2F3D">
              <w:rPr>
                <w:rFonts w:ascii="Arial" w:hAnsi="Arial" w:cs="Arial"/>
                <w:sz w:val="22"/>
                <w:szCs w:val="22"/>
                <w:lang w:eastAsia="ja-JP"/>
              </w:rPr>
              <w:t xml:space="preserve"> </w:t>
            </w:r>
            <w:r w:rsidRPr="00FB2F3D">
              <w:rPr>
                <w:rFonts w:ascii="Arial" w:hAnsi="Arial" w:cs="Arial"/>
                <w:sz w:val="22"/>
                <w:szCs w:val="22"/>
              </w:rPr>
              <w:t>the Issuer including:</w:t>
            </w:r>
          </w:p>
          <w:p w14:paraId="23908681"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 summary of each material contract (to the extent not otherwise disclosed under 4.5.1), other than contracts entered into in the ordinary course of business, to which</w:t>
            </w:r>
            <w:r w:rsidRPr="00FB2F3D">
              <w:rPr>
                <w:rFonts w:ascii="Arial" w:hAnsi="Arial" w:cs="Arial"/>
                <w:sz w:val="22"/>
                <w:szCs w:val="22"/>
                <w:lang w:eastAsia="ja-JP"/>
              </w:rPr>
              <w:t xml:space="preserve"> </w:t>
            </w:r>
            <w:r w:rsidRPr="00FB2F3D">
              <w:rPr>
                <w:rFonts w:ascii="Arial" w:hAnsi="Arial" w:cs="Arial"/>
                <w:sz w:val="22"/>
                <w:szCs w:val="22"/>
              </w:rPr>
              <w:t>the Issuer or any member of the Group is a party, for the two years immediately preceding publication of the Registration Statement; and</w:t>
            </w:r>
          </w:p>
        </w:tc>
        <w:tc>
          <w:tcPr>
            <w:tcW w:w="128" w:type="pct"/>
          </w:tcPr>
          <w:p w14:paraId="7A84C2A0"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522B6411"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65AAC866"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5" w:type="pct"/>
          </w:tcPr>
          <w:p w14:paraId="63D6E44B"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4600F906"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2E5E249C"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3" w:type="pct"/>
          </w:tcPr>
          <w:p w14:paraId="6CAF4ECF"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55BBDC86" w14:textId="77777777" w:rsidTr="008016B7">
        <w:tc>
          <w:tcPr>
            <w:tcW w:w="229" w:type="pct"/>
          </w:tcPr>
          <w:p w14:paraId="74469070" w14:textId="77777777" w:rsidR="00567333" w:rsidRPr="00FB2F3D" w:rsidRDefault="00567333" w:rsidP="00567333">
            <w:pPr>
              <w:pStyle w:val="UK12Block"/>
              <w:rPr>
                <w:rFonts w:ascii="Arial" w:hAnsi="Arial" w:cs="Arial"/>
                <w:sz w:val="22"/>
                <w:szCs w:val="22"/>
              </w:rPr>
            </w:pPr>
          </w:p>
        </w:tc>
        <w:tc>
          <w:tcPr>
            <w:tcW w:w="3399" w:type="pct"/>
          </w:tcPr>
          <w:p w14:paraId="52201CB6"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 summary of any other contract (not being a contract entered into in the ordinary course of business) entered into by any member of the Group which contains any provision under</w:t>
            </w:r>
            <w:r w:rsidRPr="00FB2F3D">
              <w:rPr>
                <w:rFonts w:ascii="Arial" w:hAnsi="Arial" w:cs="Arial"/>
                <w:sz w:val="22"/>
                <w:szCs w:val="22"/>
                <w:lang w:eastAsia="ja-JP"/>
              </w:rPr>
              <w:t xml:space="preserve"> </w:t>
            </w:r>
            <w:r w:rsidRPr="00FB2F3D">
              <w:rPr>
                <w:rFonts w:ascii="Arial" w:hAnsi="Arial" w:cs="Arial"/>
                <w:sz w:val="22"/>
                <w:szCs w:val="22"/>
              </w:rPr>
              <w:lastRenderedPageBreak/>
              <w:t>which any member of the Group has any obligation or entitlement which is material to the</w:t>
            </w:r>
            <w:r w:rsidRPr="00FB2F3D">
              <w:rPr>
                <w:rFonts w:ascii="Arial" w:hAnsi="Arial" w:cs="Arial"/>
                <w:sz w:val="22"/>
                <w:szCs w:val="22"/>
                <w:lang w:eastAsia="ja-JP"/>
              </w:rPr>
              <w:t xml:space="preserve"> </w:t>
            </w:r>
            <w:r w:rsidRPr="00FB2F3D">
              <w:rPr>
                <w:rFonts w:ascii="Arial" w:hAnsi="Arial" w:cs="Arial"/>
                <w:sz w:val="22"/>
                <w:szCs w:val="22"/>
              </w:rPr>
              <w:t>Group as at the date of the Registration Statement.</w:t>
            </w:r>
          </w:p>
        </w:tc>
        <w:tc>
          <w:tcPr>
            <w:tcW w:w="128" w:type="pct"/>
          </w:tcPr>
          <w:p w14:paraId="34FA4E0E"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lastRenderedPageBreak/>
              <w:sym w:font="Wingdings" w:char="F0FC"/>
            </w:r>
          </w:p>
        </w:tc>
        <w:tc>
          <w:tcPr>
            <w:tcW w:w="223" w:type="pct"/>
          </w:tcPr>
          <w:p w14:paraId="0191440F"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3CECA62D" w14:textId="77777777" w:rsidR="00567333" w:rsidRPr="00FB2F3D" w:rsidRDefault="00567333" w:rsidP="00567333">
            <w:pPr>
              <w:pStyle w:val="UK12Block"/>
              <w:rPr>
                <w:rFonts w:ascii="Arial" w:hAnsi="Arial" w:cs="Arial"/>
                <w:sz w:val="22"/>
                <w:szCs w:val="22"/>
              </w:rPr>
            </w:pPr>
          </w:p>
        </w:tc>
        <w:tc>
          <w:tcPr>
            <w:tcW w:w="255" w:type="pct"/>
          </w:tcPr>
          <w:p w14:paraId="5DAFE510" w14:textId="77777777" w:rsidR="00567333" w:rsidRPr="00FB2F3D" w:rsidRDefault="00567333" w:rsidP="00567333">
            <w:pPr>
              <w:pStyle w:val="UK12Block"/>
              <w:rPr>
                <w:rFonts w:ascii="Arial" w:hAnsi="Arial" w:cs="Arial"/>
                <w:sz w:val="22"/>
                <w:szCs w:val="22"/>
              </w:rPr>
            </w:pPr>
          </w:p>
        </w:tc>
        <w:tc>
          <w:tcPr>
            <w:tcW w:w="223" w:type="pct"/>
          </w:tcPr>
          <w:p w14:paraId="3FF37E83"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7B495069" w14:textId="77777777" w:rsidR="00567333" w:rsidRPr="00FB2F3D" w:rsidRDefault="00567333" w:rsidP="00567333">
            <w:pPr>
              <w:pStyle w:val="UK12Block"/>
              <w:rPr>
                <w:rFonts w:ascii="Arial" w:hAnsi="Arial" w:cs="Arial"/>
                <w:sz w:val="22"/>
                <w:szCs w:val="22"/>
              </w:rPr>
            </w:pPr>
          </w:p>
        </w:tc>
        <w:tc>
          <w:tcPr>
            <w:tcW w:w="193" w:type="pct"/>
          </w:tcPr>
          <w:p w14:paraId="469ED0C4"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7F6B1114" w14:textId="77777777" w:rsidTr="0061693E">
        <w:tc>
          <w:tcPr>
            <w:tcW w:w="5000" w:type="pct"/>
            <w:gridSpan w:val="9"/>
          </w:tcPr>
          <w:p w14:paraId="2307DB0C" w14:textId="77777777" w:rsidR="00567333" w:rsidRPr="00FB2F3D" w:rsidRDefault="00567333" w:rsidP="00755725">
            <w:pPr>
              <w:pStyle w:val="UK12Block"/>
              <w:keepNext/>
              <w:numPr>
                <w:ilvl w:val="0"/>
                <w:numId w:val="59"/>
              </w:numPr>
              <w:spacing w:after="0"/>
              <w:rPr>
                <w:rFonts w:ascii="Arial" w:hAnsi="Arial" w:cs="Arial"/>
                <w:b/>
                <w:sz w:val="22"/>
                <w:szCs w:val="22"/>
              </w:rPr>
            </w:pPr>
            <w:r w:rsidRPr="00FB2F3D">
              <w:rPr>
                <w:rFonts w:ascii="Arial" w:hAnsi="Arial" w:cs="Arial"/>
                <w:b/>
                <w:sz w:val="22"/>
                <w:szCs w:val="22"/>
              </w:rPr>
              <w:t>CAPITAL</w:t>
            </w:r>
          </w:p>
        </w:tc>
      </w:tr>
      <w:tr w:rsidR="00567333" w:rsidRPr="00FB2F3D" w14:paraId="157FC94F" w14:textId="77777777" w:rsidTr="008016B7">
        <w:tc>
          <w:tcPr>
            <w:tcW w:w="229" w:type="pct"/>
          </w:tcPr>
          <w:p w14:paraId="497B3589" w14:textId="77777777" w:rsidR="00567333" w:rsidRPr="00FB2F3D" w:rsidRDefault="00567333" w:rsidP="00755725">
            <w:pPr>
              <w:pStyle w:val="UK12Block"/>
              <w:numPr>
                <w:ilvl w:val="1"/>
                <w:numId w:val="59"/>
              </w:numPr>
              <w:spacing w:after="0"/>
              <w:rPr>
                <w:rFonts w:ascii="Arial" w:hAnsi="Arial" w:cs="Arial"/>
                <w:b/>
                <w:sz w:val="22"/>
                <w:szCs w:val="22"/>
              </w:rPr>
            </w:pPr>
          </w:p>
        </w:tc>
        <w:tc>
          <w:tcPr>
            <w:tcW w:w="3399" w:type="pct"/>
          </w:tcPr>
          <w:p w14:paraId="16C1999F"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Capital resources</w:t>
            </w:r>
          </w:p>
          <w:p w14:paraId="1C2F1BDE"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Information about the capital resources of the Issuer including:</w:t>
            </w:r>
          </w:p>
          <w:p w14:paraId="564CC27A"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the short and long term capital resources;</w:t>
            </w:r>
          </w:p>
          <w:p w14:paraId="59CDB050"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an explanation of, the sources and amounts of, and a narrative description of, the cash flows;</w:t>
            </w:r>
          </w:p>
          <w:p w14:paraId="42F1DFC7"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the borrowing requirements and funding structure; and</w:t>
            </w:r>
          </w:p>
          <w:p w14:paraId="5422B2A7"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any restrictions on the use of capital resources that have materially</w:t>
            </w:r>
            <w:r w:rsidRPr="00FB2F3D">
              <w:rPr>
                <w:rFonts w:ascii="Arial" w:hAnsi="Arial" w:cs="Arial"/>
                <w:sz w:val="22"/>
                <w:szCs w:val="22"/>
                <w:lang w:eastAsia="ja-JP"/>
              </w:rPr>
              <w:t xml:space="preserve"> </w:t>
            </w:r>
            <w:r w:rsidRPr="00FB2F3D">
              <w:rPr>
                <w:rFonts w:ascii="Arial" w:hAnsi="Arial" w:cs="Arial"/>
                <w:sz w:val="22"/>
                <w:szCs w:val="22"/>
              </w:rPr>
              <w:t>affected, or could materially affect, directly or indirectly, its operations.</w:t>
            </w:r>
          </w:p>
        </w:tc>
        <w:tc>
          <w:tcPr>
            <w:tcW w:w="128" w:type="pct"/>
          </w:tcPr>
          <w:p w14:paraId="522C96F2"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13A7996F"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1FB5F0CC" w14:textId="77777777" w:rsidR="00567333" w:rsidRPr="00FB2F3D" w:rsidRDefault="00567333" w:rsidP="00567333">
            <w:pPr>
              <w:pStyle w:val="UK12Block"/>
              <w:rPr>
                <w:rFonts w:ascii="Arial" w:hAnsi="Arial" w:cs="Arial"/>
                <w:sz w:val="22"/>
                <w:szCs w:val="22"/>
              </w:rPr>
            </w:pPr>
          </w:p>
        </w:tc>
        <w:tc>
          <w:tcPr>
            <w:tcW w:w="255" w:type="pct"/>
          </w:tcPr>
          <w:p w14:paraId="21E381CD" w14:textId="77777777" w:rsidR="00567333" w:rsidRPr="00FB2F3D" w:rsidRDefault="00567333" w:rsidP="00567333">
            <w:pPr>
              <w:pStyle w:val="UK12Block"/>
              <w:rPr>
                <w:rFonts w:ascii="Arial" w:hAnsi="Arial" w:cs="Arial"/>
                <w:sz w:val="22"/>
                <w:szCs w:val="22"/>
              </w:rPr>
            </w:pPr>
          </w:p>
        </w:tc>
        <w:tc>
          <w:tcPr>
            <w:tcW w:w="223" w:type="pct"/>
          </w:tcPr>
          <w:p w14:paraId="2FF75816"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3EFB09D3" w14:textId="77777777" w:rsidR="00567333" w:rsidRPr="00FB2F3D" w:rsidRDefault="00567333" w:rsidP="00567333">
            <w:pPr>
              <w:pStyle w:val="UK12Block"/>
              <w:rPr>
                <w:rFonts w:ascii="Arial" w:hAnsi="Arial" w:cs="Arial"/>
                <w:sz w:val="22"/>
                <w:szCs w:val="22"/>
              </w:rPr>
            </w:pPr>
          </w:p>
        </w:tc>
        <w:tc>
          <w:tcPr>
            <w:tcW w:w="193" w:type="pct"/>
          </w:tcPr>
          <w:p w14:paraId="3FB4C895"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352B665E" w14:textId="77777777" w:rsidTr="008016B7">
        <w:tc>
          <w:tcPr>
            <w:tcW w:w="229" w:type="pct"/>
          </w:tcPr>
          <w:p w14:paraId="625A929F" w14:textId="77777777" w:rsidR="00567333" w:rsidRPr="00FB2F3D" w:rsidRDefault="00567333" w:rsidP="00567333">
            <w:pPr>
              <w:pStyle w:val="UK12Block"/>
              <w:rPr>
                <w:rFonts w:ascii="Arial" w:hAnsi="Arial" w:cs="Arial"/>
                <w:sz w:val="22"/>
                <w:szCs w:val="22"/>
              </w:rPr>
            </w:pPr>
          </w:p>
        </w:tc>
        <w:tc>
          <w:tcPr>
            <w:tcW w:w="3399" w:type="pct"/>
          </w:tcPr>
          <w:p w14:paraId="47B7BD12"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Information regarding the anticipated sources of funds needed to fulfil commitments</w:t>
            </w:r>
            <w:r w:rsidRPr="00FB2F3D">
              <w:rPr>
                <w:rFonts w:ascii="Arial" w:hAnsi="Arial" w:cs="Arial"/>
                <w:sz w:val="22"/>
                <w:szCs w:val="22"/>
                <w:lang w:eastAsia="ja-JP"/>
              </w:rPr>
              <w:t xml:space="preserve"> </w:t>
            </w:r>
            <w:r w:rsidRPr="00FB2F3D">
              <w:rPr>
                <w:rFonts w:ascii="Arial" w:hAnsi="Arial" w:cs="Arial"/>
                <w:sz w:val="22"/>
                <w:szCs w:val="22"/>
              </w:rPr>
              <w:t>relating to:</w:t>
            </w:r>
          </w:p>
          <w:p w14:paraId="6EDD372D"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any existing or planned material tangible fixed assets, including leased properties, and any major encumbrances thereon; and</w:t>
            </w:r>
          </w:p>
          <w:p w14:paraId="379A98CF"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any principal future investments to which the Board or the Senior Management of the Issuer have already made firm commitments.</w:t>
            </w:r>
          </w:p>
          <w:p w14:paraId="40E5008F"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lastRenderedPageBreak/>
              <w:t>Information relating to any undertakings in which the Issuer holds a portion of its capital where such holding is likely to have a significant effect on the assessment of its own assets and liabilities, financial position or profits and losses.</w:t>
            </w:r>
          </w:p>
        </w:tc>
        <w:tc>
          <w:tcPr>
            <w:tcW w:w="128" w:type="pct"/>
          </w:tcPr>
          <w:p w14:paraId="2C53531B" w14:textId="77777777" w:rsidR="00567333" w:rsidRPr="00FB2F3D" w:rsidRDefault="00567333" w:rsidP="00567333">
            <w:pPr>
              <w:pStyle w:val="UK12Block"/>
              <w:rPr>
                <w:rFonts w:ascii="Arial" w:hAnsi="Arial" w:cs="Arial"/>
                <w:sz w:val="22"/>
                <w:szCs w:val="22"/>
              </w:rPr>
            </w:pPr>
          </w:p>
        </w:tc>
        <w:tc>
          <w:tcPr>
            <w:tcW w:w="223" w:type="pct"/>
          </w:tcPr>
          <w:p w14:paraId="13A7EE88" w14:textId="77777777" w:rsidR="00567333" w:rsidRPr="00FB2F3D" w:rsidRDefault="00567333" w:rsidP="00567333">
            <w:pPr>
              <w:pStyle w:val="UK12Block"/>
              <w:rPr>
                <w:rFonts w:ascii="Arial" w:hAnsi="Arial" w:cs="Arial"/>
                <w:sz w:val="22"/>
                <w:szCs w:val="22"/>
              </w:rPr>
            </w:pPr>
          </w:p>
        </w:tc>
        <w:tc>
          <w:tcPr>
            <w:tcW w:w="127" w:type="pct"/>
          </w:tcPr>
          <w:p w14:paraId="2C7681F8" w14:textId="77777777" w:rsidR="00567333" w:rsidRPr="00FB2F3D" w:rsidRDefault="00567333" w:rsidP="00567333">
            <w:pPr>
              <w:pStyle w:val="UK12Block"/>
              <w:rPr>
                <w:rFonts w:ascii="Arial" w:hAnsi="Arial" w:cs="Arial"/>
                <w:sz w:val="22"/>
                <w:szCs w:val="22"/>
              </w:rPr>
            </w:pPr>
          </w:p>
        </w:tc>
        <w:tc>
          <w:tcPr>
            <w:tcW w:w="255" w:type="pct"/>
          </w:tcPr>
          <w:p w14:paraId="5964C129" w14:textId="77777777" w:rsidR="00567333" w:rsidRPr="00FB2F3D" w:rsidRDefault="00567333" w:rsidP="00567333">
            <w:pPr>
              <w:pStyle w:val="UK12Block"/>
              <w:rPr>
                <w:rFonts w:ascii="Arial" w:hAnsi="Arial" w:cs="Arial"/>
                <w:sz w:val="22"/>
                <w:szCs w:val="22"/>
              </w:rPr>
            </w:pPr>
          </w:p>
        </w:tc>
        <w:tc>
          <w:tcPr>
            <w:tcW w:w="223" w:type="pct"/>
          </w:tcPr>
          <w:p w14:paraId="09533955" w14:textId="77777777" w:rsidR="00567333" w:rsidRPr="00FB2F3D" w:rsidRDefault="00567333" w:rsidP="00567333">
            <w:pPr>
              <w:pStyle w:val="UK12Block"/>
              <w:rPr>
                <w:rFonts w:ascii="Arial" w:hAnsi="Arial" w:cs="Arial"/>
                <w:sz w:val="22"/>
                <w:szCs w:val="22"/>
              </w:rPr>
            </w:pPr>
          </w:p>
        </w:tc>
        <w:tc>
          <w:tcPr>
            <w:tcW w:w="223" w:type="pct"/>
          </w:tcPr>
          <w:p w14:paraId="58CB39E2" w14:textId="77777777" w:rsidR="00567333" w:rsidRPr="00FB2F3D" w:rsidRDefault="00567333" w:rsidP="00567333">
            <w:pPr>
              <w:pStyle w:val="UK12Block"/>
              <w:rPr>
                <w:rFonts w:ascii="Arial" w:hAnsi="Arial" w:cs="Arial"/>
                <w:sz w:val="22"/>
                <w:szCs w:val="22"/>
              </w:rPr>
            </w:pPr>
          </w:p>
        </w:tc>
        <w:tc>
          <w:tcPr>
            <w:tcW w:w="193" w:type="pct"/>
          </w:tcPr>
          <w:p w14:paraId="0778824D" w14:textId="77777777" w:rsidR="00567333" w:rsidRPr="00FB2F3D" w:rsidRDefault="00567333" w:rsidP="00567333">
            <w:pPr>
              <w:pStyle w:val="UK12Block"/>
              <w:rPr>
                <w:rFonts w:ascii="Arial" w:hAnsi="Arial" w:cs="Arial"/>
                <w:sz w:val="22"/>
                <w:szCs w:val="22"/>
              </w:rPr>
            </w:pPr>
          </w:p>
        </w:tc>
      </w:tr>
      <w:tr w:rsidR="00567333" w:rsidRPr="00FB2F3D" w14:paraId="4A106D86" w14:textId="77777777" w:rsidTr="008016B7">
        <w:tc>
          <w:tcPr>
            <w:tcW w:w="229" w:type="pct"/>
          </w:tcPr>
          <w:p w14:paraId="5D02E5EF" w14:textId="77777777" w:rsidR="00567333" w:rsidRPr="00FB2F3D" w:rsidRDefault="00567333" w:rsidP="00755725">
            <w:pPr>
              <w:pStyle w:val="UK12Block"/>
              <w:numPr>
                <w:ilvl w:val="1"/>
                <w:numId w:val="59"/>
              </w:numPr>
              <w:spacing w:after="0"/>
              <w:rPr>
                <w:rFonts w:ascii="Arial" w:hAnsi="Arial" w:cs="Arial"/>
                <w:b/>
                <w:sz w:val="22"/>
                <w:szCs w:val="22"/>
              </w:rPr>
            </w:pPr>
          </w:p>
        </w:tc>
        <w:tc>
          <w:tcPr>
            <w:tcW w:w="3399" w:type="pct"/>
          </w:tcPr>
          <w:p w14:paraId="533BEE18"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Certificates</w:t>
            </w:r>
          </w:p>
          <w:p w14:paraId="3D29FA9E" w14:textId="77777777" w:rsidR="00567333" w:rsidRPr="00FB2F3D" w:rsidRDefault="00567333" w:rsidP="00567333">
            <w:pPr>
              <w:pStyle w:val="UK12Block"/>
              <w:rPr>
                <w:rFonts w:ascii="Arial" w:hAnsi="Arial" w:cs="Arial"/>
                <w:sz w:val="22"/>
                <w:szCs w:val="22"/>
              </w:rPr>
            </w:pPr>
            <w:r w:rsidRPr="00FB2F3D">
              <w:rPr>
                <w:rFonts w:ascii="Arial" w:hAnsi="Arial" w:cs="Arial"/>
                <w:sz w:val="22"/>
                <w:szCs w:val="22"/>
              </w:rPr>
              <w:t>In the case of an Issuer of Certificates, a summary of the Issuer's responsibilities and obligations in respect of the Certificates including the obligations and responsibilities in making certain payments as and when payments on the underlying Securities are received and any material information about the Issuer of the underlying Securities that may affect the Issuer's ability to meet its obligations</w:t>
            </w:r>
            <w:r w:rsidRPr="00FB2F3D">
              <w:rPr>
                <w:rFonts w:ascii="Arial" w:hAnsi="Arial" w:cs="Arial"/>
                <w:sz w:val="22"/>
                <w:szCs w:val="22"/>
                <w:lang w:eastAsia="ja-JP"/>
              </w:rPr>
              <w:t>.</w:t>
            </w:r>
          </w:p>
        </w:tc>
        <w:tc>
          <w:tcPr>
            <w:tcW w:w="128" w:type="pct"/>
          </w:tcPr>
          <w:p w14:paraId="0E804875" w14:textId="77777777" w:rsidR="00567333" w:rsidRPr="00FB2F3D" w:rsidRDefault="00567333" w:rsidP="00567333">
            <w:pPr>
              <w:pStyle w:val="UK12Block"/>
              <w:rPr>
                <w:rFonts w:ascii="Arial" w:hAnsi="Arial" w:cs="Arial"/>
                <w:sz w:val="22"/>
                <w:szCs w:val="22"/>
              </w:rPr>
            </w:pPr>
          </w:p>
        </w:tc>
        <w:tc>
          <w:tcPr>
            <w:tcW w:w="223" w:type="pct"/>
          </w:tcPr>
          <w:p w14:paraId="6A6867CC" w14:textId="77777777" w:rsidR="00567333" w:rsidRPr="00FB2F3D" w:rsidRDefault="00567333" w:rsidP="00567333">
            <w:pPr>
              <w:pStyle w:val="UK12Block"/>
              <w:rPr>
                <w:rFonts w:ascii="Arial" w:hAnsi="Arial" w:cs="Arial"/>
                <w:sz w:val="22"/>
                <w:szCs w:val="22"/>
              </w:rPr>
            </w:pPr>
          </w:p>
        </w:tc>
        <w:tc>
          <w:tcPr>
            <w:tcW w:w="127" w:type="pct"/>
          </w:tcPr>
          <w:p w14:paraId="4262FF43" w14:textId="77777777" w:rsidR="00567333" w:rsidRPr="00FB2F3D" w:rsidRDefault="00567333" w:rsidP="00567333">
            <w:pPr>
              <w:pStyle w:val="UK12Block"/>
              <w:rPr>
                <w:rFonts w:ascii="Arial" w:hAnsi="Arial" w:cs="Arial"/>
                <w:sz w:val="22"/>
                <w:szCs w:val="22"/>
              </w:rPr>
            </w:pPr>
          </w:p>
        </w:tc>
        <w:tc>
          <w:tcPr>
            <w:tcW w:w="255" w:type="pct"/>
          </w:tcPr>
          <w:p w14:paraId="6AE7745F" w14:textId="77777777" w:rsidR="00567333" w:rsidRPr="00FB2F3D" w:rsidRDefault="00567333" w:rsidP="00567333">
            <w:pPr>
              <w:pStyle w:val="UK12Block"/>
              <w:rPr>
                <w:rFonts w:ascii="Arial" w:hAnsi="Arial" w:cs="Arial"/>
                <w:sz w:val="22"/>
                <w:szCs w:val="22"/>
              </w:rPr>
            </w:pPr>
          </w:p>
        </w:tc>
        <w:tc>
          <w:tcPr>
            <w:tcW w:w="223" w:type="pct"/>
          </w:tcPr>
          <w:p w14:paraId="4C6841D8"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56B2D382"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3" w:type="pct"/>
          </w:tcPr>
          <w:p w14:paraId="25690C7A" w14:textId="77777777" w:rsidR="00567333" w:rsidRPr="00FB2F3D" w:rsidRDefault="00567333" w:rsidP="00567333">
            <w:pPr>
              <w:pStyle w:val="UK12Block"/>
              <w:rPr>
                <w:rFonts w:ascii="Arial" w:hAnsi="Arial" w:cs="Arial"/>
                <w:sz w:val="22"/>
                <w:szCs w:val="22"/>
              </w:rPr>
            </w:pPr>
          </w:p>
        </w:tc>
      </w:tr>
      <w:tr w:rsidR="00567333" w:rsidRPr="00FB2F3D" w14:paraId="66262961" w14:textId="77777777" w:rsidTr="008016B7">
        <w:tc>
          <w:tcPr>
            <w:tcW w:w="229" w:type="pct"/>
          </w:tcPr>
          <w:p w14:paraId="73469946" w14:textId="77777777" w:rsidR="00567333" w:rsidRPr="00FB2F3D" w:rsidRDefault="00567333" w:rsidP="00755725">
            <w:pPr>
              <w:pStyle w:val="UK12Block"/>
              <w:numPr>
                <w:ilvl w:val="1"/>
                <w:numId w:val="59"/>
              </w:numPr>
              <w:spacing w:after="0"/>
              <w:rPr>
                <w:rFonts w:ascii="Arial" w:hAnsi="Arial" w:cs="Arial"/>
                <w:b/>
                <w:sz w:val="22"/>
                <w:szCs w:val="22"/>
              </w:rPr>
            </w:pPr>
          </w:p>
        </w:tc>
        <w:tc>
          <w:tcPr>
            <w:tcW w:w="3399" w:type="pct"/>
          </w:tcPr>
          <w:p w14:paraId="76730C56"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Share capital</w:t>
            </w:r>
          </w:p>
          <w:p w14:paraId="36AD2D76" w14:textId="77777777" w:rsidR="00567333" w:rsidRPr="00FB2F3D" w:rsidRDefault="00567333" w:rsidP="00567333">
            <w:pPr>
              <w:pStyle w:val="UK12Block"/>
              <w:rPr>
                <w:rFonts w:ascii="Arial" w:hAnsi="Arial" w:cs="Arial"/>
                <w:sz w:val="22"/>
                <w:szCs w:val="22"/>
              </w:rPr>
            </w:pPr>
            <w:r w:rsidRPr="00FB2F3D">
              <w:rPr>
                <w:rFonts w:ascii="Arial" w:hAnsi="Arial" w:cs="Arial"/>
                <w:sz w:val="22"/>
                <w:szCs w:val="22"/>
              </w:rPr>
              <w:t>The following information as of the date of the most recent balance sheet included in the historical financial information of the Issuer:</w:t>
            </w:r>
          </w:p>
          <w:p w14:paraId="2CB5E933"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The amount of issued Share capital, and for each class of Share capital:</w:t>
            </w:r>
          </w:p>
          <w:p w14:paraId="59C0217E"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the number of Shares authorised;</w:t>
            </w:r>
          </w:p>
          <w:p w14:paraId="3AD1C20E"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the number of Shares, issued and fully paid, and issued but not fully paid;</w:t>
            </w:r>
          </w:p>
          <w:p w14:paraId="1C0E606A"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the par value per Share, or that the Shares have no par value; and</w:t>
            </w:r>
          </w:p>
          <w:p w14:paraId="6E95875D"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 xml:space="preserve">a reconciliation of the number of Shares outstanding at the beginning and end of the year. If more than 10% of capital has been paid for with assets other than </w:t>
            </w:r>
            <w:r w:rsidRPr="00FB2F3D">
              <w:rPr>
                <w:rFonts w:ascii="Arial" w:hAnsi="Arial" w:cs="Arial"/>
                <w:sz w:val="22"/>
                <w:szCs w:val="22"/>
              </w:rPr>
              <w:lastRenderedPageBreak/>
              <w:t>cash within the period covered by the historical financial information, a statement to that effect.</w:t>
            </w:r>
          </w:p>
          <w:p w14:paraId="7976F836"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If there are Shares not representing capital, the number and main characteristics of such Shares.</w:t>
            </w:r>
          </w:p>
          <w:p w14:paraId="641D3284"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The number, book value and face value of Shares in the Issuer held by or on behalf of the Issuer itself or by Subsidiaries of the Issuer.</w:t>
            </w:r>
          </w:p>
          <w:p w14:paraId="4F27D861"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The amount of any convertible Securities, exchangeable Securities or Securities with warrants, with an indication of the conditions governing and the procedures for conversion, exchange or subscription.</w:t>
            </w:r>
          </w:p>
          <w:p w14:paraId="46A4E6B1"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Information about, and the terms of, any acquisition rights and/or obligations over authorised but unissued capital or an undertaking to increase the capital.</w:t>
            </w:r>
          </w:p>
          <w:p w14:paraId="3F32EBE4"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Historical information about the Share capital highlighting any changes for the period covered by the historical financial information.</w:t>
            </w:r>
          </w:p>
        </w:tc>
        <w:tc>
          <w:tcPr>
            <w:tcW w:w="128" w:type="pct"/>
          </w:tcPr>
          <w:p w14:paraId="1F9070A2"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lastRenderedPageBreak/>
              <w:sym w:font="Wingdings" w:char="F0FC"/>
            </w:r>
          </w:p>
        </w:tc>
        <w:tc>
          <w:tcPr>
            <w:tcW w:w="223" w:type="pct"/>
          </w:tcPr>
          <w:p w14:paraId="033DB26C"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70F29C38" w14:textId="77777777" w:rsidR="00567333" w:rsidRPr="00FB2F3D" w:rsidRDefault="00567333" w:rsidP="00567333">
            <w:pPr>
              <w:pStyle w:val="UK12Block"/>
              <w:rPr>
                <w:rFonts w:ascii="Arial" w:hAnsi="Arial" w:cs="Arial"/>
                <w:sz w:val="22"/>
                <w:szCs w:val="22"/>
              </w:rPr>
            </w:pPr>
          </w:p>
        </w:tc>
        <w:tc>
          <w:tcPr>
            <w:tcW w:w="255" w:type="pct"/>
          </w:tcPr>
          <w:p w14:paraId="265FF906" w14:textId="77777777" w:rsidR="00567333" w:rsidRPr="00FB2F3D" w:rsidRDefault="00567333" w:rsidP="00567333">
            <w:pPr>
              <w:pStyle w:val="UK12Block"/>
              <w:rPr>
                <w:rFonts w:ascii="Arial" w:hAnsi="Arial" w:cs="Arial"/>
                <w:sz w:val="22"/>
                <w:szCs w:val="22"/>
              </w:rPr>
            </w:pPr>
          </w:p>
        </w:tc>
        <w:tc>
          <w:tcPr>
            <w:tcW w:w="223" w:type="pct"/>
          </w:tcPr>
          <w:p w14:paraId="4AE11C24"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39017D6D" w14:textId="77777777" w:rsidR="00567333" w:rsidRPr="00FB2F3D" w:rsidRDefault="00567333" w:rsidP="00567333">
            <w:pPr>
              <w:pStyle w:val="UK12Block"/>
              <w:rPr>
                <w:rFonts w:ascii="Arial" w:hAnsi="Arial" w:cs="Arial"/>
                <w:sz w:val="22"/>
                <w:szCs w:val="22"/>
              </w:rPr>
            </w:pPr>
          </w:p>
        </w:tc>
        <w:tc>
          <w:tcPr>
            <w:tcW w:w="193" w:type="pct"/>
          </w:tcPr>
          <w:p w14:paraId="09358B1A"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36B5D3AD" w14:textId="77777777" w:rsidTr="008016B7">
        <w:trPr>
          <w:cantSplit/>
        </w:trPr>
        <w:tc>
          <w:tcPr>
            <w:tcW w:w="229" w:type="pct"/>
          </w:tcPr>
          <w:p w14:paraId="610E4C46" w14:textId="77777777" w:rsidR="00567333" w:rsidRPr="00FB2F3D" w:rsidRDefault="00567333" w:rsidP="00755725">
            <w:pPr>
              <w:pStyle w:val="UK12Block"/>
              <w:numPr>
                <w:ilvl w:val="1"/>
                <w:numId w:val="59"/>
              </w:numPr>
              <w:spacing w:after="0"/>
              <w:rPr>
                <w:rFonts w:ascii="Arial" w:hAnsi="Arial" w:cs="Arial"/>
                <w:b/>
                <w:sz w:val="22"/>
                <w:szCs w:val="22"/>
              </w:rPr>
            </w:pPr>
          </w:p>
        </w:tc>
        <w:tc>
          <w:tcPr>
            <w:tcW w:w="3399" w:type="pct"/>
          </w:tcPr>
          <w:p w14:paraId="7C90F1B1"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Options</w:t>
            </w:r>
          </w:p>
          <w:p w14:paraId="5F951274" w14:textId="77777777" w:rsidR="00567333" w:rsidRPr="00FB2F3D" w:rsidRDefault="00567333" w:rsidP="00567333">
            <w:pPr>
              <w:pStyle w:val="UK12Block"/>
              <w:rPr>
                <w:rFonts w:ascii="Arial" w:hAnsi="Arial" w:cs="Arial"/>
                <w:sz w:val="22"/>
                <w:szCs w:val="22"/>
              </w:rPr>
            </w:pPr>
            <w:r w:rsidRPr="00FB2F3D">
              <w:rPr>
                <w:rFonts w:ascii="Arial" w:hAnsi="Arial" w:cs="Arial"/>
                <w:sz w:val="22"/>
                <w:szCs w:val="22"/>
              </w:rPr>
              <w:t>If any options or other rights granted in respect of Shares in the Issuer to any Person, a</w:t>
            </w:r>
            <w:r w:rsidRPr="00FB2F3D">
              <w:rPr>
                <w:rFonts w:ascii="Arial" w:hAnsi="Arial" w:cs="Arial"/>
                <w:sz w:val="22"/>
                <w:szCs w:val="22"/>
                <w:lang w:eastAsia="ja-JP"/>
              </w:rPr>
              <w:t xml:space="preserve"> </w:t>
            </w:r>
            <w:r w:rsidRPr="00FB2F3D">
              <w:rPr>
                <w:rFonts w:ascii="Arial" w:hAnsi="Arial" w:cs="Arial"/>
                <w:sz w:val="22"/>
                <w:szCs w:val="22"/>
              </w:rPr>
              <w:t>summary of the total of any such options, along with an estimate of the number of Shares which</w:t>
            </w:r>
            <w:r w:rsidRPr="00FB2F3D">
              <w:rPr>
                <w:rFonts w:ascii="Arial" w:hAnsi="Arial" w:cs="Arial"/>
                <w:sz w:val="22"/>
                <w:szCs w:val="22"/>
                <w:lang w:eastAsia="ja-JP"/>
              </w:rPr>
              <w:t xml:space="preserve"> </w:t>
            </w:r>
            <w:r w:rsidRPr="00FB2F3D">
              <w:rPr>
                <w:rFonts w:ascii="Arial" w:hAnsi="Arial" w:cs="Arial"/>
                <w:sz w:val="22"/>
                <w:szCs w:val="22"/>
              </w:rPr>
              <w:t>would be created, if such rights were to be exercised.</w:t>
            </w:r>
          </w:p>
        </w:tc>
        <w:tc>
          <w:tcPr>
            <w:tcW w:w="128" w:type="pct"/>
          </w:tcPr>
          <w:p w14:paraId="74F1CF6B"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7BAF2F8F"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0AC06C2D" w14:textId="77777777" w:rsidR="00567333" w:rsidRPr="00FB2F3D" w:rsidRDefault="00567333" w:rsidP="00567333">
            <w:pPr>
              <w:pStyle w:val="UK12Block"/>
              <w:rPr>
                <w:rFonts w:ascii="Arial" w:hAnsi="Arial" w:cs="Arial"/>
                <w:sz w:val="22"/>
                <w:szCs w:val="22"/>
              </w:rPr>
            </w:pPr>
          </w:p>
        </w:tc>
        <w:tc>
          <w:tcPr>
            <w:tcW w:w="255" w:type="pct"/>
          </w:tcPr>
          <w:p w14:paraId="1302AB21" w14:textId="77777777" w:rsidR="00567333" w:rsidRPr="00FB2F3D" w:rsidRDefault="00567333" w:rsidP="00567333">
            <w:pPr>
              <w:pStyle w:val="UK12Block"/>
              <w:rPr>
                <w:rFonts w:ascii="Arial" w:hAnsi="Arial" w:cs="Arial"/>
                <w:sz w:val="22"/>
                <w:szCs w:val="22"/>
              </w:rPr>
            </w:pPr>
          </w:p>
        </w:tc>
        <w:tc>
          <w:tcPr>
            <w:tcW w:w="223" w:type="pct"/>
          </w:tcPr>
          <w:p w14:paraId="686BCDFA"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0AC9EA7B" w14:textId="77777777" w:rsidR="00567333" w:rsidRPr="00FB2F3D" w:rsidRDefault="00567333" w:rsidP="00567333">
            <w:pPr>
              <w:pStyle w:val="UK12Block"/>
              <w:rPr>
                <w:rFonts w:ascii="Arial" w:hAnsi="Arial" w:cs="Arial"/>
                <w:sz w:val="22"/>
                <w:szCs w:val="22"/>
              </w:rPr>
            </w:pPr>
          </w:p>
        </w:tc>
        <w:tc>
          <w:tcPr>
            <w:tcW w:w="193" w:type="pct"/>
          </w:tcPr>
          <w:p w14:paraId="7F35316B"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58084C29" w14:textId="77777777" w:rsidTr="0061693E">
        <w:tc>
          <w:tcPr>
            <w:tcW w:w="5000" w:type="pct"/>
            <w:gridSpan w:val="9"/>
          </w:tcPr>
          <w:p w14:paraId="78866CC9" w14:textId="77777777" w:rsidR="00567333" w:rsidRPr="00FB2F3D" w:rsidRDefault="00567333" w:rsidP="00755725">
            <w:pPr>
              <w:pStyle w:val="UK12Block"/>
              <w:keepNext/>
              <w:numPr>
                <w:ilvl w:val="0"/>
                <w:numId w:val="59"/>
              </w:numPr>
              <w:spacing w:after="0"/>
              <w:rPr>
                <w:rFonts w:ascii="Arial" w:hAnsi="Arial" w:cs="Arial"/>
                <w:b/>
                <w:sz w:val="22"/>
                <w:szCs w:val="22"/>
              </w:rPr>
            </w:pPr>
            <w:r w:rsidRPr="00FB2F3D">
              <w:rPr>
                <w:rFonts w:ascii="Arial" w:hAnsi="Arial" w:cs="Arial"/>
                <w:b/>
                <w:sz w:val="22"/>
                <w:szCs w:val="22"/>
              </w:rPr>
              <w:t>MANAGEMENT OF THE ISSUER</w:t>
            </w:r>
          </w:p>
        </w:tc>
      </w:tr>
      <w:tr w:rsidR="00567333" w:rsidRPr="00FB2F3D" w14:paraId="54B06ECF" w14:textId="77777777" w:rsidTr="008016B7">
        <w:tc>
          <w:tcPr>
            <w:tcW w:w="229" w:type="pct"/>
          </w:tcPr>
          <w:p w14:paraId="515EA586" w14:textId="77777777" w:rsidR="00567333" w:rsidRPr="00FB2F3D" w:rsidRDefault="00567333" w:rsidP="00755725">
            <w:pPr>
              <w:pStyle w:val="UK12Block"/>
              <w:numPr>
                <w:ilvl w:val="1"/>
                <w:numId w:val="59"/>
              </w:numPr>
              <w:spacing w:after="0"/>
              <w:rPr>
                <w:rFonts w:ascii="Arial" w:hAnsi="Arial" w:cs="Arial"/>
                <w:b/>
                <w:sz w:val="22"/>
                <w:szCs w:val="22"/>
              </w:rPr>
            </w:pPr>
          </w:p>
        </w:tc>
        <w:tc>
          <w:tcPr>
            <w:tcW w:w="3399" w:type="pct"/>
          </w:tcPr>
          <w:p w14:paraId="3700DD59"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Details relating to Directors and Senior Management ("Key Persons")</w:t>
            </w:r>
          </w:p>
          <w:p w14:paraId="373866BD"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lastRenderedPageBreak/>
              <w:t>Names, business addresses, functions and principal activities carried out by the following Persons ("Key Persons"), including outside that of the Issuer where such functions</w:t>
            </w:r>
            <w:r w:rsidRPr="00FB2F3D">
              <w:rPr>
                <w:rFonts w:ascii="Arial" w:hAnsi="Arial" w:cs="Arial"/>
                <w:sz w:val="22"/>
                <w:szCs w:val="22"/>
                <w:lang w:eastAsia="ja-JP"/>
              </w:rPr>
              <w:t xml:space="preserve"> </w:t>
            </w:r>
            <w:r w:rsidRPr="00FB2F3D">
              <w:rPr>
                <w:rFonts w:ascii="Arial" w:hAnsi="Arial" w:cs="Arial"/>
                <w:sz w:val="22"/>
                <w:szCs w:val="22"/>
              </w:rPr>
              <w:t>are significant with respect to the activities of the Issuer:</w:t>
            </w:r>
          </w:p>
          <w:p w14:paraId="09CA3E79"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the Directors</w:t>
            </w:r>
            <w:r w:rsidRPr="00FB2F3D">
              <w:rPr>
                <w:rStyle w:val="FootnoteReference"/>
                <w:rFonts w:ascii="Arial" w:hAnsi="Arial" w:cs="Arial"/>
                <w:sz w:val="22"/>
                <w:szCs w:val="22"/>
              </w:rPr>
              <w:footnoteReference w:id="4"/>
            </w:r>
            <w:r w:rsidRPr="00FB2F3D">
              <w:rPr>
                <w:rFonts w:ascii="Arial" w:hAnsi="Arial" w:cs="Arial"/>
                <w:sz w:val="22"/>
                <w:szCs w:val="22"/>
              </w:rPr>
              <w:t xml:space="preserve"> of the Issuer;</w:t>
            </w:r>
          </w:p>
          <w:p w14:paraId="2ECB6B52"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the Directors of the ultimate Holding</w:t>
            </w:r>
            <w:r w:rsidRPr="00FB2F3D">
              <w:rPr>
                <w:rFonts w:ascii="Arial" w:hAnsi="Arial" w:cs="Arial"/>
                <w:sz w:val="22"/>
                <w:szCs w:val="22"/>
                <w:lang w:eastAsia="ja-JP"/>
              </w:rPr>
              <w:t xml:space="preserve"> </w:t>
            </w:r>
            <w:r w:rsidRPr="00FB2F3D">
              <w:rPr>
                <w:rFonts w:ascii="Arial" w:hAnsi="Arial" w:cs="Arial"/>
                <w:sz w:val="22"/>
                <w:szCs w:val="22"/>
              </w:rPr>
              <w:t>Company of the Issuer, if any;</w:t>
            </w:r>
            <w:bookmarkStart w:id="899" w:name="item61aiii"/>
          </w:p>
          <w:bookmarkEnd w:id="899"/>
          <w:p w14:paraId="4CE0E794"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the members of the Senior Management of the Issuer and, if they are also Directors of the Issuer, their respective responsibilities as Directors and as a member</w:t>
            </w:r>
            <w:r w:rsidRPr="00FB2F3D">
              <w:rPr>
                <w:rFonts w:ascii="Arial" w:hAnsi="Arial" w:cs="Arial"/>
                <w:sz w:val="22"/>
                <w:szCs w:val="22"/>
                <w:lang w:eastAsia="ja-JP"/>
              </w:rPr>
              <w:t xml:space="preserve"> </w:t>
            </w:r>
            <w:r w:rsidRPr="00FB2F3D">
              <w:rPr>
                <w:rFonts w:ascii="Arial" w:hAnsi="Arial" w:cs="Arial"/>
                <w:sz w:val="22"/>
                <w:szCs w:val="22"/>
              </w:rPr>
              <w:t>of the Senior Management of the Issuer;</w:t>
            </w:r>
            <w:bookmarkStart w:id="900" w:name="item61aiv"/>
          </w:p>
          <w:bookmarkEnd w:id="900"/>
          <w:p w14:paraId="6B20FAD8"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founding members, if the Issuer has been established for fewer than five years; and</w:t>
            </w:r>
          </w:p>
          <w:p w14:paraId="6B4427C1"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Senior Management who is relevant to establishing that the Issuer that has the appropriate expertise and experience for the management of the Issuer's business.</w:t>
            </w:r>
          </w:p>
        </w:tc>
        <w:tc>
          <w:tcPr>
            <w:tcW w:w="128" w:type="pct"/>
          </w:tcPr>
          <w:p w14:paraId="30B5F78C"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lastRenderedPageBreak/>
              <w:sym w:font="Wingdings" w:char="F0FC"/>
            </w:r>
          </w:p>
        </w:tc>
        <w:tc>
          <w:tcPr>
            <w:tcW w:w="223" w:type="pct"/>
          </w:tcPr>
          <w:p w14:paraId="4FE68702"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59D626B3"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5" w:type="pct"/>
          </w:tcPr>
          <w:p w14:paraId="07978C1B"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5BE68A93"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365F0E08"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3" w:type="pct"/>
          </w:tcPr>
          <w:p w14:paraId="77AA2092"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2B0A6C4F" w14:textId="77777777" w:rsidTr="008016B7">
        <w:tc>
          <w:tcPr>
            <w:tcW w:w="229" w:type="pct"/>
          </w:tcPr>
          <w:p w14:paraId="0F97D916" w14:textId="77777777" w:rsidR="00567333" w:rsidRPr="00FB2F3D" w:rsidRDefault="00567333" w:rsidP="00567333">
            <w:pPr>
              <w:pStyle w:val="UK12Block"/>
              <w:rPr>
                <w:rFonts w:ascii="Arial" w:hAnsi="Arial" w:cs="Arial"/>
                <w:sz w:val="22"/>
                <w:szCs w:val="22"/>
              </w:rPr>
            </w:pPr>
          </w:p>
        </w:tc>
        <w:tc>
          <w:tcPr>
            <w:tcW w:w="3399" w:type="pct"/>
          </w:tcPr>
          <w:p w14:paraId="4F6FEB52"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The nature of any family or business relationship between any of the Key Persons.</w:t>
            </w:r>
          </w:p>
        </w:tc>
        <w:tc>
          <w:tcPr>
            <w:tcW w:w="128" w:type="pct"/>
          </w:tcPr>
          <w:p w14:paraId="13A389D3"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03EB1FC0"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6E2DAFC9" w14:textId="77777777" w:rsidR="00567333" w:rsidRPr="00FB2F3D" w:rsidRDefault="00567333" w:rsidP="00567333">
            <w:pPr>
              <w:pStyle w:val="UK12Block"/>
              <w:rPr>
                <w:rFonts w:ascii="Arial" w:hAnsi="Arial" w:cs="Arial"/>
                <w:sz w:val="22"/>
                <w:szCs w:val="22"/>
              </w:rPr>
            </w:pPr>
          </w:p>
        </w:tc>
        <w:tc>
          <w:tcPr>
            <w:tcW w:w="255" w:type="pct"/>
          </w:tcPr>
          <w:p w14:paraId="69BDA435" w14:textId="77777777" w:rsidR="00567333" w:rsidRPr="00FB2F3D" w:rsidRDefault="00567333" w:rsidP="00567333">
            <w:pPr>
              <w:pStyle w:val="UK12Block"/>
              <w:rPr>
                <w:rFonts w:ascii="Arial" w:hAnsi="Arial" w:cs="Arial"/>
                <w:sz w:val="22"/>
                <w:szCs w:val="22"/>
              </w:rPr>
            </w:pPr>
          </w:p>
        </w:tc>
        <w:tc>
          <w:tcPr>
            <w:tcW w:w="223" w:type="pct"/>
          </w:tcPr>
          <w:p w14:paraId="2B517E90"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70713712" w14:textId="77777777" w:rsidR="00567333" w:rsidRPr="00FB2F3D" w:rsidRDefault="00567333" w:rsidP="00567333">
            <w:pPr>
              <w:pStyle w:val="UK12Block"/>
              <w:rPr>
                <w:rFonts w:ascii="Arial" w:hAnsi="Arial" w:cs="Arial"/>
                <w:sz w:val="22"/>
                <w:szCs w:val="22"/>
              </w:rPr>
            </w:pPr>
          </w:p>
        </w:tc>
        <w:tc>
          <w:tcPr>
            <w:tcW w:w="193" w:type="pct"/>
          </w:tcPr>
          <w:p w14:paraId="425AA8CC"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70612BD5" w14:textId="77777777" w:rsidTr="008016B7">
        <w:tc>
          <w:tcPr>
            <w:tcW w:w="229" w:type="pct"/>
          </w:tcPr>
          <w:p w14:paraId="49E9D024" w14:textId="77777777" w:rsidR="00567333" w:rsidRPr="00FB2F3D" w:rsidRDefault="00567333" w:rsidP="00567333">
            <w:pPr>
              <w:pStyle w:val="UK12Block"/>
              <w:rPr>
                <w:rFonts w:ascii="Arial" w:hAnsi="Arial" w:cs="Arial"/>
                <w:sz w:val="22"/>
                <w:szCs w:val="22"/>
              </w:rPr>
            </w:pPr>
          </w:p>
        </w:tc>
        <w:tc>
          <w:tcPr>
            <w:tcW w:w="3399" w:type="pct"/>
          </w:tcPr>
          <w:p w14:paraId="29E2CCD2"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Except for the category of Person in item (a)(iv) above, details of each of the Key Person's relevant management expertise and experience and the following information:</w:t>
            </w:r>
          </w:p>
          <w:p w14:paraId="7CD862A9"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the names of all Companies and Partnerships in which such Person has been a member of a Board or involved in the Senior Management of in the previous five years, indicating whether or not the Person still holds such position. It is not</w:t>
            </w:r>
            <w:r w:rsidRPr="00FB2F3D">
              <w:rPr>
                <w:rFonts w:ascii="Arial" w:hAnsi="Arial" w:cs="Arial"/>
                <w:sz w:val="22"/>
                <w:szCs w:val="22"/>
                <w:lang w:eastAsia="ja-JP"/>
              </w:rPr>
              <w:t xml:space="preserve"> </w:t>
            </w:r>
            <w:r w:rsidRPr="00FB2F3D">
              <w:rPr>
                <w:rFonts w:ascii="Arial" w:hAnsi="Arial" w:cs="Arial"/>
                <w:sz w:val="22"/>
                <w:szCs w:val="22"/>
              </w:rPr>
              <w:lastRenderedPageBreak/>
              <w:t>necessary to list all the Subsidiaries of an Issuer of which the Person is also a member of the Board or involved in the Senior Management;</w:t>
            </w:r>
          </w:p>
          <w:p w14:paraId="144DED73"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any convictions relating to fraud or other financial crimes for at least the previous five years;</w:t>
            </w:r>
          </w:p>
          <w:p w14:paraId="0C9B1897"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details of any bankruptcies, receiverships or liquidations of another entity with which a Person described in (a)(iii) and (v) was associated with for at least the previous five years when acting in a similar capacity;</w:t>
            </w:r>
            <w:bookmarkStart w:id="901" w:name="item_61_c_iv"/>
          </w:p>
          <w:bookmarkEnd w:id="901"/>
          <w:p w14:paraId="350B1B18" w14:textId="77777777" w:rsidR="00567333" w:rsidRPr="00FB2F3D" w:rsidRDefault="00567333" w:rsidP="00755725">
            <w:pPr>
              <w:pStyle w:val="UK12Block"/>
              <w:numPr>
                <w:ilvl w:val="3"/>
                <w:numId w:val="59"/>
              </w:numPr>
              <w:rPr>
                <w:rFonts w:ascii="Arial" w:hAnsi="Arial" w:cs="Arial"/>
                <w:sz w:val="22"/>
                <w:szCs w:val="22"/>
                <w:lang w:eastAsia="ja-JP"/>
              </w:rPr>
            </w:pPr>
            <w:r w:rsidRPr="00FB2F3D">
              <w:rPr>
                <w:rFonts w:ascii="Arial" w:hAnsi="Arial" w:cs="Arial"/>
                <w:sz w:val="22"/>
                <w:szCs w:val="22"/>
              </w:rPr>
              <w:t>details of any official public incrimination and/or sanctions of such a Person by statutory or regulatory authorities (including designated professional bodies) and whether such a Person has ever been disqualified by a court from acting as a Director or from acting in a Senior Management or conduct of the affairs of any Issuer for at least the previous five years; and</w:t>
            </w:r>
          </w:p>
          <w:p w14:paraId="061B3114" w14:textId="77777777" w:rsidR="00567333" w:rsidRPr="00FB2F3D" w:rsidRDefault="00567333" w:rsidP="00755725">
            <w:pPr>
              <w:pStyle w:val="UK12Block"/>
              <w:numPr>
                <w:ilvl w:val="3"/>
                <w:numId w:val="59"/>
              </w:numPr>
              <w:rPr>
                <w:rFonts w:ascii="Arial" w:hAnsi="Arial" w:cs="Arial"/>
                <w:sz w:val="22"/>
                <w:szCs w:val="22"/>
                <w:lang w:eastAsia="ja-JP"/>
              </w:rPr>
            </w:pPr>
            <w:r w:rsidRPr="00FB2F3D">
              <w:rPr>
                <w:rFonts w:ascii="Arial" w:hAnsi="Arial" w:cs="Arial"/>
                <w:sz w:val="22"/>
                <w:szCs w:val="22"/>
              </w:rPr>
              <w:t>if there is no such information to be disclosed pursuant to (i) –(iv), a statement to that effect.</w:t>
            </w:r>
          </w:p>
        </w:tc>
        <w:tc>
          <w:tcPr>
            <w:tcW w:w="128" w:type="pct"/>
          </w:tcPr>
          <w:p w14:paraId="5C367912"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lastRenderedPageBreak/>
              <w:sym w:font="Wingdings" w:char="F0FC"/>
            </w:r>
          </w:p>
        </w:tc>
        <w:tc>
          <w:tcPr>
            <w:tcW w:w="223" w:type="pct"/>
          </w:tcPr>
          <w:p w14:paraId="30CF9935"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c>
          <w:tcPr>
            <w:tcW w:w="127" w:type="pct"/>
          </w:tcPr>
          <w:p w14:paraId="27354EC9" w14:textId="77777777" w:rsidR="00567333" w:rsidRPr="00FB2F3D" w:rsidRDefault="00567333" w:rsidP="00567333">
            <w:pPr>
              <w:pStyle w:val="UK12Block"/>
              <w:rPr>
                <w:rFonts w:ascii="Arial" w:hAnsi="Arial" w:cs="Arial"/>
                <w:sz w:val="22"/>
                <w:szCs w:val="22"/>
                <w:lang w:eastAsia="ja-JP"/>
              </w:rPr>
            </w:pPr>
          </w:p>
        </w:tc>
        <w:tc>
          <w:tcPr>
            <w:tcW w:w="255" w:type="pct"/>
          </w:tcPr>
          <w:p w14:paraId="431C4844" w14:textId="77777777" w:rsidR="00567333" w:rsidRPr="00FB2F3D" w:rsidRDefault="00567333" w:rsidP="00567333">
            <w:pPr>
              <w:pStyle w:val="UK12Block"/>
              <w:rPr>
                <w:rFonts w:ascii="Arial" w:hAnsi="Arial" w:cs="Arial"/>
                <w:sz w:val="22"/>
                <w:szCs w:val="22"/>
                <w:lang w:eastAsia="ja-JP"/>
              </w:rPr>
            </w:pPr>
          </w:p>
        </w:tc>
        <w:tc>
          <w:tcPr>
            <w:tcW w:w="223" w:type="pct"/>
          </w:tcPr>
          <w:p w14:paraId="2F0D2AFA"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c>
          <w:tcPr>
            <w:tcW w:w="223" w:type="pct"/>
          </w:tcPr>
          <w:p w14:paraId="27367D3B" w14:textId="77777777" w:rsidR="00567333" w:rsidRPr="00FB2F3D" w:rsidRDefault="00567333" w:rsidP="00567333">
            <w:pPr>
              <w:pStyle w:val="UK12Block"/>
              <w:rPr>
                <w:rFonts w:ascii="Arial" w:hAnsi="Arial" w:cs="Arial"/>
                <w:sz w:val="22"/>
                <w:szCs w:val="22"/>
                <w:lang w:eastAsia="ja-JP"/>
              </w:rPr>
            </w:pPr>
          </w:p>
        </w:tc>
        <w:tc>
          <w:tcPr>
            <w:tcW w:w="193" w:type="pct"/>
          </w:tcPr>
          <w:p w14:paraId="706F140D"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r>
      <w:tr w:rsidR="00567333" w:rsidRPr="00FB2F3D" w14:paraId="5933569C" w14:textId="77777777" w:rsidTr="008016B7">
        <w:tc>
          <w:tcPr>
            <w:tcW w:w="229" w:type="pct"/>
          </w:tcPr>
          <w:p w14:paraId="5ADB86FC" w14:textId="77777777" w:rsidR="00567333" w:rsidRPr="00FB2F3D" w:rsidRDefault="00567333" w:rsidP="00567333">
            <w:pPr>
              <w:pStyle w:val="UK12Block"/>
              <w:rPr>
                <w:rFonts w:ascii="Arial" w:hAnsi="Arial" w:cs="Arial"/>
                <w:sz w:val="22"/>
                <w:szCs w:val="22"/>
              </w:rPr>
            </w:pPr>
          </w:p>
        </w:tc>
        <w:tc>
          <w:tcPr>
            <w:tcW w:w="3399" w:type="pct"/>
          </w:tcPr>
          <w:p w14:paraId="32D64E16"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If there is a potential conflict of interests between the personal interests of any Key Person</w:t>
            </w:r>
            <w:r w:rsidRPr="00FB2F3D">
              <w:rPr>
                <w:rFonts w:ascii="Arial" w:hAnsi="Arial" w:cs="Arial"/>
                <w:sz w:val="22"/>
                <w:szCs w:val="22"/>
                <w:lang w:eastAsia="ja-JP"/>
              </w:rPr>
              <w:t xml:space="preserve"> </w:t>
            </w:r>
            <w:r w:rsidRPr="00FB2F3D">
              <w:rPr>
                <w:rFonts w:ascii="Arial" w:hAnsi="Arial" w:cs="Arial"/>
                <w:sz w:val="22"/>
                <w:szCs w:val="22"/>
              </w:rPr>
              <w:t>and that of the duties such Persons owe to the Issuer or interests of the Issuer, details of such conflict of interests and, if there are no such conflicts, a clear statement to that effect.</w:t>
            </w:r>
          </w:p>
        </w:tc>
        <w:tc>
          <w:tcPr>
            <w:tcW w:w="128" w:type="pct"/>
          </w:tcPr>
          <w:p w14:paraId="627E61FB"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2581B8AC"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7C9653D4"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5" w:type="pct"/>
          </w:tcPr>
          <w:p w14:paraId="2E1AF8CF"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5BC7DC5D"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1D5DBA59"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3" w:type="pct"/>
          </w:tcPr>
          <w:p w14:paraId="2FC2A4A7"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479280DC" w14:textId="77777777" w:rsidTr="008016B7">
        <w:tc>
          <w:tcPr>
            <w:tcW w:w="229" w:type="pct"/>
          </w:tcPr>
          <w:p w14:paraId="218E8480" w14:textId="77777777" w:rsidR="00567333" w:rsidRPr="00FB2F3D" w:rsidRDefault="00567333" w:rsidP="00567333">
            <w:pPr>
              <w:pStyle w:val="UK12Block"/>
              <w:rPr>
                <w:rFonts w:ascii="Arial" w:hAnsi="Arial" w:cs="Arial"/>
                <w:sz w:val="22"/>
                <w:szCs w:val="22"/>
              </w:rPr>
            </w:pPr>
          </w:p>
        </w:tc>
        <w:tc>
          <w:tcPr>
            <w:tcW w:w="3399" w:type="pct"/>
          </w:tcPr>
          <w:p w14:paraId="737DF691"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Information about any arrangement or understanding with major Shareholders, Customers, suppliers or others, pursuant to which any Key Person was selected as a Director or Senior Management of the Issuer.</w:t>
            </w:r>
          </w:p>
        </w:tc>
        <w:tc>
          <w:tcPr>
            <w:tcW w:w="128" w:type="pct"/>
          </w:tcPr>
          <w:p w14:paraId="4269113C"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53C70EAD"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7" w:type="pct"/>
          </w:tcPr>
          <w:p w14:paraId="168AE18F" w14:textId="77777777" w:rsidR="00567333" w:rsidRPr="00FB2F3D" w:rsidRDefault="00567333" w:rsidP="00567333">
            <w:pPr>
              <w:pStyle w:val="UK12Block"/>
              <w:rPr>
                <w:rFonts w:ascii="Arial" w:hAnsi="Arial" w:cs="Arial"/>
                <w:sz w:val="22"/>
                <w:szCs w:val="22"/>
              </w:rPr>
            </w:pPr>
          </w:p>
        </w:tc>
        <w:tc>
          <w:tcPr>
            <w:tcW w:w="255" w:type="pct"/>
          </w:tcPr>
          <w:p w14:paraId="68FBF533" w14:textId="77777777" w:rsidR="00567333" w:rsidRPr="00FB2F3D" w:rsidRDefault="00567333" w:rsidP="00567333">
            <w:pPr>
              <w:pStyle w:val="UK12Block"/>
              <w:rPr>
                <w:rFonts w:ascii="Arial" w:hAnsi="Arial" w:cs="Arial"/>
                <w:sz w:val="22"/>
                <w:szCs w:val="22"/>
              </w:rPr>
            </w:pPr>
          </w:p>
        </w:tc>
        <w:tc>
          <w:tcPr>
            <w:tcW w:w="223" w:type="pct"/>
          </w:tcPr>
          <w:p w14:paraId="24FAA5F5"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3" w:type="pct"/>
          </w:tcPr>
          <w:p w14:paraId="3EBD6838" w14:textId="77777777" w:rsidR="00567333" w:rsidRPr="00FB2F3D" w:rsidRDefault="00567333" w:rsidP="00567333">
            <w:pPr>
              <w:pStyle w:val="UK12Block"/>
              <w:rPr>
                <w:rFonts w:ascii="Arial" w:hAnsi="Arial" w:cs="Arial"/>
                <w:sz w:val="22"/>
                <w:szCs w:val="22"/>
              </w:rPr>
            </w:pPr>
          </w:p>
        </w:tc>
        <w:tc>
          <w:tcPr>
            <w:tcW w:w="193" w:type="pct"/>
          </w:tcPr>
          <w:p w14:paraId="0353F960"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bl>
    <w:p w14:paraId="5A665F79" w14:textId="77777777" w:rsidR="00567333" w:rsidRPr="00FB2F3D" w:rsidRDefault="00567333">
      <w:pPr>
        <w:rPr>
          <w:rFonts w:ascii="Arial" w:hAnsi="Arial" w:cs="Arial"/>
          <w:sz w:val="22"/>
          <w:szCs w:val="22"/>
        </w:rPr>
      </w:pPr>
      <w:r w:rsidRPr="00FB2F3D">
        <w:rPr>
          <w:rFonts w:ascii="Arial" w:hAnsi="Arial" w:cs="Arial"/>
          <w:sz w:val="22"/>
          <w:szCs w:val="22"/>
        </w:rPr>
        <w:br w:type="page"/>
      </w:r>
    </w:p>
    <w:tbl>
      <w:tblPr>
        <w:tblStyle w:val="TableGrid"/>
        <w:tblW w:w="5082" w:type="pct"/>
        <w:tblInd w:w="-147" w:type="dxa"/>
        <w:tblLayout w:type="fixed"/>
        <w:tblLook w:val="04A0" w:firstRow="1" w:lastRow="0" w:firstColumn="1" w:lastColumn="0" w:noHBand="0" w:noVBand="1"/>
      </w:tblPr>
      <w:tblGrid>
        <w:gridCol w:w="851"/>
        <w:gridCol w:w="9479"/>
        <w:gridCol w:w="357"/>
        <w:gridCol w:w="641"/>
        <w:gridCol w:w="354"/>
        <w:gridCol w:w="714"/>
        <w:gridCol w:w="629"/>
        <w:gridCol w:w="624"/>
        <w:gridCol w:w="524"/>
      </w:tblGrid>
      <w:tr w:rsidR="00567333" w:rsidRPr="00FB2F3D" w14:paraId="608A5F51" w14:textId="77777777" w:rsidTr="00336A6A">
        <w:tc>
          <w:tcPr>
            <w:tcW w:w="300" w:type="pct"/>
          </w:tcPr>
          <w:p w14:paraId="246996DA" w14:textId="77777777" w:rsidR="00567333" w:rsidRPr="00FB2F3D" w:rsidRDefault="00567333" w:rsidP="00567333">
            <w:pPr>
              <w:pStyle w:val="UK12Block"/>
              <w:rPr>
                <w:rFonts w:ascii="Arial" w:hAnsi="Arial" w:cs="Arial"/>
                <w:sz w:val="22"/>
                <w:szCs w:val="22"/>
              </w:rPr>
            </w:pPr>
          </w:p>
        </w:tc>
        <w:tc>
          <w:tcPr>
            <w:tcW w:w="3344" w:type="pct"/>
          </w:tcPr>
          <w:p w14:paraId="01CCE046"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Details relating to any restrictions agreed by a Key Person on the disposal within a certain period of time of his holdings in the Issuer's Securities.</w:t>
            </w:r>
          </w:p>
        </w:tc>
        <w:tc>
          <w:tcPr>
            <w:tcW w:w="126" w:type="pct"/>
          </w:tcPr>
          <w:p w14:paraId="2BC47DF3"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2C20A6AD"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7BA70BB1" w14:textId="77777777" w:rsidR="00567333" w:rsidRPr="00FB2F3D" w:rsidRDefault="00567333" w:rsidP="00567333">
            <w:pPr>
              <w:pStyle w:val="UK12Block"/>
              <w:rPr>
                <w:rFonts w:ascii="Arial" w:hAnsi="Arial" w:cs="Arial"/>
                <w:sz w:val="22"/>
                <w:szCs w:val="22"/>
              </w:rPr>
            </w:pPr>
          </w:p>
        </w:tc>
        <w:tc>
          <w:tcPr>
            <w:tcW w:w="252" w:type="pct"/>
          </w:tcPr>
          <w:p w14:paraId="52788521" w14:textId="77777777" w:rsidR="00567333" w:rsidRPr="00FB2F3D" w:rsidRDefault="00567333" w:rsidP="00567333">
            <w:pPr>
              <w:pStyle w:val="UK12Block"/>
              <w:rPr>
                <w:rFonts w:ascii="Arial" w:hAnsi="Arial" w:cs="Arial"/>
                <w:sz w:val="22"/>
                <w:szCs w:val="22"/>
              </w:rPr>
            </w:pPr>
          </w:p>
        </w:tc>
        <w:tc>
          <w:tcPr>
            <w:tcW w:w="219" w:type="pct"/>
          </w:tcPr>
          <w:p w14:paraId="74981854"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0" w:type="pct"/>
          </w:tcPr>
          <w:p w14:paraId="09EA4A73" w14:textId="77777777" w:rsidR="00567333" w:rsidRPr="00FB2F3D" w:rsidRDefault="00567333" w:rsidP="00567333">
            <w:pPr>
              <w:pStyle w:val="UK12Block"/>
              <w:rPr>
                <w:rFonts w:ascii="Arial" w:hAnsi="Arial" w:cs="Arial"/>
                <w:sz w:val="22"/>
                <w:szCs w:val="22"/>
              </w:rPr>
            </w:pPr>
          </w:p>
        </w:tc>
        <w:tc>
          <w:tcPr>
            <w:tcW w:w="190" w:type="pct"/>
          </w:tcPr>
          <w:p w14:paraId="7C36E209"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23B561BC" w14:textId="77777777" w:rsidTr="00336A6A">
        <w:tc>
          <w:tcPr>
            <w:tcW w:w="300" w:type="pct"/>
          </w:tcPr>
          <w:p w14:paraId="37777D91" w14:textId="77777777" w:rsidR="00567333" w:rsidRPr="00FB2F3D" w:rsidRDefault="00567333" w:rsidP="00755725">
            <w:pPr>
              <w:pStyle w:val="UK12Block"/>
              <w:numPr>
                <w:ilvl w:val="1"/>
                <w:numId w:val="59"/>
              </w:numPr>
              <w:spacing w:after="0"/>
              <w:rPr>
                <w:rFonts w:ascii="Arial" w:hAnsi="Arial" w:cs="Arial"/>
                <w:b/>
                <w:sz w:val="22"/>
                <w:szCs w:val="22"/>
              </w:rPr>
            </w:pPr>
          </w:p>
        </w:tc>
        <w:tc>
          <w:tcPr>
            <w:tcW w:w="3344" w:type="pct"/>
          </w:tcPr>
          <w:p w14:paraId="7E190707"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Other information relating to key persons</w:t>
            </w:r>
          </w:p>
          <w:p w14:paraId="212F9234"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For the last completed financial year of the Issuer, information relating to each Key Person about:</w:t>
            </w:r>
          </w:p>
          <w:p w14:paraId="390895B4"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the amount of remuneration paid (including any contingent or deferred compensation), and benefits in kind granted to such Persons by the Issuer and its Subsidiaries for services in all capacities to the Issuer and its Subsidiaries; and</w:t>
            </w:r>
          </w:p>
          <w:p w14:paraId="1963F8CE"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the total amounts set aside or accrued by the Issuer or its Subsidiaries to provide pension, retirement or similar benefits.</w:t>
            </w:r>
          </w:p>
          <w:p w14:paraId="2B4CA538"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For the last completed financial year of the Issuer:</w:t>
            </w:r>
          </w:p>
          <w:p w14:paraId="366B1988"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the date of expiration of the current term of office, if applicable, and the period during which the Person has served in that office of each Key Person specified in (a)(i)</w:t>
            </w:r>
            <w:r w:rsidRPr="00FB2F3D">
              <w:rPr>
                <w:rFonts w:ascii="Arial" w:hAnsi="Arial" w:cs="Arial"/>
                <w:sz w:val="22"/>
                <w:szCs w:val="22"/>
              </w:rPr>
              <w:noBreakHyphen/>
              <w:t>(ii);</w:t>
            </w:r>
          </w:p>
          <w:p w14:paraId="45BF351F"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information about any service contracts with a Key Person and the Issuer or any of its Subsidiaries providing for benefits upon termination of employment, and if there are no such contracts, a statement to that effect;</w:t>
            </w:r>
          </w:p>
          <w:p w14:paraId="5365C160"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information about the Issuer's audit committee, nomination committee and remuneration committee, if any, including the names of committee members and a summary of the terms of reference under which the committee operates; and</w:t>
            </w:r>
          </w:p>
          <w:p w14:paraId="01B854EC"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statements as to whether or not the Issuer is complying with any Corporate Governance regime in its country of incorporation or domicile and if so whether or not such a regime is compatible with the Corporate Governance regime under the FSMR and these Rules.</w:t>
            </w:r>
            <w:r w:rsidRPr="00FB2F3D">
              <w:rPr>
                <w:rFonts w:ascii="Arial" w:hAnsi="Arial" w:cs="Arial"/>
                <w:sz w:val="22"/>
                <w:szCs w:val="22"/>
                <w:vertAlign w:val="superscript"/>
              </w:rPr>
              <w:footnoteReference w:id="5"/>
            </w:r>
            <w:r w:rsidRPr="00FB2F3D">
              <w:rPr>
                <w:rFonts w:ascii="Arial" w:hAnsi="Arial" w:cs="Arial"/>
                <w:sz w:val="22"/>
                <w:szCs w:val="22"/>
              </w:rPr>
              <w:t xml:space="preserve"> In the event an Issuer does not comply with a regime of Corporate Governance applicable in the country of its incorporation or domicile, </w:t>
            </w:r>
            <w:r w:rsidRPr="00FB2F3D">
              <w:rPr>
                <w:rFonts w:ascii="Arial" w:hAnsi="Arial" w:cs="Arial"/>
                <w:sz w:val="22"/>
                <w:szCs w:val="22"/>
              </w:rPr>
              <w:lastRenderedPageBreak/>
              <w:t>a statement to that effect, together with an explanation regarding why the Issuer does not comply with such a regime.</w:t>
            </w:r>
          </w:p>
        </w:tc>
        <w:tc>
          <w:tcPr>
            <w:tcW w:w="126" w:type="pct"/>
          </w:tcPr>
          <w:p w14:paraId="179E9B6F"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lastRenderedPageBreak/>
              <w:sym w:font="Wingdings" w:char="F0FC"/>
            </w:r>
          </w:p>
        </w:tc>
        <w:tc>
          <w:tcPr>
            <w:tcW w:w="219" w:type="pct"/>
          </w:tcPr>
          <w:p w14:paraId="3ABD9F8F"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179EFE34" w14:textId="77777777" w:rsidR="00567333" w:rsidRPr="00FB2F3D" w:rsidRDefault="00567333" w:rsidP="00567333">
            <w:pPr>
              <w:pStyle w:val="UK12Block"/>
              <w:rPr>
                <w:rFonts w:ascii="Arial" w:hAnsi="Arial" w:cs="Arial"/>
                <w:sz w:val="22"/>
                <w:szCs w:val="22"/>
              </w:rPr>
            </w:pPr>
          </w:p>
        </w:tc>
        <w:tc>
          <w:tcPr>
            <w:tcW w:w="252" w:type="pct"/>
          </w:tcPr>
          <w:p w14:paraId="498ACEC8" w14:textId="77777777" w:rsidR="00567333" w:rsidRPr="00FB2F3D" w:rsidRDefault="00567333" w:rsidP="00567333">
            <w:pPr>
              <w:pStyle w:val="UK12Block"/>
              <w:rPr>
                <w:rFonts w:ascii="Arial" w:hAnsi="Arial" w:cs="Arial"/>
                <w:sz w:val="22"/>
                <w:szCs w:val="22"/>
              </w:rPr>
            </w:pPr>
          </w:p>
        </w:tc>
        <w:tc>
          <w:tcPr>
            <w:tcW w:w="219" w:type="pct"/>
          </w:tcPr>
          <w:p w14:paraId="6D2BA9D7"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0" w:type="pct"/>
          </w:tcPr>
          <w:p w14:paraId="3F1F9F7B" w14:textId="77777777" w:rsidR="00567333" w:rsidRPr="00FB2F3D" w:rsidRDefault="00567333" w:rsidP="00567333">
            <w:pPr>
              <w:pStyle w:val="UK12Block"/>
              <w:rPr>
                <w:rFonts w:ascii="Arial" w:hAnsi="Arial" w:cs="Arial"/>
                <w:sz w:val="22"/>
                <w:szCs w:val="22"/>
              </w:rPr>
            </w:pPr>
          </w:p>
        </w:tc>
        <w:tc>
          <w:tcPr>
            <w:tcW w:w="190" w:type="pct"/>
          </w:tcPr>
          <w:p w14:paraId="3B360D9F"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67A2DB7B" w14:textId="77777777" w:rsidTr="00336A6A">
        <w:tc>
          <w:tcPr>
            <w:tcW w:w="300" w:type="pct"/>
          </w:tcPr>
          <w:p w14:paraId="00731C07" w14:textId="77777777" w:rsidR="00567333" w:rsidRPr="00FB2F3D" w:rsidRDefault="00567333" w:rsidP="00755725">
            <w:pPr>
              <w:pStyle w:val="UK12Block"/>
              <w:numPr>
                <w:ilvl w:val="1"/>
                <w:numId w:val="59"/>
              </w:numPr>
              <w:spacing w:after="0"/>
              <w:rPr>
                <w:rFonts w:ascii="Arial" w:hAnsi="Arial" w:cs="Arial"/>
                <w:b/>
                <w:sz w:val="22"/>
                <w:szCs w:val="22"/>
              </w:rPr>
            </w:pPr>
          </w:p>
        </w:tc>
        <w:tc>
          <w:tcPr>
            <w:tcW w:w="3344" w:type="pct"/>
          </w:tcPr>
          <w:p w14:paraId="5B06EAE5"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Information about Employees</w:t>
            </w:r>
          </w:p>
          <w:p w14:paraId="336E2F6E" w14:textId="77777777" w:rsidR="00567333" w:rsidRPr="00FB2F3D" w:rsidRDefault="00567333" w:rsidP="00567333">
            <w:pPr>
              <w:pStyle w:val="UK12Block05"/>
              <w:ind w:left="0"/>
              <w:rPr>
                <w:rFonts w:ascii="Arial" w:hAnsi="Arial" w:cs="Arial"/>
                <w:sz w:val="22"/>
                <w:szCs w:val="22"/>
              </w:rPr>
            </w:pPr>
            <w:r w:rsidRPr="00FB2F3D">
              <w:rPr>
                <w:rFonts w:ascii="Arial" w:hAnsi="Arial" w:cs="Arial"/>
                <w:sz w:val="22"/>
                <w:szCs w:val="22"/>
              </w:rPr>
              <w:t>Information relating to the following:</w:t>
            </w:r>
          </w:p>
          <w:p w14:paraId="251E64E8"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either:</w:t>
            </w:r>
          </w:p>
          <w:p w14:paraId="1A11D8DF"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the number of Employees at the end of each period covered by the historical financial information; or</w:t>
            </w:r>
          </w:p>
          <w:p w14:paraId="39B9AC84"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the average for each financial year for the period covered by the historical financial information up to the date of the Registration Statement (and changes in such numbers, if material);</w:t>
            </w:r>
            <w:r w:rsidRPr="00FB2F3D">
              <w:rPr>
                <w:rFonts w:ascii="Arial" w:hAnsi="Arial" w:cs="Arial"/>
                <w:sz w:val="22"/>
                <w:szCs w:val="22"/>
                <w:vertAlign w:val="superscript"/>
              </w:rPr>
              <w:footnoteReference w:id="6"/>
            </w:r>
            <w:r w:rsidRPr="00FB2F3D">
              <w:rPr>
                <w:rFonts w:ascii="Arial" w:hAnsi="Arial" w:cs="Arial"/>
                <w:sz w:val="22"/>
                <w:szCs w:val="22"/>
              </w:rPr>
              <w:t xml:space="preserve"> and</w:t>
            </w:r>
          </w:p>
          <w:p w14:paraId="231C2510"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if the Issuer employs a significant number of temporary Employees, the number of temporary Employees on average during the most recent financial year.</w:t>
            </w:r>
          </w:p>
        </w:tc>
        <w:tc>
          <w:tcPr>
            <w:tcW w:w="126" w:type="pct"/>
          </w:tcPr>
          <w:p w14:paraId="09C699E1"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2309EFA8"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4F3BCC3C" w14:textId="77777777" w:rsidR="00567333" w:rsidRPr="00FB2F3D" w:rsidRDefault="00567333" w:rsidP="00567333">
            <w:pPr>
              <w:pStyle w:val="UK12Block"/>
              <w:rPr>
                <w:rFonts w:ascii="Arial" w:hAnsi="Arial" w:cs="Arial"/>
                <w:sz w:val="22"/>
                <w:szCs w:val="22"/>
              </w:rPr>
            </w:pPr>
          </w:p>
        </w:tc>
        <w:tc>
          <w:tcPr>
            <w:tcW w:w="252" w:type="pct"/>
          </w:tcPr>
          <w:p w14:paraId="4416E939" w14:textId="77777777" w:rsidR="00567333" w:rsidRPr="00FB2F3D" w:rsidRDefault="00567333" w:rsidP="00567333">
            <w:pPr>
              <w:pStyle w:val="UK12Block"/>
              <w:rPr>
                <w:rFonts w:ascii="Arial" w:hAnsi="Arial" w:cs="Arial"/>
                <w:sz w:val="22"/>
                <w:szCs w:val="22"/>
              </w:rPr>
            </w:pPr>
          </w:p>
        </w:tc>
        <w:tc>
          <w:tcPr>
            <w:tcW w:w="219" w:type="pct"/>
          </w:tcPr>
          <w:p w14:paraId="3DFDF7DD"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0" w:type="pct"/>
          </w:tcPr>
          <w:p w14:paraId="531AB00D" w14:textId="77777777" w:rsidR="00567333" w:rsidRPr="00FB2F3D" w:rsidRDefault="00567333" w:rsidP="00567333">
            <w:pPr>
              <w:pStyle w:val="UK12Block"/>
              <w:rPr>
                <w:rFonts w:ascii="Arial" w:hAnsi="Arial" w:cs="Arial"/>
                <w:sz w:val="22"/>
                <w:szCs w:val="22"/>
              </w:rPr>
            </w:pPr>
          </w:p>
        </w:tc>
        <w:tc>
          <w:tcPr>
            <w:tcW w:w="190" w:type="pct"/>
          </w:tcPr>
          <w:p w14:paraId="41E0C999"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1B6FEDB2" w14:textId="77777777" w:rsidTr="00336A6A">
        <w:tc>
          <w:tcPr>
            <w:tcW w:w="5000" w:type="pct"/>
            <w:gridSpan w:val="9"/>
          </w:tcPr>
          <w:p w14:paraId="6DCAE2E9" w14:textId="77777777" w:rsidR="00567333" w:rsidRPr="00FB2F3D" w:rsidRDefault="00567333" w:rsidP="00755725">
            <w:pPr>
              <w:pStyle w:val="UK12Block"/>
              <w:keepNext/>
              <w:numPr>
                <w:ilvl w:val="0"/>
                <w:numId w:val="59"/>
              </w:numPr>
              <w:spacing w:after="0"/>
              <w:rPr>
                <w:rFonts w:ascii="Arial" w:hAnsi="Arial" w:cs="Arial"/>
                <w:b/>
                <w:sz w:val="22"/>
                <w:szCs w:val="22"/>
              </w:rPr>
            </w:pPr>
            <w:r w:rsidRPr="00FB2F3D">
              <w:rPr>
                <w:rFonts w:ascii="Arial" w:hAnsi="Arial" w:cs="Arial"/>
                <w:b/>
                <w:sz w:val="22"/>
                <w:szCs w:val="22"/>
              </w:rPr>
              <w:t>FINANCIAL INFORMATION ABOUT THE ISSUER</w:t>
            </w:r>
          </w:p>
        </w:tc>
      </w:tr>
      <w:tr w:rsidR="00567333" w:rsidRPr="00FB2F3D" w14:paraId="4CE5FC5A" w14:textId="77777777" w:rsidTr="00336A6A">
        <w:tc>
          <w:tcPr>
            <w:tcW w:w="300" w:type="pct"/>
          </w:tcPr>
          <w:p w14:paraId="2FFE929E" w14:textId="77777777" w:rsidR="00567333" w:rsidRPr="00FB2F3D" w:rsidRDefault="00567333" w:rsidP="00755725">
            <w:pPr>
              <w:pStyle w:val="UK12Block"/>
              <w:numPr>
                <w:ilvl w:val="1"/>
                <w:numId w:val="59"/>
              </w:numPr>
              <w:rPr>
                <w:rFonts w:ascii="Arial" w:hAnsi="Arial" w:cs="Arial"/>
                <w:b/>
                <w:sz w:val="22"/>
                <w:szCs w:val="22"/>
              </w:rPr>
            </w:pPr>
          </w:p>
        </w:tc>
        <w:tc>
          <w:tcPr>
            <w:tcW w:w="3344" w:type="pct"/>
          </w:tcPr>
          <w:p w14:paraId="544B7FC7"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Historical financial information about the Issuer</w:t>
            </w:r>
          </w:p>
          <w:p w14:paraId="6F71E0F6"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Historical financial information covering the latest three financial years (or such shorter period that the Issuer has been in operation) where such information in respect of each year is:</w:t>
            </w:r>
          </w:p>
          <w:p w14:paraId="7ED03E3E"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prepared in accordance with the International Financial Reporting Standards (IFRS) or any other standards acceptable to the Regulator;</w:t>
            </w:r>
            <w:bookmarkStart w:id="902" w:name="item_71_a_ii"/>
          </w:p>
          <w:bookmarkEnd w:id="902"/>
          <w:p w14:paraId="15F0BA8D"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lastRenderedPageBreak/>
              <w:t>audited in accordance with the standards of the International Auditing and Assurance</w:t>
            </w:r>
            <w:r w:rsidRPr="00FB2F3D">
              <w:rPr>
                <w:rFonts w:ascii="Arial" w:hAnsi="Arial" w:cs="Arial"/>
                <w:sz w:val="22"/>
                <w:szCs w:val="22"/>
                <w:lang w:eastAsia="ja-JP"/>
              </w:rPr>
              <w:t xml:space="preserve"> </w:t>
            </w:r>
            <w:r w:rsidRPr="00FB2F3D">
              <w:rPr>
                <w:rFonts w:ascii="Arial" w:hAnsi="Arial" w:cs="Arial"/>
                <w:sz w:val="22"/>
                <w:szCs w:val="22"/>
              </w:rPr>
              <w:t>Standards Board (IAASB) or other standards acceptable to the Regulator;</w:t>
            </w:r>
            <w:r w:rsidRPr="00FB2F3D">
              <w:rPr>
                <w:rStyle w:val="FootnoteReference"/>
                <w:rFonts w:ascii="Arial" w:hAnsi="Arial" w:cs="Arial"/>
                <w:sz w:val="22"/>
                <w:szCs w:val="22"/>
              </w:rPr>
              <w:footnoteReference w:id="7"/>
            </w:r>
            <w:r w:rsidRPr="00FB2F3D">
              <w:rPr>
                <w:rFonts w:ascii="Arial" w:hAnsi="Arial" w:cs="Arial"/>
                <w:sz w:val="22"/>
                <w:szCs w:val="22"/>
              </w:rPr>
              <w:t xml:space="preserve"> and</w:t>
            </w:r>
          </w:p>
          <w:p w14:paraId="4F316799"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independently audited or reported on as to whether or not, for the purposes of the Registration Statement, it gives a true and fair view, in accordance with the applicable auditing standards referred to in (ii) above.</w:t>
            </w:r>
          </w:p>
        </w:tc>
        <w:tc>
          <w:tcPr>
            <w:tcW w:w="126" w:type="pct"/>
          </w:tcPr>
          <w:p w14:paraId="35603126"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lastRenderedPageBreak/>
              <w:sym w:font="Wingdings" w:char="F0FC"/>
            </w:r>
          </w:p>
        </w:tc>
        <w:tc>
          <w:tcPr>
            <w:tcW w:w="219" w:type="pct"/>
          </w:tcPr>
          <w:p w14:paraId="464A4D1B"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2B7CD788" w14:textId="77777777" w:rsidR="00567333" w:rsidRPr="00FB2F3D" w:rsidRDefault="00567333" w:rsidP="00567333">
            <w:pPr>
              <w:pStyle w:val="UK12Block"/>
              <w:rPr>
                <w:rFonts w:ascii="Arial" w:hAnsi="Arial" w:cs="Arial"/>
                <w:sz w:val="22"/>
                <w:szCs w:val="22"/>
              </w:rPr>
            </w:pPr>
          </w:p>
        </w:tc>
        <w:tc>
          <w:tcPr>
            <w:tcW w:w="252" w:type="pct"/>
          </w:tcPr>
          <w:p w14:paraId="6F654443" w14:textId="77777777" w:rsidR="00567333" w:rsidRPr="00FB2F3D" w:rsidRDefault="00567333" w:rsidP="00567333">
            <w:pPr>
              <w:pStyle w:val="UK12Block"/>
              <w:rPr>
                <w:rFonts w:ascii="Arial" w:hAnsi="Arial" w:cs="Arial"/>
                <w:sz w:val="22"/>
                <w:szCs w:val="22"/>
              </w:rPr>
            </w:pPr>
          </w:p>
        </w:tc>
        <w:tc>
          <w:tcPr>
            <w:tcW w:w="219" w:type="pct"/>
          </w:tcPr>
          <w:p w14:paraId="1AF89F99"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0" w:type="pct"/>
          </w:tcPr>
          <w:p w14:paraId="4F0F81BB" w14:textId="77777777" w:rsidR="00567333" w:rsidRPr="00FB2F3D" w:rsidRDefault="00567333" w:rsidP="00567333">
            <w:pPr>
              <w:pStyle w:val="UK12Block"/>
              <w:rPr>
                <w:rFonts w:ascii="Arial" w:hAnsi="Arial" w:cs="Arial"/>
                <w:sz w:val="22"/>
                <w:szCs w:val="22"/>
              </w:rPr>
            </w:pPr>
          </w:p>
        </w:tc>
        <w:tc>
          <w:tcPr>
            <w:tcW w:w="190" w:type="pct"/>
          </w:tcPr>
          <w:p w14:paraId="20F0B1E9"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51DA051C" w14:textId="77777777" w:rsidTr="00336A6A">
        <w:tc>
          <w:tcPr>
            <w:tcW w:w="300" w:type="pct"/>
          </w:tcPr>
          <w:p w14:paraId="2E0EF831" w14:textId="77777777" w:rsidR="00567333" w:rsidRPr="00FB2F3D" w:rsidRDefault="00567333" w:rsidP="00567333">
            <w:pPr>
              <w:pStyle w:val="UK12Block"/>
              <w:rPr>
                <w:rFonts w:ascii="Arial" w:hAnsi="Arial" w:cs="Arial"/>
                <w:sz w:val="22"/>
                <w:szCs w:val="22"/>
              </w:rPr>
            </w:pPr>
          </w:p>
        </w:tc>
        <w:tc>
          <w:tcPr>
            <w:tcW w:w="3344" w:type="pct"/>
          </w:tcPr>
          <w:p w14:paraId="0F542E12"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Historical financial information covering the latest two financial years (or such shorter period that the Issuer has been in operation) where such information in respect of each year is:</w:t>
            </w:r>
          </w:p>
          <w:p w14:paraId="2B7819D8" w14:textId="77777777" w:rsidR="00567333" w:rsidRPr="00FB2F3D" w:rsidRDefault="00567333" w:rsidP="00755725">
            <w:pPr>
              <w:pStyle w:val="UK12Block05"/>
              <w:numPr>
                <w:ilvl w:val="1"/>
                <w:numId w:val="62"/>
              </w:numPr>
              <w:rPr>
                <w:rFonts w:ascii="Arial" w:hAnsi="Arial" w:cs="Arial"/>
                <w:sz w:val="22"/>
                <w:szCs w:val="22"/>
              </w:rPr>
            </w:pPr>
            <w:r w:rsidRPr="00FB2F3D">
              <w:rPr>
                <w:rFonts w:ascii="Arial" w:hAnsi="Arial" w:cs="Arial"/>
                <w:sz w:val="22"/>
                <w:szCs w:val="22"/>
              </w:rPr>
              <w:t>prepared in accordance with the International Financial Reporting Standards (IFRS) or any other standards acceptable to the Regulator;</w:t>
            </w:r>
          </w:p>
          <w:p w14:paraId="39843AE0" w14:textId="77777777" w:rsidR="00567333" w:rsidRPr="00FB2F3D" w:rsidRDefault="00567333" w:rsidP="00755725">
            <w:pPr>
              <w:pStyle w:val="UK12Block05"/>
              <w:numPr>
                <w:ilvl w:val="1"/>
                <w:numId w:val="62"/>
              </w:numPr>
              <w:rPr>
                <w:rFonts w:ascii="Arial" w:hAnsi="Arial" w:cs="Arial"/>
                <w:sz w:val="22"/>
                <w:szCs w:val="22"/>
              </w:rPr>
            </w:pPr>
            <w:r w:rsidRPr="00FB2F3D">
              <w:rPr>
                <w:rFonts w:ascii="Arial" w:hAnsi="Arial" w:cs="Arial"/>
                <w:sz w:val="22"/>
                <w:szCs w:val="22"/>
              </w:rPr>
              <w:t>audited in accordance with the standards of the International Auditing and Assurance Standards Board (IAASB) or other standards acceptable to the Regulator;</w:t>
            </w:r>
            <w:r w:rsidRPr="00FB2F3D">
              <w:rPr>
                <w:rFonts w:ascii="Arial" w:hAnsi="Arial" w:cs="Arial"/>
                <w:sz w:val="22"/>
                <w:szCs w:val="22"/>
                <w:vertAlign w:val="superscript"/>
              </w:rPr>
              <w:footnoteReference w:id="8"/>
            </w:r>
            <w:r w:rsidRPr="00FB2F3D">
              <w:rPr>
                <w:rFonts w:ascii="Arial" w:hAnsi="Arial" w:cs="Arial"/>
                <w:sz w:val="22"/>
                <w:szCs w:val="22"/>
              </w:rPr>
              <w:t xml:space="preserve"> and</w:t>
            </w:r>
          </w:p>
          <w:p w14:paraId="20D38130" w14:textId="77777777" w:rsidR="00567333" w:rsidRPr="00FB2F3D" w:rsidRDefault="00567333" w:rsidP="00755725">
            <w:pPr>
              <w:pStyle w:val="UK12Block05"/>
              <w:numPr>
                <w:ilvl w:val="1"/>
                <w:numId w:val="62"/>
              </w:numPr>
              <w:rPr>
                <w:rFonts w:ascii="Arial" w:hAnsi="Arial" w:cs="Arial"/>
                <w:sz w:val="22"/>
                <w:szCs w:val="22"/>
              </w:rPr>
            </w:pPr>
            <w:r w:rsidRPr="00FB2F3D">
              <w:rPr>
                <w:rFonts w:ascii="Arial" w:hAnsi="Arial" w:cs="Arial"/>
                <w:sz w:val="22"/>
                <w:szCs w:val="22"/>
              </w:rPr>
              <w:t>independently audited or reported on as to whether or not, for the purposes of the Registration Statement, it gives a true and fair view, in accordance with the applicable auditing standards referred to in (ii) above.</w:t>
            </w:r>
          </w:p>
        </w:tc>
        <w:tc>
          <w:tcPr>
            <w:tcW w:w="126" w:type="pct"/>
          </w:tcPr>
          <w:p w14:paraId="6D0FD1CC" w14:textId="77777777" w:rsidR="00567333" w:rsidRPr="00FB2F3D" w:rsidRDefault="00567333" w:rsidP="00567333">
            <w:pPr>
              <w:pStyle w:val="UK12Block"/>
              <w:rPr>
                <w:rFonts w:ascii="Arial" w:hAnsi="Arial" w:cs="Arial"/>
                <w:sz w:val="22"/>
                <w:szCs w:val="22"/>
                <w:lang w:eastAsia="ja-JP"/>
              </w:rPr>
            </w:pPr>
          </w:p>
        </w:tc>
        <w:tc>
          <w:tcPr>
            <w:tcW w:w="219" w:type="pct"/>
          </w:tcPr>
          <w:p w14:paraId="12F06444" w14:textId="77777777" w:rsidR="00567333" w:rsidRPr="00FB2F3D" w:rsidRDefault="00567333" w:rsidP="00567333">
            <w:pPr>
              <w:pStyle w:val="UK12Block"/>
              <w:rPr>
                <w:rFonts w:ascii="Arial" w:hAnsi="Arial" w:cs="Arial"/>
                <w:sz w:val="22"/>
                <w:szCs w:val="22"/>
                <w:lang w:eastAsia="ja-JP"/>
              </w:rPr>
            </w:pPr>
          </w:p>
        </w:tc>
        <w:tc>
          <w:tcPr>
            <w:tcW w:w="125" w:type="pct"/>
          </w:tcPr>
          <w:p w14:paraId="2B434093"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c>
          <w:tcPr>
            <w:tcW w:w="252" w:type="pct"/>
          </w:tcPr>
          <w:p w14:paraId="4E10FFE6"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c>
          <w:tcPr>
            <w:tcW w:w="219" w:type="pct"/>
          </w:tcPr>
          <w:p w14:paraId="7D35F2BE" w14:textId="77777777" w:rsidR="00567333" w:rsidRPr="00FB2F3D" w:rsidRDefault="00567333" w:rsidP="00567333">
            <w:pPr>
              <w:pStyle w:val="UK12Block"/>
              <w:rPr>
                <w:rFonts w:ascii="Arial" w:hAnsi="Arial" w:cs="Arial"/>
                <w:sz w:val="22"/>
                <w:szCs w:val="22"/>
                <w:lang w:eastAsia="ja-JP"/>
              </w:rPr>
            </w:pPr>
          </w:p>
        </w:tc>
        <w:tc>
          <w:tcPr>
            <w:tcW w:w="220" w:type="pct"/>
          </w:tcPr>
          <w:p w14:paraId="19AE5B36"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c>
          <w:tcPr>
            <w:tcW w:w="190" w:type="pct"/>
          </w:tcPr>
          <w:p w14:paraId="50EDE794" w14:textId="77777777" w:rsidR="00567333" w:rsidRPr="00FB2F3D" w:rsidRDefault="00567333" w:rsidP="00567333">
            <w:pPr>
              <w:pStyle w:val="UK12Block"/>
              <w:rPr>
                <w:rFonts w:ascii="Arial" w:hAnsi="Arial" w:cs="Arial"/>
                <w:sz w:val="22"/>
                <w:szCs w:val="22"/>
                <w:lang w:eastAsia="ja-JP"/>
              </w:rPr>
            </w:pPr>
          </w:p>
        </w:tc>
      </w:tr>
      <w:tr w:rsidR="00567333" w:rsidRPr="00FB2F3D" w14:paraId="3A4CFCDE" w14:textId="77777777" w:rsidTr="00336A6A">
        <w:tc>
          <w:tcPr>
            <w:tcW w:w="300" w:type="pct"/>
          </w:tcPr>
          <w:p w14:paraId="3402F60A" w14:textId="77777777" w:rsidR="00567333" w:rsidRPr="00FB2F3D" w:rsidRDefault="00567333" w:rsidP="00567333">
            <w:pPr>
              <w:pStyle w:val="UK12Block"/>
              <w:rPr>
                <w:rFonts w:ascii="Arial" w:hAnsi="Arial" w:cs="Arial"/>
                <w:sz w:val="22"/>
                <w:szCs w:val="22"/>
              </w:rPr>
            </w:pPr>
          </w:p>
        </w:tc>
        <w:tc>
          <w:tcPr>
            <w:tcW w:w="3344" w:type="pct"/>
          </w:tcPr>
          <w:p w14:paraId="70A5A290"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In respect of the last year of audited financial information included, such information not being older than one of the following:</w:t>
            </w:r>
          </w:p>
          <w:p w14:paraId="1D5A72B7"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18 months from the date of the Registration Statement if the Issuer includes audited interim financial statements in the Registration Statement; or</w:t>
            </w:r>
          </w:p>
          <w:p w14:paraId="31EF8875"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lastRenderedPageBreak/>
              <w:t>15 months from the date of the Registration Statement if the Issuer includes unaudited interim financial statements in the Registration Statement.</w:t>
            </w:r>
          </w:p>
          <w:p w14:paraId="4D52D043"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 statement that the historical financial information has been audited.</w:t>
            </w:r>
          </w:p>
          <w:p w14:paraId="7D0C796C"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If the audit reports on the historical financial information have been refused by the auditors or if they contain qualifications or disclaimers, reproduction of such refusal, qualifications or disclaimers in full and the reasons given.</w:t>
            </w:r>
          </w:p>
          <w:p w14:paraId="629B1154"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If any other information in the Registration Statement has been audited by the auditors, a statement to that effect.</w:t>
            </w:r>
          </w:p>
          <w:p w14:paraId="71F4AF56"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If any financial data in the Registration Statement is not extracted from the Issuer's audited financial statements, statements as to the source of the data and that the data is unaudited.</w:t>
            </w:r>
          </w:p>
          <w:p w14:paraId="52F75EB1"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 xml:space="preserve">If since the date of the Issuer's last audited financial statements quarterly or half yearly financial information has been published, such statements including: </w:t>
            </w:r>
          </w:p>
          <w:p w14:paraId="76F88E3B"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if the quarterly or half yearly financial information has been reviewed or audited, the audit or review report; or</w:t>
            </w:r>
          </w:p>
          <w:p w14:paraId="387556C9"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if the quarterly or half yearly financial information is unaudited or has not been reviewed, a statement to that effect.</w:t>
            </w:r>
          </w:p>
          <w:p w14:paraId="088F1F7C"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If the Registration Statement is dated more than nine months after the end of the last audited financial year, interim financial information:</w:t>
            </w:r>
          </w:p>
          <w:p w14:paraId="75B78FF1"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covering at least the first six months of the financial year;</w:t>
            </w:r>
          </w:p>
          <w:p w14:paraId="1E19FDB9"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including comparative statements for the same period in the prior financial year (except that the requirement for comparative balance sheet information may be satisfied by presenting the year's end balance sheet); and</w:t>
            </w:r>
          </w:p>
          <w:p w14:paraId="66276EB5"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if unaudited, a statement to that effect.</w:t>
            </w:r>
          </w:p>
          <w:p w14:paraId="11CF010E"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lastRenderedPageBreak/>
              <w:t>If the Issuer prepares both own and consolidated annual financial statements, at least the consolidated annual financial statements.</w:t>
            </w:r>
          </w:p>
          <w:p w14:paraId="4D682DC2"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 description of any significant change in the financial or trading position of the Group which has occurred since the end of the last financial period for which either audited financial information or interim financial information have been published, or an appropriate negative statement.</w:t>
            </w:r>
          </w:p>
        </w:tc>
        <w:tc>
          <w:tcPr>
            <w:tcW w:w="126" w:type="pct"/>
          </w:tcPr>
          <w:p w14:paraId="30B043BE"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lastRenderedPageBreak/>
              <w:sym w:font="Wingdings" w:char="F0FC"/>
            </w:r>
          </w:p>
        </w:tc>
        <w:tc>
          <w:tcPr>
            <w:tcW w:w="219" w:type="pct"/>
          </w:tcPr>
          <w:p w14:paraId="7523A8CF"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c>
          <w:tcPr>
            <w:tcW w:w="125" w:type="pct"/>
          </w:tcPr>
          <w:p w14:paraId="741016C4"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c>
          <w:tcPr>
            <w:tcW w:w="252" w:type="pct"/>
          </w:tcPr>
          <w:p w14:paraId="284649ED"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c>
          <w:tcPr>
            <w:tcW w:w="219" w:type="pct"/>
          </w:tcPr>
          <w:p w14:paraId="2B8ED228"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c>
          <w:tcPr>
            <w:tcW w:w="220" w:type="pct"/>
          </w:tcPr>
          <w:p w14:paraId="2120FFD5"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c>
          <w:tcPr>
            <w:tcW w:w="190" w:type="pct"/>
          </w:tcPr>
          <w:p w14:paraId="0A0343CE"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r>
      <w:tr w:rsidR="00567333" w:rsidRPr="00FB2F3D" w14:paraId="39FAAE50" w14:textId="77777777" w:rsidTr="00336A6A">
        <w:tc>
          <w:tcPr>
            <w:tcW w:w="300" w:type="pct"/>
          </w:tcPr>
          <w:p w14:paraId="368DB1FB" w14:textId="77777777" w:rsidR="00567333" w:rsidRPr="00FB2F3D" w:rsidRDefault="00567333" w:rsidP="00567333">
            <w:pPr>
              <w:pStyle w:val="UK12Block"/>
              <w:rPr>
                <w:rFonts w:ascii="Arial" w:hAnsi="Arial" w:cs="Arial"/>
                <w:sz w:val="22"/>
                <w:szCs w:val="22"/>
              </w:rPr>
            </w:pPr>
          </w:p>
        </w:tc>
        <w:tc>
          <w:tcPr>
            <w:tcW w:w="3344" w:type="pct"/>
          </w:tcPr>
          <w:p w14:paraId="74F1C226"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Any recent events particular to the Issuer and which are to a material extent relevant to the evaluation of the Issuer's solvency.</w:t>
            </w:r>
          </w:p>
        </w:tc>
        <w:tc>
          <w:tcPr>
            <w:tcW w:w="126" w:type="pct"/>
          </w:tcPr>
          <w:p w14:paraId="79B20F15" w14:textId="77777777" w:rsidR="00567333" w:rsidRPr="00FB2F3D" w:rsidRDefault="00567333" w:rsidP="00567333">
            <w:pPr>
              <w:pStyle w:val="UK12Block"/>
              <w:rPr>
                <w:rFonts w:ascii="Arial" w:hAnsi="Arial" w:cs="Arial"/>
                <w:sz w:val="22"/>
                <w:szCs w:val="22"/>
              </w:rPr>
            </w:pPr>
          </w:p>
        </w:tc>
        <w:tc>
          <w:tcPr>
            <w:tcW w:w="219" w:type="pct"/>
          </w:tcPr>
          <w:p w14:paraId="3EF98C65" w14:textId="77777777" w:rsidR="00567333" w:rsidRPr="00FB2F3D" w:rsidRDefault="00567333" w:rsidP="00567333">
            <w:pPr>
              <w:pStyle w:val="UK12Block"/>
              <w:rPr>
                <w:rFonts w:ascii="Arial" w:hAnsi="Arial" w:cs="Arial"/>
                <w:sz w:val="22"/>
                <w:szCs w:val="22"/>
              </w:rPr>
            </w:pPr>
          </w:p>
        </w:tc>
        <w:tc>
          <w:tcPr>
            <w:tcW w:w="125" w:type="pct"/>
          </w:tcPr>
          <w:p w14:paraId="068BCA99"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2" w:type="pct"/>
          </w:tcPr>
          <w:p w14:paraId="3BE80322"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4ECD07FE" w14:textId="77777777" w:rsidR="00567333" w:rsidRPr="00FB2F3D" w:rsidRDefault="00567333" w:rsidP="00567333">
            <w:pPr>
              <w:pStyle w:val="UK12Block"/>
              <w:rPr>
                <w:rFonts w:ascii="Arial" w:hAnsi="Arial" w:cs="Arial"/>
                <w:sz w:val="22"/>
                <w:szCs w:val="22"/>
              </w:rPr>
            </w:pPr>
          </w:p>
        </w:tc>
        <w:tc>
          <w:tcPr>
            <w:tcW w:w="220" w:type="pct"/>
          </w:tcPr>
          <w:p w14:paraId="2AB8708B"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0" w:type="pct"/>
          </w:tcPr>
          <w:p w14:paraId="00C2531A" w14:textId="77777777" w:rsidR="00567333" w:rsidRPr="00FB2F3D" w:rsidRDefault="00567333" w:rsidP="00567333">
            <w:pPr>
              <w:pStyle w:val="UK12Block"/>
              <w:rPr>
                <w:rFonts w:ascii="Arial" w:hAnsi="Arial" w:cs="Arial"/>
                <w:sz w:val="22"/>
                <w:szCs w:val="22"/>
              </w:rPr>
            </w:pPr>
          </w:p>
        </w:tc>
      </w:tr>
      <w:tr w:rsidR="00567333" w:rsidRPr="00FB2F3D" w14:paraId="6821DCBD" w14:textId="77777777" w:rsidTr="00336A6A">
        <w:tc>
          <w:tcPr>
            <w:tcW w:w="300" w:type="pct"/>
          </w:tcPr>
          <w:p w14:paraId="60FE10CC" w14:textId="77777777" w:rsidR="00567333" w:rsidRPr="00FB2F3D" w:rsidRDefault="00567333" w:rsidP="00755725">
            <w:pPr>
              <w:pStyle w:val="UK12Block"/>
              <w:numPr>
                <w:ilvl w:val="1"/>
                <w:numId w:val="59"/>
              </w:numPr>
              <w:rPr>
                <w:rFonts w:ascii="Arial" w:hAnsi="Arial" w:cs="Arial"/>
                <w:b/>
                <w:sz w:val="22"/>
                <w:szCs w:val="22"/>
              </w:rPr>
            </w:pPr>
          </w:p>
        </w:tc>
        <w:tc>
          <w:tcPr>
            <w:tcW w:w="3344" w:type="pct"/>
          </w:tcPr>
          <w:p w14:paraId="0DD75055"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Profit forecasts</w:t>
            </w:r>
          </w:p>
          <w:p w14:paraId="183187C6" w14:textId="77777777" w:rsidR="00567333" w:rsidRPr="00FB2F3D" w:rsidRDefault="00567333" w:rsidP="00567333">
            <w:pPr>
              <w:pStyle w:val="UK12Block"/>
              <w:rPr>
                <w:rFonts w:ascii="Arial" w:hAnsi="Arial" w:cs="Arial"/>
                <w:sz w:val="22"/>
                <w:szCs w:val="22"/>
              </w:rPr>
            </w:pPr>
            <w:r w:rsidRPr="00FB2F3D">
              <w:rPr>
                <w:rFonts w:ascii="Arial" w:hAnsi="Arial" w:cs="Arial"/>
                <w:sz w:val="22"/>
                <w:szCs w:val="22"/>
              </w:rPr>
              <w:t>If an Issuer chooses to include a profit forecast or a profit estimate in the Registration Statement:</w:t>
            </w:r>
          </w:p>
          <w:p w14:paraId="3F3287ED"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information about the principal assumptions upon which the Issuer has based its forecast or</w:t>
            </w:r>
            <w:r w:rsidRPr="00FB2F3D">
              <w:rPr>
                <w:rFonts w:ascii="Arial" w:hAnsi="Arial" w:cs="Arial"/>
                <w:sz w:val="22"/>
                <w:szCs w:val="22"/>
                <w:lang w:eastAsia="ja-JP"/>
              </w:rPr>
              <w:t xml:space="preserve"> </w:t>
            </w:r>
            <w:r w:rsidRPr="00FB2F3D">
              <w:rPr>
                <w:rFonts w:ascii="Arial" w:hAnsi="Arial" w:cs="Arial"/>
                <w:sz w:val="22"/>
                <w:szCs w:val="22"/>
              </w:rPr>
              <w:t>estimate:</w:t>
            </w:r>
          </w:p>
          <w:p w14:paraId="10957680"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in a manner readily understandable by investors and prepared on a basis comparable with the historical financial information; and</w:t>
            </w:r>
          </w:p>
          <w:p w14:paraId="50EFD973"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showing a clear distinction between assumptions about factors</w:t>
            </w:r>
            <w:r w:rsidRPr="00FB2F3D">
              <w:rPr>
                <w:rFonts w:ascii="Arial" w:hAnsi="Arial" w:cs="Arial"/>
                <w:sz w:val="22"/>
                <w:szCs w:val="22"/>
                <w:lang w:eastAsia="ja-JP"/>
              </w:rPr>
              <w:t xml:space="preserve"> </w:t>
            </w:r>
            <w:r w:rsidRPr="00FB2F3D">
              <w:rPr>
                <w:rFonts w:ascii="Arial" w:hAnsi="Arial" w:cs="Arial"/>
                <w:sz w:val="22"/>
                <w:szCs w:val="22"/>
              </w:rPr>
              <w:t>which the Board or Senior Management of the Issuer can influence and assumptions about factors which are exclusively outside the influence of such Persons;</w:t>
            </w:r>
          </w:p>
          <w:p w14:paraId="1C75FF86"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 report prepared by independent accountants or auditors stating that in the opinion of the independent accountants or auditors, the forecast</w:t>
            </w:r>
            <w:r w:rsidRPr="00FB2F3D">
              <w:rPr>
                <w:rFonts w:ascii="Arial" w:hAnsi="Arial" w:cs="Arial"/>
                <w:sz w:val="22"/>
                <w:szCs w:val="22"/>
                <w:lang w:eastAsia="ja-JP"/>
              </w:rPr>
              <w:t xml:space="preserve"> </w:t>
            </w:r>
            <w:r w:rsidRPr="00FB2F3D">
              <w:rPr>
                <w:rFonts w:ascii="Arial" w:hAnsi="Arial" w:cs="Arial"/>
                <w:sz w:val="22"/>
                <w:szCs w:val="22"/>
              </w:rPr>
              <w:t>or estimate has been properly compiled on the basis stated and that the basis of accounting used for the profit forecast or estimate is consistent with the accounting policies of the Issuer; and</w:t>
            </w:r>
          </w:p>
          <w:p w14:paraId="75D87CFC"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if a profit forecast in a Prospectus has been previously published, a statement setting out whether or not that forecast is still correct as</w:t>
            </w:r>
            <w:r w:rsidRPr="00FB2F3D">
              <w:rPr>
                <w:rFonts w:ascii="Arial" w:hAnsi="Arial" w:cs="Arial"/>
                <w:sz w:val="22"/>
                <w:szCs w:val="22"/>
                <w:lang w:eastAsia="ja-JP"/>
              </w:rPr>
              <w:t xml:space="preserve"> </w:t>
            </w:r>
            <w:r w:rsidRPr="00FB2F3D">
              <w:rPr>
                <w:rFonts w:ascii="Arial" w:hAnsi="Arial" w:cs="Arial"/>
                <w:sz w:val="22"/>
                <w:szCs w:val="22"/>
              </w:rPr>
              <w:t>at the time of the Registration Statement or if the forecast is no longer valid, an explanation of why that is the case.</w:t>
            </w:r>
          </w:p>
        </w:tc>
        <w:tc>
          <w:tcPr>
            <w:tcW w:w="126" w:type="pct"/>
          </w:tcPr>
          <w:p w14:paraId="0D3FD06D"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642BA942"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7A0923A3"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2" w:type="pct"/>
          </w:tcPr>
          <w:p w14:paraId="4BA91C2D"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31AABCD8"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0" w:type="pct"/>
          </w:tcPr>
          <w:p w14:paraId="7E1B83C8"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0" w:type="pct"/>
          </w:tcPr>
          <w:p w14:paraId="009B7D48"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0047ADF8" w14:textId="77777777" w:rsidTr="00336A6A">
        <w:tblPrEx>
          <w:tblLook w:val="0480" w:firstRow="0" w:lastRow="0" w:firstColumn="1" w:lastColumn="0" w:noHBand="0" w:noVBand="1"/>
        </w:tblPrEx>
        <w:tc>
          <w:tcPr>
            <w:tcW w:w="5000" w:type="pct"/>
            <w:gridSpan w:val="9"/>
          </w:tcPr>
          <w:p w14:paraId="761E3798" w14:textId="77777777" w:rsidR="00567333" w:rsidRPr="00FB2F3D" w:rsidRDefault="00567333" w:rsidP="00755725">
            <w:pPr>
              <w:pStyle w:val="UK12Block"/>
              <w:keepNext/>
              <w:pageBreakBefore/>
              <w:numPr>
                <w:ilvl w:val="0"/>
                <w:numId w:val="59"/>
              </w:numPr>
              <w:spacing w:after="0"/>
              <w:rPr>
                <w:rFonts w:ascii="Arial" w:hAnsi="Arial" w:cs="Arial"/>
                <w:b/>
                <w:sz w:val="22"/>
                <w:szCs w:val="22"/>
              </w:rPr>
            </w:pPr>
            <w:r w:rsidRPr="00FB2F3D">
              <w:rPr>
                <w:rFonts w:ascii="Arial" w:hAnsi="Arial" w:cs="Arial"/>
                <w:b/>
                <w:sz w:val="22"/>
                <w:szCs w:val="22"/>
              </w:rPr>
              <w:lastRenderedPageBreak/>
              <w:t>OTHER INFORMATION RELATING TO THE ISSUER</w:t>
            </w:r>
          </w:p>
        </w:tc>
      </w:tr>
      <w:tr w:rsidR="00567333" w:rsidRPr="00FB2F3D" w14:paraId="133D4D9E" w14:textId="77777777" w:rsidTr="00336A6A">
        <w:tblPrEx>
          <w:tblLook w:val="0480" w:firstRow="0" w:lastRow="0" w:firstColumn="1" w:lastColumn="0" w:noHBand="0" w:noVBand="1"/>
        </w:tblPrEx>
        <w:tc>
          <w:tcPr>
            <w:tcW w:w="300" w:type="pct"/>
          </w:tcPr>
          <w:p w14:paraId="58E9BE5C" w14:textId="77777777" w:rsidR="00567333" w:rsidRPr="00FB2F3D" w:rsidRDefault="00567333" w:rsidP="00755725">
            <w:pPr>
              <w:pStyle w:val="UK12Block"/>
              <w:numPr>
                <w:ilvl w:val="1"/>
                <w:numId w:val="59"/>
              </w:numPr>
              <w:rPr>
                <w:rFonts w:ascii="Arial" w:hAnsi="Arial" w:cs="Arial"/>
                <w:b/>
                <w:sz w:val="22"/>
                <w:szCs w:val="22"/>
              </w:rPr>
            </w:pPr>
          </w:p>
        </w:tc>
        <w:tc>
          <w:tcPr>
            <w:tcW w:w="3344" w:type="pct"/>
          </w:tcPr>
          <w:p w14:paraId="1A38C344"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Information about auditors</w:t>
            </w:r>
          </w:p>
          <w:p w14:paraId="0EA7C286"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Information about the auditor including:</w:t>
            </w:r>
          </w:p>
          <w:p w14:paraId="54DE58B5"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the names, addresses and professional qualifications (including details of</w:t>
            </w:r>
            <w:r w:rsidRPr="00FB2F3D">
              <w:rPr>
                <w:rFonts w:ascii="Arial" w:hAnsi="Arial" w:cs="Arial"/>
                <w:sz w:val="22"/>
                <w:szCs w:val="22"/>
                <w:lang w:eastAsia="ja-JP"/>
              </w:rPr>
              <w:t xml:space="preserve"> </w:t>
            </w:r>
            <w:r w:rsidRPr="00FB2F3D">
              <w:rPr>
                <w:rFonts w:ascii="Arial" w:hAnsi="Arial" w:cs="Arial"/>
                <w:sz w:val="22"/>
                <w:szCs w:val="22"/>
              </w:rPr>
              <w:t>membership in any professional body) of the Issuer's auditor for the period covered by the historical financial information; and</w:t>
            </w:r>
          </w:p>
          <w:p w14:paraId="70FE0346"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if the auditor has resigned, been removed or not been re</w:t>
            </w:r>
            <w:r w:rsidRPr="00FB2F3D">
              <w:rPr>
                <w:rFonts w:ascii="Arial" w:hAnsi="Arial" w:cs="Arial"/>
                <w:sz w:val="22"/>
                <w:szCs w:val="22"/>
              </w:rPr>
              <w:noBreakHyphen/>
              <w:t>appointed during the period covered by the historical financial information, any details if material.</w:t>
            </w:r>
          </w:p>
        </w:tc>
        <w:tc>
          <w:tcPr>
            <w:tcW w:w="126" w:type="pct"/>
          </w:tcPr>
          <w:p w14:paraId="5BD0875E"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69E61390"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3A89632A"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49" w:type="pct"/>
          </w:tcPr>
          <w:p w14:paraId="43AE12A8"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2" w:type="pct"/>
          </w:tcPr>
          <w:p w14:paraId="080E8D0D"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8" w:type="pct"/>
          </w:tcPr>
          <w:p w14:paraId="3145F348"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2" w:type="pct"/>
          </w:tcPr>
          <w:p w14:paraId="6392D68A"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67065637" w14:textId="77777777" w:rsidTr="00336A6A">
        <w:tblPrEx>
          <w:tblLook w:val="0480" w:firstRow="0" w:lastRow="0" w:firstColumn="1" w:lastColumn="0" w:noHBand="0" w:noVBand="1"/>
        </w:tblPrEx>
        <w:tc>
          <w:tcPr>
            <w:tcW w:w="300" w:type="pct"/>
          </w:tcPr>
          <w:p w14:paraId="31D765F0" w14:textId="77777777" w:rsidR="00567333" w:rsidRPr="00FB2F3D" w:rsidRDefault="00567333" w:rsidP="00755725">
            <w:pPr>
              <w:pStyle w:val="UK12Block"/>
              <w:numPr>
                <w:ilvl w:val="1"/>
                <w:numId w:val="59"/>
              </w:numPr>
              <w:rPr>
                <w:rFonts w:ascii="Arial" w:hAnsi="Arial" w:cs="Arial"/>
                <w:b/>
                <w:sz w:val="22"/>
                <w:szCs w:val="22"/>
              </w:rPr>
            </w:pPr>
          </w:p>
        </w:tc>
        <w:tc>
          <w:tcPr>
            <w:tcW w:w="3344" w:type="pct"/>
          </w:tcPr>
          <w:p w14:paraId="2F6E833A"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Connected Persons</w:t>
            </w:r>
          </w:p>
          <w:p w14:paraId="3DAD1625"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Information about Connected Persons including:</w:t>
            </w:r>
          </w:p>
          <w:p w14:paraId="34376D9F"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the name and address of any Connected Person as defined in Rule 7.3.2;</w:t>
            </w:r>
          </w:p>
          <w:p w14:paraId="4D7540FB"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how the Person falls into the definition of a Connected Person; and</w:t>
            </w:r>
          </w:p>
          <w:p w14:paraId="264ABD52"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whether any Connected Person has different voting rights to the Issuer's major Shareholders, or an appropriate negative statement.</w:t>
            </w:r>
          </w:p>
        </w:tc>
        <w:tc>
          <w:tcPr>
            <w:tcW w:w="126" w:type="pct"/>
          </w:tcPr>
          <w:p w14:paraId="1C4DA7FE"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6A326D66"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2B9BCFC0" w14:textId="77777777" w:rsidR="00567333" w:rsidRPr="00FB2F3D" w:rsidRDefault="00567333" w:rsidP="00567333">
            <w:pPr>
              <w:pStyle w:val="UK12Block"/>
              <w:rPr>
                <w:rFonts w:ascii="Arial" w:hAnsi="Arial" w:cs="Arial"/>
                <w:sz w:val="22"/>
                <w:szCs w:val="22"/>
              </w:rPr>
            </w:pPr>
          </w:p>
        </w:tc>
        <w:tc>
          <w:tcPr>
            <w:tcW w:w="249" w:type="pct"/>
          </w:tcPr>
          <w:p w14:paraId="137DCF98" w14:textId="77777777" w:rsidR="00567333" w:rsidRPr="00FB2F3D" w:rsidRDefault="00567333" w:rsidP="00567333">
            <w:pPr>
              <w:pStyle w:val="UK12Block"/>
              <w:rPr>
                <w:rFonts w:ascii="Arial" w:hAnsi="Arial" w:cs="Arial"/>
                <w:sz w:val="22"/>
                <w:szCs w:val="22"/>
              </w:rPr>
            </w:pPr>
          </w:p>
        </w:tc>
        <w:tc>
          <w:tcPr>
            <w:tcW w:w="222" w:type="pct"/>
          </w:tcPr>
          <w:p w14:paraId="5C91C1B3"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8" w:type="pct"/>
          </w:tcPr>
          <w:p w14:paraId="5EC0D4CE" w14:textId="77777777" w:rsidR="00567333" w:rsidRPr="00FB2F3D" w:rsidRDefault="00567333" w:rsidP="00567333">
            <w:pPr>
              <w:pStyle w:val="UK12Block"/>
              <w:rPr>
                <w:rFonts w:ascii="Arial" w:hAnsi="Arial" w:cs="Arial"/>
                <w:sz w:val="22"/>
                <w:szCs w:val="22"/>
              </w:rPr>
            </w:pPr>
          </w:p>
        </w:tc>
        <w:tc>
          <w:tcPr>
            <w:tcW w:w="192" w:type="pct"/>
          </w:tcPr>
          <w:p w14:paraId="26B0C871"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0677EB2B" w14:textId="77777777" w:rsidTr="00336A6A">
        <w:tblPrEx>
          <w:tblLook w:val="0480" w:firstRow="0" w:lastRow="0" w:firstColumn="1" w:lastColumn="0" w:noHBand="0" w:noVBand="1"/>
        </w:tblPrEx>
        <w:tc>
          <w:tcPr>
            <w:tcW w:w="300" w:type="pct"/>
          </w:tcPr>
          <w:p w14:paraId="79265A89" w14:textId="77777777" w:rsidR="00567333" w:rsidRPr="00FB2F3D" w:rsidRDefault="00567333" w:rsidP="00567333">
            <w:pPr>
              <w:pStyle w:val="UK12Block"/>
              <w:rPr>
                <w:rFonts w:ascii="Arial" w:hAnsi="Arial" w:cs="Arial"/>
                <w:sz w:val="22"/>
                <w:szCs w:val="22"/>
              </w:rPr>
            </w:pPr>
          </w:p>
        </w:tc>
        <w:tc>
          <w:tcPr>
            <w:tcW w:w="3344" w:type="pct"/>
          </w:tcPr>
          <w:p w14:paraId="4F6C42D0"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If there are no Connected Persons, a statement to that effect.</w:t>
            </w:r>
          </w:p>
        </w:tc>
        <w:tc>
          <w:tcPr>
            <w:tcW w:w="126" w:type="pct"/>
          </w:tcPr>
          <w:p w14:paraId="074C07F2"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0AD9955A"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58434748" w14:textId="77777777" w:rsidR="00567333" w:rsidRPr="00FB2F3D" w:rsidRDefault="00567333" w:rsidP="00567333">
            <w:pPr>
              <w:pStyle w:val="UK12Block"/>
              <w:rPr>
                <w:rFonts w:ascii="Arial" w:hAnsi="Arial" w:cs="Arial"/>
                <w:sz w:val="22"/>
                <w:szCs w:val="22"/>
              </w:rPr>
            </w:pPr>
          </w:p>
        </w:tc>
        <w:tc>
          <w:tcPr>
            <w:tcW w:w="249" w:type="pct"/>
          </w:tcPr>
          <w:p w14:paraId="281267BB" w14:textId="77777777" w:rsidR="00567333" w:rsidRPr="00FB2F3D" w:rsidRDefault="00567333" w:rsidP="00567333">
            <w:pPr>
              <w:pStyle w:val="UK12Block"/>
              <w:rPr>
                <w:rFonts w:ascii="Arial" w:hAnsi="Arial" w:cs="Arial"/>
                <w:sz w:val="22"/>
                <w:szCs w:val="22"/>
              </w:rPr>
            </w:pPr>
          </w:p>
        </w:tc>
        <w:tc>
          <w:tcPr>
            <w:tcW w:w="222" w:type="pct"/>
          </w:tcPr>
          <w:p w14:paraId="65222ADA"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8" w:type="pct"/>
          </w:tcPr>
          <w:p w14:paraId="6AD2D6B1" w14:textId="77777777" w:rsidR="00567333" w:rsidRPr="00FB2F3D" w:rsidRDefault="00567333" w:rsidP="00567333">
            <w:pPr>
              <w:pStyle w:val="UK12Block"/>
              <w:rPr>
                <w:rFonts w:ascii="Arial" w:hAnsi="Arial" w:cs="Arial"/>
                <w:sz w:val="22"/>
                <w:szCs w:val="22"/>
              </w:rPr>
            </w:pPr>
          </w:p>
        </w:tc>
        <w:tc>
          <w:tcPr>
            <w:tcW w:w="192" w:type="pct"/>
          </w:tcPr>
          <w:p w14:paraId="35833AEA"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6E627043" w14:textId="77777777" w:rsidTr="00336A6A">
        <w:tblPrEx>
          <w:tblLook w:val="0480" w:firstRow="0" w:lastRow="0" w:firstColumn="1" w:lastColumn="0" w:noHBand="0" w:noVBand="1"/>
        </w:tblPrEx>
        <w:tc>
          <w:tcPr>
            <w:tcW w:w="300" w:type="pct"/>
          </w:tcPr>
          <w:p w14:paraId="41858106" w14:textId="77777777" w:rsidR="00567333" w:rsidRPr="00FB2F3D" w:rsidRDefault="00567333" w:rsidP="00567333">
            <w:pPr>
              <w:pStyle w:val="UK12Block"/>
              <w:rPr>
                <w:rFonts w:ascii="Arial" w:hAnsi="Arial" w:cs="Arial"/>
                <w:sz w:val="22"/>
                <w:szCs w:val="22"/>
              </w:rPr>
            </w:pPr>
          </w:p>
        </w:tc>
        <w:tc>
          <w:tcPr>
            <w:tcW w:w="3344" w:type="pct"/>
          </w:tcPr>
          <w:p w14:paraId="39B3AA0F"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If a Connected Person is a Controller,</w:t>
            </w:r>
            <w:r w:rsidRPr="00FB2F3D">
              <w:rPr>
                <w:rFonts w:ascii="Arial" w:hAnsi="Arial" w:cs="Arial"/>
                <w:sz w:val="22"/>
                <w:szCs w:val="22"/>
                <w:vertAlign w:val="superscript"/>
              </w:rPr>
              <w:footnoteReference w:id="9"/>
            </w:r>
            <w:r w:rsidRPr="00FB2F3D">
              <w:rPr>
                <w:rFonts w:ascii="Arial" w:hAnsi="Arial" w:cs="Arial"/>
                <w:sz w:val="22"/>
                <w:szCs w:val="22"/>
              </w:rPr>
              <w:t xml:space="preserve"> information about that Person including:</w:t>
            </w:r>
          </w:p>
          <w:p w14:paraId="3C8FC3FC"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where relevant, the amount of the Controller's interest; and</w:t>
            </w:r>
          </w:p>
          <w:p w14:paraId="725E7FC6"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whether the Issuer is directly or indirectly owned or controlled by such a Person and the measures in place to ensure that such control is not abused.</w:t>
            </w:r>
          </w:p>
        </w:tc>
        <w:tc>
          <w:tcPr>
            <w:tcW w:w="126" w:type="pct"/>
          </w:tcPr>
          <w:p w14:paraId="2E58B7FB"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c>
          <w:tcPr>
            <w:tcW w:w="219" w:type="pct"/>
          </w:tcPr>
          <w:p w14:paraId="1C96E523"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c>
          <w:tcPr>
            <w:tcW w:w="125" w:type="pct"/>
          </w:tcPr>
          <w:p w14:paraId="63E13818" w14:textId="77777777" w:rsidR="00567333" w:rsidRPr="00FB2F3D" w:rsidRDefault="00567333" w:rsidP="00567333">
            <w:pPr>
              <w:pStyle w:val="UK12Block"/>
              <w:rPr>
                <w:rFonts w:ascii="Arial" w:hAnsi="Arial" w:cs="Arial"/>
                <w:sz w:val="22"/>
                <w:szCs w:val="22"/>
                <w:lang w:eastAsia="ja-JP"/>
              </w:rPr>
            </w:pPr>
          </w:p>
        </w:tc>
        <w:tc>
          <w:tcPr>
            <w:tcW w:w="249" w:type="pct"/>
          </w:tcPr>
          <w:p w14:paraId="5231DC64" w14:textId="77777777" w:rsidR="00567333" w:rsidRPr="00FB2F3D" w:rsidRDefault="00567333" w:rsidP="00567333">
            <w:pPr>
              <w:pStyle w:val="UK12Block"/>
              <w:rPr>
                <w:rFonts w:ascii="Arial" w:hAnsi="Arial" w:cs="Arial"/>
                <w:sz w:val="22"/>
                <w:szCs w:val="22"/>
                <w:lang w:eastAsia="ja-JP"/>
              </w:rPr>
            </w:pPr>
          </w:p>
        </w:tc>
        <w:tc>
          <w:tcPr>
            <w:tcW w:w="222" w:type="pct"/>
          </w:tcPr>
          <w:p w14:paraId="5DE0C2D7"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c>
          <w:tcPr>
            <w:tcW w:w="218" w:type="pct"/>
          </w:tcPr>
          <w:p w14:paraId="129F9C22" w14:textId="77777777" w:rsidR="00567333" w:rsidRPr="00FB2F3D" w:rsidRDefault="00567333" w:rsidP="00567333">
            <w:pPr>
              <w:pStyle w:val="UK12Block"/>
              <w:rPr>
                <w:rFonts w:ascii="Arial" w:hAnsi="Arial" w:cs="Arial"/>
                <w:sz w:val="22"/>
                <w:szCs w:val="22"/>
                <w:lang w:eastAsia="ja-JP"/>
              </w:rPr>
            </w:pPr>
          </w:p>
        </w:tc>
        <w:tc>
          <w:tcPr>
            <w:tcW w:w="192" w:type="pct"/>
          </w:tcPr>
          <w:p w14:paraId="103578A8"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r>
      <w:tr w:rsidR="00567333" w:rsidRPr="00FB2F3D" w14:paraId="06F02264" w14:textId="77777777" w:rsidTr="00336A6A">
        <w:tblPrEx>
          <w:tblLook w:val="0480" w:firstRow="0" w:lastRow="0" w:firstColumn="1" w:lastColumn="0" w:noHBand="0" w:noVBand="1"/>
        </w:tblPrEx>
        <w:trPr>
          <w:cantSplit/>
        </w:trPr>
        <w:tc>
          <w:tcPr>
            <w:tcW w:w="300" w:type="pct"/>
          </w:tcPr>
          <w:p w14:paraId="5179B320" w14:textId="77777777" w:rsidR="00567333" w:rsidRPr="00FB2F3D" w:rsidRDefault="00567333" w:rsidP="00567333">
            <w:pPr>
              <w:pStyle w:val="UK12Block"/>
              <w:rPr>
                <w:rFonts w:ascii="Arial" w:hAnsi="Arial" w:cs="Arial"/>
                <w:sz w:val="22"/>
                <w:szCs w:val="22"/>
              </w:rPr>
            </w:pPr>
          </w:p>
        </w:tc>
        <w:tc>
          <w:tcPr>
            <w:tcW w:w="3344" w:type="pct"/>
          </w:tcPr>
          <w:p w14:paraId="44D9A4F9"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 description of any arrangements, known to the Issuer, the operation of which may at a</w:t>
            </w:r>
            <w:r w:rsidRPr="00FB2F3D">
              <w:rPr>
                <w:rFonts w:ascii="Arial" w:hAnsi="Arial" w:cs="Arial"/>
                <w:sz w:val="22"/>
                <w:szCs w:val="22"/>
                <w:lang w:eastAsia="ja-JP"/>
              </w:rPr>
              <w:t xml:space="preserve"> </w:t>
            </w:r>
            <w:r w:rsidRPr="00FB2F3D">
              <w:rPr>
                <w:rFonts w:ascii="Arial" w:hAnsi="Arial" w:cs="Arial"/>
                <w:sz w:val="22"/>
                <w:szCs w:val="22"/>
              </w:rPr>
              <w:t>subsequent date result in a change in control of the Issuer.</w:t>
            </w:r>
          </w:p>
        </w:tc>
        <w:tc>
          <w:tcPr>
            <w:tcW w:w="126" w:type="pct"/>
          </w:tcPr>
          <w:p w14:paraId="6C9AAFD5"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0558743F"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2D703DB9" w14:textId="77777777" w:rsidR="00567333" w:rsidRPr="00FB2F3D" w:rsidRDefault="00567333" w:rsidP="00567333">
            <w:pPr>
              <w:pStyle w:val="UK12Block"/>
              <w:rPr>
                <w:rFonts w:ascii="Arial" w:hAnsi="Arial" w:cs="Arial"/>
                <w:sz w:val="22"/>
                <w:szCs w:val="22"/>
              </w:rPr>
            </w:pPr>
          </w:p>
        </w:tc>
        <w:tc>
          <w:tcPr>
            <w:tcW w:w="249" w:type="pct"/>
          </w:tcPr>
          <w:p w14:paraId="45FCBBD2" w14:textId="77777777" w:rsidR="00567333" w:rsidRPr="00FB2F3D" w:rsidRDefault="00567333" w:rsidP="00567333">
            <w:pPr>
              <w:pStyle w:val="UK12Block"/>
              <w:rPr>
                <w:rFonts w:ascii="Arial" w:hAnsi="Arial" w:cs="Arial"/>
                <w:sz w:val="22"/>
                <w:szCs w:val="22"/>
              </w:rPr>
            </w:pPr>
          </w:p>
        </w:tc>
        <w:tc>
          <w:tcPr>
            <w:tcW w:w="222" w:type="pct"/>
          </w:tcPr>
          <w:p w14:paraId="0BBE4A6C"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8" w:type="pct"/>
          </w:tcPr>
          <w:p w14:paraId="1E39D0A0" w14:textId="77777777" w:rsidR="00567333" w:rsidRPr="00FB2F3D" w:rsidRDefault="00567333" w:rsidP="00567333">
            <w:pPr>
              <w:pStyle w:val="UK12Block"/>
              <w:rPr>
                <w:rFonts w:ascii="Arial" w:hAnsi="Arial" w:cs="Arial"/>
                <w:sz w:val="22"/>
                <w:szCs w:val="22"/>
              </w:rPr>
            </w:pPr>
          </w:p>
        </w:tc>
        <w:tc>
          <w:tcPr>
            <w:tcW w:w="192" w:type="pct"/>
          </w:tcPr>
          <w:p w14:paraId="2B05573A"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0C3CD7E4" w14:textId="77777777" w:rsidTr="00336A6A">
        <w:tblPrEx>
          <w:tblLook w:val="0480" w:firstRow="0" w:lastRow="0" w:firstColumn="1" w:lastColumn="0" w:noHBand="0" w:noVBand="1"/>
        </w:tblPrEx>
        <w:tc>
          <w:tcPr>
            <w:tcW w:w="300" w:type="pct"/>
          </w:tcPr>
          <w:p w14:paraId="45641365" w14:textId="77777777" w:rsidR="00567333" w:rsidRPr="00FB2F3D" w:rsidRDefault="00567333" w:rsidP="00755725">
            <w:pPr>
              <w:pStyle w:val="UK12Block"/>
              <w:numPr>
                <w:ilvl w:val="1"/>
                <w:numId w:val="59"/>
              </w:numPr>
              <w:rPr>
                <w:rFonts w:ascii="Arial" w:hAnsi="Arial" w:cs="Arial"/>
                <w:sz w:val="22"/>
                <w:szCs w:val="22"/>
              </w:rPr>
            </w:pPr>
          </w:p>
        </w:tc>
        <w:tc>
          <w:tcPr>
            <w:tcW w:w="3344" w:type="pct"/>
          </w:tcPr>
          <w:p w14:paraId="2B48E4F5"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Related Party Transactions</w:t>
            </w:r>
          </w:p>
          <w:p w14:paraId="2684479F" w14:textId="77777777" w:rsidR="00567333" w:rsidRPr="00FB2F3D" w:rsidRDefault="00567333" w:rsidP="00567333">
            <w:pPr>
              <w:pStyle w:val="UK12Block"/>
              <w:rPr>
                <w:rFonts w:ascii="Arial" w:hAnsi="Arial" w:cs="Arial"/>
                <w:sz w:val="22"/>
                <w:szCs w:val="22"/>
              </w:rPr>
            </w:pPr>
            <w:r w:rsidRPr="00FB2F3D">
              <w:rPr>
                <w:rFonts w:ascii="Arial" w:hAnsi="Arial" w:cs="Arial"/>
                <w:sz w:val="22"/>
                <w:szCs w:val="22"/>
              </w:rPr>
              <w:t>Disclosure</w:t>
            </w:r>
            <w:r w:rsidRPr="00FB2F3D">
              <w:rPr>
                <w:rFonts w:ascii="Arial" w:hAnsi="Arial" w:cs="Arial"/>
                <w:sz w:val="22"/>
                <w:szCs w:val="22"/>
                <w:lang w:eastAsia="ja-JP"/>
              </w:rPr>
              <w:t xml:space="preserve"> </w:t>
            </w:r>
            <w:r w:rsidRPr="00FB2F3D">
              <w:rPr>
                <w:rFonts w:ascii="Arial" w:hAnsi="Arial" w:cs="Arial"/>
                <w:sz w:val="22"/>
                <w:szCs w:val="22"/>
              </w:rPr>
              <w:t>of any Related Party Transactions</w:t>
            </w:r>
            <w:r w:rsidRPr="00FB2F3D">
              <w:rPr>
                <w:rStyle w:val="FootnoteReference"/>
                <w:rFonts w:ascii="Arial" w:hAnsi="Arial" w:cs="Arial"/>
                <w:sz w:val="22"/>
                <w:szCs w:val="22"/>
              </w:rPr>
              <w:footnoteReference w:id="10"/>
            </w:r>
            <w:r w:rsidRPr="00FB2F3D">
              <w:rPr>
                <w:rFonts w:ascii="Arial" w:hAnsi="Arial" w:cs="Arial"/>
                <w:sz w:val="22"/>
                <w:szCs w:val="22"/>
                <w:lang w:eastAsia="ja-JP"/>
              </w:rPr>
              <w:t xml:space="preserve"> </w:t>
            </w:r>
            <w:r w:rsidRPr="00FB2F3D">
              <w:rPr>
                <w:rFonts w:ascii="Arial" w:hAnsi="Arial" w:cs="Arial"/>
                <w:sz w:val="22"/>
                <w:szCs w:val="22"/>
              </w:rPr>
              <w:t>during the period covered by the historical financial information and up to the date of the Registration Statement including:</w:t>
            </w:r>
          </w:p>
          <w:p w14:paraId="3BBC7694"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the name and address of the Related Party;</w:t>
            </w:r>
          </w:p>
          <w:p w14:paraId="481DE11C"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how the Person falls within the definition of a Related Party; and</w:t>
            </w:r>
          </w:p>
          <w:p w14:paraId="3D51C4BE"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details of the Related Party Transaction, including:</w:t>
            </w:r>
          </w:p>
          <w:p w14:paraId="04F57123"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 xml:space="preserve">the parties to the transaction; </w:t>
            </w:r>
          </w:p>
          <w:p w14:paraId="57020376"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the date of the transaction;</w:t>
            </w:r>
          </w:p>
          <w:p w14:paraId="034BA51B"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the value of the transaction;</w:t>
            </w:r>
          </w:p>
          <w:p w14:paraId="0809AB1E" w14:textId="77777777" w:rsidR="00567333" w:rsidRPr="00FB2F3D" w:rsidRDefault="00567333" w:rsidP="00755725">
            <w:pPr>
              <w:pStyle w:val="UK12Block"/>
              <w:numPr>
                <w:ilvl w:val="3"/>
                <w:numId w:val="59"/>
              </w:numPr>
              <w:rPr>
                <w:rFonts w:ascii="Arial" w:hAnsi="Arial" w:cs="Arial"/>
                <w:sz w:val="22"/>
                <w:szCs w:val="22"/>
              </w:rPr>
            </w:pPr>
            <w:r w:rsidRPr="00FB2F3D">
              <w:rPr>
                <w:rFonts w:ascii="Arial" w:hAnsi="Arial" w:cs="Arial"/>
                <w:sz w:val="22"/>
                <w:szCs w:val="22"/>
              </w:rPr>
              <w:t>whether prior Shareholder approval was obtained from a majority of</w:t>
            </w:r>
            <w:r w:rsidRPr="00FB2F3D">
              <w:rPr>
                <w:rFonts w:ascii="Arial" w:hAnsi="Arial" w:cs="Arial"/>
                <w:sz w:val="22"/>
                <w:szCs w:val="22"/>
                <w:lang w:eastAsia="ja-JP"/>
              </w:rPr>
              <w:t xml:space="preserve"> </w:t>
            </w:r>
            <w:r w:rsidRPr="00FB2F3D">
              <w:rPr>
                <w:rFonts w:ascii="Arial" w:hAnsi="Arial" w:cs="Arial"/>
                <w:sz w:val="22"/>
                <w:szCs w:val="22"/>
              </w:rPr>
              <w:t>Shareholders;</w:t>
            </w:r>
          </w:p>
          <w:p w14:paraId="75F65B1D" w14:textId="77777777" w:rsidR="00567333" w:rsidRPr="00FB2F3D" w:rsidRDefault="00567333" w:rsidP="00755725">
            <w:pPr>
              <w:pStyle w:val="UK12Block"/>
              <w:numPr>
                <w:ilvl w:val="3"/>
                <w:numId w:val="59"/>
              </w:numPr>
              <w:rPr>
                <w:rFonts w:ascii="Arial" w:hAnsi="Arial" w:cs="Arial"/>
                <w:sz w:val="22"/>
                <w:szCs w:val="22"/>
                <w:lang w:eastAsia="ja-JP"/>
              </w:rPr>
            </w:pPr>
            <w:r w:rsidRPr="00FB2F3D">
              <w:rPr>
                <w:rFonts w:ascii="Arial" w:hAnsi="Arial" w:cs="Arial"/>
                <w:sz w:val="22"/>
                <w:szCs w:val="22"/>
              </w:rPr>
              <w:t>if the transaction was not concluded in the ordinary</w:t>
            </w:r>
            <w:r w:rsidRPr="00FB2F3D">
              <w:rPr>
                <w:rFonts w:ascii="Arial" w:hAnsi="Arial" w:cs="Arial"/>
                <w:sz w:val="22"/>
                <w:szCs w:val="22"/>
                <w:lang w:eastAsia="ja-JP"/>
              </w:rPr>
              <w:t xml:space="preserve"> </w:t>
            </w:r>
            <w:r w:rsidRPr="00FB2F3D">
              <w:rPr>
                <w:rFonts w:ascii="Arial" w:hAnsi="Arial" w:cs="Arial"/>
                <w:sz w:val="22"/>
                <w:szCs w:val="22"/>
              </w:rPr>
              <w:t>course of business and on normal commercial terms no less favourable than that of an arm's length transaction with an unrelated party, an explanation of why the transaction was not concluded on such terms; and</w:t>
            </w:r>
          </w:p>
          <w:p w14:paraId="071267BB" w14:textId="77777777" w:rsidR="00567333" w:rsidRPr="00FB2F3D" w:rsidRDefault="00567333" w:rsidP="00755725">
            <w:pPr>
              <w:pStyle w:val="UK12Block"/>
              <w:numPr>
                <w:ilvl w:val="3"/>
                <w:numId w:val="59"/>
              </w:numPr>
              <w:rPr>
                <w:rFonts w:ascii="Arial" w:hAnsi="Arial" w:cs="Arial"/>
                <w:sz w:val="22"/>
                <w:szCs w:val="22"/>
                <w:lang w:eastAsia="ja-JP"/>
              </w:rPr>
            </w:pPr>
            <w:r w:rsidRPr="00FB2F3D">
              <w:rPr>
                <w:rFonts w:ascii="Arial" w:hAnsi="Arial" w:cs="Arial"/>
                <w:sz w:val="22"/>
                <w:szCs w:val="22"/>
              </w:rPr>
              <w:t>any future transactions involving the same or new Related Parties.</w:t>
            </w:r>
          </w:p>
        </w:tc>
        <w:tc>
          <w:tcPr>
            <w:tcW w:w="126" w:type="pct"/>
          </w:tcPr>
          <w:p w14:paraId="68223365"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c>
          <w:tcPr>
            <w:tcW w:w="219" w:type="pct"/>
          </w:tcPr>
          <w:p w14:paraId="031A87F5"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c>
          <w:tcPr>
            <w:tcW w:w="125" w:type="pct"/>
          </w:tcPr>
          <w:p w14:paraId="2BDE6273" w14:textId="77777777" w:rsidR="00567333" w:rsidRPr="00FB2F3D" w:rsidRDefault="00567333" w:rsidP="00567333">
            <w:pPr>
              <w:pStyle w:val="UK12Block"/>
              <w:rPr>
                <w:rFonts w:ascii="Arial" w:hAnsi="Arial" w:cs="Arial"/>
                <w:sz w:val="22"/>
                <w:szCs w:val="22"/>
                <w:lang w:eastAsia="ja-JP"/>
              </w:rPr>
            </w:pPr>
          </w:p>
        </w:tc>
        <w:tc>
          <w:tcPr>
            <w:tcW w:w="249" w:type="pct"/>
          </w:tcPr>
          <w:p w14:paraId="0D73A236" w14:textId="77777777" w:rsidR="00567333" w:rsidRPr="00FB2F3D" w:rsidRDefault="00567333" w:rsidP="00567333">
            <w:pPr>
              <w:pStyle w:val="UK12Block"/>
              <w:rPr>
                <w:rFonts w:ascii="Arial" w:hAnsi="Arial" w:cs="Arial"/>
                <w:sz w:val="22"/>
                <w:szCs w:val="22"/>
                <w:lang w:eastAsia="ja-JP"/>
              </w:rPr>
            </w:pPr>
          </w:p>
        </w:tc>
        <w:tc>
          <w:tcPr>
            <w:tcW w:w="222" w:type="pct"/>
          </w:tcPr>
          <w:p w14:paraId="2822A039" w14:textId="77777777" w:rsidR="00567333" w:rsidRPr="00FB2F3D" w:rsidRDefault="00567333" w:rsidP="00567333">
            <w:pPr>
              <w:pStyle w:val="UK12Block"/>
              <w:rPr>
                <w:rFonts w:ascii="Arial" w:hAnsi="Arial" w:cs="Arial"/>
                <w:sz w:val="22"/>
                <w:szCs w:val="22"/>
                <w:lang w:eastAsia="ja-JP"/>
              </w:rPr>
            </w:pPr>
            <w:r w:rsidRPr="00FB2F3D">
              <w:rPr>
                <w:rFonts w:ascii="Arial" w:eastAsia="Wingdings" w:hAnsi="Arial" w:cs="Arial"/>
                <w:sz w:val="22"/>
                <w:szCs w:val="22"/>
              </w:rPr>
              <w:sym w:font="Wingdings" w:char="F0FC"/>
            </w:r>
          </w:p>
        </w:tc>
        <w:tc>
          <w:tcPr>
            <w:tcW w:w="218" w:type="pct"/>
          </w:tcPr>
          <w:p w14:paraId="536983CC" w14:textId="77777777" w:rsidR="00567333" w:rsidRPr="00FB2F3D" w:rsidRDefault="00567333" w:rsidP="00567333">
            <w:pPr>
              <w:pStyle w:val="UK12Block"/>
              <w:rPr>
                <w:rFonts w:ascii="Arial" w:hAnsi="Arial" w:cs="Arial"/>
                <w:sz w:val="22"/>
                <w:szCs w:val="22"/>
                <w:lang w:eastAsia="ja-JP"/>
              </w:rPr>
            </w:pPr>
          </w:p>
        </w:tc>
        <w:tc>
          <w:tcPr>
            <w:tcW w:w="192" w:type="pct"/>
          </w:tcPr>
          <w:p w14:paraId="11F201D4" w14:textId="77777777" w:rsidR="00567333" w:rsidRPr="00FB2F3D" w:rsidRDefault="00567333" w:rsidP="00567333">
            <w:pPr>
              <w:pStyle w:val="UK12Block"/>
              <w:rPr>
                <w:rFonts w:ascii="Arial" w:hAnsi="Arial" w:cs="Arial"/>
                <w:sz w:val="22"/>
                <w:szCs w:val="22"/>
                <w:lang w:eastAsia="ja-JP"/>
              </w:rPr>
            </w:pPr>
          </w:p>
        </w:tc>
      </w:tr>
      <w:tr w:rsidR="00567333" w:rsidRPr="00FB2F3D" w14:paraId="5F2D077B" w14:textId="77777777" w:rsidTr="00336A6A">
        <w:tblPrEx>
          <w:tblLook w:val="0480" w:firstRow="0" w:lastRow="0" w:firstColumn="1" w:lastColumn="0" w:noHBand="0" w:noVBand="1"/>
        </w:tblPrEx>
        <w:tc>
          <w:tcPr>
            <w:tcW w:w="300" w:type="pct"/>
          </w:tcPr>
          <w:p w14:paraId="1533104F" w14:textId="77777777" w:rsidR="00567333" w:rsidRPr="00FB2F3D" w:rsidRDefault="00567333" w:rsidP="00755725">
            <w:pPr>
              <w:pStyle w:val="UK12Block"/>
              <w:numPr>
                <w:ilvl w:val="1"/>
                <w:numId w:val="59"/>
              </w:numPr>
              <w:rPr>
                <w:rFonts w:ascii="Arial" w:hAnsi="Arial" w:cs="Arial"/>
                <w:b/>
                <w:sz w:val="22"/>
                <w:szCs w:val="22"/>
              </w:rPr>
            </w:pPr>
          </w:p>
        </w:tc>
        <w:tc>
          <w:tcPr>
            <w:tcW w:w="3344" w:type="pct"/>
          </w:tcPr>
          <w:p w14:paraId="63056F4E" w14:textId="77777777" w:rsidR="00567333" w:rsidRPr="00FB2F3D" w:rsidRDefault="00567333" w:rsidP="00567333">
            <w:pPr>
              <w:pStyle w:val="UK12Block"/>
              <w:rPr>
                <w:rFonts w:ascii="Arial" w:hAnsi="Arial" w:cs="Arial"/>
                <w:b/>
                <w:sz w:val="22"/>
                <w:szCs w:val="22"/>
                <w:lang w:eastAsia="ja-JP"/>
              </w:rPr>
            </w:pPr>
            <w:r w:rsidRPr="00FB2F3D">
              <w:rPr>
                <w:rFonts w:ascii="Arial" w:hAnsi="Arial" w:cs="Arial"/>
                <w:b/>
                <w:sz w:val="22"/>
                <w:szCs w:val="22"/>
              </w:rPr>
              <w:t>Research and development</w:t>
            </w:r>
          </w:p>
          <w:p w14:paraId="628BDD8C" w14:textId="77777777" w:rsidR="00567333" w:rsidRPr="00FB2F3D" w:rsidRDefault="00567333" w:rsidP="00567333">
            <w:pPr>
              <w:pStyle w:val="UK12Block"/>
              <w:rPr>
                <w:rFonts w:ascii="Arial" w:hAnsi="Arial" w:cs="Arial"/>
                <w:sz w:val="22"/>
                <w:szCs w:val="22"/>
              </w:rPr>
            </w:pPr>
            <w:r w:rsidRPr="00FB2F3D">
              <w:rPr>
                <w:rFonts w:ascii="Arial" w:hAnsi="Arial" w:cs="Arial"/>
                <w:sz w:val="22"/>
                <w:szCs w:val="22"/>
              </w:rPr>
              <w:lastRenderedPageBreak/>
              <w:t>Where material, a description of the Issuer's research and development policies for each financial year for the period covered by the historical financial information, including the amount spent on Issuer</w:t>
            </w:r>
            <w:r w:rsidRPr="00FB2F3D">
              <w:rPr>
                <w:rFonts w:ascii="Arial" w:hAnsi="Arial" w:cs="Arial"/>
                <w:sz w:val="22"/>
                <w:szCs w:val="22"/>
              </w:rPr>
              <w:noBreakHyphen/>
              <w:t>sponsored research and development activities.</w:t>
            </w:r>
          </w:p>
        </w:tc>
        <w:tc>
          <w:tcPr>
            <w:tcW w:w="126" w:type="pct"/>
          </w:tcPr>
          <w:p w14:paraId="2ABF3860"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lastRenderedPageBreak/>
              <w:sym w:font="Wingdings" w:char="F0FC"/>
            </w:r>
          </w:p>
        </w:tc>
        <w:tc>
          <w:tcPr>
            <w:tcW w:w="219" w:type="pct"/>
          </w:tcPr>
          <w:p w14:paraId="04E27FAA"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0048467F" w14:textId="77777777" w:rsidR="00567333" w:rsidRPr="00FB2F3D" w:rsidRDefault="00567333" w:rsidP="00567333">
            <w:pPr>
              <w:pStyle w:val="UK12Block"/>
              <w:rPr>
                <w:rFonts w:ascii="Arial" w:hAnsi="Arial" w:cs="Arial"/>
                <w:sz w:val="22"/>
                <w:szCs w:val="22"/>
              </w:rPr>
            </w:pPr>
          </w:p>
        </w:tc>
        <w:tc>
          <w:tcPr>
            <w:tcW w:w="249" w:type="pct"/>
          </w:tcPr>
          <w:p w14:paraId="6FC53047" w14:textId="77777777" w:rsidR="00567333" w:rsidRPr="00FB2F3D" w:rsidRDefault="00567333" w:rsidP="00567333">
            <w:pPr>
              <w:pStyle w:val="UK12Block"/>
              <w:rPr>
                <w:rFonts w:ascii="Arial" w:hAnsi="Arial" w:cs="Arial"/>
                <w:sz w:val="22"/>
                <w:szCs w:val="22"/>
              </w:rPr>
            </w:pPr>
          </w:p>
        </w:tc>
        <w:tc>
          <w:tcPr>
            <w:tcW w:w="222" w:type="pct"/>
          </w:tcPr>
          <w:p w14:paraId="7ADA1232"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8" w:type="pct"/>
          </w:tcPr>
          <w:p w14:paraId="1AF900E0" w14:textId="77777777" w:rsidR="00567333" w:rsidRPr="00FB2F3D" w:rsidRDefault="00567333" w:rsidP="00567333">
            <w:pPr>
              <w:pStyle w:val="UK12Block"/>
              <w:rPr>
                <w:rFonts w:ascii="Arial" w:hAnsi="Arial" w:cs="Arial"/>
                <w:sz w:val="22"/>
                <w:szCs w:val="22"/>
              </w:rPr>
            </w:pPr>
          </w:p>
        </w:tc>
        <w:tc>
          <w:tcPr>
            <w:tcW w:w="192" w:type="pct"/>
          </w:tcPr>
          <w:p w14:paraId="5DA35CD4"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43716ABA" w14:textId="77777777" w:rsidTr="00336A6A">
        <w:tblPrEx>
          <w:tblLook w:val="0480" w:firstRow="0" w:lastRow="0" w:firstColumn="1" w:lastColumn="0" w:noHBand="0" w:noVBand="1"/>
        </w:tblPrEx>
        <w:tc>
          <w:tcPr>
            <w:tcW w:w="300" w:type="pct"/>
          </w:tcPr>
          <w:p w14:paraId="5D84EB0C" w14:textId="77777777" w:rsidR="00567333" w:rsidRPr="00FB2F3D" w:rsidRDefault="00567333" w:rsidP="00755725">
            <w:pPr>
              <w:pStyle w:val="UK12Block"/>
              <w:numPr>
                <w:ilvl w:val="1"/>
                <w:numId w:val="59"/>
              </w:numPr>
              <w:rPr>
                <w:rFonts w:ascii="Arial" w:hAnsi="Arial" w:cs="Arial"/>
                <w:sz w:val="22"/>
                <w:szCs w:val="22"/>
              </w:rPr>
            </w:pPr>
          </w:p>
        </w:tc>
        <w:tc>
          <w:tcPr>
            <w:tcW w:w="3344" w:type="pct"/>
          </w:tcPr>
          <w:p w14:paraId="4F3A24BE"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Legal and other</w:t>
            </w:r>
            <w:r w:rsidRPr="00FB2F3D">
              <w:rPr>
                <w:rFonts w:ascii="Arial" w:hAnsi="Arial" w:cs="Arial"/>
                <w:b/>
                <w:sz w:val="22"/>
                <w:szCs w:val="22"/>
                <w:lang w:eastAsia="ja-JP"/>
              </w:rPr>
              <w:t xml:space="preserve"> </w:t>
            </w:r>
            <w:r w:rsidRPr="00FB2F3D">
              <w:rPr>
                <w:rFonts w:ascii="Arial" w:hAnsi="Arial" w:cs="Arial"/>
                <w:b/>
                <w:sz w:val="22"/>
                <w:szCs w:val="22"/>
              </w:rPr>
              <w:t>proceedings against the Issuer</w:t>
            </w:r>
          </w:p>
          <w:p w14:paraId="04A070C2" w14:textId="77777777" w:rsidR="00567333" w:rsidRPr="00FB2F3D" w:rsidRDefault="00567333" w:rsidP="00567333">
            <w:pPr>
              <w:pStyle w:val="UK12Block"/>
              <w:rPr>
                <w:rFonts w:ascii="Arial" w:hAnsi="Arial" w:cs="Arial"/>
                <w:sz w:val="22"/>
                <w:szCs w:val="22"/>
              </w:rPr>
            </w:pPr>
            <w:r w:rsidRPr="00FB2F3D">
              <w:rPr>
                <w:rFonts w:ascii="Arial" w:hAnsi="Arial" w:cs="Arial"/>
                <w:sz w:val="22"/>
                <w:szCs w:val="22"/>
              </w:rPr>
              <w:t>Information on any current or prior governmental, legal or arbitration proceedings or disputes (including any such proceedings which are pending or threatened of which the Issuer is aware), which may have, or have had, covering at least the previous</w:t>
            </w:r>
            <w:r w:rsidRPr="00FB2F3D">
              <w:rPr>
                <w:rFonts w:ascii="Arial" w:hAnsi="Arial" w:cs="Arial"/>
                <w:sz w:val="22"/>
                <w:szCs w:val="22"/>
                <w:lang w:eastAsia="ja-JP"/>
              </w:rPr>
              <w:t xml:space="preserve"> </w:t>
            </w:r>
            <w:r w:rsidRPr="00FB2F3D">
              <w:rPr>
                <w:rFonts w:ascii="Arial" w:hAnsi="Arial" w:cs="Arial"/>
                <w:sz w:val="22"/>
                <w:szCs w:val="22"/>
              </w:rPr>
              <w:t>12 months significant</w:t>
            </w:r>
            <w:r w:rsidRPr="00FB2F3D">
              <w:rPr>
                <w:rFonts w:ascii="Arial" w:hAnsi="Arial" w:cs="Arial"/>
                <w:sz w:val="22"/>
                <w:szCs w:val="22"/>
                <w:lang w:eastAsia="ja-JP"/>
              </w:rPr>
              <w:t xml:space="preserve"> </w:t>
            </w:r>
            <w:r w:rsidRPr="00FB2F3D">
              <w:rPr>
                <w:rFonts w:ascii="Arial" w:hAnsi="Arial" w:cs="Arial"/>
                <w:sz w:val="22"/>
                <w:szCs w:val="22"/>
              </w:rPr>
              <w:t>impact on the Issuer and/or its Group's financial position or profitability, or if there were no such actions, a statement to that effect.</w:t>
            </w:r>
          </w:p>
        </w:tc>
        <w:tc>
          <w:tcPr>
            <w:tcW w:w="126" w:type="pct"/>
          </w:tcPr>
          <w:p w14:paraId="1A126CE3"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4FE812F6"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152C40AF"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49" w:type="pct"/>
          </w:tcPr>
          <w:p w14:paraId="5DBA40D4"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2" w:type="pct"/>
          </w:tcPr>
          <w:p w14:paraId="4D55FB41"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8" w:type="pct"/>
          </w:tcPr>
          <w:p w14:paraId="7694B837"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2" w:type="pct"/>
          </w:tcPr>
          <w:p w14:paraId="426BFA62"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1C13223D" w14:textId="77777777" w:rsidTr="00336A6A">
        <w:tblPrEx>
          <w:tblLook w:val="0480" w:firstRow="0" w:lastRow="0" w:firstColumn="1" w:lastColumn="0" w:noHBand="0" w:noVBand="1"/>
        </w:tblPrEx>
        <w:trPr>
          <w:cantSplit/>
        </w:trPr>
        <w:tc>
          <w:tcPr>
            <w:tcW w:w="300" w:type="pct"/>
          </w:tcPr>
          <w:p w14:paraId="71183556" w14:textId="77777777" w:rsidR="00567333" w:rsidRPr="00FB2F3D" w:rsidRDefault="00567333" w:rsidP="00755725">
            <w:pPr>
              <w:pStyle w:val="UK12Block"/>
              <w:numPr>
                <w:ilvl w:val="1"/>
                <w:numId w:val="59"/>
              </w:numPr>
              <w:rPr>
                <w:rFonts w:ascii="Arial" w:hAnsi="Arial" w:cs="Arial"/>
                <w:b/>
                <w:sz w:val="22"/>
                <w:szCs w:val="22"/>
              </w:rPr>
            </w:pPr>
          </w:p>
        </w:tc>
        <w:tc>
          <w:tcPr>
            <w:tcW w:w="3344" w:type="pct"/>
          </w:tcPr>
          <w:p w14:paraId="48C3274B"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Other significant matters</w:t>
            </w:r>
          </w:p>
          <w:p w14:paraId="01C73640"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An explanation of any significant matter that investors would reasonably require in relation to the Issuer and the Issuer's jurisdiction, provided in</w:t>
            </w:r>
            <w:r w:rsidRPr="00FB2F3D">
              <w:rPr>
                <w:rFonts w:ascii="Arial" w:hAnsi="Arial" w:cs="Arial"/>
                <w:sz w:val="22"/>
                <w:szCs w:val="22"/>
                <w:lang w:eastAsia="ja-JP"/>
              </w:rPr>
              <w:t xml:space="preserve"> </w:t>
            </w:r>
            <w:r w:rsidRPr="00FB2F3D">
              <w:rPr>
                <w:rFonts w:ascii="Arial" w:hAnsi="Arial" w:cs="Arial"/>
                <w:sz w:val="22"/>
                <w:szCs w:val="22"/>
              </w:rPr>
              <w:t>a manner which gives appropriate prominence depe</w:t>
            </w:r>
            <w:r w:rsidRPr="00FB2F3D">
              <w:rPr>
                <w:rFonts w:ascii="Arial" w:hAnsi="Arial" w:cs="Arial"/>
                <w:sz w:val="22"/>
                <w:szCs w:val="22"/>
                <w:lang w:eastAsia="ja-JP"/>
              </w:rPr>
              <w:t>n</w:t>
            </w:r>
            <w:r w:rsidRPr="00FB2F3D">
              <w:rPr>
                <w:rFonts w:ascii="Arial" w:hAnsi="Arial" w:cs="Arial"/>
                <w:sz w:val="22"/>
                <w:szCs w:val="22"/>
              </w:rPr>
              <w:t>ding on the nature of the matter concerned and its significance.</w:t>
            </w:r>
          </w:p>
          <w:p w14:paraId="5278EC19"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If the Security is a Certificate, any information of the kind referred to in (a) relating to the Issuer of the underlying Securities.</w:t>
            </w:r>
          </w:p>
        </w:tc>
        <w:tc>
          <w:tcPr>
            <w:tcW w:w="126" w:type="pct"/>
          </w:tcPr>
          <w:p w14:paraId="0406536E"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01BB4D00"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0985A8A8"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49" w:type="pct"/>
          </w:tcPr>
          <w:p w14:paraId="67A3FC97"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2" w:type="pct"/>
          </w:tcPr>
          <w:p w14:paraId="191E093C"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8" w:type="pct"/>
          </w:tcPr>
          <w:p w14:paraId="30550BEE"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2" w:type="pct"/>
          </w:tcPr>
          <w:p w14:paraId="49B767BA"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7067BF49" w14:textId="77777777" w:rsidTr="00336A6A">
        <w:tblPrEx>
          <w:tblLook w:val="0480" w:firstRow="0" w:lastRow="0" w:firstColumn="1" w:lastColumn="0" w:noHBand="0" w:noVBand="1"/>
        </w:tblPrEx>
        <w:tc>
          <w:tcPr>
            <w:tcW w:w="300" w:type="pct"/>
          </w:tcPr>
          <w:p w14:paraId="25154592" w14:textId="77777777" w:rsidR="00567333" w:rsidRPr="00FB2F3D" w:rsidRDefault="00567333" w:rsidP="00755725">
            <w:pPr>
              <w:pStyle w:val="UK12Block"/>
              <w:numPr>
                <w:ilvl w:val="1"/>
                <w:numId w:val="59"/>
              </w:numPr>
              <w:rPr>
                <w:rFonts w:ascii="Arial" w:hAnsi="Arial" w:cs="Arial"/>
                <w:b/>
                <w:sz w:val="22"/>
                <w:szCs w:val="22"/>
              </w:rPr>
            </w:pPr>
          </w:p>
        </w:tc>
        <w:tc>
          <w:tcPr>
            <w:tcW w:w="3344" w:type="pct"/>
          </w:tcPr>
          <w:p w14:paraId="3C1AA97D"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Concurrent Offers by Directors of the Issuer</w:t>
            </w:r>
          </w:p>
          <w:p w14:paraId="65E4E3C5"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If one or more members of the</w:t>
            </w:r>
            <w:r w:rsidRPr="00FB2F3D">
              <w:rPr>
                <w:rFonts w:ascii="Arial" w:hAnsi="Arial" w:cs="Arial"/>
                <w:sz w:val="22"/>
                <w:szCs w:val="22"/>
                <w:lang w:eastAsia="ja-JP"/>
              </w:rPr>
              <w:t xml:space="preserve"> </w:t>
            </w:r>
            <w:r w:rsidRPr="00FB2F3D">
              <w:rPr>
                <w:rFonts w:ascii="Arial" w:hAnsi="Arial" w:cs="Arial"/>
                <w:sz w:val="22"/>
                <w:szCs w:val="22"/>
              </w:rPr>
              <w:t>Board of Directors of the Issuer are offering their Shares under the same Prospectus:</w:t>
            </w:r>
          </w:p>
          <w:p w14:paraId="1902E1B9" w14:textId="77777777" w:rsidR="00567333" w:rsidRPr="00FB2F3D" w:rsidRDefault="00567333" w:rsidP="00755725">
            <w:pPr>
              <w:pStyle w:val="UK12Block05"/>
              <w:numPr>
                <w:ilvl w:val="3"/>
                <w:numId w:val="59"/>
              </w:numPr>
              <w:rPr>
                <w:rFonts w:ascii="Arial" w:hAnsi="Arial" w:cs="Arial"/>
                <w:sz w:val="22"/>
                <w:szCs w:val="22"/>
                <w:lang w:eastAsia="ja-JP"/>
              </w:rPr>
            </w:pPr>
            <w:r w:rsidRPr="00FB2F3D">
              <w:rPr>
                <w:rFonts w:ascii="Arial" w:hAnsi="Arial" w:cs="Arial"/>
                <w:sz w:val="22"/>
                <w:szCs w:val="22"/>
              </w:rPr>
              <w:t>the identity of each member making such Offers;</w:t>
            </w:r>
          </w:p>
          <w:p w14:paraId="1E9A31ED" w14:textId="77777777" w:rsidR="00567333" w:rsidRPr="00FB2F3D" w:rsidRDefault="00567333" w:rsidP="00755725">
            <w:pPr>
              <w:pStyle w:val="UK12Block05"/>
              <w:numPr>
                <w:ilvl w:val="3"/>
                <w:numId w:val="59"/>
              </w:numPr>
              <w:rPr>
                <w:rFonts w:ascii="Arial" w:hAnsi="Arial" w:cs="Arial"/>
                <w:sz w:val="22"/>
                <w:szCs w:val="22"/>
              </w:rPr>
            </w:pPr>
            <w:r w:rsidRPr="00FB2F3D">
              <w:rPr>
                <w:rFonts w:ascii="Arial" w:hAnsi="Arial" w:cs="Arial"/>
                <w:sz w:val="22"/>
                <w:szCs w:val="22"/>
              </w:rPr>
              <w:t>the number of Shares each such Person is offering; and</w:t>
            </w:r>
          </w:p>
          <w:p w14:paraId="1C7A2206" w14:textId="77777777" w:rsidR="00567333" w:rsidRPr="00FB2F3D" w:rsidRDefault="00567333" w:rsidP="00755725">
            <w:pPr>
              <w:pStyle w:val="UK12Block05"/>
              <w:numPr>
                <w:ilvl w:val="3"/>
                <w:numId w:val="59"/>
              </w:numPr>
              <w:rPr>
                <w:rFonts w:ascii="Arial" w:hAnsi="Arial" w:cs="Arial"/>
                <w:sz w:val="22"/>
                <w:szCs w:val="22"/>
              </w:rPr>
            </w:pPr>
            <w:r w:rsidRPr="00FB2F3D">
              <w:rPr>
                <w:rFonts w:ascii="Arial" w:hAnsi="Arial" w:cs="Arial"/>
                <w:sz w:val="22"/>
                <w:szCs w:val="22"/>
              </w:rPr>
              <w:t>the proportion of the holding of the member that those Shares represent.</w:t>
            </w:r>
          </w:p>
          <w:p w14:paraId="1477FA41"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 xml:space="preserve">If no member of the Board is offering his Shares, a statement to that effect. </w:t>
            </w:r>
          </w:p>
        </w:tc>
        <w:tc>
          <w:tcPr>
            <w:tcW w:w="126" w:type="pct"/>
          </w:tcPr>
          <w:p w14:paraId="59C83A52"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71724A28"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4893CFBA"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49" w:type="pct"/>
          </w:tcPr>
          <w:p w14:paraId="6994DB53"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2" w:type="pct"/>
          </w:tcPr>
          <w:p w14:paraId="0EAEE74E"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8" w:type="pct"/>
          </w:tcPr>
          <w:p w14:paraId="66EC613E"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2" w:type="pct"/>
          </w:tcPr>
          <w:p w14:paraId="155B736C"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605244" w:rsidRPr="00FB2F3D" w14:paraId="7DA694B2" w14:textId="77777777" w:rsidTr="00336A6A">
        <w:tblPrEx>
          <w:tblLook w:val="0480" w:firstRow="0" w:lastRow="0" w:firstColumn="1" w:lastColumn="0" w:noHBand="0" w:noVBand="1"/>
        </w:tblPrEx>
        <w:tc>
          <w:tcPr>
            <w:tcW w:w="300" w:type="pct"/>
          </w:tcPr>
          <w:p w14:paraId="6770B758" w14:textId="77777777" w:rsidR="00605244" w:rsidRPr="00FB2F3D" w:rsidRDefault="00605244" w:rsidP="00755725">
            <w:pPr>
              <w:pStyle w:val="UK12Block"/>
              <w:numPr>
                <w:ilvl w:val="1"/>
                <w:numId w:val="59"/>
              </w:numPr>
              <w:rPr>
                <w:rFonts w:ascii="Arial" w:hAnsi="Arial" w:cs="Arial"/>
                <w:b/>
                <w:sz w:val="22"/>
                <w:szCs w:val="22"/>
              </w:rPr>
            </w:pPr>
          </w:p>
        </w:tc>
        <w:tc>
          <w:tcPr>
            <w:tcW w:w="3344" w:type="pct"/>
          </w:tcPr>
          <w:p w14:paraId="6EA20FD2" w14:textId="77777777" w:rsidR="00605244" w:rsidRPr="00605244" w:rsidRDefault="00605244" w:rsidP="00605244">
            <w:pPr>
              <w:pStyle w:val="UK12Block"/>
              <w:rPr>
                <w:rFonts w:ascii="Arial" w:hAnsi="Arial" w:cs="Arial"/>
                <w:b/>
                <w:sz w:val="22"/>
                <w:szCs w:val="22"/>
              </w:rPr>
            </w:pPr>
            <w:r w:rsidRPr="00605244">
              <w:rPr>
                <w:rFonts w:ascii="Arial" w:hAnsi="Arial" w:cs="Arial"/>
                <w:b/>
                <w:sz w:val="22"/>
                <w:szCs w:val="22"/>
              </w:rPr>
              <w:t>Sustainability / Environmental, Social and Governance (ESG) Risks</w:t>
            </w:r>
          </w:p>
          <w:p w14:paraId="6A369D3B" w14:textId="5A45CC2C" w:rsidR="00605244" w:rsidRPr="00FB2F3D" w:rsidRDefault="00605244" w:rsidP="00605244">
            <w:pPr>
              <w:pStyle w:val="UK12Block"/>
              <w:rPr>
                <w:rFonts w:ascii="Arial" w:hAnsi="Arial" w:cs="Arial"/>
                <w:b/>
                <w:sz w:val="22"/>
                <w:szCs w:val="22"/>
              </w:rPr>
            </w:pPr>
            <w:r w:rsidRPr="00605244">
              <w:rPr>
                <w:rFonts w:ascii="Arial" w:hAnsi="Arial" w:cs="Arial"/>
                <w:sz w:val="22"/>
                <w:szCs w:val="22"/>
              </w:rPr>
              <w:t>A description of the Issuer’s exposure to sustainability / ESG factors.  If the Issuer’s exposure is material, how does the Issuer manage, or intend to manage, such sustainability / ESG risks.</w:t>
            </w:r>
          </w:p>
        </w:tc>
        <w:tc>
          <w:tcPr>
            <w:tcW w:w="126" w:type="pct"/>
          </w:tcPr>
          <w:p w14:paraId="4C3AE0B6" w14:textId="75C25999" w:rsidR="00605244" w:rsidRPr="00FB2F3D" w:rsidRDefault="00605244" w:rsidP="00567333">
            <w:pPr>
              <w:pStyle w:val="UK12Block"/>
              <w:rPr>
                <w:rFonts w:ascii="Arial" w:eastAsia="Wingdings" w:hAnsi="Arial" w:cs="Arial"/>
                <w:sz w:val="22"/>
                <w:szCs w:val="22"/>
              </w:rPr>
            </w:pPr>
            <w:r w:rsidRPr="00FB2F3D">
              <w:rPr>
                <w:rFonts w:ascii="Arial" w:eastAsia="Wingdings" w:hAnsi="Arial" w:cs="Arial"/>
                <w:sz w:val="22"/>
                <w:szCs w:val="22"/>
              </w:rPr>
              <w:sym w:font="Wingdings" w:char="F0FC"/>
            </w:r>
          </w:p>
        </w:tc>
        <w:tc>
          <w:tcPr>
            <w:tcW w:w="219" w:type="pct"/>
          </w:tcPr>
          <w:p w14:paraId="09CB7EC3" w14:textId="77777777" w:rsidR="00605244" w:rsidRPr="00FB2F3D" w:rsidRDefault="00605244" w:rsidP="00567333">
            <w:pPr>
              <w:pStyle w:val="UK12Block"/>
              <w:rPr>
                <w:rFonts w:ascii="Arial" w:eastAsia="Wingdings" w:hAnsi="Arial" w:cs="Arial"/>
                <w:sz w:val="22"/>
                <w:szCs w:val="22"/>
              </w:rPr>
            </w:pPr>
          </w:p>
        </w:tc>
        <w:tc>
          <w:tcPr>
            <w:tcW w:w="125" w:type="pct"/>
          </w:tcPr>
          <w:p w14:paraId="5ECAADBE" w14:textId="77777777" w:rsidR="00605244" w:rsidRPr="00FB2F3D" w:rsidRDefault="00605244" w:rsidP="00567333">
            <w:pPr>
              <w:pStyle w:val="UK12Block"/>
              <w:rPr>
                <w:rFonts w:ascii="Arial" w:eastAsia="Wingdings" w:hAnsi="Arial" w:cs="Arial"/>
                <w:sz w:val="22"/>
                <w:szCs w:val="22"/>
              </w:rPr>
            </w:pPr>
          </w:p>
        </w:tc>
        <w:tc>
          <w:tcPr>
            <w:tcW w:w="249" w:type="pct"/>
          </w:tcPr>
          <w:p w14:paraId="207846FD" w14:textId="77777777" w:rsidR="00605244" w:rsidRPr="00FB2F3D" w:rsidRDefault="00605244" w:rsidP="00567333">
            <w:pPr>
              <w:pStyle w:val="UK12Block"/>
              <w:rPr>
                <w:rFonts w:ascii="Arial" w:eastAsia="Wingdings" w:hAnsi="Arial" w:cs="Arial"/>
                <w:sz w:val="22"/>
                <w:szCs w:val="22"/>
              </w:rPr>
            </w:pPr>
          </w:p>
        </w:tc>
        <w:tc>
          <w:tcPr>
            <w:tcW w:w="222" w:type="pct"/>
          </w:tcPr>
          <w:p w14:paraId="41482024" w14:textId="77777777" w:rsidR="00605244" w:rsidRPr="00FB2F3D" w:rsidRDefault="00605244" w:rsidP="00567333">
            <w:pPr>
              <w:pStyle w:val="UK12Block"/>
              <w:rPr>
                <w:rFonts w:ascii="Arial" w:eastAsia="Wingdings" w:hAnsi="Arial" w:cs="Arial"/>
                <w:sz w:val="22"/>
                <w:szCs w:val="22"/>
              </w:rPr>
            </w:pPr>
          </w:p>
        </w:tc>
        <w:tc>
          <w:tcPr>
            <w:tcW w:w="218" w:type="pct"/>
          </w:tcPr>
          <w:p w14:paraId="0705E2D1" w14:textId="77777777" w:rsidR="00605244" w:rsidRPr="00FB2F3D" w:rsidRDefault="00605244" w:rsidP="00567333">
            <w:pPr>
              <w:pStyle w:val="UK12Block"/>
              <w:rPr>
                <w:rFonts w:ascii="Arial" w:eastAsia="Wingdings" w:hAnsi="Arial" w:cs="Arial"/>
                <w:sz w:val="22"/>
                <w:szCs w:val="22"/>
              </w:rPr>
            </w:pPr>
          </w:p>
        </w:tc>
        <w:tc>
          <w:tcPr>
            <w:tcW w:w="192" w:type="pct"/>
          </w:tcPr>
          <w:p w14:paraId="07DB2852" w14:textId="77777777" w:rsidR="00605244" w:rsidRPr="00FB2F3D" w:rsidRDefault="00605244" w:rsidP="00567333">
            <w:pPr>
              <w:pStyle w:val="UK12Block"/>
              <w:rPr>
                <w:rFonts w:ascii="Arial" w:eastAsia="Wingdings" w:hAnsi="Arial" w:cs="Arial"/>
                <w:sz w:val="22"/>
                <w:szCs w:val="22"/>
              </w:rPr>
            </w:pPr>
          </w:p>
        </w:tc>
      </w:tr>
      <w:tr w:rsidR="00567333" w:rsidRPr="00FB2F3D" w14:paraId="5B854B6F" w14:textId="77777777" w:rsidTr="00336A6A">
        <w:tblPrEx>
          <w:tblLook w:val="0480" w:firstRow="0" w:lastRow="0" w:firstColumn="1" w:lastColumn="0" w:noHBand="0" w:noVBand="1"/>
        </w:tblPrEx>
        <w:tc>
          <w:tcPr>
            <w:tcW w:w="5000" w:type="pct"/>
            <w:gridSpan w:val="9"/>
          </w:tcPr>
          <w:p w14:paraId="5722578B" w14:textId="1DBF98D8" w:rsidR="00567333" w:rsidRPr="00FB2F3D" w:rsidRDefault="00567333" w:rsidP="00755725">
            <w:pPr>
              <w:pStyle w:val="UK12Block"/>
              <w:keepNext/>
              <w:pageBreakBefore/>
              <w:numPr>
                <w:ilvl w:val="0"/>
                <w:numId w:val="59"/>
              </w:numPr>
              <w:spacing w:after="0"/>
              <w:rPr>
                <w:rFonts w:ascii="Arial" w:hAnsi="Arial" w:cs="Arial"/>
                <w:sz w:val="22"/>
                <w:szCs w:val="22"/>
              </w:rPr>
            </w:pPr>
            <w:bookmarkStart w:id="903" w:name="_Ref422757463"/>
            <w:r w:rsidRPr="00FB2F3D">
              <w:rPr>
                <w:rFonts w:ascii="Arial" w:hAnsi="Arial" w:cs="Arial"/>
                <w:b/>
                <w:sz w:val="22"/>
                <w:szCs w:val="22"/>
              </w:rPr>
              <w:lastRenderedPageBreak/>
              <w:t>RESPONSIBILITY FOR THE CONTENT OF PROSPECTUS</w:t>
            </w:r>
            <w:bookmarkEnd w:id="903"/>
            <w:r w:rsidRPr="00FB2F3D">
              <w:rPr>
                <w:rFonts w:ascii="Arial" w:hAnsi="Arial" w:cs="Arial"/>
                <w:b/>
                <w:sz w:val="22"/>
                <w:szCs w:val="22"/>
              </w:rPr>
              <w:t xml:space="preserve"> </w:t>
            </w:r>
          </w:p>
        </w:tc>
      </w:tr>
      <w:tr w:rsidR="00567333" w:rsidRPr="00FB2F3D" w14:paraId="77977767" w14:textId="77777777" w:rsidTr="00336A6A">
        <w:tblPrEx>
          <w:tblLook w:val="0480" w:firstRow="0" w:lastRow="0" w:firstColumn="1" w:lastColumn="0" w:noHBand="0" w:noVBand="1"/>
        </w:tblPrEx>
        <w:tc>
          <w:tcPr>
            <w:tcW w:w="300" w:type="pct"/>
          </w:tcPr>
          <w:p w14:paraId="23ABB64C" w14:textId="77777777" w:rsidR="00567333" w:rsidRPr="00FB2F3D" w:rsidRDefault="00567333" w:rsidP="00755725">
            <w:pPr>
              <w:pStyle w:val="UK12Block"/>
              <w:numPr>
                <w:ilvl w:val="1"/>
                <w:numId w:val="59"/>
              </w:numPr>
              <w:rPr>
                <w:rFonts w:ascii="Arial" w:hAnsi="Arial" w:cs="Arial"/>
                <w:b/>
                <w:sz w:val="22"/>
                <w:szCs w:val="22"/>
              </w:rPr>
            </w:pPr>
          </w:p>
        </w:tc>
        <w:tc>
          <w:tcPr>
            <w:tcW w:w="3344" w:type="pct"/>
            <w:shd w:val="clear" w:color="auto" w:fill="auto"/>
          </w:tcPr>
          <w:p w14:paraId="0D7D3457" w14:textId="77777777" w:rsidR="00567333" w:rsidRPr="00FB2F3D" w:rsidRDefault="00567333" w:rsidP="00567333">
            <w:pPr>
              <w:pStyle w:val="UK12Block"/>
              <w:rPr>
                <w:rFonts w:ascii="Arial" w:hAnsi="Arial" w:cs="Arial"/>
                <w:b/>
                <w:sz w:val="22"/>
                <w:szCs w:val="22"/>
                <w:lang w:eastAsia="ja-JP"/>
              </w:rPr>
            </w:pPr>
            <w:r w:rsidRPr="00FB2F3D">
              <w:rPr>
                <w:rFonts w:ascii="Arial" w:hAnsi="Arial" w:cs="Arial"/>
                <w:b/>
                <w:sz w:val="22"/>
                <w:szCs w:val="22"/>
              </w:rPr>
              <w:t>Responsibility Statement</w:t>
            </w:r>
          </w:p>
          <w:p w14:paraId="174D9FF6" w14:textId="77777777" w:rsidR="00567333" w:rsidRPr="00FB2F3D" w:rsidRDefault="00567333" w:rsidP="00567333">
            <w:pPr>
              <w:pStyle w:val="UK12Block"/>
              <w:rPr>
                <w:rFonts w:ascii="Arial" w:hAnsi="Arial" w:cs="Arial"/>
                <w:sz w:val="22"/>
                <w:szCs w:val="22"/>
                <w:lang w:eastAsia="ja-JP"/>
              </w:rPr>
            </w:pPr>
            <w:r w:rsidRPr="00FB2F3D">
              <w:rPr>
                <w:rFonts w:ascii="Arial" w:hAnsi="Arial" w:cs="Arial"/>
                <w:sz w:val="22"/>
                <w:szCs w:val="22"/>
              </w:rPr>
              <w:t>A Responsibility Statement that:</w:t>
            </w:r>
          </w:p>
          <w:p w14:paraId="17FE563E" w14:textId="77777777" w:rsidR="00567333" w:rsidRPr="00FB2F3D" w:rsidRDefault="00567333" w:rsidP="00755725">
            <w:pPr>
              <w:pStyle w:val="UK12Block"/>
              <w:numPr>
                <w:ilvl w:val="2"/>
                <w:numId w:val="59"/>
              </w:numPr>
              <w:rPr>
                <w:rFonts w:ascii="Arial" w:hAnsi="Arial" w:cs="Arial"/>
                <w:sz w:val="22"/>
                <w:szCs w:val="22"/>
                <w:lang w:eastAsia="ja-JP"/>
              </w:rPr>
            </w:pPr>
            <w:r w:rsidRPr="00FB2F3D">
              <w:rPr>
                <w:rFonts w:ascii="Arial" w:hAnsi="Arial" w:cs="Arial"/>
                <w:sz w:val="22"/>
                <w:szCs w:val="22"/>
              </w:rPr>
              <w:t>the Prospectus complies with the requirements in Part 6 of the FSMR and chapter 4 of these Rules;</w:t>
            </w:r>
          </w:p>
          <w:p w14:paraId="133F5301" w14:textId="77777777" w:rsidR="00567333" w:rsidRPr="00FB2F3D" w:rsidRDefault="00567333" w:rsidP="00755725">
            <w:pPr>
              <w:pStyle w:val="UK12Block"/>
              <w:numPr>
                <w:ilvl w:val="2"/>
                <w:numId w:val="59"/>
              </w:numPr>
              <w:rPr>
                <w:rFonts w:ascii="Arial" w:hAnsi="Arial" w:cs="Arial"/>
                <w:sz w:val="22"/>
                <w:szCs w:val="22"/>
                <w:lang w:eastAsia="ja-JP"/>
              </w:rPr>
            </w:pPr>
            <w:r w:rsidRPr="00FB2F3D">
              <w:rPr>
                <w:rFonts w:ascii="Arial" w:hAnsi="Arial" w:cs="Arial"/>
                <w:sz w:val="22"/>
                <w:szCs w:val="22"/>
              </w:rPr>
              <w:t>sets out</w:t>
            </w:r>
            <w:r w:rsidRPr="00FB2F3D">
              <w:rPr>
                <w:rFonts w:ascii="Arial" w:hAnsi="Arial" w:cs="Arial"/>
                <w:sz w:val="22"/>
                <w:szCs w:val="22"/>
                <w:lang w:eastAsia="ja-JP"/>
              </w:rPr>
              <w:t xml:space="preserve"> </w:t>
            </w:r>
            <w:r w:rsidRPr="00FB2F3D">
              <w:rPr>
                <w:rFonts w:ascii="Arial" w:hAnsi="Arial" w:cs="Arial"/>
                <w:sz w:val="22"/>
                <w:szCs w:val="22"/>
              </w:rPr>
              <w:t>the details of the Persons responsible for the Prospectus pursuant to Rule 4.10, and in particular:</w:t>
            </w:r>
          </w:p>
          <w:p w14:paraId="7F6015F7" w14:textId="55BF7466" w:rsidR="00567333" w:rsidRPr="00FB2F3D" w:rsidRDefault="00567333" w:rsidP="00755725">
            <w:pPr>
              <w:pStyle w:val="UK12Block05"/>
              <w:numPr>
                <w:ilvl w:val="3"/>
                <w:numId w:val="63"/>
              </w:numPr>
              <w:rPr>
                <w:rFonts w:ascii="Arial" w:hAnsi="Arial" w:cs="Arial"/>
                <w:sz w:val="22"/>
                <w:szCs w:val="22"/>
                <w:lang w:eastAsia="ja-JP"/>
              </w:rPr>
            </w:pPr>
            <w:r w:rsidRPr="00FB2F3D">
              <w:rPr>
                <w:rFonts w:ascii="Arial" w:hAnsi="Arial" w:cs="Arial"/>
                <w:sz w:val="22"/>
                <w:szCs w:val="22"/>
              </w:rPr>
              <w:t xml:space="preserve">where a Person responsible is a </w:t>
            </w:r>
            <w:r w:rsidR="00336A6A">
              <w:rPr>
                <w:rFonts w:ascii="Arial" w:hAnsi="Arial" w:cs="Arial"/>
                <w:sz w:val="22"/>
                <w:szCs w:val="22"/>
              </w:rPr>
              <w:t>N</w:t>
            </w:r>
            <w:r w:rsidRPr="00FB2F3D">
              <w:rPr>
                <w:rFonts w:ascii="Arial" w:hAnsi="Arial" w:cs="Arial"/>
                <w:sz w:val="22"/>
                <w:szCs w:val="22"/>
              </w:rPr>
              <w:t xml:space="preserve">atural </w:t>
            </w:r>
            <w:r w:rsidR="00336A6A">
              <w:rPr>
                <w:rFonts w:ascii="Arial" w:hAnsi="Arial" w:cs="Arial"/>
                <w:sz w:val="22"/>
                <w:szCs w:val="22"/>
              </w:rPr>
              <w:t>P</w:t>
            </w:r>
            <w:r w:rsidRPr="00FB2F3D">
              <w:rPr>
                <w:rFonts w:ascii="Arial" w:hAnsi="Arial" w:cs="Arial"/>
                <w:sz w:val="22"/>
                <w:szCs w:val="22"/>
              </w:rPr>
              <w:t>erson, indicates the name</w:t>
            </w:r>
            <w:r w:rsidRPr="00FB2F3D">
              <w:rPr>
                <w:rFonts w:ascii="Arial" w:hAnsi="Arial" w:cs="Arial"/>
                <w:sz w:val="22"/>
                <w:szCs w:val="22"/>
                <w:lang w:eastAsia="ja-JP"/>
              </w:rPr>
              <w:t xml:space="preserve"> </w:t>
            </w:r>
            <w:r w:rsidRPr="00FB2F3D">
              <w:rPr>
                <w:rFonts w:ascii="Arial" w:hAnsi="Arial" w:cs="Arial"/>
                <w:sz w:val="22"/>
                <w:szCs w:val="22"/>
              </w:rPr>
              <w:t>and function of that Person; and</w:t>
            </w:r>
          </w:p>
          <w:p w14:paraId="2437A54F" w14:textId="77777777" w:rsidR="00567333" w:rsidRPr="00FB2F3D" w:rsidRDefault="00567333" w:rsidP="00755725">
            <w:pPr>
              <w:pStyle w:val="UK12Block05"/>
              <w:numPr>
                <w:ilvl w:val="3"/>
                <w:numId w:val="63"/>
              </w:numPr>
              <w:rPr>
                <w:rFonts w:ascii="Arial" w:hAnsi="Arial" w:cs="Arial"/>
                <w:sz w:val="22"/>
                <w:szCs w:val="22"/>
                <w:lang w:eastAsia="ja-JP"/>
              </w:rPr>
            </w:pPr>
            <w:r w:rsidRPr="00FB2F3D">
              <w:rPr>
                <w:rFonts w:ascii="Arial" w:hAnsi="Arial" w:cs="Arial"/>
                <w:sz w:val="22"/>
                <w:szCs w:val="22"/>
              </w:rPr>
              <w:t>where a Person responsible is a Body Corporate or other legal person, indicates the name and registered office of that Person; and</w:t>
            </w:r>
          </w:p>
          <w:p w14:paraId="05CD95DA"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includes a declaration, from each Person responsible for the Prospectus, or for certain parts of it, pursuant to Rule 4.10, that having taken all reasonable care to ensure that such is the case, the information contained in the Prospectus is, to the best of their knowledge, in accordance with the facts and contains no omission likely to affect its import.</w:t>
            </w:r>
          </w:p>
        </w:tc>
        <w:tc>
          <w:tcPr>
            <w:tcW w:w="126" w:type="pct"/>
          </w:tcPr>
          <w:p w14:paraId="3AFA90FB"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3998BD48"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33A253AA"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49" w:type="pct"/>
          </w:tcPr>
          <w:p w14:paraId="757078CC"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2" w:type="pct"/>
          </w:tcPr>
          <w:p w14:paraId="76D7145B"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8" w:type="pct"/>
          </w:tcPr>
          <w:p w14:paraId="3434D6C7"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2" w:type="pct"/>
          </w:tcPr>
          <w:p w14:paraId="6A206389"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7CB6F9A8" w14:textId="77777777" w:rsidTr="00336A6A">
        <w:tblPrEx>
          <w:tblLook w:val="0480" w:firstRow="0" w:lastRow="0" w:firstColumn="1" w:lastColumn="0" w:noHBand="0" w:noVBand="1"/>
        </w:tblPrEx>
        <w:trPr>
          <w:cantSplit/>
        </w:trPr>
        <w:tc>
          <w:tcPr>
            <w:tcW w:w="300" w:type="pct"/>
          </w:tcPr>
          <w:p w14:paraId="08CC9532" w14:textId="77777777" w:rsidR="00567333" w:rsidRPr="00FB2F3D" w:rsidRDefault="00567333" w:rsidP="00755725">
            <w:pPr>
              <w:pStyle w:val="UK12Block"/>
              <w:numPr>
                <w:ilvl w:val="1"/>
                <w:numId w:val="59"/>
              </w:numPr>
              <w:rPr>
                <w:rFonts w:ascii="Arial" w:hAnsi="Arial" w:cs="Arial"/>
                <w:b/>
                <w:sz w:val="22"/>
                <w:szCs w:val="22"/>
              </w:rPr>
            </w:pPr>
          </w:p>
        </w:tc>
        <w:tc>
          <w:tcPr>
            <w:tcW w:w="3344" w:type="pct"/>
          </w:tcPr>
          <w:p w14:paraId="2B844C7F" w14:textId="77777777" w:rsidR="00567333" w:rsidRPr="00FB2F3D" w:rsidRDefault="00567333" w:rsidP="00567333">
            <w:pPr>
              <w:pStyle w:val="UK12Block"/>
              <w:rPr>
                <w:rFonts w:ascii="Arial" w:hAnsi="Arial" w:cs="Arial"/>
                <w:b/>
                <w:sz w:val="22"/>
                <w:szCs w:val="22"/>
              </w:rPr>
            </w:pPr>
            <w:r w:rsidRPr="00FB2F3D">
              <w:rPr>
                <w:rFonts w:ascii="Arial" w:hAnsi="Arial" w:cs="Arial"/>
                <w:b/>
                <w:sz w:val="22"/>
                <w:szCs w:val="22"/>
              </w:rPr>
              <w:t>Signing of the Prospectus by Directors of the Issuer</w:t>
            </w:r>
          </w:p>
          <w:p w14:paraId="0D7779DC" w14:textId="77777777" w:rsidR="00567333" w:rsidRPr="00FB2F3D" w:rsidRDefault="00567333" w:rsidP="00567333">
            <w:pPr>
              <w:pStyle w:val="UK12Block"/>
              <w:rPr>
                <w:rFonts w:ascii="Arial" w:hAnsi="Arial" w:cs="Arial"/>
                <w:sz w:val="22"/>
                <w:szCs w:val="22"/>
              </w:rPr>
            </w:pPr>
            <w:r w:rsidRPr="00FB2F3D">
              <w:rPr>
                <w:rFonts w:ascii="Arial" w:hAnsi="Arial" w:cs="Arial"/>
                <w:sz w:val="22"/>
                <w:szCs w:val="22"/>
              </w:rPr>
              <w:t>The date on which the Prospectus was signed by the Directors of the Issuer.</w:t>
            </w:r>
          </w:p>
        </w:tc>
        <w:tc>
          <w:tcPr>
            <w:tcW w:w="126" w:type="pct"/>
          </w:tcPr>
          <w:p w14:paraId="3B8A989B"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4F0D482D"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4B96C655"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49" w:type="pct"/>
          </w:tcPr>
          <w:p w14:paraId="72437880"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2" w:type="pct"/>
          </w:tcPr>
          <w:p w14:paraId="2172CD99"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8" w:type="pct"/>
          </w:tcPr>
          <w:p w14:paraId="4C462D3D"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2" w:type="pct"/>
          </w:tcPr>
          <w:p w14:paraId="3B426204"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44E0AACE" w14:textId="77777777" w:rsidTr="00336A6A">
        <w:tblPrEx>
          <w:tblLook w:val="0480" w:firstRow="0" w:lastRow="0" w:firstColumn="1" w:lastColumn="0" w:noHBand="0" w:noVBand="1"/>
        </w:tblPrEx>
        <w:tc>
          <w:tcPr>
            <w:tcW w:w="300" w:type="pct"/>
          </w:tcPr>
          <w:p w14:paraId="1294A9CE" w14:textId="77777777" w:rsidR="00567333" w:rsidRPr="00FB2F3D" w:rsidRDefault="00567333" w:rsidP="00755725">
            <w:pPr>
              <w:pStyle w:val="UK12Block"/>
              <w:numPr>
                <w:ilvl w:val="1"/>
                <w:numId w:val="59"/>
              </w:numPr>
              <w:rPr>
                <w:rFonts w:ascii="Arial" w:hAnsi="Arial" w:cs="Arial"/>
                <w:b/>
                <w:sz w:val="22"/>
                <w:szCs w:val="22"/>
              </w:rPr>
            </w:pPr>
          </w:p>
        </w:tc>
        <w:tc>
          <w:tcPr>
            <w:tcW w:w="3344" w:type="pct"/>
          </w:tcPr>
          <w:p w14:paraId="6C42FC68" w14:textId="77777777" w:rsidR="00567333" w:rsidRPr="00FB2F3D" w:rsidRDefault="00567333" w:rsidP="00567333">
            <w:pPr>
              <w:pStyle w:val="UK12Block"/>
              <w:rPr>
                <w:rFonts w:ascii="Arial" w:hAnsi="Arial" w:cs="Arial"/>
                <w:b/>
                <w:sz w:val="22"/>
                <w:szCs w:val="22"/>
                <w:lang w:eastAsia="ja-JP"/>
              </w:rPr>
            </w:pPr>
            <w:r w:rsidRPr="00FB2F3D">
              <w:rPr>
                <w:rFonts w:ascii="Arial" w:hAnsi="Arial" w:cs="Arial"/>
                <w:b/>
                <w:sz w:val="22"/>
                <w:szCs w:val="22"/>
              </w:rPr>
              <w:t>Expert opinions included in a Prospectus</w:t>
            </w:r>
          </w:p>
          <w:p w14:paraId="60DA00F0"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If any Expert's opinion, statement or report ("Report") is included in the Prospectus:</w:t>
            </w:r>
          </w:p>
        </w:tc>
        <w:tc>
          <w:tcPr>
            <w:tcW w:w="126" w:type="pct"/>
          </w:tcPr>
          <w:p w14:paraId="2662EB67"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3BED9DB1"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25C76FE3"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49" w:type="pct"/>
          </w:tcPr>
          <w:p w14:paraId="6F1C101C"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2" w:type="pct"/>
          </w:tcPr>
          <w:p w14:paraId="22A2E84D"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8" w:type="pct"/>
          </w:tcPr>
          <w:p w14:paraId="5EB69BA0"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2" w:type="pct"/>
          </w:tcPr>
          <w:p w14:paraId="1E7D382C"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077AEDF5" w14:textId="77777777" w:rsidTr="00336A6A">
        <w:tblPrEx>
          <w:tblLook w:val="0480" w:firstRow="0" w:lastRow="0" w:firstColumn="1" w:lastColumn="0" w:noHBand="0" w:noVBand="1"/>
        </w:tblPrEx>
        <w:tc>
          <w:tcPr>
            <w:tcW w:w="300" w:type="pct"/>
          </w:tcPr>
          <w:p w14:paraId="7A056ADD" w14:textId="77777777" w:rsidR="00567333" w:rsidRPr="00FB2F3D" w:rsidRDefault="00567333" w:rsidP="00567333">
            <w:pPr>
              <w:pStyle w:val="UK12Block"/>
              <w:rPr>
                <w:rFonts w:ascii="Arial" w:hAnsi="Arial" w:cs="Arial"/>
                <w:b/>
                <w:sz w:val="22"/>
                <w:szCs w:val="22"/>
              </w:rPr>
            </w:pPr>
          </w:p>
        </w:tc>
        <w:tc>
          <w:tcPr>
            <w:tcW w:w="3344" w:type="pct"/>
          </w:tcPr>
          <w:p w14:paraId="3CE18BCF" w14:textId="77777777" w:rsidR="00567333" w:rsidRPr="00FB2F3D" w:rsidRDefault="00567333" w:rsidP="00755725">
            <w:pPr>
              <w:pStyle w:val="UK12Block05"/>
              <w:numPr>
                <w:ilvl w:val="3"/>
                <w:numId w:val="59"/>
              </w:numPr>
              <w:rPr>
                <w:rFonts w:ascii="Arial" w:hAnsi="Arial" w:cs="Arial"/>
                <w:sz w:val="22"/>
                <w:szCs w:val="22"/>
              </w:rPr>
            </w:pPr>
            <w:r w:rsidRPr="00FB2F3D">
              <w:rPr>
                <w:rFonts w:ascii="Arial" w:hAnsi="Arial" w:cs="Arial"/>
                <w:sz w:val="22"/>
                <w:szCs w:val="22"/>
              </w:rPr>
              <w:t>the name, business address and professional qualifications of the Expert responsible for the Report and the date on which the Expert Report was made or</w:t>
            </w:r>
            <w:r w:rsidRPr="00FB2F3D">
              <w:rPr>
                <w:rFonts w:ascii="Arial" w:hAnsi="Arial" w:cs="Arial"/>
                <w:sz w:val="22"/>
                <w:szCs w:val="22"/>
                <w:lang w:eastAsia="ja-JP"/>
              </w:rPr>
              <w:t xml:space="preserve"> </w:t>
            </w:r>
            <w:r w:rsidRPr="00FB2F3D">
              <w:rPr>
                <w:rFonts w:ascii="Arial" w:hAnsi="Arial" w:cs="Arial"/>
                <w:sz w:val="22"/>
                <w:szCs w:val="22"/>
              </w:rPr>
              <w:t>produced;</w:t>
            </w:r>
          </w:p>
        </w:tc>
        <w:tc>
          <w:tcPr>
            <w:tcW w:w="126" w:type="pct"/>
          </w:tcPr>
          <w:p w14:paraId="33BD50DA"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00D38E12"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4EFDF7F8"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49" w:type="pct"/>
          </w:tcPr>
          <w:p w14:paraId="001EBE1D"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2" w:type="pct"/>
          </w:tcPr>
          <w:p w14:paraId="36701562"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8" w:type="pct"/>
          </w:tcPr>
          <w:p w14:paraId="04F128F3"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2" w:type="pct"/>
          </w:tcPr>
          <w:p w14:paraId="32BC93B2"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47988DFC" w14:textId="77777777" w:rsidTr="00336A6A">
        <w:tblPrEx>
          <w:tblLook w:val="0480" w:firstRow="0" w:lastRow="0" w:firstColumn="1" w:lastColumn="0" w:noHBand="0" w:noVBand="1"/>
        </w:tblPrEx>
        <w:tc>
          <w:tcPr>
            <w:tcW w:w="300" w:type="pct"/>
          </w:tcPr>
          <w:p w14:paraId="12077EC3" w14:textId="77777777" w:rsidR="00567333" w:rsidRPr="00FB2F3D" w:rsidRDefault="00567333" w:rsidP="00567333">
            <w:pPr>
              <w:pStyle w:val="UK12Block"/>
              <w:rPr>
                <w:rFonts w:ascii="Arial" w:hAnsi="Arial" w:cs="Arial"/>
                <w:b/>
                <w:sz w:val="22"/>
                <w:szCs w:val="22"/>
              </w:rPr>
            </w:pPr>
          </w:p>
        </w:tc>
        <w:tc>
          <w:tcPr>
            <w:tcW w:w="3344" w:type="pct"/>
          </w:tcPr>
          <w:p w14:paraId="4496BF81" w14:textId="77777777" w:rsidR="00567333" w:rsidRPr="00FB2F3D" w:rsidRDefault="00567333" w:rsidP="00755725">
            <w:pPr>
              <w:pStyle w:val="UK12Block05"/>
              <w:numPr>
                <w:ilvl w:val="3"/>
                <w:numId w:val="59"/>
              </w:numPr>
              <w:rPr>
                <w:rFonts w:ascii="Arial" w:hAnsi="Arial" w:cs="Arial"/>
                <w:sz w:val="22"/>
                <w:szCs w:val="22"/>
              </w:rPr>
            </w:pPr>
            <w:r w:rsidRPr="00FB2F3D">
              <w:rPr>
                <w:rFonts w:ascii="Arial" w:hAnsi="Arial" w:cs="Arial"/>
                <w:sz w:val="22"/>
                <w:szCs w:val="22"/>
              </w:rPr>
              <w:t>information relating to any material interests of the Expert in the Issuer such as any benefit or fees paid to the Expert by the Issuer or a related Company, positions held</w:t>
            </w:r>
            <w:r w:rsidRPr="00FB2F3D">
              <w:rPr>
                <w:rFonts w:ascii="Arial" w:hAnsi="Arial" w:cs="Arial"/>
                <w:sz w:val="22"/>
                <w:szCs w:val="22"/>
                <w:lang w:eastAsia="ja-JP"/>
              </w:rPr>
              <w:t xml:space="preserve"> </w:t>
            </w:r>
            <w:r w:rsidRPr="00FB2F3D">
              <w:rPr>
                <w:rFonts w:ascii="Arial" w:hAnsi="Arial" w:cs="Arial"/>
                <w:sz w:val="22"/>
                <w:szCs w:val="22"/>
              </w:rPr>
              <w:t>or to be held by the Expert in the Issuer or a related Company, investments held or to be held by the Expert in the Issuer or a related Company, fees and commissions paid or to be paid to the Expert or Persons associated with the Expert; and</w:t>
            </w:r>
          </w:p>
        </w:tc>
        <w:tc>
          <w:tcPr>
            <w:tcW w:w="126" w:type="pct"/>
          </w:tcPr>
          <w:p w14:paraId="663D8856"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61A4283A"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71A822DE" w14:textId="77777777" w:rsidR="00567333" w:rsidRPr="00FB2F3D" w:rsidRDefault="00567333" w:rsidP="00567333">
            <w:pPr>
              <w:pStyle w:val="UK12Block"/>
              <w:rPr>
                <w:rFonts w:ascii="Arial" w:hAnsi="Arial" w:cs="Arial"/>
                <w:sz w:val="22"/>
                <w:szCs w:val="22"/>
              </w:rPr>
            </w:pPr>
          </w:p>
        </w:tc>
        <w:tc>
          <w:tcPr>
            <w:tcW w:w="249" w:type="pct"/>
          </w:tcPr>
          <w:p w14:paraId="5A4E8AC5" w14:textId="77777777" w:rsidR="00567333" w:rsidRPr="00FB2F3D" w:rsidRDefault="00567333" w:rsidP="00567333">
            <w:pPr>
              <w:pStyle w:val="UK12Block"/>
              <w:rPr>
                <w:rFonts w:ascii="Arial" w:hAnsi="Arial" w:cs="Arial"/>
                <w:sz w:val="22"/>
                <w:szCs w:val="22"/>
              </w:rPr>
            </w:pPr>
          </w:p>
        </w:tc>
        <w:tc>
          <w:tcPr>
            <w:tcW w:w="222" w:type="pct"/>
          </w:tcPr>
          <w:p w14:paraId="122E859B"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8" w:type="pct"/>
          </w:tcPr>
          <w:p w14:paraId="1DC83D37" w14:textId="77777777" w:rsidR="00567333" w:rsidRPr="00FB2F3D" w:rsidRDefault="00567333" w:rsidP="00567333">
            <w:pPr>
              <w:pStyle w:val="UK12Block"/>
              <w:rPr>
                <w:rFonts w:ascii="Arial" w:hAnsi="Arial" w:cs="Arial"/>
                <w:sz w:val="22"/>
                <w:szCs w:val="22"/>
              </w:rPr>
            </w:pPr>
          </w:p>
        </w:tc>
        <w:tc>
          <w:tcPr>
            <w:tcW w:w="192" w:type="pct"/>
          </w:tcPr>
          <w:p w14:paraId="25E11969"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122FEA31" w14:textId="77777777" w:rsidTr="00336A6A">
        <w:tblPrEx>
          <w:tblLook w:val="0480" w:firstRow="0" w:lastRow="0" w:firstColumn="1" w:lastColumn="0" w:noHBand="0" w:noVBand="1"/>
        </w:tblPrEx>
        <w:tc>
          <w:tcPr>
            <w:tcW w:w="300" w:type="pct"/>
          </w:tcPr>
          <w:p w14:paraId="428BE945" w14:textId="77777777" w:rsidR="00567333" w:rsidRPr="00FB2F3D" w:rsidRDefault="00567333" w:rsidP="00567333">
            <w:pPr>
              <w:pStyle w:val="UK12Block"/>
              <w:rPr>
                <w:rFonts w:ascii="Arial" w:hAnsi="Arial" w:cs="Arial"/>
                <w:b/>
                <w:sz w:val="22"/>
                <w:szCs w:val="22"/>
              </w:rPr>
            </w:pPr>
          </w:p>
        </w:tc>
        <w:tc>
          <w:tcPr>
            <w:tcW w:w="3344" w:type="pct"/>
          </w:tcPr>
          <w:p w14:paraId="0C80C50D" w14:textId="77777777" w:rsidR="00567333" w:rsidRPr="00FB2F3D" w:rsidRDefault="00567333" w:rsidP="00755725">
            <w:pPr>
              <w:pStyle w:val="UK12Block05"/>
              <w:numPr>
                <w:ilvl w:val="3"/>
                <w:numId w:val="59"/>
              </w:numPr>
              <w:rPr>
                <w:rFonts w:ascii="Arial" w:hAnsi="Arial" w:cs="Arial"/>
                <w:sz w:val="22"/>
                <w:szCs w:val="22"/>
              </w:rPr>
            </w:pPr>
            <w:r w:rsidRPr="00FB2F3D">
              <w:rPr>
                <w:rFonts w:ascii="Arial" w:hAnsi="Arial" w:cs="Arial"/>
                <w:sz w:val="22"/>
                <w:szCs w:val="22"/>
              </w:rPr>
              <w:t>if the Report has been produced at the Issuer's request, a statement to that effect</w:t>
            </w:r>
            <w:r w:rsidRPr="00FB2F3D">
              <w:rPr>
                <w:rFonts w:ascii="Arial" w:hAnsi="Arial" w:cs="Arial"/>
                <w:sz w:val="22"/>
                <w:szCs w:val="22"/>
                <w:lang w:eastAsia="ja-JP"/>
              </w:rPr>
              <w:t xml:space="preserve"> </w:t>
            </w:r>
            <w:r w:rsidRPr="00FB2F3D">
              <w:rPr>
                <w:rFonts w:ascii="Arial" w:hAnsi="Arial" w:cs="Arial"/>
                <w:sz w:val="22"/>
                <w:szCs w:val="22"/>
              </w:rPr>
              <w:t>and that the Report is included, in the form and context in which it is included, with the consent of the Expert.</w:t>
            </w:r>
          </w:p>
        </w:tc>
        <w:tc>
          <w:tcPr>
            <w:tcW w:w="126" w:type="pct"/>
          </w:tcPr>
          <w:p w14:paraId="4314340D"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791DB6A1"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03F42B83"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49" w:type="pct"/>
          </w:tcPr>
          <w:p w14:paraId="4935FF28"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2" w:type="pct"/>
          </w:tcPr>
          <w:p w14:paraId="378A6EB5"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8" w:type="pct"/>
          </w:tcPr>
          <w:p w14:paraId="54C5F30A"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2" w:type="pct"/>
          </w:tcPr>
          <w:p w14:paraId="4909A5F1"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7D528EBC" w14:textId="77777777" w:rsidTr="00336A6A">
        <w:tblPrEx>
          <w:tblLook w:val="0480" w:firstRow="0" w:lastRow="0" w:firstColumn="1" w:lastColumn="0" w:noHBand="0" w:noVBand="1"/>
        </w:tblPrEx>
        <w:tc>
          <w:tcPr>
            <w:tcW w:w="300" w:type="pct"/>
          </w:tcPr>
          <w:p w14:paraId="533812E5" w14:textId="77777777" w:rsidR="00567333" w:rsidRPr="00FB2F3D" w:rsidRDefault="00567333" w:rsidP="00567333">
            <w:pPr>
              <w:pStyle w:val="UK12Block"/>
              <w:rPr>
                <w:rFonts w:ascii="Arial" w:hAnsi="Arial" w:cs="Arial"/>
                <w:b/>
                <w:sz w:val="22"/>
                <w:szCs w:val="22"/>
              </w:rPr>
            </w:pPr>
          </w:p>
        </w:tc>
        <w:tc>
          <w:tcPr>
            <w:tcW w:w="3344" w:type="pct"/>
          </w:tcPr>
          <w:p w14:paraId="2939C4C4" w14:textId="77777777" w:rsidR="00567333" w:rsidRPr="00FB2F3D" w:rsidRDefault="00567333" w:rsidP="00755725">
            <w:pPr>
              <w:pStyle w:val="UK12Block"/>
              <w:numPr>
                <w:ilvl w:val="2"/>
                <w:numId w:val="59"/>
              </w:numPr>
              <w:rPr>
                <w:rFonts w:ascii="Arial" w:hAnsi="Arial" w:cs="Arial"/>
                <w:sz w:val="22"/>
                <w:szCs w:val="22"/>
              </w:rPr>
            </w:pPr>
            <w:r w:rsidRPr="00FB2F3D">
              <w:rPr>
                <w:rFonts w:ascii="Arial" w:hAnsi="Arial" w:cs="Arial"/>
                <w:sz w:val="22"/>
                <w:szCs w:val="22"/>
              </w:rPr>
              <w:t>Where information has been sourced from an Expert or other third party, the source of</w:t>
            </w:r>
            <w:r w:rsidRPr="00FB2F3D">
              <w:rPr>
                <w:rFonts w:ascii="Arial" w:hAnsi="Arial" w:cs="Arial"/>
                <w:sz w:val="22"/>
                <w:szCs w:val="22"/>
                <w:lang w:eastAsia="ja-JP"/>
              </w:rPr>
              <w:t xml:space="preserve"> </w:t>
            </w:r>
            <w:r w:rsidRPr="00FB2F3D">
              <w:rPr>
                <w:rFonts w:ascii="Arial" w:hAnsi="Arial" w:cs="Arial"/>
                <w:sz w:val="22"/>
                <w:szCs w:val="22"/>
              </w:rPr>
              <w:t>such information and confirmation by the Issuer that the information has been accurately produced and that as far as the Issuer is aware and is able to ascertain from the information published by that Expert or third party, that no facts have been omitted which would render the reproduced information inaccurate or false, misleading, or deceptive.</w:t>
            </w:r>
          </w:p>
        </w:tc>
        <w:tc>
          <w:tcPr>
            <w:tcW w:w="126" w:type="pct"/>
          </w:tcPr>
          <w:p w14:paraId="283E6A6C"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7D857531"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03EDCF57"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49" w:type="pct"/>
          </w:tcPr>
          <w:p w14:paraId="5537FDDE"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2" w:type="pct"/>
          </w:tcPr>
          <w:p w14:paraId="60130F81"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8" w:type="pct"/>
          </w:tcPr>
          <w:p w14:paraId="5646AA3E"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2" w:type="pct"/>
          </w:tcPr>
          <w:p w14:paraId="6FFDF951"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567333" w:rsidRPr="00FB2F3D" w14:paraId="498F9DA1" w14:textId="77777777" w:rsidTr="00336A6A">
        <w:tblPrEx>
          <w:tblLook w:val="0480" w:firstRow="0" w:lastRow="0" w:firstColumn="1" w:lastColumn="0" w:noHBand="0" w:noVBand="1"/>
        </w:tblPrEx>
        <w:tc>
          <w:tcPr>
            <w:tcW w:w="300" w:type="pct"/>
          </w:tcPr>
          <w:p w14:paraId="633ABB4E" w14:textId="77777777" w:rsidR="00567333" w:rsidRPr="00FB2F3D" w:rsidRDefault="00567333" w:rsidP="00755725">
            <w:pPr>
              <w:pStyle w:val="UK12Block"/>
              <w:numPr>
                <w:ilvl w:val="1"/>
                <w:numId w:val="59"/>
              </w:numPr>
              <w:rPr>
                <w:rFonts w:ascii="Arial" w:hAnsi="Arial" w:cs="Arial"/>
                <w:b/>
                <w:sz w:val="22"/>
                <w:szCs w:val="22"/>
              </w:rPr>
            </w:pPr>
          </w:p>
        </w:tc>
        <w:tc>
          <w:tcPr>
            <w:tcW w:w="3344" w:type="pct"/>
          </w:tcPr>
          <w:p w14:paraId="5F3086A9" w14:textId="77777777" w:rsidR="00567333" w:rsidRPr="00FB2F3D" w:rsidRDefault="00567333" w:rsidP="00567333">
            <w:pPr>
              <w:pStyle w:val="UK12Block"/>
              <w:rPr>
                <w:rFonts w:ascii="Arial" w:hAnsi="Arial" w:cs="Arial"/>
                <w:b/>
                <w:sz w:val="22"/>
                <w:szCs w:val="22"/>
                <w:lang w:eastAsia="ja-JP"/>
              </w:rPr>
            </w:pPr>
            <w:r w:rsidRPr="00FB2F3D">
              <w:rPr>
                <w:rFonts w:ascii="Arial" w:hAnsi="Arial" w:cs="Arial"/>
                <w:b/>
                <w:sz w:val="22"/>
                <w:szCs w:val="22"/>
              </w:rPr>
              <w:t>Special categories of Companies</w:t>
            </w:r>
          </w:p>
          <w:p w14:paraId="63AAEDBD" w14:textId="2CE147A5" w:rsidR="00567333" w:rsidRPr="00FB2F3D" w:rsidRDefault="00567333" w:rsidP="00567333">
            <w:pPr>
              <w:pStyle w:val="UK12Block"/>
              <w:rPr>
                <w:rFonts w:ascii="Arial" w:hAnsi="Arial" w:cs="Arial"/>
                <w:sz w:val="22"/>
                <w:szCs w:val="22"/>
              </w:rPr>
            </w:pPr>
            <w:r w:rsidRPr="00FB2F3D">
              <w:rPr>
                <w:rFonts w:ascii="Arial" w:hAnsi="Arial" w:cs="Arial"/>
                <w:sz w:val="22"/>
                <w:szCs w:val="22"/>
              </w:rPr>
              <w:t>If the Issuer is a special category of Company, such as a property, or scientific research Company, or a start-up Company (a Company with less than a three year track record), a report by an Expert on the assets or rights owned by the Issuer prepared at a date which shall be no later than 90 days before the date of the Prospectus.</w:t>
            </w:r>
          </w:p>
        </w:tc>
        <w:tc>
          <w:tcPr>
            <w:tcW w:w="126" w:type="pct"/>
          </w:tcPr>
          <w:p w14:paraId="2F6F5E87"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5E8A25FA"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74DFC5DA" w14:textId="77777777" w:rsidR="00567333" w:rsidRPr="00FB2F3D" w:rsidRDefault="00567333" w:rsidP="00567333">
            <w:pPr>
              <w:pStyle w:val="UK12Block"/>
              <w:rPr>
                <w:rFonts w:ascii="Arial" w:hAnsi="Arial" w:cs="Arial"/>
                <w:sz w:val="22"/>
                <w:szCs w:val="22"/>
              </w:rPr>
            </w:pPr>
          </w:p>
        </w:tc>
        <w:tc>
          <w:tcPr>
            <w:tcW w:w="249" w:type="pct"/>
          </w:tcPr>
          <w:p w14:paraId="47B63AD3" w14:textId="77777777" w:rsidR="00567333" w:rsidRPr="00FB2F3D" w:rsidRDefault="00567333" w:rsidP="00567333">
            <w:pPr>
              <w:pStyle w:val="UK12Block"/>
              <w:rPr>
                <w:rFonts w:ascii="Arial" w:hAnsi="Arial" w:cs="Arial"/>
                <w:sz w:val="22"/>
                <w:szCs w:val="22"/>
              </w:rPr>
            </w:pPr>
          </w:p>
        </w:tc>
        <w:tc>
          <w:tcPr>
            <w:tcW w:w="222" w:type="pct"/>
          </w:tcPr>
          <w:p w14:paraId="34FB8998"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8" w:type="pct"/>
          </w:tcPr>
          <w:p w14:paraId="30DA5700" w14:textId="77777777" w:rsidR="00567333" w:rsidRPr="00FB2F3D" w:rsidRDefault="00567333" w:rsidP="00567333">
            <w:pPr>
              <w:pStyle w:val="UK12Block"/>
              <w:rPr>
                <w:rFonts w:ascii="Arial" w:hAnsi="Arial" w:cs="Arial"/>
                <w:sz w:val="22"/>
                <w:szCs w:val="22"/>
              </w:rPr>
            </w:pPr>
          </w:p>
        </w:tc>
        <w:tc>
          <w:tcPr>
            <w:tcW w:w="192" w:type="pct"/>
          </w:tcPr>
          <w:p w14:paraId="4348591E" w14:textId="77777777" w:rsidR="00567333" w:rsidRPr="00FB2F3D" w:rsidRDefault="00567333" w:rsidP="00567333">
            <w:pPr>
              <w:pStyle w:val="UK12Block"/>
              <w:rPr>
                <w:rFonts w:ascii="Arial" w:hAnsi="Arial" w:cs="Arial"/>
                <w:sz w:val="22"/>
                <w:szCs w:val="22"/>
              </w:rPr>
            </w:pPr>
            <w:r w:rsidRPr="00FB2F3D">
              <w:rPr>
                <w:rFonts w:ascii="Arial" w:eastAsia="Wingdings" w:hAnsi="Arial" w:cs="Arial"/>
                <w:sz w:val="22"/>
                <w:szCs w:val="22"/>
              </w:rPr>
              <w:sym w:font="Wingdings" w:char="F0FC"/>
            </w:r>
          </w:p>
        </w:tc>
      </w:tr>
      <w:tr w:rsidR="00336A6A" w:rsidRPr="00FB2F3D" w14:paraId="396E8EF9" w14:textId="77777777" w:rsidTr="00336A6A">
        <w:tblPrEx>
          <w:tblLook w:val="0480" w:firstRow="0" w:lastRow="0" w:firstColumn="1" w:lastColumn="0" w:noHBand="0" w:noVBand="1"/>
        </w:tblPrEx>
        <w:tc>
          <w:tcPr>
            <w:tcW w:w="300" w:type="pct"/>
          </w:tcPr>
          <w:p w14:paraId="264251E9" w14:textId="40A696F8" w:rsidR="00336A6A" w:rsidRPr="00FB2F3D" w:rsidRDefault="00336A6A" w:rsidP="00336A6A">
            <w:pPr>
              <w:pStyle w:val="UK12Block"/>
              <w:rPr>
                <w:rFonts w:ascii="Arial" w:hAnsi="Arial" w:cs="Arial"/>
                <w:b/>
                <w:sz w:val="22"/>
                <w:szCs w:val="22"/>
              </w:rPr>
            </w:pPr>
            <w:r>
              <w:rPr>
                <w:rFonts w:ascii="Arial" w:hAnsi="Arial" w:cs="Arial"/>
                <w:b/>
                <w:sz w:val="22"/>
                <w:szCs w:val="22"/>
              </w:rPr>
              <w:t>9.4.1</w:t>
            </w:r>
          </w:p>
        </w:tc>
        <w:tc>
          <w:tcPr>
            <w:tcW w:w="3344" w:type="pct"/>
          </w:tcPr>
          <w:p w14:paraId="40DB27A8" w14:textId="77777777" w:rsidR="00336A6A" w:rsidRPr="00336A6A" w:rsidRDefault="00336A6A" w:rsidP="00336A6A">
            <w:pPr>
              <w:pStyle w:val="UK12Block"/>
              <w:rPr>
                <w:rFonts w:ascii="Arial" w:hAnsi="Arial" w:cs="Arial"/>
                <w:sz w:val="22"/>
                <w:szCs w:val="22"/>
              </w:rPr>
            </w:pPr>
            <w:r w:rsidRPr="00336A6A">
              <w:rPr>
                <w:rFonts w:ascii="Arial" w:hAnsi="Arial" w:cs="Arial"/>
                <w:sz w:val="22"/>
                <w:szCs w:val="22"/>
              </w:rPr>
              <w:t>If the Issuer is a Mining Reporting Entity or Petroleum Reporting Entity:</w:t>
            </w:r>
          </w:p>
          <w:p w14:paraId="328D3D30" w14:textId="77777777" w:rsidR="00336A6A" w:rsidRPr="00336A6A" w:rsidRDefault="00336A6A" w:rsidP="00336A6A">
            <w:pPr>
              <w:pStyle w:val="S2Heading5"/>
              <w:tabs>
                <w:tab w:val="clear" w:pos="1440"/>
              </w:tabs>
              <w:ind w:left="740" w:hanging="710"/>
              <w:rPr>
                <w:rFonts w:ascii="Arial" w:hAnsi="Arial" w:cs="Arial"/>
                <w:sz w:val="22"/>
                <w:szCs w:val="22"/>
              </w:rPr>
            </w:pPr>
            <w:r w:rsidRPr="00336A6A">
              <w:rPr>
                <w:rFonts w:ascii="Arial" w:hAnsi="Arial" w:cs="Arial"/>
                <w:sz w:val="22"/>
                <w:szCs w:val="22"/>
              </w:rPr>
              <w:t>a Valuation Report required by Rule 11.3.2 or 12.3.2; and</w:t>
            </w:r>
          </w:p>
          <w:p w14:paraId="594D1C34" w14:textId="36FFD24E" w:rsidR="00336A6A" w:rsidRPr="00FB2F3D" w:rsidRDefault="00336A6A" w:rsidP="00336A6A">
            <w:pPr>
              <w:pStyle w:val="UK12Block"/>
              <w:ind w:left="740" w:hanging="710"/>
              <w:rPr>
                <w:rFonts w:ascii="Arial" w:hAnsi="Arial" w:cs="Arial"/>
                <w:b/>
                <w:sz w:val="22"/>
                <w:szCs w:val="22"/>
              </w:rPr>
            </w:pPr>
            <w:r w:rsidRPr="00336A6A">
              <w:rPr>
                <w:rFonts w:ascii="Arial" w:hAnsi="Arial" w:cs="Arial"/>
                <w:sz w:val="22"/>
                <w:szCs w:val="22"/>
              </w:rPr>
              <w:t>(b)</w:t>
            </w:r>
            <w:r w:rsidRPr="00336A6A">
              <w:t xml:space="preserve"> </w:t>
            </w:r>
            <w:r w:rsidRPr="00336A6A">
              <w:tab/>
            </w:r>
            <w:r w:rsidRPr="00336A6A">
              <w:rPr>
                <w:rFonts w:ascii="Arial" w:hAnsi="Arial" w:cs="Arial"/>
                <w:sz w:val="22"/>
                <w:szCs w:val="22"/>
              </w:rPr>
              <w:t>the details of the Reporting Entity’s sustainable policies and practices (required by Rules 11.3.1(2) and 12.3.1(b)).</w:t>
            </w:r>
          </w:p>
        </w:tc>
        <w:tc>
          <w:tcPr>
            <w:tcW w:w="126" w:type="pct"/>
          </w:tcPr>
          <w:p w14:paraId="7E3FD872" w14:textId="7F130B5E" w:rsidR="00336A6A" w:rsidRPr="00FB2F3D" w:rsidRDefault="00336A6A" w:rsidP="00336A6A">
            <w:pPr>
              <w:pStyle w:val="UK12Block"/>
              <w:rPr>
                <w:rFonts w:ascii="Arial" w:eastAsia="Wingdings" w:hAnsi="Arial" w:cs="Arial"/>
                <w:sz w:val="22"/>
                <w:szCs w:val="22"/>
              </w:rPr>
            </w:pPr>
            <w:r w:rsidRPr="00FB2F3D">
              <w:rPr>
                <w:rFonts w:ascii="Arial" w:eastAsia="Wingdings" w:hAnsi="Arial" w:cs="Arial"/>
                <w:sz w:val="22"/>
                <w:szCs w:val="22"/>
              </w:rPr>
              <w:sym w:font="Wingdings" w:char="F0FC"/>
            </w:r>
          </w:p>
        </w:tc>
        <w:tc>
          <w:tcPr>
            <w:tcW w:w="219" w:type="pct"/>
          </w:tcPr>
          <w:p w14:paraId="725F7A48" w14:textId="18A8119B" w:rsidR="00336A6A" w:rsidRPr="00FB2F3D" w:rsidRDefault="00336A6A" w:rsidP="00336A6A">
            <w:pPr>
              <w:pStyle w:val="UK12Block"/>
              <w:rPr>
                <w:rFonts w:ascii="Arial" w:eastAsia="Wingdings" w:hAnsi="Arial" w:cs="Arial"/>
                <w:sz w:val="22"/>
                <w:szCs w:val="22"/>
              </w:rPr>
            </w:pPr>
            <w:r w:rsidRPr="00FB2F3D">
              <w:rPr>
                <w:rFonts w:ascii="Arial" w:eastAsia="Wingdings" w:hAnsi="Arial" w:cs="Arial"/>
                <w:sz w:val="22"/>
                <w:szCs w:val="22"/>
              </w:rPr>
              <w:sym w:font="Wingdings" w:char="F0FC"/>
            </w:r>
          </w:p>
        </w:tc>
        <w:tc>
          <w:tcPr>
            <w:tcW w:w="125" w:type="pct"/>
          </w:tcPr>
          <w:p w14:paraId="53E31983" w14:textId="77777777" w:rsidR="00336A6A" w:rsidRPr="00FB2F3D" w:rsidRDefault="00336A6A" w:rsidP="00336A6A">
            <w:pPr>
              <w:pStyle w:val="UK12Block"/>
              <w:rPr>
                <w:rFonts w:ascii="Arial" w:hAnsi="Arial" w:cs="Arial"/>
                <w:sz w:val="22"/>
                <w:szCs w:val="22"/>
              </w:rPr>
            </w:pPr>
          </w:p>
        </w:tc>
        <w:tc>
          <w:tcPr>
            <w:tcW w:w="249" w:type="pct"/>
          </w:tcPr>
          <w:p w14:paraId="4A568C15" w14:textId="77777777" w:rsidR="00336A6A" w:rsidRPr="00FB2F3D" w:rsidRDefault="00336A6A" w:rsidP="00336A6A">
            <w:pPr>
              <w:pStyle w:val="UK12Block"/>
              <w:rPr>
                <w:rFonts w:ascii="Arial" w:hAnsi="Arial" w:cs="Arial"/>
                <w:sz w:val="22"/>
                <w:szCs w:val="22"/>
              </w:rPr>
            </w:pPr>
          </w:p>
        </w:tc>
        <w:tc>
          <w:tcPr>
            <w:tcW w:w="222" w:type="pct"/>
          </w:tcPr>
          <w:p w14:paraId="7548E521" w14:textId="02B835EA" w:rsidR="00336A6A" w:rsidRPr="00FB2F3D" w:rsidRDefault="00336A6A" w:rsidP="00336A6A">
            <w:pPr>
              <w:pStyle w:val="UK12Block"/>
              <w:rPr>
                <w:rFonts w:ascii="Arial" w:eastAsia="Wingdings" w:hAnsi="Arial" w:cs="Arial"/>
                <w:sz w:val="22"/>
                <w:szCs w:val="22"/>
              </w:rPr>
            </w:pPr>
            <w:r w:rsidRPr="00FB2F3D">
              <w:rPr>
                <w:rFonts w:ascii="Arial" w:eastAsia="Wingdings" w:hAnsi="Arial" w:cs="Arial"/>
                <w:sz w:val="22"/>
                <w:szCs w:val="22"/>
              </w:rPr>
              <w:sym w:font="Wingdings" w:char="F0FC"/>
            </w:r>
          </w:p>
        </w:tc>
        <w:tc>
          <w:tcPr>
            <w:tcW w:w="218" w:type="pct"/>
          </w:tcPr>
          <w:p w14:paraId="088B2B96" w14:textId="77777777" w:rsidR="00336A6A" w:rsidRPr="00FB2F3D" w:rsidRDefault="00336A6A" w:rsidP="00336A6A">
            <w:pPr>
              <w:pStyle w:val="UK12Block"/>
              <w:rPr>
                <w:rFonts w:ascii="Arial" w:hAnsi="Arial" w:cs="Arial"/>
                <w:sz w:val="22"/>
                <w:szCs w:val="22"/>
              </w:rPr>
            </w:pPr>
          </w:p>
        </w:tc>
        <w:tc>
          <w:tcPr>
            <w:tcW w:w="192" w:type="pct"/>
          </w:tcPr>
          <w:p w14:paraId="5E13D210" w14:textId="6FF8F3DF" w:rsidR="00336A6A" w:rsidRPr="00FB2F3D" w:rsidRDefault="00336A6A" w:rsidP="00336A6A">
            <w:pPr>
              <w:pStyle w:val="UK12Block"/>
              <w:rPr>
                <w:rFonts w:ascii="Arial" w:eastAsia="Wingdings" w:hAnsi="Arial" w:cs="Arial"/>
                <w:sz w:val="22"/>
                <w:szCs w:val="22"/>
              </w:rPr>
            </w:pPr>
            <w:r w:rsidRPr="00FB2F3D">
              <w:rPr>
                <w:rFonts w:ascii="Arial" w:eastAsia="Wingdings" w:hAnsi="Arial" w:cs="Arial"/>
                <w:sz w:val="22"/>
                <w:szCs w:val="22"/>
              </w:rPr>
              <w:sym w:font="Wingdings" w:char="F0FC"/>
            </w:r>
          </w:p>
        </w:tc>
      </w:tr>
      <w:tr w:rsidR="00336A6A" w:rsidRPr="00FB2F3D" w14:paraId="5EC890C6" w14:textId="77777777" w:rsidTr="00336A6A">
        <w:tc>
          <w:tcPr>
            <w:tcW w:w="5000" w:type="pct"/>
            <w:gridSpan w:val="9"/>
          </w:tcPr>
          <w:p w14:paraId="259EF924" w14:textId="77777777" w:rsidR="00336A6A" w:rsidRPr="00FB2F3D" w:rsidRDefault="00336A6A" w:rsidP="00336A6A">
            <w:pPr>
              <w:pStyle w:val="UK12Block"/>
              <w:keepNext/>
              <w:numPr>
                <w:ilvl w:val="0"/>
                <w:numId w:val="59"/>
              </w:numPr>
              <w:spacing w:after="0"/>
              <w:rPr>
                <w:rFonts w:ascii="Arial" w:hAnsi="Arial" w:cs="Arial"/>
                <w:b/>
                <w:sz w:val="22"/>
                <w:szCs w:val="22"/>
              </w:rPr>
            </w:pPr>
            <w:r w:rsidRPr="00FB2F3D">
              <w:rPr>
                <w:rFonts w:ascii="Arial" w:hAnsi="Arial" w:cs="Arial"/>
                <w:b/>
                <w:sz w:val="22"/>
                <w:szCs w:val="22"/>
              </w:rPr>
              <w:lastRenderedPageBreak/>
              <w:t>DOCUMENTS ON DISPLAY</w:t>
            </w:r>
          </w:p>
        </w:tc>
      </w:tr>
      <w:tr w:rsidR="00336A6A" w:rsidRPr="00FB2F3D" w14:paraId="6CF6127F" w14:textId="77777777" w:rsidTr="00336A6A">
        <w:trPr>
          <w:cantSplit/>
        </w:trPr>
        <w:tc>
          <w:tcPr>
            <w:tcW w:w="300" w:type="pct"/>
          </w:tcPr>
          <w:p w14:paraId="4F66ECB2" w14:textId="77777777" w:rsidR="00336A6A" w:rsidRPr="00FB2F3D" w:rsidRDefault="00336A6A" w:rsidP="00336A6A">
            <w:pPr>
              <w:pStyle w:val="UK12Block"/>
              <w:numPr>
                <w:ilvl w:val="1"/>
                <w:numId w:val="59"/>
              </w:numPr>
              <w:rPr>
                <w:rFonts w:ascii="Arial" w:hAnsi="Arial" w:cs="Arial"/>
                <w:b/>
                <w:sz w:val="22"/>
                <w:szCs w:val="22"/>
              </w:rPr>
            </w:pPr>
          </w:p>
        </w:tc>
        <w:tc>
          <w:tcPr>
            <w:tcW w:w="3338" w:type="pct"/>
          </w:tcPr>
          <w:p w14:paraId="3A9350AA" w14:textId="77777777" w:rsidR="00336A6A" w:rsidRPr="00FB2F3D" w:rsidRDefault="00336A6A" w:rsidP="00336A6A">
            <w:pPr>
              <w:pStyle w:val="UK12Block"/>
              <w:rPr>
                <w:rFonts w:ascii="Arial" w:hAnsi="Arial" w:cs="Arial"/>
                <w:b/>
                <w:sz w:val="22"/>
                <w:szCs w:val="22"/>
                <w:lang w:eastAsia="ja-JP"/>
              </w:rPr>
            </w:pPr>
            <w:r w:rsidRPr="00FB2F3D">
              <w:rPr>
                <w:rFonts w:ascii="Arial" w:hAnsi="Arial" w:cs="Arial"/>
                <w:b/>
                <w:sz w:val="22"/>
                <w:szCs w:val="22"/>
              </w:rPr>
              <w:t>Documents for inspection</w:t>
            </w:r>
          </w:p>
          <w:p w14:paraId="408A6818" w14:textId="77777777" w:rsidR="00336A6A" w:rsidRPr="00FB2F3D" w:rsidRDefault="00336A6A" w:rsidP="00336A6A">
            <w:pPr>
              <w:pStyle w:val="UK12Block"/>
              <w:rPr>
                <w:rFonts w:ascii="Arial" w:hAnsi="Arial" w:cs="Arial"/>
                <w:sz w:val="22"/>
                <w:szCs w:val="22"/>
                <w:lang w:eastAsia="ja-JP"/>
              </w:rPr>
            </w:pPr>
            <w:r w:rsidRPr="00FB2F3D">
              <w:rPr>
                <w:rFonts w:ascii="Arial" w:hAnsi="Arial" w:cs="Arial"/>
                <w:sz w:val="22"/>
                <w:szCs w:val="22"/>
              </w:rPr>
              <w:t>A statement that the following documents, in original or copy form, where applicable, may be inspected:</w:t>
            </w:r>
          </w:p>
          <w:p w14:paraId="18C82E7F" w14:textId="77777777" w:rsidR="00336A6A" w:rsidRPr="00FB2F3D" w:rsidRDefault="00336A6A" w:rsidP="00336A6A">
            <w:pPr>
              <w:pStyle w:val="UK12Block"/>
              <w:numPr>
                <w:ilvl w:val="2"/>
                <w:numId w:val="64"/>
              </w:numPr>
              <w:rPr>
                <w:rFonts w:ascii="Arial" w:hAnsi="Arial" w:cs="Arial"/>
                <w:sz w:val="22"/>
                <w:szCs w:val="22"/>
                <w:lang w:eastAsia="ja-JP"/>
              </w:rPr>
            </w:pPr>
            <w:r w:rsidRPr="00FB2F3D">
              <w:rPr>
                <w:rFonts w:ascii="Arial" w:hAnsi="Arial" w:cs="Arial"/>
                <w:sz w:val="22"/>
                <w:szCs w:val="22"/>
              </w:rPr>
              <w:t>the constitution of the Issuer;</w:t>
            </w:r>
          </w:p>
          <w:p w14:paraId="52AC8671" w14:textId="77777777" w:rsidR="00336A6A" w:rsidRPr="00FB2F3D" w:rsidRDefault="00336A6A" w:rsidP="00336A6A">
            <w:pPr>
              <w:pStyle w:val="UK12Block"/>
              <w:numPr>
                <w:ilvl w:val="2"/>
                <w:numId w:val="64"/>
              </w:numPr>
              <w:rPr>
                <w:rFonts w:ascii="Arial" w:hAnsi="Arial" w:cs="Arial"/>
                <w:sz w:val="22"/>
                <w:szCs w:val="22"/>
                <w:lang w:eastAsia="ja-JP"/>
              </w:rPr>
            </w:pPr>
            <w:r w:rsidRPr="00FB2F3D">
              <w:rPr>
                <w:rFonts w:ascii="Arial" w:hAnsi="Arial" w:cs="Arial"/>
                <w:sz w:val="22"/>
                <w:szCs w:val="22"/>
              </w:rPr>
              <w:t>the historical financial information of the Issuer; and</w:t>
            </w:r>
          </w:p>
          <w:p w14:paraId="3FAE81C1" w14:textId="77777777" w:rsidR="00336A6A" w:rsidRPr="00FB2F3D" w:rsidRDefault="00336A6A" w:rsidP="00336A6A">
            <w:pPr>
              <w:pStyle w:val="UK12Block"/>
              <w:numPr>
                <w:ilvl w:val="2"/>
                <w:numId w:val="64"/>
              </w:numPr>
              <w:rPr>
                <w:rFonts w:ascii="Arial" w:hAnsi="Arial" w:cs="Arial"/>
                <w:sz w:val="22"/>
                <w:szCs w:val="22"/>
              </w:rPr>
            </w:pPr>
            <w:r w:rsidRPr="00FB2F3D">
              <w:rPr>
                <w:rFonts w:ascii="Arial" w:hAnsi="Arial" w:cs="Arial"/>
                <w:sz w:val="22"/>
                <w:szCs w:val="22"/>
              </w:rPr>
              <w:t>any information produced by an Expert at the Issuer's request, any part of which is included or referred to in the Registration Statement.</w:t>
            </w:r>
          </w:p>
        </w:tc>
        <w:tc>
          <w:tcPr>
            <w:tcW w:w="125" w:type="pct"/>
          </w:tcPr>
          <w:p w14:paraId="24B4A7C0" w14:textId="77777777" w:rsidR="00336A6A" w:rsidRPr="00FB2F3D" w:rsidRDefault="00336A6A" w:rsidP="00336A6A">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6" w:type="pct"/>
          </w:tcPr>
          <w:p w14:paraId="41943409" w14:textId="77777777" w:rsidR="00336A6A" w:rsidRPr="00FB2F3D" w:rsidRDefault="00336A6A" w:rsidP="00336A6A">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6D9D1B74" w14:textId="77777777" w:rsidR="00336A6A" w:rsidRPr="00FB2F3D" w:rsidRDefault="00336A6A" w:rsidP="00336A6A">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2" w:type="pct"/>
          </w:tcPr>
          <w:p w14:paraId="3F331758" w14:textId="77777777" w:rsidR="00336A6A" w:rsidRPr="00FB2F3D" w:rsidRDefault="00336A6A" w:rsidP="00336A6A">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26135B85" w14:textId="77777777" w:rsidR="00336A6A" w:rsidRPr="00FB2F3D" w:rsidRDefault="00336A6A" w:rsidP="00336A6A">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0" w:type="pct"/>
          </w:tcPr>
          <w:p w14:paraId="4FAABAE8" w14:textId="77777777" w:rsidR="00336A6A" w:rsidRPr="00FB2F3D" w:rsidRDefault="00336A6A" w:rsidP="00336A6A">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0" w:type="pct"/>
          </w:tcPr>
          <w:p w14:paraId="63D13BF5" w14:textId="77777777" w:rsidR="00336A6A" w:rsidRPr="00FB2F3D" w:rsidRDefault="00336A6A" w:rsidP="00336A6A">
            <w:pPr>
              <w:pStyle w:val="UK12Block"/>
              <w:rPr>
                <w:rFonts w:ascii="Arial" w:hAnsi="Arial" w:cs="Arial"/>
                <w:sz w:val="22"/>
                <w:szCs w:val="22"/>
              </w:rPr>
            </w:pPr>
            <w:r w:rsidRPr="00FB2F3D">
              <w:rPr>
                <w:rFonts w:ascii="Arial" w:eastAsia="Wingdings" w:hAnsi="Arial" w:cs="Arial"/>
                <w:sz w:val="22"/>
                <w:szCs w:val="22"/>
              </w:rPr>
              <w:sym w:font="Wingdings" w:char="F0FC"/>
            </w:r>
          </w:p>
        </w:tc>
      </w:tr>
      <w:tr w:rsidR="00336A6A" w:rsidRPr="00FB2F3D" w14:paraId="16A192C0" w14:textId="77777777" w:rsidTr="00336A6A">
        <w:tc>
          <w:tcPr>
            <w:tcW w:w="300" w:type="pct"/>
          </w:tcPr>
          <w:p w14:paraId="373092F0" w14:textId="77777777" w:rsidR="00336A6A" w:rsidRPr="00FB2F3D" w:rsidRDefault="00336A6A" w:rsidP="00336A6A">
            <w:pPr>
              <w:pStyle w:val="UK12Block"/>
              <w:numPr>
                <w:ilvl w:val="1"/>
                <w:numId w:val="59"/>
              </w:numPr>
              <w:rPr>
                <w:rFonts w:ascii="Arial" w:hAnsi="Arial" w:cs="Arial"/>
                <w:b/>
                <w:sz w:val="22"/>
                <w:szCs w:val="22"/>
              </w:rPr>
            </w:pPr>
          </w:p>
        </w:tc>
        <w:tc>
          <w:tcPr>
            <w:tcW w:w="3338" w:type="pct"/>
          </w:tcPr>
          <w:p w14:paraId="5D81E451" w14:textId="77777777" w:rsidR="00336A6A" w:rsidRPr="00FB2F3D" w:rsidRDefault="00336A6A" w:rsidP="00336A6A">
            <w:pPr>
              <w:pStyle w:val="UK12Block"/>
              <w:rPr>
                <w:rFonts w:ascii="Arial" w:hAnsi="Arial" w:cs="Arial"/>
                <w:b/>
                <w:sz w:val="22"/>
                <w:szCs w:val="22"/>
                <w:lang w:eastAsia="ja-JP"/>
              </w:rPr>
            </w:pPr>
            <w:r w:rsidRPr="00FB2F3D">
              <w:rPr>
                <w:rFonts w:ascii="Arial" w:hAnsi="Arial" w:cs="Arial"/>
                <w:b/>
                <w:sz w:val="22"/>
                <w:szCs w:val="22"/>
              </w:rPr>
              <w:t>Details</w:t>
            </w:r>
          </w:p>
          <w:p w14:paraId="5B20DD2D" w14:textId="77777777" w:rsidR="00336A6A" w:rsidRPr="00FB2F3D" w:rsidRDefault="00336A6A" w:rsidP="00336A6A">
            <w:pPr>
              <w:pStyle w:val="UK12Block"/>
              <w:rPr>
                <w:rFonts w:ascii="Arial" w:hAnsi="Arial" w:cs="Arial"/>
                <w:sz w:val="22"/>
                <w:szCs w:val="22"/>
              </w:rPr>
            </w:pPr>
            <w:r w:rsidRPr="00FB2F3D">
              <w:rPr>
                <w:rFonts w:ascii="Arial" w:hAnsi="Arial" w:cs="Arial"/>
                <w:sz w:val="22"/>
                <w:szCs w:val="22"/>
              </w:rPr>
              <w:t>The details of how the documents referred to in 10.1 may be inspected.</w:t>
            </w:r>
          </w:p>
        </w:tc>
        <w:tc>
          <w:tcPr>
            <w:tcW w:w="125" w:type="pct"/>
          </w:tcPr>
          <w:p w14:paraId="16D1FAD1" w14:textId="77777777" w:rsidR="00336A6A" w:rsidRPr="00FB2F3D" w:rsidRDefault="00336A6A" w:rsidP="00336A6A">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6" w:type="pct"/>
          </w:tcPr>
          <w:p w14:paraId="108FD3E2" w14:textId="77777777" w:rsidR="00336A6A" w:rsidRPr="00FB2F3D" w:rsidRDefault="00336A6A" w:rsidP="00336A6A">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25" w:type="pct"/>
          </w:tcPr>
          <w:p w14:paraId="78C0422A" w14:textId="77777777" w:rsidR="00336A6A" w:rsidRPr="00FB2F3D" w:rsidRDefault="00336A6A" w:rsidP="00336A6A">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52" w:type="pct"/>
          </w:tcPr>
          <w:p w14:paraId="02B746E3" w14:textId="77777777" w:rsidR="00336A6A" w:rsidRPr="00FB2F3D" w:rsidRDefault="00336A6A" w:rsidP="00336A6A">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19" w:type="pct"/>
          </w:tcPr>
          <w:p w14:paraId="4C272F3B" w14:textId="77777777" w:rsidR="00336A6A" w:rsidRPr="00FB2F3D" w:rsidRDefault="00336A6A" w:rsidP="00336A6A">
            <w:pPr>
              <w:pStyle w:val="UK12Block"/>
              <w:rPr>
                <w:rFonts w:ascii="Arial" w:hAnsi="Arial" w:cs="Arial"/>
                <w:sz w:val="22"/>
                <w:szCs w:val="22"/>
              </w:rPr>
            </w:pPr>
            <w:r w:rsidRPr="00FB2F3D">
              <w:rPr>
                <w:rFonts w:ascii="Arial" w:eastAsia="Wingdings" w:hAnsi="Arial" w:cs="Arial"/>
                <w:sz w:val="22"/>
                <w:szCs w:val="22"/>
              </w:rPr>
              <w:sym w:font="Wingdings" w:char="F0FC"/>
            </w:r>
          </w:p>
        </w:tc>
        <w:tc>
          <w:tcPr>
            <w:tcW w:w="220" w:type="pct"/>
          </w:tcPr>
          <w:p w14:paraId="164BD031" w14:textId="77777777" w:rsidR="00336A6A" w:rsidRPr="00FB2F3D" w:rsidRDefault="00336A6A" w:rsidP="00336A6A">
            <w:pPr>
              <w:pStyle w:val="UK12Block"/>
              <w:rPr>
                <w:rFonts w:ascii="Arial" w:hAnsi="Arial" w:cs="Arial"/>
                <w:sz w:val="22"/>
                <w:szCs w:val="22"/>
              </w:rPr>
            </w:pPr>
            <w:r w:rsidRPr="00FB2F3D">
              <w:rPr>
                <w:rFonts w:ascii="Arial" w:eastAsia="Wingdings" w:hAnsi="Arial" w:cs="Arial"/>
                <w:sz w:val="22"/>
                <w:szCs w:val="22"/>
              </w:rPr>
              <w:sym w:font="Wingdings" w:char="F0FC"/>
            </w:r>
          </w:p>
        </w:tc>
        <w:tc>
          <w:tcPr>
            <w:tcW w:w="190" w:type="pct"/>
          </w:tcPr>
          <w:p w14:paraId="757EA58A" w14:textId="77777777" w:rsidR="00336A6A" w:rsidRPr="00FB2F3D" w:rsidRDefault="00336A6A" w:rsidP="00336A6A">
            <w:pPr>
              <w:pStyle w:val="UK12Block"/>
              <w:rPr>
                <w:rFonts w:ascii="Arial" w:hAnsi="Arial" w:cs="Arial"/>
                <w:sz w:val="22"/>
                <w:szCs w:val="22"/>
              </w:rPr>
            </w:pPr>
            <w:r w:rsidRPr="00FB2F3D">
              <w:rPr>
                <w:rFonts w:ascii="Arial" w:eastAsia="Wingdings" w:hAnsi="Arial" w:cs="Arial"/>
                <w:sz w:val="22"/>
                <w:szCs w:val="22"/>
              </w:rPr>
              <w:sym w:font="Wingdings" w:char="F0FC"/>
            </w:r>
          </w:p>
        </w:tc>
      </w:tr>
      <w:tr w:rsidR="00336A6A" w:rsidRPr="00FB2F3D" w14:paraId="1F37980F" w14:textId="77777777" w:rsidTr="00336A6A">
        <w:tc>
          <w:tcPr>
            <w:tcW w:w="4995" w:type="pct"/>
            <w:gridSpan w:val="9"/>
          </w:tcPr>
          <w:p w14:paraId="48CDEE31" w14:textId="1DE629BB" w:rsidR="00336A6A" w:rsidRPr="00FB2F3D" w:rsidRDefault="00336A6A" w:rsidP="00336A6A">
            <w:pPr>
              <w:pStyle w:val="UK12Block"/>
              <w:keepNext/>
              <w:numPr>
                <w:ilvl w:val="0"/>
                <w:numId w:val="59"/>
              </w:numPr>
              <w:spacing w:after="0"/>
              <w:rPr>
                <w:rFonts w:ascii="Arial" w:eastAsia="Wingdings" w:hAnsi="Arial" w:cs="Arial"/>
                <w:sz w:val="22"/>
                <w:szCs w:val="22"/>
              </w:rPr>
            </w:pPr>
            <w:r w:rsidRPr="00336A6A">
              <w:rPr>
                <w:rFonts w:ascii="Arial" w:hAnsi="Arial" w:cs="Arial"/>
                <w:b/>
                <w:sz w:val="22"/>
                <w:szCs w:val="22"/>
              </w:rPr>
              <w:t>MINING REPORTING ENTITIES OR PETROLEUM REPORTING ENTITIES</w:t>
            </w:r>
          </w:p>
        </w:tc>
      </w:tr>
      <w:tr w:rsidR="00336A6A" w:rsidRPr="00FB2F3D" w14:paraId="31BAE856" w14:textId="77777777" w:rsidTr="00336A6A">
        <w:tc>
          <w:tcPr>
            <w:tcW w:w="300" w:type="pct"/>
          </w:tcPr>
          <w:p w14:paraId="6A3F67D3" w14:textId="77777777" w:rsidR="00336A6A" w:rsidRPr="00FB2F3D" w:rsidRDefault="00336A6A" w:rsidP="00336A6A">
            <w:pPr>
              <w:pStyle w:val="UK12Block"/>
              <w:numPr>
                <w:ilvl w:val="1"/>
                <w:numId w:val="59"/>
              </w:numPr>
              <w:rPr>
                <w:rFonts w:ascii="Arial" w:hAnsi="Arial" w:cs="Arial"/>
                <w:b/>
                <w:sz w:val="22"/>
                <w:szCs w:val="22"/>
              </w:rPr>
            </w:pPr>
          </w:p>
        </w:tc>
        <w:tc>
          <w:tcPr>
            <w:tcW w:w="3338" w:type="pct"/>
          </w:tcPr>
          <w:p w14:paraId="61E1BF64" w14:textId="77777777" w:rsidR="00336A6A" w:rsidRPr="00336A6A" w:rsidRDefault="00336A6A" w:rsidP="00336A6A">
            <w:pPr>
              <w:pStyle w:val="UK12Block"/>
              <w:rPr>
                <w:rFonts w:ascii="Arial" w:hAnsi="Arial" w:cs="Arial"/>
                <w:b/>
                <w:bCs/>
                <w:sz w:val="22"/>
                <w:szCs w:val="22"/>
              </w:rPr>
            </w:pPr>
            <w:r w:rsidRPr="00336A6A">
              <w:rPr>
                <w:rFonts w:ascii="Arial" w:hAnsi="Arial" w:cs="Arial"/>
                <w:b/>
                <w:bCs/>
                <w:sz w:val="22"/>
                <w:szCs w:val="22"/>
              </w:rPr>
              <w:t xml:space="preserve">Mining Reporting Entity or Petroleum Reporting information </w:t>
            </w:r>
          </w:p>
          <w:p w14:paraId="1D7EE810" w14:textId="2C7854D1" w:rsidR="00336A6A" w:rsidRPr="00FB2F3D" w:rsidRDefault="00336A6A" w:rsidP="00336A6A">
            <w:pPr>
              <w:pStyle w:val="UK12Block"/>
              <w:rPr>
                <w:rFonts w:ascii="Arial" w:hAnsi="Arial" w:cs="Arial"/>
                <w:b/>
                <w:sz w:val="22"/>
                <w:szCs w:val="22"/>
              </w:rPr>
            </w:pPr>
            <w:r w:rsidRPr="00336A6A">
              <w:rPr>
                <w:rFonts w:ascii="Arial" w:hAnsi="Arial" w:cs="Arial"/>
                <w:sz w:val="22"/>
                <w:szCs w:val="22"/>
              </w:rPr>
              <w:t>If the Issuer is a Mining Reporting Entity or Petroleum Reporting Entity, information to be disclosed under Chapter 11 of the Rules (including Rule 11.2.1) or under Chapter 12 of the Rules (including Rule 12.2.1).</w:t>
            </w:r>
          </w:p>
        </w:tc>
        <w:tc>
          <w:tcPr>
            <w:tcW w:w="125" w:type="pct"/>
          </w:tcPr>
          <w:p w14:paraId="2899828F" w14:textId="7FA0538B" w:rsidR="00336A6A" w:rsidRPr="00FB2F3D" w:rsidRDefault="008A2CAA" w:rsidP="00336A6A">
            <w:pPr>
              <w:pStyle w:val="UK12Block"/>
              <w:rPr>
                <w:rFonts w:ascii="Arial" w:eastAsia="Wingdings" w:hAnsi="Arial" w:cs="Arial"/>
                <w:sz w:val="22"/>
                <w:szCs w:val="22"/>
              </w:rPr>
            </w:pPr>
            <w:r w:rsidRPr="00FB2F3D">
              <w:rPr>
                <w:rFonts w:ascii="Arial" w:eastAsia="Wingdings" w:hAnsi="Arial" w:cs="Arial"/>
                <w:sz w:val="22"/>
                <w:szCs w:val="22"/>
              </w:rPr>
              <w:sym w:font="Wingdings" w:char="F0FC"/>
            </w:r>
          </w:p>
        </w:tc>
        <w:tc>
          <w:tcPr>
            <w:tcW w:w="226" w:type="pct"/>
          </w:tcPr>
          <w:p w14:paraId="24326C23" w14:textId="44B1EAB1" w:rsidR="00336A6A" w:rsidRPr="00FB2F3D" w:rsidRDefault="008A2CAA" w:rsidP="00336A6A">
            <w:pPr>
              <w:pStyle w:val="UK12Block"/>
              <w:rPr>
                <w:rFonts w:ascii="Arial" w:eastAsia="Wingdings" w:hAnsi="Arial" w:cs="Arial"/>
                <w:sz w:val="22"/>
                <w:szCs w:val="22"/>
              </w:rPr>
            </w:pPr>
            <w:r w:rsidRPr="00FB2F3D">
              <w:rPr>
                <w:rFonts w:ascii="Arial" w:eastAsia="Wingdings" w:hAnsi="Arial" w:cs="Arial"/>
                <w:sz w:val="22"/>
                <w:szCs w:val="22"/>
              </w:rPr>
              <w:sym w:font="Wingdings" w:char="F0FC"/>
            </w:r>
          </w:p>
        </w:tc>
        <w:tc>
          <w:tcPr>
            <w:tcW w:w="125" w:type="pct"/>
          </w:tcPr>
          <w:p w14:paraId="3D6B396E" w14:textId="77777777" w:rsidR="00336A6A" w:rsidRPr="00FB2F3D" w:rsidRDefault="00336A6A" w:rsidP="00336A6A">
            <w:pPr>
              <w:pStyle w:val="UK12Block"/>
              <w:rPr>
                <w:rFonts w:ascii="Arial" w:eastAsia="Wingdings" w:hAnsi="Arial" w:cs="Arial"/>
                <w:sz w:val="22"/>
                <w:szCs w:val="22"/>
              </w:rPr>
            </w:pPr>
          </w:p>
        </w:tc>
        <w:tc>
          <w:tcPr>
            <w:tcW w:w="252" w:type="pct"/>
          </w:tcPr>
          <w:p w14:paraId="55870C13" w14:textId="77777777" w:rsidR="00336A6A" w:rsidRPr="00FB2F3D" w:rsidRDefault="00336A6A" w:rsidP="00336A6A">
            <w:pPr>
              <w:pStyle w:val="UK12Block"/>
              <w:rPr>
                <w:rFonts w:ascii="Arial" w:eastAsia="Wingdings" w:hAnsi="Arial" w:cs="Arial"/>
                <w:sz w:val="22"/>
                <w:szCs w:val="22"/>
              </w:rPr>
            </w:pPr>
          </w:p>
        </w:tc>
        <w:tc>
          <w:tcPr>
            <w:tcW w:w="219" w:type="pct"/>
          </w:tcPr>
          <w:p w14:paraId="38E709F2" w14:textId="78856822" w:rsidR="00336A6A" w:rsidRPr="00FB2F3D" w:rsidRDefault="008A2CAA" w:rsidP="00336A6A">
            <w:pPr>
              <w:pStyle w:val="UK12Block"/>
              <w:rPr>
                <w:rFonts w:ascii="Arial" w:eastAsia="Wingdings" w:hAnsi="Arial" w:cs="Arial"/>
                <w:sz w:val="22"/>
                <w:szCs w:val="22"/>
              </w:rPr>
            </w:pPr>
            <w:r w:rsidRPr="00FB2F3D">
              <w:rPr>
                <w:rFonts w:ascii="Arial" w:eastAsia="Wingdings" w:hAnsi="Arial" w:cs="Arial"/>
                <w:sz w:val="22"/>
                <w:szCs w:val="22"/>
              </w:rPr>
              <w:sym w:font="Wingdings" w:char="F0FC"/>
            </w:r>
          </w:p>
        </w:tc>
        <w:tc>
          <w:tcPr>
            <w:tcW w:w="220" w:type="pct"/>
          </w:tcPr>
          <w:p w14:paraId="127568FA" w14:textId="77777777" w:rsidR="00336A6A" w:rsidRPr="00FB2F3D" w:rsidRDefault="00336A6A" w:rsidP="00336A6A">
            <w:pPr>
              <w:pStyle w:val="UK12Block"/>
              <w:rPr>
                <w:rFonts w:ascii="Arial" w:eastAsia="Wingdings" w:hAnsi="Arial" w:cs="Arial"/>
                <w:sz w:val="22"/>
                <w:szCs w:val="22"/>
              </w:rPr>
            </w:pPr>
          </w:p>
        </w:tc>
        <w:tc>
          <w:tcPr>
            <w:tcW w:w="190" w:type="pct"/>
          </w:tcPr>
          <w:p w14:paraId="3D48ED0D" w14:textId="30F8C668" w:rsidR="00336A6A" w:rsidRPr="00FB2F3D" w:rsidRDefault="008A2CAA" w:rsidP="00336A6A">
            <w:pPr>
              <w:pStyle w:val="UK12Block"/>
              <w:rPr>
                <w:rFonts w:ascii="Arial" w:eastAsia="Wingdings" w:hAnsi="Arial" w:cs="Arial"/>
                <w:sz w:val="22"/>
                <w:szCs w:val="22"/>
              </w:rPr>
            </w:pPr>
            <w:r w:rsidRPr="00FB2F3D">
              <w:rPr>
                <w:rFonts w:ascii="Arial" w:eastAsia="Wingdings" w:hAnsi="Arial" w:cs="Arial"/>
                <w:sz w:val="22"/>
                <w:szCs w:val="22"/>
              </w:rPr>
              <w:sym w:font="Wingdings" w:char="F0FC"/>
            </w:r>
          </w:p>
        </w:tc>
      </w:tr>
    </w:tbl>
    <w:p w14:paraId="4F878DB7" w14:textId="77777777" w:rsidR="00162E0C" w:rsidRPr="00FB2F3D" w:rsidRDefault="00162E0C" w:rsidP="00265C63">
      <w:pPr>
        <w:pStyle w:val="UK12Block"/>
        <w:rPr>
          <w:rFonts w:ascii="Arial" w:hAnsi="Arial" w:cs="Arial"/>
          <w:sz w:val="22"/>
          <w:szCs w:val="22"/>
          <w:lang w:eastAsia="ja-JP"/>
        </w:rPr>
      </w:pPr>
    </w:p>
    <w:p w14:paraId="1E5487A4" w14:textId="77777777" w:rsidR="00162E0C" w:rsidRPr="00FB2F3D" w:rsidRDefault="00162E0C" w:rsidP="00265C63">
      <w:pPr>
        <w:pStyle w:val="UK12Block"/>
        <w:rPr>
          <w:rFonts w:ascii="Arial" w:hAnsi="Arial" w:cs="Arial"/>
          <w:sz w:val="22"/>
          <w:szCs w:val="22"/>
          <w:lang w:eastAsia="ja-JP"/>
        </w:rPr>
      </w:pPr>
      <w:r w:rsidRPr="00FB2F3D">
        <w:rPr>
          <w:rFonts w:ascii="Arial" w:hAnsi="Arial" w:cs="Arial"/>
          <w:sz w:val="22"/>
          <w:szCs w:val="22"/>
          <w:lang w:eastAsia="ja-JP"/>
        </w:rPr>
        <w:br w:type="page"/>
      </w:r>
    </w:p>
    <w:p w14:paraId="2BE4501B" w14:textId="77777777" w:rsidR="00162E0C" w:rsidRPr="00FB2F3D" w:rsidRDefault="004B46BD" w:rsidP="00BB50FA">
      <w:pPr>
        <w:pStyle w:val="S2Heading2"/>
        <w:rPr>
          <w:rFonts w:ascii="Arial" w:hAnsi="Arial" w:cs="Arial"/>
          <w:sz w:val="22"/>
          <w:szCs w:val="22"/>
        </w:rPr>
      </w:pPr>
      <w:bookmarkStart w:id="904" w:name="_Ref410049716"/>
      <w:bookmarkStart w:id="905" w:name="_Toc410136276"/>
      <w:bookmarkStart w:id="906" w:name="_Toc410605986"/>
      <w:bookmarkStart w:id="907" w:name="_Toc410658922"/>
      <w:bookmarkStart w:id="908" w:name="_Toc410659052"/>
      <w:bookmarkStart w:id="909" w:name="_Toc410835594"/>
      <w:bookmarkStart w:id="910" w:name="_Toc138325743"/>
      <w:r w:rsidRPr="00FB2F3D">
        <w:rPr>
          <w:rFonts w:ascii="Arial" w:hAnsi="Arial" w:cs="Arial"/>
          <w:sz w:val="22"/>
          <w:szCs w:val="22"/>
        </w:rPr>
        <w:lastRenderedPageBreak/>
        <w:t>Securities</w:t>
      </w:r>
      <w:r w:rsidR="00162E0C" w:rsidRPr="00FB2F3D">
        <w:rPr>
          <w:rFonts w:ascii="Arial" w:hAnsi="Arial" w:cs="Arial"/>
          <w:sz w:val="22"/>
          <w:szCs w:val="22"/>
        </w:rPr>
        <w:t xml:space="preserve"> note</w:t>
      </w:r>
      <w:bookmarkEnd w:id="904"/>
      <w:bookmarkEnd w:id="905"/>
      <w:bookmarkEnd w:id="906"/>
      <w:bookmarkEnd w:id="907"/>
      <w:bookmarkEnd w:id="908"/>
      <w:bookmarkEnd w:id="909"/>
      <w:bookmarkEnd w:id="910"/>
    </w:p>
    <w:p w14:paraId="70E1F81E" w14:textId="77777777" w:rsidR="00162E0C" w:rsidRPr="00FB2F3D" w:rsidRDefault="00162E0C" w:rsidP="00BB50FA">
      <w:pPr>
        <w:pStyle w:val="S2Heading3"/>
        <w:rPr>
          <w:rFonts w:ascii="Arial" w:hAnsi="Arial" w:cs="Arial"/>
          <w:sz w:val="22"/>
          <w:szCs w:val="22"/>
        </w:rPr>
      </w:pPr>
      <w:bookmarkStart w:id="911" w:name="_Toc410659053"/>
      <w:r w:rsidRPr="00FB2F3D">
        <w:rPr>
          <w:rFonts w:ascii="Arial" w:hAnsi="Arial" w:cs="Arial"/>
          <w:sz w:val="22"/>
          <w:szCs w:val="22"/>
        </w:rPr>
        <w:t>This table forms part of Rule </w:t>
      </w:r>
      <w:r w:rsidR="00693841" w:rsidRPr="00FB2F3D">
        <w:rPr>
          <w:rFonts w:ascii="Arial" w:hAnsi="Arial" w:cs="Arial"/>
          <w:sz w:val="22"/>
          <w:szCs w:val="22"/>
        </w:rPr>
        <w:t>4.5.1(3)(c)</w:t>
      </w:r>
      <w:r w:rsidRPr="00FB2F3D">
        <w:rPr>
          <w:rFonts w:ascii="Arial" w:hAnsi="Arial" w:cs="Arial"/>
          <w:sz w:val="22"/>
          <w:szCs w:val="22"/>
        </w:rPr>
        <w:t>.</w:t>
      </w:r>
      <w:bookmarkEnd w:id="911"/>
    </w:p>
    <w:p w14:paraId="27F88EB6" w14:textId="77777777" w:rsidR="00162E0C" w:rsidRPr="00FB2F3D" w:rsidRDefault="007441BA" w:rsidP="00BB50FA">
      <w:pPr>
        <w:pStyle w:val="S2Heading3"/>
        <w:ind w:left="1440" w:hanging="1440"/>
        <w:rPr>
          <w:rFonts w:ascii="Arial" w:hAnsi="Arial" w:cs="Arial"/>
          <w:sz w:val="22"/>
          <w:szCs w:val="22"/>
        </w:rPr>
      </w:pPr>
      <w:bookmarkStart w:id="912" w:name="_Ref410634325"/>
      <w:bookmarkStart w:id="913" w:name="_Toc410659054"/>
      <w:r w:rsidRPr="00FB2F3D">
        <w:rPr>
          <w:rFonts w:ascii="Arial" w:hAnsi="Arial" w:cs="Arial"/>
          <w:sz w:val="22"/>
          <w:szCs w:val="22"/>
        </w:rPr>
        <w:t>(1)</w:t>
      </w:r>
      <w:r w:rsidR="00BB50FA" w:rsidRPr="00FB2F3D">
        <w:rPr>
          <w:rFonts w:ascii="Arial" w:hAnsi="Arial" w:cs="Arial"/>
          <w:sz w:val="22"/>
          <w:szCs w:val="22"/>
        </w:rPr>
        <w:tab/>
      </w:r>
      <w:r w:rsidR="00162E0C" w:rsidRPr="00FB2F3D">
        <w:rPr>
          <w:rFonts w:ascii="Arial" w:hAnsi="Arial" w:cs="Arial"/>
          <w:sz w:val="22"/>
          <w:szCs w:val="22"/>
        </w:rPr>
        <w:t>The reference to an "</w:t>
      </w:r>
      <w:r w:rsidR="000A19CB" w:rsidRPr="00FB2F3D">
        <w:rPr>
          <w:rFonts w:ascii="Arial" w:hAnsi="Arial" w:cs="Arial"/>
          <w:sz w:val="22"/>
          <w:szCs w:val="22"/>
        </w:rPr>
        <w:t>Issuer</w:t>
      </w:r>
      <w:r w:rsidR="00162E0C" w:rsidRPr="00FB2F3D">
        <w:rPr>
          <w:rFonts w:ascii="Arial" w:hAnsi="Arial" w:cs="Arial"/>
          <w:sz w:val="22"/>
          <w:szCs w:val="22"/>
        </w:rPr>
        <w:t xml:space="preserve">" in this </w:t>
      </w:r>
      <w:r w:rsidR="00693841" w:rsidRPr="00FB2F3D">
        <w:rPr>
          <w:rFonts w:ascii="Arial" w:hAnsi="Arial" w:cs="Arial"/>
          <w:sz w:val="22"/>
          <w:szCs w:val="22"/>
        </w:rPr>
        <w:t>APP 1</w:t>
      </w:r>
      <w:r w:rsidR="00C553C6" w:rsidRPr="00FB2F3D">
        <w:rPr>
          <w:rFonts w:ascii="Arial" w:hAnsi="Arial" w:cs="Arial"/>
          <w:sz w:val="22"/>
          <w:szCs w:val="22"/>
        </w:rPr>
        <w:t xml:space="preserve"> </w:t>
      </w:r>
      <w:r w:rsidR="00162E0C" w:rsidRPr="00FB2F3D">
        <w:rPr>
          <w:rFonts w:ascii="Arial" w:hAnsi="Arial" w:cs="Arial"/>
          <w:sz w:val="22"/>
          <w:szCs w:val="22"/>
        </w:rPr>
        <w:t xml:space="preserve">is a reference to the Person offering </w:t>
      </w:r>
      <w:r w:rsidR="004B46BD" w:rsidRPr="00FB2F3D">
        <w:rPr>
          <w:rFonts w:ascii="Arial" w:hAnsi="Arial" w:cs="Arial"/>
          <w:sz w:val="22"/>
          <w:szCs w:val="22"/>
        </w:rPr>
        <w:t>Securities</w:t>
      </w:r>
      <w:r w:rsidR="00162E0C" w:rsidRPr="00FB2F3D">
        <w:rPr>
          <w:rFonts w:ascii="Arial" w:hAnsi="Arial" w:cs="Arial"/>
          <w:sz w:val="22"/>
          <w:szCs w:val="22"/>
        </w:rPr>
        <w:t xml:space="preserve"> under the Prospectus as specified in Rule </w:t>
      </w:r>
      <w:r w:rsidR="00693841" w:rsidRPr="00FB2F3D">
        <w:rPr>
          <w:rFonts w:ascii="Arial" w:hAnsi="Arial" w:cs="Arial"/>
          <w:sz w:val="22"/>
          <w:szCs w:val="22"/>
        </w:rPr>
        <w:t>1.1.1(2)(a)</w:t>
      </w:r>
      <w:r w:rsidR="0098450E" w:rsidRPr="00FB2F3D">
        <w:rPr>
          <w:rFonts w:ascii="Arial" w:hAnsi="Arial" w:cs="Arial"/>
          <w:sz w:val="22"/>
          <w:szCs w:val="22"/>
        </w:rPr>
        <w:t xml:space="preserve"> and </w:t>
      </w:r>
      <w:r w:rsidR="00693841" w:rsidRPr="00FB2F3D">
        <w:rPr>
          <w:rFonts w:ascii="Arial" w:hAnsi="Arial" w:cs="Arial"/>
          <w:sz w:val="22"/>
          <w:szCs w:val="22"/>
        </w:rPr>
        <w:t>(b)</w:t>
      </w:r>
      <w:r w:rsidR="00162E0C" w:rsidRPr="00FB2F3D">
        <w:rPr>
          <w:rFonts w:ascii="Arial" w:hAnsi="Arial" w:cs="Arial"/>
          <w:sz w:val="22"/>
          <w:szCs w:val="22"/>
        </w:rPr>
        <w:t>.</w:t>
      </w:r>
      <w:bookmarkEnd w:id="912"/>
      <w:bookmarkEnd w:id="913"/>
    </w:p>
    <w:p w14:paraId="0587A0AE" w14:textId="77777777" w:rsidR="00162E0C" w:rsidRPr="00FB2F3D" w:rsidRDefault="00CF1201" w:rsidP="00CF1201">
      <w:pPr>
        <w:pStyle w:val="S2Heading4"/>
        <w:numPr>
          <w:ilvl w:val="0"/>
          <w:numId w:val="0"/>
        </w:numPr>
        <w:ind w:left="1440" w:hanging="540"/>
        <w:rPr>
          <w:rFonts w:ascii="Arial" w:hAnsi="Arial" w:cs="Arial"/>
          <w:sz w:val="22"/>
          <w:szCs w:val="22"/>
        </w:rPr>
      </w:pPr>
      <w:bookmarkStart w:id="914" w:name="_Toc410659055"/>
      <w:r w:rsidRPr="00FB2F3D">
        <w:rPr>
          <w:rFonts w:ascii="Arial" w:hAnsi="Arial" w:cs="Arial"/>
          <w:sz w:val="22"/>
          <w:szCs w:val="22"/>
        </w:rPr>
        <w:t>(2)</w:t>
      </w:r>
      <w:r w:rsidRPr="00FB2F3D">
        <w:rPr>
          <w:rFonts w:ascii="Arial" w:hAnsi="Arial" w:cs="Arial"/>
          <w:sz w:val="22"/>
          <w:szCs w:val="22"/>
        </w:rPr>
        <w:tab/>
      </w:r>
      <w:r w:rsidR="00162E0C" w:rsidRPr="00FB2F3D">
        <w:rPr>
          <w:rFonts w:ascii="Arial" w:hAnsi="Arial" w:cs="Arial"/>
          <w:sz w:val="22"/>
          <w:szCs w:val="22"/>
        </w:rPr>
        <w:t xml:space="preserve">An </w:t>
      </w:r>
      <w:r w:rsidR="000A19CB" w:rsidRPr="00FB2F3D">
        <w:rPr>
          <w:rFonts w:ascii="Arial" w:hAnsi="Arial" w:cs="Arial"/>
          <w:sz w:val="22"/>
          <w:szCs w:val="22"/>
        </w:rPr>
        <w:t>Issuer</w:t>
      </w:r>
      <w:r w:rsidR="00162E0C" w:rsidRPr="00FB2F3D">
        <w:rPr>
          <w:rFonts w:ascii="Arial" w:hAnsi="Arial" w:cs="Arial"/>
          <w:sz w:val="22"/>
          <w:szCs w:val="22"/>
        </w:rPr>
        <w:t xml:space="preserve"> must include the specified information in relation to the </w:t>
      </w:r>
      <w:r w:rsidR="004B46BD" w:rsidRPr="00FB2F3D">
        <w:rPr>
          <w:rFonts w:ascii="Arial" w:hAnsi="Arial" w:cs="Arial"/>
          <w:sz w:val="22"/>
          <w:szCs w:val="22"/>
        </w:rPr>
        <w:t>Securities</w:t>
      </w:r>
      <w:r w:rsidR="00162E0C" w:rsidRPr="00FB2F3D">
        <w:rPr>
          <w:rFonts w:ascii="Arial" w:hAnsi="Arial" w:cs="Arial"/>
          <w:sz w:val="22"/>
          <w:szCs w:val="22"/>
        </w:rPr>
        <w:t xml:space="preserve"> identified with a "</w:t>
      </w:r>
      <w:r w:rsidR="00162E0C" w:rsidRPr="00FB2F3D">
        <w:rPr>
          <w:rFonts w:ascii="Arial" w:eastAsia="Wingdings" w:hAnsi="Arial" w:cs="Arial"/>
          <w:sz w:val="22"/>
          <w:szCs w:val="22"/>
        </w:rPr>
        <w:sym w:font="Wingdings" w:char="F0FC"/>
      </w:r>
      <w:r w:rsidR="00162E0C" w:rsidRPr="00FB2F3D">
        <w:rPr>
          <w:rFonts w:ascii="Arial" w:hAnsi="Arial" w:cs="Arial"/>
          <w:sz w:val="22"/>
          <w:szCs w:val="22"/>
        </w:rPr>
        <w:t>" in this table which are the subject of the relevant Prospectus.</w:t>
      </w:r>
      <w:bookmarkEnd w:id="914"/>
    </w:p>
    <w:p w14:paraId="3F2BEE68" w14:textId="7D940647" w:rsidR="00CF1201" w:rsidRPr="00FB2F3D" w:rsidRDefault="00CF1201" w:rsidP="00CF1201">
      <w:pPr>
        <w:pStyle w:val="S2Heading4"/>
        <w:numPr>
          <w:ilvl w:val="0"/>
          <w:numId w:val="0"/>
        </w:numPr>
        <w:ind w:left="1440" w:hanging="540"/>
        <w:rPr>
          <w:rFonts w:ascii="Arial" w:hAnsi="Arial" w:cs="Arial"/>
          <w:sz w:val="22"/>
          <w:szCs w:val="22"/>
        </w:rPr>
      </w:pPr>
      <w:r w:rsidRPr="00FB2F3D">
        <w:rPr>
          <w:rFonts w:ascii="Arial" w:hAnsi="Arial" w:cs="Arial"/>
          <w:sz w:val="22"/>
          <w:szCs w:val="22"/>
        </w:rPr>
        <w:t>(3)</w:t>
      </w:r>
      <w:r w:rsidRPr="00FB2F3D">
        <w:rPr>
          <w:rFonts w:ascii="Arial" w:hAnsi="Arial" w:cs="Arial"/>
          <w:sz w:val="22"/>
          <w:szCs w:val="22"/>
        </w:rPr>
        <w:tab/>
      </w:r>
      <w:r w:rsidRPr="00FB2F3D">
        <w:rPr>
          <w:rFonts w:ascii="Arial" w:eastAsia="Times New Roman" w:hAnsi="Arial" w:cs="Arial"/>
          <w:iCs w:val="0"/>
          <w:color w:val="000000" w:themeColor="text1"/>
          <w:sz w:val="22"/>
          <w:szCs w:val="22"/>
          <w:lang w:eastAsia="ar-SA"/>
        </w:rPr>
        <w:t>If an asteri</w:t>
      </w:r>
      <w:r w:rsidR="0086537B">
        <w:rPr>
          <w:rFonts w:ascii="Arial" w:eastAsia="Times New Roman" w:hAnsi="Arial" w:cs="Arial"/>
          <w:iCs w:val="0"/>
          <w:color w:val="000000" w:themeColor="text1"/>
          <w:sz w:val="22"/>
          <w:szCs w:val="22"/>
          <w:lang w:eastAsia="ar-SA"/>
        </w:rPr>
        <w:t>sk</w:t>
      </w:r>
      <w:r w:rsidRPr="00FB2F3D">
        <w:rPr>
          <w:rFonts w:ascii="Arial" w:eastAsia="Times New Roman" w:hAnsi="Arial" w:cs="Arial"/>
          <w:iCs w:val="0"/>
          <w:color w:val="000000" w:themeColor="text1"/>
          <w:sz w:val="22"/>
          <w:szCs w:val="22"/>
          <w:lang w:eastAsia="ar-SA"/>
        </w:rPr>
        <w:t xml:space="preserve"> is used when identifying a Security, the requirement to provide the item of information for that Security is qualified as specified in the relevant item.</w:t>
      </w:r>
    </w:p>
    <w:tbl>
      <w:tblPr>
        <w:tblStyle w:val="TableGrid"/>
        <w:tblW w:w="14170" w:type="dxa"/>
        <w:tblLayout w:type="fixed"/>
        <w:tblLook w:val="0480" w:firstRow="0" w:lastRow="0" w:firstColumn="1" w:lastColumn="0" w:noHBand="0" w:noVBand="1"/>
      </w:tblPr>
      <w:tblGrid>
        <w:gridCol w:w="648"/>
        <w:gridCol w:w="9630"/>
        <w:gridCol w:w="360"/>
        <w:gridCol w:w="630"/>
        <w:gridCol w:w="360"/>
        <w:gridCol w:w="720"/>
        <w:gridCol w:w="630"/>
        <w:gridCol w:w="630"/>
        <w:gridCol w:w="562"/>
      </w:tblGrid>
      <w:tr w:rsidR="00162E0C" w:rsidRPr="00FB2F3D" w14:paraId="444137CD" w14:textId="77777777" w:rsidTr="00CF1201">
        <w:trPr>
          <w:tblHeader/>
        </w:trPr>
        <w:tc>
          <w:tcPr>
            <w:tcW w:w="14170" w:type="dxa"/>
            <w:gridSpan w:val="9"/>
          </w:tcPr>
          <w:p w14:paraId="1365D24B" w14:textId="77777777" w:rsidR="00162E0C" w:rsidRPr="00FB2F3D" w:rsidRDefault="00162E0C" w:rsidP="00F817D8">
            <w:pPr>
              <w:pStyle w:val="UK12Block"/>
              <w:keepNext/>
              <w:spacing w:after="0"/>
              <w:jc w:val="right"/>
              <w:rPr>
                <w:rFonts w:ascii="Arial" w:hAnsi="Arial" w:cs="Arial"/>
                <w:b/>
                <w:sz w:val="22"/>
                <w:szCs w:val="22"/>
                <w:lang w:eastAsia="ja-JP"/>
              </w:rPr>
            </w:pPr>
            <w:r w:rsidRPr="00FB2F3D">
              <w:rPr>
                <w:rFonts w:ascii="Arial" w:hAnsi="Arial" w:cs="Arial"/>
                <w:b/>
                <w:sz w:val="22"/>
                <w:szCs w:val="22"/>
                <w:lang w:eastAsia="ja-JP"/>
              </w:rPr>
              <w:t>A1.2.1</w:t>
            </w:r>
          </w:p>
        </w:tc>
      </w:tr>
      <w:tr w:rsidR="00162E0C" w:rsidRPr="00FB2F3D" w14:paraId="6A276C8C" w14:textId="77777777" w:rsidTr="00CF1201">
        <w:trPr>
          <w:cantSplit/>
          <w:trHeight w:val="1426"/>
          <w:tblHeader/>
        </w:trPr>
        <w:tc>
          <w:tcPr>
            <w:tcW w:w="648" w:type="dxa"/>
          </w:tcPr>
          <w:p w14:paraId="150681ED" w14:textId="77777777" w:rsidR="00162E0C" w:rsidRPr="00FB2F3D" w:rsidRDefault="00162E0C" w:rsidP="00F817D8">
            <w:pPr>
              <w:pStyle w:val="UK12Block"/>
              <w:keepNext/>
              <w:rPr>
                <w:rFonts w:ascii="Arial" w:hAnsi="Arial" w:cs="Arial"/>
                <w:sz w:val="22"/>
                <w:szCs w:val="22"/>
              </w:rPr>
            </w:pPr>
          </w:p>
        </w:tc>
        <w:tc>
          <w:tcPr>
            <w:tcW w:w="9630" w:type="dxa"/>
          </w:tcPr>
          <w:p w14:paraId="35B31B65" w14:textId="77777777" w:rsidR="00162E0C" w:rsidRPr="00FB2F3D" w:rsidRDefault="00162E0C" w:rsidP="00F817D8">
            <w:pPr>
              <w:pStyle w:val="UK12Block"/>
              <w:keepNext/>
              <w:rPr>
                <w:rFonts w:ascii="Arial" w:hAnsi="Arial" w:cs="Arial"/>
                <w:b/>
                <w:sz w:val="22"/>
                <w:szCs w:val="22"/>
              </w:rPr>
            </w:pPr>
            <w:r w:rsidRPr="00FB2F3D">
              <w:rPr>
                <w:rFonts w:ascii="Arial" w:hAnsi="Arial" w:cs="Arial"/>
                <w:b/>
                <w:sz w:val="22"/>
                <w:szCs w:val="22"/>
              </w:rPr>
              <w:t>CONTENTS OF PROSPECTUS – SECURITIES NOTE</w:t>
            </w:r>
          </w:p>
        </w:tc>
        <w:tc>
          <w:tcPr>
            <w:tcW w:w="360" w:type="dxa"/>
            <w:textDirection w:val="tbRl"/>
          </w:tcPr>
          <w:p w14:paraId="332EB14E" w14:textId="77777777" w:rsidR="00162E0C" w:rsidRPr="00FB2F3D" w:rsidRDefault="00162E0C" w:rsidP="00FE28B5">
            <w:pPr>
              <w:pStyle w:val="UK10Block"/>
              <w:keepNext/>
              <w:spacing w:line="240" w:lineRule="auto"/>
              <w:jc w:val="left"/>
              <w:rPr>
                <w:rFonts w:ascii="Arial" w:hAnsi="Arial" w:cs="Arial"/>
                <w:sz w:val="22"/>
                <w:szCs w:val="22"/>
              </w:rPr>
            </w:pPr>
            <w:r w:rsidRPr="00FB2F3D">
              <w:rPr>
                <w:rFonts w:ascii="Arial" w:hAnsi="Arial" w:cs="Arial"/>
                <w:sz w:val="22"/>
                <w:szCs w:val="22"/>
              </w:rPr>
              <w:t>Shares</w:t>
            </w:r>
          </w:p>
        </w:tc>
        <w:tc>
          <w:tcPr>
            <w:tcW w:w="630" w:type="dxa"/>
            <w:textDirection w:val="tbRl"/>
          </w:tcPr>
          <w:p w14:paraId="2154DF58" w14:textId="77777777" w:rsidR="00162E0C" w:rsidRPr="00FB2F3D" w:rsidRDefault="00162E0C" w:rsidP="00FE28B5">
            <w:pPr>
              <w:pStyle w:val="UK10Block"/>
              <w:keepNext/>
              <w:spacing w:line="240" w:lineRule="auto"/>
              <w:jc w:val="left"/>
              <w:rPr>
                <w:rFonts w:ascii="Arial" w:hAnsi="Arial" w:cs="Arial"/>
                <w:sz w:val="22"/>
                <w:szCs w:val="22"/>
              </w:rPr>
            </w:pPr>
            <w:r w:rsidRPr="00FB2F3D">
              <w:rPr>
                <w:rFonts w:ascii="Arial" w:hAnsi="Arial" w:cs="Arial"/>
                <w:sz w:val="22"/>
                <w:szCs w:val="22"/>
              </w:rPr>
              <w:t>Warrants over Shares</w:t>
            </w:r>
          </w:p>
        </w:tc>
        <w:tc>
          <w:tcPr>
            <w:tcW w:w="360" w:type="dxa"/>
            <w:textDirection w:val="tbRl"/>
          </w:tcPr>
          <w:p w14:paraId="5008FCEC" w14:textId="77777777" w:rsidR="00162E0C" w:rsidRPr="00FB2F3D" w:rsidRDefault="00162E0C" w:rsidP="00FE28B5">
            <w:pPr>
              <w:pStyle w:val="UK10Block"/>
              <w:keepNext/>
              <w:spacing w:line="240" w:lineRule="auto"/>
              <w:jc w:val="left"/>
              <w:rPr>
                <w:rFonts w:ascii="Arial" w:hAnsi="Arial" w:cs="Arial"/>
                <w:sz w:val="22"/>
                <w:szCs w:val="22"/>
              </w:rPr>
            </w:pPr>
            <w:r w:rsidRPr="00FB2F3D">
              <w:rPr>
                <w:rFonts w:ascii="Arial" w:hAnsi="Arial" w:cs="Arial"/>
                <w:sz w:val="22"/>
                <w:szCs w:val="22"/>
              </w:rPr>
              <w:t>Debentures</w:t>
            </w:r>
          </w:p>
        </w:tc>
        <w:tc>
          <w:tcPr>
            <w:tcW w:w="720" w:type="dxa"/>
            <w:textDirection w:val="tbRl"/>
          </w:tcPr>
          <w:p w14:paraId="03DBCE4B" w14:textId="77777777" w:rsidR="00162E0C" w:rsidRPr="00FB2F3D" w:rsidRDefault="00162E0C" w:rsidP="00FE28B5">
            <w:pPr>
              <w:pStyle w:val="UK10Block"/>
              <w:keepNext/>
              <w:spacing w:line="240" w:lineRule="auto"/>
              <w:jc w:val="left"/>
              <w:rPr>
                <w:rFonts w:ascii="Arial" w:hAnsi="Arial" w:cs="Arial"/>
                <w:sz w:val="22"/>
                <w:szCs w:val="22"/>
              </w:rPr>
            </w:pPr>
            <w:r w:rsidRPr="00FB2F3D">
              <w:rPr>
                <w:rFonts w:ascii="Arial" w:hAnsi="Arial" w:cs="Arial"/>
                <w:sz w:val="22"/>
                <w:szCs w:val="22"/>
              </w:rPr>
              <w:t>Warrants over</w:t>
            </w:r>
            <w:r w:rsidRPr="00FB2F3D">
              <w:rPr>
                <w:rFonts w:ascii="Arial" w:hAnsi="Arial" w:cs="Arial"/>
                <w:sz w:val="22"/>
                <w:szCs w:val="22"/>
                <w:lang w:eastAsia="ja-JP"/>
              </w:rPr>
              <w:t xml:space="preserve"> </w:t>
            </w:r>
            <w:r w:rsidRPr="00FB2F3D">
              <w:rPr>
                <w:rFonts w:ascii="Arial" w:hAnsi="Arial" w:cs="Arial"/>
                <w:sz w:val="22"/>
                <w:szCs w:val="22"/>
              </w:rPr>
              <w:t>Debentures</w:t>
            </w:r>
          </w:p>
        </w:tc>
        <w:tc>
          <w:tcPr>
            <w:tcW w:w="630" w:type="dxa"/>
            <w:textDirection w:val="tbRl"/>
          </w:tcPr>
          <w:p w14:paraId="2285BD95" w14:textId="77777777" w:rsidR="00162E0C" w:rsidRPr="00FB2F3D" w:rsidRDefault="00162E0C" w:rsidP="00FE28B5">
            <w:pPr>
              <w:pStyle w:val="UK10Block"/>
              <w:keepNext/>
              <w:spacing w:line="240" w:lineRule="auto"/>
              <w:jc w:val="left"/>
              <w:rPr>
                <w:rFonts w:ascii="Arial" w:hAnsi="Arial" w:cs="Arial"/>
                <w:sz w:val="22"/>
                <w:szCs w:val="22"/>
              </w:rPr>
            </w:pPr>
            <w:r w:rsidRPr="00FB2F3D">
              <w:rPr>
                <w:rFonts w:ascii="Arial" w:hAnsi="Arial" w:cs="Arial"/>
                <w:sz w:val="22"/>
                <w:szCs w:val="22"/>
              </w:rPr>
              <w:t>Certificates over</w:t>
            </w:r>
            <w:r w:rsidRPr="00FB2F3D">
              <w:rPr>
                <w:rFonts w:ascii="Arial" w:hAnsi="Arial" w:cs="Arial"/>
                <w:sz w:val="22"/>
                <w:szCs w:val="22"/>
                <w:lang w:eastAsia="ja-JP"/>
              </w:rPr>
              <w:t xml:space="preserve"> </w:t>
            </w:r>
            <w:r w:rsidRPr="00FB2F3D">
              <w:rPr>
                <w:rFonts w:ascii="Arial" w:hAnsi="Arial" w:cs="Arial"/>
                <w:sz w:val="22"/>
                <w:szCs w:val="22"/>
              </w:rPr>
              <w:t>Shares</w:t>
            </w:r>
          </w:p>
        </w:tc>
        <w:tc>
          <w:tcPr>
            <w:tcW w:w="630" w:type="dxa"/>
            <w:textDirection w:val="tbRl"/>
          </w:tcPr>
          <w:p w14:paraId="7FC6C8A7" w14:textId="77777777" w:rsidR="00162E0C" w:rsidRPr="00FB2F3D" w:rsidRDefault="00162E0C" w:rsidP="00FE28B5">
            <w:pPr>
              <w:pStyle w:val="UK10Block"/>
              <w:keepNext/>
              <w:spacing w:line="240" w:lineRule="auto"/>
              <w:jc w:val="left"/>
              <w:rPr>
                <w:rFonts w:ascii="Arial" w:hAnsi="Arial" w:cs="Arial"/>
                <w:sz w:val="22"/>
                <w:szCs w:val="22"/>
              </w:rPr>
            </w:pPr>
            <w:r w:rsidRPr="00FB2F3D">
              <w:rPr>
                <w:rFonts w:ascii="Arial" w:hAnsi="Arial" w:cs="Arial"/>
                <w:sz w:val="22"/>
                <w:szCs w:val="22"/>
              </w:rPr>
              <w:t>Certificates over</w:t>
            </w:r>
            <w:r w:rsidRPr="00FB2F3D">
              <w:rPr>
                <w:rFonts w:ascii="Arial" w:hAnsi="Arial" w:cs="Arial"/>
                <w:sz w:val="22"/>
                <w:szCs w:val="22"/>
                <w:lang w:eastAsia="ja-JP"/>
              </w:rPr>
              <w:t xml:space="preserve"> </w:t>
            </w:r>
            <w:r w:rsidRPr="00FB2F3D">
              <w:rPr>
                <w:rFonts w:ascii="Arial" w:hAnsi="Arial" w:cs="Arial"/>
                <w:sz w:val="22"/>
                <w:szCs w:val="22"/>
              </w:rPr>
              <w:t>Debentures</w:t>
            </w:r>
          </w:p>
        </w:tc>
        <w:tc>
          <w:tcPr>
            <w:tcW w:w="562" w:type="dxa"/>
            <w:textDirection w:val="tbRl"/>
          </w:tcPr>
          <w:p w14:paraId="080CB278" w14:textId="77777777" w:rsidR="00162E0C" w:rsidRPr="00FB2F3D" w:rsidRDefault="00162E0C" w:rsidP="00FE28B5">
            <w:pPr>
              <w:pStyle w:val="UK10Block"/>
              <w:keepNext/>
              <w:spacing w:line="240" w:lineRule="auto"/>
              <w:jc w:val="left"/>
              <w:rPr>
                <w:rFonts w:ascii="Arial" w:hAnsi="Arial" w:cs="Arial"/>
                <w:sz w:val="22"/>
                <w:szCs w:val="22"/>
              </w:rPr>
            </w:pPr>
            <w:r w:rsidRPr="00FB2F3D">
              <w:rPr>
                <w:rFonts w:ascii="Arial" w:hAnsi="Arial" w:cs="Arial"/>
                <w:sz w:val="22"/>
                <w:szCs w:val="22"/>
              </w:rPr>
              <w:t>Structured</w:t>
            </w:r>
            <w:r w:rsidRPr="00FB2F3D">
              <w:rPr>
                <w:rFonts w:ascii="Arial" w:hAnsi="Arial" w:cs="Arial"/>
                <w:sz w:val="22"/>
                <w:szCs w:val="22"/>
                <w:lang w:eastAsia="ja-JP"/>
              </w:rPr>
              <w:t xml:space="preserve"> </w:t>
            </w:r>
            <w:r w:rsidRPr="00FB2F3D">
              <w:rPr>
                <w:rFonts w:ascii="Arial" w:hAnsi="Arial" w:cs="Arial"/>
                <w:sz w:val="22"/>
                <w:szCs w:val="22"/>
              </w:rPr>
              <w:t>Products</w:t>
            </w:r>
          </w:p>
        </w:tc>
      </w:tr>
      <w:tr w:rsidR="00162E0C" w:rsidRPr="00FB2F3D" w14:paraId="096D5195" w14:textId="77777777" w:rsidTr="00CF1201">
        <w:tc>
          <w:tcPr>
            <w:tcW w:w="14170" w:type="dxa"/>
            <w:gridSpan w:val="9"/>
          </w:tcPr>
          <w:p w14:paraId="057C3797" w14:textId="77777777" w:rsidR="00162E0C" w:rsidRPr="00FB2F3D" w:rsidRDefault="00162E0C" w:rsidP="00755725">
            <w:pPr>
              <w:pStyle w:val="UK12Block"/>
              <w:keepNext/>
              <w:numPr>
                <w:ilvl w:val="0"/>
                <w:numId w:val="65"/>
              </w:numPr>
              <w:spacing w:after="0"/>
              <w:rPr>
                <w:rFonts w:ascii="Arial" w:hAnsi="Arial" w:cs="Arial"/>
                <w:b/>
                <w:sz w:val="22"/>
                <w:szCs w:val="22"/>
              </w:rPr>
            </w:pPr>
            <w:r w:rsidRPr="00FB2F3D">
              <w:rPr>
                <w:rFonts w:ascii="Arial" w:hAnsi="Arial" w:cs="Arial"/>
                <w:b/>
                <w:sz w:val="22"/>
                <w:szCs w:val="22"/>
              </w:rPr>
              <w:t>KEY INFORMATION</w:t>
            </w:r>
          </w:p>
        </w:tc>
      </w:tr>
      <w:tr w:rsidR="00162E0C" w:rsidRPr="00FB2F3D" w14:paraId="52128811" w14:textId="77777777" w:rsidTr="00CF1201">
        <w:tc>
          <w:tcPr>
            <w:tcW w:w="648" w:type="dxa"/>
          </w:tcPr>
          <w:p w14:paraId="41DF7DAC" w14:textId="77777777" w:rsidR="00162E0C" w:rsidRPr="00FB2F3D" w:rsidRDefault="00162E0C" w:rsidP="00755725">
            <w:pPr>
              <w:pStyle w:val="UK12Block"/>
              <w:numPr>
                <w:ilvl w:val="1"/>
                <w:numId w:val="65"/>
              </w:numPr>
              <w:rPr>
                <w:rFonts w:ascii="Arial" w:hAnsi="Arial" w:cs="Arial"/>
                <w:b/>
                <w:sz w:val="22"/>
                <w:szCs w:val="22"/>
                <w:lang w:eastAsia="ja-JP"/>
              </w:rPr>
            </w:pPr>
          </w:p>
        </w:tc>
        <w:tc>
          <w:tcPr>
            <w:tcW w:w="9630" w:type="dxa"/>
            <w:vAlign w:val="bottom"/>
          </w:tcPr>
          <w:p w14:paraId="35E50055" w14:textId="77777777" w:rsidR="00162E0C" w:rsidRPr="00FB2F3D" w:rsidRDefault="00162E0C" w:rsidP="00DC5448">
            <w:pPr>
              <w:pStyle w:val="UK12Block"/>
              <w:rPr>
                <w:rFonts w:ascii="Arial" w:hAnsi="Arial" w:cs="Arial"/>
                <w:b/>
                <w:sz w:val="22"/>
                <w:szCs w:val="22"/>
                <w:lang w:eastAsia="ja-JP"/>
              </w:rPr>
            </w:pPr>
            <w:r w:rsidRPr="00FB2F3D">
              <w:rPr>
                <w:rFonts w:ascii="Arial" w:hAnsi="Arial" w:cs="Arial"/>
                <w:b/>
                <w:sz w:val="22"/>
                <w:szCs w:val="22"/>
                <w:lang w:eastAsia="ja-JP"/>
              </w:rPr>
              <w:t>Risk factors</w:t>
            </w:r>
          </w:p>
          <w:p w14:paraId="2D4A9658" w14:textId="77777777" w:rsidR="00162E0C" w:rsidRPr="00FB2F3D" w:rsidRDefault="00162E0C" w:rsidP="00DC5448">
            <w:pPr>
              <w:pStyle w:val="UK12Block"/>
              <w:rPr>
                <w:rFonts w:ascii="Arial" w:hAnsi="Arial" w:cs="Arial"/>
                <w:sz w:val="22"/>
                <w:szCs w:val="22"/>
                <w:lang w:eastAsia="ja-JP"/>
              </w:rPr>
            </w:pPr>
            <w:r w:rsidRPr="00FB2F3D">
              <w:rPr>
                <w:rFonts w:ascii="Arial" w:hAnsi="Arial" w:cs="Arial"/>
                <w:sz w:val="22"/>
                <w:szCs w:val="22"/>
                <w:lang w:eastAsia="ja-JP"/>
              </w:rPr>
              <w:t xml:space="preserve">Prominent disclosure of risk factors material to the </w:t>
            </w:r>
            <w:r w:rsidR="004B46BD" w:rsidRPr="00FB2F3D">
              <w:rPr>
                <w:rFonts w:ascii="Arial" w:hAnsi="Arial" w:cs="Arial"/>
                <w:sz w:val="22"/>
                <w:szCs w:val="22"/>
                <w:lang w:eastAsia="ja-JP"/>
              </w:rPr>
              <w:t>Securities</w:t>
            </w:r>
            <w:r w:rsidRPr="00FB2F3D">
              <w:rPr>
                <w:rFonts w:ascii="Arial" w:hAnsi="Arial" w:cs="Arial"/>
                <w:sz w:val="22"/>
                <w:szCs w:val="22"/>
                <w:lang w:eastAsia="ja-JP"/>
              </w:rPr>
              <w:t xml:space="preserve"> being offered and/or admitted to trading in order for investors to assess the risks associated with investing in the </w:t>
            </w:r>
            <w:r w:rsidR="004B46BD" w:rsidRPr="00FB2F3D">
              <w:rPr>
                <w:rFonts w:ascii="Arial" w:hAnsi="Arial" w:cs="Arial"/>
                <w:sz w:val="22"/>
                <w:szCs w:val="22"/>
                <w:lang w:eastAsia="ja-JP"/>
              </w:rPr>
              <w:t>Securities</w:t>
            </w:r>
            <w:r w:rsidRPr="00FB2F3D">
              <w:rPr>
                <w:rFonts w:ascii="Arial" w:hAnsi="Arial" w:cs="Arial"/>
                <w:sz w:val="22"/>
                <w:szCs w:val="22"/>
                <w:lang w:eastAsia="ja-JP"/>
              </w:rPr>
              <w:t>, which must be disclosed prominently in a separate section headed "Risk Factors" and include the following information:</w:t>
            </w:r>
          </w:p>
          <w:p w14:paraId="2176832A" w14:textId="77777777" w:rsidR="00162E0C" w:rsidRPr="00FB2F3D" w:rsidRDefault="00162E0C" w:rsidP="00755725">
            <w:pPr>
              <w:pStyle w:val="UK12Block"/>
              <w:numPr>
                <w:ilvl w:val="2"/>
                <w:numId w:val="65"/>
              </w:numPr>
              <w:rPr>
                <w:rFonts w:ascii="Arial" w:hAnsi="Arial" w:cs="Arial"/>
                <w:sz w:val="22"/>
                <w:szCs w:val="22"/>
                <w:lang w:eastAsia="ja-JP"/>
              </w:rPr>
            </w:pPr>
            <w:r w:rsidRPr="00FB2F3D">
              <w:rPr>
                <w:rFonts w:ascii="Arial" w:hAnsi="Arial" w:cs="Arial"/>
                <w:sz w:val="22"/>
                <w:szCs w:val="22"/>
                <w:lang w:eastAsia="ja-JP"/>
              </w:rPr>
              <w:t xml:space="preserve">the nature of the risks involved in investing in the </w:t>
            </w:r>
            <w:r w:rsidR="004B46BD" w:rsidRPr="00FB2F3D">
              <w:rPr>
                <w:rFonts w:ascii="Arial" w:hAnsi="Arial" w:cs="Arial"/>
                <w:sz w:val="22"/>
                <w:szCs w:val="22"/>
                <w:lang w:eastAsia="ja-JP"/>
              </w:rPr>
              <w:t>Securities</w:t>
            </w:r>
            <w:r w:rsidRPr="00FB2F3D">
              <w:rPr>
                <w:rFonts w:ascii="Arial" w:hAnsi="Arial" w:cs="Arial"/>
                <w:sz w:val="22"/>
                <w:szCs w:val="22"/>
                <w:lang w:eastAsia="ja-JP"/>
              </w:rPr>
              <w:t>;</w:t>
            </w:r>
          </w:p>
          <w:p w14:paraId="5A92A9E3" w14:textId="77777777" w:rsidR="00162E0C" w:rsidRPr="00FB2F3D" w:rsidRDefault="00162E0C" w:rsidP="00755725">
            <w:pPr>
              <w:pStyle w:val="UK12Block"/>
              <w:numPr>
                <w:ilvl w:val="2"/>
                <w:numId w:val="65"/>
              </w:numPr>
              <w:rPr>
                <w:rFonts w:ascii="Arial" w:hAnsi="Arial" w:cs="Arial"/>
                <w:sz w:val="22"/>
                <w:szCs w:val="22"/>
                <w:lang w:eastAsia="ja-JP"/>
              </w:rPr>
            </w:pPr>
            <w:r w:rsidRPr="00FB2F3D">
              <w:rPr>
                <w:rFonts w:ascii="Arial" w:hAnsi="Arial" w:cs="Arial"/>
                <w:sz w:val="22"/>
                <w:szCs w:val="22"/>
                <w:lang w:eastAsia="ja-JP"/>
              </w:rPr>
              <w:t xml:space="preserve">any material risks associated with investing in the </w:t>
            </w:r>
            <w:r w:rsidR="000A19CB" w:rsidRPr="00FB2F3D">
              <w:rPr>
                <w:rFonts w:ascii="Arial" w:hAnsi="Arial" w:cs="Arial"/>
                <w:sz w:val="22"/>
                <w:szCs w:val="22"/>
                <w:lang w:eastAsia="ja-JP"/>
              </w:rPr>
              <w:t>Issuer</w:t>
            </w:r>
            <w:r w:rsidRPr="00FB2F3D">
              <w:rPr>
                <w:rFonts w:ascii="Arial" w:hAnsi="Arial" w:cs="Arial"/>
                <w:sz w:val="22"/>
                <w:szCs w:val="22"/>
                <w:lang w:eastAsia="ja-JP"/>
              </w:rPr>
              <w:t>;</w:t>
            </w:r>
          </w:p>
          <w:p w14:paraId="478C5C2E" w14:textId="77777777" w:rsidR="00162E0C" w:rsidRPr="00FB2F3D" w:rsidRDefault="00162E0C" w:rsidP="00755725">
            <w:pPr>
              <w:pStyle w:val="UK12Block"/>
              <w:numPr>
                <w:ilvl w:val="2"/>
                <w:numId w:val="65"/>
              </w:numPr>
              <w:rPr>
                <w:rFonts w:ascii="Arial" w:hAnsi="Arial" w:cs="Arial"/>
                <w:sz w:val="22"/>
                <w:szCs w:val="22"/>
                <w:lang w:eastAsia="ja-JP"/>
              </w:rPr>
            </w:pPr>
            <w:r w:rsidRPr="00FB2F3D">
              <w:rPr>
                <w:rFonts w:ascii="Arial" w:hAnsi="Arial" w:cs="Arial"/>
                <w:sz w:val="22"/>
                <w:szCs w:val="22"/>
                <w:lang w:eastAsia="ja-JP"/>
              </w:rPr>
              <w:t xml:space="preserve">any risks associated with the assets to be acquired using the proceeds of the </w:t>
            </w:r>
            <w:r w:rsidR="00FB37F9" w:rsidRPr="00FB2F3D">
              <w:rPr>
                <w:rFonts w:ascii="Arial" w:hAnsi="Arial" w:cs="Arial"/>
                <w:sz w:val="22"/>
                <w:szCs w:val="22"/>
                <w:lang w:eastAsia="ja-JP"/>
              </w:rPr>
              <w:t>Offer</w:t>
            </w:r>
            <w:r w:rsidRPr="00FB2F3D">
              <w:rPr>
                <w:rFonts w:ascii="Arial" w:hAnsi="Arial" w:cs="Arial"/>
                <w:sz w:val="22"/>
                <w:szCs w:val="22"/>
                <w:lang w:eastAsia="ja-JP"/>
              </w:rPr>
              <w:t>;</w:t>
            </w:r>
          </w:p>
          <w:p w14:paraId="6EB92E12" w14:textId="77777777" w:rsidR="00162E0C" w:rsidRPr="00FB2F3D" w:rsidRDefault="00162E0C" w:rsidP="00755725">
            <w:pPr>
              <w:pStyle w:val="UK12Block"/>
              <w:numPr>
                <w:ilvl w:val="2"/>
                <w:numId w:val="65"/>
              </w:numPr>
              <w:rPr>
                <w:rFonts w:ascii="Arial" w:hAnsi="Arial" w:cs="Arial"/>
                <w:sz w:val="22"/>
                <w:szCs w:val="22"/>
                <w:lang w:eastAsia="ja-JP"/>
              </w:rPr>
            </w:pPr>
            <w:r w:rsidRPr="00FB2F3D">
              <w:rPr>
                <w:rFonts w:ascii="Arial" w:hAnsi="Arial" w:cs="Arial"/>
                <w:sz w:val="22"/>
                <w:szCs w:val="22"/>
                <w:lang w:eastAsia="ja-JP"/>
              </w:rPr>
              <w:lastRenderedPageBreak/>
              <w:t xml:space="preserve">the effect that the material risks may have on the </w:t>
            </w:r>
            <w:r w:rsidR="000A19CB" w:rsidRPr="00FB2F3D">
              <w:rPr>
                <w:rFonts w:ascii="Arial" w:hAnsi="Arial" w:cs="Arial"/>
                <w:sz w:val="22"/>
                <w:szCs w:val="22"/>
                <w:lang w:eastAsia="ja-JP"/>
              </w:rPr>
              <w:t>Issuer</w:t>
            </w:r>
            <w:r w:rsidRPr="00FB2F3D">
              <w:rPr>
                <w:rFonts w:ascii="Arial" w:hAnsi="Arial" w:cs="Arial"/>
                <w:sz w:val="22"/>
                <w:szCs w:val="22"/>
                <w:lang w:eastAsia="ja-JP"/>
              </w:rPr>
              <w:t xml:space="preserve"> including how the risk could affect the business, operating results and financial condition of the </w:t>
            </w:r>
            <w:r w:rsidR="000A19CB" w:rsidRPr="00FB2F3D">
              <w:rPr>
                <w:rFonts w:ascii="Arial" w:hAnsi="Arial" w:cs="Arial"/>
                <w:sz w:val="22"/>
                <w:szCs w:val="22"/>
                <w:lang w:eastAsia="ja-JP"/>
              </w:rPr>
              <w:t>Issuer</w:t>
            </w:r>
            <w:r w:rsidRPr="00FB2F3D">
              <w:rPr>
                <w:rFonts w:ascii="Arial" w:hAnsi="Arial" w:cs="Arial"/>
                <w:sz w:val="22"/>
                <w:szCs w:val="22"/>
                <w:lang w:eastAsia="ja-JP"/>
              </w:rPr>
              <w:t>;</w:t>
            </w:r>
          </w:p>
          <w:p w14:paraId="51294ED1" w14:textId="77777777" w:rsidR="00162E0C" w:rsidRPr="00FB2F3D" w:rsidRDefault="00162E0C" w:rsidP="00755725">
            <w:pPr>
              <w:pStyle w:val="UK12Block"/>
              <w:numPr>
                <w:ilvl w:val="2"/>
                <w:numId w:val="65"/>
              </w:numPr>
              <w:rPr>
                <w:rFonts w:ascii="Arial" w:hAnsi="Arial" w:cs="Arial"/>
                <w:sz w:val="22"/>
                <w:szCs w:val="22"/>
                <w:lang w:eastAsia="ja-JP"/>
              </w:rPr>
            </w:pPr>
            <w:r w:rsidRPr="00FB2F3D">
              <w:rPr>
                <w:rFonts w:ascii="Arial" w:hAnsi="Arial" w:cs="Arial"/>
                <w:sz w:val="22"/>
                <w:szCs w:val="22"/>
                <w:lang w:eastAsia="ja-JP"/>
              </w:rPr>
              <w:t xml:space="preserve">any steps proposed by the </w:t>
            </w:r>
            <w:r w:rsidR="000A19CB" w:rsidRPr="00FB2F3D">
              <w:rPr>
                <w:rFonts w:ascii="Arial" w:hAnsi="Arial" w:cs="Arial"/>
                <w:sz w:val="22"/>
                <w:szCs w:val="22"/>
                <w:lang w:eastAsia="ja-JP"/>
              </w:rPr>
              <w:t>Issuer</w:t>
            </w:r>
            <w:r w:rsidRPr="00FB2F3D">
              <w:rPr>
                <w:rFonts w:ascii="Arial" w:hAnsi="Arial" w:cs="Arial"/>
                <w:sz w:val="22"/>
                <w:szCs w:val="22"/>
                <w:lang w:eastAsia="ja-JP"/>
              </w:rPr>
              <w:t xml:space="preserve"> to mitigate or manage the risks;</w:t>
            </w:r>
          </w:p>
          <w:p w14:paraId="38C17F85" w14:textId="77777777" w:rsidR="00162E0C" w:rsidRPr="00FB2F3D" w:rsidRDefault="00162E0C" w:rsidP="00755725">
            <w:pPr>
              <w:pStyle w:val="UK12Block"/>
              <w:numPr>
                <w:ilvl w:val="2"/>
                <w:numId w:val="65"/>
              </w:numPr>
              <w:rPr>
                <w:rFonts w:ascii="Arial" w:hAnsi="Arial" w:cs="Arial"/>
                <w:sz w:val="22"/>
                <w:szCs w:val="22"/>
                <w:lang w:eastAsia="ja-JP"/>
              </w:rPr>
            </w:pPr>
            <w:r w:rsidRPr="00FB2F3D">
              <w:rPr>
                <w:rFonts w:ascii="Arial" w:hAnsi="Arial" w:cs="Arial"/>
                <w:sz w:val="22"/>
                <w:szCs w:val="22"/>
                <w:lang w:eastAsia="ja-JP"/>
              </w:rPr>
              <w:t xml:space="preserve">general and specific risks relating to the industry or jurisdiction in which the </w:t>
            </w:r>
            <w:r w:rsidR="000A19CB" w:rsidRPr="00FB2F3D">
              <w:rPr>
                <w:rFonts w:ascii="Arial" w:hAnsi="Arial" w:cs="Arial"/>
                <w:sz w:val="22"/>
                <w:szCs w:val="22"/>
                <w:lang w:eastAsia="ja-JP"/>
              </w:rPr>
              <w:t>Issuer</w:t>
            </w:r>
            <w:r w:rsidRPr="00FB2F3D">
              <w:rPr>
                <w:rFonts w:ascii="Arial" w:hAnsi="Arial" w:cs="Arial"/>
                <w:sz w:val="22"/>
                <w:szCs w:val="22"/>
                <w:lang w:eastAsia="ja-JP"/>
              </w:rPr>
              <w:t xml:space="preserve"> operates; and</w:t>
            </w:r>
          </w:p>
          <w:p w14:paraId="7245D1C1"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lang w:eastAsia="ja-JP"/>
              </w:rPr>
              <w:t>any other material risks that</w:t>
            </w:r>
            <w:r w:rsidRPr="00FB2F3D">
              <w:rPr>
                <w:rFonts w:ascii="Arial" w:hAnsi="Arial" w:cs="Arial"/>
                <w:sz w:val="22"/>
                <w:szCs w:val="22"/>
              </w:rPr>
              <w:t xml:space="preserve"> are not included in the above.</w:t>
            </w:r>
          </w:p>
        </w:tc>
        <w:tc>
          <w:tcPr>
            <w:tcW w:w="360" w:type="dxa"/>
          </w:tcPr>
          <w:p w14:paraId="7B8CBB0B"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lastRenderedPageBreak/>
              <w:sym w:font="Wingdings" w:char="F0FC"/>
            </w:r>
          </w:p>
        </w:tc>
        <w:tc>
          <w:tcPr>
            <w:tcW w:w="630" w:type="dxa"/>
          </w:tcPr>
          <w:p w14:paraId="60F07E6B"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052EBE98"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6D527A06"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102029D9"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3CF23270"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3285CCE7"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168B8911" w14:textId="77777777" w:rsidTr="00CF1201">
        <w:tc>
          <w:tcPr>
            <w:tcW w:w="648" w:type="dxa"/>
          </w:tcPr>
          <w:p w14:paraId="2BFADF53" w14:textId="77777777" w:rsidR="00162E0C" w:rsidRPr="00FB2F3D" w:rsidRDefault="00162E0C" w:rsidP="00755725">
            <w:pPr>
              <w:pStyle w:val="UK12Block"/>
              <w:numPr>
                <w:ilvl w:val="1"/>
                <w:numId w:val="65"/>
              </w:numPr>
              <w:rPr>
                <w:rFonts w:ascii="Arial" w:hAnsi="Arial" w:cs="Arial"/>
                <w:b/>
                <w:sz w:val="22"/>
                <w:szCs w:val="22"/>
                <w:lang w:eastAsia="ja-JP"/>
              </w:rPr>
            </w:pPr>
          </w:p>
        </w:tc>
        <w:tc>
          <w:tcPr>
            <w:tcW w:w="9630" w:type="dxa"/>
            <w:vAlign w:val="bottom"/>
          </w:tcPr>
          <w:p w14:paraId="52564340" w14:textId="77777777" w:rsidR="00162E0C" w:rsidRPr="00FB2F3D" w:rsidRDefault="00162E0C" w:rsidP="00DC5448">
            <w:pPr>
              <w:pStyle w:val="UK12Block"/>
              <w:rPr>
                <w:rFonts w:ascii="Arial" w:hAnsi="Arial" w:cs="Arial"/>
                <w:b/>
                <w:sz w:val="22"/>
                <w:szCs w:val="22"/>
                <w:lang w:eastAsia="ja-JP"/>
              </w:rPr>
            </w:pPr>
            <w:r w:rsidRPr="00FB2F3D">
              <w:rPr>
                <w:rFonts w:ascii="Arial" w:hAnsi="Arial" w:cs="Arial"/>
                <w:b/>
                <w:sz w:val="22"/>
                <w:szCs w:val="22"/>
              </w:rPr>
              <w:t xml:space="preserve">Reasons for the </w:t>
            </w:r>
            <w:r w:rsidR="00FB37F9" w:rsidRPr="00FB2F3D">
              <w:rPr>
                <w:rFonts w:ascii="Arial" w:hAnsi="Arial" w:cs="Arial"/>
                <w:b/>
                <w:sz w:val="22"/>
                <w:szCs w:val="22"/>
              </w:rPr>
              <w:t>Offer</w:t>
            </w:r>
          </w:p>
          <w:p w14:paraId="525ECEC2" w14:textId="77777777" w:rsidR="00162E0C" w:rsidRPr="00FB2F3D" w:rsidRDefault="00162E0C" w:rsidP="00DC5448">
            <w:pPr>
              <w:pStyle w:val="UK12Block"/>
              <w:rPr>
                <w:rFonts w:ascii="Arial" w:hAnsi="Arial" w:cs="Arial"/>
                <w:sz w:val="22"/>
                <w:szCs w:val="22"/>
                <w:lang w:eastAsia="ja-JP"/>
              </w:rPr>
            </w:pPr>
            <w:r w:rsidRPr="00FB2F3D">
              <w:rPr>
                <w:rFonts w:ascii="Arial" w:hAnsi="Arial" w:cs="Arial"/>
                <w:sz w:val="22"/>
                <w:szCs w:val="22"/>
              </w:rPr>
              <w:t xml:space="preserve">Reasons for the </w:t>
            </w:r>
            <w:r w:rsidR="00FB37F9" w:rsidRPr="00FB2F3D">
              <w:rPr>
                <w:rFonts w:ascii="Arial" w:hAnsi="Arial" w:cs="Arial"/>
                <w:sz w:val="22"/>
                <w:szCs w:val="22"/>
              </w:rPr>
              <w:t>Offer</w:t>
            </w:r>
            <w:r w:rsidRPr="00FB2F3D">
              <w:rPr>
                <w:rFonts w:ascii="Arial" w:hAnsi="Arial" w:cs="Arial"/>
                <w:sz w:val="22"/>
                <w:szCs w:val="22"/>
              </w:rPr>
              <w:t xml:space="preserve"> and, where applicable:</w:t>
            </w:r>
          </w:p>
          <w:p w14:paraId="1A2EC085" w14:textId="77777777" w:rsidR="00162E0C" w:rsidRPr="00FB2F3D" w:rsidRDefault="00162E0C" w:rsidP="00755725">
            <w:pPr>
              <w:pStyle w:val="UK12Block"/>
              <w:numPr>
                <w:ilvl w:val="2"/>
                <w:numId w:val="65"/>
              </w:numPr>
              <w:rPr>
                <w:rFonts w:ascii="Arial" w:hAnsi="Arial" w:cs="Arial"/>
                <w:sz w:val="22"/>
                <w:szCs w:val="22"/>
                <w:lang w:eastAsia="ja-JP"/>
              </w:rPr>
            </w:pPr>
            <w:r w:rsidRPr="00FB2F3D">
              <w:rPr>
                <w:rFonts w:ascii="Arial" w:hAnsi="Arial" w:cs="Arial"/>
                <w:sz w:val="22"/>
                <w:szCs w:val="22"/>
                <w:lang w:eastAsia="ja-JP"/>
              </w:rPr>
              <w:t>the estimated net amount of the proceeds broken into each principal intended use and presented by order of priority of such uses;</w:t>
            </w:r>
          </w:p>
          <w:p w14:paraId="0E9C7234" w14:textId="77777777" w:rsidR="00162E0C" w:rsidRPr="00FB2F3D" w:rsidRDefault="00162E0C" w:rsidP="00755725">
            <w:pPr>
              <w:pStyle w:val="UK12Block"/>
              <w:numPr>
                <w:ilvl w:val="2"/>
                <w:numId w:val="65"/>
              </w:numPr>
              <w:rPr>
                <w:rFonts w:ascii="Arial" w:hAnsi="Arial" w:cs="Arial"/>
                <w:sz w:val="22"/>
                <w:szCs w:val="22"/>
                <w:lang w:eastAsia="ja-JP"/>
              </w:rPr>
            </w:pPr>
            <w:r w:rsidRPr="00FB2F3D">
              <w:rPr>
                <w:rFonts w:ascii="Arial" w:hAnsi="Arial" w:cs="Arial"/>
                <w:sz w:val="22"/>
                <w:szCs w:val="22"/>
                <w:lang w:eastAsia="ja-JP"/>
              </w:rPr>
              <w:t xml:space="preserve">if the </w:t>
            </w:r>
            <w:r w:rsidR="000A19CB" w:rsidRPr="00FB2F3D">
              <w:rPr>
                <w:rFonts w:ascii="Arial" w:hAnsi="Arial" w:cs="Arial"/>
                <w:sz w:val="22"/>
                <w:szCs w:val="22"/>
                <w:lang w:eastAsia="ja-JP"/>
              </w:rPr>
              <w:t>Issuer</w:t>
            </w:r>
            <w:r w:rsidRPr="00FB2F3D">
              <w:rPr>
                <w:rFonts w:ascii="Arial" w:hAnsi="Arial" w:cs="Arial"/>
                <w:sz w:val="22"/>
                <w:szCs w:val="22"/>
                <w:lang w:eastAsia="ja-JP"/>
              </w:rPr>
              <w:t xml:space="preserve"> is aware that the anticipated proceeds will not be sufficient to fund all the proposed uses,</w:t>
            </w:r>
            <w:r w:rsidR="00030919" w:rsidRPr="00FB2F3D">
              <w:rPr>
                <w:rFonts w:ascii="Arial" w:hAnsi="Arial" w:cs="Arial"/>
                <w:sz w:val="22"/>
                <w:szCs w:val="22"/>
                <w:lang w:eastAsia="ja-JP"/>
              </w:rPr>
              <w:t xml:space="preserve"> a</w:t>
            </w:r>
            <w:r w:rsidRPr="00FB2F3D">
              <w:rPr>
                <w:rFonts w:ascii="Arial" w:hAnsi="Arial" w:cs="Arial"/>
                <w:sz w:val="22"/>
                <w:szCs w:val="22"/>
                <w:lang w:eastAsia="ja-JP"/>
              </w:rPr>
              <w:t xml:space="preserve"> statement about the amount and sources of other funds needed; and</w:t>
            </w:r>
          </w:p>
          <w:p w14:paraId="22D5FE19"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lang w:eastAsia="ja-JP"/>
              </w:rPr>
              <w:t>details with regard to the use of the proceeds, in particular when they are being used to acquire assets, other than in the ordinary course of business, to finance announced acquisitions of other businesses, or to discharge, reduce</w:t>
            </w:r>
            <w:r w:rsidRPr="00FB2F3D">
              <w:rPr>
                <w:rFonts w:ascii="Arial" w:hAnsi="Arial" w:cs="Arial"/>
                <w:sz w:val="22"/>
                <w:szCs w:val="22"/>
              </w:rPr>
              <w:t xml:space="preserve"> or retire indebtedness of the </w:t>
            </w:r>
            <w:r w:rsidR="000A19CB" w:rsidRPr="00FB2F3D">
              <w:rPr>
                <w:rFonts w:ascii="Arial" w:hAnsi="Arial" w:cs="Arial"/>
                <w:sz w:val="22"/>
                <w:szCs w:val="22"/>
              </w:rPr>
              <w:t>Issuer</w:t>
            </w:r>
            <w:r w:rsidRPr="00FB2F3D">
              <w:rPr>
                <w:rFonts w:ascii="Arial" w:hAnsi="Arial" w:cs="Arial"/>
                <w:sz w:val="22"/>
                <w:szCs w:val="22"/>
              </w:rPr>
              <w:t>.</w:t>
            </w:r>
          </w:p>
        </w:tc>
        <w:tc>
          <w:tcPr>
            <w:tcW w:w="360" w:type="dxa"/>
          </w:tcPr>
          <w:p w14:paraId="0681CA52"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3C3B58F9"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4BD1103D" w14:textId="77777777" w:rsidR="00162E0C" w:rsidRPr="00FB2F3D" w:rsidRDefault="00162E0C" w:rsidP="00DC5448">
            <w:pPr>
              <w:pStyle w:val="UK12Block"/>
              <w:rPr>
                <w:rFonts w:ascii="Arial" w:hAnsi="Arial" w:cs="Arial"/>
                <w:sz w:val="22"/>
                <w:szCs w:val="22"/>
              </w:rPr>
            </w:pPr>
          </w:p>
        </w:tc>
        <w:tc>
          <w:tcPr>
            <w:tcW w:w="720" w:type="dxa"/>
          </w:tcPr>
          <w:p w14:paraId="2E68CE73" w14:textId="77777777" w:rsidR="00162E0C" w:rsidRPr="00FB2F3D" w:rsidRDefault="00162E0C" w:rsidP="00DC5448">
            <w:pPr>
              <w:pStyle w:val="UK12Block"/>
              <w:rPr>
                <w:rFonts w:ascii="Arial" w:hAnsi="Arial" w:cs="Arial"/>
                <w:sz w:val="22"/>
                <w:szCs w:val="22"/>
              </w:rPr>
            </w:pPr>
          </w:p>
        </w:tc>
        <w:tc>
          <w:tcPr>
            <w:tcW w:w="630" w:type="dxa"/>
          </w:tcPr>
          <w:p w14:paraId="05C4E6E6"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6DDAC637" w14:textId="77777777" w:rsidR="00162E0C" w:rsidRPr="00FB2F3D" w:rsidRDefault="00162E0C" w:rsidP="00DC5448">
            <w:pPr>
              <w:pStyle w:val="UK12Block"/>
              <w:rPr>
                <w:rFonts w:ascii="Arial" w:hAnsi="Arial" w:cs="Arial"/>
                <w:sz w:val="22"/>
                <w:szCs w:val="22"/>
              </w:rPr>
            </w:pPr>
          </w:p>
        </w:tc>
        <w:tc>
          <w:tcPr>
            <w:tcW w:w="562" w:type="dxa"/>
          </w:tcPr>
          <w:p w14:paraId="7CF322D0"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1F98E6C8" w14:textId="77777777" w:rsidTr="00CF1201">
        <w:tc>
          <w:tcPr>
            <w:tcW w:w="648" w:type="dxa"/>
          </w:tcPr>
          <w:p w14:paraId="0215FC43" w14:textId="77777777" w:rsidR="00162E0C" w:rsidRPr="00FB2F3D" w:rsidRDefault="00162E0C" w:rsidP="00755725">
            <w:pPr>
              <w:pStyle w:val="UK12Block"/>
              <w:numPr>
                <w:ilvl w:val="1"/>
                <w:numId w:val="65"/>
              </w:numPr>
              <w:rPr>
                <w:rFonts w:ascii="Arial" w:hAnsi="Arial" w:cs="Arial"/>
                <w:b/>
                <w:sz w:val="22"/>
                <w:szCs w:val="22"/>
              </w:rPr>
            </w:pPr>
          </w:p>
        </w:tc>
        <w:tc>
          <w:tcPr>
            <w:tcW w:w="9630" w:type="dxa"/>
            <w:vAlign w:val="bottom"/>
          </w:tcPr>
          <w:p w14:paraId="207B5AD4" w14:textId="77777777" w:rsidR="00162E0C" w:rsidRPr="00FB2F3D" w:rsidRDefault="00162E0C" w:rsidP="00DC5448">
            <w:pPr>
              <w:pStyle w:val="UK12Block"/>
              <w:rPr>
                <w:rFonts w:ascii="Arial" w:hAnsi="Arial" w:cs="Arial"/>
                <w:b/>
                <w:sz w:val="22"/>
                <w:szCs w:val="22"/>
                <w:lang w:eastAsia="ja-JP"/>
              </w:rPr>
            </w:pPr>
            <w:r w:rsidRPr="00FB2F3D">
              <w:rPr>
                <w:rFonts w:ascii="Arial" w:hAnsi="Arial" w:cs="Arial"/>
                <w:b/>
                <w:sz w:val="22"/>
                <w:szCs w:val="22"/>
              </w:rPr>
              <w:t>Financial condition</w:t>
            </w:r>
          </w:p>
          <w:p w14:paraId="37582B3E"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t xml:space="preserve">To the extent not included in the Registration Statement, a description of the </w:t>
            </w:r>
            <w:r w:rsidR="000A19CB" w:rsidRPr="00FB2F3D">
              <w:rPr>
                <w:rFonts w:ascii="Arial" w:hAnsi="Arial" w:cs="Arial"/>
                <w:sz w:val="22"/>
                <w:szCs w:val="22"/>
              </w:rPr>
              <w:t>Issuer</w:t>
            </w:r>
            <w:r w:rsidRPr="00FB2F3D">
              <w:rPr>
                <w:rFonts w:ascii="Arial" w:hAnsi="Arial" w:cs="Arial"/>
                <w:sz w:val="22"/>
                <w:szCs w:val="22"/>
              </w:rPr>
              <w:t>'s</w:t>
            </w:r>
            <w:r w:rsidRPr="00FB2F3D">
              <w:rPr>
                <w:rFonts w:ascii="Arial" w:hAnsi="Arial" w:cs="Arial"/>
                <w:sz w:val="22"/>
                <w:szCs w:val="22"/>
                <w:lang w:eastAsia="ja-JP"/>
              </w:rPr>
              <w:t xml:space="preserve"> </w:t>
            </w:r>
            <w:r w:rsidRPr="00FB2F3D">
              <w:rPr>
                <w:rFonts w:ascii="Arial" w:hAnsi="Arial" w:cs="Arial"/>
                <w:sz w:val="22"/>
                <w:szCs w:val="22"/>
              </w:rPr>
              <w:t>financial condition, changes in financial condition and results of operations</w:t>
            </w:r>
            <w:r w:rsidRPr="00FB2F3D">
              <w:rPr>
                <w:rFonts w:ascii="Arial" w:hAnsi="Arial" w:cs="Arial"/>
                <w:sz w:val="22"/>
                <w:szCs w:val="22"/>
                <w:lang w:eastAsia="ja-JP"/>
              </w:rPr>
              <w:t xml:space="preserve"> </w:t>
            </w:r>
            <w:r w:rsidRPr="00FB2F3D">
              <w:rPr>
                <w:rFonts w:ascii="Arial" w:hAnsi="Arial" w:cs="Arial"/>
                <w:sz w:val="22"/>
                <w:szCs w:val="22"/>
              </w:rPr>
              <w:t xml:space="preserve">for each year and interim period, </w:t>
            </w:r>
            <w:r w:rsidRPr="00FB2F3D">
              <w:rPr>
                <w:rFonts w:ascii="Arial" w:hAnsi="Arial" w:cs="Arial"/>
                <w:sz w:val="22"/>
                <w:szCs w:val="22"/>
              </w:rPr>
              <w:lastRenderedPageBreak/>
              <w:t>for which historical information is required, including causes of any material changes from year to year</w:t>
            </w:r>
            <w:r w:rsidRPr="00FB2F3D">
              <w:rPr>
                <w:rFonts w:ascii="Arial" w:hAnsi="Arial" w:cs="Arial"/>
                <w:sz w:val="22"/>
                <w:szCs w:val="22"/>
                <w:lang w:eastAsia="ja-JP"/>
              </w:rPr>
              <w:t xml:space="preserve"> </w:t>
            </w:r>
            <w:r w:rsidRPr="00FB2F3D">
              <w:rPr>
                <w:rFonts w:ascii="Arial" w:hAnsi="Arial" w:cs="Arial"/>
                <w:sz w:val="22"/>
                <w:szCs w:val="22"/>
              </w:rPr>
              <w:t xml:space="preserve">in the financial information to the extent necessary for an understanding of the </w:t>
            </w:r>
            <w:r w:rsidR="000A19CB" w:rsidRPr="00FB2F3D">
              <w:rPr>
                <w:rFonts w:ascii="Arial" w:hAnsi="Arial" w:cs="Arial"/>
                <w:sz w:val="22"/>
                <w:szCs w:val="22"/>
              </w:rPr>
              <w:t>Issuer</w:t>
            </w:r>
            <w:r w:rsidRPr="00FB2F3D">
              <w:rPr>
                <w:rFonts w:ascii="Arial" w:hAnsi="Arial" w:cs="Arial"/>
                <w:sz w:val="22"/>
                <w:szCs w:val="22"/>
              </w:rPr>
              <w:t>'s business as a whole.</w:t>
            </w:r>
          </w:p>
        </w:tc>
        <w:tc>
          <w:tcPr>
            <w:tcW w:w="360" w:type="dxa"/>
          </w:tcPr>
          <w:p w14:paraId="4C7FCB28"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lastRenderedPageBreak/>
              <w:sym w:font="Wingdings" w:char="F0FC"/>
            </w:r>
          </w:p>
        </w:tc>
        <w:tc>
          <w:tcPr>
            <w:tcW w:w="630" w:type="dxa"/>
          </w:tcPr>
          <w:p w14:paraId="5DA18B01"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195E9E86" w14:textId="77777777" w:rsidR="00162E0C" w:rsidRPr="00FB2F3D" w:rsidRDefault="00162E0C" w:rsidP="00DC5448">
            <w:pPr>
              <w:pStyle w:val="UK12Block"/>
              <w:rPr>
                <w:rFonts w:ascii="Arial" w:hAnsi="Arial" w:cs="Arial"/>
                <w:sz w:val="22"/>
                <w:szCs w:val="22"/>
              </w:rPr>
            </w:pPr>
          </w:p>
        </w:tc>
        <w:tc>
          <w:tcPr>
            <w:tcW w:w="720" w:type="dxa"/>
          </w:tcPr>
          <w:p w14:paraId="5DF44981" w14:textId="77777777" w:rsidR="00162E0C" w:rsidRPr="00FB2F3D" w:rsidRDefault="00162E0C" w:rsidP="00DC5448">
            <w:pPr>
              <w:pStyle w:val="UK12Block"/>
              <w:rPr>
                <w:rFonts w:ascii="Arial" w:hAnsi="Arial" w:cs="Arial"/>
                <w:sz w:val="22"/>
                <w:szCs w:val="22"/>
              </w:rPr>
            </w:pPr>
          </w:p>
        </w:tc>
        <w:tc>
          <w:tcPr>
            <w:tcW w:w="630" w:type="dxa"/>
          </w:tcPr>
          <w:p w14:paraId="7FB4B6FF"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52DD4C5F" w14:textId="77777777" w:rsidR="00162E0C" w:rsidRPr="00FB2F3D" w:rsidRDefault="00162E0C" w:rsidP="00DC5448">
            <w:pPr>
              <w:pStyle w:val="UK12Block"/>
              <w:rPr>
                <w:rFonts w:ascii="Arial" w:hAnsi="Arial" w:cs="Arial"/>
                <w:sz w:val="22"/>
                <w:szCs w:val="22"/>
              </w:rPr>
            </w:pPr>
          </w:p>
        </w:tc>
        <w:tc>
          <w:tcPr>
            <w:tcW w:w="562" w:type="dxa"/>
          </w:tcPr>
          <w:p w14:paraId="0EC7BC8B"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77967348" w14:textId="77777777" w:rsidTr="00CF1201">
        <w:tc>
          <w:tcPr>
            <w:tcW w:w="648" w:type="dxa"/>
          </w:tcPr>
          <w:p w14:paraId="47DA48AB" w14:textId="77777777" w:rsidR="00162E0C" w:rsidRPr="00FB2F3D" w:rsidRDefault="00162E0C" w:rsidP="00755725">
            <w:pPr>
              <w:pStyle w:val="UK12Block"/>
              <w:numPr>
                <w:ilvl w:val="1"/>
                <w:numId w:val="65"/>
              </w:numPr>
              <w:rPr>
                <w:rFonts w:ascii="Arial" w:hAnsi="Arial" w:cs="Arial"/>
                <w:b/>
                <w:sz w:val="22"/>
                <w:szCs w:val="22"/>
              </w:rPr>
            </w:pPr>
            <w:bookmarkStart w:id="915" w:name="_Ref416956022"/>
          </w:p>
        </w:tc>
        <w:bookmarkEnd w:id="915"/>
        <w:tc>
          <w:tcPr>
            <w:tcW w:w="9630" w:type="dxa"/>
            <w:vAlign w:val="bottom"/>
          </w:tcPr>
          <w:p w14:paraId="1C22A2F0" w14:textId="77777777" w:rsidR="00162E0C" w:rsidRPr="00FB2F3D" w:rsidRDefault="00162E0C" w:rsidP="00DC5448">
            <w:pPr>
              <w:pStyle w:val="UK12Block"/>
              <w:rPr>
                <w:rFonts w:ascii="Arial" w:hAnsi="Arial" w:cs="Arial"/>
                <w:b/>
                <w:sz w:val="22"/>
                <w:szCs w:val="22"/>
                <w:lang w:eastAsia="ja-JP"/>
              </w:rPr>
            </w:pPr>
            <w:r w:rsidRPr="00FB2F3D">
              <w:rPr>
                <w:rFonts w:ascii="Arial" w:hAnsi="Arial" w:cs="Arial"/>
                <w:b/>
                <w:sz w:val="22"/>
                <w:szCs w:val="22"/>
              </w:rPr>
              <w:t>Working capital statement</w:t>
            </w:r>
          </w:p>
          <w:p w14:paraId="77D18A5B"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t>A statement by the Directors of</w:t>
            </w:r>
            <w:r w:rsidRPr="00FB2F3D">
              <w:rPr>
                <w:rFonts w:ascii="Arial" w:hAnsi="Arial" w:cs="Arial"/>
                <w:sz w:val="22"/>
                <w:szCs w:val="22"/>
                <w:lang w:eastAsia="ja-JP"/>
              </w:rPr>
              <w:t xml:space="preserve"> </w:t>
            </w:r>
            <w:r w:rsidRPr="00FB2F3D">
              <w:rPr>
                <w:rFonts w:ascii="Arial" w:hAnsi="Arial" w:cs="Arial"/>
                <w:sz w:val="22"/>
                <w:szCs w:val="22"/>
              </w:rPr>
              <w:t xml:space="preserve">the </w:t>
            </w:r>
            <w:r w:rsidR="000A19CB" w:rsidRPr="00FB2F3D">
              <w:rPr>
                <w:rFonts w:ascii="Arial" w:hAnsi="Arial" w:cs="Arial"/>
                <w:sz w:val="22"/>
                <w:szCs w:val="22"/>
              </w:rPr>
              <w:t>Issuer</w:t>
            </w:r>
            <w:r w:rsidRPr="00FB2F3D">
              <w:rPr>
                <w:rFonts w:ascii="Arial" w:hAnsi="Arial" w:cs="Arial"/>
                <w:sz w:val="22"/>
                <w:szCs w:val="22"/>
              </w:rPr>
              <w:t xml:space="preserve"> that in their opinion the working capital is sufficient for the </w:t>
            </w:r>
            <w:r w:rsidR="000A19CB" w:rsidRPr="00FB2F3D">
              <w:rPr>
                <w:rFonts w:ascii="Arial" w:hAnsi="Arial" w:cs="Arial"/>
                <w:sz w:val="22"/>
                <w:szCs w:val="22"/>
              </w:rPr>
              <w:t>Issuer</w:t>
            </w:r>
            <w:r w:rsidRPr="00FB2F3D">
              <w:rPr>
                <w:rFonts w:ascii="Arial" w:hAnsi="Arial" w:cs="Arial"/>
                <w:sz w:val="22"/>
                <w:szCs w:val="22"/>
              </w:rPr>
              <w:t>'s present requirements or, if not</w:t>
            </w:r>
            <w:r w:rsidR="00F604DE" w:rsidRPr="00FB2F3D">
              <w:rPr>
                <w:rFonts w:ascii="Arial" w:hAnsi="Arial" w:cs="Arial"/>
                <w:sz w:val="22"/>
                <w:szCs w:val="22"/>
              </w:rPr>
              <w:t>,</w:t>
            </w:r>
            <w:r w:rsidRPr="00FB2F3D">
              <w:rPr>
                <w:rFonts w:ascii="Arial" w:hAnsi="Arial" w:cs="Arial"/>
                <w:sz w:val="22"/>
                <w:szCs w:val="22"/>
              </w:rPr>
              <w:t xml:space="preserve"> how it proposes to provide the additional working capital needed.</w:t>
            </w:r>
          </w:p>
        </w:tc>
        <w:tc>
          <w:tcPr>
            <w:tcW w:w="360" w:type="dxa"/>
          </w:tcPr>
          <w:p w14:paraId="3CB5B59A"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2204A831"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27B53213" w14:textId="77777777" w:rsidR="00162E0C" w:rsidRPr="00FB2F3D" w:rsidRDefault="00162E0C" w:rsidP="00DC5448">
            <w:pPr>
              <w:pStyle w:val="UK12Block"/>
              <w:rPr>
                <w:rFonts w:ascii="Arial" w:hAnsi="Arial" w:cs="Arial"/>
                <w:sz w:val="22"/>
                <w:szCs w:val="22"/>
              </w:rPr>
            </w:pPr>
          </w:p>
        </w:tc>
        <w:tc>
          <w:tcPr>
            <w:tcW w:w="720" w:type="dxa"/>
          </w:tcPr>
          <w:p w14:paraId="6D4EC74F" w14:textId="77777777" w:rsidR="00162E0C" w:rsidRPr="00FB2F3D" w:rsidRDefault="00162E0C" w:rsidP="00DC5448">
            <w:pPr>
              <w:pStyle w:val="UK12Block"/>
              <w:rPr>
                <w:rFonts w:ascii="Arial" w:hAnsi="Arial" w:cs="Arial"/>
                <w:sz w:val="22"/>
                <w:szCs w:val="22"/>
              </w:rPr>
            </w:pPr>
          </w:p>
        </w:tc>
        <w:tc>
          <w:tcPr>
            <w:tcW w:w="630" w:type="dxa"/>
          </w:tcPr>
          <w:p w14:paraId="02411BB0"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16CFD754" w14:textId="77777777" w:rsidR="00162E0C" w:rsidRPr="00FB2F3D" w:rsidRDefault="00162E0C" w:rsidP="00DC5448">
            <w:pPr>
              <w:pStyle w:val="UK12Block"/>
              <w:rPr>
                <w:rFonts w:ascii="Arial" w:hAnsi="Arial" w:cs="Arial"/>
                <w:sz w:val="22"/>
                <w:szCs w:val="22"/>
              </w:rPr>
            </w:pPr>
          </w:p>
        </w:tc>
        <w:tc>
          <w:tcPr>
            <w:tcW w:w="562" w:type="dxa"/>
          </w:tcPr>
          <w:p w14:paraId="3E846153"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36E3D305" w14:textId="77777777" w:rsidTr="00CF1201">
        <w:tc>
          <w:tcPr>
            <w:tcW w:w="648" w:type="dxa"/>
          </w:tcPr>
          <w:p w14:paraId="61D191F5" w14:textId="77777777" w:rsidR="00162E0C" w:rsidRPr="00FB2F3D" w:rsidRDefault="00162E0C" w:rsidP="00755725">
            <w:pPr>
              <w:pStyle w:val="UK12Block"/>
              <w:numPr>
                <w:ilvl w:val="1"/>
                <w:numId w:val="65"/>
              </w:numPr>
              <w:rPr>
                <w:rFonts w:ascii="Arial" w:hAnsi="Arial" w:cs="Arial"/>
                <w:b/>
                <w:sz w:val="22"/>
                <w:szCs w:val="22"/>
              </w:rPr>
            </w:pPr>
          </w:p>
        </w:tc>
        <w:tc>
          <w:tcPr>
            <w:tcW w:w="9630" w:type="dxa"/>
            <w:vAlign w:val="bottom"/>
          </w:tcPr>
          <w:p w14:paraId="3FD94722" w14:textId="77777777" w:rsidR="00162E0C" w:rsidRPr="00FB2F3D" w:rsidRDefault="00162E0C" w:rsidP="00DC5448">
            <w:pPr>
              <w:pStyle w:val="UK12Block"/>
              <w:rPr>
                <w:rFonts w:ascii="Arial" w:hAnsi="Arial" w:cs="Arial"/>
                <w:b/>
                <w:sz w:val="22"/>
                <w:szCs w:val="22"/>
                <w:lang w:eastAsia="ja-JP"/>
              </w:rPr>
            </w:pPr>
            <w:r w:rsidRPr="00FB2F3D">
              <w:rPr>
                <w:rFonts w:ascii="Arial" w:hAnsi="Arial" w:cs="Arial"/>
                <w:b/>
                <w:sz w:val="22"/>
                <w:szCs w:val="22"/>
              </w:rPr>
              <w:t xml:space="preserve">Creditworthiness of the </w:t>
            </w:r>
            <w:r w:rsidR="000A19CB" w:rsidRPr="00FB2F3D">
              <w:rPr>
                <w:rFonts w:ascii="Arial" w:hAnsi="Arial" w:cs="Arial"/>
                <w:b/>
                <w:sz w:val="22"/>
                <w:szCs w:val="22"/>
              </w:rPr>
              <w:t>Issuer</w:t>
            </w:r>
          </w:p>
          <w:p w14:paraId="0D8AC91C" w14:textId="77777777" w:rsidR="00162E0C" w:rsidRPr="00FB2F3D" w:rsidRDefault="00162E0C"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 xml:space="preserve">Sufficient information to enable an investor to form an opinion concerning the creditworthiness of the </w:t>
            </w:r>
            <w:r w:rsidR="000A19CB" w:rsidRPr="00FB2F3D">
              <w:rPr>
                <w:rFonts w:ascii="Arial" w:hAnsi="Arial" w:cs="Arial"/>
                <w:sz w:val="22"/>
                <w:szCs w:val="22"/>
              </w:rPr>
              <w:t>Issuer</w:t>
            </w:r>
            <w:r w:rsidRPr="00FB2F3D">
              <w:rPr>
                <w:rFonts w:ascii="Arial" w:hAnsi="Arial" w:cs="Arial"/>
                <w:sz w:val="22"/>
                <w:szCs w:val="22"/>
              </w:rPr>
              <w:t xml:space="preserve"> such as:</w:t>
            </w:r>
          </w:p>
          <w:p w14:paraId="2051DDE9" w14:textId="77777777" w:rsidR="00162E0C" w:rsidRPr="00FB2F3D" w:rsidRDefault="00162E0C" w:rsidP="00755725">
            <w:pPr>
              <w:pStyle w:val="UK12Block05"/>
              <w:numPr>
                <w:ilvl w:val="3"/>
                <w:numId w:val="66"/>
              </w:numPr>
              <w:rPr>
                <w:rFonts w:ascii="Arial" w:hAnsi="Arial" w:cs="Arial"/>
                <w:sz w:val="22"/>
                <w:szCs w:val="22"/>
                <w:lang w:eastAsia="ja-JP"/>
              </w:rPr>
            </w:pPr>
            <w:r w:rsidRPr="00FB2F3D">
              <w:rPr>
                <w:rFonts w:ascii="Arial" w:hAnsi="Arial" w:cs="Arial"/>
                <w:sz w:val="22"/>
                <w:szCs w:val="22"/>
              </w:rPr>
              <w:t>earnings coverage ratio;</w:t>
            </w:r>
          </w:p>
          <w:p w14:paraId="7FBB09F5" w14:textId="77777777" w:rsidR="00162E0C" w:rsidRPr="00FB2F3D" w:rsidRDefault="009D0C46" w:rsidP="00755725">
            <w:pPr>
              <w:pStyle w:val="UK12Block05"/>
              <w:numPr>
                <w:ilvl w:val="3"/>
                <w:numId w:val="66"/>
              </w:numPr>
              <w:rPr>
                <w:rFonts w:ascii="Arial" w:hAnsi="Arial" w:cs="Arial"/>
                <w:sz w:val="22"/>
                <w:szCs w:val="22"/>
                <w:lang w:eastAsia="ja-JP"/>
              </w:rPr>
            </w:pPr>
            <w:r w:rsidRPr="00FB2F3D">
              <w:rPr>
                <w:rFonts w:ascii="Arial" w:hAnsi="Arial" w:cs="Arial"/>
                <w:sz w:val="22"/>
                <w:szCs w:val="22"/>
              </w:rPr>
              <w:t>any relevant credit r</w:t>
            </w:r>
            <w:r w:rsidR="00162E0C" w:rsidRPr="00FB2F3D">
              <w:rPr>
                <w:rFonts w:ascii="Arial" w:hAnsi="Arial" w:cs="Arial"/>
                <w:sz w:val="22"/>
                <w:szCs w:val="22"/>
              </w:rPr>
              <w:t>atings; and</w:t>
            </w:r>
          </w:p>
          <w:p w14:paraId="457A05CC" w14:textId="77777777" w:rsidR="00162E0C" w:rsidRPr="00FB2F3D" w:rsidRDefault="00162E0C" w:rsidP="00755725">
            <w:pPr>
              <w:pStyle w:val="UK12Block05"/>
              <w:numPr>
                <w:ilvl w:val="3"/>
                <w:numId w:val="66"/>
              </w:numPr>
              <w:rPr>
                <w:rFonts w:ascii="Arial" w:hAnsi="Arial" w:cs="Arial"/>
                <w:sz w:val="22"/>
                <w:szCs w:val="22"/>
              </w:rPr>
            </w:pPr>
            <w:r w:rsidRPr="00FB2F3D">
              <w:rPr>
                <w:rFonts w:ascii="Arial" w:hAnsi="Arial" w:cs="Arial"/>
                <w:sz w:val="22"/>
                <w:szCs w:val="22"/>
              </w:rPr>
              <w:t>any other risk factors that may affect</w:t>
            </w:r>
            <w:r w:rsidRPr="00FB2F3D">
              <w:rPr>
                <w:rFonts w:ascii="Arial" w:hAnsi="Arial" w:cs="Arial"/>
                <w:sz w:val="22"/>
                <w:szCs w:val="22"/>
                <w:lang w:eastAsia="ja-JP"/>
              </w:rPr>
              <w:t xml:space="preserve"> </w:t>
            </w:r>
            <w:r w:rsidRPr="00FB2F3D">
              <w:rPr>
                <w:rFonts w:ascii="Arial" w:hAnsi="Arial" w:cs="Arial"/>
                <w:sz w:val="22"/>
                <w:szCs w:val="22"/>
              </w:rPr>
              <w:t xml:space="preserve">the </w:t>
            </w:r>
            <w:r w:rsidR="000A19CB" w:rsidRPr="00FB2F3D">
              <w:rPr>
                <w:rFonts w:ascii="Arial" w:hAnsi="Arial" w:cs="Arial"/>
                <w:sz w:val="22"/>
                <w:szCs w:val="22"/>
              </w:rPr>
              <w:t>Issuer</w:t>
            </w:r>
            <w:r w:rsidRPr="00FB2F3D">
              <w:rPr>
                <w:rFonts w:ascii="Arial" w:hAnsi="Arial" w:cs="Arial"/>
                <w:sz w:val="22"/>
                <w:szCs w:val="22"/>
              </w:rPr>
              <w:t xml:space="preserve">'s ability to fulfil its obligations under the </w:t>
            </w:r>
            <w:r w:rsidR="004B46BD" w:rsidRPr="00FB2F3D">
              <w:rPr>
                <w:rFonts w:ascii="Arial" w:hAnsi="Arial" w:cs="Arial"/>
                <w:sz w:val="22"/>
                <w:szCs w:val="22"/>
              </w:rPr>
              <w:t>Securities</w:t>
            </w:r>
            <w:r w:rsidRPr="00FB2F3D">
              <w:rPr>
                <w:rFonts w:ascii="Arial" w:hAnsi="Arial" w:cs="Arial"/>
                <w:sz w:val="22"/>
                <w:szCs w:val="22"/>
              </w:rPr>
              <w:t xml:space="preserve"> to investors.</w:t>
            </w:r>
          </w:p>
        </w:tc>
        <w:tc>
          <w:tcPr>
            <w:tcW w:w="360" w:type="dxa"/>
          </w:tcPr>
          <w:p w14:paraId="753D3E72" w14:textId="77777777" w:rsidR="00162E0C" w:rsidRPr="00FB2F3D" w:rsidRDefault="00162E0C" w:rsidP="00DC5448">
            <w:pPr>
              <w:pStyle w:val="UK12Block"/>
              <w:rPr>
                <w:rFonts w:ascii="Arial" w:hAnsi="Arial" w:cs="Arial"/>
                <w:sz w:val="22"/>
                <w:szCs w:val="22"/>
              </w:rPr>
            </w:pPr>
          </w:p>
        </w:tc>
        <w:tc>
          <w:tcPr>
            <w:tcW w:w="630" w:type="dxa"/>
          </w:tcPr>
          <w:p w14:paraId="4991855D" w14:textId="77777777" w:rsidR="00162E0C" w:rsidRPr="00FB2F3D" w:rsidRDefault="00162E0C" w:rsidP="00DC5448">
            <w:pPr>
              <w:pStyle w:val="UK12Block"/>
              <w:rPr>
                <w:rFonts w:ascii="Arial" w:hAnsi="Arial" w:cs="Arial"/>
                <w:sz w:val="22"/>
                <w:szCs w:val="22"/>
              </w:rPr>
            </w:pPr>
          </w:p>
        </w:tc>
        <w:tc>
          <w:tcPr>
            <w:tcW w:w="360" w:type="dxa"/>
          </w:tcPr>
          <w:p w14:paraId="6EB614A1"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5A424824"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3BD67D65" w14:textId="77777777" w:rsidR="00162E0C" w:rsidRPr="00FB2F3D" w:rsidRDefault="00162E0C" w:rsidP="00DC5448">
            <w:pPr>
              <w:pStyle w:val="UK12Block"/>
              <w:rPr>
                <w:rFonts w:ascii="Arial" w:hAnsi="Arial" w:cs="Arial"/>
                <w:sz w:val="22"/>
                <w:szCs w:val="22"/>
              </w:rPr>
            </w:pPr>
          </w:p>
        </w:tc>
        <w:tc>
          <w:tcPr>
            <w:tcW w:w="630" w:type="dxa"/>
          </w:tcPr>
          <w:p w14:paraId="2E95703F"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35FFF196"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03CAB4C5" w14:textId="77777777" w:rsidTr="00CF1201">
        <w:tc>
          <w:tcPr>
            <w:tcW w:w="648" w:type="dxa"/>
          </w:tcPr>
          <w:p w14:paraId="5D234440" w14:textId="77777777" w:rsidR="00162E0C" w:rsidRPr="00FB2F3D" w:rsidRDefault="00162E0C" w:rsidP="00DC5448">
            <w:pPr>
              <w:pStyle w:val="UK12Block"/>
              <w:rPr>
                <w:rFonts w:ascii="Arial" w:hAnsi="Arial" w:cs="Arial"/>
                <w:b/>
                <w:sz w:val="22"/>
                <w:szCs w:val="22"/>
              </w:rPr>
            </w:pPr>
          </w:p>
        </w:tc>
        <w:tc>
          <w:tcPr>
            <w:tcW w:w="9630" w:type="dxa"/>
            <w:vAlign w:val="bottom"/>
          </w:tcPr>
          <w:p w14:paraId="2CFE387F" w14:textId="77777777" w:rsidR="00F817D8" w:rsidRPr="00FB2F3D" w:rsidRDefault="00162E0C" w:rsidP="00755725">
            <w:pPr>
              <w:pStyle w:val="UK12Block"/>
              <w:numPr>
                <w:ilvl w:val="2"/>
                <w:numId w:val="66"/>
              </w:numPr>
              <w:rPr>
                <w:rFonts w:ascii="Arial" w:hAnsi="Arial" w:cs="Arial"/>
                <w:sz w:val="22"/>
                <w:szCs w:val="22"/>
              </w:rPr>
            </w:pPr>
            <w:r w:rsidRPr="00FB2F3D">
              <w:rPr>
                <w:rFonts w:ascii="Arial" w:hAnsi="Arial" w:cs="Arial"/>
                <w:sz w:val="22"/>
                <w:szCs w:val="22"/>
              </w:rPr>
              <w:t>A statement of capitalisation and indebtedness (distinguishing between guaranteed and</w:t>
            </w:r>
            <w:r w:rsidRPr="00FB2F3D">
              <w:rPr>
                <w:rFonts w:ascii="Arial" w:hAnsi="Arial" w:cs="Arial"/>
                <w:sz w:val="22"/>
                <w:szCs w:val="22"/>
                <w:lang w:eastAsia="ja-JP"/>
              </w:rPr>
              <w:t xml:space="preserve"> </w:t>
            </w:r>
            <w:r w:rsidRPr="00FB2F3D">
              <w:rPr>
                <w:rFonts w:ascii="Arial" w:hAnsi="Arial" w:cs="Arial"/>
                <w:sz w:val="22"/>
                <w:szCs w:val="22"/>
              </w:rPr>
              <w:t xml:space="preserve">unguaranteed, secured and unsecured indebtedness), including indirect and contingent indebtedness, as of a date no earlier than 90 days prior to the date of the </w:t>
            </w:r>
            <w:r w:rsidR="004B46BD" w:rsidRPr="00FB2F3D">
              <w:rPr>
                <w:rFonts w:ascii="Arial" w:hAnsi="Arial" w:cs="Arial"/>
                <w:sz w:val="22"/>
                <w:szCs w:val="22"/>
              </w:rPr>
              <w:t>Securities</w:t>
            </w:r>
            <w:r w:rsidRPr="00FB2F3D">
              <w:rPr>
                <w:rFonts w:ascii="Arial" w:hAnsi="Arial" w:cs="Arial"/>
                <w:sz w:val="22"/>
                <w:szCs w:val="22"/>
              </w:rPr>
              <w:t xml:space="preserve"> Note.</w:t>
            </w:r>
          </w:p>
        </w:tc>
        <w:tc>
          <w:tcPr>
            <w:tcW w:w="360" w:type="dxa"/>
          </w:tcPr>
          <w:p w14:paraId="2FCA3389"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7B27C89C"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40481191" w14:textId="77777777" w:rsidR="00162E0C" w:rsidRPr="00FB2F3D" w:rsidRDefault="00162E0C" w:rsidP="00DC5448">
            <w:pPr>
              <w:pStyle w:val="UK12Block"/>
              <w:rPr>
                <w:rFonts w:ascii="Arial" w:hAnsi="Arial" w:cs="Arial"/>
                <w:sz w:val="22"/>
                <w:szCs w:val="22"/>
              </w:rPr>
            </w:pPr>
          </w:p>
        </w:tc>
        <w:tc>
          <w:tcPr>
            <w:tcW w:w="720" w:type="dxa"/>
          </w:tcPr>
          <w:p w14:paraId="27D6BC1F" w14:textId="77777777" w:rsidR="00162E0C" w:rsidRPr="00FB2F3D" w:rsidRDefault="00162E0C" w:rsidP="00DC5448">
            <w:pPr>
              <w:pStyle w:val="UK12Block"/>
              <w:rPr>
                <w:rFonts w:ascii="Arial" w:hAnsi="Arial" w:cs="Arial"/>
                <w:sz w:val="22"/>
                <w:szCs w:val="22"/>
              </w:rPr>
            </w:pPr>
          </w:p>
        </w:tc>
        <w:tc>
          <w:tcPr>
            <w:tcW w:w="630" w:type="dxa"/>
          </w:tcPr>
          <w:p w14:paraId="73FBBFEF"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1BFF2964" w14:textId="77777777" w:rsidR="00162E0C" w:rsidRPr="00FB2F3D" w:rsidRDefault="00162E0C" w:rsidP="00DC5448">
            <w:pPr>
              <w:pStyle w:val="UK12Block"/>
              <w:rPr>
                <w:rFonts w:ascii="Arial" w:hAnsi="Arial" w:cs="Arial"/>
                <w:sz w:val="22"/>
                <w:szCs w:val="22"/>
              </w:rPr>
            </w:pPr>
          </w:p>
        </w:tc>
        <w:tc>
          <w:tcPr>
            <w:tcW w:w="562" w:type="dxa"/>
          </w:tcPr>
          <w:p w14:paraId="26E394A8"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4B13C452" w14:textId="77777777" w:rsidTr="00CF1201">
        <w:trPr>
          <w:cantSplit/>
        </w:trPr>
        <w:tc>
          <w:tcPr>
            <w:tcW w:w="648" w:type="dxa"/>
          </w:tcPr>
          <w:p w14:paraId="1285A4D6" w14:textId="77777777" w:rsidR="00162E0C" w:rsidRPr="00FB2F3D" w:rsidRDefault="00162E0C" w:rsidP="00755725">
            <w:pPr>
              <w:pStyle w:val="UK12Block"/>
              <w:numPr>
                <w:ilvl w:val="1"/>
                <w:numId w:val="65"/>
              </w:numPr>
              <w:rPr>
                <w:rFonts w:ascii="Arial" w:hAnsi="Arial" w:cs="Arial"/>
                <w:b/>
                <w:sz w:val="22"/>
                <w:szCs w:val="22"/>
              </w:rPr>
            </w:pPr>
          </w:p>
        </w:tc>
        <w:tc>
          <w:tcPr>
            <w:tcW w:w="9630" w:type="dxa"/>
            <w:vAlign w:val="bottom"/>
          </w:tcPr>
          <w:p w14:paraId="2C117338" w14:textId="77777777" w:rsidR="00162E0C" w:rsidRPr="00FB2F3D" w:rsidRDefault="00162E0C" w:rsidP="00DC5448">
            <w:pPr>
              <w:pStyle w:val="UK12Block"/>
              <w:rPr>
                <w:rFonts w:ascii="Arial" w:hAnsi="Arial" w:cs="Arial"/>
                <w:b/>
                <w:sz w:val="22"/>
                <w:szCs w:val="22"/>
                <w:lang w:eastAsia="ja-JP"/>
              </w:rPr>
            </w:pPr>
            <w:r w:rsidRPr="00FB2F3D">
              <w:rPr>
                <w:rFonts w:ascii="Arial" w:hAnsi="Arial" w:cs="Arial"/>
                <w:b/>
                <w:sz w:val="22"/>
                <w:szCs w:val="22"/>
              </w:rPr>
              <w:t>Guarantees</w:t>
            </w:r>
          </w:p>
          <w:p w14:paraId="347DFE24" w14:textId="77777777" w:rsidR="00162E0C" w:rsidRPr="00FB2F3D" w:rsidRDefault="00162E0C" w:rsidP="00DC5448">
            <w:pPr>
              <w:pStyle w:val="UK12Block"/>
              <w:ind w:left="720" w:hanging="720"/>
              <w:rPr>
                <w:rFonts w:ascii="Arial" w:hAnsi="Arial" w:cs="Arial"/>
                <w:sz w:val="22"/>
                <w:szCs w:val="22"/>
              </w:rPr>
            </w:pPr>
            <w:r w:rsidRPr="00FB2F3D">
              <w:rPr>
                <w:rFonts w:ascii="Arial" w:hAnsi="Arial" w:cs="Arial"/>
                <w:sz w:val="22"/>
                <w:szCs w:val="22"/>
              </w:rPr>
              <w:t>(a)</w:t>
            </w:r>
            <w:r w:rsidRPr="00FB2F3D">
              <w:rPr>
                <w:rFonts w:ascii="Arial" w:hAnsi="Arial" w:cs="Arial"/>
                <w:sz w:val="22"/>
                <w:szCs w:val="22"/>
              </w:rPr>
              <w:tab/>
              <w:t xml:space="preserve">Information about any bank or other guarantees attaching to the </w:t>
            </w:r>
            <w:r w:rsidR="004B46BD" w:rsidRPr="00FB2F3D">
              <w:rPr>
                <w:rFonts w:ascii="Arial" w:hAnsi="Arial" w:cs="Arial"/>
                <w:sz w:val="22"/>
                <w:szCs w:val="22"/>
              </w:rPr>
              <w:t>Securities</w:t>
            </w:r>
            <w:r w:rsidRPr="00FB2F3D">
              <w:rPr>
                <w:rFonts w:ascii="Arial" w:hAnsi="Arial" w:cs="Arial"/>
                <w:sz w:val="22"/>
                <w:szCs w:val="22"/>
              </w:rPr>
              <w:t xml:space="preserve"> and intended to underwrite the </w:t>
            </w:r>
            <w:r w:rsidR="000A19CB" w:rsidRPr="00FB2F3D">
              <w:rPr>
                <w:rFonts w:ascii="Arial" w:hAnsi="Arial" w:cs="Arial"/>
                <w:sz w:val="22"/>
                <w:szCs w:val="22"/>
              </w:rPr>
              <w:t>Issuer</w:t>
            </w:r>
            <w:r w:rsidRPr="00FB2F3D">
              <w:rPr>
                <w:rFonts w:ascii="Arial" w:hAnsi="Arial" w:cs="Arial"/>
                <w:sz w:val="22"/>
                <w:szCs w:val="22"/>
              </w:rPr>
              <w:t>'s obligations including the details relating to:</w:t>
            </w:r>
          </w:p>
          <w:p w14:paraId="608B79E7" w14:textId="77777777" w:rsidR="00162E0C" w:rsidRPr="00FB2F3D" w:rsidRDefault="00162E0C" w:rsidP="00DC5448">
            <w:pPr>
              <w:pStyle w:val="UK12Block05"/>
              <w:ind w:left="1440" w:hanging="720"/>
              <w:rPr>
                <w:rFonts w:ascii="Arial" w:hAnsi="Arial" w:cs="Arial"/>
                <w:sz w:val="22"/>
                <w:szCs w:val="22"/>
              </w:rPr>
            </w:pPr>
            <w:r w:rsidRPr="00FB2F3D">
              <w:rPr>
                <w:rFonts w:ascii="Arial" w:hAnsi="Arial" w:cs="Arial"/>
                <w:sz w:val="22"/>
                <w:szCs w:val="22"/>
              </w:rPr>
              <w:t>(i)</w:t>
            </w:r>
            <w:r w:rsidRPr="00FB2F3D">
              <w:rPr>
                <w:rFonts w:ascii="Arial" w:hAnsi="Arial" w:cs="Arial"/>
                <w:sz w:val="22"/>
                <w:szCs w:val="22"/>
              </w:rPr>
              <w:tab/>
              <w:t>any conditionality on the application of the guarantee in the event of any default under the terms of the Security; and</w:t>
            </w:r>
          </w:p>
          <w:p w14:paraId="61D0700D" w14:textId="77777777" w:rsidR="00162E0C" w:rsidRPr="00FB2F3D" w:rsidRDefault="00162E0C" w:rsidP="00DC5448">
            <w:pPr>
              <w:pStyle w:val="UK12Block05"/>
              <w:ind w:left="1440" w:hanging="720"/>
              <w:rPr>
                <w:rFonts w:ascii="Arial" w:hAnsi="Arial" w:cs="Arial"/>
                <w:sz w:val="22"/>
                <w:szCs w:val="22"/>
              </w:rPr>
            </w:pPr>
            <w:r w:rsidRPr="00FB2F3D">
              <w:rPr>
                <w:rFonts w:ascii="Arial" w:hAnsi="Arial" w:cs="Arial"/>
                <w:sz w:val="22"/>
                <w:szCs w:val="22"/>
              </w:rPr>
              <w:t>(ii)</w:t>
            </w:r>
            <w:r w:rsidRPr="00FB2F3D">
              <w:rPr>
                <w:rFonts w:ascii="Arial" w:hAnsi="Arial" w:cs="Arial"/>
                <w:sz w:val="22"/>
                <w:szCs w:val="22"/>
              </w:rPr>
              <w:tab/>
              <w:t>any power of the guarantor to veto changes to the Security holders' rights.</w:t>
            </w:r>
          </w:p>
          <w:p w14:paraId="14679A76" w14:textId="77777777" w:rsidR="00162E0C" w:rsidRPr="00FB2F3D" w:rsidRDefault="00162E0C" w:rsidP="00DC5448">
            <w:pPr>
              <w:pStyle w:val="UK12Block"/>
              <w:ind w:left="720" w:hanging="720"/>
              <w:rPr>
                <w:rFonts w:ascii="Arial" w:hAnsi="Arial" w:cs="Arial"/>
                <w:sz w:val="22"/>
                <w:szCs w:val="22"/>
              </w:rPr>
            </w:pPr>
            <w:r w:rsidRPr="00FB2F3D">
              <w:rPr>
                <w:rFonts w:ascii="Arial" w:hAnsi="Arial" w:cs="Arial"/>
                <w:sz w:val="22"/>
                <w:szCs w:val="22"/>
              </w:rPr>
              <w:t>(b)</w:t>
            </w:r>
            <w:r w:rsidRPr="00FB2F3D">
              <w:rPr>
                <w:rFonts w:ascii="Arial" w:hAnsi="Arial" w:cs="Arial"/>
                <w:sz w:val="22"/>
                <w:szCs w:val="22"/>
              </w:rPr>
              <w:tab/>
              <w:t xml:space="preserve">Disclosure by the guarantor of the information about itself as if it were the </w:t>
            </w:r>
            <w:r w:rsidR="000A19CB" w:rsidRPr="00FB2F3D">
              <w:rPr>
                <w:rFonts w:ascii="Arial" w:hAnsi="Arial" w:cs="Arial"/>
                <w:sz w:val="22"/>
                <w:szCs w:val="22"/>
              </w:rPr>
              <w:t>Issuer</w:t>
            </w:r>
            <w:r w:rsidRPr="00FB2F3D">
              <w:rPr>
                <w:rFonts w:ascii="Arial" w:hAnsi="Arial" w:cs="Arial"/>
                <w:sz w:val="22"/>
                <w:szCs w:val="22"/>
              </w:rPr>
              <w:t xml:space="preserve"> of the same type of Security that is the subject of the guarantee.</w:t>
            </w:r>
          </w:p>
        </w:tc>
        <w:tc>
          <w:tcPr>
            <w:tcW w:w="360" w:type="dxa"/>
          </w:tcPr>
          <w:p w14:paraId="659D5E62"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613AB44F"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24242B52"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1A9E9C7E"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51E64DFC"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0B4AAFF1"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4B4C5989"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74D9CB59" w14:textId="77777777" w:rsidTr="00CF1201">
        <w:tc>
          <w:tcPr>
            <w:tcW w:w="14170" w:type="dxa"/>
            <w:gridSpan w:val="9"/>
          </w:tcPr>
          <w:p w14:paraId="505F58AD" w14:textId="77777777" w:rsidR="00162E0C" w:rsidRPr="00FB2F3D" w:rsidRDefault="00733AA3" w:rsidP="00755725">
            <w:pPr>
              <w:pStyle w:val="UK12Block"/>
              <w:keepNext/>
              <w:numPr>
                <w:ilvl w:val="0"/>
                <w:numId w:val="65"/>
              </w:numPr>
              <w:rPr>
                <w:rFonts w:ascii="Arial" w:hAnsi="Arial" w:cs="Arial"/>
                <w:b/>
                <w:sz w:val="22"/>
                <w:szCs w:val="22"/>
              </w:rPr>
            </w:pPr>
            <w:r w:rsidRPr="00FB2F3D">
              <w:rPr>
                <w:rFonts w:ascii="Arial" w:hAnsi="Arial" w:cs="Arial"/>
                <w:b/>
                <w:sz w:val="22"/>
                <w:szCs w:val="22"/>
              </w:rPr>
              <w:t>I</w:t>
            </w:r>
            <w:r w:rsidR="00162E0C" w:rsidRPr="00FB2F3D">
              <w:rPr>
                <w:rFonts w:ascii="Arial" w:hAnsi="Arial" w:cs="Arial"/>
                <w:b/>
                <w:sz w:val="22"/>
                <w:szCs w:val="22"/>
              </w:rPr>
              <w:t>NFORMATION RELATING TO THE SECURITIES OFFERED/ADMITTED TO TRADING</w:t>
            </w:r>
          </w:p>
        </w:tc>
      </w:tr>
      <w:tr w:rsidR="00162E0C" w:rsidRPr="00FB2F3D" w14:paraId="7BB918BA" w14:textId="77777777" w:rsidTr="00CF1201">
        <w:tc>
          <w:tcPr>
            <w:tcW w:w="648" w:type="dxa"/>
          </w:tcPr>
          <w:p w14:paraId="625B01C0" w14:textId="77777777" w:rsidR="00162E0C" w:rsidRPr="00FB2F3D" w:rsidRDefault="00162E0C" w:rsidP="00755725">
            <w:pPr>
              <w:pStyle w:val="UK12Block"/>
              <w:keepNext/>
              <w:numPr>
                <w:ilvl w:val="1"/>
                <w:numId w:val="65"/>
              </w:numPr>
              <w:rPr>
                <w:rFonts w:ascii="Arial" w:hAnsi="Arial" w:cs="Arial"/>
                <w:b/>
                <w:sz w:val="22"/>
                <w:szCs w:val="22"/>
              </w:rPr>
            </w:pPr>
          </w:p>
        </w:tc>
        <w:tc>
          <w:tcPr>
            <w:tcW w:w="9630" w:type="dxa"/>
            <w:vAlign w:val="bottom"/>
          </w:tcPr>
          <w:p w14:paraId="585F1CA8" w14:textId="77777777" w:rsidR="00162E0C" w:rsidRPr="00FB2F3D" w:rsidRDefault="00162E0C" w:rsidP="00733AA3">
            <w:pPr>
              <w:pStyle w:val="UK12Block"/>
              <w:keepNext/>
              <w:rPr>
                <w:rFonts w:ascii="Arial" w:hAnsi="Arial" w:cs="Arial"/>
                <w:b/>
                <w:sz w:val="22"/>
                <w:szCs w:val="22"/>
              </w:rPr>
            </w:pPr>
            <w:r w:rsidRPr="00FB2F3D">
              <w:rPr>
                <w:rFonts w:ascii="Arial" w:hAnsi="Arial" w:cs="Arial"/>
                <w:b/>
                <w:sz w:val="22"/>
                <w:szCs w:val="22"/>
              </w:rPr>
              <w:t xml:space="preserve">General information relating to the </w:t>
            </w:r>
            <w:r w:rsidR="004B46BD" w:rsidRPr="00FB2F3D">
              <w:rPr>
                <w:rFonts w:ascii="Arial" w:hAnsi="Arial" w:cs="Arial"/>
                <w:b/>
                <w:sz w:val="22"/>
                <w:szCs w:val="22"/>
              </w:rPr>
              <w:t>Securities</w:t>
            </w:r>
          </w:p>
        </w:tc>
        <w:tc>
          <w:tcPr>
            <w:tcW w:w="360" w:type="dxa"/>
          </w:tcPr>
          <w:p w14:paraId="53DB472D" w14:textId="77777777" w:rsidR="00162E0C" w:rsidRPr="00FB2F3D" w:rsidRDefault="00162E0C" w:rsidP="00733AA3">
            <w:pPr>
              <w:pStyle w:val="UK12Block"/>
              <w:keepNext/>
              <w:rPr>
                <w:rFonts w:ascii="Arial" w:hAnsi="Arial" w:cs="Arial"/>
                <w:sz w:val="22"/>
                <w:szCs w:val="22"/>
              </w:rPr>
            </w:pPr>
          </w:p>
        </w:tc>
        <w:tc>
          <w:tcPr>
            <w:tcW w:w="630" w:type="dxa"/>
          </w:tcPr>
          <w:p w14:paraId="1E4663A3" w14:textId="77777777" w:rsidR="00162E0C" w:rsidRPr="00FB2F3D" w:rsidRDefault="00162E0C" w:rsidP="00733AA3">
            <w:pPr>
              <w:pStyle w:val="UK12Block"/>
              <w:keepNext/>
              <w:rPr>
                <w:rFonts w:ascii="Arial" w:hAnsi="Arial" w:cs="Arial"/>
                <w:sz w:val="22"/>
                <w:szCs w:val="22"/>
              </w:rPr>
            </w:pPr>
          </w:p>
        </w:tc>
        <w:tc>
          <w:tcPr>
            <w:tcW w:w="360" w:type="dxa"/>
          </w:tcPr>
          <w:p w14:paraId="0D693956" w14:textId="77777777" w:rsidR="00162E0C" w:rsidRPr="00FB2F3D" w:rsidRDefault="00162E0C" w:rsidP="00733AA3">
            <w:pPr>
              <w:pStyle w:val="UK12Block"/>
              <w:keepNext/>
              <w:rPr>
                <w:rFonts w:ascii="Arial" w:hAnsi="Arial" w:cs="Arial"/>
                <w:sz w:val="22"/>
                <w:szCs w:val="22"/>
              </w:rPr>
            </w:pPr>
          </w:p>
        </w:tc>
        <w:tc>
          <w:tcPr>
            <w:tcW w:w="720" w:type="dxa"/>
          </w:tcPr>
          <w:p w14:paraId="18C958E8" w14:textId="77777777" w:rsidR="00162E0C" w:rsidRPr="00FB2F3D" w:rsidRDefault="00162E0C" w:rsidP="00733AA3">
            <w:pPr>
              <w:pStyle w:val="UK12Block"/>
              <w:keepNext/>
              <w:rPr>
                <w:rFonts w:ascii="Arial" w:hAnsi="Arial" w:cs="Arial"/>
                <w:sz w:val="22"/>
                <w:szCs w:val="22"/>
              </w:rPr>
            </w:pPr>
          </w:p>
        </w:tc>
        <w:tc>
          <w:tcPr>
            <w:tcW w:w="630" w:type="dxa"/>
          </w:tcPr>
          <w:p w14:paraId="7F648CC0" w14:textId="77777777" w:rsidR="00162E0C" w:rsidRPr="00FB2F3D" w:rsidRDefault="00162E0C" w:rsidP="00733AA3">
            <w:pPr>
              <w:pStyle w:val="UK12Block"/>
              <w:keepNext/>
              <w:rPr>
                <w:rFonts w:ascii="Arial" w:hAnsi="Arial" w:cs="Arial"/>
                <w:sz w:val="22"/>
                <w:szCs w:val="22"/>
              </w:rPr>
            </w:pPr>
          </w:p>
        </w:tc>
        <w:tc>
          <w:tcPr>
            <w:tcW w:w="630" w:type="dxa"/>
          </w:tcPr>
          <w:p w14:paraId="4F78A519" w14:textId="77777777" w:rsidR="00162E0C" w:rsidRPr="00FB2F3D" w:rsidRDefault="00162E0C" w:rsidP="00733AA3">
            <w:pPr>
              <w:pStyle w:val="UK12Block"/>
              <w:keepNext/>
              <w:rPr>
                <w:rFonts w:ascii="Arial" w:hAnsi="Arial" w:cs="Arial"/>
                <w:sz w:val="22"/>
                <w:szCs w:val="22"/>
              </w:rPr>
            </w:pPr>
          </w:p>
        </w:tc>
        <w:tc>
          <w:tcPr>
            <w:tcW w:w="562" w:type="dxa"/>
          </w:tcPr>
          <w:p w14:paraId="626299F4" w14:textId="77777777" w:rsidR="00162E0C" w:rsidRPr="00FB2F3D" w:rsidRDefault="00162E0C" w:rsidP="00733AA3">
            <w:pPr>
              <w:pStyle w:val="UK12Block"/>
              <w:keepNext/>
              <w:rPr>
                <w:rFonts w:ascii="Arial" w:hAnsi="Arial" w:cs="Arial"/>
                <w:sz w:val="22"/>
                <w:szCs w:val="22"/>
              </w:rPr>
            </w:pPr>
          </w:p>
        </w:tc>
      </w:tr>
      <w:tr w:rsidR="00162E0C" w:rsidRPr="00FB2F3D" w14:paraId="595650A1" w14:textId="77777777" w:rsidTr="00CF1201">
        <w:tc>
          <w:tcPr>
            <w:tcW w:w="648" w:type="dxa"/>
          </w:tcPr>
          <w:p w14:paraId="06F697C7" w14:textId="77777777" w:rsidR="00162E0C" w:rsidRPr="00FB2F3D" w:rsidRDefault="00162E0C" w:rsidP="00DC5448">
            <w:pPr>
              <w:pStyle w:val="UK12Block"/>
              <w:rPr>
                <w:rFonts w:ascii="Arial" w:hAnsi="Arial" w:cs="Arial"/>
                <w:b/>
                <w:sz w:val="22"/>
                <w:szCs w:val="22"/>
              </w:rPr>
            </w:pPr>
          </w:p>
        </w:tc>
        <w:tc>
          <w:tcPr>
            <w:tcW w:w="9630" w:type="dxa"/>
            <w:vAlign w:val="bottom"/>
          </w:tcPr>
          <w:p w14:paraId="3D2958AD"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 xml:space="preserve">A description of the type and class of the </w:t>
            </w:r>
            <w:r w:rsidR="004B46BD" w:rsidRPr="00FB2F3D">
              <w:rPr>
                <w:rFonts w:ascii="Arial" w:hAnsi="Arial" w:cs="Arial"/>
                <w:sz w:val="22"/>
                <w:szCs w:val="22"/>
              </w:rPr>
              <w:t>Securities</w:t>
            </w:r>
            <w:r w:rsidRPr="00FB2F3D">
              <w:rPr>
                <w:rFonts w:ascii="Arial" w:hAnsi="Arial" w:cs="Arial"/>
                <w:sz w:val="22"/>
                <w:szCs w:val="22"/>
              </w:rPr>
              <w:t xml:space="preserve"> being offered and/or admitted</w:t>
            </w:r>
            <w:r w:rsidR="00F604DE" w:rsidRPr="00FB2F3D">
              <w:rPr>
                <w:rFonts w:ascii="Arial" w:hAnsi="Arial" w:cs="Arial"/>
                <w:sz w:val="22"/>
                <w:szCs w:val="22"/>
              </w:rPr>
              <w:t xml:space="preserve"> to</w:t>
            </w:r>
            <w:r w:rsidRPr="00FB2F3D">
              <w:rPr>
                <w:rFonts w:ascii="Arial" w:hAnsi="Arial" w:cs="Arial"/>
                <w:sz w:val="22"/>
                <w:szCs w:val="22"/>
              </w:rPr>
              <w:t xml:space="preserve"> trading, including any identification number (ISIN) or code applicable to the </w:t>
            </w:r>
            <w:r w:rsidR="004B46BD" w:rsidRPr="00FB2F3D">
              <w:rPr>
                <w:rFonts w:ascii="Arial" w:hAnsi="Arial" w:cs="Arial"/>
                <w:sz w:val="22"/>
                <w:szCs w:val="22"/>
              </w:rPr>
              <w:t>Securities</w:t>
            </w:r>
            <w:r w:rsidRPr="00FB2F3D">
              <w:rPr>
                <w:rFonts w:ascii="Arial" w:hAnsi="Arial" w:cs="Arial"/>
                <w:sz w:val="22"/>
                <w:szCs w:val="22"/>
              </w:rPr>
              <w:t>.</w:t>
            </w:r>
          </w:p>
        </w:tc>
        <w:tc>
          <w:tcPr>
            <w:tcW w:w="360" w:type="dxa"/>
          </w:tcPr>
          <w:p w14:paraId="763BC534"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6E094C5B"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75C3319F"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5C53969F"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0DC64754"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0AAB14C5"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60488655"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12646A49" w14:textId="77777777" w:rsidTr="00CF1201">
        <w:tc>
          <w:tcPr>
            <w:tcW w:w="648" w:type="dxa"/>
          </w:tcPr>
          <w:p w14:paraId="5F6023F4" w14:textId="77777777" w:rsidR="00162E0C" w:rsidRPr="00FB2F3D" w:rsidRDefault="00162E0C" w:rsidP="00DC5448">
            <w:pPr>
              <w:pStyle w:val="UK12Block"/>
              <w:rPr>
                <w:rFonts w:ascii="Arial" w:hAnsi="Arial" w:cs="Arial"/>
                <w:b/>
                <w:sz w:val="22"/>
                <w:szCs w:val="22"/>
              </w:rPr>
            </w:pPr>
          </w:p>
        </w:tc>
        <w:tc>
          <w:tcPr>
            <w:tcW w:w="9630" w:type="dxa"/>
            <w:vAlign w:val="bottom"/>
          </w:tcPr>
          <w:p w14:paraId="06501DF6" w14:textId="446057D7" w:rsidR="00162E0C" w:rsidRPr="00FB2F3D" w:rsidRDefault="00167B46" w:rsidP="00755725">
            <w:pPr>
              <w:pStyle w:val="UK12Block"/>
              <w:numPr>
                <w:ilvl w:val="2"/>
                <w:numId w:val="65"/>
              </w:numPr>
              <w:rPr>
                <w:rFonts w:ascii="Arial" w:hAnsi="Arial" w:cs="Arial"/>
                <w:sz w:val="22"/>
                <w:szCs w:val="22"/>
              </w:rPr>
            </w:pPr>
            <w:r>
              <w:rPr>
                <w:rFonts w:ascii="Arial" w:hAnsi="Arial" w:cs="Arial"/>
                <w:sz w:val="22"/>
                <w:szCs w:val="22"/>
              </w:rPr>
              <w:t>T</w:t>
            </w:r>
            <w:r w:rsidR="00162E0C" w:rsidRPr="00FB2F3D">
              <w:rPr>
                <w:rFonts w:ascii="Arial" w:hAnsi="Arial" w:cs="Arial"/>
                <w:sz w:val="22"/>
                <w:szCs w:val="22"/>
              </w:rPr>
              <w:t>he name and address of the entity maintaining the</w:t>
            </w:r>
            <w:r>
              <w:rPr>
                <w:rFonts w:ascii="Arial" w:hAnsi="Arial" w:cs="Arial"/>
                <w:sz w:val="22"/>
                <w:szCs w:val="22"/>
              </w:rPr>
              <w:t xml:space="preserve"> Securities</w:t>
            </w:r>
            <w:r w:rsidR="00162E0C" w:rsidRPr="00FB2F3D">
              <w:rPr>
                <w:rFonts w:ascii="Arial" w:hAnsi="Arial" w:cs="Arial"/>
                <w:sz w:val="22"/>
                <w:szCs w:val="22"/>
              </w:rPr>
              <w:t xml:space="preserve"> records.</w:t>
            </w:r>
          </w:p>
        </w:tc>
        <w:tc>
          <w:tcPr>
            <w:tcW w:w="360" w:type="dxa"/>
          </w:tcPr>
          <w:p w14:paraId="4A9A236F"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164E3497"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51444179"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429096C6"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3FF4FF46"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34F1F600"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4177221C"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25DCCC7E" w14:textId="77777777" w:rsidTr="00CF1201">
        <w:tc>
          <w:tcPr>
            <w:tcW w:w="648" w:type="dxa"/>
          </w:tcPr>
          <w:p w14:paraId="314E2B64" w14:textId="77777777" w:rsidR="00162E0C" w:rsidRPr="00FB2F3D" w:rsidRDefault="00162E0C" w:rsidP="00DC5448">
            <w:pPr>
              <w:pStyle w:val="UK12Block"/>
              <w:rPr>
                <w:rFonts w:ascii="Arial" w:hAnsi="Arial" w:cs="Arial"/>
                <w:b/>
                <w:sz w:val="22"/>
                <w:szCs w:val="22"/>
              </w:rPr>
            </w:pPr>
          </w:p>
        </w:tc>
        <w:tc>
          <w:tcPr>
            <w:tcW w:w="9630" w:type="dxa"/>
            <w:vAlign w:val="bottom"/>
          </w:tcPr>
          <w:p w14:paraId="1EE37000"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 xml:space="preserve">A summary of any restrictions relating to transferability of the </w:t>
            </w:r>
            <w:r w:rsidR="004B46BD" w:rsidRPr="00FB2F3D">
              <w:rPr>
                <w:rFonts w:ascii="Arial" w:hAnsi="Arial" w:cs="Arial"/>
                <w:sz w:val="22"/>
                <w:szCs w:val="22"/>
              </w:rPr>
              <w:t>Securities</w:t>
            </w:r>
            <w:r w:rsidRPr="00FB2F3D">
              <w:rPr>
                <w:rFonts w:ascii="Arial" w:hAnsi="Arial" w:cs="Arial"/>
                <w:sz w:val="22"/>
                <w:szCs w:val="22"/>
              </w:rPr>
              <w:t>, the arrangements for settlement of transfers and any limitations of those rights and procedures for the exercise of such rights, including those specified in 2.2 and 2.3.</w:t>
            </w:r>
          </w:p>
        </w:tc>
        <w:tc>
          <w:tcPr>
            <w:tcW w:w="360" w:type="dxa"/>
          </w:tcPr>
          <w:p w14:paraId="164C6D38"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0D06C02F"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57077F73"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55B13757"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0AA4F946"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75FB9EC9"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5107733D"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3B3DDC74" w14:textId="77777777" w:rsidTr="00CF1201">
        <w:tc>
          <w:tcPr>
            <w:tcW w:w="648" w:type="dxa"/>
          </w:tcPr>
          <w:p w14:paraId="229DD5BE" w14:textId="77777777" w:rsidR="00162E0C" w:rsidRPr="00FB2F3D" w:rsidRDefault="00162E0C" w:rsidP="00DC5448">
            <w:pPr>
              <w:pStyle w:val="UK12Block"/>
              <w:rPr>
                <w:rFonts w:ascii="Arial" w:hAnsi="Arial" w:cs="Arial"/>
                <w:b/>
                <w:sz w:val="22"/>
                <w:szCs w:val="22"/>
              </w:rPr>
            </w:pPr>
          </w:p>
        </w:tc>
        <w:tc>
          <w:tcPr>
            <w:tcW w:w="9630" w:type="dxa"/>
            <w:vAlign w:val="bottom"/>
          </w:tcPr>
          <w:p w14:paraId="1C1D96F1"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 xml:space="preserve">Any legislation under which the </w:t>
            </w:r>
            <w:r w:rsidR="004B46BD" w:rsidRPr="00FB2F3D">
              <w:rPr>
                <w:rFonts w:ascii="Arial" w:hAnsi="Arial" w:cs="Arial"/>
                <w:sz w:val="22"/>
                <w:szCs w:val="22"/>
              </w:rPr>
              <w:t>Securities</w:t>
            </w:r>
            <w:r w:rsidRPr="00FB2F3D">
              <w:rPr>
                <w:rFonts w:ascii="Arial" w:hAnsi="Arial" w:cs="Arial"/>
                <w:sz w:val="22"/>
                <w:szCs w:val="22"/>
              </w:rPr>
              <w:t xml:space="preserve"> have been created.</w:t>
            </w:r>
          </w:p>
        </w:tc>
        <w:tc>
          <w:tcPr>
            <w:tcW w:w="360" w:type="dxa"/>
          </w:tcPr>
          <w:p w14:paraId="363468E1"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13A8449A"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395C78A6"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2B8D54B1"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67F6E2B7"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05646D36"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78BE6537"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7C7F68DD" w14:textId="77777777" w:rsidTr="00CF1201">
        <w:tc>
          <w:tcPr>
            <w:tcW w:w="648" w:type="dxa"/>
          </w:tcPr>
          <w:p w14:paraId="4F3F1027" w14:textId="77777777" w:rsidR="00162E0C" w:rsidRPr="00FB2F3D" w:rsidRDefault="00162E0C" w:rsidP="00DC5448">
            <w:pPr>
              <w:pStyle w:val="UK12Block"/>
              <w:rPr>
                <w:rFonts w:ascii="Arial" w:hAnsi="Arial" w:cs="Arial"/>
                <w:b/>
                <w:sz w:val="22"/>
                <w:szCs w:val="22"/>
              </w:rPr>
            </w:pPr>
          </w:p>
        </w:tc>
        <w:tc>
          <w:tcPr>
            <w:tcW w:w="9630" w:type="dxa"/>
            <w:vAlign w:val="bottom"/>
          </w:tcPr>
          <w:p w14:paraId="415B82FB"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 xml:space="preserve">The currency of the </w:t>
            </w:r>
            <w:r w:rsidR="004B46BD" w:rsidRPr="00FB2F3D">
              <w:rPr>
                <w:rFonts w:ascii="Arial" w:hAnsi="Arial" w:cs="Arial"/>
                <w:sz w:val="22"/>
                <w:szCs w:val="22"/>
              </w:rPr>
              <w:t>Securities</w:t>
            </w:r>
            <w:r w:rsidRPr="00FB2F3D">
              <w:rPr>
                <w:rFonts w:ascii="Arial" w:hAnsi="Arial" w:cs="Arial"/>
                <w:sz w:val="22"/>
                <w:szCs w:val="22"/>
              </w:rPr>
              <w:t xml:space="preserve"> issue.</w:t>
            </w:r>
          </w:p>
        </w:tc>
        <w:tc>
          <w:tcPr>
            <w:tcW w:w="360" w:type="dxa"/>
          </w:tcPr>
          <w:p w14:paraId="6EBCB6B7"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58BA7B06"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050E686E"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14C8EFDF"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7BA7026B"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5114BCDB"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239DEC4F"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1DA858AD" w14:textId="77777777" w:rsidTr="00CF1201">
        <w:tc>
          <w:tcPr>
            <w:tcW w:w="648" w:type="dxa"/>
          </w:tcPr>
          <w:p w14:paraId="3EE6E224" w14:textId="77777777" w:rsidR="00162E0C" w:rsidRPr="00FB2F3D" w:rsidRDefault="00162E0C" w:rsidP="00DC5448">
            <w:pPr>
              <w:pStyle w:val="UK12Block"/>
              <w:rPr>
                <w:rFonts w:ascii="Arial" w:hAnsi="Arial" w:cs="Arial"/>
                <w:b/>
                <w:sz w:val="22"/>
                <w:szCs w:val="22"/>
              </w:rPr>
            </w:pPr>
          </w:p>
        </w:tc>
        <w:tc>
          <w:tcPr>
            <w:tcW w:w="9630" w:type="dxa"/>
            <w:vAlign w:val="bottom"/>
          </w:tcPr>
          <w:p w14:paraId="3A7E62A9"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 xml:space="preserve">The ranking of the </w:t>
            </w:r>
            <w:r w:rsidR="004B46BD" w:rsidRPr="00FB2F3D">
              <w:rPr>
                <w:rFonts w:ascii="Arial" w:hAnsi="Arial" w:cs="Arial"/>
                <w:sz w:val="22"/>
                <w:szCs w:val="22"/>
              </w:rPr>
              <w:t>Securities</w:t>
            </w:r>
            <w:r w:rsidRPr="00FB2F3D">
              <w:rPr>
                <w:rFonts w:ascii="Arial" w:hAnsi="Arial" w:cs="Arial"/>
                <w:sz w:val="22"/>
                <w:szCs w:val="22"/>
              </w:rPr>
              <w:t xml:space="preserve"> being admitted to trading, including summaries of any clauses that are intended to affect ranking or subordinate the Security to any present or future liabilities of the </w:t>
            </w:r>
            <w:r w:rsidR="000A19CB" w:rsidRPr="00FB2F3D">
              <w:rPr>
                <w:rFonts w:ascii="Arial" w:hAnsi="Arial" w:cs="Arial"/>
                <w:sz w:val="22"/>
                <w:szCs w:val="22"/>
              </w:rPr>
              <w:t>Issuer</w:t>
            </w:r>
            <w:r w:rsidRPr="00FB2F3D">
              <w:rPr>
                <w:rFonts w:ascii="Arial" w:hAnsi="Arial" w:cs="Arial"/>
                <w:sz w:val="22"/>
                <w:szCs w:val="22"/>
              </w:rPr>
              <w:t>.</w:t>
            </w:r>
          </w:p>
        </w:tc>
        <w:tc>
          <w:tcPr>
            <w:tcW w:w="360" w:type="dxa"/>
          </w:tcPr>
          <w:p w14:paraId="1D9BB03C" w14:textId="77777777" w:rsidR="00162E0C" w:rsidRPr="00FB2F3D" w:rsidRDefault="00162E0C" w:rsidP="00DC5448">
            <w:pPr>
              <w:pStyle w:val="UK12Block"/>
              <w:rPr>
                <w:rFonts w:ascii="Arial" w:hAnsi="Arial" w:cs="Arial"/>
                <w:sz w:val="22"/>
                <w:szCs w:val="22"/>
              </w:rPr>
            </w:pPr>
          </w:p>
        </w:tc>
        <w:tc>
          <w:tcPr>
            <w:tcW w:w="630" w:type="dxa"/>
          </w:tcPr>
          <w:p w14:paraId="78C4A22B" w14:textId="77777777" w:rsidR="00162E0C" w:rsidRPr="00FB2F3D" w:rsidRDefault="00162E0C" w:rsidP="00DC5448">
            <w:pPr>
              <w:pStyle w:val="UK12Block"/>
              <w:rPr>
                <w:rFonts w:ascii="Arial" w:hAnsi="Arial" w:cs="Arial"/>
                <w:sz w:val="22"/>
                <w:szCs w:val="22"/>
              </w:rPr>
            </w:pPr>
          </w:p>
        </w:tc>
        <w:tc>
          <w:tcPr>
            <w:tcW w:w="360" w:type="dxa"/>
          </w:tcPr>
          <w:p w14:paraId="2A8E4A8D"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2FCED1AD"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2C4E9425" w14:textId="77777777" w:rsidR="00162E0C" w:rsidRPr="00FB2F3D" w:rsidRDefault="00162E0C" w:rsidP="00DC5448">
            <w:pPr>
              <w:pStyle w:val="UK12Block"/>
              <w:rPr>
                <w:rFonts w:ascii="Arial" w:hAnsi="Arial" w:cs="Arial"/>
                <w:sz w:val="22"/>
                <w:szCs w:val="22"/>
              </w:rPr>
            </w:pPr>
          </w:p>
        </w:tc>
        <w:tc>
          <w:tcPr>
            <w:tcW w:w="630" w:type="dxa"/>
          </w:tcPr>
          <w:p w14:paraId="5D960F0E"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60CC6E17" w14:textId="77777777" w:rsidR="00162E0C" w:rsidRPr="00FB2F3D" w:rsidRDefault="00162E0C" w:rsidP="00DC5448">
            <w:pPr>
              <w:pStyle w:val="UK12Block"/>
              <w:rPr>
                <w:rFonts w:ascii="Arial" w:hAnsi="Arial" w:cs="Arial"/>
                <w:sz w:val="22"/>
                <w:szCs w:val="22"/>
              </w:rPr>
            </w:pPr>
          </w:p>
        </w:tc>
      </w:tr>
      <w:tr w:rsidR="00162E0C" w:rsidRPr="00FB2F3D" w14:paraId="39583530" w14:textId="77777777" w:rsidTr="00CF1201">
        <w:tc>
          <w:tcPr>
            <w:tcW w:w="648" w:type="dxa"/>
          </w:tcPr>
          <w:p w14:paraId="5E5EA309" w14:textId="77777777" w:rsidR="00162E0C" w:rsidRPr="00FB2F3D" w:rsidRDefault="00162E0C" w:rsidP="00DC5448">
            <w:pPr>
              <w:pStyle w:val="UK12Block"/>
              <w:rPr>
                <w:rFonts w:ascii="Arial" w:hAnsi="Arial" w:cs="Arial"/>
                <w:b/>
                <w:sz w:val="22"/>
                <w:szCs w:val="22"/>
              </w:rPr>
            </w:pPr>
          </w:p>
        </w:tc>
        <w:tc>
          <w:tcPr>
            <w:tcW w:w="9630" w:type="dxa"/>
            <w:vAlign w:val="bottom"/>
          </w:tcPr>
          <w:p w14:paraId="6FA18754"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 xml:space="preserve">The maturity date and arrangements for the amortisation of the Debenture, including the repayment procedures. Where advance amortisation is contemplated, on the initiative of the </w:t>
            </w:r>
            <w:r w:rsidR="000A19CB" w:rsidRPr="00FB2F3D">
              <w:rPr>
                <w:rFonts w:ascii="Arial" w:hAnsi="Arial" w:cs="Arial"/>
                <w:sz w:val="22"/>
                <w:szCs w:val="22"/>
              </w:rPr>
              <w:t>Issuer</w:t>
            </w:r>
            <w:r w:rsidRPr="00FB2F3D">
              <w:rPr>
                <w:rFonts w:ascii="Arial" w:hAnsi="Arial" w:cs="Arial"/>
                <w:sz w:val="22"/>
                <w:szCs w:val="22"/>
              </w:rPr>
              <w:t xml:space="preserve"> or of the holder, it must be described, stipulating amortisation terms and conditions.</w:t>
            </w:r>
          </w:p>
        </w:tc>
        <w:tc>
          <w:tcPr>
            <w:tcW w:w="360" w:type="dxa"/>
          </w:tcPr>
          <w:p w14:paraId="22D19369" w14:textId="77777777" w:rsidR="00162E0C" w:rsidRPr="00FB2F3D" w:rsidRDefault="00162E0C" w:rsidP="00DC5448">
            <w:pPr>
              <w:pStyle w:val="UK12Block"/>
              <w:rPr>
                <w:rFonts w:ascii="Arial" w:hAnsi="Arial" w:cs="Arial"/>
                <w:sz w:val="22"/>
                <w:szCs w:val="22"/>
              </w:rPr>
            </w:pPr>
          </w:p>
        </w:tc>
        <w:tc>
          <w:tcPr>
            <w:tcW w:w="630" w:type="dxa"/>
          </w:tcPr>
          <w:p w14:paraId="5D10DA37" w14:textId="77777777" w:rsidR="00162E0C" w:rsidRPr="00FB2F3D" w:rsidRDefault="00162E0C" w:rsidP="00DC5448">
            <w:pPr>
              <w:pStyle w:val="UK12Block"/>
              <w:rPr>
                <w:rFonts w:ascii="Arial" w:hAnsi="Arial" w:cs="Arial"/>
                <w:sz w:val="22"/>
                <w:szCs w:val="22"/>
              </w:rPr>
            </w:pPr>
          </w:p>
        </w:tc>
        <w:tc>
          <w:tcPr>
            <w:tcW w:w="360" w:type="dxa"/>
          </w:tcPr>
          <w:p w14:paraId="6A905D39"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3F554D77"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4689AE70" w14:textId="77777777" w:rsidR="00162E0C" w:rsidRPr="00FB2F3D" w:rsidRDefault="00162E0C" w:rsidP="00DC5448">
            <w:pPr>
              <w:pStyle w:val="UK12Block"/>
              <w:rPr>
                <w:rFonts w:ascii="Arial" w:hAnsi="Arial" w:cs="Arial"/>
                <w:sz w:val="22"/>
                <w:szCs w:val="22"/>
              </w:rPr>
            </w:pPr>
          </w:p>
        </w:tc>
        <w:tc>
          <w:tcPr>
            <w:tcW w:w="630" w:type="dxa"/>
          </w:tcPr>
          <w:p w14:paraId="2AF5E138"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35CDF5B7" w14:textId="77777777" w:rsidR="00162E0C" w:rsidRPr="00FB2F3D" w:rsidRDefault="00162E0C" w:rsidP="00DC5448">
            <w:pPr>
              <w:pStyle w:val="UK12Block"/>
              <w:rPr>
                <w:rFonts w:ascii="Arial" w:hAnsi="Arial" w:cs="Arial"/>
                <w:sz w:val="22"/>
                <w:szCs w:val="22"/>
              </w:rPr>
            </w:pPr>
          </w:p>
        </w:tc>
      </w:tr>
      <w:tr w:rsidR="00162E0C" w:rsidRPr="00FB2F3D" w14:paraId="64B85842" w14:textId="77777777" w:rsidTr="00CF1201">
        <w:tc>
          <w:tcPr>
            <w:tcW w:w="648" w:type="dxa"/>
          </w:tcPr>
          <w:p w14:paraId="07FD45C3" w14:textId="77777777" w:rsidR="00162E0C" w:rsidRPr="00FB2F3D" w:rsidRDefault="00162E0C" w:rsidP="00DC5448">
            <w:pPr>
              <w:pStyle w:val="UK12Block"/>
              <w:rPr>
                <w:rFonts w:ascii="Arial" w:hAnsi="Arial" w:cs="Arial"/>
                <w:b/>
                <w:sz w:val="22"/>
                <w:szCs w:val="22"/>
              </w:rPr>
            </w:pPr>
          </w:p>
        </w:tc>
        <w:tc>
          <w:tcPr>
            <w:tcW w:w="9630" w:type="dxa"/>
            <w:vAlign w:val="bottom"/>
          </w:tcPr>
          <w:p w14:paraId="1A69FCB8"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Information regarding representation of Debenture holders including an identification of the organisation representing the investors and provisions applying to such representation</w:t>
            </w:r>
            <w:r w:rsidR="000F22E6" w:rsidRPr="00FB2F3D">
              <w:rPr>
                <w:rFonts w:ascii="Arial" w:hAnsi="Arial" w:cs="Arial"/>
                <w:sz w:val="22"/>
                <w:szCs w:val="22"/>
              </w:rPr>
              <w:t>,</w:t>
            </w:r>
            <w:r w:rsidRPr="00FB2F3D">
              <w:rPr>
                <w:rFonts w:ascii="Arial" w:hAnsi="Arial" w:cs="Arial"/>
                <w:sz w:val="22"/>
                <w:szCs w:val="22"/>
              </w:rPr>
              <w:t xml:space="preserve"> and</w:t>
            </w:r>
            <w:r w:rsidR="000F22E6" w:rsidRPr="00FB2F3D">
              <w:rPr>
                <w:rFonts w:ascii="Arial" w:hAnsi="Arial" w:cs="Arial"/>
                <w:sz w:val="22"/>
                <w:szCs w:val="22"/>
              </w:rPr>
              <w:t xml:space="preserve"> an</w:t>
            </w:r>
            <w:r w:rsidRPr="00FB2F3D">
              <w:rPr>
                <w:rFonts w:ascii="Arial" w:hAnsi="Arial" w:cs="Arial"/>
                <w:sz w:val="22"/>
                <w:szCs w:val="22"/>
              </w:rPr>
              <w:t xml:space="preserve"> indication of where investors may have access to the contracts relating to these forms of representation.</w:t>
            </w:r>
          </w:p>
        </w:tc>
        <w:tc>
          <w:tcPr>
            <w:tcW w:w="360" w:type="dxa"/>
          </w:tcPr>
          <w:p w14:paraId="6F10DF21" w14:textId="77777777" w:rsidR="00162E0C" w:rsidRPr="00FB2F3D" w:rsidRDefault="00162E0C" w:rsidP="00DC5448">
            <w:pPr>
              <w:pStyle w:val="UK12Block"/>
              <w:rPr>
                <w:rFonts w:ascii="Arial" w:hAnsi="Arial" w:cs="Arial"/>
                <w:sz w:val="22"/>
                <w:szCs w:val="22"/>
              </w:rPr>
            </w:pPr>
          </w:p>
        </w:tc>
        <w:tc>
          <w:tcPr>
            <w:tcW w:w="630" w:type="dxa"/>
          </w:tcPr>
          <w:p w14:paraId="754CEF58" w14:textId="77777777" w:rsidR="00162E0C" w:rsidRPr="00FB2F3D" w:rsidRDefault="00162E0C" w:rsidP="00DC5448">
            <w:pPr>
              <w:pStyle w:val="UK12Block"/>
              <w:rPr>
                <w:rFonts w:ascii="Arial" w:hAnsi="Arial" w:cs="Arial"/>
                <w:sz w:val="22"/>
                <w:szCs w:val="22"/>
              </w:rPr>
            </w:pPr>
          </w:p>
        </w:tc>
        <w:tc>
          <w:tcPr>
            <w:tcW w:w="360" w:type="dxa"/>
          </w:tcPr>
          <w:p w14:paraId="2386F4A3"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0B63D9D3"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10A82782" w14:textId="77777777" w:rsidR="00162E0C" w:rsidRPr="00FB2F3D" w:rsidRDefault="00162E0C" w:rsidP="00DC5448">
            <w:pPr>
              <w:pStyle w:val="UK12Block"/>
              <w:rPr>
                <w:rFonts w:ascii="Arial" w:hAnsi="Arial" w:cs="Arial"/>
                <w:sz w:val="22"/>
                <w:szCs w:val="22"/>
              </w:rPr>
            </w:pPr>
          </w:p>
        </w:tc>
        <w:tc>
          <w:tcPr>
            <w:tcW w:w="630" w:type="dxa"/>
          </w:tcPr>
          <w:p w14:paraId="1E004E04"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0CBDB43E" w14:textId="77777777" w:rsidR="00162E0C" w:rsidRPr="00FB2F3D" w:rsidRDefault="00162E0C" w:rsidP="00DC5448">
            <w:pPr>
              <w:pStyle w:val="UK12Block"/>
              <w:rPr>
                <w:rFonts w:ascii="Arial" w:hAnsi="Arial" w:cs="Arial"/>
                <w:sz w:val="22"/>
                <w:szCs w:val="22"/>
              </w:rPr>
            </w:pPr>
          </w:p>
        </w:tc>
      </w:tr>
      <w:tr w:rsidR="00162E0C" w:rsidRPr="00FB2F3D" w14:paraId="139EEF2F" w14:textId="77777777" w:rsidTr="00CF1201">
        <w:tc>
          <w:tcPr>
            <w:tcW w:w="648" w:type="dxa"/>
          </w:tcPr>
          <w:p w14:paraId="0F1EBC7D" w14:textId="77777777" w:rsidR="00162E0C" w:rsidRPr="00FB2F3D" w:rsidRDefault="00162E0C" w:rsidP="00755725">
            <w:pPr>
              <w:pStyle w:val="UK12Block"/>
              <w:numPr>
                <w:ilvl w:val="1"/>
                <w:numId w:val="65"/>
              </w:numPr>
              <w:rPr>
                <w:rFonts w:ascii="Arial" w:hAnsi="Arial" w:cs="Arial"/>
                <w:b/>
                <w:sz w:val="22"/>
                <w:szCs w:val="22"/>
              </w:rPr>
            </w:pPr>
          </w:p>
        </w:tc>
        <w:tc>
          <w:tcPr>
            <w:tcW w:w="9630" w:type="dxa"/>
            <w:vAlign w:val="bottom"/>
          </w:tcPr>
          <w:p w14:paraId="2931B917" w14:textId="77777777" w:rsidR="00162E0C" w:rsidRPr="00FB2F3D" w:rsidRDefault="00162E0C" w:rsidP="00DC5448">
            <w:pPr>
              <w:pStyle w:val="UK12Block"/>
              <w:rPr>
                <w:rFonts w:ascii="Arial" w:hAnsi="Arial" w:cs="Arial"/>
                <w:sz w:val="22"/>
                <w:szCs w:val="22"/>
                <w:lang w:eastAsia="ja-JP"/>
              </w:rPr>
            </w:pPr>
            <w:r w:rsidRPr="00FB2F3D">
              <w:rPr>
                <w:rFonts w:ascii="Arial" w:hAnsi="Arial" w:cs="Arial"/>
                <w:b/>
                <w:sz w:val="22"/>
                <w:szCs w:val="22"/>
              </w:rPr>
              <w:t>Dividends</w:t>
            </w:r>
          </w:p>
          <w:p w14:paraId="73966B3D" w14:textId="77777777" w:rsidR="00162E0C" w:rsidRPr="00FB2F3D" w:rsidRDefault="00162E0C" w:rsidP="00DC5448">
            <w:pPr>
              <w:pStyle w:val="UK12Block"/>
              <w:rPr>
                <w:rFonts w:ascii="Arial" w:hAnsi="Arial" w:cs="Arial"/>
                <w:sz w:val="22"/>
                <w:szCs w:val="22"/>
                <w:lang w:eastAsia="ja-JP"/>
              </w:rPr>
            </w:pPr>
            <w:r w:rsidRPr="00FB2F3D">
              <w:rPr>
                <w:rFonts w:ascii="Arial" w:hAnsi="Arial" w:cs="Arial"/>
                <w:sz w:val="22"/>
                <w:szCs w:val="22"/>
              </w:rPr>
              <w:t xml:space="preserve">Information relating to dividend rights including: </w:t>
            </w:r>
          </w:p>
          <w:p w14:paraId="6C9CF2BA"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 xml:space="preserve">a description of the </w:t>
            </w:r>
            <w:r w:rsidR="000A19CB" w:rsidRPr="00FB2F3D">
              <w:rPr>
                <w:rFonts w:ascii="Arial" w:hAnsi="Arial" w:cs="Arial"/>
                <w:sz w:val="22"/>
                <w:szCs w:val="22"/>
              </w:rPr>
              <w:t>Issuer</w:t>
            </w:r>
            <w:r w:rsidRPr="00FB2F3D">
              <w:rPr>
                <w:rFonts w:ascii="Arial" w:hAnsi="Arial" w:cs="Arial"/>
                <w:sz w:val="22"/>
                <w:szCs w:val="22"/>
              </w:rPr>
              <w:t>'s policy on dividend distributions and any restrictions thereon;</w:t>
            </w:r>
          </w:p>
          <w:p w14:paraId="5C18B53E"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 xml:space="preserve">the amount of the dividend per Security, or underlying Security if applicable, for each financial year for the period covered by the historical financial information, adjusted where the number of </w:t>
            </w:r>
            <w:r w:rsidR="004B46BD" w:rsidRPr="00FB2F3D">
              <w:rPr>
                <w:rFonts w:ascii="Arial" w:hAnsi="Arial" w:cs="Arial"/>
                <w:sz w:val="22"/>
                <w:szCs w:val="22"/>
              </w:rPr>
              <w:t>Securities</w:t>
            </w:r>
            <w:r w:rsidRPr="00FB2F3D">
              <w:rPr>
                <w:rFonts w:ascii="Arial" w:hAnsi="Arial" w:cs="Arial"/>
                <w:sz w:val="22"/>
                <w:szCs w:val="22"/>
              </w:rPr>
              <w:t xml:space="preserve">, or underlying </w:t>
            </w:r>
            <w:r w:rsidR="004B46BD" w:rsidRPr="00FB2F3D">
              <w:rPr>
                <w:rFonts w:ascii="Arial" w:hAnsi="Arial" w:cs="Arial"/>
                <w:sz w:val="22"/>
                <w:szCs w:val="22"/>
              </w:rPr>
              <w:t>Securities</w:t>
            </w:r>
            <w:r w:rsidRPr="00FB2F3D">
              <w:rPr>
                <w:rFonts w:ascii="Arial" w:hAnsi="Arial" w:cs="Arial"/>
                <w:sz w:val="22"/>
                <w:szCs w:val="22"/>
              </w:rPr>
              <w:t xml:space="preserve"> if applicable, in the </w:t>
            </w:r>
            <w:r w:rsidR="000A19CB" w:rsidRPr="00FB2F3D">
              <w:rPr>
                <w:rFonts w:ascii="Arial" w:hAnsi="Arial" w:cs="Arial"/>
                <w:sz w:val="22"/>
                <w:szCs w:val="22"/>
              </w:rPr>
              <w:t>Issuer</w:t>
            </w:r>
            <w:r w:rsidRPr="00FB2F3D">
              <w:rPr>
                <w:rFonts w:ascii="Arial" w:hAnsi="Arial" w:cs="Arial"/>
                <w:sz w:val="22"/>
                <w:szCs w:val="22"/>
              </w:rPr>
              <w:t xml:space="preserve"> has changed, to make it comparable;</w:t>
            </w:r>
          </w:p>
          <w:p w14:paraId="3AEDE61D"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fixed date(s) on which the dividend entitlement arises;</w:t>
            </w:r>
          </w:p>
          <w:p w14:paraId="53A1B12A"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lastRenderedPageBreak/>
              <w:t xml:space="preserve">if relevant, </w:t>
            </w:r>
            <w:r w:rsidR="000F22E6" w:rsidRPr="00FB2F3D">
              <w:rPr>
                <w:rFonts w:ascii="Arial" w:hAnsi="Arial" w:cs="Arial"/>
                <w:sz w:val="22"/>
                <w:szCs w:val="22"/>
              </w:rPr>
              <w:t xml:space="preserve">the </w:t>
            </w:r>
            <w:r w:rsidRPr="00FB2F3D">
              <w:rPr>
                <w:rFonts w:ascii="Arial" w:hAnsi="Arial" w:cs="Arial"/>
                <w:sz w:val="22"/>
                <w:szCs w:val="22"/>
              </w:rPr>
              <w:t>time limit after which entitlement to dividend lapses and an indication of the Person in whose favour the lapse operates;</w:t>
            </w:r>
          </w:p>
          <w:p w14:paraId="7D166ECC"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any dividend restrictions; and</w:t>
            </w:r>
          </w:p>
          <w:p w14:paraId="60A58071"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the rate of dividend or method of its calculation, periodicity and cumulative or non</w:t>
            </w:r>
            <w:r w:rsidRPr="00FB2F3D">
              <w:rPr>
                <w:rFonts w:ascii="Arial" w:hAnsi="Arial" w:cs="Arial"/>
                <w:sz w:val="22"/>
                <w:szCs w:val="22"/>
              </w:rPr>
              <w:noBreakHyphen/>
              <w:t>cumulative nature of payments.</w:t>
            </w:r>
          </w:p>
        </w:tc>
        <w:tc>
          <w:tcPr>
            <w:tcW w:w="360" w:type="dxa"/>
          </w:tcPr>
          <w:p w14:paraId="483D6477"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lastRenderedPageBreak/>
              <w:sym w:font="Wingdings" w:char="F0FC"/>
            </w:r>
          </w:p>
        </w:tc>
        <w:tc>
          <w:tcPr>
            <w:tcW w:w="630" w:type="dxa"/>
          </w:tcPr>
          <w:p w14:paraId="7643F4E8"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281753A8" w14:textId="77777777" w:rsidR="00162E0C" w:rsidRPr="00FB2F3D" w:rsidRDefault="00162E0C" w:rsidP="00DC5448">
            <w:pPr>
              <w:pStyle w:val="UK12Block"/>
              <w:rPr>
                <w:rFonts w:ascii="Arial" w:hAnsi="Arial" w:cs="Arial"/>
                <w:sz w:val="22"/>
                <w:szCs w:val="22"/>
              </w:rPr>
            </w:pPr>
          </w:p>
        </w:tc>
        <w:tc>
          <w:tcPr>
            <w:tcW w:w="720" w:type="dxa"/>
          </w:tcPr>
          <w:p w14:paraId="21F112C0" w14:textId="77777777" w:rsidR="00162E0C" w:rsidRPr="00FB2F3D" w:rsidRDefault="00162E0C" w:rsidP="00DC5448">
            <w:pPr>
              <w:pStyle w:val="UK12Block"/>
              <w:rPr>
                <w:rFonts w:ascii="Arial" w:hAnsi="Arial" w:cs="Arial"/>
                <w:sz w:val="22"/>
                <w:szCs w:val="22"/>
              </w:rPr>
            </w:pPr>
          </w:p>
        </w:tc>
        <w:tc>
          <w:tcPr>
            <w:tcW w:w="630" w:type="dxa"/>
          </w:tcPr>
          <w:p w14:paraId="38690480"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2FDE778C" w14:textId="77777777" w:rsidR="00162E0C" w:rsidRPr="00FB2F3D" w:rsidRDefault="00162E0C" w:rsidP="00DC5448">
            <w:pPr>
              <w:pStyle w:val="UK12Block"/>
              <w:rPr>
                <w:rFonts w:ascii="Arial" w:hAnsi="Arial" w:cs="Arial"/>
                <w:sz w:val="22"/>
                <w:szCs w:val="22"/>
              </w:rPr>
            </w:pPr>
          </w:p>
        </w:tc>
        <w:tc>
          <w:tcPr>
            <w:tcW w:w="562" w:type="dxa"/>
          </w:tcPr>
          <w:p w14:paraId="049CEF8F"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60166021" w14:textId="77777777" w:rsidTr="00CF1201">
        <w:tc>
          <w:tcPr>
            <w:tcW w:w="648" w:type="dxa"/>
          </w:tcPr>
          <w:p w14:paraId="534A9452" w14:textId="77777777" w:rsidR="00162E0C" w:rsidRPr="00FB2F3D" w:rsidRDefault="00162E0C" w:rsidP="00755725">
            <w:pPr>
              <w:pStyle w:val="UK12Block"/>
              <w:numPr>
                <w:ilvl w:val="1"/>
                <w:numId w:val="65"/>
              </w:numPr>
              <w:rPr>
                <w:rFonts w:ascii="Arial" w:hAnsi="Arial" w:cs="Arial"/>
                <w:b/>
                <w:sz w:val="22"/>
                <w:szCs w:val="22"/>
              </w:rPr>
            </w:pPr>
          </w:p>
        </w:tc>
        <w:tc>
          <w:tcPr>
            <w:tcW w:w="9630" w:type="dxa"/>
            <w:vAlign w:val="bottom"/>
          </w:tcPr>
          <w:p w14:paraId="6F28FB1B" w14:textId="77777777" w:rsidR="00162E0C" w:rsidRPr="00FB2F3D" w:rsidRDefault="00162E0C" w:rsidP="00DC5448">
            <w:pPr>
              <w:pStyle w:val="UK12Block"/>
              <w:rPr>
                <w:rFonts w:ascii="Arial" w:hAnsi="Arial" w:cs="Arial"/>
                <w:b/>
                <w:sz w:val="22"/>
                <w:szCs w:val="22"/>
                <w:lang w:eastAsia="ja-JP"/>
              </w:rPr>
            </w:pPr>
            <w:r w:rsidRPr="00FB2F3D">
              <w:rPr>
                <w:rFonts w:ascii="Arial" w:hAnsi="Arial" w:cs="Arial"/>
                <w:b/>
                <w:sz w:val="22"/>
                <w:szCs w:val="22"/>
              </w:rPr>
              <w:t>Interest Rate and Yield</w:t>
            </w:r>
          </w:p>
          <w:p w14:paraId="12363B8A" w14:textId="77777777" w:rsidR="00162E0C" w:rsidRPr="00FB2F3D" w:rsidRDefault="00162E0C"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Where there is a nominal rate of interest or rate of return and provisions relating to rate of interest or rate of return payable, information including:</w:t>
            </w:r>
          </w:p>
          <w:p w14:paraId="4596D302" w14:textId="77777777" w:rsidR="00162E0C" w:rsidRPr="00FB2F3D" w:rsidRDefault="00162E0C"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the date from which rate of interest or rate of return becomes payable and the due dates for rate of interest or rate of return; and</w:t>
            </w:r>
          </w:p>
          <w:p w14:paraId="4629BE35" w14:textId="77777777" w:rsidR="00162E0C" w:rsidRPr="00FB2F3D" w:rsidRDefault="00162E0C"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the time limit on the validity of claims to rate of interest or rate of return and repayment of principal.</w:t>
            </w:r>
          </w:p>
          <w:p w14:paraId="4A72BFDC" w14:textId="77777777" w:rsidR="00162E0C" w:rsidRPr="00FB2F3D" w:rsidRDefault="00162E0C"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Where the rate is not fixed, information including:</w:t>
            </w:r>
          </w:p>
          <w:p w14:paraId="2F373523" w14:textId="77777777" w:rsidR="00162E0C" w:rsidRPr="00FB2F3D" w:rsidRDefault="00162E0C"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a description of the underlying on which it is based and of the method used to relate the two;</w:t>
            </w:r>
          </w:p>
          <w:p w14:paraId="73FE4DDD" w14:textId="77777777" w:rsidR="00162E0C" w:rsidRPr="00FB2F3D" w:rsidRDefault="00162E0C"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a description of any market disruption or settlement disruption events that affect the underlying;</w:t>
            </w:r>
          </w:p>
          <w:p w14:paraId="7DFE026E" w14:textId="77777777" w:rsidR="00162E0C" w:rsidRPr="00FB2F3D" w:rsidRDefault="00162E0C"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adjustment rules with relation to events concerning the underlying; and</w:t>
            </w:r>
          </w:p>
          <w:p w14:paraId="14B02C93" w14:textId="77777777" w:rsidR="00162E0C" w:rsidRPr="00FB2F3D" w:rsidRDefault="00162E0C"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lastRenderedPageBreak/>
              <w:t>the name of the calculation agent.</w:t>
            </w:r>
          </w:p>
          <w:p w14:paraId="45AACB8F"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An indication of yield</w:t>
            </w:r>
            <w:r w:rsidRPr="00FB2F3D">
              <w:rPr>
                <w:rFonts w:ascii="Arial" w:hAnsi="Arial" w:cs="Arial"/>
                <w:sz w:val="22"/>
                <w:szCs w:val="22"/>
                <w:lang w:eastAsia="ja-JP"/>
              </w:rPr>
              <w:t>.</w:t>
            </w:r>
          </w:p>
        </w:tc>
        <w:tc>
          <w:tcPr>
            <w:tcW w:w="360" w:type="dxa"/>
          </w:tcPr>
          <w:p w14:paraId="445003B7" w14:textId="77777777" w:rsidR="00162E0C" w:rsidRPr="00FB2F3D" w:rsidRDefault="00162E0C" w:rsidP="00DC5448">
            <w:pPr>
              <w:pStyle w:val="UK12Block"/>
              <w:rPr>
                <w:rFonts w:ascii="Arial" w:hAnsi="Arial" w:cs="Arial"/>
                <w:sz w:val="22"/>
                <w:szCs w:val="22"/>
              </w:rPr>
            </w:pPr>
          </w:p>
        </w:tc>
        <w:tc>
          <w:tcPr>
            <w:tcW w:w="630" w:type="dxa"/>
          </w:tcPr>
          <w:p w14:paraId="4CAB6A5B" w14:textId="77777777" w:rsidR="00162E0C" w:rsidRPr="00FB2F3D" w:rsidRDefault="00162E0C" w:rsidP="00DC5448">
            <w:pPr>
              <w:pStyle w:val="UK12Block"/>
              <w:rPr>
                <w:rFonts w:ascii="Arial" w:hAnsi="Arial" w:cs="Arial"/>
                <w:sz w:val="22"/>
                <w:szCs w:val="22"/>
              </w:rPr>
            </w:pPr>
          </w:p>
        </w:tc>
        <w:tc>
          <w:tcPr>
            <w:tcW w:w="360" w:type="dxa"/>
          </w:tcPr>
          <w:p w14:paraId="671C0DF5"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3A50553C"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36E2A17C" w14:textId="77777777" w:rsidR="00162E0C" w:rsidRPr="00FB2F3D" w:rsidRDefault="00162E0C" w:rsidP="00DC5448">
            <w:pPr>
              <w:pStyle w:val="UK12Block"/>
              <w:rPr>
                <w:rFonts w:ascii="Arial" w:hAnsi="Arial" w:cs="Arial"/>
                <w:sz w:val="22"/>
                <w:szCs w:val="22"/>
              </w:rPr>
            </w:pPr>
          </w:p>
        </w:tc>
        <w:tc>
          <w:tcPr>
            <w:tcW w:w="630" w:type="dxa"/>
          </w:tcPr>
          <w:p w14:paraId="2F59DEDA"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25C70BA4" w14:textId="77777777" w:rsidR="00162E0C" w:rsidRPr="00FB2F3D" w:rsidRDefault="00162E0C" w:rsidP="00DC5448">
            <w:pPr>
              <w:pStyle w:val="UK12Block"/>
              <w:rPr>
                <w:rFonts w:ascii="Arial" w:hAnsi="Arial" w:cs="Arial"/>
                <w:sz w:val="22"/>
                <w:szCs w:val="22"/>
              </w:rPr>
            </w:pPr>
          </w:p>
        </w:tc>
      </w:tr>
      <w:tr w:rsidR="00162E0C" w:rsidRPr="00FB2F3D" w14:paraId="278767F1" w14:textId="77777777" w:rsidTr="00CF1201">
        <w:tc>
          <w:tcPr>
            <w:tcW w:w="648" w:type="dxa"/>
          </w:tcPr>
          <w:p w14:paraId="5572ABC0" w14:textId="77777777" w:rsidR="00162E0C" w:rsidRPr="00FB2F3D" w:rsidRDefault="00162E0C" w:rsidP="00755725">
            <w:pPr>
              <w:pStyle w:val="UK12Block"/>
              <w:numPr>
                <w:ilvl w:val="1"/>
                <w:numId w:val="65"/>
              </w:numPr>
              <w:rPr>
                <w:rFonts w:ascii="Arial" w:hAnsi="Arial" w:cs="Arial"/>
                <w:b/>
                <w:sz w:val="22"/>
                <w:szCs w:val="22"/>
              </w:rPr>
            </w:pPr>
          </w:p>
        </w:tc>
        <w:tc>
          <w:tcPr>
            <w:tcW w:w="9630" w:type="dxa"/>
            <w:vAlign w:val="bottom"/>
          </w:tcPr>
          <w:p w14:paraId="2B33D5D2" w14:textId="77777777" w:rsidR="00162E0C" w:rsidRPr="00FB2F3D" w:rsidRDefault="00162E0C" w:rsidP="00DC5448">
            <w:pPr>
              <w:pStyle w:val="UK12Block"/>
              <w:rPr>
                <w:rFonts w:ascii="Arial" w:hAnsi="Arial" w:cs="Arial"/>
                <w:b/>
                <w:sz w:val="22"/>
                <w:szCs w:val="22"/>
                <w:lang w:eastAsia="ja-JP"/>
              </w:rPr>
            </w:pPr>
            <w:r w:rsidRPr="00FB2F3D">
              <w:rPr>
                <w:rFonts w:ascii="Arial" w:hAnsi="Arial" w:cs="Arial"/>
                <w:b/>
                <w:sz w:val="22"/>
                <w:szCs w:val="22"/>
              </w:rPr>
              <w:t>Other rights</w:t>
            </w:r>
          </w:p>
          <w:p w14:paraId="7E9E906F"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t>Information relating to other rights including:</w:t>
            </w:r>
          </w:p>
        </w:tc>
        <w:tc>
          <w:tcPr>
            <w:tcW w:w="360" w:type="dxa"/>
          </w:tcPr>
          <w:p w14:paraId="2417E68A" w14:textId="77777777" w:rsidR="00162E0C" w:rsidRPr="00FB2F3D" w:rsidRDefault="00162E0C" w:rsidP="00DC5448">
            <w:pPr>
              <w:pStyle w:val="UK12Block"/>
              <w:rPr>
                <w:rFonts w:ascii="Arial" w:hAnsi="Arial" w:cs="Arial"/>
                <w:sz w:val="22"/>
                <w:szCs w:val="22"/>
              </w:rPr>
            </w:pPr>
          </w:p>
        </w:tc>
        <w:tc>
          <w:tcPr>
            <w:tcW w:w="630" w:type="dxa"/>
          </w:tcPr>
          <w:p w14:paraId="43F40B7B" w14:textId="77777777" w:rsidR="00162E0C" w:rsidRPr="00FB2F3D" w:rsidRDefault="00162E0C" w:rsidP="00DC5448">
            <w:pPr>
              <w:pStyle w:val="UK12Block"/>
              <w:rPr>
                <w:rFonts w:ascii="Arial" w:hAnsi="Arial" w:cs="Arial"/>
                <w:sz w:val="22"/>
                <w:szCs w:val="22"/>
              </w:rPr>
            </w:pPr>
          </w:p>
        </w:tc>
        <w:tc>
          <w:tcPr>
            <w:tcW w:w="360" w:type="dxa"/>
          </w:tcPr>
          <w:p w14:paraId="0469553D" w14:textId="77777777" w:rsidR="00162E0C" w:rsidRPr="00FB2F3D" w:rsidRDefault="00162E0C" w:rsidP="00DC5448">
            <w:pPr>
              <w:pStyle w:val="UK12Block"/>
              <w:rPr>
                <w:rFonts w:ascii="Arial" w:hAnsi="Arial" w:cs="Arial"/>
                <w:sz w:val="22"/>
                <w:szCs w:val="22"/>
              </w:rPr>
            </w:pPr>
          </w:p>
        </w:tc>
        <w:tc>
          <w:tcPr>
            <w:tcW w:w="720" w:type="dxa"/>
          </w:tcPr>
          <w:p w14:paraId="57F7B9AF" w14:textId="77777777" w:rsidR="00162E0C" w:rsidRPr="00FB2F3D" w:rsidRDefault="00162E0C" w:rsidP="00DC5448">
            <w:pPr>
              <w:pStyle w:val="UK12Block"/>
              <w:rPr>
                <w:rFonts w:ascii="Arial" w:hAnsi="Arial" w:cs="Arial"/>
                <w:sz w:val="22"/>
                <w:szCs w:val="22"/>
              </w:rPr>
            </w:pPr>
          </w:p>
        </w:tc>
        <w:tc>
          <w:tcPr>
            <w:tcW w:w="630" w:type="dxa"/>
          </w:tcPr>
          <w:p w14:paraId="559B5513" w14:textId="77777777" w:rsidR="00162E0C" w:rsidRPr="00FB2F3D" w:rsidRDefault="00162E0C" w:rsidP="00DC5448">
            <w:pPr>
              <w:pStyle w:val="UK12Block"/>
              <w:rPr>
                <w:rFonts w:ascii="Arial" w:hAnsi="Arial" w:cs="Arial"/>
                <w:sz w:val="22"/>
                <w:szCs w:val="22"/>
              </w:rPr>
            </w:pPr>
          </w:p>
        </w:tc>
        <w:tc>
          <w:tcPr>
            <w:tcW w:w="630" w:type="dxa"/>
          </w:tcPr>
          <w:p w14:paraId="431BA653" w14:textId="77777777" w:rsidR="00162E0C" w:rsidRPr="00FB2F3D" w:rsidRDefault="00162E0C" w:rsidP="00DC5448">
            <w:pPr>
              <w:pStyle w:val="UK12Block"/>
              <w:rPr>
                <w:rFonts w:ascii="Arial" w:hAnsi="Arial" w:cs="Arial"/>
                <w:sz w:val="22"/>
                <w:szCs w:val="22"/>
              </w:rPr>
            </w:pPr>
          </w:p>
        </w:tc>
        <w:tc>
          <w:tcPr>
            <w:tcW w:w="562" w:type="dxa"/>
          </w:tcPr>
          <w:p w14:paraId="16C891A0" w14:textId="77777777" w:rsidR="00162E0C" w:rsidRPr="00FB2F3D" w:rsidRDefault="00162E0C" w:rsidP="00DC5448">
            <w:pPr>
              <w:pStyle w:val="UK12Block"/>
              <w:rPr>
                <w:rFonts w:ascii="Arial" w:hAnsi="Arial" w:cs="Arial"/>
                <w:sz w:val="22"/>
                <w:szCs w:val="22"/>
              </w:rPr>
            </w:pPr>
          </w:p>
        </w:tc>
      </w:tr>
      <w:tr w:rsidR="00162E0C" w:rsidRPr="00FB2F3D" w14:paraId="314B8518" w14:textId="77777777" w:rsidTr="00CF1201">
        <w:tc>
          <w:tcPr>
            <w:tcW w:w="648" w:type="dxa"/>
          </w:tcPr>
          <w:p w14:paraId="10AB409A" w14:textId="77777777" w:rsidR="00162E0C" w:rsidRPr="00FB2F3D" w:rsidRDefault="00162E0C" w:rsidP="00DC5448">
            <w:pPr>
              <w:pStyle w:val="UK12Block"/>
              <w:rPr>
                <w:rFonts w:ascii="Arial" w:hAnsi="Arial" w:cs="Arial"/>
                <w:sz w:val="22"/>
                <w:szCs w:val="22"/>
              </w:rPr>
            </w:pPr>
          </w:p>
        </w:tc>
        <w:tc>
          <w:tcPr>
            <w:tcW w:w="9630" w:type="dxa"/>
            <w:vAlign w:val="bottom"/>
          </w:tcPr>
          <w:p w14:paraId="14DA0254"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voting rights;</w:t>
            </w:r>
          </w:p>
        </w:tc>
        <w:tc>
          <w:tcPr>
            <w:tcW w:w="360" w:type="dxa"/>
          </w:tcPr>
          <w:p w14:paraId="0A9814B4"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075EFC1C"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61FA72EB" w14:textId="77777777" w:rsidR="00162E0C" w:rsidRPr="00FB2F3D" w:rsidRDefault="00162E0C" w:rsidP="00DC5448">
            <w:pPr>
              <w:pStyle w:val="UK12Block"/>
              <w:rPr>
                <w:rFonts w:ascii="Arial" w:hAnsi="Arial" w:cs="Arial"/>
                <w:sz w:val="22"/>
                <w:szCs w:val="22"/>
              </w:rPr>
            </w:pPr>
          </w:p>
        </w:tc>
        <w:tc>
          <w:tcPr>
            <w:tcW w:w="720" w:type="dxa"/>
          </w:tcPr>
          <w:p w14:paraId="60179CC7" w14:textId="77777777" w:rsidR="00162E0C" w:rsidRPr="00FB2F3D" w:rsidRDefault="00162E0C" w:rsidP="00DC5448">
            <w:pPr>
              <w:pStyle w:val="UK12Block"/>
              <w:rPr>
                <w:rFonts w:ascii="Arial" w:hAnsi="Arial" w:cs="Arial"/>
                <w:sz w:val="22"/>
                <w:szCs w:val="22"/>
              </w:rPr>
            </w:pPr>
          </w:p>
        </w:tc>
        <w:tc>
          <w:tcPr>
            <w:tcW w:w="630" w:type="dxa"/>
          </w:tcPr>
          <w:p w14:paraId="04E65E5B"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14BE774B" w14:textId="77777777" w:rsidR="00162E0C" w:rsidRPr="00FB2F3D" w:rsidRDefault="00162E0C" w:rsidP="00DC5448">
            <w:pPr>
              <w:pStyle w:val="UK12Block"/>
              <w:rPr>
                <w:rFonts w:ascii="Arial" w:hAnsi="Arial" w:cs="Arial"/>
                <w:sz w:val="22"/>
                <w:szCs w:val="22"/>
              </w:rPr>
            </w:pPr>
          </w:p>
        </w:tc>
        <w:tc>
          <w:tcPr>
            <w:tcW w:w="562" w:type="dxa"/>
          </w:tcPr>
          <w:p w14:paraId="69F32E7E"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31CB50D4" w14:textId="77777777" w:rsidTr="00CF1201">
        <w:tc>
          <w:tcPr>
            <w:tcW w:w="648" w:type="dxa"/>
          </w:tcPr>
          <w:p w14:paraId="393DC415" w14:textId="77777777" w:rsidR="00162E0C" w:rsidRPr="00FB2F3D" w:rsidRDefault="00162E0C" w:rsidP="00DC5448">
            <w:pPr>
              <w:pStyle w:val="UK12Block"/>
              <w:rPr>
                <w:rFonts w:ascii="Arial" w:hAnsi="Arial" w:cs="Arial"/>
                <w:sz w:val="22"/>
                <w:szCs w:val="22"/>
              </w:rPr>
            </w:pPr>
          </w:p>
        </w:tc>
        <w:tc>
          <w:tcPr>
            <w:tcW w:w="9630" w:type="dxa"/>
            <w:vAlign w:val="bottom"/>
          </w:tcPr>
          <w:p w14:paraId="119835B8" w14:textId="3F16A168"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 xml:space="preserve">rights in relation to </w:t>
            </w:r>
            <w:r w:rsidR="00FB37F9" w:rsidRPr="00FB2F3D">
              <w:rPr>
                <w:rFonts w:ascii="Arial" w:hAnsi="Arial" w:cs="Arial"/>
                <w:sz w:val="22"/>
                <w:szCs w:val="22"/>
              </w:rPr>
              <w:t>Offers</w:t>
            </w:r>
            <w:r w:rsidRPr="00FB2F3D">
              <w:rPr>
                <w:rFonts w:ascii="Arial" w:hAnsi="Arial" w:cs="Arial"/>
                <w:sz w:val="22"/>
                <w:szCs w:val="22"/>
              </w:rPr>
              <w:t xml:space="preserve"> for subscription of </w:t>
            </w:r>
            <w:r w:rsidR="004B46BD" w:rsidRPr="00FB2F3D">
              <w:rPr>
                <w:rFonts w:ascii="Arial" w:hAnsi="Arial" w:cs="Arial"/>
                <w:sz w:val="22"/>
                <w:szCs w:val="22"/>
              </w:rPr>
              <w:t>Securities</w:t>
            </w:r>
            <w:r w:rsidRPr="00FB2F3D">
              <w:rPr>
                <w:rFonts w:ascii="Arial" w:hAnsi="Arial" w:cs="Arial"/>
                <w:sz w:val="22"/>
                <w:szCs w:val="22"/>
              </w:rPr>
              <w:t xml:space="preserve"> of the same class;</w:t>
            </w:r>
          </w:p>
        </w:tc>
        <w:tc>
          <w:tcPr>
            <w:tcW w:w="360" w:type="dxa"/>
          </w:tcPr>
          <w:p w14:paraId="17519063"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2F1CF6D0"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05356308" w14:textId="77777777" w:rsidR="00162E0C" w:rsidRPr="00FB2F3D" w:rsidRDefault="00162E0C" w:rsidP="00DC5448">
            <w:pPr>
              <w:pStyle w:val="UK12Block"/>
              <w:rPr>
                <w:rFonts w:ascii="Arial" w:hAnsi="Arial" w:cs="Arial"/>
                <w:sz w:val="22"/>
                <w:szCs w:val="22"/>
              </w:rPr>
            </w:pPr>
          </w:p>
        </w:tc>
        <w:tc>
          <w:tcPr>
            <w:tcW w:w="720" w:type="dxa"/>
          </w:tcPr>
          <w:p w14:paraId="6C24D8BC" w14:textId="77777777" w:rsidR="00162E0C" w:rsidRPr="00FB2F3D" w:rsidRDefault="00162E0C" w:rsidP="00DC5448">
            <w:pPr>
              <w:pStyle w:val="UK12Block"/>
              <w:rPr>
                <w:rFonts w:ascii="Arial" w:hAnsi="Arial" w:cs="Arial"/>
                <w:sz w:val="22"/>
                <w:szCs w:val="22"/>
              </w:rPr>
            </w:pPr>
          </w:p>
        </w:tc>
        <w:tc>
          <w:tcPr>
            <w:tcW w:w="630" w:type="dxa"/>
          </w:tcPr>
          <w:p w14:paraId="5C9B924A"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57481399" w14:textId="77777777" w:rsidR="00162E0C" w:rsidRPr="00FB2F3D" w:rsidRDefault="00162E0C" w:rsidP="00DC5448">
            <w:pPr>
              <w:pStyle w:val="UK12Block"/>
              <w:rPr>
                <w:rFonts w:ascii="Arial" w:hAnsi="Arial" w:cs="Arial"/>
                <w:sz w:val="22"/>
                <w:szCs w:val="22"/>
              </w:rPr>
            </w:pPr>
          </w:p>
        </w:tc>
        <w:tc>
          <w:tcPr>
            <w:tcW w:w="562" w:type="dxa"/>
          </w:tcPr>
          <w:p w14:paraId="0324B1F2"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70154EF5" w14:textId="77777777" w:rsidTr="00CF1201">
        <w:tc>
          <w:tcPr>
            <w:tcW w:w="648" w:type="dxa"/>
          </w:tcPr>
          <w:p w14:paraId="5FE8AC88" w14:textId="77777777" w:rsidR="00162E0C" w:rsidRPr="00FB2F3D" w:rsidRDefault="00162E0C" w:rsidP="00DC5448">
            <w:pPr>
              <w:pStyle w:val="UK12Block"/>
              <w:rPr>
                <w:rFonts w:ascii="Arial" w:hAnsi="Arial" w:cs="Arial"/>
                <w:sz w:val="22"/>
                <w:szCs w:val="22"/>
                <w:lang w:eastAsia="ja-JP"/>
              </w:rPr>
            </w:pPr>
          </w:p>
        </w:tc>
        <w:tc>
          <w:tcPr>
            <w:tcW w:w="9630" w:type="dxa"/>
            <w:vAlign w:val="bottom"/>
          </w:tcPr>
          <w:p w14:paraId="7C2FD43D"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 xml:space="preserve">rights to </w:t>
            </w:r>
            <w:r w:rsidR="00CA15B4" w:rsidRPr="00FB2F3D">
              <w:rPr>
                <w:rFonts w:ascii="Arial" w:hAnsi="Arial" w:cs="Arial"/>
                <w:sz w:val="22"/>
                <w:szCs w:val="22"/>
              </w:rPr>
              <w:t>share</w:t>
            </w:r>
            <w:r w:rsidRPr="00FB2F3D">
              <w:rPr>
                <w:rFonts w:ascii="Arial" w:hAnsi="Arial" w:cs="Arial"/>
                <w:sz w:val="22"/>
                <w:szCs w:val="22"/>
              </w:rPr>
              <w:t xml:space="preserve"> in the </w:t>
            </w:r>
            <w:r w:rsidR="000A19CB" w:rsidRPr="00FB2F3D">
              <w:rPr>
                <w:rFonts w:ascii="Arial" w:hAnsi="Arial" w:cs="Arial"/>
                <w:sz w:val="22"/>
                <w:szCs w:val="22"/>
              </w:rPr>
              <w:t>Issuer</w:t>
            </w:r>
            <w:r w:rsidRPr="00FB2F3D">
              <w:rPr>
                <w:rFonts w:ascii="Arial" w:hAnsi="Arial" w:cs="Arial"/>
                <w:sz w:val="22"/>
                <w:szCs w:val="22"/>
              </w:rPr>
              <w:t>'s profits;</w:t>
            </w:r>
          </w:p>
        </w:tc>
        <w:tc>
          <w:tcPr>
            <w:tcW w:w="360" w:type="dxa"/>
          </w:tcPr>
          <w:p w14:paraId="51EE2B82"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3908041A"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0392262D" w14:textId="77777777" w:rsidR="00162E0C" w:rsidRPr="00FB2F3D" w:rsidRDefault="00162E0C" w:rsidP="00DC5448">
            <w:pPr>
              <w:pStyle w:val="UK12Block"/>
              <w:rPr>
                <w:rFonts w:ascii="Arial" w:hAnsi="Arial" w:cs="Arial"/>
                <w:sz w:val="22"/>
                <w:szCs w:val="22"/>
              </w:rPr>
            </w:pPr>
          </w:p>
        </w:tc>
        <w:tc>
          <w:tcPr>
            <w:tcW w:w="720" w:type="dxa"/>
          </w:tcPr>
          <w:p w14:paraId="18CF3FD3" w14:textId="77777777" w:rsidR="00162E0C" w:rsidRPr="00FB2F3D" w:rsidRDefault="00162E0C" w:rsidP="00DC5448">
            <w:pPr>
              <w:pStyle w:val="UK12Block"/>
              <w:rPr>
                <w:rFonts w:ascii="Arial" w:hAnsi="Arial" w:cs="Arial"/>
                <w:sz w:val="22"/>
                <w:szCs w:val="22"/>
              </w:rPr>
            </w:pPr>
          </w:p>
        </w:tc>
        <w:tc>
          <w:tcPr>
            <w:tcW w:w="630" w:type="dxa"/>
          </w:tcPr>
          <w:p w14:paraId="61D05353"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1019708C" w14:textId="77777777" w:rsidR="00162E0C" w:rsidRPr="00FB2F3D" w:rsidRDefault="00162E0C" w:rsidP="00DC5448">
            <w:pPr>
              <w:pStyle w:val="UK12Block"/>
              <w:rPr>
                <w:rFonts w:ascii="Arial" w:hAnsi="Arial" w:cs="Arial"/>
                <w:sz w:val="22"/>
                <w:szCs w:val="22"/>
              </w:rPr>
            </w:pPr>
          </w:p>
        </w:tc>
        <w:tc>
          <w:tcPr>
            <w:tcW w:w="562" w:type="dxa"/>
          </w:tcPr>
          <w:p w14:paraId="3AFF52B9"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1B291B0E" w14:textId="77777777" w:rsidTr="00CF1201">
        <w:tc>
          <w:tcPr>
            <w:tcW w:w="648" w:type="dxa"/>
          </w:tcPr>
          <w:p w14:paraId="7C82FF57" w14:textId="77777777" w:rsidR="00162E0C" w:rsidRPr="00FB2F3D" w:rsidRDefault="00162E0C" w:rsidP="00DC5448">
            <w:pPr>
              <w:pStyle w:val="UK12Block"/>
              <w:rPr>
                <w:rFonts w:ascii="Arial" w:hAnsi="Arial" w:cs="Arial"/>
                <w:sz w:val="22"/>
                <w:szCs w:val="22"/>
              </w:rPr>
            </w:pPr>
          </w:p>
        </w:tc>
        <w:tc>
          <w:tcPr>
            <w:tcW w:w="9630" w:type="dxa"/>
            <w:vAlign w:val="bottom"/>
          </w:tcPr>
          <w:p w14:paraId="488AB400"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 xml:space="preserve">rights to </w:t>
            </w:r>
            <w:r w:rsidR="00CA15B4" w:rsidRPr="00FB2F3D">
              <w:rPr>
                <w:rFonts w:ascii="Arial" w:hAnsi="Arial" w:cs="Arial"/>
                <w:sz w:val="22"/>
                <w:szCs w:val="22"/>
              </w:rPr>
              <w:t>share</w:t>
            </w:r>
            <w:r w:rsidRPr="00FB2F3D">
              <w:rPr>
                <w:rFonts w:ascii="Arial" w:hAnsi="Arial" w:cs="Arial"/>
                <w:sz w:val="22"/>
                <w:szCs w:val="22"/>
              </w:rPr>
              <w:t xml:space="preserve"> in any surplus in the event of liquidation of the </w:t>
            </w:r>
            <w:r w:rsidR="000A19CB" w:rsidRPr="00FB2F3D">
              <w:rPr>
                <w:rFonts w:ascii="Arial" w:hAnsi="Arial" w:cs="Arial"/>
                <w:sz w:val="22"/>
                <w:szCs w:val="22"/>
              </w:rPr>
              <w:t>Issuer</w:t>
            </w:r>
            <w:r w:rsidRPr="00FB2F3D">
              <w:rPr>
                <w:rFonts w:ascii="Arial" w:hAnsi="Arial" w:cs="Arial"/>
                <w:sz w:val="22"/>
                <w:szCs w:val="22"/>
              </w:rPr>
              <w:t>;</w:t>
            </w:r>
          </w:p>
        </w:tc>
        <w:tc>
          <w:tcPr>
            <w:tcW w:w="360" w:type="dxa"/>
          </w:tcPr>
          <w:p w14:paraId="0C284689"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0026A3C8"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6565D0FF" w14:textId="77777777" w:rsidR="00162E0C" w:rsidRPr="00FB2F3D" w:rsidRDefault="00162E0C" w:rsidP="00DC5448">
            <w:pPr>
              <w:pStyle w:val="UK12Block"/>
              <w:rPr>
                <w:rFonts w:ascii="Arial" w:hAnsi="Arial" w:cs="Arial"/>
                <w:sz w:val="22"/>
                <w:szCs w:val="22"/>
              </w:rPr>
            </w:pPr>
          </w:p>
        </w:tc>
        <w:tc>
          <w:tcPr>
            <w:tcW w:w="720" w:type="dxa"/>
          </w:tcPr>
          <w:p w14:paraId="0E0FC053" w14:textId="77777777" w:rsidR="00162E0C" w:rsidRPr="00FB2F3D" w:rsidRDefault="00162E0C" w:rsidP="00DC5448">
            <w:pPr>
              <w:pStyle w:val="UK12Block"/>
              <w:rPr>
                <w:rFonts w:ascii="Arial" w:hAnsi="Arial" w:cs="Arial"/>
                <w:sz w:val="22"/>
                <w:szCs w:val="22"/>
              </w:rPr>
            </w:pPr>
          </w:p>
        </w:tc>
        <w:tc>
          <w:tcPr>
            <w:tcW w:w="630" w:type="dxa"/>
          </w:tcPr>
          <w:p w14:paraId="0D51F16B"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1BA7515E" w14:textId="77777777" w:rsidR="00162E0C" w:rsidRPr="00FB2F3D" w:rsidRDefault="00162E0C" w:rsidP="00DC5448">
            <w:pPr>
              <w:pStyle w:val="UK12Block"/>
              <w:rPr>
                <w:rFonts w:ascii="Arial" w:hAnsi="Arial" w:cs="Arial"/>
                <w:sz w:val="22"/>
                <w:szCs w:val="22"/>
              </w:rPr>
            </w:pPr>
          </w:p>
        </w:tc>
        <w:tc>
          <w:tcPr>
            <w:tcW w:w="562" w:type="dxa"/>
          </w:tcPr>
          <w:p w14:paraId="7CE93F2A"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59D5EEAB" w14:textId="77777777" w:rsidTr="00CF1201">
        <w:tc>
          <w:tcPr>
            <w:tcW w:w="648" w:type="dxa"/>
          </w:tcPr>
          <w:p w14:paraId="12FFB80A" w14:textId="77777777" w:rsidR="00162E0C" w:rsidRPr="00FB2F3D" w:rsidRDefault="00162E0C" w:rsidP="00DC5448">
            <w:pPr>
              <w:pStyle w:val="UK12Block"/>
              <w:rPr>
                <w:rFonts w:ascii="Arial" w:hAnsi="Arial" w:cs="Arial"/>
                <w:sz w:val="22"/>
                <w:szCs w:val="22"/>
              </w:rPr>
            </w:pPr>
          </w:p>
        </w:tc>
        <w:tc>
          <w:tcPr>
            <w:tcW w:w="9630" w:type="dxa"/>
            <w:vAlign w:val="bottom"/>
          </w:tcPr>
          <w:p w14:paraId="774403D6"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redemption rights, if any; and</w:t>
            </w:r>
          </w:p>
        </w:tc>
        <w:tc>
          <w:tcPr>
            <w:tcW w:w="360" w:type="dxa"/>
          </w:tcPr>
          <w:p w14:paraId="07542F64"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43AAD28A"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0B5BCF5A"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5C2E73A7"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7D17C433"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13CEE65F"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03687826"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69961304" w14:textId="77777777" w:rsidTr="00CF1201">
        <w:tc>
          <w:tcPr>
            <w:tcW w:w="648" w:type="dxa"/>
          </w:tcPr>
          <w:p w14:paraId="7F31FE0B" w14:textId="77777777" w:rsidR="00162E0C" w:rsidRPr="00FB2F3D" w:rsidRDefault="00162E0C" w:rsidP="00DC5448">
            <w:pPr>
              <w:pStyle w:val="UK12Block"/>
              <w:rPr>
                <w:rFonts w:ascii="Arial" w:hAnsi="Arial" w:cs="Arial"/>
                <w:sz w:val="22"/>
                <w:szCs w:val="22"/>
              </w:rPr>
            </w:pPr>
          </w:p>
        </w:tc>
        <w:tc>
          <w:tcPr>
            <w:tcW w:w="9630" w:type="dxa"/>
            <w:vAlign w:val="bottom"/>
          </w:tcPr>
          <w:p w14:paraId="3BEBE9BA"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conversion rights, if any.</w:t>
            </w:r>
          </w:p>
        </w:tc>
        <w:tc>
          <w:tcPr>
            <w:tcW w:w="360" w:type="dxa"/>
          </w:tcPr>
          <w:p w14:paraId="6472569D"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1171C145"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54102DAF" w14:textId="77777777" w:rsidR="00162E0C" w:rsidRPr="00FB2F3D" w:rsidRDefault="00162E0C" w:rsidP="00DC5448">
            <w:pPr>
              <w:pStyle w:val="UK12Block"/>
              <w:rPr>
                <w:rFonts w:ascii="Arial" w:hAnsi="Arial" w:cs="Arial"/>
                <w:sz w:val="22"/>
                <w:szCs w:val="22"/>
              </w:rPr>
            </w:pPr>
          </w:p>
        </w:tc>
        <w:tc>
          <w:tcPr>
            <w:tcW w:w="720" w:type="dxa"/>
          </w:tcPr>
          <w:p w14:paraId="0BB58691" w14:textId="77777777" w:rsidR="00162E0C" w:rsidRPr="00FB2F3D" w:rsidRDefault="00162E0C" w:rsidP="00DC5448">
            <w:pPr>
              <w:pStyle w:val="UK12Block"/>
              <w:rPr>
                <w:rFonts w:ascii="Arial" w:hAnsi="Arial" w:cs="Arial"/>
                <w:sz w:val="22"/>
                <w:szCs w:val="22"/>
              </w:rPr>
            </w:pPr>
          </w:p>
        </w:tc>
        <w:tc>
          <w:tcPr>
            <w:tcW w:w="630" w:type="dxa"/>
          </w:tcPr>
          <w:p w14:paraId="4DF8230B"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436549F1" w14:textId="77777777" w:rsidR="00162E0C" w:rsidRPr="00FB2F3D" w:rsidRDefault="00162E0C" w:rsidP="00DC5448">
            <w:pPr>
              <w:pStyle w:val="UK12Block"/>
              <w:rPr>
                <w:rFonts w:ascii="Arial" w:hAnsi="Arial" w:cs="Arial"/>
                <w:sz w:val="22"/>
                <w:szCs w:val="22"/>
              </w:rPr>
            </w:pPr>
          </w:p>
        </w:tc>
        <w:tc>
          <w:tcPr>
            <w:tcW w:w="562" w:type="dxa"/>
          </w:tcPr>
          <w:p w14:paraId="1FD28070"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sym w:font="Wingdings" w:char="F0FC"/>
            </w:r>
          </w:p>
        </w:tc>
      </w:tr>
      <w:tr w:rsidR="00162E0C" w:rsidRPr="00FB2F3D" w14:paraId="4EFCB481" w14:textId="77777777" w:rsidTr="00CF1201">
        <w:tc>
          <w:tcPr>
            <w:tcW w:w="14170" w:type="dxa"/>
            <w:gridSpan w:val="9"/>
          </w:tcPr>
          <w:p w14:paraId="3D64617C" w14:textId="77777777" w:rsidR="00162E0C" w:rsidRPr="00FB2F3D" w:rsidRDefault="00162E0C" w:rsidP="00755725">
            <w:pPr>
              <w:pStyle w:val="UK12Block"/>
              <w:keepNext/>
              <w:numPr>
                <w:ilvl w:val="0"/>
                <w:numId w:val="65"/>
              </w:numPr>
              <w:spacing w:after="0"/>
              <w:rPr>
                <w:rFonts w:ascii="Arial" w:hAnsi="Arial" w:cs="Arial"/>
                <w:b/>
                <w:sz w:val="22"/>
                <w:szCs w:val="22"/>
              </w:rPr>
            </w:pPr>
            <w:r w:rsidRPr="00FB2F3D">
              <w:rPr>
                <w:rFonts w:ascii="Arial" w:hAnsi="Arial" w:cs="Arial"/>
                <w:b/>
                <w:sz w:val="22"/>
                <w:szCs w:val="22"/>
              </w:rPr>
              <w:t>TERMS AND CONDITIONS OF THE OFFER</w:t>
            </w:r>
          </w:p>
        </w:tc>
      </w:tr>
      <w:tr w:rsidR="00162E0C" w:rsidRPr="00FB2F3D" w14:paraId="55CD9E4B" w14:textId="77777777" w:rsidTr="00CF1201">
        <w:trPr>
          <w:cantSplit/>
        </w:trPr>
        <w:tc>
          <w:tcPr>
            <w:tcW w:w="648" w:type="dxa"/>
          </w:tcPr>
          <w:p w14:paraId="4FA58643" w14:textId="77777777" w:rsidR="00162E0C" w:rsidRPr="00FB2F3D" w:rsidRDefault="00162E0C" w:rsidP="00755725">
            <w:pPr>
              <w:pStyle w:val="UK12Block"/>
              <w:numPr>
                <w:ilvl w:val="1"/>
                <w:numId w:val="65"/>
              </w:numPr>
              <w:rPr>
                <w:rFonts w:ascii="Arial" w:hAnsi="Arial" w:cs="Arial"/>
                <w:b/>
                <w:sz w:val="22"/>
                <w:szCs w:val="22"/>
              </w:rPr>
            </w:pPr>
          </w:p>
        </w:tc>
        <w:tc>
          <w:tcPr>
            <w:tcW w:w="9630" w:type="dxa"/>
            <w:vAlign w:val="bottom"/>
          </w:tcPr>
          <w:p w14:paraId="1C1CAA88" w14:textId="77777777" w:rsidR="00162E0C" w:rsidRPr="00FB2F3D" w:rsidRDefault="00162E0C" w:rsidP="00DC5448">
            <w:pPr>
              <w:pStyle w:val="UK12Block"/>
              <w:rPr>
                <w:rFonts w:ascii="Arial" w:hAnsi="Arial" w:cs="Arial"/>
                <w:b/>
                <w:sz w:val="22"/>
                <w:szCs w:val="22"/>
                <w:lang w:eastAsia="ja-JP"/>
              </w:rPr>
            </w:pPr>
            <w:r w:rsidRPr="00FB2F3D">
              <w:rPr>
                <w:rFonts w:ascii="Arial" w:hAnsi="Arial" w:cs="Arial"/>
                <w:b/>
                <w:sz w:val="22"/>
                <w:szCs w:val="22"/>
              </w:rPr>
              <w:t xml:space="preserve">Terms and conditions of the </w:t>
            </w:r>
            <w:r w:rsidR="00FB37F9" w:rsidRPr="00FB2F3D">
              <w:rPr>
                <w:rFonts w:ascii="Arial" w:hAnsi="Arial" w:cs="Arial"/>
                <w:b/>
                <w:sz w:val="22"/>
                <w:szCs w:val="22"/>
              </w:rPr>
              <w:t>Offer</w:t>
            </w:r>
          </w:p>
          <w:p w14:paraId="12C6F65B" w14:textId="77777777" w:rsidR="00162E0C" w:rsidRPr="00FB2F3D" w:rsidRDefault="00162E0C" w:rsidP="00DC5448">
            <w:pPr>
              <w:pStyle w:val="UK12Block"/>
              <w:rPr>
                <w:rFonts w:ascii="Arial" w:hAnsi="Arial" w:cs="Arial"/>
                <w:sz w:val="22"/>
                <w:szCs w:val="22"/>
              </w:rPr>
            </w:pPr>
            <w:r w:rsidRPr="00FB2F3D">
              <w:rPr>
                <w:rFonts w:ascii="Arial" w:hAnsi="Arial" w:cs="Arial"/>
                <w:sz w:val="22"/>
                <w:szCs w:val="22"/>
              </w:rPr>
              <w:t xml:space="preserve">The terms and conditions of the </w:t>
            </w:r>
            <w:r w:rsidR="00FB37F9" w:rsidRPr="00FB2F3D">
              <w:rPr>
                <w:rFonts w:ascii="Arial" w:hAnsi="Arial" w:cs="Arial"/>
                <w:sz w:val="22"/>
                <w:szCs w:val="22"/>
              </w:rPr>
              <w:t>Offer</w:t>
            </w:r>
            <w:r w:rsidRPr="00FB2F3D">
              <w:rPr>
                <w:rFonts w:ascii="Arial" w:hAnsi="Arial" w:cs="Arial"/>
                <w:sz w:val="22"/>
                <w:szCs w:val="22"/>
              </w:rPr>
              <w:t xml:space="preserve"> including:</w:t>
            </w:r>
          </w:p>
        </w:tc>
        <w:tc>
          <w:tcPr>
            <w:tcW w:w="360" w:type="dxa"/>
          </w:tcPr>
          <w:p w14:paraId="75E5B774" w14:textId="77777777" w:rsidR="00162E0C" w:rsidRPr="00FB2F3D" w:rsidRDefault="00162E0C" w:rsidP="00DC5448">
            <w:pPr>
              <w:pStyle w:val="UK12Block"/>
              <w:rPr>
                <w:rFonts w:ascii="Arial" w:hAnsi="Arial" w:cs="Arial"/>
                <w:sz w:val="22"/>
                <w:szCs w:val="22"/>
              </w:rPr>
            </w:pPr>
          </w:p>
        </w:tc>
        <w:tc>
          <w:tcPr>
            <w:tcW w:w="630" w:type="dxa"/>
          </w:tcPr>
          <w:p w14:paraId="08BBD867" w14:textId="77777777" w:rsidR="00162E0C" w:rsidRPr="00FB2F3D" w:rsidRDefault="00162E0C" w:rsidP="00DC5448">
            <w:pPr>
              <w:pStyle w:val="UK12Block"/>
              <w:rPr>
                <w:rFonts w:ascii="Arial" w:hAnsi="Arial" w:cs="Arial"/>
                <w:sz w:val="22"/>
                <w:szCs w:val="22"/>
              </w:rPr>
            </w:pPr>
          </w:p>
        </w:tc>
        <w:tc>
          <w:tcPr>
            <w:tcW w:w="360" w:type="dxa"/>
          </w:tcPr>
          <w:p w14:paraId="29699341" w14:textId="77777777" w:rsidR="00162E0C" w:rsidRPr="00FB2F3D" w:rsidRDefault="00162E0C" w:rsidP="00DC5448">
            <w:pPr>
              <w:pStyle w:val="UK12Block"/>
              <w:rPr>
                <w:rFonts w:ascii="Arial" w:hAnsi="Arial" w:cs="Arial"/>
                <w:sz w:val="22"/>
                <w:szCs w:val="22"/>
              </w:rPr>
            </w:pPr>
          </w:p>
        </w:tc>
        <w:tc>
          <w:tcPr>
            <w:tcW w:w="720" w:type="dxa"/>
          </w:tcPr>
          <w:p w14:paraId="5242E20E" w14:textId="77777777" w:rsidR="00162E0C" w:rsidRPr="00FB2F3D" w:rsidRDefault="00162E0C" w:rsidP="00DC5448">
            <w:pPr>
              <w:pStyle w:val="UK12Block"/>
              <w:rPr>
                <w:rFonts w:ascii="Arial" w:hAnsi="Arial" w:cs="Arial"/>
                <w:sz w:val="22"/>
                <w:szCs w:val="22"/>
              </w:rPr>
            </w:pPr>
          </w:p>
        </w:tc>
        <w:tc>
          <w:tcPr>
            <w:tcW w:w="630" w:type="dxa"/>
          </w:tcPr>
          <w:p w14:paraId="6AE70AD3" w14:textId="77777777" w:rsidR="00162E0C" w:rsidRPr="00FB2F3D" w:rsidRDefault="00162E0C" w:rsidP="00DC5448">
            <w:pPr>
              <w:pStyle w:val="UK12Block"/>
              <w:rPr>
                <w:rFonts w:ascii="Arial" w:hAnsi="Arial" w:cs="Arial"/>
                <w:sz w:val="22"/>
                <w:szCs w:val="22"/>
              </w:rPr>
            </w:pPr>
          </w:p>
        </w:tc>
        <w:tc>
          <w:tcPr>
            <w:tcW w:w="630" w:type="dxa"/>
          </w:tcPr>
          <w:p w14:paraId="3C973564" w14:textId="77777777" w:rsidR="00162E0C" w:rsidRPr="00FB2F3D" w:rsidRDefault="00162E0C" w:rsidP="00DC5448">
            <w:pPr>
              <w:pStyle w:val="UK12Block"/>
              <w:rPr>
                <w:rFonts w:ascii="Arial" w:hAnsi="Arial" w:cs="Arial"/>
                <w:sz w:val="22"/>
                <w:szCs w:val="22"/>
              </w:rPr>
            </w:pPr>
          </w:p>
        </w:tc>
        <w:tc>
          <w:tcPr>
            <w:tcW w:w="562" w:type="dxa"/>
          </w:tcPr>
          <w:p w14:paraId="0FE8172C" w14:textId="77777777" w:rsidR="00162E0C" w:rsidRPr="00FB2F3D" w:rsidRDefault="00162E0C" w:rsidP="00DC5448">
            <w:pPr>
              <w:pStyle w:val="UK12Block"/>
              <w:rPr>
                <w:rFonts w:ascii="Arial" w:hAnsi="Arial" w:cs="Arial"/>
                <w:sz w:val="22"/>
                <w:szCs w:val="22"/>
              </w:rPr>
            </w:pPr>
          </w:p>
        </w:tc>
      </w:tr>
      <w:tr w:rsidR="00162E0C" w:rsidRPr="00FB2F3D" w14:paraId="72C605A6" w14:textId="77777777" w:rsidTr="00CF1201">
        <w:tc>
          <w:tcPr>
            <w:tcW w:w="648" w:type="dxa"/>
          </w:tcPr>
          <w:p w14:paraId="4C3E7CA3" w14:textId="77777777" w:rsidR="00162E0C" w:rsidRPr="00FB2F3D" w:rsidRDefault="00162E0C" w:rsidP="00DC5448">
            <w:pPr>
              <w:pStyle w:val="UK12Block"/>
              <w:rPr>
                <w:rFonts w:ascii="Arial" w:hAnsi="Arial" w:cs="Arial"/>
                <w:sz w:val="22"/>
                <w:szCs w:val="22"/>
              </w:rPr>
            </w:pPr>
          </w:p>
        </w:tc>
        <w:tc>
          <w:tcPr>
            <w:tcW w:w="9630" w:type="dxa"/>
            <w:vAlign w:val="bottom"/>
          </w:tcPr>
          <w:p w14:paraId="14404771"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 xml:space="preserve">the number of </w:t>
            </w:r>
            <w:r w:rsidR="004B46BD" w:rsidRPr="00FB2F3D">
              <w:rPr>
                <w:rFonts w:ascii="Arial" w:hAnsi="Arial" w:cs="Arial"/>
                <w:sz w:val="22"/>
                <w:szCs w:val="22"/>
              </w:rPr>
              <w:t>Securities</w:t>
            </w:r>
            <w:r w:rsidRPr="00FB2F3D">
              <w:rPr>
                <w:rFonts w:ascii="Arial" w:hAnsi="Arial" w:cs="Arial"/>
                <w:sz w:val="22"/>
                <w:szCs w:val="22"/>
              </w:rPr>
              <w:t xml:space="preserve"> offered;</w:t>
            </w:r>
          </w:p>
        </w:tc>
        <w:tc>
          <w:tcPr>
            <w:tcW w:w="360" w:type="dxa"/>
          </w:tcPr>
          <w:p w14:paraId="010185CF" w14:textId="77777777" w:rsidR="00162E0C" w:rsidRPr="00FB2F3D" w:rsidRDefault="00162E0C" w:rsidP="00DC5448">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3276FBD0" w14:textId="77777777" w:rsidR="00162E0C" w:rsidRPr="00FB2F3D" w:rsidRDefault="00162E0C" w:rsidP="00DC5448">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19A73B73" w14:textId="77777777" w:rsidR="00162E0C" w:rsidRPr="00FB2F3D" w:rsidRDefault="00162E0C" w:rsidP="00DC5448">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720" w:type="dxa"/>
          </w:tcPr>
          <w:p w14:paraId="3FA0646F" w14:textId="77777777" w:rsidR="00162E0C" w:rsidRPr="00FB2F3D" w:rsidRDefault="00162E0C" w:rsidP="00DC5448">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0739DA9F" w14:textId="77777777" w:rsidR="00162E0C" w:rsidRPr="00FB2F3D" w:rsidRDefault="00162E0C" w:rsidP="00DC5448">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5184AAED" w14:textId="77777777" w:rsidR="00162E0C" w:rsidRPr="00FB2F3D" w:rsidRDefault="00162E0C" w:rsidP="00DC5448">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562" w:type="dxa"/>
          </w:tcPr>
          <w:p w14:paraId="699E2388" w14:textId="77777777" w:rsidR="00162E0C" w:rsidRPr="00FB2F3D" w:rsidRDefault="00162E0C" w:rsidP="00DC5448">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162E0C" w:rsidRPr="00FB2F3D" w14:paraId="01BF14CF" w14:textId="77777777" w:rsidTr="00CF1201">
        <w:tc>
          <w:tcPr>
            <w:tcW w:w="648" w:type="dxa"/>
          </w:tcPr>
          <w:p w14:paraId="31D3AB10" w14:textId="77777777" w:rsidR="00162E0C" w:rsidRPr="00FB2F3D" w:rsidRDefault="00162E0C" w:rsidP="00DC5448">
            <w:pPr>
              <w:pStyle w:val="UK12Block"/>
              <w:rPr>
                <w:rFonts w:ascii="Arial" w:hAnsi="Arial" w:cs="Arial"/>
                <w:sz w:val="22"/>
                <w:szCs w:val="22"/>
              </w:rPr>
            </w:pPr>
          </w:p>
        </w:tc>
        <w:tc>
          <w:tcPr>
            <w:tcW w:w="9630" w:type="dxa"/>
            <w:vAlign w:val="bottom"/>
          </w:tcPr>
          <w:p w14:paraId="20566519"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 xml:space="preserve">the price or price range of the </w:t>
            </w:r>
            <w:r w:rsidR="004B46BD" w:rsidRPr="00FB2F3D">
              <w:rPr>
                <w:rFonts w:ascii="Arial" w:hAnsi="Arial" w:cs="Arial"/>
                <w:sz w:val="22"/>
                <w:szCs w:val="22"/>
              </w:rPr>
              <w:t>Securities</w:t>
            </w:r>
            <w:r w:rsidRPr="00FB2F3D">
              <w:rPr>
                <w:rFonts w:ascii="Arial" w:hAnsi="Arial" w:cs="Arial"/>
                <w:sz w:val="22"/>
                <w:szCs w:val="22"/>
              </w:rPr>
              <w:t>;</w:t>
            </w:r>
          </w:p>
        </w:tc>
        <w:tc>
          <w:tcPr>
            <w:tcW w:w="360" w:type="dxa"/>
          </w:tcPr>
          <w:p w14:paraId="2D713338" w14:textId="77777777" w:rsidR="00162E0C" w:rsidRPr="00FB2F3D" w:rsidRDefault="00162E0C" w:rsidP="00DC5448">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6AC6BB97" w14:textId="77777777" w:rsidR="00162E0C" w:rsidRPr="00FB2F3D" w:rsidRDefault="00162E0C" w:rsidP="00DC5448">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65177E4C" w14:textId="77777777" w:rsidR="00162E0C" w:rsidRPr="00FB2F3D" w:rsidRDefault="00CF1201" w:rsidP="00DC5448">
            <w:pPr>
              <w:pStyle w:val="UK12Block"/>
              <w:rPr>
                <w:rFonts w:ascii="Arial" w:hAnsi="Arial" w:cs="Arial"/>
                <w:sz w:val="22"/>
                <w:szCs w:val="22"/>
              </w:rPr>
            </w:pPr>
            <w:r w:rsidRPr="00FB2F3D">
              <w:rPr>
                <w:rFonts w:ascii="Arial" w:eastAsia="Wingdings" w:hAnsi="Arial" w:cs="Arial"/>
                <w:sz w:val="22"/>
                <w:szCs w:val="22"/>
              </w:rPr>
              <w:t>*</w:t>
            </w:r>
            <w:r w:rsidRPr="00FB2F3D">
              <w:rPr>
                <w:rFonts w:ascii="Arial" w:eastAsia="Wingdings" w:hAnsi="Arial" w:cs="Arial"/>
                <w:sz w:val="22"/>
                <w:szCs w:val="22"/>
              </w:rPr>
              <w:sym w:font="Wingdings" w:char="F0FC"/>
            </w:r>
          </w:p>
        </w:tc>
        <w:tc>
          <w:tcPr>
            <w:tcW w:w="720" w:type="dxa"/>
          </w:tcPr>
          <w:p w14:paraId="51551FEC" w14:textId="77777777" w:rsidR="00162E0C" w:rsidRPr="00FB2F3D" w:rsidRDefault="00162E0C" w:rsidP="00DC5448">
            <w:pPr>
              <w:pStyle w:val="UK12Block"/>
              <w:rPr>
                <w:rFonts w:ascii="Arial" w:hAnsi="Arial" w:cs="Arial"/>
                <w:sz w:val="22"/>
                <w:szCs w:val="22"/>
              </w:rPr>
            </w:pPr>
          </w:p>
        </w:tc>
        <w:tc>
          <w:tcPr>
            <w:tcW w:w="630" w:type="dxa"/>
          </w:tcPr>
          <w:p w14:paraId="49B6734E" w14:textId="77777777" w:rsidR="00162E0C" w:rsidRPr="00FB2F3D" w:rsidRDefault="00162E0C" w:rsidP="00DC5448">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7772579E" w14:textId="77777777" w:rsidR="00162E0C" w:rsidRPr="00FB2F3D" w:rsidRDefault="00162E0C" w:rsidP="00DC5448">
            <w:pPr>
              <w:pStyle w:val="UK12Block"/>
              <w:rPr>
                <w:rFonts w:ascii="Arial" w:hAnsi="Arial" w:cs="Arial"/>
                <w:sz w:val="22"/>
                <w:szCs w:val="22"/>
              </w:rPr>
            </w:pPr>
          </w:p>
        </w:tc>
        <w:tc>
          <w:tcPr>
            <w:tcW w:w="562" w:type="dxa"/>
          </w:tcPr>
          <w:p w14:paraId="789831E5" w14:textId="77777777" w:rsidR="00162E0C" w:rsidRPr="00FB2F3D" w:rsidRDefault="00162E0C" w:rsidP="00DC5448">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162E0C" w:rsidRPr="00FB2F3D" w14:paraId="4AD44C58" w14:textId="77777777" w:rsidTr="00CF1201">
        <w:tc>
          <w:tcPr>
            <w:tcW w:w="648" w:type="dxa"/>
          </w:tcPr>
          <w:p w14:paraId="1A8DEAFF" w14:textId="77777777" w:rsidR="00162E0C" w:rsidRPr="00FB2F3D" w:rsidRDefault="00162E0C" w:rsidP="00DC5448">
            <w:pPr>
              <w:pStyle w:val="UK12Block"/>
              <w:rPr>
                <w:rFonts w:ascii="Arial" w:hAnsi="Arial" w:cs="Arial"/>
                <w:sz w:val="22"/>
                <w:szCs w:val="22"/>
              </w:rPr>
            </w:pPr>
          </w:p>
        </w:tc>
        <w:tc>
          <w:tcPr>
            <w:tcW w:w="9630" w:type="dxa"/>
            <w:vAlign w:val="bottom"/>
          </w:tcPr>
          <w:p w14:paraId="517CE90B" w14:textId="77777777" w:rsidR="00162E0C" w:rsidRPr="00FB2F3D" w:rsidRDefault="00162E0C" w:rsidP="00755725">
            <w:pPr>
              <w:pStyle w:val="UK12Block"/>
              <w:numPr>
                <w:ilvl w:val="2"/>
                <w:numId w:val="65"/>
              </w:numPr>
              <w:rPr>
                <w:rFonts w:ascii="Arial" w:hAnsi="Arial" w:cs="Arial"/>
                <w:sz w:val="22"/>
                <w:szCs w:val="22"/>
              </w:rPr>
            </w:pPr>
            <w:r w:rsidRPr="00FB2F3D">
              <w:rPr>
                <w:rFonts w:ascii="Arial" w:hAnsi="Arial" w:cs="Arial"/>
                <w:sz w:val="22"/>
                <w:szCs w:val="22"/>
              </w:rPr>
              <w:t xml:space="preserve">the identity of the seller of the </w:t>
            </w:r>
            <w:r w:rsidR="004B46BD" w:rsidRPr="00FB2F3D">
              <w:rPr>
                <w:rFonts w:ascii="Arial" w:hAnsi="Arial" w:cs="Arial"/>
                <w:sz w:val="22"/>
                <w:szCs w:val="22"/>
              </w:rPr>
              <w:t>Securities</w:t>
            </w:r>
            <w:r w:rsidRPr="00FB2F3D">
              <w:rPr>
                <w:rFonts w:ascii="Arial" w:hAnsi="Arial" w:cs="Arial"/>
                <w:sz w:val="22"/>
                <w:szCs w:val="22"/>
              </w:rPr>
              <w:t xml:space="preserve"> where the Person making the Prospectus Offer is not the </w:t>
            </w:r>
            <w:r w:rsidR="000A19CB" w:rsidRPr="00FB2F3D">
              <w:rPr>
                <w:rFonts w:ascii="Arial" w:hAnsi="Arial" w:cs="Arial"/>
                <w:sz w:val="22"/>
                <w:szCs w:val="22"/>
              </w:rPr>
              <w:t>Issuer</w:t>
            </w:r>
            <w:r w:rsidRPr="00FB2F3D">
              <w:rPr>
                <w:rFonts w:ascii="Arial" w:hAnsi="Arial" w:cs="Arial"/>
                <w:sz w:val="22"/>
                <w:szCs w:val="22"/>
              </w:rPr>
              <w:t>;</w:t>
            </w:r>
          </w:p>
        </w:tc>
        <w:tc>
          <w:tcPr>
            <w:tcW w:w="360" w:type="dxa"/>
          </w:tcPr>
          <w:p w14:paraId="40052283" w14:textId="77777777" w:rsidR="00162E0C" w:rsidRPr="00FB2F3D" w:rsidRDefault="00162E0C" w:rsidP="00DC5448">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2009DB6D" w14:textId="77777777" w:rsidR="00162E0C" w:rsidRPr="00FB2F3D" w:rsidRDefault="00162E0C" w:rsidP="00DC5448">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3533A44A" w14:textId="77777777" w:rsidR="00162E0C" w:rsidRPr="00FB2F3D" w:rsidRDefault="00162E0C" w:rsidP="00DC5448">
            <w:pPr>
              <w:pStyle w:val="UK12Block"/>
              <w:rPr>
                <w:rFonts w:ascii="Arial" w:hAnsi="Arial" w:cs="Arial"/>
                <w:sz w:val="22"/>
                <w:szCs w:val="22"/>
              </w:rPr>
            </w:pPr>
          </w:p>
        </w:tc>
        <w:tc>
          <w:tcPr>
            <w:tcW w:w="720" w:type="dxa"/>
          </w:tcPr>
          <w:p w14:paraId="19326D7F" w14:textId="77777777" w:rsidR="00162E0C" w:rsidRPr="00FB2F3D" w:rsidRDefault="00162E0C" w:rsidP="00DC5448">
            <w:pPr>
              <w:pStyle w:val="UK12Block"/>
              <w:rPr>
                <w:rFonts w:ascii="Arial" w:hAnsi="Arial" w:cs="Arial"/>
                <w:sz w:val="22"/>
                <w:szCs w:val="22"/>
              </w:rPr>
            </w:pPr>
          </w:p>
        </w:tc>
        <w:tc>
          <w:tcPr>
            <w:tcW w:w="630" w:type="dxa"/>
          </w:tcPr>
          <w:p w14:paraId="3E9F66F8" w14:textId="77777777" w:rsidR="00162E0C" w:rsidRPr="00FB2F3D" w:rsidRDefault="00162E0C" w:rsidP="00DC5448">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043E1D07" w14:textId="77777777" w:rsidR="00162E0C" w:rsidRPr="00FB2F3D" w:rsidRDefault="00162E0C" w:rsidP="00DC5448">
            <w:pPr>
              <w:pStyle w:val="UK12Block"/>
              <w:rPr>
                <w:rFonts w:ascii="Arial" w:hAnsi="Arial" w:cs="Arial"/>
                <w:sz w:val="22"/>
                <w:szCs w:val="22"/>
              </w:rPr>
            </w:pPr>
          </w:p>
        </w:tc>
        <w:tc>
          <w:tcPr>
            <w:tcW w:w="562" w:type="dxa"/>
          </w:tcPr>
          <w:p w14:paraId="5DEC3C5B" w14:textId="77777777" w:rsidR="00162E0C" w:rsidRPr="00FB2F3D" w:rsidRDefault="00162E0C" w:rsidP="00DC5448">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2940E54E" w14:textId="77777777" w:rsidTr="00CF1201">
        <w:tc>
          <w:tcPr>
            <w:tcW w:w="648" w:type="dxa"/>
          </w:tcPr>
          <w:p w14:paraId="4D81AB47" w14:textId="77777777" w:rsidR="00CF1201" w:rsidRPr="00FB2F3D" w:rsidRDefault="00CF1201" w:rsidP="00CF1201">
            <w:pPr>
              <w:pStyle w:val="UK12Block"/>
              <w:rPr>
                <w:rFonts w:ascii="Arial" w:hAnsi="Arial" w:cs="Arial"/>
                <w:sz w:val="22"/>
                <w:szCs w:val="22"/>
              </w:rPr>
            </w:pPr>
          </w:p>
        </w:tc>
        <w:tc>
          <w:tcPr>
            <w:tcW w:w="9630" w:type="dxa"/>
            <w:vAlign w:val="bottom"/>
          </w:tcPr>
          <w:p w14:paraId="02949E6F"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the various categories of potential investors to which the Securities are offered. If the Offer is being made simultaneously in two or more markets, and if a tranche has been or is being reserved for certain of these, indicate any such tranche and the category of investors for whom it is offered;</w:t>
            </w:r>
          </w:p>
        </w:tc>
        <w:tc>
          <w:tcPr>
            <w:tcW w:w="360" w:type="dxa"/>
          </w:tcPr>
          <w:p w14:paraId="1A8EC16C"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719F0F72"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7E2076A1" w14:textId="77777777" w:rsidR="00CF1201" w:rsidRPr="00FB2F3D" w:rsidRDefault="00CF1201" w:rsidP="00CF1201">
            <w:pPr>
              <w:pStyle w:val="UK12Block"/>
              <w:rPr>
                <w:rFonts w:ascii="Arial" w:hAnsi="Arial" w:cs="Arial"/>
                <w:sz w:val="22"/>
                <w:szCs w:val="22"/>
              </w:rPr>
            </w:pPr>
            <w:r w:rsidRPr="00FB2F3D">
              <w:rPr>
                <w:rFonts w:ascii="Arial" w:eastAsia="Wingdings" w:hAnsi="Arial" w:cs="Arial"/>
                <w:sz w:val="22"/>
                <w:szCs w:val="22"/>
              </w:rPr>
              <w:t>*</w:t>
            </w:r>
            <w:r w:rsidRPr="00FB2F3D">
              <w:rPr>
                <w:rFonts w:ascii="Arial" w:eastAsia="Wingdings" w:hAnsi="Arial" w:cs="Arial"/>
                <w:sz w:val="22"/>
                <w:szCs w:val="22"/>
              </w:rPr>
              <w:sym w:font="Wingdings" w:char="F0FC"/>
            </w:r>
          </w:p>
        </w:tc>
        <w:tc>
          <w:tcPr>
            <w:tcW w:w="720" w:type="dxa"/>
          </w:tcPr>
          <w:p w14:paraId="3E74062F" w14:textId="77777777" w:rsidR="00CF1201" w:rsidRPr="00FB2F3D" w:rsidRDefault="00CF1201" w:rsidP="00CF1201">
            <w:pPr>
              <w:pStyle w:val="UK12Block"/>
              <w:rPr>
                <w:rFonts w:ascii="Arial" w:hAnsi="Arial" w:cs="Arial"/>
                <w:sz w:val="22"/>
                <w:szCs w:val="22"/>
              </w:rPr>
            </w:pPr>
          </w:p>
        </w:tc>
        <w:tc>
          <w:tcPr>
            <w:tcW w:w="630" w:type="dxa"/>
          </w:tcPr>
          <w:p w14:paraId="041E111E"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10836FC9" w14:textId="77777777" w:rsidR="00CF1201" w:rsidRPr="00FB2F3D" w:rsidRDefault="00CF1201" w:rsidP="00CF1201">
            <w:pPr>
              <w:pStyle w:val="UK12Block"/>
              <w:rPr>
                <w:rFonts w:ascii="Arial" w:hAnsi="Arial" w:cs="Arial"/>
                <w:sz w:val="22"/>
                <w:szCs w:val="22"/>
              </w:rPr>
            </w:pPr>
          </w:p>
        </w:tc>
        <w:tc>
          <w:tcPr>
            <w:tcW w:w="562" w:type="dxa"/>
          </w:tcPr>
          <w:p w14:paraId="1D643B3A"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4AB159B7" w14:textId="77777777" w:rsidTr="00CF1201">
        <w:tc>
          <w:tcPr>
            <w:tcW w:w="648" w:type="dxa"/>
          </w:tcPr>
          <w:p w14:paraId="39A9B4E2" w14:textId="77777777" w:rsidR="00CF1201" w:rsidRPr="00FB2F3D" w:rsidRDefault="00CF1201" w:rsidP="00CF1201">
            <w:pPr>
              <w:pStyle w:val="UK12Block"/>
              <w:rPr>
                <w:rFonts w:ascii="Arial" w:hAnsi="Arial" w:cs="Arial"/>
                <w:sz w:val="22"/>
                <w:szCs w:val="22"/>
              </w:rPr>
            </w:pPr>
          </w:p>
        </w:tc>
        <w:tc>
          <w:tcPr>
            <w:tcW w:w="9630" w:type="dxa"/>
            <w:vAlign w:val="bottom"/>
          </w:tcPr>
          <w:p w14:paraId="3E8D09E2"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a description of any notifiable interests and conflict of interests relating the affairs of the Issuer, detailing the Persons involved and the nature of such interests;</w:t>
            </w:r>
          </w:p>
        </w:tc>
        <w:tc>
          <w:tcPr>
            <w:tcW w:w="360" w:type="dxa"/>
          </w:tcPr>
          <w:p w14:paraId="43C0FD64"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5DC5BA72"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058E8E72"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720" w:type="dxa"/>
          </w:tcPr>
          <w:p w14:paraId="48FB5586"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6D0CD2AA"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1FFAAD8F"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562" w:type="dxa"/>
          </w:tcPr>
          <w:p w14:paraId="6EE10CB4"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7CB6067E" w14:textId="77777777" w:rsidTr="00CF1201">
        <w:tc>
          <w:tcPr>
            <w:tcW w:w="648" w:type="dxa"/>
          </w:tcPr>
          <w:p w14:paraId="10CB92EE" w14:textId="77777777" w:rsidR="00CF1201" w:rsidRPr="00FB2F3D" w:rsidRDefault="00CF1201" w:rsidP="00CF1201">
            <w:pPr>
              <w:pStyle w:val="UK12Block"/>
              <w:rPr>
                <w:rFonts w:ascii="Arial" w:hAnsi="Arial" w:cs="Arial"/>
                <w:sz w:val="22"/>
                <w:szCs w:val="22"/>
              </w:rPr>
            </w:pPr>
          </w:p>
        </w:tc>
        <w:tc>
          <w:tcPr>
            <w:tcW w:w="9630" w:type="dxa"/>
            <w:vAlign w:val="bottom"/>
          </w:tcPr>
          <w:p w14:paraId="6CD078F1"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the Offer Period, including the opening and closing dates;</w:t>
            </w:r>
          </w:p>
        </w:tc>
        <w:tc>
          <w:tcPr>
            <w:tcW w:w="360" w:type="dxa"/>
          </w:tcPr>
          <w:p w14:paraId="14BCB681"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26B23D92"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1EF0C130" w14:textId="77777777" w:rsidR="00CF1201" w:rsidRPr="00FB2F3D" w:rsidRDefault="00CF1201" w:rsidP="00CF1201">
            <w:pPr>
              <w:pStyle w:val="UK12Block"/>
              <w:rPr>
                <w:rFonts w:ascii="Arial" w:hAnsi="Arial" w:cs="Arial"/>
                <w:sz w:val="22"/>
                <w:szCs w:val="22"/>
              </w:rPr>
            </w:pPr>
            <w:r w:rsidRPr="00FB2F3D">
              <w:rPr>
                <w:rFonts w:ascii="Arial" w:eastAsia="Wingdings" w:hAnsi="Arial" w:cs="Arial"/>
                <w:sz w:val="22"/>
                <w:szCs w:val="22"/>
              </w:rPr>
              <w:t>*</w:t>
            </w:r>
            <w:r w:rsidRPr="00FB2F3D">
              <w:rPr>
                <w:rFonts w:ascii="Arial" w:eastAsia="Wingdings" w:hAnsi="Arial" w:cs="Arial"/>
                <w:sz w:val="22"/>
                <w:szCs w:val="22"/>
              </w:rPr>
              <w:sym w:font="Wingdings" w:char="F0FC"/>
            </w:r>
          </w:p>
        </w:tc>
        <w:tc>
          <w:tcPr>
            <w:tcW w:w="720" w:type="dxa"/>
          </w:tcPr>
          <w:p w14:paraId="15301C4A" w14:textId="77777777" w:rsidR="00CF1201" w:rsidRPr="00FB2F3D" w:rsidRDefault="00CF1201" w:rsidP="00CF1201">
            <w:pPr>
              <w:pStyle w:val="UK12Block"/>
              <w:rPr>
                <w:rFonts w:ascii="Arial" w:hAnsi="Arial" w:cs="Arial"/>
                <w:sz w:val="22"/>
                <w:szCs w:val="22"/>
              </w:rPr>
            </w:pPr>
          </w:p>
        </w:tc>
        <w:tc>
          <w:tcPr>
            <w:tcW w:w="630" w:type="dxa"/>
          </w:tcPr>
          <w:p w14:paraId="71BA1227"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0A57691E" w14:textId="77777777" w:rsidR="00CF1201" w:rsidRPr="00FB2F3D" w:rsidRDefault="00CF1201" w:rsidP="00CF1201">
            <w:pPr>
              <w:pStyle w:val="UK12Block"/>
              <w:rPr>
                <w:rFonts w:ascii="Arial" w:hAnsi="Arial" w:cs="Arial"/>
                <w:sz w:val="22"/>
                <w:szCs w:val="22"/>
              </w:rPr>
            </w:pPr>
          </w:p>
        </w:tc>
        <w:tc>
          <w:tcPr>
            <w:tcW w:w="562" w:type="dxa"/>
          </w:tcPr>
          <w:p w14:paraId="56685C9E"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06AE520D" w14:textId="77777777" w:rsidTr="00CF1201">
        <w:tc>
          <w:tcPr>
            <w:tcW w:w="648" w:type="dxa"/>
          </w:tcPr>
          <w:p w14:paraId="6E23FB98" w14:textId="77777777" w:rsidR="00CF1201" w:rsidRPr="00FB2F3D" w:rsidRDefault="00CF1201" w:rsidP="00CF1201">
            <w:pPr>
              <w:pStyle w:val="UK12Block"/>
              <w:rPr>
                <w:rFonts w:ascii="Arial" w:hAnsi="Arial" w:cs="Arial"/>
                <w:sz w:val="22"/>
                <w:szCs w:val="22"/>
              </w:rPr>
            </w:pPr>
          </w:p>
        </w:tc>
        <w:tc>
          <w:tcPr>
            <w:tcW w:w="9630" w:type="dxa"/>
            <w:vAlign w:val="bottom"/>
          </w:tcPr>
          <w:p w14:paraId="7577DEBE"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the manner of allocation of Securities to Applicants including the manner in which Securities are allotted in the event of over subscription;</w:t>
            </w:r>
          </w:p>
        </w:tc>
        <w:tc>
          <w:tcPr>
            <w:tcW w:w="360" w:type="dxa"/>
          </w:tcPr>
          <w:p w14:paraId="12A907DA"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799EEE2A"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6123B565" w14:textId="77777777" w:rsidR="00CF1201" w:rsidRPr="00FB2F3D" w:rsidRDefault="00CF1201" w:rsidP="00CF1201">
            <w:pPr>
              <w:pStyle w:val="UK12Block"/>
              <w:rPr>
                <w:rFonts w:ascii="Arial" w:hAnsi="Arial" w:cs="Arial"/>
                <w:sz w:val="22"/>
                <w:szCs w:val="22"/>
              </w:rPr>
            </w:pPr>
          </w:p>
        </w:tc>
        <w:tc>
          <w:tcPr>
            <w:tcW w:w="720" w:type="dxa"/>
          </w:tcPr>
          <w:p w14:paraId="31F2D283" w14:textId="77777777" w:rsidR="00CF1201" w:rsidRPr="00FB2F3D" w:rsidRDefault="00CF1201" w:rsidP="00CF1201">
            <w:pPr>
              <w:pStyle w:val="UK12Block"/>
              <w:rPr>
                <w:rFonts w:ascii="Arial" w:hAnsi="Arial" w:cs="Arial"/>
                <w:sz w:val="22"/>
                <w:szCs w:val="22"/>
              </w:rPr>
            </w:pPr>
          </w:p>
        </w:tc>
        <w:tc>
          <w:tcPr>
            <w:tcW w:w="630" w:type="dxa"/>
          </w:tcPr>
          <w:p w14:paraId="4B82B7DE"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70D4960A" w14:textId="77777777" w:rsidR="00CF1201" w:rsidRPr="00FB2F3D" w:rsidRDefault="00CF1201" w:rsidP="00CF1201">
            <w:pPr>
              <w:pStyle w:val="UK12Block"/>
              <w:rPr>
                <w:rFonts w:ascii="Arial" w:hAnsi="Arial" w:cs="Arial"/>
                <w:sz w:val="22"/>
                <w:szCs w:val="22"/>
              </w:rPr>
            </w:pPr>
          </w:p>
        </w:tc>
        <w:tc>
          <w:tcPr>
            <w:tcW w:w="562" w:type="dxa"/>
          </w:tcPr>
          <w:p w14:paraId="268CE808"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2A287167" w14:textId="77777777" w:rsidTr="00CF1201">
        <w:tc>
          <w:tcPr>
            <w:tcW w:w="648" w:type="dxa"/>
          </w:tcPr>
          <w:p w14:paraId="688E79B6" w14:textId="77777777" w:rsidR="00CF1201" w:rsidRPr="00FB2F3D" w:rsidRDefault="00CF1201" w:rsidP="00CF1201">
            <w:pPr>
              <w:pStyle w:val="UK12Block"/>
              <w:rPr>
                <w:rFonts w:ascii="Arial" w:hAnsi="Arial" w:cs="Arial"/>
                <w:sz w:val="22"/>
                <w:szCs w:val="22"/>
              </w:rPr>
            </w:pPr>
          </w:p>
        </w:tc>
        <w:tc>
          <w:tcPr>
            <w:tcW w:w="9630" w:type="dxa"/>
            <w:vAlign w:val="bottom"/>
          </w:tcPr>
          <w:p w14:paraId="3CE035C6"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the proposed date for Allotment of Securities;</w:t>
            </w:r>
          </w:p>
        </w:tc>
        <w:tc>
          <w:tcPr>
            <w:tcW w:w="360" w:type="dxa"/>
          </w:tcPr>
          <w:p w14:paraId="007BD409"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29820E59"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7D6D4532"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720" w:type="dxa"/>
          </w:tcPr>
          <w:p w14:paraId="640484D6"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1C68FD1B"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02C2B5DA"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562" w:type="dxa"/>
          </w:tcPr>
          <w:p w14:paraId="02C712CA"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3C4743CD" w14:textId="77777777" w:rsidTr="00CF1201">
        <w:tc>
          <w:tcPr>
            <w:tcW w:w="648" w:type="dxa"/>
          </w:tcPr>
          <w:p w14:paraId="6C9358B9" w14:textId="77777777" w:rsidR="00CF1201" w:rsidRPr="00FB2F3D" w:rsidRDefault="00CF1201" w:rsidP="00CF1201">
            <w:pPr>
              <w:pStyle w:val="UK12Block"/>
              <w:rPr>
                <w:rFonts w:ascii="Arial" w:hAnsi="Arial" w:cs="Arial"/>
                <w:sz w:val="22"/>
                <w:szCs w:val="22"/>
              </w:rPr>
            </w:pPr>
          </w:p>
        </w:tc>
        <w:tc>
          <w:tcPr>
            <w:tcW w:w="9630" w:type="dxa"/>
            <w:vAlign w:val="bottom"/>
          </w:tcPr>
          <w:p w14:paraId="6BBFA15F"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where the Securities to be offered confer the right to subscribe for new Securities by existing holders of Securities in the Issuer, details of such rights, including a statement of the maximum number of Securities which would be created if the rights were exercised in full;</w:t>
            </w:r>
          </w:p>
        </w:tc>
        <w:tc>
          <w:tcPr>
            <w:tcW w:w="360" w:type="dxa"/>
          </w:tcPr>
          <w:p w14:paraId="319EB691"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30CEB8A9"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058EF906" w14:textId="77777777" w:rsidR="00CF1201" w:rsidRPr="00FB2F3D" w:rsidRDefault="00CF1201" w:rsidP="00CF1201">
            <w:pPr>
              <w:pStyle w:val="UK12Block"/>
              <w:rPr>
                <w:rFonts w:ascii="Arial" w:hAnsi="Arial" w:cs="Arial"/>
                <w:sz w:val="22"/>
                <w:szCs w:val="22"/>
              </w:rPr>
            </w:pPr>
          </w:p>
        </w:tc>
        <w:tc>
          <w:tcPr>
            <w:tcW w:w="720" w:type="dxa"/>
          </w:tcPr>
          <w:p w14:paraId="58F4158C" w14:textId="77777777" w:rsidR="00CF1201" w:rsidRPr="00FB2F3D" w:rsidRDefault="00CF1201" w:rsidP="00CF1201">
            <w:pPr>
              <w:pStyle w:val="UK12Block"/>
              <w:rPr>
                <w:rFonts w:ascii="Arial" w:hAnsi="Arial" w:cs="Arial"/>
                <w:sz w:val="22"/>
                <w:szCs w:val="22"/>
              </w:rPr>
            </w:pPr>
          </w:p>
        </w:tc>
        <w:tc>
          <w:tcPr>
            <w:tcW w:w="630" w:type="dxa"/>
          </w:tcPr>
          <w:p w14:paraId="26EB88CF"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34EC24B9" w14:textId="77777777" w:rsidR="00CF1201" w:rsidRPr="00FB2F3D" w:rsidRDefault="00CF1201" w:rsidP="00CF1201">
            <w:pPr>
              <w:pStyle w:val="UK12Block"/>
              <w:rPr>
                <w:rFonts w:ascii="Arial" w:hAnsi="Arial" w:cs="Arial"/>
                <w:sz w:val="22"/>
                <w:szCs w:val="22"/>
              </w:rPr>
            </w:pPr>
          </w:p>
        </w:tc>
        <w:tc>
          <w:tcPr>
            <w:tcW w:w="562" w:type="dxa"/>
          </w:tcPr>
          <w:p w14:paraId="62499789"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78D29A59" w14:textId="77777777" w:rsidTr="00CF1201">
        <w:tc>
          <w:tcPr>
            <w:tcW w:w="648" w:type="dxa"/>
          </w:tcPr>
          <w:p w14:paraId="1500F1EE" w14:textId="77777777" w:rsidR="00CF1201" w:rsidRPr="00FB2F3D" w:rsidRDefault="00CF1201" w:rsidP="00CF1201">
            <w:pPr>
              <w:pStyle w:val="UK12Block"/>
              <w:rPr>
                <w:rFonts w:ascii="Arial" w:hAnsi="Arial" w:cs="Arial"/>
                <w:sz w:val="22"/>
                <w:szCs w:val="22"/>
              </w:rPr>
            </w:pPr>
          </w:p>
        </w:tc>
        <w:tc>
          <w:tcPr>
            <w:tcW w:w="9630" w:type="dxa"/>
            <w:vAlign w:val="bottom"/>
          </w:tcPr>
          <w:p w14:paraId="604E04DC"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the effect the issuance of the Securities will have on the capital structure of the Issuer;</w:t>
            </w:r>
          </w:p>
        </w:tc>
        <w:tc>
          <w:tcPr>
            <w:tcW w:w="360" w:type="dxa"/>
          </w:tcPr>
          <w:p w14:paraId="2C1D5E1D"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7DB0517A"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7032B871" w14:textId="77777777" w:rsidR="00CF1201" w:rsidRPr="00FB2F3D" w:rsidRDefault="00CF1201" w:rsidP="00CF1201">
            <w:pPr>
              <w:pStyle w:val="UK12Block"/>
              <w:rPr>
                <w:rFonts w:ascii="Arial" w:hAnsi="Arial" w:cs="Arial"/>
                <w:sz w:val="22"/>
                <w:szCs w:val="22"/>
              </w:rPr>
            </w:pPr>
          </w:p>
        </w:tc>
        <w:tc>
          <w:tcPr>
            <w:tcW w:w="720" w:type="dxa"/>
          </w:tcPr>
          <w:p w14:paraId="64DAC275" w14:textId="77777777" w:rsidR="00CF1201" w:rsidRPr="00FB2F3D" w:rsidRDefault="00CF1201" w:rsidP="00CF1201">
            <w:pPr>
              <w:pStyle w:val="UK12Block"/>
              <w:rPr>
                <w:rFonts w:ascii="Arial" w:hAnsi="Arial" w:cs="Arial"/>
                <w:sz w:val="22"/>
                <w:szCs w:val="22"/>
              </w:rPr>
            </w:pPr>
          </w:p>
        </w:tc>
        <w:tc>
          <w:tcPr>
            <w:tcW w:w="630" w:type="dxa"/>
          </w:tcPr>
          <w:p w14:paraId="3762E2A3"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679D62C6" w14:textId="77777777" w:rsidR="00CF1201" w:rsidRPr="00FB2F3D" w:rsidRDefault="00CF1201" w:rsidP="00CF1201">
            <w:pPr>
              <w:pStyle w:val="UK12Block"/>
              <w:rPr>
                <w:rFonts w:ascii="Arial" w:hAnsi="Arial" w:cs="Arial"/>
                <w:sz w:val="22"/>
                <w:szCs w:val="22"/>
              </w:rPr>
            </w:pPr>
          </w:p>
        </w:tc>
        <w:tc>
          <w:tcPr>
            <w:tcW w:w="562" w:type="dxa"/>
          </w:tcPr>
          <w:p w14:paraId="1BE344C9"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14DF5A8F" w14:textId="77777777" w:rsidTr="00CF1201">
        <w:tc>
          <w:tcPr>
            <w:tcW w:w="648" w:type="dxa"/>
          </w:tcPr>
          <w:p w14:paraId="4278458A" w14:textId="77777777" w:rsidR="00CF1201" w:rsidRPr="00FB2F3D" w:rsidRDefault="00CF1201" w:rsidP="00CF1201">
            <w:pPr>
              <w:pStyle w:val="UK12Block"/>
              <w:rPr>
                <w:rFonts w:ascii="Arial" w:hAnsi="Arial" w:cs="Arial"/>
                <w:sz w:val="22"/>
                <w:szCs w:val="22"/>
              </w:rPr>
            </w:pPr>
          </w:p>
        </w:tc>
        <w:tc>
          <w:tcPr>
            <w:tcW w:w="9630" w:type="dxa"/>
            <w:vAlign w:val="bottom"/>
          </w:tcPr>
          <w:p w14:paraId="1B1086B1"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particulars of any commissions or other fees to be paid by the Issuer in relation to the Offer;</w:t>
            </w:r>
          </w:p>
        </w:tc>
        <w:tc>
          <w:tcPr>
            <w:tcW w:w="360" w:type="dxa"/>
          </w:tcPr>
          <w:p w14:paraId="640BF9AF"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3A76900E"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71814EFC" w14:textId="77777777" w:rsidR="00CF1201" w:rsidRPr="00FB2F3D" w:rsidRDefault="00CF1201" w:rsidP="00CF1201">
            <w:pPr>
              <w:pStyle w:val="UK12Block"/>
              <w:rPr>
                <w:rFonts w:ascii="Arial" w:hAnsi="Arial" w:cs="Arial"/>
                <w:sz w:val="22"/>
                <w:szCs w:val="22"/>
              </w:rPr>
            </w:pPr>
          </w:p>
        </w:tc>
        <w:tc>
          <w:tcPr>
            <w:tcW w:w="720" w:type="dxa"/>
          </w:tcPr>
          <w:p w14:paraId="08C01AF4" w14:textId="77777777" w:rsidR="00CF1201" w:rsidRPr="00FB2F3D" w:rsidRDefault="00CF1201" w:rsidP="00CF1201">
            <w:pPr>
              <w:pStyle w:val="UK12Block"/>
              <w:rPr>
                <w:rFonts w:ascii="Arial" w:hAnsi="Arial" w:cs="Arial"/>
                <w:sz w:val="22"/>
                <w:szCs w:val="22"/>
              </w:rPr>
            </w:pPr>
          </w:p>
        </w:tc>
        <w:tc>
          <w:tcPr>
            <w:tcW w:w="630" w:type="dxa"/>
          </w:tcPr>
          <w:p w14:paraId="4CD6AA6D"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625502BE" w14:textId="77777777" w:rsidR="00CF1201" w:rsidRPr="00FB2F3D" w:rsidRDefault="00CF1201" w:rsidP="00CF1201">
            <w:pPr>
              <w:pStyle w:val="UK12Block"/>
              <w:rPr>
                <w:rFonts w:ascii="Arial" w:hAnsi="Arial" w:cs="Arial"/>
                <w:sz w:val="22"/>
                <w:szCs w:val="22"/>
              </w:rPr>
            </w:pPr>
          </w:p>
        </w:tc>
        <w:tc>
          <w:tcPr>
            <w:tcW w:w="562" w:type="dxa"/>
          </w:tcPr>
          <w:p w14:paraId="7257297B"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1893DDA5" w14:textId="77777777" w:rsidTr="00CF1201">
        <w:tc>
          <w:tcPr>
            <w:tcW w:w="648" w:type="dxa"/>
          </w:tcPr>
          <w:p w14:paraId="57A1D1A0" w14:textId="77777777" w:rsidR="00CF1201" w:rsidRPr="00FB2F3D" w:rsidRDefault="00CF1201" w:rsidP="00CF1201">
            <w:pPr>
              <w:pStyle w:val="UK12Block"/>
              <w:rPr>
                <w:rFonts w:ascii="Arial" w:hAnsi="Arial" w:cs="Arial"/>
                <w:sz w:val="22"/>
                <w:szCs w:val="22"/>
              </w:rPr>
            </w:pPr>
          </w:p>
        </w:tc>
        <w:tc>
          <w:tcPr>
            <w:tcW w:w="9630" w:type="dxa"/>
            <w:vAlign w:val="bottom"/>
          </w:tcPr>
          <w:p w14:paraId="75F3D15F"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all relevant details of the appointment of an underwriter on a firm commitment basis, including the nature of the obligations of the underwriter, quotas, plan of distribution, commission and, if a portion of the Offer is not covered, a statement of the portion not covered;</w:t>
            </w:r>
          </w:p>
        </w:tc>
        <w:tc>
          <w:tcPr>
            <w:tcW w:w="360" w:type="dxa"/>
          </w:tcPr>
          <w:p w14:paraId="25B41915"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0932FFF1"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049174B4" w14:textId="77777777" w:rsidR="00CF1201" w:rsidRPr="00FB2F3D" w:rsidRDefault="00CF1201" w:rsidP="00CF1201">
            <w:pPr>
              <w:pStyle w:val="UK12Block"/>
              <w:rPr>
                <w:rFonts w:ascii="Arial" w:hAnsi="Arial" w:cs="Arial"/>
                <w:sz w:val="22"/>
                <w:szCs w:val="22"/>
              </w:rPr>
            </w:pPr>
            <w:r w:rsidRPr="00FB2F3D">
              <w:rPr>
                <w:rFonts w:ascii="Arial" w:eastAsia="Wingdings" w:hAnsi="Arial" w:cs="Arial"/>
                <w:sz w:val="22"/>
                <w:szCs w:val="22"/>
              </w:rPr>
              <w:t>*</w:t>
            </w:r>
            <w:r w:rsidRPr="00FB2F3D">
              <w:rPr>
                <w:rFonts w:ascii="Arial" w:eastAsia="Wingdings" w:hAnsi="Arial" w:cs="Arial"/>
                <w:sz w:val="22"/>
                <w:szCs w:val="22"/>
              </w:rPr>
              <w:sym w:font="Wingdings" w:char="F0FC"/>
            </w:r>
          </w:p>
        </w:tc>
        <w:tc>
          <w:tcPr>
            <w:tcW w:w="720" w:type="dxa"/>
          </w:tcPr>
          <w:p w14:paraId="5B36E10D" w14:textId="77777777" w:rsidR="00CF1201" w:rsidRPr="00FB2F3D" w:rsidRDefault="00CF1201" w:rsidP="00CF1201">
            <w:pPr>
              <w:pStyle w:val="UK12Block"/>
              <w:rPr>
                <w:rFonts w:ascii="Arial" w:hAnsi="Arial" w:cs="Arial"/>
                <w:sz w:val="22"/>
                <w:szCs w:val="22"/>
              </w:rPr>
            </w:pPr>
          </w:p>
        </w:tc>
        <w:tc>
          <w:tcPr>
            <w:tcW w:w="630" w:type="dxa"/>
          </w:tcPr>
          <w:p w14:paraId="63648A62"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231DC990" w14:textId="77777777" w:rsidR="00CF1201" w:rsidRPr="00FB2F3D" w:rsidRDefault="00CF1201" w:rsidP="00CF1201">
            <w:pPr>
              <w:pStyle w:val="UK12Block"/>
              <w:rPr>
                <w:rFonts w:ascii="Arial" w:hAnsi="Arial" w:cs="Arial"/>
                <w:sz w:val="22"/>
                <w:szCs w:val="22"/>
              </w:rPr>
            </w:pPr>
          </w:p>
        </w:tc>
        <w:tc>
          <w:tcPr>
            <w:tcW w:w="562" w:type="dxa"/>
          </w:tcPr>
          <w:p w14:paraId="48CA6BBC"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1F0663F0" w14:textId="77777777" w:rsidTr="00CF1201">
        <w:tc>
          <w:tcPr>
            <w:tcW w:w="648" w:type="dxa"/>
          </w:tcPr>
          <w:p w14:paraId="7BAACE51" w14:textId="77777777" w:rsidR="00CF1201" w:rsidRPr="00FB2F3D" w:rsidRDefault="00CF1201" w:rsidP="00CF1201">
            <w:pPr>
              <w:pStyle w:val="UK12Block"/>
              <w:rPr>
                <w:rFonts w:ascii="Arial" w:hAnsi="Arial" w:cs="Arial"/>
                <w:sz w:val="22"/>
                <w:szCs w:val="22"/>
              </w:rPr>
            </w:pPr>
          </w:p>
        </w:tc>
        <w:tc>
          <w:tcPr>
            <w:tcW w:w="9630" w:type="dxa"/>
            <w:vAlign w:val="bottom"/>
          </w:tcPr>
          <w:p w14:paraId="62B9EF49"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all relevant details of the appointment of placing agents appointed on a without a "firm commitment" basis or under a "best efforts" arrangement, including quotas and placing commission;</w:t>
            </w:r>
          </w:p>
        </w:tc>
        <w:tc>
          <w:tcPr>
            <w:tcW w:w="360" w:type="dxa"/>
          </w:tcPr>
          <w:p w14:paraId="121DB916"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1952343F"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01AB11A8" w14:textId="77777777" w:rsidR="00CF1201" w:rsidRPr="00FB2F3D" w:rsidRDefault="00CF1201" w:rsidP="00CF1201">
            <w:pPr>
              <w:pStyle w:val="UK12Block"/>
              <w:rPr>
                <w:rFonts w:ascii="Arial" w:hAnsi="Arial" w:cs="Arial"/>
                <w:sz w:val="22"/>
                <w:szCs w:val="22"/>
              </w:rPr>
            </w:pPr>
            <w:r w:rsidRPr="00FB2F3D">
              <w:rPr>
                <w:rFonts w:ascii="Arial" w:eastAsia="Wingdings" w:hAnsi="Arial" w:cs="Arial"/>
                <w:sz w:val="22"/>
                <w:szCs w:val="22"/>
              </w:rPr>
              <w:t>*</w:t>
            </w:r>
            <w:r w:rsidRPr="00FB2F3D">
              <w:rPr>
                <w:rFonts w:ascii="Arial" w:eastAsia="Wingdings" w:hAnsi="Arial" w:cs="Arial"/>
                <w:sz w:val="22"/>
                <w:szCs w:val="22"/>
              </w:rPr>
              <w:sym w:font="Wingdings" w:char="F0FC"/>
            </w:r>
          </w:p>
        </w:tc>
        <w:tc>
          <w:tcPr>
            <w:tcW w:w="720" w:type="dxa"/>
          </w:tcPr>
          <w:p w14:paraId="1AD1196C" w14:textId="77777777" w:rsidR="00CF1201" w:rsidRPr="00FB2F3D" w:rsidRDefault="00CF1201" w:rsidP="00CF1201">
            <w:pPr>
              <w:pStyle w:val="UK12Block"/>
              <w:rPr>
                <w:rFonts w:ascii="Arial" w:hAnsi="Arial" w:cs="Arial"/>
                <w:sz w:val="22"/>
                <w:szCs w:val="22"/>
              </w:rPr>
            </w:pPr>
          </w:p>
        </w:tc>
        <w:tc>
          <w:tcPr>
            <w:tcW w:w="630" w:type="dxa"/>
          </w:tcPr>
          <w:p w14:paraId="62C91156"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56AAFD90" w14:textId="77777777" w:rsidR="00CF1201" w:rsidRPr="00FB2F3D" w:rsidRDefault="00CF1201" w:rsidP="00CF1201">
            <w:pPr>
              <w:pStyle w:val="UK12Block"/>
              <w:rPr>
                <w:rFonts w:ascii="Arial" w:hAnsi="Arial" w:cs="Arial"/>
                <w:sz w:val="22"/>
                <w:szCs w:val="22"/>
              </w:rPr>
            </w:pPr>
          </w:p>
        </w:tc>
        <w:tc>
          <w:tcPr>
            <w:tcW w:w="562" w:type="dxa"/>
          </w:tcPr>
          <w:p w14:paraId="78CE57AC"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243DECF8" w14:textId="77777777" w:rsidTr="00CF1201">
        <w:tc>
          <w:tcPr>
            <w:tcW w:w="648" w:type="dxa"/>
          </w:tcPr>
          <w:p w14:paraId="5334AACE" w14:textId="77777777" w:rsidR="00CF1201" w:rsidRPr="00FB2F3D" w:rsidRDefault="00CF1201" w:rsidP="00CF1201">
            <w:pPr>
              <w:pStyle w:val="UK12Block"/>
              <w:rPr>
                <w:rFonts w:ascii="Arial" w:hAnsi="Arial" w:cs="Arial"/>
                <w:sz w:val="22"/>
                <w:szCs w:val="22"/>
              </w:rPr>
            </w:pPr>
          </w:p>
        </w:tc>
        <w:tc>
          <w:tcPr>
            <w:tcW w:w="9630" w:type="dxa"/>
            <w:vAlign w:val="bottom"/>
          </w:tcPr>
          <w:p w14:paraId="268978A7"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details of the entities which have a firm commitment to act as intermediaries in secondary trading, providing liquidity through bid and Offer rates and a description of the main terms of their commitment;</w:t>
            </w:r>
          </w:p>
        </w:tc>
        <w:tc>
          <w:tcPr>
            <w:tcW w:w="360" w:type="dxa"/>
          </w:tcPr>
          <w:p w14:paraId="02E67404"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5DFD6CA8"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5E3E5381" w14:textId="77777777" w:rsidR="00CF1201" w:rsidRPr="00FB2F3D" w:rsidRDefault="00CF1201" w:rsidP="00CF1201">
            <w:pPr>
              <w:pStyle w:val="UK12Block"/>
              <w:rPr>
                <w:rFonts w:ascii="Arial" w:hAnsi="Arial" w:cs="Arial"/>
                <w:sz w:val="22"/>
                <w:szCs w:val="22"/>
              </w:rPr>
            </w:pPr>
            <w:r w:rsidRPr="00FB2F3D">
              <w:rPr>
                <w:rFonts w:ascii="Arial" w:eastAsia="Wingdings" w:hAnsi="Arial" w:cs="Arial"/>
                <w:sz w:val="22"/>
                <w:szCs w:val="22"/>
              </w:rPr>
              <w:t>*</w:t>
            </w:r>
            <w:r w:rsidRPr="00FB2F3D">
              <w:rPr>
                <w:rFonts w:ascii="Arial" w:eastAsia="Wingdings" w:hAnsi="Arial" w:cs="Arial"/>
                <w:sz w:val="22"/>
                <w:szCs w:val="22"/>
              </w:rPr>
              <w:sym w:font="Wingdings" w:char="F0FC"/>
            </w:r>
          </w:p>
        </w:tc>
        <w:tc>
          <w:tcPr>
            <w:tcW w:w="720" w:type="dxa"/>
          </w:tcPr>
          <w:p w14:paraId="181670FB" w14:textId="77777777" w:rsidR="00CF1201" w:rsidRPr="00FB2F3D" w:rsidRDefault="00CF1201" w:rsidP="00CF1201">
            <w:pPr>
              <w:pStyle w:val="UK12Block"/>
              <w:rPr>
                <w:rFonts w:ascii="Arial" w:hAnsi="Arial" w:cs="Arial"/>
                <w:sz w:val="22"/>
                <w:szCs w:val="22"/>
              </w:rPr>
            </w:pPr>
          </w:p>
        </w:tc>
        <w:tc>
          <w:tcPr>
            <w:tcW w:w="630" w:type="dxa"/>
          </w:tcPr>
          <w:p w14:paraId="2FF8FCFD"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7E0E4B66" w14:textId="77777777" w:rsidR="00CF1201" w:rsidRPr="00FB2F3D" w:rsidRDefault="00CF1201" w:rsidP="00CF1201">
            <w:pPr>
              <w:pStyle w:val="UK12Block"/>
              <w:rPr>
                <w:rFonts w:ascii="Arial" w:hAnsi="Arial" w:cs="Arial"/>
                <w:sz w:val="22"/>
                <w:szCs w:val="22"/>
              </w:rPr>
            </w:pPr>
          </w:p>
        </w:tc>
        <w:tc>
          <w:tcPr>
            <w:tcW w:w="562" w:type="dxa"/>
          </w:tcPr>
          <w:p w14:paraId="056F91ED"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37CC31BE" w14:textId="77777777" w:rsidTr="00CF1201">
        <w:tc>
          <w:tcPr>
            <w:tcW w:w="648" w:type="dxa"/>
          </w:tcPr>
          <w:p w14:paraId="76B89E96" w14:textId="77777777" w:rsidR="00CF1201" w:rsidRPr="00FB2F3D" w:rsidRDefault="00CF1201" w:rsidP="00CF1201">
            <w:pPr>
              <w:pStyle w:val="UK12Block"/>
              <w:rPr>
                <w:rFonts w:ascii="Arial" w:hAnsi="Arial" w:cs="Arial"/>
                <w:sz w:val="22"/>
                <w:szCs w:val="22"/>
              </w:rPr>
            </w:pPr>
          </w:p>
        </w:tc>
        <w:tc>
          <w:tcPr>
            <w:tcW w:w="9630" w:type="dxa"/>
            <w:vAlign w:val="bottom"/>
          </w:tcPr>
          <w:p w14:paraId="23A8DF0C"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methods of payment for the Securities, particularly as regards the paying up of Securities which are not fully paid or are payable by instalments;</w:t>
            </w:r>
          </w:p>
        </w:tc>
        <w:tc>
          <w:tcPr>
            <w:tcW w:w="360" w:type="dxa"/>
          </w:tcPr>
          <w:p w14:paraId="2081A142"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281428E9"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28723482" w14:textId="77777777" w:rsidR="00CF1201" w:rsidRPr="00FB2F3D" w:rsidRDefault="00CF1201" w:rsidP="00CF1201">
            <w:pPr>
              <w:pStyle w:val="UK12Block"/>
              <w:rPr>
                <w:rFonts w:ascii="Arial" w:hAnsi="Arial" w:cs="Arial"/>
                <w:sz w:val="22"/>
                <w:szCs w:val="22"/>
              </w:rPr>
            </w:pPr>
            <w:r w:rsidRPr="00FB2F3D">
              <w:rPr>
                <w:rFonts w:ascii="Arial" w:eastAsia="Wingdings" w:hAnsi="Arial" w:cs="Arial"/>
                <w:sz w:val="22"/>
                <w:szCs w:val="22"/>
              </w:rPr>
              <w:t>*</w:t>
            </w:r>
            <w:r w:rsidRPr="00FB2F3D">
              <w:rPr>
                <w:rFonts w:ascii="Arial" w:eastAsia="Wingdings" w:hAnsi="Arial" w:cs="Arial"/>
                <w:sz w:val="22"/>
                <w:szCs w:val="22"/>
              </w:rPr>
              <w:sym w:font="Wingdings" w:char="F0FC"/>
            </w:r>
          </w:p>
        </w:tc>
        <w:tc>
          <w:tcPr>
            <w:tcW w:w="720" w:type="dxa"/>
          </w:tcPr>
          <w:p w14:paraId="40552C1A" w14:textId="77777777" w:rsidR="00CF1201" w:rsidRPr="00FB2F3D" w:rsidRDefault="00CF1201" w:rsidP="00CF1201">
            <w:pPr>
              <w:pStyle w:val="UK12Block"/>
              <w:rPr>
                <w:rFonts w:ascii="Arial" w:hAnsi="Arial" w:cs="Arial"/>
                <w:sz w:val="22"/>
                <w:szCs w:val="22"/>
              </w:rPr>
            </w:pPr>
          </w:p>
        </w:tc>
        <w:tc>
          <w:tcPr>
            <w:tcW w:w="630" w:type="dxa"/>
          </w:tcPr>
          <w:p w14:paraId="1E89C939"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26F95923" w14:textId="77777777" w:rsidR="00CF1201" w:rsidRPr="00FB2F3D" w:rsidRDefault="00CF1201" w:rsidP="00CF1201">
            <w:pPr>
              <w:pStyle w:val="UK12Block"/>
              <w:rPr>
                <w:rFonts w:ascii="Arial" w:hAnsi="Arial" w:cs="Arial"/>
                <w:sz w:val="22"/>
                <w:szCs w:val="22"/>
              </w:rPr>
            </w:pPr>
          </w:p>
        </w:tc>
        <w:tc>
          <w:tcPr>
            <w:tcW w:w="562" w:type="dxa"/>
          </w:tcPr>
          <w:p w14:paraId="46DD6DDA"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215BBE5D" w14:textId="77777777" w:rsidTr="00CF1201">
        <w:tc>
          <w:tcPr>
            <w:tcW w:w="648" w:type="dxa"/>
          </w:tcPr>
          <w:p w14:paraId="2F9D0EEE" w14:textId="77777777" w:rsidR="00CF1201" w:rsidRPr="00FB2F3D" w:rsidRDefault="00CF1201" w:rsidP="00CF1201">
            <w:pPr>
              <w:pStyle w:val="UK12Block"/>
              <w:rPr>
                <w:rFonts w:ascii="Arial" w:hAnsi="Arial" w:cs="Arial"/>
                <w:sz w:val="22"/>
                <w:szCs w:val="22"/>
              </w:rPr>
            </w:pPr>
          </w:p>
        </w:tc>
        <w:tc>
          <w:tcPr>
            <w:tcW w:w="9630" w:type="dxa"/>
            <w:vAlign w:val="bottom"/>
          </w:tcPr>
          <w:p w14:paraId="3752902F"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in the event of the Offer not proceeding, the details of the procedure and means under which the money obtained from Applicants will be returned;</w:t>
            </w:r>
          </w:p>
        </w:tc>
        <w:tc>
          <w:tcPr>
            <w:tcW w:w="360" w:type="dxa"/>
          </w:tcPr>
          <w:p w14:paraId="75723F1A"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3AEBB518"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7F8F1BE0" w14:textId="77777777" w:rsidR="00CF1201" w:rsidRPr="00FB2F3D" w:rsidRDefault="00CF1201" w:rsidP="00CF1201">
            <w:pPr>
              <w:pStyle w:val="UK12Block"/>
              <w:rPr>
                <w:rFonts w:ascii="Arial" w:hAnsi="Arial" w:cs="Arial"/>
                <w:sz w:val="22"/>
                <w:szCs w:val="22"/>
              </w:rPr>
            </w:pPr>
          </w:p>
        </w:tc>
        <w:tc>
          <w:tcPr>
            <w:tcW w:w="720" w:type="dxa"/>
          </w:tcPr>
          <w:p w14:paraId="302D6F7D" w14:textId="77777777" w:rsidR="00CF1201" w:rsidRPr="00FB2F3D" w:rsidRDefault="00CF1201" w:rsidP="00CF1201">
            <w:pPr>
              <w:pStyle w:val="UK12Block"/>
              <w:rPr>
                <w:rFonts w:ascii="Arial" w:hAnsi="Arial" w:cs="Arial"/>
                <w:sz w:val="22"/>
                <w:szCs w:val="22"/>
              </w:rPr>
            </w:pPr>
          </w:p>
        </w:tc>
        <w:tc>
          <w:tcPr>
            <w:tcW w:w="630" w:type="dxa"/>
          </w:tcPr>
          <w:p w14:paraId="5A1AE5DA"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54F0B50F" w14:textId="77777777" w:rsidR="00CF1201" w:rsidRPr="00FB2F3D" w:rsidRDefault="00CF1201" w:rsidP="00CF1201">
            <w:pPr>
              <w:pStyle w:val="UK12Block"/>
              <w:rPr>
                <w:rFonts w:ascii="Arial" w:hAnsi="Arial" w:cs="Arial"/>
                <w:sz w:val="22"/>
                <w:szCs w:val="22"/>
              </w:rPr>
            </w:pPr>
          </w:p>
        </w:tc>
        <w:tc>
          <w:tcPr>
            <w:tcW w:w="562" w:type="dxa"/>
          </w:tcPr>
          <w:p w14:paraId="315EEAA0"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16E0FD37" w14:textId="77777777" w:rsidTr="00CF1201">
        <w:tc>
          <w:tcPr>
            <w:tcW w:w="648" w:type="dxa"/>
          </w:tcPr>
          <w:p w14:paraId="57A2BF24" w14:textId="77777777" w:rsidR="00CF1201" w:rsidRPr="00FB2F3D" w:rsidRDefault="00CF1201" w:rsidP="00CF1201">
            <w:pPr>
              <w:pStyle w:val="UK12Block"/>
              <w:rPr>
                <w:rFonts w:ascii="Arial" w:hAnsi="Arial" w:cs="Arial"/>
                <w:sz w:val="22"/>
                <w:szCs w:val="22"/>
              </w:rPr>
            </w:pPr>
          </w:p>
        </w:tc>
        <w:tc>
          <w:tcPr>
            <w:tcW w:w="9630" w:type="dxa"/>
            <w:vAlign w:val="bottom"/>
          </w:tcPr>
          <w:p w14:paraId="198B9B40"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the process for notification to Applicants of the amount of Securities allotted and indication whether dealing may begin before notification is made;</w:t>
            </w:r>
          </w:p>
        </w:tc>
        <w:tc>
          <w:tcPr>
            <w:tcW w:w="360" w:type="dxa"/>
          </w:tcPr>
          <w:p w14:paraId="1BCFB18E"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09DB5D1F"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3F901B25" w14:textId="77777777" w:rsidR="00CF1201" w:rsidRPr="00FB2F3D" w:rsidRDefault="00CF1201" w:rsidP="00CF1201">
            <w:pPr>
              <w:pStyle w:val="UK12Block"/>
              <w:rPr>
                <w:rFonts w:ascii="Arial" w:hAnsi="Arial" w:cs="Arial"/>
                <w:sz w:val="22"/>
                <w:szCs w:val="22"/>
              </w:rPr>
            </w:pPr>
            <w:r w:rsidRPr="00FB2F3D">
              <w:rPr>
                <w:rFonts w:ascii="Arial" w:eastAsia="Wingdings" w:hAnsi="Arial" w:cs="Arial"/>
                <w:sz w:val="22"/>
                <w:szCs w:val="22"/>
              </w:rPr>
              <w:t>*</w:t>
            </w:r>
            <w:r w:rsidRPr="00FB2F3D">
              <w:rPr>
                <w:rFonts w:ascii="Arial" w:eastAsia="Wingdings" w:hAnsi="Arial" w:cs="Arial"/>
                <w:sz w:val="22"/>
                <w:szCs w:val="22"/>
              </w:rPr>
              <w:sym w:font="Wingdings" w:char="F0FC"/>
            </w:r>
          </w:p>
        </w:tc>
        <w:tc>
          <w:tcPr>
            <w:tcW w:w="720" w:type="dxa"/>
          </w:tcPr>
          <w:p w14:paraId="166E2CB7" w14:textId="77777777" w:rsidR="00CF1201" w:rsidRPr="00FB2F3D" w:rsidRDefault="00CF1201" w:rsidP="00CF1201">
            <w:pPr>
              <w:pStyle w:val="UK12Block"/>
              <w:rPr>
                <w:rFonts w:ascii="Arial" w:hAnsi="Arial" w:cs="Arial"/>
                <w:sz w:val="22"/>
                <w:szCs w:val="22"/>
              </w:rPr>
            </w:pPr>
          </w:p>
        </w:tc>
        <w:tc>
          <w:tcPr>
            <w:tcW w:w="630" w:type="dxa"/>
          </w:tcPr>
          <w:p w14:paraId="1BB62CE4"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36E4FA73" w14:textId="77777777" w:rsidR="00CF1201" w:rsidRPr="00FB2F3D" w:rsidRDefault="00CF1201" w:rsidP="00CF1201">
            <w:pPr>
              <w:pStyle w:val="UK12Block"/>
              <w:rPr>
                <w:rFonts w:ascii="Arial" w:hAnsi="Arial" w:cs="Arial"/>
                <w:sz w:val="22"/>
                <w:szCs w:val="22"/>
              </w:rPr>
            </w:pPr>
          </w:p>
        </w:tc>
        <w:tc>
          <w:tcPr>
            <w:tcW w:w="562" w:type="dxa"/>
          </w:tcPr>
          <w:p w14:paraId="0968DC88"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6624E3F8" w14:textId="77777777" w:rsidTr="00CF1201">
        <w:tc>
          <w:tcPr>
            <w:tcW w:w="648" w:type="dxa"/>
          </w:tcPr>
          <w:p w14:paraId="505ED61C" w14:textId="77777777" w:rsidR="00CF1201" w:rsidRPr="00FB2F3D" w:rsidRDefault="00CF1201" w:rsidP="00CF1201">
            <w:pPr>
              <w:pStyle w:val="UK12Block"/>
              <w:rPr>
                <w:rFonts w:ascii="Arial" w:hAnsi="Arial" w:cs="Arial"/>
                <w:sz w:val="22"/>
                <w:szCs w:val="22"/>
              </w:rPr>
            </w:pPr>
          </w:p>
        </w:tc>
        <w:tc>
          <w:tcPr>
            <w:tcW w:w="9630" w:type="dxa"/>
            <w:vAlign w:val="bottom"/>
          </w:tcPr>
          <w:p w14:paraId="6148D3AD"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provided Applicants are allowed to withdraw their subscription, an indication of the period during which an application may be withdrawn;</w:t>
            </w:r>
          </w:p>
        </w:tc>
        <w:tc>
          <w:tcPr>
            <w:tcW w:w="360" w:type="dxa"/>
          </w:tcPr>
          <w:p w14:paraId="41ED7614"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4DD7BC20"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6858EFD0" w14:textId="77777777" w:rsidR="00CF1201" w:rsidRPr="00FB2F3D" w:rsidRDefault="00CF1201" w:rsidP="00CF1201">
            <w:pPr>
              <w:pStyle w:val="UK12Block"/>
              <w:rPr>
                <w:rFonts w:ascii="Arial" w:hAnsi="Arial" w:cs="Arial"/>
                <w:sz w:val="22"/>
                <w:szCs w:val="22"/>
              </w:rPr>
            </w:pPr>
          </w:p>
        </w:tc>
        <w:tc>
          <w:tcPr>
            <w:tcW w:w="720" w:type="dxa"/>
          </w:tcPr>
          <w:p w14:paraId="36F4F6C0" w14:textId="77777777" w:rsidR="00CF1201" w:rsidRPr="00FB2F3D" w:rsidRDefault="00CF1201" w:rsidP="00CF1201">
            <w:pPr>
              <w:pStyle w:val="UK12Block"/>
              <w:rPr>
                <w:rFonts w:ascii="Arial" w:hAnsi="Arial" w:cs="Arial"/>
                <w:sz w:val="22"/>
                <w:szCs w:val="22"/>
              </w:rPr>
            </w:pPr>
          </w:p>
        </w:tc>
        <w:tc>
          <w:tcPr>
            <w:tcW w:w="630" w:type="dxa"/>
          </w:tcPr>
          <w:p w14:paraId="6EAAE4B6"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2D150677" w14:textId="77777777" w:rsidR="00CF1201" w:rsidRPr="00FB2F3D" w:rsidRDefault="00CF1201" w:rsidP="00CF1201">
            <w:pPr>
              <w:pStyle w:val="UK12Block"/>
              <w:rPr>
                <w:rFonts w:ascii="Arial" w:hAnsi="Arial" w:cs="Arial"/>
                <w:sz w:val="22"/>
                <w:szCs w:val="22"/>
              </w:rPr>
            </w:pPr>
          </w:p>
        </w:tc>
        <w:tc>
          <w:tcPr>
            <w:tcW w:w="562" w:type="dxa"/>
          </w:tcPr>
          <w:p w14:paraId="1AA5CFE2"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5540D4DA" w14:textId="77777777" w:rsidTr="00CF1201">
        <w:tc>
          <w:tcPr>
            <w:tcW w:w="648" w:type="dxa"/>
          </w:tcPr>
          <w:p w14:paraId="304A9D40" w14:textId="77777777" w:rsidR="00CF1201" w:rsidRPr="00FB2F3D" w:rsidRDefault="00CF1201" w:rsidP="00CF1201">
            <w:pPr>
              <w:pStyle w:val="UK12Block"/>
              <w:rPr>
                <w:rFonts w:ascii="Arial" w:hAnsi="Arial" w:cs="Arial"/>
                <w:sz w:val="22"/>
                <w:szCs w:val="22"/>
              </w:rPr>
            </w:pPr>
          </w:p>
        </w:tc>
        <w:tc>
          <w:tcPr>
            <w:tcW w:w="9630" w:type="dxa"/>
            <w:vAlign w:val="bottom"/>
          </w:tcPr>
          <w:p w14:paraId="397F7944"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in the case of new Securities, a statement of the resolutions, authorisations and approvals by virtue of which the Securities have been or will be created and/or issued;</w:t>
            </w:r>
          </w:p>
        </w:tc>
        <w:tc>
          <w:tcPr>
            <w:tcW w:w="360" w:type="dxa"/>
          </w:tcPr>
          <w:p w14:paraId="6A5BF773"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6530D722"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1DBA23D2"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720" w:type="dxa"/>
          </w:tcPr>
          <w:p w14:paraId="08FCFB6B"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6C460053"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548762CB"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562" w:type="dxa"/>
          </w:tcPr>
          <w:p w14:paraId="68E5DC49"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2F5671F6" w14:textId="77777777" w:rsidTr="00CF1201">
        <w:tc>
          <w:tcPr>
            <w:tcW w:w="648" w:type="dxa"/>
          </w:tcPr>
          <w:p w14:paraId="3332A476" w14:textId="77777777" w:rsidR="00CF1201" w:rsidRPr="00FB2F3D" w:rsidRDefault="00CF1201" w:rsidP="00CF1201">
            <w:pPr>
              <w:pStyle w:val="UK12Block"/>
              <w:rPr>
                <w:rFonts w:ascii="Arial" w:hAnsi="Arial" w:cs="Arial"/>
                <w:sz w:val="22"/>
                <w:szCs w:val="22"/>
              </w:rPr>
            </w:pPr>
          </w:p>
        </w:tc>
        <w:tc>
          <w:tcPr>
            <w:tcW w:w="9630" w:type="dxa"/>
            <w:vAlign w:val="bottom"/>
          </w:tcPr>
          <w:p w14:paraId="38DC009C"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the details of any Convertible, including an indication of the conditions governing the procedures for conversion, exchange or subscription;</w:t>
            </w:r>
          </w:p>
        </w:tc>
        <w:tc>
          <w:tcPr>
            <w:tcW w:w="360" w:type="dxa"/>
          </w:tcPr>
          <w:p w14:paraId="6B102DEC"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66BE9AFD"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394CB740" w14:textId="77777777" w:rsidR="00CF1201" w:rsidRPr="00FB2F3D" w:rsidRDefault="00CF1201" w:rsidP="00CF1201">
            <w:pPr>
              <w:pStyle w:val="UK12Block"/>
              <w:rPr>
                <w:rFonts w:ascii="Arial" w:hAnsi="Arial" w:cs="Arial"/>
                <w:sz w:val="22"/>
                <w:szCs w:val="22"/>
              </w:rPr>
            </w:pPr>
          </w:p>
        </w:tc>
        <w:tc>
          <w:tcPr>
            <w:tcW w:w="720" w:type="dxa"/>
          </w:tcPr>
          <w:p w14:paraId="4F1ED5D6" w14:textId="77777777" w:rsidR="00CF1201" w:rsidRPr="00FB2F3D" w:rsidRDefault="00CF1201" w:rsidP="00CF1201">
            <w:pPr>
              <w:pStyle w:val="UK12Block"/>
              <w:rPr>
                <w:rFonts w:ascii="Arial" w:hAnsi="Arial" w:cs="Arial"/>
                <w:sz w:val="22"/>
                <w:szCs w:val="22"/>
              </w:rPr>
            </w:pPr>
          </w:p>
        </w:tc>
        <w:tc>
          <w:tcPr>
            <w:tcW w:w="630" w:type="dxa"/>
          </w:tcPr>
          <w:p w14:paraId="6CFE466F"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71E10C67" w14:textId="77777777" w:rsidR="00CF1201" w:rsidRPr="00FB2F3D" w:rsidRDefault="00CF1201" w:rsidP="00CF1201">
            <w:pPr>
              <w:pStyle w:val="UK12Block"/>
              <w:rPr>
                <w:rFonts w:ascii="Arial" w:hAnsi="Arial" w:cs="Arial"/>
                <w:sz w:val="22"/>
                <w:szCs w:val="22"/>
              </w:rPr>
            </w:pPr>
          </w:p>
        </w:tc>
        <w:tc>
          <w:tcPr>
            <w:tcW w:w="562" w:type="dxa"/>
          </w:tcPr>
          <w:p w14:paraId="61A5C3D3"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69926E57" w14:textId="77777777" w:rsidTr="00CF1201">
        <w:tc>
          <w:tcPr>
            <w:tcW w:w="648" w:type="dxa"/>
          </w:tcPr>
          <w:p w14:paraId="225EAAF5" w14:textId="77777777" w:rsidR="00CF1201" w:rsidRPr="00FB2F3D" w:rsidRDefault="00CF1201" w:rsidP="00CF1201">
            <w:pPr>
              <w:pStyle w:val="UK12Block"/>
              <w:rPr>
                <w:rFonts w:ascii="Arial" w:hAnsi="Arial" w:cs="Arial"/>
                <w:sz w:val="22"/>
                <w:szCs w:val="22"/>
              </w:rPr>
            </w:pPr>
          </w:p>
        </w:tc>
        <w:tc>
          <w:tcPr>
            <w:tcW w:w="9630" w:type="dxa"/>
            <w:vAlign w:val="bottom"/>
          </w:tcPr>
          <w:p w14:paraId="24D14283"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the procedure for the exercise of any right of pre</w:t>
            </w:r>
            <w:r w:rsidRPr="00FB2F3D">
              <w:rPr>
                <w:rFonts w:ascii="Arial" w:hAnsi="Arial" w:cs="Arial"/>
                <w:sz w:val="22"/>
                <w:szCs w:val="22"/>
              </w:rPr>
              <w:noBreakHyphen/>
              <w:t>emption, the negotiability of subscription rights and the treatment of subscription rights not exercised;</w:t>
            </w:r>
          </w:p>
        </w:tc>
        <w:tc>
          <w:tcPr>
            <w:tcW w:w="360" w:type="dxa"/>
          </w:tcPr>
          <w:p w14:paraId="0AF15656"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6789E44D"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30084D9E" w14:textId="77777777" w:rsidR="00CF1201" w:rsidRPr="00FB2F3D" w:rsidRDefault="00CF1201" w:rsidP="00CF1201">
            <w:pPr>
              <w:pStyle w:val="UK12Block"/>
              <w:rPr>
                <w:rFonts w:ascii="Arial" w:hAnsi="Arial" w:cs="Arial"/>
                <w:sz w:val="22"/>
                <w:szCs w:val="22"/>
              </w:rPr>
            </w:pPr>
            <w:r w:rsidRPr="00FB2F3D">
              <w:rPr>
                <w:rFonts w:ascii="Arial" w:eastAsia="Wingdings" w:hAnsi="Arial" w:cs="Arial"/>
                <w:sz w:val="22"/>
                <w:szCs w:val="22"/>
              </w:rPr>
              <w:t>*</w:t>
            </w:r>
            <w:r w:rsidRPr="00FB2F3D">
              <w:rPr>
                <w:rFonts w:ascii="Arial" w:eastAsia="Wingdings" w:hAnsi="Arial" w:cs="Arial"/>
                <w:sz w:val="22"/>
                <w:szCs w:val="22"/>
              </w:rPr>
              <w:sym w:font="Wingdings" w:char="F0FC"/>
            </w:r>
          </w:p>
        </w:tc>
        <w:tc>
          <w:tcPr>
            <w:tcW w:w="720" w:type="dxa"/>
          </w:tcPr>
          <w:p w14:paraId="4996729A" w14:textId="77777777" w:rsidR="00CF1201" w:rsidRPr="00FB2F3D" w:rsidRDefault="00CF1201" w:rsidP="00CF1201">
            <w:pPr>
              <w:pStyle w:val="UK12Block"/>
              <w:rPr>
                <w:rFonts w:ascii="Arial" w:hAnsi="Arial" w:cs="Arial"/>
                <w:sz w:val="22"/>
                <w:szCs w:val="22"/>
              </w:rPr>
            </w:pPr>
          </w:p>
        </w:tc>
        <w:tc>
          <w:tcPr>
            <w:tcW w:w="630" w:type="dxa"/>
          </w:tcPr>
          <w:p w14:paraId="2BB74D5F"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321FFDAB" w14:textId="77777777" w:rsidR="00CF1201" w:rsidRPr="00FB2F3D" w:rsidRDefault="00CF1201" w:rsidP="00CF1201">
            <w:pPr>
              <w:pStyle w:val="UK12Block"/>
              <w:rPr>
                <w:rFonts w:ascii="Arial" w:hAnsi="Arial" w:cs="Arial"/>
                <w:sz w:val="22"/>
                <w:szCs w:val="22"/>
              </w:rPr>
            </w:pPr>
          </w:p>
        </w:tc>
        <w:tc>
          <w:tcPr>
            <w:tcW w:w="562" w:type="dxa"/>
          </w:tcPr>
          <w:p w14:paraId="10535FE4"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4940BCE6" w14:textId="77777777" w:rsidTr="00CF1201">
        <w:tc>
          <w:tcPr>
            <w:tcW w:w="648" w:type="dxa"/>
          </w:tcPr>
          <w:p w14:paraId="319FE882" w14:textId="77777777" w:rsidR="00CF1201" w:rsidRPr="00FB2F3D" w:rsidRDefault="00CF1201" w:rsidP="00CF1201">
            <w:pPr>
              <w:pStyle w:val="UK12Block"/>
              <w:rPr>
                <w:rFonts w:ascii="Arial" w:hAnsi="Arial" w:cs="Arial"/>
                <w:sz w:val="22"/>
                <w:szCs w:val="22"/>
              </w:rPr>
            </w:pPr>
          </w:p>
        </w:tc>
        <w:tc>
          <w:tcPr>
            <w:tcW w:w="9630" w:type="dxa"/>
            <w:vAlign w:val="bottom"/>
          </w:tcPr>
          <w:p w14:paraId="5EA78217"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if advisers to the Issuer are connected with the Offer, a statement of the professional or other capacity in which such advisers have acted; and</w:t>
            </w:r>
          </w:p>
        </w:tc>
        <w:tc>
          <w:tcPr>
            <w:tcW w:w="360" w:type="dxa"/>
          </w:tcPr>
          <w:p w14:paraId="5B369567"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580E8395"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3FDACBF0"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720" w:type="dxa"/>
          </w:tcPr>
          <w:p w14:paraId="47CE83BD"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58A0C36C"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2A75F74E"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562" w:type="dxa"/>
          </w:tcPr>
          <w:p w14:paraId="0A9D227D"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6D8DB265" w14:textId="77777777" w:rsidTr="00CF1201">
        <w:tc>
          <w:tcPr>
            <w:tcW w:w="648" w:type="dxa"/>
          </w:tcPr>
          <w:p w14:paraId="539B92D4" w14:textId="77777777" w:rsidR="00CF1201" w:rsidRPr="00FB2F3D" w:rsidRDefault="00CF1201" w:rsidP="00CF1201">
            <w:pPr>
              <w:pStyle w:val="UK12Block"/>
              <w:rPr>
                <w:rFonts w:ascii="Arial" w:hAnsi="Arial" w:cs="Arial"/>
                <w:sz w:val="22"/>
                <w:szCs w:val="22"/>
              </w:rPr>
            </w:pPr>
          </w:p>
        </w:tc>
        <w:tc>
          <w:tcPr>
            <w:tcW w:w="9630" w:type="dxa"/>
            <w:vAlign w:val="bottom"/>
          </w:tcPr>
          <w:p w14:paraId="125CAF9A"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the name and address of any paying agents and depository agents in each country.</w:t>
            </w:r>
          </w:p>
          <w:p w14:paraId="08C95F98" w14:textId="77777777" w:rsidR="00CF1201" w:rsidRPr="00FB2F3D" w:rsidRDefault="00CF1201" w:rsidP="00CF1201">
            <w:pPr>
              <w:pStyle w:val="UK12Block"/>
              <w:ind w:left="226" w:hanging="270"/>
              <w:rPr>
                <w:rFonts w:ascii="Arial" w:hAnsi="Arial" w:cs="Arial"/>
                <w:sz w:val="22"/>
                <w:szCs w:val="22"/>
              </w:rPr>
            </w:pPr>
            <w:r w:rsidRPr="00FB2F3D">
              <w:rPr>
                <w:rFonts w:ascii="Arial" w:hAnsi="Arial" w:cs="Arial"/>
                <w:iCs/>
                <w:color w:val="000000" w:themeColor="text1"/>
                <w:sz w:val="22"/>
                <w:szCs w:val="22"/>
                <w:lang w:eastAsia="ar-SA"/>
              </w:rPr>
              <w:t>*</w:t>
            </w:r>
            <w:r w:rsidRPr="00FB2F3D">
              <w:rPr>
                <w:rFonts w:ascii="Arial" w:hAnsi="Arial" w:cs="Arial"/>
                <w:iCs/>
                <w:color w:val="000000" w:themeColor="text1"/>
                <w:sz w:val="22"/>
                <w:szCs w:val="22"/>
                <w:lang w:eastAsia="ar-SA"/>
              </w:rPr>
              <w:tab/>
            </w:r>
            <w:r w:rsidRPr="00FB2F3D">
              <w:rPr>
                <w:rFonts w:ascii="Arial" w:hAnsi="Arial" w:cs="Arial"/>
                <w:i/>
                <w:color w:val="000000" w:themeColor="text1"/>
                <w:sz w:val="22"/>
                <w:szCs w:val="22"/>
                <w:lang w:eastAsia="ar-SA"/>
              </w:rPr>
              <w:t>The information in 3.1(b), (d), (f), (l), (m), (n), (o), (q) and (u) is not required to be included for Debentures that have a denomination of US$100,000 or more per Security</w:t>
            </w:r>
          </w:p>
        </w:tc>
        <w:tc>
          <w:tcPr>
            <w:tcW w:w="360" w:type="dxa"/>
          </w:tcPr>
          <w:p w14:paraId="306509FC"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2F3CD221"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4B55FDB3"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720" w:type="dxa"/>
          </w:tcPr>
          <w:p w14:paraId="3CF2A155"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43240389"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57A86773"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562" w:type="dxa"/>
          </w:tcPr>
          <w:p w14:paraId="729587F5"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081AF7FD" w14:textId="77777777" w:rsidTr="00CF1201">
        <w:tc>
          <w:tcPr>
            <w:tcW w:w="648" w:type="dxa"/>
          </w:tcPr>
          <w:p w14:paraId="7001B836" w14:textId="77777777" w:rsidR="00CF1201" w:rsidRPr="00FB2F3D" w:rsidRDefault="00CF1201" w:rsidP="00755725">
            <w:pPr>
              <w:pStyle w:val="UK12Block"/>
              <w:numPr>
                <w:ilvl w:val="1"/>
                <w:numId w:val="65"/>
              </w:numPr>
              <w:rPr>
                <w:rFonts w:ascii="Arial" w:hAnsi="Arial" w:cs="Arial"/>
                <w:b/>
                <w:sz w:val="22"/>
                <w:szCs w:val="22"/>
              </w:rPr>
            </w:pPr>
          </w:p>
        </w:tc>
        <w:tc>
          <w:tcPr>
            <w:tcW w:w="9630" w:type="dxa"/>
            <w:vAlign w:val="bottom"/>
          </w:tcPr>
          <w:p w14:paraId="0D04E2A3" w14:textId="77777777" w:rsidR="00CF1201" w:rsidRPr="00FB2F3D" w:rsidRDefault="00CF1201" w:rsidP="00CF1201">
            <w:pPr>
              <w:pStyle w:val="UK12Block"/>
              <w:rPr>
                <w:rFonts w:ascii="Arial" w:hAnsi="Arial" w:cs="Arial"/>
                <w:b/>
                <w:sz w:val="22"/>
                <w:szCs w:val="22"/>
                <w:lang w:eastAsia="ja-JP"/>
              </w:rPr>
            </w:pPr>
            <w:r w:rsidRPr="00FB2F3D">
              <w:rPr>
                <w:rFonts w:ascii="Arial" w:hAnsi="Arial" w:cs="Arial"/>
                <w:b/>
                <w:sz w:val="22"/>
                <w:szCs w:val="22"/>
              </w:rPr>
              <w:t>Plan of distribution and Allotment</w:t>
            </w:r>
          </w:p>
          <w:p w14:paraId="0F7733CD"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Pre</w:t>
            </w:r>
            <w:r w:rsidRPr="00FB2F3D">
              <w:rPr>
                <w:rFonts w:ascii="Arial" w:hAnsi="Arial" w:cs="Arial"/>
                <w:sz w:val="22"/>
                <w:szCs w:val="22"/>
              </w:rPr>
              <w:noBreakHyphen/>
              <w:t>Allotment disclosure relating to:</w:t>
            </w:r>
          </w:p>
          <w:p w14:paraId="6B0AF5DE"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the division into tranches of the Offer including institutional, retail and Issuer's</w:t>
            </w:r>
            <w:r w:rsidRPr="00FB2F3D">
              <w:rPr>
                <w:rFonts w:ascii="Arial" w:hAnsi="Arial" w:cs="Arial"/>
                <w:sz w:val="22"/>
                <w:szCs w:val="22"/>
                <w:lang w:eastAsia="ja-JP"/>
              </w:rPr>
              <w:t xml:space="preserve"> </w:t>
            </w:r>
            <w:r w:rsidRPr="00FB2F3D">
              <w:rPr>
                <w:rFonts w:ascii="Arial" w:hAnsi="Arial" w:cs="Arial"/>
                <w:sz w:val="22"/>
                <w:szCs w:val="22"/>
              </w:rPr>
              <w:t>Employee tranches and any other tranches;</w:t>
            </w:r>
          </w:p>
          <w:p w14:paraId="1E8740E8" w14:textId="77777777" w:rsidR="00CF1201" w:rsidRPr="00FB2F3D" w:rsidRDefault="00CF1201" w:rsidP="00755725">
            <w:pPr>
              <w:pStyle w:val="UK12Block05"/>
              <w:numPr>
                <w:ilvl w:val="3"/>
                <w:numId w:val="65"/>
              </w:numPr>
              <w:rPr>
                <w:rFonts w:ascii="Arial" w:hAnsi="Arial" w:cs="Arial"/>
                <w:sz w:val="22"/>
                <w:szCs w:val="22"/>
              </w:rPr>
            </w:pPr>
            <w:r w:rsidRPr="00FB2F3D">
              <w:rPr>
                <w:rFonts w:ascii="Arial" w:hAnsi="Arial" w:cs="Arial"/>
                <w:sz w:val="22"/>
                <w:szCs w:val="22"/>
              </w:rPr>
              <w:t>the conditions under which a claw</w:t>
            </w:r>
            <w:r w:rsidRPr="00FB2F3D">
              <w:rPr>
                <w:rFonts w:ascii="Arial" w:hAnsi="Arial" w:cs="Arial"/>
                <w:sz w:val="22"/>
                <w:szCs w:val="22"/>
              </w:rPr>
              <w:noBreakHyphen/>
              <w:t>back right may be used, the maximum size of such claw</w:t>
            </w:r>
            <w:r w:rsidRPr="00FB2F3D">
              <w:rPr>
                <w:rFonts w:ascii="Arial" w:hAnsi="Arial" w:cs="Arial"/>
                <w:sz w:val="22"/>
                <w:szCs w:val="22"/>
              </w:rPr>
              <w:noBreakHyphen/>
              <w:t>back and any applicable minimum percentages for individual tranches;</w:t>
            </w:r>
          </w:p>
          <w:p w14:paraId="45D1D67A" w14:textId="77777777" w:rsidR="00CF1201" w:rsidRPr="00FB2F3D" w:rsidRDefault="00CF1201" w:rsidP="00755725">
            <w:pPr>
              <w:pStyle w:val="UK12Block05"/>
              <w:numPr>
                <w:ilvl w:val="3"/>
                <w:numId w:val="65"/>
              </w:numPr>
              <w:rPr>
                <w:rFonts w:ascii="Arial" w:hAnsi="Arial" w:cs="Arial"/>
                <w:sz w:val="22"/>
                <w:szCs w:val="22"/>
              </w:rPr>
            </w:pPr>
            <w:r w:rsidRPr="00FB2F3D">
              <w:rPr>
                <w:rFonts w:ascii="Arial" w:hAnsi="Arial" w:cs="Arial"/>
                <w:sz w:val="22"/>
                <w:szCs w:val="22"/>
              </w:rPr>
              <w:lastRenderedPageBreak/>
              <w:t>the Allotment method or methods to be used for the retail and Issuer's Employee tranche in the event of an over subscription of these tranches;</w:t>
            </w:r>
          </w:p>
          <w:p w14:paraId="1E1DEA21" w14:textId="77777777" w:rsidR="00CF1201" w:rsidRPr="00FB2F3D" w:rsidRDefault="00CF1201" w:rsidP="00755725">
            <w:pPr>
              <w:pStyle w:val="UK12Block05"/>
              <w:numPr>
                <w:ilvl w:val="3"/>
                <w:numId w:val="65"/>
              </w:numPr>
              <w:rPr>
                <w:rFonts w:ascii="Arial" w:hAnsi="Arial" w:cs="Arial"/>
                <w:sz w:val="22"/>
                <w:szCs w:val="22"/>
              </w:rPr>
            </w:pPr>
            <w:r w:rsidRPr="00FB2F3D">
              <w:rPr>
                <w:rFonts w:ascii="Arial" w:hAnsi="Arial" w:cs="Arial"/>
                <w:sz w:val="22"/>
                <w:szCs w:val="22"/>
              </w:rPr>
              <w:t>a description of any pre</w:t>
            </w:r>
            <w:r w:rsidRPr="00FB2F3D">
              <w:rPr>
                <w:rFonts w:ascii="Arial" w:hAnsi="Arial" w:cs="Arial"/>
                <w:sz w:val="22"/>
                <w:szCs w:val="22"/>
              </w:rPr>
              <w:noBreakHyphen/>
              <w:t>determined preferential treatment to be accorded to certain classes of investors or certain affinity groups (including friends and family programmes) in the Allotment, the percentage of the Offer reserved for such preferential treatment and the criteria for inclusion in such classes or groups;</w:t>
            </w:r>
          </w:p>
          <w:p w14:paraId="7CABA55D" w14:textId="77777777" w:rsidR="00CF1201" w:rsidRPr="00FB2F3D" w:rsidRDefault="00CF1201" w:rsidP="00755725">
            <w:pPr>
              <w:pStyle w:val="UK12Block05"/>
              <w:numPr>
                <w:ilvl w:val="3"/>
                <w:numId w:val="65"/>
              </w:numPr>
              <w:rPr>
                <w:rFonts w:ascii="Arial" w:hAnsi="Arial" w:cs="Arial"/>
                <w:sz w:val="22"/>
                <w:szCs w:val="22"/>
              </w:rPr>
            </w:pPr>
            <w:r w:rsidRPr="00FB2F3D">
              <w:rPr>
                <w:rFonts w:ascii="Arial" w:hAnsi="Arial" w:cs="Arial"/>
                <w:sz w:val="22"/>
                <w:szCs w:val="22"/>
              </w:rPr>
              <w:t>whether the treatment of subscriptions or bids to subscribe in the Allotment may be determined on the basis of which intermediary firm they are made through or by a target minimum individual Allotment if any within the retail tranche;</w:t>
            </w:r>
          </w:p>
          <w:p w14:paraId="5FF3D586" w14:textId="77777777" w:rsidR="00CF1201" w:rsidRPr="00FB2F3D" w:rsidRDefault="00CF1201" w:rsidP="00755725">
            <w:pPr>
              <w:pStyle w:val="UK12Block05"/>
              <w:numPr>
                <w:ilvl w:val="3"/>
                <w:numId w:val="65"/>
              </w:numPr>
              <w:rPr>
                <w:rFonts w:ascii="Arial" w:hAnsi="Arial" w:cs="Arial"/>
                <w:sz w:val="22"/>
                <w:szCs w:val="22"/>
              </w:rPr>
            </w:pPr>
            <w:r w:rsidRPr="00FB2F3D">
              <w:rPr>
                <w:rFonts w:ascii="Arial" w:hAnsi="Arial" w:cs="Arial"/>
                <w:sz w:val="22"/>
                <w:szCs w:val="22"/>
              </w:rPr>
              <w:t>the conditions for the closing of the Offer before the end of the Offer Period as well as the date on which the Offer may be closed at the earliest; and</w:t>
            </w:r>
          </w:p>
          <w:p w14:paraId="28534F85"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whether or not multiple subscriptions are admitted, and where they are not, how any multiple subscriptions will be handled.</w:t>
            </w:r>
          </w:p>
          <w:p w14:paraId="1F1E72FE"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The details of any over</w:t>
            </w:r>
            <w:r w:rsidRPr="00FB2F3D">
              <w:rPr>
                <w:rFonts w:ascii="Arial" w:hAnsi="Arial" w:cs="Arial"/>
                <w:sz w:val="22"/>
                <w:szCs w:val="22"/>
              </w:rPr>
              <w:noBreakHyphen/>
              <w:t>allotment option, including existence and size of the over</w:t>
            </w:r>
            <w:r w:rsidRPr="00FB2F3D">
              <w:rPr>
                <w:rFonts w:ascii="Arial" w:hAnsi="Arial" w:cs="Arial"/>
                <w:sz w:val="22"/>
                <w:szCs w:val="22"/>
              </w:rPr>
              <w:noBreakHyphen/>
              <w:t>allotment option, the period in which the over</w:t>
            </w:r>
            <w:r w:rsidRPr="00FB2F3D">
              <w:rPr>
                <w:rFonts w:ascii="Arial" w:hAnsi="Arial" w:cs="Arial"/>
                <w:sz w:val="22"/>
                <w:szCs w:val="22"/>
              </w:rPr>
              <w:noBreakHyphen/>
              <w:t>allotment option may be exercised and any conditions</w:t>
            </w:r>
            <w:r w:rsidRPr="00FB2F3D">
              <w:rPr>
                <w:rFonts w:ascii="Arial" w:hAnsi="Arial" w:cs="Arial"/>
                <w:sz w:val="22"/>
                <w:szCs w:val="22"/>
                <w:lang w:eastAsia="ja-JP"/>
              </w:rPr>
              <w:t xml:space="preserve"> </w:t>
            </w:r>
            <w:r w:rsidRPr="00FB2F3D">
              <w:rPr>
                <w:rFonts w:ascii="Arial" w:hAnsi="Arial" w:cs="Arial"/>
                <w:sz w:val="22"/>
                <w:szCs w:val="22"/>
              </w:rPr>
              <w:t>on exercising such option.</w:t>
            </w:r>
          </w:p>
        </w:tc>
        <w:tc>
          <w:tcPr>
            <w:tcW w:w="360" w:type="dxa"/>
          </w:tcPr>
          <w:p w14:paraId="6E2E2D4C"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lastRenderedPageBreak/>
              <w:sym w:font="Wingdings" w:char="F0FC"/>
            </w:r>
          </w:p>
        </w:tc>
        <w:tc>
          <w:tcPr>
            <w:tcW w:w="630" w:type="dxa"/>
          </w:tcPr>
          <w:p w14:paraId="7C8CB132"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360" w:type="dxa"/>
          </w:tcPr>
          <w:p w14:paraId="3C76BD48" w14:textId="77777777" w:rsidR="00CF1201" w:rsidRPr="00FB2F3D" w:rsidRDefault="00CF1201" w:rsidP="00CF1201">
            <w:pPr>
              <w:pStyle w:val="UK12Block"/>
              <w:rPr>
                <w:rFonts w:ascii="Arial" w:hAnsi="Arial" w:cs="Arial"/>
                <w:sz w:val="22"/>
                <w:szCs w:val="22"/>
              </w:rPr>
            </w:pPr>
          </w:p>
        </w:tc>
        <w:tc>
          <w:tcPr>
            <w:tcW w:w="720" w:type="dxa"/>
          </w:tcPr>
          <w:p w14:paraId="32483F36" w14:textId="77777777" w:rsidR="00CF1201" w:rsidRPr="00FB2F3D" w:rsidRDefault="00CF1201" w:rsidP="00CF1201">
            <w:pPr>
              <w:pStyle w:val="UK12Block"/>
              <w:rPr>
                <w:rFonts w:ascii="Arial" w:hAnsi="Arial" w:cs="Arial"/>
                <w:sz w:val="22"/>
                <w:szCs w:val="22"/>
              </w:rPr>
            </w:pPr>
          </w:p>
        </w:tc>
        <w:tc>
          <w:tcPr>
            <w:tcW w:w="630" w:type="dxa"/>
          </w:tcPr>
          <w:p w14:paraId="18ADBC1B"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c>
          <w:tcPr>
            <w:tcW w:w="630" w:type="dxa"/>
          </w:tcPr>
          <w:p w14:paraId="5C162835" w14:textId="77777777" w:rsidR="00CF1201" w:rsidRPr="00FB2F3D" w:rsidRDefault="00CF1201" w:rsidP="00CF1201">
            <w:pPr>
              <w:pStyle w:val="UK12Block"/>
              <w:rPr>
                <w:rFonts w:ascii="Arial" w:hAnsi="Arial" w:cs="Arial"/>
                <w:sz w:val="22"/>
                <w:szCs w:val="22"/>
              </w:rPr>
            </w:pPr>
          </w:p>
        </w:tc>
        <w:tc>
          <w:tcPr>
            <w:tcW w:w="562" w:type="dxa"/>
          </w:tcPr>
          <w:p w14:paraId="59114F45" w14:textId="77777777" w:rsidR="00CF1201" w:rsidRPr="00FB2F3D" w:rsidRDefault="00CF1201" w:rsidP="00CF1201">
            <w:pPr>
              <w:pStyle w:val="UK12Block"/>
              <w:rPr>
                <w:rFonts w:ascii="Arial" w:hAnsi="Arial" w:cs="Arial"/>
                <w:sz w:val="22"/>
                <w:szCs w:val="22"/>
              </w:rPr>
            </w:pPr>
            <w:r w:rsidRPr="00FB2F3D">
              <w:rPr>
                <w:rFonts w:ascii="Arial" w:eastAsiaTheme="minorEastAsia" w:hAnsi="Arial" w:cs="Arial"/>
                <w:sz w:val="22"/>
                <w:szCs w:val="22"/>
              </w:rPr>
              <w:sym w:font="Wingdings" w:char="F0FC"/>
            </w:r>
          </w:p>
        </w:tc>
      </w:tr>
      <w:tr w:rsidR="00CF1201" w:rsidRPr="00FB2F3D" w14:paraId="1D06D910" w14:textId="77777777" w:rsidTr="00CF1201">
        <w:trPr>
          <w:cantSplit/>
        </w:trPr>
        <w:tc>
          <w:tcPr>
            <w:tcW w:w="648" w:type="dxa"/>
          </w:tcPr>
          <w:p w14:paraId="0DA86A4C" w14:textId="77777777" w:rsidR="00CF1201" w:rsidRPr="00FB2F3D" w:rsidRDefault="00CF1201" w:rsidP="00755725">
            <w:pPr>
              <w:pStyle w:val="UK12Block"/>
              <w:numPr>
                <w:ilvl w:val="1"/>
                <w:numId w:val="65"/>
              </w:numPr>
              <w:rPr>
                <w:rFonts w:ascii="Arial" w:hAnsi="Arial" w:cs="Arial"/>
                <w:b/>
                <w:sz w:val="22"/>
                <w:szCs w:val="22"/>
              </w:rPr>
            </w:pPr>
          </w:p>
        </w:tc>
        <w:tc>
          <w:tcPr>
            <w:tcW w:w="9630" w:type="dxa"/>
            <w:vAlign w:val="bottom"/>
          </w:tcPr>
          <w:p w14:paraId="1102A0BB" w14:textId="77777777" w:rsidR="00CF1201" w:rsidRPr="00FB2F3D" w:rsidRDefault="00CF1201" w:rsidP="00CF1201">
            <w:pPr>
              <w:pStyle w:val="UK12Block"/>
              <w:rPr>
                <w:rFonts w:ascii="Arial" w:hAnsi="Arial" w:cs="Arial"/>
                <w:b/>
                <w:sz w:val="22"/>
                <w:szCs w:val="22"/>
                <w:lang w:eastAsia="ja-JP"/>
              </w:rPr>
            </w:pPr>
            <w:r w:rsidRPr="00FB2F3D">
              <w:rPr>
                <w:rFonts w:ascii="Arial" w:hAnsi="Arial" w:cs="Arial"/>
                <w:b/>
                <w:sz w:val="22"/>
                <w:szCs w:val="22"/>
              </w:rPr>
              <w:t>Price Stabilisation</w:t>
            </w:r>
          </w:p>
          <w:p w14:paraId="2CDCE579"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t>The information required to be disclosed to the market pursuant to M</w:t>
            </w:r>
            <w:r w:rsidR="009472DD" w:rsidRPr="00FB2F3D">
              <w:rPr>
                <w:rFonts w:ascii="Arial" w:hAnsi="Arial" w:cs="Arial"/>
                <w:sz w:val="22"/>
                <w:szCs w:val="22"/>
              </w:rPr>
              <w:t>KT 6.2.9</w:t>
            </w:r>
            <w:r w:rsidRPr="00FB2F3D">
              <w:rPr>
                <w:rFonts w:ascii="Arial" w:hAnsi="Arial" w:cs="Arial"/>
                <w:sz w:val="22"/>
                <w:szCs w:val="22"/>
              </w:rPr>
              <w:t>(1).</w:t>
            </w:r>
          </w:p>
        </w:tc>
        <w:tc>
          <w:tcPr>
            <w:tcW w:w="360" w:type="dxa"/>
          </w:tcPr>
          <w:p w14:paraId="315C2DFF"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385D5DB6"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70E0F34B"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00E27ED5"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0C286B27"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05A36C5F"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69813623" w14:textId="77777777" w:rsidR="00CF1201" w:rsidRPr="00FB2F3D" w:rsidRDefault="00CF1201" w:rsidP="00CF1201">
            <w:pPr>
              <w:pStyle w:val="UK12Block"/>
              <w:rPr>
                <w:rFonts w:ascii="Arial" w:hAnsi="Arial" w:cs="Arial"/>
                <w:sz w:val="22"/>
                <w:szCs w:val="22"/>
              </w:rPr>
            </w:pPr>
          </w:p>
        </w:tc>
      </w:tr>
      <w:tr w:rsidR="00CF1201" w:rsidRPr="00FB2F3D" w14:paraId="6C7AC314" w14:textId="77777777" w:rsidTr="00CF1201">
        <w:tc>
          <w:tcPr>
            <w:tcW w:w="14170" w:type="dxa"/>
            <w:gridSpan w:val="9"/>
          </w:tcPr>
          <w:p w14:paraId="2AC1EBAB" w14:textId="77777777" w:rsidR="00CF1201" w:rsidRPr="00FB2F3D" w:rsidRDefault="00CF1201" w:rsidP="00755725">
            <w:pPr>
              <w:pStyle w:val="UK12Block"/>
              <w:keepNext/>
              <w:numPr>
                <w:ilvl w:val="0"/>
                <w:numId w:val="65"/>
              </w:numPr>
              <w:spacing w:after="0"/>
              <w:rPr>
                <w:rFonts w:ascii="Arial" w:hAnsi="Arial" w:cs="Arial"/>
                <w:b/>
                <w:sz w:val="22"/>
                <w:szCs w:val="22"/>
              </w:rPr>
            </w:pPr>
            <w:r w:rsidRPr="00FB2F3D">
              <w:rPr>
                <w:rFonts w:ascii="Arial" w:hAnsi="Arial" w:cs="Arial"/>
                <w:b/>
                <w:sz w:val="22"/>
                <w:szCs w:val="22"/>
              </w:rPr>
              <w:t>OTHER INFORMATION</w:t>
            </w:r>
          </w:p>
        </w:tc>
      </w:tr>
      <w:tr w:rsidR="00CF1201" w:rsidRPr="00FB2F3D" w14:paraId="0C246ABD" w14:textId="77777777" w:rsidTr="00CF1201">
        <w:tc>
          <w:tcPr>
            <w:tcW w:w="648" w:type="dxa"/>
          </w:tcPr>
          <w:p w14:paraId="3C9ACCCD" w14:textId="77777777" w:rsidR="00CF1201" w:rsidRPr="00FB2F3D" w:rsidRDefault="00CF1201" w:rsidP="00755725">
            <w:pPr>
              <w:pStyle w:val="UK12Block"/>
              <w:numPr>
                <w:ilvl w:val="1"/>
                <w:numId w:val="65"/>
              </w:numPr>
              <w:rPr>
                <w:rFonts w:ascii="Arial" w:hAnsi="Arial" w:cs="Arial"/>
                <w:b/>
                <w:sz w:val="22"/>
                <w:szCs w:val="22"/>
              </w:rPr>
            </w:pPr>
          </w:p>
        </w:tc>
        <w:tc>
          <w:tcPr>
            <w:tcW w:w="9630" w:type="dxa"/>
            <w:vAlign w:val="bottom"/>
          </w:tcPr>
          <w:p w14:paraId="19AFBC1A" w14:textId="77777777" w:rsidR="00CF1201" w:rsidRPr="00FB2F3D" w:rsidRDefault="00CF1201" w:rsidP="00CF1201">
            <w:pPr>
              <w:pStyle w:val="UK12Block"/>
              <w:rPr>
                <w:rFonts w:ascii="Arial" w:hAnsi="Arial" w:cs="Arial"/>
                <w:b/>
                <w:sz w:val="22"/>
                <w:szCs w:val="22"/>
                <w:lang w:eastAsia="ja-JP"/>
              </w:rPr>
            </w:pPr>
            <w:r w:rsidRPr="00FB2F3D">
              <w:rPr>
                <w:rFonts w:ascii="Arial" w:hAnsi="Arial" w:cs="Arial"/>
                <w:b/>
                <w:sz w:val="22"/>
                <w:szCs w:val="22"/>
              </w:rPr>
              <w:t>Audit and source of information including use of Expert reports</w:t>
            </w:r>
          </w:p>
          <w:p w14:paraId="05CFECF1"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lastRenderedPageBreak/>
              <w:t>Where information has been included in the Securities Note which has been audited or reviewed by auditors and where auditors have produced a report, reproduction of the report or, with permission of the Regulator, a summary of the report.</w:t>
            </w:r>
          </w:p>
          <w:p w14:paraId="14C19592"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Where information has been sourced from a third party, details of the identity of the source of the information along with a confirmation that the information has been accurately reproduced and that as far as the Issuer is aware and is able to ascertain from information published by that third party, no facts have</w:t>
            </w:r>
            <w:r w:rsidRPr="00FB2F3D">
              <w:rPr>
                <w:rFonts w:ascii="Arial" w:hAnsi="Arial" w:cs="Arial"/>
                <w:sz w:val="22"/>
                <w:szCs w:val="22"/>
                <w:lang w:eastAsia="ja-JP"/>
              </w:rPr>
              <w:t xml:space="preserve"> </w:t>
            </w:r>
            <w:r w:rsidRPr="00FB2F3D">
              <w:rPr>
                <w:rFonts w:ascii="Arial" w:hAnsi="Arial" w:cs="Arial"/>
                <w:sz w:val="22"/>
                <w:szCs w:val="22"/>
              </w:rPr>
              <w:t>been omitted which would render the reproduced information inaccurate or false, misleading, or deceptive.</w:t>
            </w:r>
          </w:p>
          <w:p w14:paraId="6193C878"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Where a statement or report attributed to a Person as an Expert is included in the</w:t>
            </w:r>
            <w:r w:rsidRPr="00FB2F3D">
              <w:rPr>
                <w:rFonts w:ascii="Arial" w:hAnsi="Arial" w:cs="Arial"/>
                <w:sz w:val="22"/>
                <w:szCs w:val="22"/>
                <w:lang w:eastAsia="ja-JP"/>
              </w:rPr>
              <w:t xml:space="preserve"> </w:t>
            </w:r>
            <w:r w:rsidRPr="00FB2F3D">
              <w:rPr>
                <w:rFonts w:ascii="Arial" w:hAnsi="Arial" w:cs="Arial"/>
                <w:sz w:val="22"/>
                <w:szCs w:val="22"/>
              </w:rPr>
              <w:t>Securities Note:</w:t>
            </w:r>
          </w:p>
          <w:p w14:paraId="7D7E99E7"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the name, business address, qualifications and any material interest such a</w:t>
            </w:r>
            <w:r w:rsidRPr="00FB2F3D">
              <w:rPr>
                <w:rFonts w:ascii="Arial" w:hAnsi="Arial" w:cs="Arial"/>
                <w:sz w:val="22"/>
                <w:szCs w:val="22"/>
                <w:lang w:eastAsia="ja-JP"/>
              </w:rPr>
              <w:t xml:space="preserve"> </w:t>
            </w:r>
            <w:r w:rsidRPr="00FB2F3D">
              <w:rPr>
                <w:rFonts w:ascii="Arial" w:hAnsi="Arial" w:cs="Arial"/>
                <w:sz w:val="22"/>
                <w:szCs w:val="22"/>
              </w:rPr>
              <w:t>Person has in the Issuer; and</w:t>
            </w:r>
          </w:p>
          <w:p w14:paraId="7CE32BD9" w14:textId="77777777" w:rsidR="00CF1201" w:rsidRPr="00FB2F3D" w:rsidRDefault="00CF1201" w:rsidP="00755725">
            <w:pPr>
              <w:pStyle w:val="UK12Block05"/>
              <w:numPr>
                <w:ilvl w:val="3"/>
                <w:numId w:val="65"/>
              </w:numPr>
              <w:rPr>
                <w:rFonts w:ascii="Arial" w:hAnsi="Arial" w:cs="Arial"/>
                <w:sz w:val="22"/>
                <w:szCs w:val="22"/>
              </w:rPr>
            </w:pPr>
            <w:r w:rsidRPr="00FB2F3D">
              <w:rPr>
                <w:rFonts w:ascii="Arial" w:hAnsi="Arial" w:cs="Arial"/>
                <w:sz w:val="22"/>
                <w:szCs w:val="22"/>
              </w:rPr>
              <w:t>if the report has been produced at the Issuer's request, a statement to the effect that such statement or report is included, in the form and context in</w:t>
            </w:r>
            <w:r w:rsidRPr="00FB2F3D">
              <w:rPr>
                <w:rFonts w:ascii="Arial" w:hAnsi="Arial" w:cs="Arial"/>
                <w:sz w:val="22"/>
                <w:szCs w:val="22"/>
                <w:lang w:eastAsia="ja-JP"/>
              </w:rPr>
              <w:t xml:space="preserve"> </w:t>
            </w:r>
            <w:r w:rsidRPr="00FB2F3D">
              <w:rPr>
                <w:rFonts w:ascii="Arial" w:hAnsi="Arial" w:cs="Arial"/>
                <w:sz w:val="22"/>
                <w:szCs w:val="22"/>
              </w:rPr>
              <w:t>which it is included, with the consent of the Expert who has authorised the contents of that part of the Securities Note.</w:t>
            </w:r>
          </w:p>
        </w:tc>
        <w:tc>
          <w:tcPr>
            <w:tcW w:w="360" w:type="dxa"/>
          </w:tcPr>
          <w:p w14:paraId="32162AA1"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lastRenderedPageBreak/>
              <w:sym w:font="Wingdings" w:char="F0FC"/>
            </w:r>
          </w:p>
        </w:tc>
        <w:tc>
          <w:tcPr>
            <w:tcW w:w="630" w:type="dxa"/>
          </w:tcPr>
          <w:p w14:paraId="176E33A3"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79BFC330"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4CAFF382"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151DB1CC"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2F3AA458"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77BF9783" w14:textId="77777777" w:rsidR="00CF1201" w:rsidRPr="00FB2F3D" w:rsidRDefault="00CF1201" w:rsidP="00CF1201">
            <w:pPr>
              <w:pStyle w:val="UK12Block"/>
              <w:rPr>
                <w:rFonts w:ascii="Arial" w:hAnsi="Arial" w:cs="Arial"/>
                <w:sz w:val="22"/>
                <w:szCs w:val="22"/>
              </w:rPr>
            </w:pPr>
          </w:p>
        </w:tc>
      </w:tr>
      <w:tr w:rsidR="00CF1201" w:rsidRPr="00FB2F3D" w14:paraId="48A7AB72" w14:textId="77777777" w:rsidTr="00CF1201">
        <w:tc>
          <w:tcPr>
            <w:tcW w:w="648" w:type="dxa"/>
          </w:tcPr>
          <w:p w14:paraId="6C1F88BC" w14:textId="77777777" w:rsidR="00CF1201" w:rsidRPr="00FB2F3D" w:rsidRDefault="00CF1201" w:rsidP="00755725">
            <w:pPr>
              <w:pStyle w:val="UK12Block"/>
              <w:numPr>
                <w:ilvl w:val="1"/>
                <w:numId w:val="65"/>
              </w:numPr>
              <w:rPr>
                <w:rFonts w:ascii="Arial" w:hAnsi="Arial" w:cs="Arial"/>
                <w:b/>
                <w:sz w:val="22"/>
                <w:szCs w:val="22"/>
              </w:rPr>
            </w:pPr>
          </w:p>
        </w:tc>
        <w:tc>
          <w:tcPr>
            <w:tcW w:w="9630" w:type="dxa"/>
            <w:vAlign w:val="bottom"/>
          </w:tcPr>
          <w:p w14:paraId="10CD775B" w14:textId="77777777" w:rsidR="00CF1201" w:rsidRPr="00FB2F3D" w:rsidRDefault="00CF1201" w:rsidP="00CF1201">
            <w:pPr>
              <w:pStyle w:val="UK12Block"/>
              <w:rPr>
                <w:rFonts w:ascii="Arial" w:hAnsi="Arial" w:cs="Arial"/>
                <w:sz w:val="22"/>
                <w:szCs w:val="22"/>
                <w:lang w:eastAsia="ja-JP"/>
              </w:rPr>
            </w:pPr>
            <w:r w:rsidRPr="00FB2F3D">
              <w:rPr>
                <w:rFonts w:ascii="Arial" w:hAnsi="Arial" w:cs="Arial"/>
                <w:b/>
                <w:sz w:val="22"/>
                <w:szCs w:val="22"/>
              </w:rPr>
              <w:t>Dilution</w:t>
            </w:r>
          </w:p>
          <w:p w14:paraId="356896A1" w14:textId="77777777" w:rsidR="00CF1201" w:rsidRPr="00FB2F3D" w:rsidRDefault="00CF1201" w:rsidP="00CF1201">
            <w:pPr>
              <w:pStyle w:val="UK12Block"/>
              <w:rPr>
                <w:rFonts w:ascii="Arial" w:hAnsi="Arial" w:cs="Arial"/>
                <w:sz w:val="22"/>
                <w:szCs w:val="22"/>
                <w:lang w:eastAsia="ja-JP"/>
              </w:rPr>
            </w:pPr>
            <w:r w:rsidRPr="00FB2F3D">
              <w:rPr>
                <w:rFonts w:ascii="Arial" w:hAnsi="Arial" w:cs="Arial"/>
                <w:sz w:val="22"/>
                <w:szCs w:val="22"/>
              </w:rPr>
              <w:t>Information relating to dilution including:</w:t>
            </w:r>
          </w:p>
          <w:p w14:paraId="08677DA7"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the amount and percentage of immediate dilution resulting from the Offer; and</w:t>
            </w:r>
          </w:p>
          <w:p w14:paraId="054C1702"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lastRenderedPageBreak/>
              <w:t>in the case of an Offer to existing equity holders, the amount and percentage of immediate dilution if they do not subscribe to the new Offer.</w:t>
            </w:r>
          </w:p>
        </w:tc>
        <w:tc>
          <w:tcPr>
            <w:tcW w:w="360" w:type="dxa"/>
          </w:tcPr>
          <w:p w14:paraId="531B6910"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lastRenderedPageBreak/>
              <w:sym w:font="Wingdings" w:char="F0FC"/>
            </w:r>
          </w:p>
        </w:tc>
        <w:tc>
          <w:tcPr>
            <w:tcW w:w="630" w:type="dxa"/>
          </w:tcPr>
          <w:p w14:paraId="5D9A73A3"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0953127A" w14:textId="77777777" w:rsidR="00CF1201" w:rsidRPr="00FB2F3D" w:rsidRDefault="00CF1201" w:rsidP="00CF1201">
            <w:pPr>
              <w:pStyle w:val="UK12Block"/>
              <w:rPr>
                <w:rFonts w:ascii="Arial" w:hAnsi="Arial" w:cs="Arial"/>
                <w:sz w:val="22"/>
                <w:szCs w:val="22"/>
              </w:rPr>
            </w:pPr>
          </w:p>
        </w:tc>
        <w:tc>
          <w:tcPr>
            <w:tcW w:w="720" w:type="dxa"/>
          </w:tcPr>
          <w:p w14:paraId="52F89920" w14:textId="77777777" w:rsidR="00CF1201" w:rsidRPr="00FB2F3D" w:rsidRDefault="00CF1201" w:rsidP="00CF1201">
            <w:pPr>
              <w:pStyle w:val="UK12Block"/>
              <w:rPr>
                <w:rFonts w:ascii="Arial" w:hAnsi="Arial" w:cs="Arial"/>
                <w:sz w:val="22"/>
                <w:szCs w:val="22"/>
              </w:rPr>
            </w:pPr>
          </w:p>
        </w:tc>
        <w:tc>
          <w:tcPr>
            <w:tcW w:w="630" w:type="dxa"/>
          </w:tcPr>
          <w:p w14:paraId="2617536B"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67E7EDD6" w14:textId="77777777" w:rsidR="00CF1201" w:rsidRPr="00FB2F3D" w:rsidRDefault="00CF1201" w:rsidP="00CF1201">
            <w:pPr>
              <w:pStyle w:val="UK12Block"/>
              <w:rPr>
                <w:rFonts w:ascii="Arial" w:hAnsi="Arial" w:cs="Arial"/>
                <w:sz w:val="22"/>
                <w:szCs w:val="22"/>
              </w:rPr>
            </w:pPr>
          </w:p>
        </w:tc>
        <w:tc>
          <w:tcPr>
            <w:tcW w:w="562" w:type="dxa"/>
          </w:tcPr>
          <w:p w14:paraId="479C0CE6"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r>
      <w:tr w:rsidR="00CF1201" w:rsidRPr="00FB2F3D" w14:paraId="042216BD" w14:textId="77777777" w:rsidTr="00CF1201">
        <w:tc>
          <w:tcPr>
            <w:tcW w:w="648" w:type="dxa"/>
          </w:tcPr>
          <w:p w14:paraId="636910B9" w14:textId="77777777" w:rsidR="00CF1201" w:rsidRPr="00FB2F3D" w:rsidRDefault="00CF1201" w:rsidP="00755725">
            <w:pPr>
              <w:pStyle w:val="UK12Block"/>
              <w:numPr>
                <w:ilvl w:val="1"/>
                <w:numId w:val="65"/>
              </w:numPr>
              <w:rPr>
                <w:rFonts w:ascii="Arial" w:hAnsi="Arial" w:cs="Arial"/>
                <w:b/>
                <w:sz w:val="22"/>
                <w:szCs w:val="22"/>
              </w:rPr>
            </w:pPr>
          </w:p>
        </w:tc>
        <w:tc>
          <w:tcPr>
            <w:tcW w:w="9630" w:type="dxa"/>
            <w:vAlign w:val="bottom"/>
          </w:tcPr>
          <w:p w14:paraId="50B38104" w14:textId="77777777" w:rsidR="00CF1201" w:rsidRPr="00FB2F3D" w:rsidRDefault="00CF1201" w:rsidP="00CF1201">
            <w:pPr>
              <w:pStyle w:val="UK12Block"/>
              <w:rPr>
                <w:rFonts w:ascii="Arial" w:hAnsi="Arial" w:cs="Arial"/>
                <w:b/>
                <w:sz w:val="22"/>
                <w:szCs w:val="22"/>
                <w:lang w:eastAsia="ja-JP"/>
              </w:rPr>
            </w:pPr>
            <w:r w:rsidRPr="00FB2F3D">
              <w:rPr>
                <w:rFonts w:ascii="Arial" w:hAnsi="Arial" w:cs="Arial"/>
                <w:b/>
                <w:sz w:val="22"/>
                <w:szCs w:val="22"/>
              </w:rPr>
              <w:t>Takeovers</w:t>
            </w:r>
          </w:p>
          <w:p w14:paraId="1169614E" w14:textId="77777777" w:rsidR="00CF1201" w:rsidRPr="00FB2F3D" w:rsidRDefault="00CF1201" w:rsidP="00CF1201">
            <w:pPr>
              <w:pStyle w:val="UK12Block"/>
              <w:rPr>
                <w:rFonts w:ascii="Arial" w:hAnsi="Arial" w:cs="Arial"/>
                <w:sz w:val="22"/>
                <w:szCs w:val="22"/>
                <w:lang w:eastAsia="ja-JP"/>
              </w:rPr>
            </w:pPr>
            <w:r w:rsidRPr="00FB2F3D">
              <w:rPr>
                <w:rFonts w:ascii="Arial" w:hAnsi="Arial" w:cs="Arial"/>
                <w:sz w:val="22"/>
                <w:szCs w:val="22"/>
              </w:rPr>
              <w:t>Information relating to any Takeovers including:</w:t>
            </w:r>
          </w:p>
          <w:p w14:paraId="12C6A190"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the existence of any mandatory Takeover bids and/or squeeze</w:t>
            </w:r>
            <w:r w:rsidRPr="00FB2F3D">
              <w:rPr>
                <w:rFonts w:ascii="Arial" w:hAnsi="Arial" w:cs="Arial"/>
                <w:sz w:val="22"/>
                <w:szCs w:val="22"/>
              </w:rPr>
              <w:noBreakHyphen/>
              <w:t>out, sellout, or poison pill requirements in relation to the Securities; and</w:t>
            </w:r>
          </w:p>
          <w:p w14:paraId="6930DBF0"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any public Takeover bids by third parties in respect of the Issuer's equity, which have occurred during the last financial year and the current financial year, including the price or exchange terms attaching to such Offers and the outcome thereof.</w:t>
            </w:r>
          </w:p>
        </w:tc>
        <w:tc>
          <w:tcPr>
            <w:tcW w:w="360" w:type="dxa"/>
          </w:tcPr>
          <w:p w14:paraId="12728319"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4E1C01B1"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2379B234" w14:textId="77777777" w:rsidR="00CF1201" w:rsidRPr="00FB2F3D" w:rsidRDefault="00CF1201" w:rsidP="00CF1201">
            <w:pPr>
              <w:pStyle w:val="UK12Block"/>
              <w:rPr>
                <w:rFonts w:ascii="Arial" w:hAnsi="Arial" w:cs="Arial"/>
                <w:sz w:val="22"/>
                <w:szCs w:val="22"/>
              </w:rPr>
            </w:pPr>
          </w:p>
        </w:tc>
        <w:tc>
          <w:tcPr>
            <w:tcW w:w="720" w:type="dxa"/>
          </w:tcPr>
          <w:p w14:paraId="0EB632A3" w14:textId="77777777" w:rsidR="00CF1201" w:rsidRPr="00FB2F3D" w:rsidRDefault="00CF1201" w:rsidP="00CF1201">
            <w:pPr>
              <w:pStyle w:val="UK12Block"/>
              <w:rPr>
                <w:rFonts w:ascii="Arial" w:hAnsi="Arial" w:cs="Arial"/>
                <w:sz w:val="22"/>
                <w:szCs w:val="22"/>
              </w:rPr>
            </w:pPr>
          </w:p>
        </w:tc>
        <w:tc>
          <w:tcPr>
            <w:tcW w:w="630" w:type="dxa"/>
          </w:tcPr>
          <w:p w14:paraId="7EC13E19"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56784FB3" w14:textId="77777777" w:rsidR="00CF1201" w:rsidRPr="00FB2F3D" w:rsidRDefault="00CF1201" w:rsidP="00CF1201">
            <w:pPr>
              <w:pStyle w:val="UK12Block"/>
              <w:rPr>
                <w:rFonts w:ascii="Arial" w:hAnsi="Arial" w:cs="Arial"/>
                <w:sz w:val="22"/>
                <w:szCs w:val="22"/>
              </w:rPr>
            </w:pPr>
          </w:p>
        </w:tc>
        <w:tc>
          <w:tcPr>
            <w:tcW w:w="562" w:type="dxa"/>
          </w:tcPr>
          <w:p w14:paraId="6096615D"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r>
      <w:tr w:rsidR="00CF1201" w:rsidRPr="00FB2F3D" w14:paraId="2B26FECE" w14:textId="77777777" w:rsidTr="00CF1201">
        <w:tc>
          <w:tcPr>
            <w:tcW w:w="648" w:type="dxa"/>
          </w:tcPr>
          <w:p w14:paraId="2ACEFDFE" w14:textId="77777777" w:rsidR="00CF1201" w:rsidRPr="00FB2F3D" w:rsidRDefault="00CF1201" w:rsidP="00755725">
            <w:pPr>
              <w:pStyle w:val="UK12Block"/>
              <w:pageBreakBefore/>
              <w:numPr>
                <w:ilvl w:val="1"/>
                <w:numId w:val="65"/>
              </w:numPr>
              <w:rPr>
                <w:rFonts w:ascii="Arial" w:hAnsi="Arial" w:cs="Arial"/>
                <w:b/>
                <w:sz w:val="22"/>
                <w:szCs w:val="22"/>
              </w:rPr>
            </w:pPr>
          </w:p>
        </w:tc>
        <w:tc>
          <w:tcPr>
            <w:tcW w:w="9630" w:type="dxa"/>
            <w:vAlign w:val="bottom"/>
          </w:tcPr>
          <w:p w14:paraId="61F2CEFD" w14:textId="77777777" w:rsidR="00CF1201" w:rsidRPr="00FB2F3D" w:rsidRDefault="00CF1201" w:rsidP="00CF1201">
            <w:pPr>
              <w:pStyle w:val="UK12Block"/>
              <w:pageBreakBefore/>
              <w:rPr>
                <w:rFonts w:ascii="Arial" w:hAnsi="Arial" w:cs="Arial"/>
                <w:b/>
                <w:sz w:val="22"/>
                <w:szCs w:val="22"/>
                <w:lang w:eastAsia="ja-JP"/>
              </w:rPr>
            </w:pPr>
            <w:r w:rsidRPr="00FB2F3D">
              <w:rPr>
                <w:rFonts w:ascii="Arial" w:hAnsi="Arial" w:cs="Arial"/>
                <w:b/>
                <w:sz w:val="22"/>
                <w:szCs w:val="22"/>
              </w:rPr>
              <w:t>Investments by Controllers and any lock</w:t>
            </w:r>
            <w:r w:rsidRPr="00FB2F3D">
              <w:rPr>
                <w:rFonts w:ascii="Arial" w:hAnsi="Arial" w:cs="Arial"/>
                <w:b/>
                <w:sz w:val="22"/>
                <w:szCs w:val="22"/>
              </w:rPr>
              <w:noBreakHyphen/>
              <w:t>up arrangements</w:t>
            </w:r>
          </w:p>
          <w:p w14:paraId="3AFBB852"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Information, if available to the Issuer, whether:</w:t>
            </w:r>
          </w:p>
          <w:p w14:paraId="65DAF7A8"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Directors, Controllers or the Senior Management of the Issuer intends to subscribe to the Offer; and</w:t>
            </w:r>
          </w:p>
          <w:p w14:paraId="1C5BC804"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any other Person intends to subscribe for more than 5% of the Offer.</w:t>
            </w:r>
          </w:p>
          <w:p w14:paraId="08150F15"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The details of any lock</w:t>
            </w:r>
            <w:r w:rsidRPr="00FB2F3D">
              <w:rPr>
                <w:rFonts w:ascii="Arial" w:hAnsi="Arial" w:cs="Arial"/>
                <w:sz w:val="22"/>
                <w:szCs w:val="22"/>
              </w:rPr>
              <w:noBreakHyphen/>
              <w:t>up arrangements relating to Persons exercising Senior Management functions of the Issuer, including the Persons subject to such lock</w:t>
            </w:r>
            <w:r w:rsidRPr="00FB2F3D">
              <w:rPr>
                <w:rFonts w:ascii="Arial" w:hAnsi="Arial" w:cs="Arial"/>
                <w:sz w:val="22"/>
                <w:szCs w:val="22"/>
              </w:rPr>
              <w:noBreakHyphen/>
              <w:t>up and the procedures involved and the period of the lock up.</w:t>
            </w:r>
          </w:p>
          <w:p w14:paraId="2AF05300"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Information about whether there is or could be a material disparity between the price of the Securities offered pursuant to the Offer and the effective cash cost to Directors and the Senior Management of the Issuer (Related Persons) of the Securities acquired by such Persons in transactions during the past year or which such Persons have the right to acquire, and if so, a comparison of the cost to the public and Related Persons in their acquisition of Securities.</w:t>
            </w:r>
          </w:p>
        </w:tc>
        <w:tc>
          <w:tcPr>
            <w:tcW w:w="360" w:type="dxa"/>
          </w:tcPr>
          <w:p w14:paraId="60ACED95"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65234B03"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1601A2C9" w14:textId="77777777" w:rsidR="00CF1201" w:rsidRPr="00FB2F3D" w:rsidRDefault="00CF1201" w:rsidP="00CF1201">
            <w:pPr>
              <w:pStyle w:val="UK12Block"/>
              <w:rPr>
                <w:rFonts w:ascii="Arial" w:hAnsi="Arial" w:cs="Arial"/>
                <w:sz w:val="22"/>
                <w:szCs w:val="22"/>
              </w:rPr>
            </w:pPr>
          </w:p>
        </w:tc>
        <w:tc>
          <w:tcPr>
            <w:tcW w:w="720" w:type="dxa"/>
          </w:tcPr>
          <w:p w14:paraId="57CEB3B0" w14:textId="77777777" w:rsidR="00CF1201" w:rsidRPr="00FB2F3D" w:rsidRDefault="00CF1201" w:rsidP="00CF1201">
            <w:pPr>
              <w:pStyle w:val="UK12Block"/>
              <w:rPr>
                <w:rFonts w:ascii="Arial" w:hAnsi="Arial" w:cs="Arial"/>
                <w:sz w:val="22"/>
                <w:szCs w:val="22"/>
              </w:rPr>
            </w:pPr>
          </w:p>
        </w:tc>
        <w:tc>
          <w:tcPr>
            <w:tcW w:w="630" w:type="dxa"/>
          </w:tcPr>
          <w:p w14:paraId="2FD04965"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649C7517" w14:textId="77777777" w:rsidR="00CF1201" w:rsidRPr="00FB2F3D" w:rsidRDefault="00CF1201" w:rsidP="00CF1201">
            <w:pPr>
              <w:pStyle w:val="UK12Block"/>
              <w:rPr>
                <w:rFonts w:ascii="Arial" w:hAnsi="Arial" w:cs="Arial"/>
                <w:sz w:val="22"/>
                <w:szCs w:val="22"/>
              </w:rPr>
            </w:pPr>
          </w:p>
        </w:tc>
        <w:tc>
          <w:tcPr>
            <w:tcW w:w="562" w:type="dxa"/>
          </w:tcPr>
          <w:p w14:paraId="6144E58B"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r>
      <w:tr w:rsidR="00CF1201" w:rsidRPr="00FB2F3D" w14:paraId="24EC1F7A" w14:textId="77777777" w:rsidTr="00CF1201">
        <w:tblPrEx>
          <w:tblLook w:val="04A0" w:firstRow="1" w:lastRow="0" w:firstColumn="1" w:lastColumn="0" w:noHBand="0" w:noVBand="1"/>
        </w:tblPrEx>
        <w:tc>
          <w:tcPr>
            <w:tcW w:w="14170" w:type="dxa"/>
            <w:gridSpan w:val="9"/>
          </w:tcPr>
          <w:p w14:paraId="120A019A" w14:textId="77777777" w:rsidR="00CF1201" w:rsidRPr="00FB2F3D" w:rsidRDefault="00CF1201" w:rsidP="00755725">
            <w:pPr>
              <w:pStyle w:val="UK12Block"/>
              <w:keepNext/>
              <w:numPr>
                <w:ilvl w:val="0"/>
                <w:numId w:val="65"/>
              </w:numPr>
              <w:spacing w:after="0"/>
              <w:rPr>
                <w:rFonts w:ascii="Arial" w:hAnsi="Arial" w:cs="Arial"/>
                <w:b/>
                <w:sz w:val="22"/>
                <w:szCs w:val="22"/>
              </w:rPr>
            </w:pPr>
            <w:r w:rsidRPr="00FB2F3D">
              <w:rPr>
                <w:rFonts w:ascii="Arial" w:hAnsi="Arial" w:cs="Arial"/>
                <w:b/>
                <w:sz w:val="22"/>
                <w:szCs w:val="22"/>
              </w:rPr>
              <w:t>ADMISSION TO TRADING</w:t>
            </w:r>
          </w:p>
        </w:tc>
      </w:tr>
      <w:tr w:rsidR="00CF1201" w:rsidRPr="00FB2F3D" w14:paraId="78AC331C" w14:textId="77777777" w:rsidTr="00CF1201">
        <w:tblPrEx>
          <w:tblLook w:val="04A0" w:firstRow="1" w:lastRow="0" w:firstColumn="1" w:lastColumn="0" w:noHBand="0" w:noVBand="1"/>
        </w:tblPrEx>
        <w:tc>
          <w:tcPr>
            <w:tcW w:w="648" w:type="dxa"/>
          </w:tcPr>
          <w:p w14:paraId="11805D72" w14:textId="77777777" w:rsidR="00CF1201" w:rsidRPr="00FB2F3D" w:rsidRDefault="00CF1201" w:rsidP="00755725">
            <w:pPr>
              <w:pStyle w:val="UK12Block"/>
              <w:numPr>
                <w:ilvl w:val="1"/>
                <w:numId w:val="65"/>
              </w:numPr>
              <w:rPr>
                <w:rFonts w:ascii="Arial" w:hAnsi="Arial" w:cs="Arial"/>
                <w:b/>
                <w:sz w:val="22"/>
                <w:szCs w:val="22"/>
              </w:rPr>
            </w:pPr>
          </w:p>
        </w:tc>
        <w:tc>
          <w:tcPr>
            <w:tcW w:w="9630" w:type="dxa"/>
            <w:vAlign w:val="bottom"/>
          </w:tcPr>
          <w:p w14:paraId="048D94E4" w14:textId="77777777" w:rsidR="00CF1201" w:rsidRPr="00FB2F3D" w:rsidRDefault="00CF1201" w:rsidP="00CF1201">
            <w:pPr>
              <w:pStyle w:val="UK12Block"/>
              <w:rPr>
                <w:rFonts w:ascii="Arial" w:hAnsi="Arial" w:cs="Arial"/>
                <w:b/>
                <w:sz w:val="22"/>
                <w:szCs w:val="22"/>
                <w:lang w:eastAsia="ja-JP"/>
              </w:rPr>
            </w:pPr>
            <w:r w:rsidRPr="00FB2F3D">
              <w:rPr>
                <w:rFonts w:ascii="Arial" w:hAnsi="Arial" w:cs="Arial"/>
                <w:b/>
                <w:sz w:val="22"/>
                <w:szCs w:val="22"/>
              </w:rPr>
              <w:t>Details of admission to trading</w:t>
            </w:r>
          </w:p>
          <w:p w14:paraId="4695A454"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The proposed dates for:</w:t>
            </w:r>
          </w:p>
          <w:p w14:paraId="75CDF883" w14:textId="623AE580"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 xml:space="preserve">admission to </w:t>
            </w:r>
            <w:r w:rsidR="009472DD" w:rsidRPr="00FB2F3D">
              <w:rPr>
                <w:rFonts w:ascii="Arial" w:hAnsi="Arial" w:cs="Arial"/>
                <w:sz w:val="22"/>
                <w:szCs w:val="22"/>
              </w:rPr>
              <w:t>the</w:t>
            </w:r>
            <w:r w:rsidRPr="00FB2F3D">
              <w:rPr>
                <w:rFonts w:ascii="Arial" w:hAnsi="Arial" w:cs="Arial"/>
                <w:sz w:val="22"/>
                <w:szCs w:val="22"/>
              </w:rPr>
              <w:t xml:space="preserve"> Official List; </w:t>
            </w:r>
          </w:p>
          <w:p w14:paraId="79C3BD29"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 xml:space="preserve">admission to trading on </w:t>
            </w:r>
            <w:r w:rsidR="009472DD" w:rsidRPr="00FB2F3D">
              <w:rPr>
                <w:rFonts w:ascii="Arial" w:hAnsi="Arial" w:cs="Arial"/>
                <w:sz w:val="22"/>
                <w:szCs w:val="22"/>
              </w:rPr>
              <w:t xml:space="preserve">a </w:t>
            </w:r>
            <w:r w:rsidRPr="00FB2F3D">
              <w:rPr>
                <w:rFonts w:ascii="Arial" w:hAnsi="Arial" w:cs="Arial"/>
                <w:sz w:val="22"/>
                <w:szCs w:val="22"/>
              </w:rPr>
              <w:t xml:space="preserve">Recognised </w:t>
            </w:r>
            <w:r w:rsidR="009472DD" w:rsidRPr="00FB2F3D">
              <w:rPr>
                <w:rFonts w:ascii="Arial" w:hAnsi="Arial" w:cs="Arial"/>
                <w:sz w:val="22"/>
                <w:szCs w:val="22"/>
              </w:rPr>
              <w:t>Investment Exchange</w:t>
            </w:r>
            <w:r w:rsidRPr="00FB2F3D">
              <w:rPr>
                <w:rFonts w:ascii="Arial" w:hAnsi="Arial" w:cs="Arial"/>
                <w:sz w:val="22"/>
                <w:szCs w:val="22"/>
              </w:rPr>
              <w:t>;</w:t>
            </w:r>
            <w:r w:rsidR="009472DD" w:rsidRPr="00FB2F3D">
              <w:rPr>
                <w:rFonts w:ascii="Arial" w:hAnsi="Arial" w:cs="Arial"/>
                <w:sz w:val="22"/>
                <w:szCs w:val="22"/>
              </w:rPr>
              <w:t xml:space="preserve"> and</w:t>
            </w:r>
          </w:p>
          <w:p w14:paraId="653CCC99" w14:textId="77777777" w:rsidR="00CF1201" w:rsidRPr="00FB2F3D" w:rsidRDefault="00CF1201" w:rsidP="00755725">
            <w:pPr>
              <w:pStyle w:val="UK12Block05"/>
              <w:numPr>
                <w:ilvl w:val="3"/>
                <w:numId w:val="65"/>
              </w:numPr>
              <w:rPr>
                <w:rFonts w:ascii="Arial" w:hAnsi="Arial" w:cs="Arial"/>
                <w:sz w:val="22"/>
                <w:szCs w:val="22"/>
              </w:rPr>
            </w:pPr>
            <w:r w:rsidRPr="00FB2F3D">
              <w:rPr>
                <w:rFonts w:ascii="Arial" w:hAnsi="Arial" w:cs="Arial"/>
                <w:sz w:val="22"/>
                <w:szCs w:val="22"/>
              </w:rPr>
              <w:lastRenderedPageBreak/>
              <w:t>any other such comparable event in respect of the Securities.</w:t>
            </w:r>
          </w:p>
        </w:tc>
        <w:tc>
          <w:tcPr>
            <w:tcW w:w="360" w:type="dxa"/>
          </w:tcPr>
          <w:p w14:paraId="6881E96A"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lastRenderedPageBreak/>
              <w:sym w:font="Wingdings" w:char="F0FC"/>
            </w:r>
          </w:p>
        </w:tc>
        <w:tc>
          <w:tcPr>
            <w:tcW w:w="630" w:type="dxa"/>
          </w:tcPr>
          <w:p w14:paraId="5AE46D8F"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084BEFED"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64401CEE"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0AA2BB65"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1FFBB882"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16E20A27"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r>
      <w:tr w:rsidR="00CF1201" w:rsidRPr="00FB2F3D" w14:paraId="22E00FB1" w14:textId="77777777" w:rsidTr="00CF1201">
        <w:tblPrEx>
          <w:tblLook w:val="04A0" w:firstRow="1" w:lastRow="0" w:firstColumn="1" w:lastColumn="0" w:noHBand="0" w:noVBand="1"/>
        </w:tblPrEx>
        <w:tc>
          <w:tcPr>
            <w:tcW w:w="648" w:type="dxa"/>
          </w:tcPr>
          <w:p w14:paraId="0131BB2D" w14:textId="77777777" w:rsidR="00CF1201" w:rsidRPr="00FB2F3D" w:rsidRDefault="00CF1201" w:rsidP="00CF1201">
            <w:pPr>
              <w:pStyle w:val="UK12Block"/>
              <w:rPr>
                <w:rFonts w:ascii="Arial" w:hAnsi="Arial" w:cs="Arial"/>
                <w:sz w:val="22"/>
                <w:szCs w:val="22"/>
              </w:rPr>
            </w:pPr>
          </w:p>
        </w:tc>
        <w:tc>
          <w:tcPr>
            <w:tcW w:w="9630" w:type="dxa"/>
            <w:vAlign w:val="bottom"/>
          </w:tcPr>
          <w:p w14:paraId="6BE66684"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The actual dates on which:</w:t>
            </w:r>
          </w:p>
          <w:p w14:paraId="00F7C680" w14:textId="08834DB9"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the Securities were admitted to an Official List;</w:t>
            </w:r>
          </w:p>
          <w:p w14:paraId="3C86D4C6"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 xml:space="preserve">the Securities were admitted to trading on a Recognised </w:t>
            </w:r>
            <w:r w:rsidR="009472DD" w:rsidRPr="00FB2F3D">
              <w:rPr>
                <w:rFonts w:ascii="Arial" w:hAnsi="Arial" w:cs="Arial"/>
                <w:sz w:val="22"/>
                <w:szCs w:val="22"/>
              </w:rPr>
              <w:t>Investment Exchange</w:t>
            </w:r>
            <w:r w:rsidRPr="00FB2F3D">
              <w:rPr>
                <w:rFonts w:ascii="Arial" w:hAnsi="Arial" w:cs="Arial"/>
                <w:sz w:val="22"/>
                <w:szCs w:val="22"/>
              </w:rPr>
              <w:t>;</w:t>
            </w:r>
            <w:r w:rsidR="009472DD" w:rsidRPr="00FB2F3D">
              <w:rPr>
                <w:rFonts w:ascii="Arial" w:hAnsi="Arial" w:cs="Arial"/>
                <w:sz w:val="22"/>
                <w:szCs w:val="22"/>
              </w:rPr>
              <w:t xml:space="preserve"> and</w:t>
            </w:r>
          </w:p>
          <w:p w14:paraId="1B9D7338" w14:textId="77777777" w:rsidR="00CF1201" w:rsidRPr="00FB2F3D" w:rsidRDefault="00CF1201" w:rsidP="00755725">
            <w:pPr>
              <w:pStyle w:val="UK12Block05"/>
              <w:numPr>
                <w:ilvl w:val="3"/>
                <w:numId w:val="65"/>
              </w:numPr>
              <w:rPr>
                <w:rFonts w:ascii="Arial" w:hAnsi="Arial" w:cs="Arial"/>
                <w:sz w:val="22"/>
                <w:szCs w:val="22"/>
              </w:rPr>
            </w:pPr>
            <w:r w:rsidRPr="00FB2F3D">
              <w:rPr>
                <w:rFonts w:ascii="Arial" w:hAnsi="Arial" w:cs="Arial"/>
                <w:sz w:val="22"/>
                <w:szCs w:val="22"/>
              </w:rPr>
              <w:t>any other such comparable event took place in respect of the Securities.</w:t>
            </w:r>
          </w:p>
        </w:tc>
        <w:tc>
          <w:tcPr>
            <w:tcW w:w="360" w:type="dxa"/>
          </w:tcPr>
          <w:p w14:paraId="0259EEA2"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4F2474AC"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360" w:type="dxa"/>
          </w:tcPr>
          <w:p w14:paraId="449CD0B0"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4EFED77D"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219DB14D"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39A7971D"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6D5CF997"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r>
      <w:tr w:rsidR="00CF1201" w:rsidRPr="00FB2F3D" w14:paraId="750F9F7D" w14:textId="77777777" w:rsidTr="00CF1201">
        <w:tblPrEx>
          <w:tblLook w:val="04A0" w:firstRow="1" w:lastRow="0" w:firstColumn="1" w:lastColumn="0" w:noHBand="0" w:noVBand="1"/>
        </w:tblPrEx>
        <w:tc>
          <w:tcPr>
            <w:tcW w:w="648" w:type="dxa"/>
          </w:tcPr>
          <w:p w14:paraId="08C6BA44" w14:textId="77777777" w:rsidR="00CF1201" w:rsidRPr="00FB2F3D" w:rsidRDefault="00CF1201" w:rsidP="00CF1201">
            <w:pPr>
              <w:pStyle w:val="UK12Block"/>
              <w:rPr>
                <w:rFonts w:ascii="Arial" w:hAnsi="Arial" w:cs="Arial"/>
                <w:sz w:val="22"/>
                <w:szCs w:val="22"/>
              </w:rPr>
            </w:pPr>
          </w:p>
        </w:tc>
        <w:tc>
          <w:tcPr>
            <w:tcW w:w="9630" w:type="dxa"/>
            <w:vAlign w:val="bottom"/>
          </w:tcPr>
          <w:p w14:paraId="4AE488B0"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An estimate of the total expenses related to the admission to trading.</w:t>
            </w:r>
          </w:p>
        </w:tc>
        <w:tc>
          <w:tcPr>
            <w:tcW w:w="360" w:type="dxa"/>
          </w:tcPr>
          <w:p w14:paraId="3C5C9471" w14:textId="77777777" w:rsidR="00CF1201" w:rsidRPr="00FB2F3D" w:rsidRDefault="00CF1201" w:rsidP="00CF1201">
            <w:pPr>
              <w:pStyle w:val="UK12Block"/>
              <w:rPr>
                <w:rFonts w:ascii="Arial" w:hAnsi="Arial" w:cs="Arial"/>
                <w:sz w:val="22"/>
                <w:szCs w:val="22"/>
              </w:rPr>
            </w:pPr>
          </w:p>
        </w:tc>
        <w:tc>
          <w:tcPr>
            <w:tcW w:w="630" w:type="dxa"/>
          </w:tcPr>
          <w:p w14:paraId="46B777FC" w14:textId="77777777" w:rsidR="00CF1201" w:rsidRPr="00FB2F3D" w:rsidRDefault="00CF1201" w:rsidP="00CF1201">
            <w:pPr>
              <w:pStyle w:val="UK12Block"/>
              <w:rPr>
                <w:rFonts w:ascii="Arial" w:hAnsi="Arial" w:cs="Arial"/>
                <w:sz w:val="22"/>
                <w:szCs w:val="22"/>
              </w:rPr>
            </w:pPr>
          </w:p>
        </w:tc>
        <w:tc>
          <w:tcPr>
            <w:tcW w:w="360" w:type="dxa"/>
          </w:tcPr>
          <w:p w14:paraId="0782DC96"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42551865"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5595B37B" w14:textId="77777777" w:rsidR="00CF1201" w:rsidRPr="00FB2F3D" w:rsidRDefault="00CF1201" w:rsidP="00CF1201">
            <w:pPr>
              <w:pStyle w:val="UK12Block"/>
              <w:rPr>
                <w:rFonts w:ascii="Arial" w:hAnsi="Arial" w:cs="Arial"/>
                <w:sz w:val="22"/>
                <w:szCs w:val="22"/>
              </w:rPr>
            </w:pPr>
          </w:p>
        </w:tc>
        <w:tc>
          <w:tcPr>
            <w:tcW w:w="630" w:type="dxa"/>
          </w:tcPr>
          <w:p w14:paraId="6B1358E3"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6045E92F" w14:textId="77777777" w:rsidR="00CF1201" w:rsidRPr="00FB2F3D" w:rsidRDefault="00CF1201" w:rsidP="00CF1201">
            <w:pPr>
              <w:pStyle w:val="UK12Block"/>
              <w:rPr>
                <w:rFonts w:ascii="Arial" w:hAnsi="Arial" w:cs="Arial"/>
                <w:sz w:val="22"/>
                <w:szCs w:val="22"/>
              </w:rPr>
            </w:pPr>
          </w:p>
        </w:tc>
      </w:tr>
      <w:tr w:rsidR="00CF1201" w:rsidRPr="00FB2F3D" w14:paraId="3EA6B843" w14:textId="77777777" w:rsidTr="00CF1201">
        <w:tblPrEx>
          <w:tblLook w:val="04A0" w:firstRow="1" w:lastRow="0" w:firstColumn="1" w:lastColumn="0" w:noHBand="0" w:noVBand="1"/>
        </w:tblPrEx>
        <w:tc>
          <w:tcPr>
            <w:tcW w:w="14170" w:type="dxa"/>
            <w:gridSpan w:val="9"/>
          </w:tcPr>
          <w:p w14:paraId="7366826E" w14:textId="77777777" w:rsidR="00CF1201" w:rsidRPr="00FB2F3D" w:rsidRDefault="00CF1201" w:rsidP="00755725">
            <w:pPr>
              <w:pStyle w:val="UK12Block"/>
              <w:keepNext/>
              <w:numPr>
                <w:ilvl w:val="0"/>
                <w:numId w:val="65"/>
              </w:numPr>
              <w:spacing w:after="0"/>
              <w:rPr>
                <w:rFonts w:ascii="Arial" w:hAnsi="Arial" w:cs="Arial"/>
                <w:b/>
                <w:sz w:val="22"/>
                <w:szCs w:val="22"/>
              </w:rPr>
            </w:pPr>
            <w:r w:rsidRPr="00FB2F3D">
              <w:rPr>
                <w:rFonts w:ascii="Arial" w:hAnsi="Arial" w:cs="Arial"/>
                <w:b/>
                <w:sz w:val="22"/>
                <w:szCs w:val="22"/>
              </w:rPr>
              <w:t>INFORMATION RELATING TO CERTAIN CLASSES OF SECURITIES</w:t>
            </w:r>
          </w:p>
        </w:tc>
      </w:tr>
      <w:tr w:rsidR="00CF1201" w:rsidRPr="00FB2F3D" w14:paraId="67C5DAA4" w14:textId="77777777" w:rsidTr="00CF1201">
        <w:tblPrEx>
          <w:tblLook w:val="04A0" w:firstRow="1" w:lastRow="0" w:firstColumn="1" w:lastColumn="0" w:noHBand="0" w:noVBand="1"/>
        </w:tblPrEx>
        <w:tc>
          <w:tcPr>
            <w:tcW w:w="648" w:type="dxa"/>
          </w:tcPr>
          <w:p w14:paraId="1CF7B763" w14:textId="77777777" w:rsidR="00CF1201" w:rsidRPr="00FB2F3D" w:rsidRDefault="00CF1201" w:rsidP="00755725">
            <w:pPr>
              <w:pStyle w:val="UK12Block"/>
              <w:numPr>
                <w:ilvl w:val="1"/>
                <w:numId w:val="65"/>
              </w:numPr>
              <w:rPr>
                <w:rFonts w:ascii="Arial" w:hAnsi="Arial" w:cs="Arial"/>
                <w:b/>
                <w:sz w:val="22"/>
                <w:szCs w:val="22"/>
              </w:rPr>
            </w:pPr>
          </w:p>
        </w:tc>
        <w:tc>
          <w:tcPr>
            <w:tcW w:w="9630" w:type="dxa"/>
            <w:vAlign w:val="bottom"/>
          </w:tcPr>
          <w:p w14:paraId="66430AA8" w14:textId="77777777" w:rsidR="00CF1201" w:rsidRPr="00FB2F3D" w:rsidRDefault="00CF1201" w:rsidP="00CF1201">
            <w:pPr>
              <w:pStyle w:val="UK12Block"/>
              <w:rPr>
                <w:rFonts w:ascii="Arial" w:hAnsi="Arial" w:cs="Arial"/>
                <w:b/>
                <w:sz w:val="22"/>
                <w:szCs w:val="22"/>
                <w:lang w:eastAsia="ja-JP"/>
              </w:rPr>
            </w:pPr>
            <w:r w:rsidRPr="00FB2F3D">
              <w:rPr>
                <w:rFonts w:ascii="Arial" w:hAnsi="Arial" w:cs="Arial"/>
                <w:b/>
                <w:sz w:val="22"/>
                <w:szCs w:val="22"/>
              </w:rPr>
              <w:t>Certificates and structured products</w:t>
            </w:r>
          </w:p>
          <w:p w14:paraId="34FCC9FD" w14:textId="77777777" w:rsidR="00CF1201" w:rsidRPr="00FB2F3D" w:rsidRDefault="00CF1201" w:rsidP="00CF1201">
            <w:pPr>
              <w:pStyle w:val="UK12Block"/>
              <w:rPr>
                <w:rFonts w:ascii="Arial" w:hAnsi="Arial" w:cs="Arial"/>
                <w:sz w:val="22"/>
                <w:szCs w:val="22"/>
                <w:lang w:eastAsia="ja-JP"/>
              </w:rPr>
            </w:pPr>
            <w:r w:rsidRPr="00FB2F3D">
              <w:rPr>
                <w:rFonts w:ascii="Arial" w:hAnsi="Arial" w:cs="Arial"/>
                <w:sz w:val="22"/>
                <w:szCs w:val="22"/>
              </w:rPr>
              <w:t>Information about:</w:t>
            </w:r>
          </w:p>
          <w:p w14:paraId="60DDCB85"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the legislation under which the Certificates or Structured Products and the underlying Securities or assets have been created and of the courts of competent jurisdiction in the event of litigation including details of the consequences in event of default occurring in respect of the underlying Securities;</w:t>
            </w:r>
          </w:p>
          <w:p w14:paraId="37D59AA3"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in the case of Structured Products, a statement setting out the type of the underlying factors to which the Structured Product is referenced and details of where information on the underlying factor can be obtained;</w:t>
            </w:r>
          </w:p>
          <w:p w14:paraId="189A3995"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lastRenderedPageBreak/>
              <w:t>whether it is possible to obtain a conversion of the Certificates or Structured Products into the underlying Securities or assets, and if so, the procedure for such conversion, and</w:t>
            </w:r>
            <w:r w:rsidRPr="00FB2F3D">
              <w:rPr>
                <w:rFonts w:ascii="Arial" w:hAnsi="Arial" w:cs="Arial"/>
                <w:sz w:val="22"/>
                <w:szCs w:val="22"/>
                <w:lang w:eastAsia="ja-JP"/>
              </w:rPr>
              <w:t xml:space="preserve"> </w:t>
            </w:r>
            <w:r w:rsidRPr="00FB2F3D">
              <w:rPr>
                <w:rFonts w:ascii="Arial" w:hAnsi="Arial" w:cs="Arial"/>
                <w:sz w:val="22"/>
                <w:szCs w:val="22"/>
              </w:rPr>
              <w:t>commission and costs involved with such a conversion;</w:t>
            </w:r>
          </w:p>
          <w:p w14:paraId="6F9FBEDA"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the provisions relating to the rights attaching and benefits attaching to the underlying</w:t>
            </w:r>
            <w:r w:rsidRPr="00FB2F3D">
              <w:rPr>
                <w:rFonts w:ascii="Arial" w:hAnsi="Arial" w:cs="Arial"/>
                <w:sz w:val="22"/>
                <w:szCs w:val="22"/>
                <w:lang w:eastAsia="ja-JP"/>
              </w:rPr>
              <w:t xml:space="preserve"> </w:t>
            </w:r>
            <w:r w:rsidRPr="00FB2F3D">
              <w:rPr>
                <w:rFonts w:ascii="Arial" w:hAnsi="Arial" w:cs="Arial"/>
                <w:sz w:val="22"/>
                <w:szCs w:val="22"/>
              </w:rPr>
              <w:t>Securities, including:</w:t>
            </w:r>
          </w:p>
          <w:p w14:paraId="5E699419"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any voting rights and the conditions on which the Issuer of the Certificates or Structured Products may exercise the voting rights and measures envisaged to obtain the instructions of the Certificate or Structured Product holders; and</w:t>
            </w:r>
          </w:p>
          <w:p w14:paraId="13637A4C"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any right to participate in profits and any liquidation surplus;</w:t>
            </w:r>
          </w:p>
          <w:p w14:paraId="6A5768B5"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the names and addresses of the paying agents and trustees and fiscal agents in relation to the creation of the Certificate or Structured Product;</w:t>
            </w:r>
          </w:p>
          <w:p w14:paraId="3658E350"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the amount of the commissions and costs to be borne by the Certificate or Structured Product holders in connection with the payment of coupons or other income and the creation of additional certificates;</w:t>
            </w:r>
          </w:p>
          <w:p w14:paraId="0B153BB3"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the name and credit rating of the ultimate underwriter or obligor(s) against whom the</w:t>
            </w:r>
            <w:r w:rsidRPr="00FB2F3D">
              <w:rPr>
                <w:rFonts w:ascii="Arial" w:hAnsi="Arial" w:cs="Arial"/>
                <w:sz w:val="22"/>
                <w:szCs w:val="22"/>
                <w:lang w:eastAsia="ja-JP"/>
              </w:rPr>
              <w:t xml:space="preserve"> </w:t>
            </w:r>
            <w:r w:rsidRPr="00FB2F3D">
              <w:rPr>
                <w:rFonts w:ascii="Arial" w:hAnsi="Arial" w:cs="Arial"/>
                <w:sz w:val="22"/>
                <w:szCs w:val="22"/>
              </w:rPr>
              <w:t>Security holder faces Credit Risk in relation to the Certificate or Structured Product;</w:t>
            </w:r>
          </w:p>
          <w:p w14:paraId="489FE804"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a description of the tax arrangements with regard to any taxes and charges to be borne by the Certificate or Structured Product holders and levied in the jurisdictions where the Certificates or Structured Products are issued;</w:t>
            </w:r>
          </w:p>
          <w:p w14:paraId="3994BED1"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a statement confirming that under the laws governing the Issuer's activities the underlying</w:t>
            </w:r>
            <w:r w:rsidRPr="00FB2F3D">
              <w:rPr>
                <w:rFonts w:ascii="Arial" w:hAnsi="Arial" w:cs="Arial"/>
                <w:sz w:val="22"/>
                <w:szCs w:val="22"/>
                <w:lang w:eastAsia="ja-JP"/>
              </w:rPr>
              <w:t xml:space="preserve"> </w:t>
            </w:r>
            <w:r w:rsidRPr="00FB2F3D">
              <w:rPr>
                <w:rFonts w:ascii="Arial" w:hAnsi="Arial" w:cs="Arial"/>
                <w:sz w:val="22"/>
                <w:szCs w:val="22"/>
              </w:rPr>
              <w:t xml:space="preserve">Securities or assets would not form part of the Issuer's assets in the event of bankruptcy </w:t>
            </w:r>
            <w:r w:rsidRPr="00FB2F3D">
              <w:rPr>
                <w:rFonts w:ascii="Arial" w:hAnsi="Arial" w:cs="Arial"/>
                <w:sz w:val="22"/>
                <w:szCs w:val="22"/>
              </w:rPr>
              <w:lastRenderedPageBreak/>
              <w:t>or insolvency of the Issuer and that there is no Credit Risk to the Issuer attaching to the</w:t>
            </w:r>
            <w:r w:rsidRPr="00FB2F3D">
              <w:rPr>
                <w:rFonts w:ascii="Arial" w:hAnsi="Arial" w:cs="Arial"/>
                <w:sz w:val="22"/>
                <w:szCs w:val="22"/>
                <w:lang w:eastAsia="ja-JP"/>
              </w:rPr>
              <w:t xml:space="preserve"> </w:t>
            </w:r>
            <w:r w:rsidRPr="00FB2F3D">
              <w:rPr>
                <w:rFonts w:ascii="Arial" w:hAnsi="Arial" w:cs="Arial"/>
                <w:sz w:val="22"/>
                <w:szCs w:val="22"/>
              </w:rPr>
              <w:t>Certificates or Structured Products; and</w:t>
            </w:r>
          </w:p>
          <w:p w14:paraId="1A6917D8"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the names of banks with which the main accounts relating to the underlying Securities or assets are held.</w:t>
            </w:r>
          </w:p>
        </w:tc>
        <w:tc>
          <w:tcPr>
            <w:tcW w:w="360" w:type="dxa"/>
          </w:tcPr>
          <w:p w14:paraId="4CC46A9F" w14:textId="77777777" w:rsidR="00CF1201" w:rsidRPr="00FB2F3D" w:rsidRDefault="00CF1201" w:rsidP="00CF1201">
            <w:pPr>
              <w:pStyle w:val="UK12Block"/>
              <w:rPr>
                <w:rFonts w:ascii="Arial" w:hAnsi="Arial" w:cs="Arial"/>
                <w:sz w:val="22"/>
                <w:szCs w:val="22"/>
              </w:rPr>
            </w:pPr>
          </w:p>
        </w:tc>
        <w:tc>
          <w:tcPr>
            <w:tcW w:w="630" w:type="dxa"/>
          </w:tcPr>
          <w:p w14:paraId="263B3599" w14:textId="77777777" w:rsidR="00CF1201" w:rsidRPr="00FB2F3D" w:rsidRDefault="00CF1201" w:rsidP="00CF1201">
            <w:pPr>
              <w:pStyle w:val="UK12Block"/>
              <w:rPr>
                <w:rFonts w:ascii="Arial" w:hAnsi="Arial" w:cs="Arial"/>
                <w:sz w:val="22"/>
                <w:szCs w:val="22"/>
              </w:rPr>
            </w:pPr>
          </w:p>
        </w:tc>
        <w:tc>
          <w:tcPr>
            <w:tcW w:w="360" w:type="dxa"/>
          </w:tcPr>
          <w:p w14:paraId="4883EE45" w14:textId="77777777" w:rsidR="00CF1201" w:rsidRPr="00FB2F3D" w:rsidRDefault="00CF1201" w:rsidP="00CF1201">
            <w:pPr>
              <w:pStyle w:val="UK12Block"/>
              <w:rPr>
                <w:rFonts w:ascii="Arial" w:hAnsi="Arial" w:cs="Arial"/>
                <w:sz w:val="22"/>
                <w:szCs w:val="22"/>
              </w:rPr>
            </w:pPr>
          </w:p>
        </w:tc>
        <w:tc>
          <w:tcPr>
            <w:tcW w:w="720" w:type="dxa"/>
          </w:tcPr>
          <w:p w14:paraId="0858B60B" w14:textId="77777777" w:rsidR="00CF1201" w:rsidRPr="00FB2F3D" w:rsidRDefault="00CF1201" w:rsidP="00CF1201">
            <w:pPr>
              <w:pStyle w:val="UK12Block"/>
              <w:rPr>
                <w:rFonts w:ascii="Arial" w:hAnsi="Arial" w:cs="Arial"/>
                <w:sz w:val="22"/>
                <w:szCs w:val="22"/>
              </w:rPr>
            </w:pPr>
          </w:p>
        </w:tc>
        <w:tc>
          <w:tcPr>
            <w:tcW w:w="630" w:type="dxa"/>
          </w:tcPr>
          <w:p w14:paraId="4E4C89D4"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69506EF1"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4DBD0717"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r>
      <w:tr w:rsidR="00CF1201" w:rsidRPr="00FB2F3D" w14:paraId="38FF741A" w14:textId="77777777" w:rsidTr="00CF1201">
        <w:tblPrEx>
          <w:tblLook w:val="04A0" w:firstRow="1" w:lastRow="0" w:firstColumn="1" w:lastColumn="0" w:noHBand="0" w:noVBand="1"/>
        </w:tblPrEx>
        <w:tc>
          <w:tcPr>
            <w:tcW w:w="14170" w:type="dxa"/>
            <w:gridSpan w:val="9"/>
          </w:tcPr>
          <w:p w14:paraId="2C61A4E3" w14:textId="77777777" w:rsidR="00CF1201" w:rsidRPr="00FB2F3D" w:rsidRDefault="00CF1201" w:rsidP="00755725">
            <w:pPr>
              <w:pStyle w:val="UK12Block"/>
              <w:keepNext/>
              <w:numPr>
                <w:ilvl w:val="0"/>
                <w:numId w:val="65"/>
              </w:numPr>
              <w:spacing w:after="0"/>
              <w:rPr>
                <w:rFonts w:ascii="Arial" w:hAnsi="Arial" w:cs="Arial"/>
                <w:b/>
                <w:sz w:val="22"/>
                <w:szCs w:val="22"/>
              </w:rPr>
            </w:pPr>
            <w:r w:rsidRPr="00FB2F3D">
              <w:rPr>
                <w:rFonts w:ascii="Arial" w:hAnsi="Arial" w:cs="Arial"/>
                <w:b/>
                <w:sz w:val="22"/>
                <w:szCs w:val="22"/>
              </w:rPr>
              <w:lastRenderedPageBreak/>
              <w:t>ASSET BACKED SECURITIES</w:t>
            </w:r>
          </w:p>
        </w:tc>
      </w:tr>
      <w:tr w:rsidR="00CF1201" w:rsidRPr="00FB2F3D" w14:paraId="4F80C56E" w14:textId="77777777" w:rsidTr="00CF1201">
        <w:tblPrEx>
          <w:tblLook w:val="04A0" w:firstRow="1" w:lastRow="0" w:firstColumn="1" w:lastColumn="0" w:noHBand="0" w:noVBand="1"/>
        </w:tblPrEx>
        <w:tc>
          <w:tcPr>
            <w:tcW w:w="648" w:type="dxa"/>
          </w:tcPr>
          <w:p w14:paraId="3B15E8E8" w14:textId="77777777" w:rsidR="00CF1201" w:rsidRPr="00FB2F3D" w:rsidRDefault="00CF1201" w:rsidP="00755725">
            <w:pPr>
              <w:pStyle w:val="UK12Block"/>
              <w:numPr>
                <w:ilvl w:val="1"/>
                <w:numId w:val="65"/>
              </w:numPr>
              <w:rPr>
                <w:rFonts w:ascii="Arial" w:hAnsi="Arial" w:cs="Arial"/>
                <w:b/>
                <w:sz w:val="22"/>
                <w:szCs w:val="22"/>
              </w:rPr>
            </w:pPr>
          </w:p>
        </w:tc>
        <w:tc>
          <w:tcPr>
            <w:tcW w:w="9630" w:type="dxa"/>
            <w:vAlign w:val="bottom"/>
          </w:tcPr>
          <w:p w14:paraId="5294CF7E" w14:textId="77777777" w:rsidR="00CF1201" w:rsidRPr="00FB2F3D" w:rsidRDefault="00CF1201" w:rsidP="00CF1201">
            <w:pPr>
              <w:pStyle w:val="UK12Block"/>
              <w:rPr>
                <w:rFonts w:ascii="Arial" w:hAnsi="Arial" w:cs="Arial"/>
                <w:sz w:val="22"/>
                <w:szCs w:val="22"/>
                <w:lang w:eastAsia="ja-JP"/>
              </w:rPr>
            </w:pPr>
            <w:r w:rsidRPr="00FB2F3D">
              <w:rPr>
                <w:rFonts w:ascii="Arial" w:hAnsi="Arial" w:cs="Arial"/>
                <w:sz w:val="22"/>
                <w:szCs w:val="22"/>
              </w:rPr>
              <w:t>If the Securities or the underlying Securities are asset backed, describe all the material attributes</w:t>
            </w:r>
            <w:r w:rsidRPr="00FB2F3D">
              <w:rPr>
                <w:rFonts w:ascii="Arial" w:hAnsi="Arial" w:cs="Arial"/>
                <w:sz w:val="22"/>
                <w:szCs w:val="22"/>
                <w:lang w:eastAsia="ja-JP"/>
              </w:rPr>
              <w:t xml:space="preserve"> </w:t>
            </w:r>
            <w:r w:rsidRPr="00FB2F3D">
              <w:rPr>
                <w:rFonts w:ascii="Arial" w:hAnsi="Arial" w:cs="Arial"/>
                <w:sz w:val="22"/>
                <w:szCs w:val="22"/>
              </w:rPr>
              <w:t>of the asset backed Securities, including:</w:t>
            </w:r>
          </w:p>
          <w:p w14:paraId="31E8EBFE"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information about the assets backing the Securities including:</w:t>
            </w:r>
          </w:p>
          <w:p w14:paraId="4FB2333C"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where the assets are equity Securities that are admitted to trading on an exchange, a description of the Securities, a description of the market in which the Securities are traded and the frequency with which prices of the Relevant Securities are published;</w:t>
            </w:r>
          </w:p>
          <w:p w14:paraId="026454F9"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where the assets contain a material proportion of equity Securities that are not traded on an exchange, a description of the equity Securities including the type of information required to be disclosed in a Prospectus if the equity Securities were Shares;</w:t>
            </w:r>
          </w:p>
          <w:p w14:paraId="5E1C9591"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where the assets comprise obligations that are not traded on an exchange, a description of the principal terms and conditions of the obligations;</w:t>
            </w:r>
          </w:p>
          <w:p w14:paraId="09A2D5F7"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where a material proportion of the assets are secured on or backed by Real Property, a valuation report relating to the property setting out both the valuation of the property and cash flow/income stream;</w:t>
            </w:r>
          </w:p>
          <w:p w14:paraId="46F719A1"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lastRenderedPageBreak/>
              <w:t>where the assets backing the Security are part of an actively managed pool of assets, the parameters within which investments can be made, details of the entity</w:t>
            </w:r>
            <w:r w:rsidRPr="00FB2F3D">
              <w:rPr>
                <w:rFonts w:ascii="Arial" w:hAnsi="Arial" w:cs="Arial"/>
                <w:sz w:val="22"/>
                <w:szCs w:val="22"/>
                <w:lang w:eastAsia="ja-JP"/>
              </w:rPr>
              <w:t xml:space="preserve"> </w:t>
            </w:r>
            <w:r w:rsidRPr="00FB2F3D">
              <w:rPr>
                <w:rFonts w:ascii="Arial" w:hAnsi="Arial" w:cs="Arial"/>
                <w:sz w:val="22"/>
                <w:szCs w:val="22"/>
              </w:rPr>
              <w:t>responsible for such management, terms of such entity's appointment, termination of appointment, and a description of its relationship with any other parties to the issue of the Securities; and</w:t>
            </w:r>
          </w:p>
          <w:p w14:paraId="109F1879"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any rights to substitute the assets and a description of the manner in which and the type of assets which may be so substituted and, if there is any capacity to substitute assets with a different class or quality of assets, a statement to that effect together with a description of the impact of such substitution;</w:t>
            </w:r>
          </w:p>
          <w:p w14:paraId="427A8B69"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information about the structure of the transaction and the rate of return including:</w:t>
            </w:r>
          </w:p>
          <w:p w14:paraId="7243107C"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a description of the structure of the transaction;</w:t>
            </w:r>
          </w:p>
          <w:p w14:paraId="11DC60FB"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details of the entities participating in the issue and a description of the functions to be performed by them;</w:t>
            </w:r>
          </w:p>
          <w:p w14:paraId="4E814171"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a description of the method and date of the sale, transfer, novation or assignment of the assets or of any rights and/or obligations in the assets to the Issuer or, where applicable, the manner and time period in which the proceeds from the issue will be fully invested by the Issuer;</w:t>
            </w:r>
          </w:p>
          <w:p w14:paraId="4FB87819"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the rate of interest or stipulated yield and any premium;</w:t>
            </w:r>
          </w:p>
          <w:p w14:paraId="72E42E12"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the date of repayment of the principal capital and return on that capital;</w:t>
            </w:r>
          </w:p>
          <w:p w14:paraId="36C86452"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lastRenderedPageBreak/>
              <w:t>how the cash flow from the assets will meet the Issuer's obligations to holders of the</w:t>
            </w:r>
            <w:r w:rsidRPr="00FB2F3D">
              <w:rPr>
                <w:rFonts w:ascii="Arial" w:hAnsi="Arial" w:cs="Arial"/>
                <w:sz w:val="22"/>
                <w:szCs w:val="22"/>
                <w:lang w:eastAsia="ja-JP"/>
              </w:rPr>
              <w:t xml:space="preserve"> </w:t>
            </w:r>
            <w:r w:rsidRPr="00FB2F3D">
              <w:rPr>
                <w:rFonts w:ascii="Arial" w:hAnsi="Arial" w:cs="Arial"/>
                <w:sz w:val="22"/>
                <w:szCs w:val="22"/>
              </w:rPr>
              <w:t>Securities and how payments are collected in respect of the assets; and</w:t>
            </w:r>
          </w:p>
          <w:p w14:paraId="40BD7A53"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where the return on, and/or repayment of the Security is linked to the performance or Credit of other assets which are not assets of the Issuer, information as set out in (a) regarding the assets backing the Security, if necessary;</w:t>
            </w:r>
          </w:p>
          <w:p w14:paraId="400AA881"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information about the obligors including:</w:t>
            </w:r>
          </w:p>
          <w:p w14:paraId="73EF3B58"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where there is a large number of obligors, a general description of the obligors; and</w:t>
            </w:r>
          </w:p>
          <w:p w14:paraId="3BC4A10B"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where there are only a small number of obligors, a description of each obligor;</w:t>
            </w:r>
          </w:p>
          <w:p w14:paraId="0163096D"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information about:</w:t>
            </w:r>
          </w:p>
          <w:p w14:paraId="4F6D59B0"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the terms and conditions for the issuance of any additional Securities or any restrictions on the issuance of additional Securities; and</w:t>
            </w:r>
          </w:p>
          <w:p w14:paraId="31168C88" w14:textId="4E895CE2"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 xml:space="preserve">where the Issuer proposes to issue further Securities backed by the same assets, a prominent statement to that effect, and unless those further Securities are fungible with, or are subordinated to, those classes of existing debt, a description of how the holders of that class Securities will be </w:t>
            </w:r>
            <w:r w:rsidR="00C24D19">
              <w:rPr>
                <w:rFonts w:ascii="Arial" w:hAnsi="Arial" w:cs="Arial"/>
                <w:sz w:val="22"/>
                <w:szCs w:val="22"/>
              </w:rPr>
              <w:t>notified</w:t>
            </w:r>
            <w:r w:rsidRPr="00FB2F3D">
              <w:rPr>
                <w:rFonts w:ascii="Arial" w:hAnsi="Arial" w:cs="Arial"/>
                <w:sz w:val="22"/>
                <w:szCs w:val="22"/>
              </w:rPr>
              <w:t>;</w:t>
            </w:r>
          </w:p>
          <w:p w14:paraId="491A094F"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the nature, order and priority of the entitlements of holders of the Securities;</w:t>
            </w:r>
          </w:p>
          <w:p w14:paraId="06E3F59E"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t>details of arrangements or other matters that may impact repayment of the principal capital or return on that capital to the holders of the Securities, including:</w:t>
            </w:r>
          </w:p>
          <w:p w14:paraId="725260AC"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lastRenderedPageBreak/>
              <w:t>a description of any relevant insurance policies relating to the assets backing the</w:t>
            </w:r>
            <w:r w:rsidRPr="00FB2F3D">
              <w:rPr>
                <w:rFonts w:ascii="Arial" w:hAnsi="Arial" w:cs="Arial"/>
                <w:sz w:val="22"/>
                <w:szCs w:val="22"/>
                <w:lang w:eastAsia="ja-JP"/>
              </w:rPr>
              <w:t xml:space="preserve"> </w:t>
            </w:r>
            <w:r w:rsidRPr="00FB2F3D">
              <w:rPr>
                <w:rFonts w:ascii="Arial" w:hAnsi="Arial" w:cs="Arial"/>
                <w:sz w:val="22"/>
                <w:szCs w:val="22"/>
              </w:rPr>
              <w:t>Securities;</w:t>
            </w:r>
          </w:p>
          <w:p w14:paraId="5D53A21D"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a global overview of the parties to the arrangement in the securitisation programme including information on the direct or indirect ownership of control between those</w:t>
            </w:r>
            <w:r w:rsidRPr="00FB2F3D">
              <w:rPr>
                <w:rFonts w:ascii="Arial" w:hAnsi="Arial" w:cs="Arial"/>
                <w:sz w:val="22"/>
                <w:szCs w:val="22"/>
                <w:lang w:eastAsia="ja-JP"/>
              </w:rPr>
              <w:t xml:space="preserve"> </w:t>
            </w:r>
            <w:r w:rsidRPr="00FB2F3D">
              <w:rPr>
                <w:rFonts w:ascii="Arial" w:hAnsi="Arial" w:cs="Arial"/>
                <w:sz w:val="22"/>
                <w:szCs w:val="22"/>
              </w:rPr>
              <w:t>parties;</w:t>
            </w:r>
          </w:p>
          <w:p w14:paraId="6C7F27A5"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if a relationship exists that is material to the issue of the Securities between the</w:t>
            </w:r>
            <w:r w:rsidRPr="00FB2F3D">
              <w:rPr>
                <w:rFonts w:ascii="Arial" w:hAnsi="Arial" w:cs="Arial"/>
                <w:sz w:val="22"/>
                <w:szCs w:val="22"/>
                <w:lang w:eastAsia="ja-JP"/>
              </w:rPr>
              <w:t xml:space="preserve"> Issuer</w:t>
            </w:r>
            <w:r w:rsidRPr="00FB2F3D">
              <w:rPr>
                <w:rFonts w:ascii="Arial" w:hAnsi="Arial" w:cs="Arial"/>
                <w:sz w:val="22"/>
                <w:szCs w:val="22"/>
              </w:rPr>
              <w:t>, guarantor and the obligor, details of the principal terms of that relationship;</w:t>
            </w:r>
          </w:p>
          <w:p w14:paraId="6520E178" w14:textId="0FBBDA77" w:rsidR="00CF1201" w:rsidRPr="00FB2F3D" w:rsidRDefault="00CF1201" w:rsidP="00755725">
            <w:pPr>
              <w:pStyle w:val="UK12Block05"/>
              <w:numPr>
                <w:ilvl w:val="3"/>
                <w:numId w:val="65"/>
              </w:numPr>
              <w:rPr>
                <w:rFonts w:ascii="Arial" w:hAnsi="Arial" w:cs="Arial"/>
                <w:sz w:val="22"/>
                <w:szCs w:val="22"/>
              </w:rPr>
            </w:pPr>
            <w:r w:rsidRPr="00FB2F3D">
              <w:rPr>
                <w:rFonts w:ascii="Arial" w:hAnsi="Arial" w:cs="Arial"/>
                <w:sz w:val="22"/>
                <w:szCs w:val="22"/>
              </w:rPr>
              <w:t xml:space="preserve">if the assets backing the Securities include loans and Credit </w:t>
            </w:r>
            <w:r w:rsidR="0006449E">
              <w:rPr>
                <w:rFonts w:ascii="Arial" w:hAnsi="Arial" w:cs="Arial"/>
                <w:sz w:val="22"/>
                <w:szCs w:val="22"/>
              </w:rPr>
              <w:t>Facilities</w:t>
            </w:r>
            <w:r w:rsidRPr="00FB2F3D">
              <w:rPr>
                <w:rFonts w:ascii="Arial" w:hAnsi="Arial" w:cs="Arial"/>
                <w:sz w:val="22"/>
                <w:szCs w:val="22"/>
              </w:rPr>
              <w:t>, the principal lending criteria and an indication of any loans which do not meet these criteria and any rights or obligations to make further advances;</w:t>
            </w:r>
          </w:p>
          <w:p w14:paraId="3976B49A"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an indication of significant representations and collaterals given to the Issuer relating to the assets;</w:t>
            </w:r>
          </w:p>
          <w:p w14:paraId="19FB4307"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information on any Credit enhancements, an indication of where material potential liquidity shortfalls may occur and the availability of any liquidity supports and an indication of provisions designed to cover interest/principal shortfalls;</w:t>
            </w:r>
          </w:p>
          <w:p w14:paraId="5747172B"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name and addresses and a brief description of any swap counterparties and other providers of other material forms of Credit/liquidity enhancement;</w:t>
            </w:r>
          </w:p>
          <w:p w14:paraId="5D50AC3A"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details of any subordinated debt finance; and</w:t>
            </w:r>
          </w:p>
          <w:p w14:paraId="7AEC2494" w14:textId="77777777" w:rsidR="00CF1201" w:rsidRPr="00FB2F3D" w:rsidRDefault="00CF1201" w:rsidP="00755725">
            <w:pPr>
              <w:pStyle w:val="UK12Block05"/>
              <w:numPr>
                <w:ilvl w:val="3"/>
                <w:numId w:val="65"/>
              </w:numPr>
              <w:rPr>
                <w:rFonts w:ascii="Arial" w:hAnsi="Arial" w:cs="Arial"/>
                <w:sz w:val="22"/>
                <w:szCs w:val="22"/>
                <w:lang w:eastAsia="ja-JP"/>
              </w:rPr>
            </w:pPr>
            <w:r w:rsidRPr="00FB2F3D">
              <w:rPr>
                <w:rFonts w:ascii="Arial" w:hAnsi="Arial" w:cs="Arial"/>
                <w:sz w:val="22"/>
                <w:szCs w:val="22"/>
              </w:rPr>
              <w:t>an indication of any investment parameters for the investment of temporary liquidity surpluses and a description of the parties responsible for such investment;</w:t>
            </w:r>
          </w:p>
          <w:p w14:paraId="5044371A" w14:textId="77777777" w:rsidR="00CF1201" w:rsidRPr="00FB2F3D" w:rsidRDefault="00CF1201" w:rsidP="00755725">
            <w:pPr>
              <w:pStyle w:val="UK12Block"/>
              <w:numPr>
                <w:ilvl w:val="2"/>
                <w:numId w:val="65"/>
              </w:numPr>
              <w:rPr>
                <w:rFonts w:ascii="Arial" w:hAnsi="Arial" w:cs="Arial"/>
                <w:sz w:val="22"/>
                <w:szCs w:val="22"/>
                <w:lang w:eastAsia="ja-JP"/>
              </w:rPr>
            </w:pPr>
            <w:r w:rsidRPr="00FB2F3D">
              <w:rPr>
                <w:rFonts w:ascii="Arial" w:hAnsi="Arial" w:cs="Arial"/>
                <w:sz w:val="22"/>
                <w:szCs w:val="22"/>
              </w:rPr>
              <w:lastRenderedPageBreak/>
              <w:t>statements by the Issuer confirming that the assets backing the Security have characteristics that demonstrate capacity to produce funds to service any payments due and payable of the Securities; and</w:t>
            </w:r>
          </w:p>
          <w:p w14:paraId="6402CBAA" w14:textId="77777777" w:rsidR="00CF1201" w:rsidRPr="00FB2F3D" w:rsidRDefault="00CF1201" w:rsidP="00755725">
            <w:pPr>
              <w:pStyle w:val="UK12Block"/>
              <w:numPr>
                <w:ilvl w:val="2"/>
                <w:numId w:val="65"/>
              </w:numPr>
              <w:rPr>
                <w:rFonts w:ascii="Arial" w:hAnsi="Arial" w:cs="Arial"/>
                <w:sz w:val="22"/>
                <w:szCs w:val="22"/>
              </w:rPr>
            </w:pPr>
            <w:r w:rsidRPr="00FB2F3D">
              <w:rPr>
                <w:rFonts w:ascii="Arial" w:hAnsi="Arial" w:cs="Arial"/>
                <w:sz w:val="22"/>
                <w:szCs w:val="22"/>
              </w:rPr>
              <w:t>a statement whether or not post issuance transaction information regarding the Securities to be admitted and the performance of the underlying assets will be reported. If it is to be reported, disclosure of where such information will be reported, where such information can be obtained, and the frequency with which such information will be reported.</w:t>
            </w:r>
          </w:p>
        </w:tc>
        <w:tc>
          <w:tcPr>
            <w:tcW w:w="360" w:type="dxa"/>
          </w:tcPr>
          <w:p w14:paraId="5A4C3630"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lastRenderedPageBreak/>
              <w:sym w:font="Wingdings" w:char="F0FC"/>
            </w:r>
          </w:p>
        </w:tc>
        <w:tc>
          <w:tcPr>
            <w:tcW w:w="630" w:type="dxa"/>
          </w:tcPr>
          <w:p w14:paraId="38C7ABD3" w14:textId="77777777" w:rsidR="00CF1201" w:rsidRPr="00FB2F3D" w:rsidRDefault="00CF1201" w:rsidP="00CF1201">
            <w:pPr>
              <w:pStyle w:val="UK12Block"/>
              <w:rPr>
                <w:rFonts w:ascii="Arial" w:hAnsi="Arial" w:cs="Arial"/>
                <w:sz w:val="22"/>
                <w:szCs w:val="22"/>
              </w:rPr>
            </w:pPr>
          </w:p>
        </w:tc>
        <w:tc>
          <w:tcPr>
            <w:tcW w:w="360" w:type="dxa"/>
          </w:tcPr>
          <w:p w14:paraId="5F179611"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720" w:type="dxa"/>
          </w:tcPr>
          <w:p w14:paraId="26E4F0E8" w14:textId="77777777" w:rsidR="00CF1201" w:rsidRPr="00FB2F3D" w:rsidRDefault="00CF1201" w:rsidP="00CF1201">
            <w:pPr>
              <w:pStyle w:val="UK12Block"/>
              <w:rPr>
                <w:rFonts w:ascii="Arial" w:hAnsi="Arial" w:cs="Arial"/>
                <w:sz w:val="22"/>
                <w:szCs w:val="22"/>
              </w:rPr>
            </w:pPr>
          </w:p>
        </w:tc>
        <w:tc>
          <w:tcPr>
            <w:tcW w:w="630" w:type="dxa"/>
          </w:tcPr>
          <w:p w14:paraId="37FAA8E2"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630" w:type="dxa"/>
          </w:tcPr>
          <w:p w14:paraId="262DAD36" w14:textId="77777777" w:rsidR="00CF1201" w:rsidRPr="00FB2F3D" w:rsidRDefault="00CF1201" w:rsidP="00CF1201">
            <w:pPr>
              <w:pStyle w:val="UK12Block"/>
              <w:rPr>
                <w:rFonts w:ascii="Arial" w:hAnsi="Arial" w:cs="Arial"/>
                <w:sz w:val="22"/>
                <w:szCs w:val="22"/>
              </w:rPr>
            </w:pPr>
            <w:r w:rsidRPr="00FB2F3D">
              <w:rPr>
                <w:rFonts w:ascii="Arial" w:hAnsi="Arial" w:cs="Arial"/>
                <w:sz w:val="22"/>
                <w:szCs w:val="22"/>
              </w:rPr>
              <w:sym w:font="Wingdings" w:char="F0FC"/>
            </w:r>
          </w:p>
        </w:tc>
        <w:tc>
          <w:tcPr>
            <w:tcW w:w="562" w:type="dxa"/>
          </w:tcPr>
          <w:p w14:paraId="415AB28E" w14:textId="77777777" w:rsidR="00CF1201" w:rsidRPr="00FB2F3D" w:rsidRDefault="00CF1201" w:rsidP="00CF1201">
            <w:pPr>
              <w:pStyle w:val="UK12Block"/>
              <w:rPr>
                <w:rFonts w:ascii="Arial" w:hAnsi="Arial" w:cs="Arial"/>
                <w:sz w:val="22"/>
                <w:szCs w:val="22"/>
              </w:rPr>
            </w:pPr>
          </w:p>
        </w:tc>
      </w:tr>
    </w:tbl>
    <w:p w14:paraId="1A22F09E" w14:textId="77777777" w:rsidR="00162E0C" w:rsidRPr="00FB2F3D" w:rsidRDefault="00162E0C" w:rsidP="00162E0C">
      <w:pPr>
        <w:rPr>
          <w:rFonts w:ascii="Arial" w:hAnsi="Arial" w:cs="Arial"/>
          <w:sz w:val="22"/>
          <w:szCs w:val="22"/>
        </w:rPr>
      </w:pPr>
    </w:p>
    <w:p w14:paraId="4975A734" w14:textId="77777777" w:rsidR="005751AE" w:rsidRPr="00FB2F3D" w:rsidRDefault="005751AE" w:rsidP="005751AE">
      <w:pPr>
        <w:pStyle w:val="UK12Block"/>
        <w:rPr>
          <w:rFonts w:ascii="Arial" w:hAnsi="Arial" w:cs="Arial"/>
          <w:sz w:val="22"/>
          <w:szCs w:val="22"/>
        </w:rPr>
        <w:sectPr w:rsidR="005751AE" w:rsidRPr="00FB2F3D" w:rsidSect="00695527">
          <w:headerReference w:type="default" r:id="rId14"/>
          <w:footerReference w:type="default" r:id="rId15"/>
          <w:pgSz w:w="16834" w:h="11909" w:orient="landscape" w:code="9"/>
          <w:pgMar w:top="1440" w:right="1440" w:bottom="1440" w:left="1440" w:header="720" w:footer="720" w:gutter="0"/>
          <w:cols w:space="720"/>
          <w:docGrid w:linePitch="360"/>
        </w:sectPr>
      </w:pPr>
    </w:p>
    <w:p w14:paraId="419C4C82" w14:textId="11C18928" w:rsidR="00162E0C" w:rsidRPr="00FB2F3D" w:rsidRDefault="00C24D19" w:rsidP="005751AE">
      <w:pPr>
        <w:pStyle w:val="S2Heading1"/>
        <w:rPr>
          <w:rFonts w:ascii="Arial" w:hAnsi="Arial" w:cs="Arial"/>
          <w:sz w:val="22"/>
          <w:szCs w:val="22"/>
        </w:rPr>
      </w:pPr>
      <w:bookmarkStart w:id="916" w:name="_Ref410050153"/>
      <w:bookmarkStart w:id="917" w:name="_Ref410051650"/>
      <w:bookmarkStart w:id="918" w:name="_Ref410055723"/>
      <w:bookmarkStart w:id="919" w:name="_Toc410136277"/>
      <w:bookmarkStart w:id="920" w:name="_Toc410605987"/>
      <w:bookmarkStart w:id="921" w:name="_Toc410658923"/>
      <w:bookmarkStart w:id="922" w:name="_Toc410659056"/>
      <w:bookmarkStart w:id="923" w:name="_Ref410667060"/>
      <w:bookmarkStart w:id="924" w:name="_Ref410668313"/>
      <w:bookmarkStart w:id="925" w:name="_Toc410835595"/>
      <w:bookmarkStart w:id="926" w:name="_Toc138325744"/>
      <w:r>
        <w:rPr>
          <w:rFonts w:ascii="Arial" w:hAnsi="Arial" w:cs="Arial"/>
          <w:sz w:val="22"/>
          <w:szCs w:val="22"/>
        </w:rPr>
        <w:lastRenderedPageBreak/>
        <w:t xml:space="preserve">CONTINUOUS AND OTHER </w:t>
      </w:r>
      <w:r w:rsidR="00162E0C" w:rsidRPr="00FB2F3D">
        <w:rPr>
          <w:rFonts w:ascii="Arial" w:hAnsi="Arial" w:cs="Arial"/>
          <w:sz w:val="22"/>
          <w:szCs w:val="22"/>
        </w:rPr>
        <w:t>DISCLOSURE</w:t>
      </w:r>
      <w:bookmarkEnd w:id="916"/>
      <w:bookmarkEnd w:id="917"/>
      <w:bookmarkEnd w:id="918"/>
      <w:bookmarkEnd w:id="919"/>
      <w:bookmarkEnd w:id="920"/>
      <w:bookmarkEnd w:id="921"/>
      <w:bookmarkEnd w:id="922"/>
      <w:bookmarkEnd w:id="923"/>
      <w:bookmarkEnd w:id="924"/>
      <w:bookmarkEnd w:id="925"/>
      <w:r>
        <w:rPr>
          <w:rFonts w:ascii="Arial" w:hAnsi="Arial" w:cs="Arial"/>
          <w:sz w:val="22"/>
          <w:szCs w:val="22"/>
        </w:rPr>
        <w:t>S</w:t>
      </w:r>
      <w:bookmarkEnd w:id="926"/>
    </w:p>
    <w:p w14:paraId="242FF02B" w14:textId="77777777" w:rsidR="00162E0C" w:rsidRPr="00FB2F3D" w:rsidRDefault="00162E0C" w:rsidP="005751AE">
      <w:pPr>
        <w:pStyle w:val="S2Heading2"/>
        <w:rPr>
          <w:rFonts w:ascii="Arial" w:hAnsi="Arial" w:cs="Arial"/>
          <w:sz w:val="22"/>
          <w:szCs w:val="22"/>
        </w:rPr>
      </w:pPr>
      <w:bookmarkStart w:id="927" w:name="_Toc410605988"/>
      <w:bookmarkStart w:id="928" w:name="_Toc410658924"/>
      <w:bookmarkStart w:id="929" w:name="_Toc410659057"/>
      <w:bookmarkStart w:id="930" w:name="_Toc410835596"/>
      <w:bookmarkStart w:id="931" w:name="_Toc113454829"/>
      <w:bookmarkStart w:id="932" w:name="_Toc138325745"/>
      <w:r w:rsidRPr="00FB2F3D">
        <w:rPr>
          <w:rFonts w:ascii="Arial" w:hAnsi="Arial" w:cs="Arial"/>
          <w:sz w:val="22"/>
          <w:szCs w:val="22"/>
        </w:rPr>
        <w:t>This table forms part of Rule </w:t>
      </w:r>
      <w:r w:rsidR="00693841" w:rsidRPr="00FB2F3D">
        <w:rPr>
          <w:rFonts w:ascii="Arial" w:hAnsi="Arial" w:cs="Arial"/>
          <w:sz w:val="22"/>
          <w:szCs w:val="22"/>
        </w:rPr>
        <w:t>7.6.1</w:t>
      </w:r>
      <w:r w:rsidRPr="00FB2F3D">
        <w:rPr>
          <w:rFonts w:ascii="Arial" w:hAnsi="Arial" w:cs="Arial"/>
          <w:sz w:val="22"/>
          <w:szCs w:val="22"/>
        </w:rPr>
        <w:t>.</w:t>
      </w:r>
      <w:bookmarkEnd w:id="927"/>
      <w:bookmarkEnd w:id="928"/>
      <w:bookmarkEnd w:id="929"/>
      <w:bookmarkEnd w:id="930"/>
      <w:bookmarkEnd w:id="931"/>
      <w:bookmarkEnd w:id="932"/>
    </w:p>
    <w:p w14:paraId="5E1D6C66" w14:textId="43854091" w:rsidR="00162E0C" w:rsidRPr="00FB2F3D" w:rsidRDefault="00162E0C" w:rsidP="005A10A6">
      <w:pPr>
        <w:pStyle w:val="S2Heading3"/>
        <w:rPr>
          <w:rFonts w:ascii="Arial" w:hAnsi="Arial" w:cs="Arial"/>
          <w:sz w:val="22"/>
          <w:szCs w:val="22"/>
        </w:rPr>
      </w:pPr>
      <w:bookmarkStart w:id="933" w:name="_Toc410659058"/>
      <w:r w:rsidRPr="00FB2F3D">
        <w:rPr>
          <w:rFonts w:ascii="Arial" w:hAnsi="Arial" w:cs="Arial"/>
          <w:sz w:val="22"/>
          <w:szCs w:val="22"/>
        </w:rPr>
        <w:t>A</w:t>
      </w:r>
      <w:r w:rsidR="005A10A6" w:rsidRPr="00FB2F3D">
        <w:rPr>
          <w:rFonts w:ascii="Arial" w:hAnsi="Arial" w:cs="Arial"/>
          <w:sz w:val="22"/>
          <w:szCs w:val="22"/>
        </w:rPr>
        <w:t xml:space="preserve"> Reporting Entity</w:t>
      </w:r>
      <w:r w:rsidRPr="00FB2F3D">
        <w:rPr>
          <w:rFonts w:ascii="Arial" w:hAnsi="Arial" w:cs="Arial"/>
          <w:sz w:val="22"/>
          <w:szCs w:val="22"/>
        </w:rPr>
        <w:t xml:space="preserve"> other than a Listed Fund must, on the occurrence of an event specified in column 1, make the required </w:t>
      </w:r>
      <w:r w:rsidR="00C24D19">
        <w:rPr>
          <w:rFonts w:ascii="Arial" w:hAnsi="Arial" w:cs="Arial"/>
          <w:sz w:val="22"/>
          <w:szCs w:val="22"/>
        </w:rPr>
        <w:t>D</w:t>
      </w:r>
      <w:r w:rsidRPr="00FB2F3D">
        <w:rPr>
          <w:rFonts w:ascii="Arial" w:hAnsi="Arial" w:cs="Arial"/>
          <w:sz w:val="22"/>
          <w:szCs w:val="22"/>
        </w:rPr>
        <w:t xml:space="preserve">isclosure detailed in column 2, within the time specified in column 3, in respect of the </w:t>
      </w:r>
      <w:r w:rsidR="004B46BD" w:rsidRPr="00FB2F3D">
        <w:rPr>
          <w:rFonts w:ascii="Arial" w:hAnsi="Arial" w:cs="Arial"/>
          <w:sz w:val="22"/>
          <w:szCs w:val="22"/>
        </w:rPr>
        <w:t>Securities</w:t>
      </w:r>
      <w:r w:rsidRPr="00FB2F3D">
        <w:rPr>
          <w:rFonts w:ascii="Arial" w:hAnsi="Arial" w:cs="Arial"/>
          <w:sz w:val="22"/>
          <w:szCs w:val="22"/>
        </w:rPr>
        <w:t xml:space="preserve"> identified with a "</w:t>
      </w:r>
      <w:r w:rsidRPr="00FB2F3D">
        <w:rPr>
          <w:rFonts w:ascii="Arial" w:hAnsi="Arial" w:cs="Arial"/>
          <w:sz w:val="22"/>
          <w:szCs w:val="22"/>
        </w:rPr>
        <w:sym w:font="Wingdings" w:char="F0FC"/>
      </w:r>
      <w:r w:rsidRPr="00FB2F3D">
        <w:rPr>
          <w:rFonts w:ascii="Arial" w:hAnsi="Arial" w:cs="Arial"/>
          <w:sz w:val="22"/>
          <w:szCs w:val="22"/>
        </w:rPr>
        <w:t>" in column 4, of this Table.</w:t>
      </w:r>
      <w:bookmarkEnd w:id="933"/>
    </w:p>
    <w:p w14:paraId="29D46989" w14:textId="3E9E4592" w:rsidR="00162E0C" w:rsidRPr="00FB2F3D" w:rsidRDefault="00162E0C" w:rsidP="00ED276F">
      <w:pPr>
        <w:pStyle w:val="UK12Block05"/>
        <w:ind w:left="864"/>
        <w:rPr>
          <w:rFonts w:ascii="Arial" w:hAnsi="Arial" w:cs="Arial"/>
          <w:sz w:val="22"/>
          <w:szCs w:val="22"/>
        </w:rPr>
      </w:pPr>
      <w:r w:rsidRPr="00FB2F3D">
        <w:rPr>
          <w:rFonts w:ascii="Arial" w:hAnsi="Arial" w:cs="Arial"/>
          <w:sz w:val="22"/>
          <w:szCs w:val="22"/>
        </w:rPr>
        <w:t xml:space="preserve">See </w:t>
      </w:r>
      <w:r w:rsidR="00693841" w:rsidRPr="00FB2F3D">
        <w:rPr>
          <w:rFonts w:ascii="Arial" w:hAnsi="Arial" w:cs="Arial"/>
          <w:sz w:val="22"/>
          <w:szCs w:val="22"/>
        </w:rPr>
        <w:t>APP 3</w:t>
      </w:r>
      <w:r w:rsidRPr="00FB2F3D">
        <w:rPr>
          <w:rFonts w:ascii="Arial" w:hAnsi="Arial" w:cs="Arial"/>
          <w:sz w:val="22"/>
          <w:szCs w:val="22"/>
        </w:rPr>
        <w:t xml:space="preserve"> for </w:t>
      </w:r>
      <w:r w:rsidR="00C24D19">
        <w:rPr>
          <w:rFonts w:ascii="Arial" w:hAnsi="Arial" w:cs="Arial"/>
          <w:sz w:val="22"/>
          <w:szCs w:val="22"/>
        </w:rPr>
        <w:t>D</w:t>
      </w:r>
      <w:r w:rsidRPr="00FB2F3D">
        <w:rPr>
          <w:rFonts w:ascii="Arial" w:hAnsi="Arial" w:cs="Arial"/>
          <w:sz w:val="22"/>
          <w:szCs w:val="22"/>
        </w:rPr>
        <w:t>isclosure</w:t>
      </w:r>
      <w:r w:rsidR="00ED276F" w:rsidRPr="00FB2F3D">
        <w:rPr>
          <w:rFonts w:ascii="Arial" w:hAnsi="Arial" w:cs="Arial"/>
          <w:sz w:val="22"/>
          <w:szCs w:val="22"/>
        </w:rPr>
        <w:t>s related to</w:t>
      </w:r>
      <w:r w:rsidRPr="00FB2F3D">
        <w:rPr>
          <w:rFonts w:ascii="Arial" w:hAnsi="Arial" w:cs="Arial"/>
          <w:sz w:val="22"/>
          <w:szCs w:val="22"/>
        </w:rPr>
        <w:t xml:space="preserve"> Listed Funds.</w:t>
      </w:r>
    </w:p>
    <w:tbl>
      <w:tblPr>
        <w:tblStyle w:val="TableGrid"/>
        <w:tblW w:w="14170" w:type="dxa"/>
        <w:tblLayout w:type="fixed"/>
        <w:tblLook w:val="04A0" w:firstRow="1" w:lastRow="0" w:firstColumn="1" w:lastColumn="0" w:noHBand="0" w:noVBand="1"/>
      </w:tblPr>
      <w:tblGrid>
        <w:gridCol w:w="648"/>
        <w:gridCol w:w="3453"/>
        <w:gridCol w:w="3837"/>
        <w:gridCol w:w="1980"/>
        <w:gridCol w:w="450"/>
        <w:gridCol w:w="90"/>
        <w:gridCol w:w="720"/>
        <w:gridCol w:w="360"/>
        <w:gridCol w:w="90"/>
        <w:gridCol w:w="720"/>
        <w:gridCol w:w="630"/>
        <w:gridCol w:w="630"/>
        <w:gridCol w:w="562"/>
      </w:tblGrid>
      <w:tr w:rsidR="00162E0C" w:rsidRPr="00FB2F3D" w14:paraId="58897ADD" w14:textId="77777777" w:rsidTr="00C12E85">
        <w:trPr>
          <w:tblHeader/>
        </w:trPr>
        <w:tc>
          <w:tcPr>
            <w:tcW w:w="648" w:type="dxa"/>
          </w:tcPr>
          <w:p w14:paraId="54E1767F" w14:textId="77777777" w:rsidR="00162E0C" w:rsidRPr="00FB2F3D" w:rsidRDefault="00162E0C" w:rsidP="005751AE">
            <w:pPr>
              <w:pStyle w:val="UK12Block"/>
              <w:spacing w:after="0"/>
              <w:rPr>
                <w:rFonts w:ascii="Arial" w:hAnsi="Arial" w:cs="Arial"/>
                <w:sz w:val="22"/>
                <w:szCs w:val="22"/>
              </w:rPr>
            </w:pPr>
          </w:p>
        </w:tc>
        <w:tc>
          <w:tcPr>
            <w:tcW w:w="13522" w:type="dxa"/>
            <w:gridSpan w:val="12"/>
          </w:tcPr>
          <w:p w14:paraId="688BDC26" w14:textId="77777777" w:rsidR="00162E0C" w:rsidRPr="00FB2F3D" w:rsidRDefault="00162E0C" w:rsidP="00182580">
            <w:pPr>
              <w:pStyle w:val="UK12Block"/>
              <w:spacing w:after="0"/>
              <w:jc w:val="right"/>
              <w:rPr>
                <w:rFonts w:ascii="Arial" w:hAnsi="Arial" w:cs="Arial"/>
                <w:b/>
                <w:sz w:val="22"/>
                <w:szCs w:val="22"/>
              </w:rPr>
            </w:pPr>
            <w:r w:rsidRPr="00FB2F3D">
              <w:rPr>
                <w:rFonts w:ascii="Arial" w:hAnsi="Arial" w:cs="Arial"/>
                <w:b/>
                <w:sz w:val="22"/>
                <w:szCs w:val="22"/>
              </w:rPr>
              <w:t>A2.1.1</w:t>
            </w:r>
          </w:p>
        </w:tc>
      </w:tr>
      <w:tr w:rsidR="00162E0C" w:rsidRPr="00FB2F3D" w14:paraId="06029D10" w14:textId="77777777" w:rsidTr="00C12E85">
        <w:trPr>
          <w:cantSplit/>
          <w:trHeight w:val="1426"/>
          <w:tblHeader/>
        </w:trPr>
        <w:tc>
          <w:tcPr>
            <w:tcW w:w="648" w:type="dxa"/>
          </w:tcPr>
          <w:p w14:paraId="2D3B610E" w14:textId="77777777" w:rsidR="00162E0C" w:rsidRPr="00FB2F3D" w:rsidRDefault="00162E0C" w:rsidP="005751AE">
            <w:pPr>
              <w:pStyle w:val="UK12Block"/>
              <w:rPr>
                <w:rFonts w:ascii="Arial" w:hAnsi="Arial" w:cs="Arial"/>
                <w:sz w:val="22"/>
                <w:szCs w:val="22"/>
              </w:rPr>
            </w:pPr>
          </w:p>
        </w:tc>
        <w:tc>
          <w:tcPr>
            <w:tcW w:w="3453" w:type="dxa"/>
          </w:tcPr>
          <w:p w14:paraId="5A0717B9" w14:textId="77777777" w:rsidR="00162E0C" w:rsidRPr="00FB2F3D" w:rsidRDefault="00162E0C" w:rsidP="00BA0E5D">
            <w:pPr>
              <w:pStyle w:val="UK12Block"/>
              <w:jc w:val="left"/>
              <w:rPr>
                <w:rFonts w:ascii="Arial" w:hAnsi="Arial" w:cs="Arial"/>
                <w:b/>
                <w:sz w:val="22"/>
                <w:szCs w:val="22"/>
              </w:rPr>
            </w:pPr>
            <w:r w:rsidRPr="00FB2F3D">
              <w:rPr>
                <w:rFonts w:ascii="Arial" w:hAnsi="Arial" w:cs="Arial"/>
                <w:b/>
                <w:sz w:val="22"/>
                <w:szCs w:val="22"/>
              </w:rPr>
              <w:t>EVENT GIVING RISE TO DISCLOSURE OBLIGATION</w:t>
            </w:r>
          </w:p>
        </w:tc>
        <w:tc>
          <w:tcPr>
            <w:tcW w:w="3837" w:type="dxa"/>
          </w:tcPr>
          <w:p w14:paraId="5D25F28A" w14:textId="77777777" w:rsidR="00162E0C" w:rsidRPr="00FB2F3D" w:rsidRDefault="00162E0C" w:rsidP="00BA0E5D">
            <w:pPr>
              <w:pStyle w:val="UK12Block"/>
              <w:jc w:val="left"/>
              <w:rPr>
                <w:rFonts w:ascii="Arial" w:hAnsi="Arial" w:cs="Arial"/>
                <w:b/>
                <w:sz w:val="22"/>
                <w:szCs w:val="22"/>
              </w:rPr>
            </w:pPr>
            <w:r w:rsidRPr="00FB2F3D">
              <w:rPr>
                <w:rFonts w:ascii="Arial" w:hAnsi="Arial" w:cs="Arial"/>
                <w:b/>
                <w:sz w:val="22"/>
                <w:szCs w:val="22"/>
              </w:rPr>
              <w:t>DISCLOSURE REQUIRED</w:t>
            </w:r>
          </w:p>
        </w:tc>
        <w:tc>
          <w:tcPr>
            <w:tcW w:w="1980" w:type="dxa"/>
          </w:tcPr>
          <w:p w14:paraId="13D68C46" w14:textId="77777777" w:rsidR="00162E0C" w:rsidRPr="00FB2F3D" w:rsidRDefault="00162E0C" w:rsidP="00BA0E5D">
            <w:pPr>
              <w:pStyle w:val="UK12Block"/>
              <w:jc w:val="left"/>
              <w:rPr>
                <w:rFonts w:ascii="Arial" w:hAnsi="Arial" w:cs="Arial"/>
                <w:b/>
                <w:sz w:val="22"/>
                <w:szCs w:val="22"/>
              </w:rPr>
            </w:pPr>
            <w:r w:rsidRPr="00FB2F3D">
              <w:rPr>
                <w:rFonts w:ascii="Arial" w:hAnsi="Arial" w:cs="Arial"/>
                <w:b/>
                <w:sz w:val="22"/>
                <w:szCs w:val="22"/>
              </w:rPr>
              <w:t>TIME OF DISCLOSURE</w:t>
            </w:r>
          </w:p>
        </w:tc>
        <w:tc>
          <w:tcPr>
            <w:tcW w:w="450" w:type="dxa"/>
            <w:textDirection w:val="tbRl"/>
          </w:tcPr>
          <w:p w14:paraId="28D021BD" w14:textId="77777777" w:rsidR="00162E0C" w:rsidRPr="00FB2F3D" w:rsidRDefault="00162E0C" w:rsidP="00FE28B5">
            <w:pPr>
              <w:pStyle w:val="UK10Block"/>
              <w:spacing w:after="0" w:line="240" w:lineRule="auto"/>
              <w:jc w:val="left"/>
              <w:rPr>
                <w:rFonts w:ascii="Arial" w:hAnsi="Arial" w:cs="Arial"/>
                <w:sz w:val="22"/>
                <w:szCs w:val="22"/>
              </w:rPr>
            </w:pPr>
            <w:r w:rsidRPr="00FB2F3D">
              <w:rPr>
                <w:rFonts w:ascii="Arial" w:hAnsi="Arial" w:cs="Arial"/>
                <w:sz w:val="22"/>
                <w:szCs w:val="22"/>
              </w:rPr>
              <w:t>Shares</w:t>
            </w:r>
          </w:p>
        </w:tc>
        <w:tc>
          <w:tcPr>
            <w:tcW w:w="810" w:type="dxa"/>
            <w:gridSpan w:val="2"/>
            <w:textDirection w:val="tbRl"/>
          </w:tcPr>
          <w:p w14:paraId="53AB0E00" w14:textId="77777777" w:rsidR="00162E0C" w:rsidRPr="00FB2F3D" w:rsidRDefault="00162E0C" w:rsidP="00FE28B5">
            <w:pPr>
              <w:pStyle w:val="UK10Block"/>
              <w:spacing w:after="0" w:line="240" w:lineRule="auto"/>
              <w:jc w:val="left"/>
              <w:rPr>
                <w:rFonts w:ascii="Arial" w:hAnsi="Arial" w:cs="Arial"/>
                <w:sz w:val="22"/>
                <w:szCs w:val="22"/>
              </w:rPr>
            </w:pPr>
            <w:r w:rsidRPr="00FB2F3D">
              <w:rPr>
                <w:rFonts w:ascii="Arial" w:hAnsi="Arial" w:cs="Arial"/>
                <w:sz w:val="22"/>
                <w:szCs w:val="22"/>
              </w:rPr>
              <w:t>Warrants / Options over Shares</w:t>
            </w:r>
          </w:p>
        </w:tc>
        <w:tc>
          <w:tcPr>
            <w:tcW w:w="360" w:type="dxa"/>
            <w:textDirection w:val="tbRl"/>
          </w:tcPr>
          <w:p w14:paraId="6444F4A2" w14:textId="77777777" w:rsidR="00162E0C" w:rsidRPr="00FB2F3D" w:rsidRDefault="00162E0C" w:rsidP="00FE28B5">
            <w:pPr>
              <w:pStyle w:val="UK10Block"/>
              <w:spacing w:after="0" w:line="240" w:lineRule="auto"/>
              <w:jc w:val="left"/>
              <w:rPr>
                <w:rFonts w:ascii="Arial" w:hAnsi="Arial" w:cs="Arial"/>
                <w:sz w:val="22"/>
                <w:szCs w:val="22"/>
              </w:rPr>
            </w:pPr>
            <w:r w:rsidRPr="00FB2F3D">
              <w:rPr>
                <w:rFonts w:ascii="Arial" w:hAnsi="Arial" w:cs="Arial"/>
                <w:sz w:val="22"/>
                <w:szCs w:val="22"/>
              </w:rPr>
              <w:t>Debentures</w:t>
            </w:r>
          </w:p>
        </w:tc>
        <w:tc>
          <w:tcPr>
            <w:tcW w:w="810" w:type="dxa"/>
            <w:gridSpan w:val="2"/>
            <w:textDirection w:val="tbRl"/>
          </w:tcPr>
          <w:p w14:paraId="4469D480" w14:textId="77777777" w:rsidR="00162E0C" w:rsidRPr="00FB2F3D" w:rsidRDefault="00162E0C" w:rsidP="00FE28B5">
            <w:pPr>
              <w:pStyle w:val="UK10Block"/>
              <w:spacing w:after="0" w:line="240" w:lineRule="auto"/>
              <w:jc w:val="left"/>
              <w:rPr>
                <w:rFonts w:ascii="Arial" w:hAnsi="Arial" w:cs="Arial"/>
                <w:sz w:val="22"/>
                <w:szCs w:val="22"/>
              </w:rPr>
            </w:pPr>
            <w:r w:rsidRPr="00FB2F3D">
              <w:rPr>
                <w:rFonts w:ascii="Arial" w:hAnsi="Arial" w:cs="Arial"/>
                <w:sz w:val="22"/>
                <w:szCs w:val="22"/>
              </w:rPr>
              <w:t>Warrants / Options over Debentures</w:t>
            </w:r>
          </w:p>
        </w:tc>
        <w:tc>
          <w:tcPr>
            <w:tcW w:w="630" w:type="dxa"/>
            <w:textDirection w:val="tbRl"/>
          </w:tcPr>
          <w:p w14:paraId="2B0A10B0" w14:textId="77777777" w:rsidR="00162E0C" w:rsidRPr="00FB2F3D" w:rsidRDefault="00162E0C" w:rsidP="00FE28B5">
            <w:pPr>
              <w:pStyle w:val="UK10Block"/>
              <w:spacing w:after="0" w:line="240" w:lineRule="auto"/>
              <w:jc w:val="left"/>
              <w:rPr>
                <w:rFonts w:ascii="Arial" w:hAnsi="Arial" w:cs="Arial"/>
                <w:sz w:val="22"/>
                <w:szCs w:val="22"/>
              </w:rPr>
            </w:pPr>
            <w:r w:rsidRPr="00FB2F3D">
              <w:rPr>
                <w:rFonts w:ascii="Arial" w:hAnsi="Arial" w:cs="Arial"/>
                <w:sz w:val="22"/>
                <w:szCs w:val="22"/>
              </w:rPr>
              <w:t>Certificates over Shares</w:t>
            </w:r>
          </w:p>
        </w:tc>
        <w:tc>
          <w:tcPr>
            <w:tcW w:w="630" w:type="dxa"/>
            <w:textDirection w:val="tbRl"/>
          </w:tcPr>
          <w:p w14:paraId="3C2EEFC7" w14:textId="77777777" w:rsidR="00162E0C" w:rsidRPr="00FB2F3D" w:rsidRDefault="00162E0C" w:rsidP="00FE28B5">
            <w:pPr>
              <w:pStyle w:val="UK10Block"/>
              <w:spacing w:after="0" w:line="240" w:lineRule="auto"/>
              <w:jc w:val="left"/>
              <w:rPr>
                <w:rFonts w:ascii="Arial" w:hAnsi="Arial" w:cs="Arial"/>
                <w:sz w:val="22"/>
                <w:szCs w:val="22"/>
              </w:rPr>
            </w:pPr>
            <w:r w:rsidRPr="00FB2F3D">
              <w:rPr>
                <w:rFonts w:ascii="Arial" w:hAnsi="Arial" w:cs="Arial"/>
                <w:sz w:val="22"/>
                <w:szCs w:val="22"/>
              </w:rPr>
              <w:t>Certificates over Debentures</w:t>
            </w:r>
          </w:p>
        </w:tc>
        <w:tc>
          <w:tcPr>
            <w:tcW w:w="562" w:type="dxa"/>
            <w:textDirection w:val="tbRl"/>
          </w:tcPr>
          <w:p w14:paraId="6FB175D7" w14:textId="77777777" w:rsidR="00162E0C" w:rsidRPr="00FB2F3D" w:rsidRDefault="00162E0C" w:rsidP="00FE28B5">
            <w:pPr>
              <w:pStyle w:val="UK10Block"/>
              <w:spacing w:after="0" w:line="240" w:lineRule="auto"/>
              <w:jc w:val="left"/>
              <w:rPr>
                <w:rFonts w:ascii="Arial" w:hAnsi="Arial" w:cs="Arial"/>
                <w:sz w:val="22"/>
                <w:szCs w:val="22"/>
              </w:rPr>
            </w:pPr>
            <w:r w:rsidRPr="00FB2F3D">
              <w:rPr>
                <w:rFonts w:ascii="Arial" w:hAnsi="Arial" w:cs="Arial"/>
                <w:sz w:val="22"/>
                <w:szCs w:val="22"/>
              </w:rPr>
              <w:t>Structured Products</w:t>
            </w:r>
          </w:p>
        </w:tc>
      </w:tr>
      <w:tr w:rsidR="00162E0C" w:rsidRPr="00FB2F3D" w14:paraId="780C2DDC" w14:textId="77777777" w:rsidTr="00C12E85">
        <w:tc>
          <w:tcPr>
            <w:tcW w:w="14170" w:type="dxa"/>
            <w:gridSpan w:val="13"/>
          </w:tcPr>
          <w:p w14:paraId="2D502E47" w14:textId="77777777" w:rsidR="00162E0C" w:rsidRPr="00FB2F3D" w:rsidRDefault="00162E0C" w:rsidP="00755725">
            <w:pPr>
              <w:pStyle w:val="UK12Block"/>
              <w:keepNext/>
              <w:numPr>
                <w:ilvl w:val="0"/>
                <w:numId w:val="67"/>
              </w:numPr>
              <w:spacing w:after="0"/>
              <w:jc w:val="left"/>
              <w:rPr>
                <w:rFonts w:ascii="Arial" w:hAnsi="Arial" w:cs="Arial"/>
                <w:b/>
                <w:sz w:val="22"/>
                <w:szCs w:val="22"/>
              </w:rPr>
            </w:pPr>
            <w:r w:rsidRPr="00FB2F3D">
              <w:rPr>
                <w:rFonts w:ascii="Arial" w:hAnsi="Arial" w:cs="Arial"/>
                <w:b/>
                <w:sz w:val="22"/>
                <w:szCs w:val="22"/>
              </w:rPr>
              <w:t>INSIDE INFORMATION</w:t>
            </w:r>
          </w:p>
        </w:tc>
      </w:tr>
      <w:tr w:rsidR="00162E0C" w:rsidRPr="00FB2F3D" w14:paraId="5535C33E" w14:textId="77777777" w:rsidTr="00C12E85">
        <w:trPr>
          <w:trHeight w:val="934"/>
        </w:trPr>
        <w:tc>
          <w:tcPr>
            <w:tcW w:w="648" w:type="dxa"/>
          </w:tcPr>
          <w:p w14:paraId="0648497C" w14:textId="77777777" w:rsidR="00162E0C" w:rsidRPr="00FB2F3D" w:rsidRDefault="00162E0C" w:rsidP="00755725">
            <w:pPr>
              <w:pStyle w:val="UK12Block"/>
              <w:numPr>
                <w:ilvl w:val="1"/>
                <w:numId w:val="67"/>
              </w:numPr>
              <w:rPr>
                <w:rFonts w:ascii="Arial" w:hAnsi="Arial" w:cs="Arial"/>
                <w:b/>
                <w:sz w:val="22"/>
                <w:szCs w:val="22"/>
              </w:rPr>
            </w:pPr>
          </w:p>
        </w:tc>
        <w:tc>
          <w:tcPr>
            <w:tcW w:w="3453" w:type="dxa"/>
          </w:tcPr>
          <w:p w14:paraId="1E37D791" w14:textId="77777777" w:rsidR="00162E0C" w:rsidRPr="00FB2F3D" w:rsidRDefault="00162E0C" w:rsidP="0098450E">
            <w:pPr>
              <w:pStyle w:val="UK12Block"/>
              <w:jc w:val="left"/>
              <w:rPr>
                <w:rFonts w:ascii="Arial" w:hAnsi="Arial" w:cs="Arial"/>
                <w:sz w:val="22"/>
                <w:szCs w:val="22"/>
              </w:rPr>
            </w:pPr>
            <w:r w:rsidRPr="00FB2F3D">
              <w:rPr>
                <w:rFonts w:ascii="Arial" w:hAnsi="Arial" w:cs="Arial"/>
                <w:sz w:val="22"/>
                <w:szCs w:val="22"/>
              </w:rPr>
              <w:t>Inside Information as set out in Rule </w:t>
            </w:r>
            <w:r w:rsidR="00693841" w:rsidRPr="00FB2F3D">
              <w:rPr>
                <w:rFonts w:ascii="Arial" w:hAnsi="Arial" w:cs="Arial"/>
                <w:sz w:val="22"/>
                <w:szCs w:val="22"/>
              </w:rPr>
              <w:t>7.2</w:t>
            </w:r>
            <w:r w:rsidR="0098450E" w:rsidRPr="00FB2F3D">
              <w:rPr>
                <w:rFonts w:ascii="Arial" w:hAnsi="Arial" w:cs="Arial"/>
                <w:sz w:val="22"/>
                <w:szCs w:val="22"/>
              </w:rPr>
              <w:t>.</w:t>
            </w:r>
          </w:p>
        </w:tc>
        <w:tc>
          <w:tcPr>
            <w:tcW w:w="3837" w:type="dxa"/>
          </w:tcPr>
          <w:p w14:paraId="5F558E05" w14:textId="5934A5DD" w:rsidR="00162E0C" w:rsidRPr="00FB2F3D" w:rsidRDefault="00C24D19" w:rsidP="0098450E">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the Inside Information, unless Rule </w:t>
            </w:r>
            <w:r w:rsidR="00693841" w:rsidRPr="00FB2F3D">
              <w:rPr>
                <w:rFonts w:ascii="Arial" w:hAnsi="Arial" w:cs="Arial"/>
                <w:sz w:val="22"/>
                <w:szCs w:val="22"/>
              </w:rPr>
              <w:t>7.2.</w:t>
            </w:r>
            <w:r>
              <w:rPr>
                <w:rFonts w:ascii="Arial" w:hAnsi="Arial" w:cs="Arial"/>
                <w:sz w:val="22"/>
                <w:szCs w:val="22"/>
              </w:rPr>
              <w:t>1</w:t>
            </w:r>
            <w:r w:rsidR="00162E0C" w:rsidRPr="00FB2F3D">
              <w:rPr>
                <w:rFonts w:ascii="Arial" w:hAnsi="Arial" w:cs="Arial"/>
                <w:sz w:val="22"/>
                <w:szCs w:val="22"/>
              </w:rPr>
              <w:t xml:space="preserve"> applies.</w:t>
            </w:r>
          </w:p>
        </w:tc>
        <w:tc>
          <w:tcPr>
            <w:tcW w:w="1980" w:type="dxa"/>
          </w:tcPr>
          <w:p w14:paraId="7036466E"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t>As soon as possible.</w:t>
            </w:r>
          </w:p>
        </w:tc>
        <w:tc>
          <w:tcPr>
            <w:tcW w:w="450" w:type="dxa"/>
          </w:tcPr>
          <w:p w14:paraId="6D38EA63"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3B84BEB1"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360" w:type="dxa"/>
          </w:tcPr>
          <w:p w14:paraId="6E946756"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4E4D42AE"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0503F18B"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03561D4B"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562" w:type="dxa"/>
          </w:tcPr>
          <w:p w14:paraId="19AE77C7"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r>
      <w:tr w:rsidR="00162E0C" w:rsidRPr="00FB2F3D" w14:paraId="4F68FEF1" w14:textId="77777777" w:rsidTr="00C12E85">
        <w:tc>
          <w:tcPr>
            <w:tcW w:w="14170" w:type="dxa"/>
            <w:gridSpan w:val="13"/>
          </w:tcPr>
          <w:p w14:paraId="0A8FF2F9" w14:textId="77777777" w:rsidR="00162E0C" w:rsidRPr="00FB2F3D" w:rsidRDefault="00162E0C" w:rsidP="00755725">
            <w:pPr>
              <w:pStyle w:val="UK12Block"/>
              <w:keepNext/>
              <w:numPr>
                <w:ilvl w:val="0"/>
                <w:numId w:val="67"/>
              </w:numPr>
              <w:spacing w:after="0"/>
              <w:jc w:val="left"/>
              <w:rPr>
                <w:rFonts w:ascii="Arial" w:hAnsi="Arial" w:cs="Arial"/>
                <w:b/>
                <w:sz w:val="22"/>
                <w:szCs w:val="22"/>
              </w:rPr>
            </w:pPr>
            <w:r w:rsidRPr="00FB2F3D">
              <w:rPr>
                <w:rFonts w:ascii="Arial" w:hAnsi="Arial" w:cs="Arial"/>
                <w:b/>
                <w:sz w:val="22"/>
                <w:szCs w:val="22"/>
              </w:rPr>
              <w:t xml:space="preserve">GOVERNANCE OF THE </w:t>
            </w:r>
            <w:r w:rsidR="005A10A6" w:rsidRPr="00FB2F3D">
              <w:rPr>
                <w:rFonts w:ascii="Arial" w:hAnsi="Arial" w:cs="Arial"/>
                <w:b/>
                <w:bCs/>
                <w:sz w:val="22"/>
                <w:szCs w:val="22"/>
              </w:rPr>
              <w:t>REPORTING ENTITY</w:t>
            </w:r>
          </w:p>
        </w:tc>
      </w:tr>
      <w:tr w:rsidR="00162E0C" w:rsidRPr="00FB2F3D" w14:paraId="36B88BFA" w14:textId="77777777" w:rsidTr="00C12E85">
        <w:tc>
          <w:tcPr>
            <w:tcW w:w="648" w:type="dxa"/>
          </w:tcPr>
          <w:p w14:paraId="0A093E25" w14:textId="77777777" w:rsidR="00162E0C" w:rsidRPr="00FB2F3D" w:rsidRDefault="00162E0C" w:rsidP="00755725">
            <w:pPr>
              <w:pStyle w:val="UK12Block"/>
              <w:numPr>
                <w:ilvl w:val="1"/>
                <w:numId w:val="67"/>
              </w:numPr>
              <w:rPr>
                <w:rFonts w:ascii="Arial" w:hAnsi="Arial" w:cs="Arial"/>
                <w:b/>
                <w:sz w:val="22"/>
                <w:szCs w:val="22"/>
              </w:rPr>
            </w:pPr>
          </w:p>
        </w:tc>
        <w:tc>
          <w:tcPr>
            <w:tcW w:w="3453" w:type="dxa"/>
          </w:tcPr>
          <w:p w14:paraId="1FA1B5B6"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t xml:space="preserve">Compliance with the </w:t>
            </w:r>
            <w:r w:rsidR="00A65187" w:rsidRPr="00FB2F3D">
              <w:rPr>
                <w:rFonts w:ascii="Arial" w:hAnsi="Arial" w:cs="Arial"/>
                <w:sz w:val="22"/>
                <w:szCs w:val="22"/>
              </w:rPr>
              <w:t>Corporate Governance</w:t>
            </w:r>
            <w:r w:rsidR="00EE4E6B" w:rsidRPr="00FB2F3D">
              <w:rPr>
                <w:rFonts w:ascii="Arial" w:hAnsi="Arial" w:cs="Arial"/>
                <w:sz w:val="22"/>
                <w:szCs w:val="22"/>
              </w:rPr>
              <w:t xml:space="preserve"> Principles</w:t>
            </w:r>
            <w:r w:rsidRPr="00FB2F3D">
              <w:rPr>
                <w:rFonts w:ascii="Arial" w:hAnsi="Arial" w:cs="Arial"/>
                <w:sz w:val="22"/>
                <w:szCs w:val="22"/>
              </w:rPr>
              <w:t>.</w:t>
            </w:r>
          </w:p>
        </w:tc>
        <w:tc>
          <w:tcPr>
            <w:tcW w:w="3837" w:type="dxa"/>
          </w:tcPr>
          <w:p w14:paraId="19C4B74C" w14:textId="538CC1D6" w:rsidR="00162E0C" w:rsidRPr="00FB2F3D" w:rsidRDefault="00C24D19" w:rsidP="0098450E">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in the annual report of the matters set out in Rule </w:t>
            </w:r>
            <w:r w:rsidR="00693841" w:rsidRPr="00FB2F3D">
              <w:rPr>
                <w:rFonts w:ascii="Arial" w:hAnsi="Arial" w:cs="Arial"/>
                <w:sz w:val="22"/>
                <w:szCs w:val="22"/>
              </w:rPr>
              <w:t>9.2.10</w:t>
            </w:r>
            <w:r w:rsidR="00162E0C" w:rsidRPr="00FB2F3D">
              <w:rPr>
                <w:rFonts w:ascii="Arial" w:hAnsi="Arial" w:cs="Arial"/>
                <w:sz w:val="22"/>
                <w:szCs w:val="22"/>
              </w:rPr>
              <w:t>.</w:t>
            </w:r>
          </w:p>
        </w:tc>
        <w:tc>
          <w:tcPr>
            <w:tcW w:w="1980" w:type="dxa"/>
          </w:tcPr>
          <w:p w14:paraId="2AB8B095" w14:textId="77777777" w:rsidR="00162E0C" w:rsidRPr="00FB2F3D" w:rsidRDefault="00162E0C" w:rsidP="00E63CC3">
            <w:pPr>
              <w:pStyle w:val="UK12Block"/>
              <w:jc w:val="left"/>
              <w:rPr>
                <w:rFonts w:ascii="Arial" w:hAnsi="Arial" w:cs="Arial"/>
                <w:sz w:val="22"/>
                <w:szCs w:val="22"/>
              </w:rPr>
            </w:pPr>
            <w:r w:rsidRPr="00FB2F3D">
              <w:rPr>
                <w:rFonts w:ascii="Arial" w:hAnsi="Arial" w:cs="Arial"/>
                <w:sz w:val="22"/>
                <w:szCs w:val="22"/>
              </w:rPr>
              <w:t>In accordance with Rule </w:t>
            </w:r>
            <w:r w:rsidR="00693841" w:rsidRPr="00FB2F3D">
              <w:rPr>
                <w:rFonts w:ascii="Arial" w:hAnsi="Arial" w:cs="Arial"/>
                <w:sz w:val="22"/>
                <w:szCs w:val="22"/>
              </w:rPr>
              <w:t>10.1.8(2)(a)</w:t>
            </w:r>
            <w:r w:rsidR="0098450E" w:rsidRPr="00FB2F3D">
              <w:rPr>
                <w:rFonts w:ascii="Arial" w:hAnsi="Arial" w:cs="Arial"/>
                <w:sz w:val="22"/>
                <w:szCs w:val="22"/>
              </w:rPr>
              <w:t>.</w:t>
            </w:r>
          </w:p>
        </w:tc>
        <w:tc>
          <w:tcPr>
            <w:tcW w:w="450" w:type="dxa"/>
          </w:tcPr>
          <w:p w14:paraId="0A5B1308"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62F5D7A5" w14:textId="77777777" w:rsidR="00162E0C" w:rsidRPr="00FB2F3D" w:rsidRDefault="00162E0C" w:rsidP="00BA0E5D">
            <w:pPr>
              <w:pStyle w:val="UK12Block"/>
              <w:jc w:val="left"/>
              <w:rPr>
                <w:rFonts w:ascii="Arial" w:hAnsi="Arial" w:cs="Arial"/>
                <w:sz w:val="22"/>
                <w:szCs w:val="22"/>
              </w:rPr>
            </w:pPr>
          </w:p>
        </w:tc>
        <w:tc>
          <w:tcPr>
            <w:tcW w:w="360" w:type="dxa"/>
          </w:tcPr>
          <w:p w14:paraId="0C5EC88F" w14:textId="77777777" w:rsidR="00162E0C" w:rsidRPr="00FB2F3D" w:rsidRDefault="00162E0C" w:rsidP="00BA0E5D">
            <w:pPr>
              <w:pStyle w:val="UK12Block"/>
              <w:jc w:val="left"/>
              <w:rPr>
                <w:rFonts w:ascii="Arial" w:hAnsi="Arial" w:cs="Arial"/>
                <w:sz w:val="22"/>
                <w:szCs w:val="22"/>
              </w:rPr>
            </w:pPr>
          </w:p>
        </w:tc>
        <w:tc>
          <w:tcPr>
            <w:tcW w:w="810" w:type="dxa"/>
            <w:gridSpan w:val="2"/>
          </w:tcPr>
          <w:p w14:paraId="2B40D3D7" w14:textId="77777777" w:rsidR="00162E0C" w:rsidRPr="00FB2F3D" w:rsidRDefault="00162E0C" w:rsidP="00BA0E5D">
            <w:pPr>
              <w:pStyle w:val="UK12Block"/>
              <w:jc w:val="left"/>
              <w:rPr>
                <w:rFonts w:ascii="Arial" w:hAnsi="Arial" w:cs="Arial"/>
                <w:sz w:val="22"/>
                <w:szCs w:val="22"/>
              </w:rPr>
            </w:pPr>
          </w:p>
        </w:tc>
        <w:tc>
          <w:tcPr>
            <w:tcW w:w="630" w:type="dxa"/>
          </w:tcPr>
          <w:p w14:paraId="710BBA4A" w14:textId="77777777" w:rsidR="00162E0C" w:rsidRPr="00FB2F3D" w:rsidRDefault="00162E0C" w:rsidP="00BA0E5D">
            <w:pPr>
              <w:pStyle w:val="UK12Block"/>
              <w:jc w:val="left"/>
              <w:rPr>
                <w:rFonts w:ascii="Arial" w:hAnsi="Arial" w:cs="Arial"/>
                <w:sz w:val="22"/>
                <w:szCs w:val="22"/>
              </w:rPr>
            </w:pPr>
          </w:p>
        </w:tc>
        <w:tc>
          <w:tcPr>
            <w:tcW w:w="630" w:type="dxa"/>
          </w:tcPr>
          <w:p w14:paraId="69F6AB41" w14:textId="77777777" w:rsidR="00162E0C" w:rsidRPr="00FB2F3D" w:rsidRDefault="00162E0C" w:rsidP="00BA0E5D">
            <w:pPr>
              <w:pStyle w:val="UK12Block"/>
              <w:jc w:val="left"/>
              <w:rPr>
                <w:rFonts w:ascii="Arial" w:hAnsi="Arial" w:cs="Arial"/>
                <w:sz w:val="22"/>
                <w:szCs w:val="22"/>
              </w:rPr>
            </w:pPr>
          </w:p>
        </w:tc>
        <w:tc>
          <w:tcPr>
            <w:tcW w:w="562" w:type="dxa"/>
          </w:tcPr>
          <w:p w14:paraId="3714DEEA" w14:textId="77777777" w:rsidR="00162E0C" w:rsidRPr="00FB2F3D" w:rsidRDefault="00162E0C" w:rsidP="00BA0E5D">
            <w:pPr>
              <w:pStyle w:val="UK12Block"/>
              <w:jc w:val="left"/>
              <w:rPr>
                <w:rFonts w:ascii="Arial" w:hAnsi="Arial" w:cs="Arial"/>
                <w:sz w:val="22"/>
                <w:szCs w:val="22"/>
              </w:rPr>
            </w:pPr>
          </w:p>
        </w:tc>
      </w:tr>
      <w:tr w:rsidR="00162E0C" w:rsidRPr="00FB2F3D" w14:paraId="0380EBEA" w14:textId="77777777" w:rsidTr="00C12E85">
        <w:tc>
          <w:tcPr>
            <w:tcW w:w="648" w:type="dxa"/>
          </w:tcPr>
          <w:p w14:paraId="60DECEE9" w14:textId="77777777" w:rsidR="00162E0C" w:rsidRPr="00FB2F3D" w:rsidRDefault="00162E0C" w:rsidP="00755725">
            <w:pPr>
              <w:pStyle w:val="UK12Block"/>
              <w:numPr>
                <w:ilvl w:val="1"/>
                <w:numId w:val="67"/>
              </w:numPr>
              <w:rPr>
                <w:rFonts w:ascii="Arial" w:hAnsi="Arial" w:cs="Arial"/>
                <w:b/>
                <w:sz w:val="22"/>
                <w:szCs w:val="22"/>
              </w:rPr>
            </w:pPr>
          </w:p>
        </w:tc>
        <w:tc>
          <w:tcPr>
            <w:tcW w:w="3453" w:type="dxa"/>
          </w:tcPr>
          <w:p w14:paraId="5EB4995C"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t xml:space="preserve">Any change to the Board of the </w:t>
            </w:r>
            <w:r w:rsidR="005A10A6" w:rsidRPr="00FB2F3D">
              <w:rPr>
                <w:rFonts w:ascii="Arial" w:hAnsi="Arial" w:cs="Arial"/>
                <w:sz w:val="22"/>
                <w:szCs w:val="22"/>
              </w:rPr>
              <w:t>Reporting Entity</w:t>
            </w:r>
            <w:r w:rsidRPr="00FB2F3D">
              <w:rPr>
                <w:rFonts w:ascii="Arial" w:hAnsi="Arial" w:cs="Arial"/>
                <w:sz w:val="22"/>
                <w:szCs w:val="22"/>
              </w:rPr>
              <w:t xml:space="preserve"> including:</w:t>
            </w:r>
          </w:p>
          <w:p w14:paraId="516C3AA8" w14:textId="77777777" w:rsidR="00162E0C" w:rsidRPr="00FB2F3D" w:rsidRDefault="00162E0C" w:rsidP="00755725">
            <w:pPr>
              <w:pStyle w:val="UK12Block"/>
              <w:numPr>
                <w:ilvl w:val="2"/>
                <w:numId w:val="67"/>
              </w:numPr>
              <w:jc w:val="left"/>
              <w:rPr>
                <w:rFonts w:ascii="Arial" w:hAnsi="Arial" w:cs="Arial"/>
                <w:sz w:val="22"/>
                <w:szCs w:val="22"/>
              </w:rPr>
            </w:pPr>
            <w:r w:rsidRPr="00FB2F3D">
              <w:rPr>
                <w:rFonts w:ascii="Arial" w:hAnsi="Arial" w:cs="Arial"/>
                <w:sz w:val="22"/>
                <w:szCs w:val="22"/>
              </w:rPr>
              <w:t>the appointment of a new Director;</w:t>
            </w:r>
          </w:p>
          <w:p w14:paraId="40132FE0" w14:textId="77777777" w:rsidR="00162E0C" w:rsidRPr="00FB2F3D" w:rsidRDefault="00162E0C" w:rsidP="00755725">
            <w:pPr>
              <w:pStyle w:val="UK12Block"/>
              <w:numPr>
                <w:ilvl w:val="2"/>
                <w:numId w:val="67"/>
              </w:numPr>
              <w:jc w:val="left"/>
              <w:rPr>
                <w:rFonts w:ascii="Arial" w:hAnsi="Arial" w:cs="Arial"/>
                <w:sz w:val="22"/>
                <w:szCs w:val="22"/>
              </w:rPr>
            </w:pPr>
            <w:r w:rsidRPr="00FB2F3D">
              <w:rPr>
                <w:rFonts w:ascii="Arial" w:hAnsi="Arial" w:cs="Arial"/>
                <w:sz w:val="22"/>
                <w:szCs w:val="22"/>
              </w:rPr>
              <w:t>the resignation, retirement or removal of an existing Director; and</w:t>
            </w:r>
          </w:p>
          <w:p w14:paraId="3B206CFB" w14:textId="77777777" w:rsidR="00162E0C" w:rsidRPr="00FB2F3D" w:rsidRDefault="00162E0C" w:rsidP="00755725">
            <w:pPr>
              <w:pStyle w:val="UK12Block"/>
              <w:numPr>
                <w:ilvl w:val="2"/>
                <w:numId w:val="67"/>
              </w:numPr>
              <w:jc w:val="left"/>
              <w:rPr>
                <w:rFonts w:ascii="Arial" w:hAnsi="Arial" w:cs="Arial"/>
                <w:sz w:val="22"/>
                <w:szCs w:val="22"/>
              </w:rPr>
            </w:pPr>
            <w:r w:rsidRPr="00FB2F3D">
              <w:rPr>
                <w:rFonts w:ascii="Arial" w:hAnsi="Arial" w:cs="Arial"/>
                <w:sz w:val="22"/>
                <w:szCs w:val="22"/>
              </w:rPr>
              <w:lastRenderedPageBreak/>
              <w:t>changes to any important functions or executive responsibilities of a Director.</w:t>
            </w:r>
          </w:p>
        </w:tc>
        <w:tc>
          <w:tcPr>
            <w:tcW w:w="3837" w:type="dxa"/>
          </w:tcPr>
          <w:p w14:paraId="6601B365" w14:textId="287C6C1F" w:rsidR="00162E0C" w:rsidRPr="00FB2F3D" w:rsidRDefault="00C24D19" w:rsidP="007F1B35">
            <w:pPr>
              <w:pStyle w:val="UK12Block"/>
              <w:jc w:val="left"/>
              <w:rPr>
                <w:rFonts w:ascii="Arial" w:hAnsi="Arial" w:cs="Arial"/>
                <w:sz w:val="22"/>
                <w:szCs w:val="22"/>
              </w:rPr>
            </w:pPr>
            <w:r>
              <w:rPr>
                <w:rFonts w:ascii="Arial" w:hAnsi="Arial" w:cs="Arial"/>
                <w:sz w:val="22"/>
                <w:szCs w:val="22"/>
              </w:rPr>
              <w:lastRenderedPageBreak/>
              <w:t>D</w:t>
            </w:r>
            <w:r w:rsidR="00162E0C" w:rsidRPr="00FB2F3D">
              <w:rPr>
                <w:rFonts w:ascii="Arial" w:hAnsi="Arial" w:cs="Arial"/>
                <w:sz w:val="22"/>
                <w:szCs w:val="22"/>
              </w:rPr>
              <w:t>isclosure of:</w:t>
            </w:r>
          </w:p>
          <w:p w14:paraId="6A4C1E34" w14:textId="77777777" w:rsidR="00162E0C" w:rsidRPr="00FB2F3D" w:rsidRDefault="00162E0C" w:rsidP="00755725">
            <w:pPr>
              <w:pStyle w:val="UK12Block"/>
              <w:numPr>
                <w:ilvl w:val="0"/>
                <w:numId w:val="68"/>
              </w:numPr>
              <w:jc w:val="left"/>
              <w:rPr>
                <w:rFonts w:ascii="Arial" w:hAnsi="Arial" w:cs="Arial"/>
                <w:sz w:val="22"/>
                <w:szCs w:val="22"/>
              </w:rPr>
            </w:pPr>
            <w:r w:rsidRPr="00FB2F3D">
              <w:rPr>
                <w:rFonts w:ascii="Arial" w:hAnsi="Arial" w:cs="Arial"/>
                <w:sz w:val="22"/>
                <w:szCs w:val="22"/>
              </w:rPr>
              <w:t>the effective date of the change (if it has been decided);</w:t>
            </w:r>
          </w:p>
          <w:p w14:paraId="052F9C0B" w14:textId="77777777" w:rsidR="00162E0C" w:rsidRPr="00FB2F3D" w:rsidRDefault="00162E0C" w:rsidP="00755725">
            <w:pPr>
              <w:pStyle w:val="UK12Block"/>
              <w:numPr>
                <w:ilvl w:val="0"/>
                <w:numId w:val="68"/>
              </w:numPr>
              <w:jc w:val="left"/>
              <w:rPr>
                <w:rFonts w:ascii="Arial" w:hAnsi="Arial" w:cs="Arial"/>
                <w:sz w:val="22"/>
                <w:szCs w:val="22"/>
              </w:rPr>
            </w:pPr>
            <w:r w:rsidRPr="00FB2F3D">
              <w:rPr>
                <w:rFonts w:ascii="Arial" w:hAnsi="Arial" w:cs="Arial"/>
                <w:sz w:val="22"/>
                <w:szCs w:val="22"/>
              </w:rPr>
              <w:t>whether the position is executive or non</w:t>
            </w:r>
            <w:r w:rsidRPr="00FB2F3D">
              <w:rPr>
                <w:rFonts w:ascii="Arial" w:hAnsi="Arial" w:cs="Arial"/>
                <w:sz w:val="22"/>
                <w:szCs w:val="22"/>
              </w:rPr>
              <w:noBreakHyphen/>
              <w:t>executive;</w:t>
            </w:r>
          </w:p>
          <w:p w14:paraId="0E81FBBC" w14:textId="77777777" w:rsidR="00162E0C" w:rsidRPr="00FB2F3D" w:rsidRDefault="00162E0C" w:rsidP="00755725">
            <w:pPr>
              <w:pStyle w:val="UK12Block"/>
              <w:numPr>
                <w:ilvl w:val="0"/>
                <w:numId w:val="68"/>
              </w:numPr>
              <w:jc w:val="left"/>
              <w:rPr>
                <w:rFonts w:ascii="Arial" w:hAnsi="Arial" w:cs="Arial"/>
                <w:sz w:val="22"/>
                <w:szCs w:val="22"/>
              </w:rPr>
            </w:pPr>
            <w:r w:rsidRPr="00FB2F3D">
              <w:rPr>
                <w:rFonts w:ascii="Arial" w:hAnsi="Arial" w:cs="Arial"/>
                <w:sz w:val="22"/>
                <w:szCs w:val="22"/>
              </w:rPr>
              <w:lastRenderedPageBreak/>
              <w:t>whether the position is considered to be independent; and</w:t>
            </w:r>
          </w:p>
          <w:p w14:paraId="2BA31571" w14:textId="77777777" w:rsidR="00162E0C" w:rsidRPr="00FB2F3D" w:rsidRDefault="00162E0C" w:rsidP="00755725">
            <w:pPr>
              <w:pStyle w:val="UK12Block"/>
              <w:numPr>
                <w:ilvl w:val="0"/>
                <w:numId w:val="68"/>
              </w:numPr>
              <w:jc w:val="left"/>
              <w:rPr>
                <w:rFonts w:ascii="Arial" w:hAnsi="Arial" w:cs="Arial"/>
                <w:sz w:val="22"/>
                <w:szCs w:val="22"/>
              </w:rPr>
            </w:pPr>
            <w:r w:rsidRPr="00FB2F3D">
              <w:rPr>
                <w:rFonts w:ascii="Arial" w:hAnsi="Arial" w:cs="Arial"/>
                <w:sz w:val="22"/>
                <w:szCs w:val="22"/>
              </w:rPr>
              <w:t>the nature of any functions or responsibility of the position.</w:t>
            </w:r>
          </w:p>
        </w:tc>
        <w:tc>
          <w:tcPr>
            <w:tcW w:w="1980" w:type="dxa"/>
          </w:tcPr>
          <w:p w14:paraId="2A7A6818"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lastRenderedPageBreak/>
              <w:t>As soon as possible.</w:t>
            </w:r>
          </w:p>
        </w:tc>
        <w:tc>
          <w:tcPr>
            <w:tcW w:w="450" w:type="dxa"/>
          </w:tcPr>
          <w:p w14:paraId="34F8249B"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2EA11784"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360" w:type="dxa"/>
          </w:tcPr>
          <w:p w14:paraId="750FE82F" w14:textId="77777777" w:rsidR="00162E0C" w:rsidRPr="00FB2F3D" w:rsidRDefault="00162E0C" w:rsidP="00BA0E5D">
            <w:pPr>
              <w:pStyle w:val="UK12Block"/>
              <w:jc w:val="left"/>
              <w:rPr>
                <w:rFonts w:ascii="Arial" w:hAnsi="Arial" w:cs="Arial"/>
                <w:sz w:val="22"/>
                <w:szCs w:val="22"/>
              </w:rPr>
            </w:pPr>
          </w:p>
        </w:tc>
        <w:tc>
          <w:tcPr>
            <w:tcW w:w="810" w:type="dxa"/>
            <w:gridSpan w:val="2"/>
          </w:tcPr>
          <w:p w14:paraId="7E4B4CFB" w14:textId="77777777" w:rsidR="00162E0C" w:rsidRPr="00FB2F3D" w:rsidRDefault="00162E0C" w:rsidP="00BA0E5D">
            <w:pPr>
              <w:pStyle w:val="UK12Block"/>
              <w:jc w:val="left"/>
              <w:rPr>
                <w:rFonts w:ascii="Arial" w:hAnsi="Arial" w:cs="Arial"/>
                <w:sz w:val="22"/>
                <w:szCs w:val="22"/>
              </w:rPr>
            </w:pPr>
          </w:p>
        </w:tc>
        <w:tc>
          <w:tcPr>
            <w:tcW w:w="630" w:type="dxa"/>
          </w:tcPr>
          <w:p w14:paraId="29D52768"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71557BBF" w14:textId="77777777" w:rsidR="00162E0C" w:rsidRPr="00FB2F3D" w:rsidRDefault="00162E0C" w:rsidP="00BA0E5D">
            <w:pPr>
              <w:pStyle w:val="UK12Block"/>
              <w:jc w:val="left"/>
              <w:rPr>
                <w:rFonts w:ascii="Arial" w:hAnsi="Arial" w:cs="Arial"/>
                <w:sz w:val="22"/>
                <w:szCs w:val="22"/>
              </w:rPr>
            </w:pPr>
          </w:p>
        </w:tc>
        <w:tc>
          <w:tcPr>
            <w:tcW w:w="562" w:type="dxa"/>
          </w:tcPr>
          <w:p w14:paraId="77794CB6" w14:textId="77777777" w:rsidR="00162E0C" w:rsidRPr="00FB2F3D" w:rsidRDefault="00162E0C" w:rsidP="00BA0E5D">
            <w:pPr>
              <w:pStyle w:val="UK12Block"/>
              <w:jc w:val="left"/>
              <w:rPr>
                <w:rFonts w:ascii="Arial" w:hAnsi="Arial" w:cs="Arial"/>
                <w:sz w:val="22"/>
                <w:szCs w:val="22"/>
              </w:rPr>
            </w:pPr>
          </w:p>
        </w:tc>
      </w:tr>
      <w:tr w:rsidR="00162E0C" w:rsidRPr="00FB2F3D" w14:paraId="2D34C13D" w14:textId="77777777" w:rsidTr="00C12E85">
        <w:tc>
          <w:tcPr>
            <w:tcW w:w="648" w:type="dxa"/>
          </w:tcPr>
          <w:p w14:paraId="03E724FC" w14:textId="77777777" w:rsidR="00162E0C" w:rsidRPr="00FB2F3D" w:rsidRDefault="00162E0C" w:rsidP="00755725">
            <w:pPr>
              <w:pStyle w:val="UK12Block"/>
              <w:numPr>
                <w:ilvl w:val="1"/>
                <w:numId w:val="67"/>
              </w:numPr>
              <w:rPr>
                <w:rFonts w:ascii="Arial" w:hAnsi="Arial" w:cs="Arial"/>
                <w:b/>
                <w:sz w:val="22"/>
                <w:szCs w:val="22"/>
              </w:rPr>
            </w:pPr>
          </w:p>
        </w:tc>
        <w:tc>
          <w:tcPr>
            <w:tcW w:w="3453" w:type="dxa"/>
          </w:tcPr>
          <w:p w14:paraId="55829B22"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t>In the case of an appointment of a new Director.</w:t>
            </w:r>
          </w:p>
        </w:tc>
        <w:tc>
          <w:tcPr>
            <w:tcW w:w="3837" w:type="dxa"/>
          </w:tcPr>
          <w:p w14:paraId="0E863B0D" w14:textId="4059E126" w:rsidR="00162E0C" w:rsidRPr="00FB2F3D" w:rsidRDefault="00C24D19" w:rsidP="00BA0E5D">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w:t>
            </w:r>
          </w:p>
          <w:p w14:paraId="4E941114" w14:textId="77777777" w:rsidR="00162E0C" w:rsidRPr="00FB2F3D" w:rsidRDefault="00162E0C" w:rsidP="00755725">
            <w:pPr>
              <w:pStyle w:val="UK12Block"/>
              <w:numPr>
                <w:ilvl w:val="2"/>
                <w:numId w:val="67"/>
              </w:numPr>
              <w:jc w:val="left"/>
              <w:rPr>
                <w:rFonts w:ascii="Arial" w:hAnsi="Arial" w:cs="Arial"/>
                <w:sz w:val="22"/>
                <w:szCs w:val="22"/>
              </w:rPr>
            </w:pPr>
            <w:r w:rsidRPr="00FB2F3D">
              <w:rPr>
                <w:rFonts w:ascii="Arial" w:hAnsi="Arial" w:cs="Arial"/>
                <w:sz w:val="22"/>
                <w:szCs w:val="22"/>
              </w:rPr>
              <w:t>all directorships past or present held by the Director in any other Body Corporate in the previous five years;</w:t>
            </w:r>
          </w:p>
          <w:p w14:paraId="215FFE50" w14:textId="77777777" w:rsidR="00162E0C" w:rsidRPr="00FB2F3D" w:rsidRDefault="00162E0C" w:rsidP="00755725">
            <w:pPr>
              <w:pStyle w:val="UK12Block"/>
              <w:numPr>
                <w:ilvl w:val="2"/>
                <w:numId w:val="67"/>
              </w:numPr>
              <w:jc w:val="left"/>
              <w:rPr>
                <w:rFonts w:ascii="Arial" w:hAnsi="Arial" w:cs="Arial"/>
                <w:sz w:val="22"/>
                <w:szCs w:val="22"/>
              </w:rPr>
            </w:pPr>
            <w:r w:rsidRPr="00FB2F3D">
              <w:rPr>
                <w:rFonts w:ascii="Arial" w:hAnsi="Arial" w:cs="Arial"/>
                <w:sz w:val="22"/>
                <w:szCs w:val="22"/>
              </w:rPr>
              <w:t>the experience of the Director;</w:t>
            </w:r>
          </w:p>
          <w:p w14:paraId="7AAC18ED" w14:textId="77777777" w:rsidR="00162E0C" w:rsidRPr="00FB2F3D" w:rsidRDefault="00162E0C" w:rsidP="00755725">
            <w:pPr>
              <w:pStyle w:val="UK12Block"/>
              <w:numPr>
                <w:ilvl w:val="2"/>
                <w:numId w:val="67"/>
              </w:numPr>
              <w:jc w:val="left"/>
              <w:rPr>
                <w:rFonts w:ascii="Arial" w:hAnsi="Arial" w:cs="Arial"/>
                <w:sz w:val="22"/>
                <w:szCs w:val="22"/>
              </w:rPr>
            </w:pPr>
            <w:r w:rsidRPr="00FB2F3D">
              <w:rPr>
                <w:rFonts w:ascii="Arial" w:hAnsi="Arial" w:cs="Arial"/>
                <w:sz w:val="22"/>
                <w:szCs w:val="22"/>
              </w:rPr>
              <w:t>details of the process by which the Director was selected;</w:t>
            </w:r>
          </w:p>
          <w:p w14:paraId="37454272" w14:textId="77777777" w:rsidR="00162E0C" w:rsidRPr="00FB2F3D" w:rsidRDefault="00162E0C" w:rsidP="00755725">
            <w:pPr>
              <w:pStyle w:val="UK12Block"/>
              <w:numPr>
                <w:ilvl w:val="2"/>
                <w:numId w:val="67"/>
              </w:numPr>
              <w:jc w:val="left"/>
              <w:rPr>
                <w:rFonts w:ascii="Arial" w:hAnsi="Arial" w:cs="Arial"/>
                <w:sz w:val="22"/>
                <w:szCs w:val="22"/>
              </w:rPr>
            </w:pPr>
            <w:r w:rsidRPr="00FB2F3D">
              <w:rPr>
                <w:rFonts w:ascii="Arial" w:hAnsi="Arial" w:cs="Arial"/>
                <w:sz w:val="22"/>
                <w:szCs w:val="22"/>
              </w:rPr>
              <w:t>any unspent convictions relating to serious criminal offences;</w:t>
            </w:r>
          </w:p>
          <w:p w14:paraId="7712DD1D" w14:textId="77777777" w:rsidR="00162E0C" w:rsidRPr="00FB2F3D" w:rsidRDefault="00162E0C" w:rsidP="00755725">
            <w:pPr>
              <w:pStyle w:val="UK12Block"/>
              <w:numPr>
                <w:ilvl w:val="2"/>
                <w:numId w:val="67"/>
              </w:numPr>
              <w:jc w:val="left"/>
              <w:rPr>
                <w:rFonts w:ascii="Arial" w:hAnsi="Arial" w:cs="Arial"/>
                <w:sz w:val="22"/>
                <w:szCs w:val="22"/>
              </w:rPr>
            </w:pPr>
            <w:r w:rsidRPr="00FB2F3D">
              <w:rPr>
                <w:rFonts w:ascii="Arial" w:hAnsi="Arial" w:cs="Arial"/>
                <w:sz w:val="22"/>
                <w:szCs w:val="22"/>
              </w:rPr>
              <w:t>any bankruptcies or individual voluntary arrangements of the Director;</w:t>
            </w:r>
          </w:p>
          <w:p w14:paraId="29B9893D" w14:textId="77777777" w:rsidR="00162E0C" w:rsidRPr="00FB2F3D" w:rsidRDefault="00162E0C" w:rsidP="00755725">
            <w:pPr>
              <w:pStyle w:val="UK12Block"/>
              <w:numPr>
                <w:ilvl w:val="2"/>
                <w:numId w:val="67"/>
              </w:numPr>
              <w:jc w:val="left"/>
              <w:rPr>
                <w:rFonts w:ascii="Arial" w:hAnsi="Arial" w:cs="Arial"/>
                <w:sz w:val="22"/>
                <w:szCs w:val="22"/>
              </w:rPr>
            </w:pPr>
            <w:r w:rsidRPr="00FB2F3D">
              <w:rPr>
                <w:rFonts w:ascii="Arial" w:hAnsi="Arial" w:cs="Arial"/>
                <w:sz w:val="22"/>
                <w:szCs w:val="22"/>
              </w:rPr>
              <w:lastRenderedPageBreak/>
              <w:t xml:space="preserve">any compulsory liquidations, creditors voluntary liquidations, </w:t>
            </w:r>
            <w:r w:rsidR="00EE4C51" w:rsidRPr="00FB2F3D">
              <w:rPr>
                <w:rFonts w:ascii="Arial" w:hAnsi="Arial" w:cs="Arial"/>
                <w:sz w:val="22"/>
                <w:szCs w:val="22"/>
              </w:rPr>
              <w:t>Company</w:t>
            </w:r>
            <w:r w:rsidRPr="00FB2F3D">
              <w:rPr>
                <w:rFonts w:ascii="Arial" w:hAnsi="Arial" w:cs="Arial"/>
                <w:sz w:val="22"/>
                <w:szCs w:val="22"/>
              </w:rPr>
              <w:t xml:space="preserve"> voluntary arrangements, receivership or any composition or arrangement with creditors generally or any class of creditors of any Body Corporate where such an individual was the Director at the time of or within the 12 months preceding the occurrence of such events; and</w:t>
            </w:r>
          </w:p>
          <w:p w14:paraId="4DD2AB9F" w14:textId="49D0DB52" w:rsidR="00162E0C" w:rsidRPr="00FB2F3D" w:rsidRDefault="00162E0C" w:rsidP="00755725">
            <w:pPr>
              <w:pStyle w:val="UK12Block"/>
              <w:numPr>
                <w:ilvl w:val="2"/>
                <w:numId w:val="67"/>
              </w:numPr>
              <w:jc w:val="left"/>
              <w:rPr>
                <w:rFonts w:ascii="Arial" w:hAnsi="Arial" w:cs="Arial"/>
                <w:sz w:val="22"/>
                <w:szCs w:val="22"/>
              </w:rPr>
            </w:pPr>
            <w:r w:rsidRPr="00FB2F3D">
              <w:rPr>
                <w:rFonts w:ascii="Arial" w:hAnsi="Arial" w:cs="Arial"/>
                <w:sz w:val="22"/>
                <w:szCs w:val="22"/>
              </w:rPr>
              <w:t xml:space="preserve">any public criticism or disqualification of the individual by a governmental or regulatory authority and whether the individual has ever been disqualified by a court from acting as a Director of a Body Corporate or from acting in the management or conduct of the affairs of any Body Corporate or, if there are no </w:t>
            </w:r>
            <w:r w:rsidRPr="00FB2F3D">
              <w:rPr>
                <w:rFonts w:ascii="Arial" w:hAnsi="Arial" w:cs="Arial"/>
                <w:sz w:val="22"/>
                <w:szCs w:val="22"/>
              </w:rPr>
              <w:lastRenderedPageBreak/>
              <w:t xml:space="preserve">such details to be </w:t>
            </w:r>
            <w:r w:rsidR="00C24D19">
              <w:rPr>
                <w:rFonts w:ascii="Arial" w:hAnsi="Arial" w:cs="Arial"/>
                <w:sz w:val="22"/>
                <w:szCs w:val="22"/>
              </w:rPr>
              <w:t>D</w:t>
            </w:r>
            <w:r w:rsidRPr="00FB2F3D">
              <w:rPr>
                <w:rFonts w:ascii="Arial" w:hAnsi="Arial" w:cs="Arial"/>
                <w:sz w:val="22"/>
                <w:szCs w:val="22"/>
              </w:rPr>
              <w:t>isclosed, that fact.</w:t>
            </w:r>
          </w:p>
        </w:tc>
        <w:tc>
          <w:tcPr>
            <w:tcW w:w="1980" w:type="dxa"/>
          </w:tcPr>
          <w:p w14:paraId="260ED106" w14:textId="645E0CEA"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lastRenderedPageBreak/>
              <w:t xml:space="preserve">Within </w:t>
            </w:r>
            <w:r w:rsidR="00C24D19">
              <w:rPr>
                <w:rFonts w:ascii="Arial" w:hAnsi="Arial" w:cs="Arial"/>
                <w:sz w:val="22"/>
                <w:szCs w:val="22"/>
              </w:rPr>
              <w:t>five Business D</w:t>
            </w:r>
            <w:r w:rsidRPr="00FB2F3D">
              <w:rPr>
                <w:rFonts w:ascii="Arial" w:hAnsi="Arial" w:cs="Arial"/>
                <w:sz w:val="22"/>
                <w:szCs w:val="22"/>
              </w:rPr>
              <w:t>ays of the appointment.</w:t>
            </w:r>
          </w:p>
        </w:tc>
        <w:tc>
          <w:tcPr>
            <w:tcW w:w="450" w:type="dxa"/>
          </w:tcPr>
          <w:p w14:paraId="217599FD"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37A14B56"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360" w:type="dxa"/>
          </w:tcPr>
          <w:p w14:paraId="41D40692" w14:textId="77777777" w:rsidR="00162E0C" w:rsidRPr="00FB2F3D" w:rsidRDefault="00162E0C" w:rsidP="00BA0E5D">
            <w:pPr>
              <w:pStyle w:val="UK12Block"/>
              <w:jc w:val="left"/>
              <w:rPr>
                <w:rFonts w:ascii="Arial" w:hAnsi="Arial" w:cs="Arial"/>
                <w:sz w:val="22"/>
                <w:szCs w:val="22"/>
              </w:rPr>
            </w:pPr>
          </w:p>
        </w:tc>
        <w:tc>
          <w:tcPr>
            <w:tcW w:w="810" w:type="dxa"/>
            <w:gridSpan w:val="2"/>
          </w:tcPr>
          <w:p w14:paraId="7E0CF131" w14:textId="77777777" w:rsidR="00162E0C" w:rsidRPr="00FB2F3D" w:rsidRDefault="00162E0C" w:rsidP="00BA0E5D">
            <w:pPr>
              <w:pStyle w:val="UK12Block"/>
              <w:jc w:val="left"/>
              <w:rPr>
                <w:rFonts w:ascii="Arial" w:hAnsi="Arial" w:cs="Arial"/>
                <w:sz w:val="22"/>
                <w:szCs w:val="22"/>
              </w:rPr>
            </w:pPr>
          </w:p>
        </w:tc>
        <w:tc>
          <w:tcPr>
            <w:tcW w:w="630" w:type="dxa"/>
          </w:tcPr>
          <w:p w14:paraId="518DE30E"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4B4C6C79" w14:textId="77777777" w:rsidR="00162E0C" w:rsidRPr="00FB2F3D" w:rsidRDefault="00162E0C" w:rsidP="00BA0E5D">
            <w:pPr>
              <w:pStyle w:val="UK12Block"/>
              <w:jc w:val="left"/>
              <w:rPr>
                <w:rFonts w:ascii="Arial" w:hAnsi="Arial" w:cs="Arial"/>
                <w:sz w:val="22"/>
                <w:szCs w:val="22"/>
              </w:rPr>
            </w:pPr>
          </w:p>
        </w:tc>
        <w:tc>
          <w:tcPr>
            <w:tcW w:w="562" w:type="dxa"/>
          </w:tcPr>
          <w:p w14:paraId="4DEA365F" w14:textId="77777777" w:rsidR="00162E0C" w:rsidRPr="00FB2F3D" w:rsidRDefault="00162E0C" w:rsidP="00BA0E5D">
            <w:pPr>
              <w:pStyle w:val="UK12Block"/>
              <w:jc w:val="left"/>
              <w:rPr>
                <w:rFonts w:ascii="Arial" w:hAnsi="Arial" w:cs="Arial"/>
                <w:sz w:val="22"/>
                <w:szCs w:val="22"/>
              </w:rPr>
            </w:pPr>
          </w:p>
        </w:tc>
      </w:tr>
      <w:tr w:rsidR="00162E0C" w:rsidRPr="00FB2F3D" w14:paraId="35CB796A" w14:textId="77777777" w:rsidTr="00C12E85">
        <w:tc>
          <w:tcPr>
            <w:tcW w:w="648" w:type="dxa"/>
          </w:tcPr>
          <w:p w14:paraId="5BE61C1F" w14:textId="77777777" w:rsidR="00162E0C" w:rsidRPr="00FB2F3D" w:rsidRDefault="00162E0C" w:rsidP="00755725">
            <w:pPr>
              <w:pStyle w:val="UK12Block"/>
              <w:numPr>
                <w:ilvl w:val="1"/>
                <w:numId w:val="67"/>
              </w:numPr>
              <w:rPr>
                <w:rFonts w:ascii="Arial" w:hAnsi="Arial" w:cs="Arial"/>
                <w:b/>
                <w:sz w:val="22"/>
                <w:szCs w:val="22"/>
              </w:rPr>
            </w:pPr>
          </w:p>
        </w:tc>
        <w:tc>
          <w:tcPr>
            <w:tcW w:w="3453" w:type="dxa"/>
          </w:tcPr>
          <w:p w14:paraId="25D1BEBC" w14:textId="77777777" w:rsidR="00162E0C" w:rsidRPr="00FB2F3D" w:rsidRDefault="00162E0C" w:rsidP="0098450E">
            <w:pPr>
              <w:pStyle w:val="UK12Block"/>
              <w:jc w:val="left"/>
              <w:rPr>
                <w:rFonts w:ascii="Arial" w:hAnsi="Arial" w:cs="Arial"/>
                <w:sz w:val="22"/>
                <w:szCs w:val="22"/>
              </w:rPr>
            </w:pPr>
            <w:r w:rsidRPr="00FB2F3D">
              <w:rPr>
                <w:rFonts w:ascii="Arial" w:hAnsi="Arial" w:cs="Arial"/>
                <w:sz w:val="22"/>
                <w:szCs w:val="22"/>
              </w:rPr>
              <w:t xml:space="preserve">Any event that requires </w:t>
            </w:r>
            <w:r w:rsidR="00B46F00" w:rsidRPr="00FB2F3D">
              <w:rPr>
                <w:rFonts w:ascii="Arial" w:hAnsi="Arial" w:cs="Arial"/>
                <w:sz w:val="22"/>
                <w:szCs w:val="22"/>
              </w:rPr>
              <w:t>Shareholder</w:t>
            </w:r>
            <w:r w:rsidRPr="00FB2F3D">
              <w:rPr>
                <w:rFonts w:ascii="Arial" w:hAnsi="Arial" w:cs="Arial"/>
                <w:sz w:val="22"/>
                <w:szCs w:val="22"/>
              </w:rPr>
              <w:t xml:space="preserve"> approval as set out in Rule </w:t>
            </w:r>
            <w:r w:rsidR="00693841" w:rsidRPr="00FB2F3D">
              <w:rPr>
                <w:rFonts w:ascii="Arial" w:hAnsi="Arial" w:cs="Arial"/>
                <w:sz w:val="22"/>
                <w:szCs w:val="22"/>
              </w:rPr>
              <w:t>9.3.8</w:t>
            </w:r>
            <w:r w:rsidRPr="00FB2F3D">
              <w:rPr>
                <w:rFonts w:ascii="Arial" w:hAnsi="Arial" w:cs="Arial"/>
                <w:sz w:val="22"/>
                <w:szCs w:val="22"/>
              </w:rPr>
              <w:t>.</w:t>
            </w:r>
          </w:p>
        </w:tc>
        <w:tc>
          <w:tcPr>
            <w:tcW w:w="3837" w:type="dxa"/>
          </w:tcPr>
          <w:p w14:paraId="7A8EF43B" w14:textId="3C37643C" w:rsidR="00162E0C" w:rsidRPr="00FB2F3D" w:rsidRDefault="00C24D19" w:rsidP="00BA0E5D">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w:t>
            </w:r>
          </w:p>
          <w:p w14:paraId="593C75A4" w14:textId="77777777" w:rsidR="00162E0C" w:rsidRPr="00FB2F3D" w:rsidRDefault="00162E0C" w:rsidP="00755725">
            <w:pPr>
              <w:pStyle w:val="UK12Block"/>
              <w:numPr>
                <w:ilvl w:val="2"/>
                <w:numId w:val="69"/>
              </w:numPr>
              <w:jc w:val="left"/>
              <w:rPr>
                <w:rFonts w:ascii="Arial" w:hAnsi="Arial" w:cs="Arial"/>
                <w:sz w:val="22"/>
                <w:szCs w:val="22"/>
              </w:rPr>
            </w:pPr>
            <w:r w:rsidRPr="00FB2F3D">
              <w:rPr>
                <w:rFonts w:ascii="Arial" w:hAnsi="Arial" w:cs="Arial"/>
                <w:sz w:val="22"/>
                <w:szCs w:val="22"/>
              </w:rPr>
              <w:t>the nature, details, contents and effect of the relevant event; and</w:t>
            </w:r>
          </w:p>
          <w:p w14:paraId="7F79F84E" w14:textId="78FC5620" w:rsidR="00162E0C" w:rsidRPr="00FB2F3D" w:rsidRDefault="00162E0C" w:rsidP="00755725">
            <w:pPr>
              <w:pStyle w:val="UK12Block"/>
              <w:numPr>
                <w:ilvl w:val="2"/>
                <w:numId w:val="69"/>
              </w:numPr>
              <w:jc w:val="left"/>
              <w:rPr>
                <w:rFonts w:ascii="Arial" w:hAnsi="Arial" w:cs="Arial"/>
                <w:sz w:val="22"/>
                <w:szCs w:val="22"/>
              </w:rPr>
            </w:pPr>
            <w:r w:rsidRPr="00FB2F3D">
              <w:rPr>
                <w:rFonts w:ascii="Arial" w:hAnsi="Arial" w:cs="Arial"/>
                <w:sz w:val="22"/>
                <w:szCs w:val="22"/>
              </w:rPr>
              <w:t xml:space="preserve">any material change affecting any matter contained in an earlier </w:t>
            </w:r>
            <w:r w:rsidR="00C24D19">
              <w:rPr>
                <w:rFonts w:ascii="Arial" w:hAnsi="Arial" w:cs="Arial"/>
                <w:sz w:val="22"/>
                <w:szCs w:val="22"/>
              </w:rPr>
              <w:t>D</w:t>
            </w:r>
            <w:r w:rsidRPr="00FB2F3D">
              <w:rPr>
                <w:rFonts w:ascii="Arial" w:hAnsi="Arial" w:cs="Arial"/>
                <w:sz w:val="22"/>
                <w:szCs w:val="22"/>
              </w:rPr>
              <w:t>isclosure.</w:t>
            </w:r>
          </w:p>
        </w:tc>
        <w:tc>
          <w:tcPr>
            <w:tcW w:w="1980" w:type="dxa"/>
          </w:tcPr>
          <w:p w14:paraId="0537BF7A"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t>As soon as possible.</w:t>
            </w:r>
          </w:p>
        </w:tc>
        <w:tc>
          <w:tcPr>
            <w:tcW w:w="450" w:type="dxa"/>
          </w:tcPr>
          <w:p w14:paraId="46B9579A"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4F629632"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360" w:type="dxa"/>
          </w:tcPr>
          <w:p w14:paraId="1428E18C" w14:textId="77777777" w:rsidR="00162E0C" w:rsidRPr="00FB2F3D" w:rsidRDefault="00162E0C" w:rsidP="00BA0E5D">
            <w:pPr>
              <w:pStyle w:val="UK12Block"/>
              <w:jc w:val="left"/>
              <w:rPr>
                <w:rFonts w:ascii="Arial" w:hAnsi="Arial" w:cs="Arial"/>
                <w:sz w:val="22"/>
                <w:szCs w:val="22"/>
              </w:rPr>
            </w:pPr>
          </w:p>
        </w:tc>
        <w:tc>
          <w:tcPr>
            <w:tcW w:w="810" w:type="dxa"/>
            <w:gridSpan w:val="2"/>
          </w:tcPr>
          <w:p w14:paraId="7F61621E"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55FE03D2" w14:textId="77777777" w:rsidR="00162E0C" w:rsidRPr="00FB2F3D" w:rsidRDefault="00162E0C" w:rsidP="00BA0E5D">
            <w:pPr>
              <w:pStyle w:val="UK12Block"/>
              <w:jc w:val="left"/>
              <w:rPr>
                <w:rFonts w:ascii="Arial" w:hAnsi="Arial" w:cs="Arial"/>
                <w:sz w:val="22"/>
                <w:szCs w:val="22"/>
              </w:rPr>
            </w:pPr>
          </w:p>
        </w:tc>
        <w:tc>
          <w:tcPr>
            <w:tcW w:w="630" w:type="dxa"/>
          </w:tcPr>
          <w:p w14:paraId="0CE570ED" w14:textId="77777777" w:rsidR="00162E0C" w:rsidRPr="00FB2F3D" w:rsidRDefault="00162E0C" w:rsidP="00BA0E5D">
            <w:pPr>
              <w:pStyle w:val="UK12Block"/>
              <w:jc w:val="left"/>
              <w:rPr>
                <w:rFonts w:ascii="Arial" w:hAnsi="Arial" w:cs="Arial"/>
                <w:sz w:val="22"/>
                <w:szCs w:val="22"/>
              </w:rPr>
            </w:pPr>
          </w:p>
        </w:tc>
        <w:tc>
          <w:tcPr>
            <w:tcW w:w="562" w:type="dxa"/>
          </w:tcPr>
          <w:p w14:paraId="5929DB36" w14:textId="77777777" w:rsidR="00162E0C" w:rsidRPr="00FB2F3D" w:rsidRDefault="00162E0C" w:rsidP="00BA0E5D">
            <w:pPr>
              <w:pStyle w:val="UK12Block"/>
              <w:jc w:val="left"/>
              <w:rPr>
                <w:rFonts w:ascii="Arial" w:hAnsi="Arial" w:cs="Arial"/>
                <w:sz w:val="22"/>
                <w:szCs w:val="22"/>
              </w:rPr>
            </w:pPr>
          </w:p>
        </w:tc>
      </w:tr>
      <w:tr w:rsidR="00162E0C" w:rsidRPr="00FB2F3D" w14:paraId="20E72A60" w14:textId="77777777" w:rsidTr="00C12E85">
        <w:tc>
          <w:tcPr>
            <w:tcW w:w="648" w:type="dxa"/>
          </w:tcPr>
          <w:p w14:paraId="59FDA655" w14:textId="77777777" w:rsidR="00162E0C" w:rsidRPr="00FB2F3D" w:rsidRDefault="00162E0C" w:rsidP="00755725">
            <w:pPr>
              <w:pStyle w:val="UK12Block"/>
              <w:numPr>
                <w:ilvl w:val="1"/>
                <w:numId w:val="67"/>
              </w:numPr>
              <w:rPr>
                <w:rFonts w:ascii="Arial" w:hAnsi="Arial" w:cs="Arial"/>
                <w:b/>
                <w:sz w:val="22"/>
                <w:szCs w:val="22"/>
              </w:rPr>
            </w:pPr>
          </w:p>
        </w:tc>
        <w:tc>
          <w:tcPr>
            <w:tcW w:w="3453" w:type="dxa"/>
          </w:tcPr>
          <w:p w14:paraId="72E2E803"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t xml:space="preserve">Any resolution passed by the Directors of the </w:t>
            </w:r>
            <w:r w:rsidR="005A10A6" w:rsidRPr="00FB2F3D">
              <w:rPr>
                <w:rFonts w:ascii="Arial" w:hAnsi="Arial" w:cs="Arial"/>
                <w:sz w:val="22"/>
                <w:szCs w:val="22"/>
              </w:rPr>
              <w:t>Reporting Entity</w:t>
            </w:r>
            <w:r w:rsidRPr="00FB2F3D">
              <w:rPr>
                <w:rFonts w:ascii="Arial" w:hAnsi="Arial" w:cs="Arial"/>
                <w:sz w:val="22"/>
                <w:szCs w:val="22"/>
              </w:rPr>
              <w:t xml:space="preserve"> other than a resolution concerning ordinary business of the </w:t>
            </w:r>
            <w:r w:rsidR="005A10A6" w:rsidRPr="00FB2F3D">
              <w:rPr>
                <w:rFonts w:ascii="Arial" w:hAnsi="Arial" w:cs="Arial"/>
                <w:sz w:val="22"/>
                <w:szCs w:val="22"/>
              </w:rPr>
              <w:t>Reporting Entity</w:t>
            </w:r>
            <w:r w:rsidRPr="00FB2F3D">
              <w:rPr>
                <w:rFonts w:ascii="Arial" w:hAnsi="Arial" w:cs="Arial"/>
                <w:sz w:val="22"/>
                <w:szCs w:val="22"/>
              </w:rPr>
              <w:t>.</w:t>
            </w:r>
          </w:p>
        </w:tc>
        <w:tc>
          <w:tcPr>
            <w:tcW w:w="3837" w:type="dxa"/>
          </w:tcPr>
          <w:p w14:paraId="05EBB2D4" w14:textId="05C23A07" w:rsidR="00162E0C" w:rsidRPr="00FB2F3D" w:rsidRDefault="00C24D19" w:rsidP="00BA0E5D">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the resolution.</w:t>
            </w:r>
          </w:p>
        </w:tc>
        <w:tc>
          <w:tcPr>
            <w:tcW w:w="1980" w:type="dxa"/>
          </w:tcPr>
          <w:p w14:paraId="3E382CAF"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t>As soon as possible.</w:t>
            </w:r>
          </w:p>
        </w:tc>
        <w:tc>
          <w:tcPr>
            <w:tcW w:w="450" w:type="dxa"/>
          </w:tcPr>
          <w:p w14:paraId="0C16FBDC"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68C8E8EE"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360" w:type="dxa"/>
          </w:tcPr>
          <w:p w14:paraId="7E9CF3A2" w14:textId="77777777" w:rsidR="00162E0C" w:rsidRPr="00FB2F3D" w:rsidRDefault="00162E0C" w:rsidP="00BA0E5D">
            <w:pPr>
              <w:pStyle w:val="UK12Block"/>
              <w:jc w:val="left"/>
              <w:rPr>
                <w:rFonts w:ascii="Arial" w:hAnsi="Arial" w:cs="Arial"/>
                <w:sz w:val="22"/>
                <w:szCs w:val="22"/>
              </w:rPr>
            </w:pPr>
          </w:p>
        </w:tc>
        <w:tc>
          <w:tcPr>
            <w:tcW w:w="810" w:type="dxa"/>
            <w:gridSpan w:val="2"/>
          </w:tcPr>
          <w:p w14:paraId="663B93BF" w14:textId="77777777" w:rsidR="00162E0C" w:rsidRPr="00FB2F3D" w:rsidRDefault="00162E0C" w:rsidP="00BA0E5D">
            <w:pPr>
              <w:pStyle w:val="UK12Block"/>
              <w:jc w:val="left"/>
              <w:rPr>
                <w:rFonts w:ascii="Arial" w:hAnsi="Arial" w:cs="Arial"/>
                <w:sz w:val="22"/>
                <w:szCs w:val="22"/>
              </w:rPr>
            </w:pPr>
          </w:p>
        </w:tc>
        <w:tc>
          <w:tcPr>
            <w:tcW w:w="630" w:type="dxa"/>
          </w:tcPr>
          <w:p w14:paraId="169FF702"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11D3BB6E" w14:textId="77777777" w:rsidR="00162E0C" w:rsidRPr="00FB2F3D" w:rsidRDefault="00162E0C" w:rsidP="00BA0E5D">
            <w:pPr>
              <w:pStyle w:val="UK12Block"/>
              <w:jc w:val="left"/>
              <w:rPr>
                <w:rFonts w:ascii="Arial" w:hAnsi="Arial" w:cs="Arial"/>
                <w:sz w:val="22"/>
                <w:szCs w:val="22"/>
              </w:rPr>
            </w:pPr>
          </w:p>
        </w:tc>
        <w:tc>
          <w:tcPr>
            <w:tcW w:w="562" w:type="dxa"/>
          </w:tcPr>
          <w:p w14:paraId="02CA2B2E"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r>
      <w:tr w:rsidR="00162E0C" w:rsidRPr="00FB2F3D" w14:paraId="52E4AD43" w14:textId="77777777" w:rsidTr="00C12E85">
        <w:tc>
          <w:tcPr>
            <w:tcW w:w="14170" w:type="dxa"/>
            <w:gridSpan w:val="13"/>
          </w:tcPr>
          <w:p w14:paraId="5F51743A" w14:textId="77777777" w:rsidR="00162E0C" w:rsidRPr="00FB2F3D" w:rsidRDefault="00162E0C" w:rsidP="00755725">
            <w:pPr>
              <w:pStyle w:val="UK12Block"/>
              <w:keepNext/>
              <w:numPr>
                <w:ilvl w:val="0"/>
                <w:numId w:val="67"/>
              </w:numPr>
              <w:spacing w:after="0"/>
              <w:jc w:val="left"/>
              <w:rPr>
                <w:rFonts w:ascii="Arial" w:hAnsi="Arial" w:cs="Arial"/>
                <w:b/>
                <w:sz w:val="22"/>
                <w:szCs w:val="22"/>
              </w:rPr>
            </w:pPr>
            <w:r w:rsidRPr="00FB2F3D">
              <w:rPr>
                <w:rFonts w:ascii="Arial" w:hAnsi="Arial" w:cs="Arial"/>
                <w:b/>
                <w:sz w:val="22"/>
                <w:szCs w:val="22"/>
              </w:rPr>
              <w:t xml:space="preserve">BUSINESS OF THE </w:t>
            </w:r>
            <w:r w:rsidR="005A10A6" w:rsidRPr="00FB2F3D">
              <w:rPr>
                <w:rFonts w:ascii="Arial" w:hAnsi="Arial" w:cs="Arial"/>
                <w:b/>
                <w:bCs/>
                <w:sz w:val="22"/>
                <w:szCs w:val="22"/>
              </w:rPr>
              <w:t>REPORTING ENTITY</w:t>
            </w:r>
          </w:p>
        </w:tc>
      </w:tr>
      <w:tr w:rsidR="00162E0C" w:rsidRPr="00FB2F3D" w14:paraId="6510BD73" w14:textId="77777777" w:rsidTr="00C12E85">
        <w:tc>
          <w:tcPr>
            <w:tcW w:w="648" w:type="dxa"/>
          </w:tcPr>
          <w:p w14:paraId="29D7B52A" w14:textId="77777777" w:rsidR="00162E0C" w:rsidRPr="00FB2F3D" w:rsidRDefault="00162E0C" w:rsidP="00755725">
            <w:pPr>
              <w:pStyle w:val="UK12Block"/>
              <w:numPr>
                <w:ilvl w:val="1"/>
                <w:numId w:val="67"/>
              </w:numPr>
              <w:rPr>
                <w:rFonts w:ascii="Arial" w:hAnsi="Arial" w:cs="Arial"/>
                <w:b/>
                <w:sz w:val="22"/>
                <w:szCs w:val="22"/>
              </w:rPr>
            </w:pPr>
          </w:p>
        </w:tc>
        <w:tc>
          <w:tcPr>
            <w:tcW w:w="3453" w:type="dxa"/>
          </w:tcPr>
          <w:p w14:paraId="534DCD38"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t>Transactions undertaken which could result in:</w:t>
            </w:r>
          </w:p>
          <w:p w14:paraId="6AC6C9B0" w14:textId="77777777" w:rsidR="00162E0C" w:rsidRPr="00FB2F3D" w:rsidRDefault="00162E0C" w:rsidP="00755725">
            <w:pPr>
              <w:pStyle w:val="UK12Block"/>
              <w:numPr>
                <w:ilvl w:val="2"/>
                <w:numId w:val="67"/>
              </w:numPr>
              <w:jc w:val="left"/>
              <w:rPr>
                <w:rFonts w:ascii="Arial" w:hAnsi="Arial" w:cs="Arial"/>
                <w:sz w:val="22"/>
                <w:szCs w:val="22"/>
              </w:rPr>
            </w:pPr>
            <w:r w:rsidRPr="00FB2F3D">
              <w:rPr>
                <w:rFonts w:ascii="Arial" w:hAnsi="Arial" w:cs="Arial"/>
                <w:sz w:val="22"/>
                <w:szCs w:val="22"/>
              </w:rPr>
              <w:t xml:space="preserve">any significant investment (i.e. any </w:t>
            </w:r>
            <w:r w:rsidR="009C4BF8" w:rsidRPr="00FB2F3D">
              <w:rPr>
                <w:rFonts w:ascii="Arial" w:hAnsi="Arial" w:cs="Arial"/>
                <w:sz w:val="22"/>
                <w:szCs w:val="22"/>
              </w:rPr>
              <w:t>investment</w:t>
            </w:r>
            <w:r w:rsidRPr="00FB2F3D">
              <w:rPr>
                <w:rFonts w:ascii="Arial" w:hAnsi="Arial" w:cs="Arial"/>
                <w:sz w:val="22"/>
                <w:szCs w:val="22"/>
              </w:rPr>
              <w:t xml:space="preserve">s equal to or greater than 5% of the value of the net assets of the </w:t>
            </w:r>
            <w:r w:rsidR="005A10A6" w:rsidRPr="00FB2F3D">
              <w:rPr>
                <w:rFonts w:ascii="Arial" w:hAnsi="Arial" w:cs="Arial"/>
                <w:sz w:val="22"/>
                <w:szCs w:val="22"/>
              </w:rPr>
              <w:t>Reporting Entity</w:t>
            </w:r>
            <w:r w:rsidRPr="00FB2F3D">
              <w:rPr>
                <w:rFonts w:ascii="Arial" w:hAnsi="Arial" w:cs="Arial"/>
                <w:sz w:val="22"/>
                <w:szCs w:val="22"/>
              </w:rPr>
              <w:t xml:space="preserve"> as </w:t>
            </w:r>
            <w:r w:rsidRPr="00FB2F3D">
              <w:rPr>
                <w:rFonts w:ascii="Arial" w:hAnsi="Arial" w:cs="Arial"/>
                <w:sz w:val="22"/>
                <w:szCs w:val="22"/>
              </w:rPr>
              <w:lastRenderedPageBreak/>
              <w:t xml:space="preserve">per its most recent financial reports) or material change to such a significant investment outside the ordinary course of business of the </w:t>
            </w:r>
            <w:r w:rsidR="005A10A6" w:rsidRPr="00FB2F3D">
              <w:rPr>
                <w:rFonts w:ascii="Arial" w:hAnsi="Arial" w:cs="Arial"/>
                <w:sz w:val="22"/>
                <w:szCs w:val="22"/>
              </w:rPr>
              <w:t>Reporting Entity</w:t>
            </w:r>
            <w:r w:rsidRPr="00FB2F3D">
              <w:rPr>
                <w:rFonts w:ascii="Arial" w:hAnsi="Arial" w:cs="Arial"/>
                <w:sz w:val="22"/>
                <w:szCs w:val="22"/>
              </w:rPr>
              <w:t>; or</w:t>
            </w:r>
          </w:p>
          <w:p w14:paraId="673457CD" w14:textId="77777777" w:rsidR="00162E0C" w:rsidRPr="00FB2F3D" w:rsidRDefault="00162E0C" w:rsidP="00755725">
            <w:pPr>
              <w:pStyle w:val="UK12Block"/>
              <w:numPr>
                <w:ilvl w:val="2"/>
                <w:numId w:val="67"/>
              </w:numPr>
              <w:jc w:val="left"/>
              <w:rPr>
                <w:rFonts w:ascii="Arial" w:hAnsi="Arial" w:cs="Arial"/>
                <w:sz w:val="22"/>
                <w:szCs w:val="22"/>
              </w:rPr>
            </w:pPr>
            <w:r w:rsidRPr="00FB2F3D">
              <w:rPr>
                <w:rFonts w:ascii="Arial" w:hAnsi="Arial" w:cs="Arial"/>
                <w:sz w:val="22"/>
                <w:szCs w:val="22"/>
              </w:rPr>
              <w:t xml:space="preserve">the incurring of any significant debt (being a debt with an amount equal to or greater than 5% of the value of the net assets of the </w:t>
            </w:r>
            <w:r w:rsidR="005A10A6" w:rsidRPr="00FB2F3D">
              <w:rPr>
                <w:rFonts w:ascii="Arial" w:hAnsi="Arial" w:cs="Arial"/>
                <w:sz w:val="22"/>
                <w:szCs w:val="22"/>
              </w:rPr>
              <w:t>Reporting Entity</w:t>
            </w:r>
            <w:r w:rsidRPr="00FB2F3D">
              <w:rPr>
                <w:rFonts w:ascii="Arial" w:hAnsi="Arial" w:cs="Arial"/>
                <w:sz w:val="22"/>
                <w:szCs w:val="22"/>
              </w:rPr>
              <w:t xml:space="preserve"> as per its most recent financial reports) outside the usual and ordinary course of business of the </w:t>
            </w:r>
            <w:r w:rsidR="005A10A6" w:rsidRPr="00FB2F3D">
              <w:rPr>
                <w:rFonts w:ascii="Arial" w:hAnsi="Arial" w:cs="Arial"/>
                <w:sz w:val="22"/>
                <w:szCs w:val="22"/>
              </w:rPr>
              <w:t>Reporting Entity</w:t>
            </w:r>
            <w:r w:rsidRPr="00FB2F3D">
              <w:rPr>
                <w:rFonts w:ascii="Arial" w:hAnsi="Arial" w:cs="Arial"/>
                <w:sz w:val="22"/>
                <w:szCs w:val="22"/>
              </w:rPr>
              <w:t>.</w:t>
            </w:r>
          </w:p>
        </w:tc>
        <w:tc>
          <w:tcPr>
            <w:tcW w:w="3837" w:type="dxa"/>
          </w:tcPr>
          <w:p w14:paraId="5E193ED8" w14:textId="2BA12730" w:rsidR="00162E0C" w:rsidRPr="00FB2F3D" w:rsidRDefault="00C24D19" w:rsidP="00BA0E5D">
            <w:pPr>
              <w:pStyle w:val="UK12Block"/>
              <w:jc w:val="left"/>
              <w:rPr>
                <w:rFonts w:ascii="Arial" w:hAnsi="Arial" w:cs="Arial"/>
                <w:sz w:val="22"/>
                <w:szCs w:val="22"/>
              </w:rPr>
            </w:pPr>
            <w:r>
              <w:rPr>
                <w:rFonts w:ascii="Arial" w:hAnsi="Arial" w:cs="Arial"/>
                <w:sz w:val="22"/>
                <w:szCs w:val="22"/>
              </w:rPr>
              <w:lastRenderedPageBreak/>
              <w:t>D</w:t>
            </w:r>
            <w:r w:rsidR="00162E0C" w:rsidRPr="00FB2F3D">
              <w:rPr>
                <w:rFonts w:ascii="Arial" w:hAnsi="Arial" w:cs="Arial"/>
                <w:sz w:val="22"/>
                <w:szCs w:val="22"/>
              </w:rPr>
              <w:t>isclosure relating to:</w:t>
            </w:r>
          </w:p>
          <w:p w14:paraId="098CC97A" w14:textId="77777777" w:rsidR="00162E0C" w:rsidRPr="00FB2F3D" w:rsidRDefault="00162E0C" w:rsidP="00755725">
            <w:pPr>
              <w:pStyle w:val="UK12Block"/>
              <w:numPr>
                <w:ilvl w:val="0"/>
                <w:numId w:val="70"/>
              </w:numPr>
              <w:jc w:val="left"/>
              <w:rPr>
                <w:rFonts w:ascii="Arial" w:hAnsi="Arial" w:cs="Arial"/>
                <w:sz w:val="22"/>
                <w:szCs w:val="22"/>
              </w:rPr>
            </w:pPr>
            <w:r w:rsidRPr="00FB2F3D">
              <w:rPr>
                <w:rFonts w:ascii="Arial" w:hAnsi="Arial" w:cs="Arial"/>
                <w:sz w:val="22"/>
                <w:szCs w:val="22"/>
              </w:rPr>
              <w:t>any decision to enter into such a transaction;</w:t>
            </w:r>
          </w:p>
          <w:p w14:paraId="7919FB19" w14:textId="5460F15C" w:rsidR="00162E0C" w:rsidRPr="00FB2F3D" w:rsidRDefault="00162E0C" w:rsidP="00755725">
            <w:pPr>
              <w:pStyle w:val="UK12Block"/>
              <w:numPr>
                <w:ilvl w:val="0"/>
                <w:numId w:val="70"/>
              </w:numPr>
              <w:jc w:val="left"/>
              <w:rPr>
                <w:rFonts w:ascii="Arial" w:hAnsi="Arial" w:cs="Arial"/>
                <w:sz w:val="22"/>
                <w:szCs w:val="22"/>
              </w:rPr>
            </w:pPr>
            <w:r w:rsidRPr="00FB2F3D">
              <w:rPr>
                <w:rFonts w:ascii="Arial" w:hAnsi="Arial" w:cs="Arial"/>
                <w:sz w:val="22"/>
                <w:szCs w:val="22"/>
              </w:rPr>
              <w:t xml:space="preserve">any material change or new matter affecting any matter </w:t>
            </w:r>
            <w:r w:rsidRPr="00FB2F3D">
              <w:rPr>
                <w:rFonts w:ascii="Arial" w:hAnsi="Arial" w:cs="Arial"/>
                <w:sz w:val="22"/>
                <w:szCs w:val="22"/>
              </w:rPr>
              <w:lastRenderedPageBreak/>
              <w:t xml:space="preserve">contained in an earlier </w:t>
            </w:r>
            <w:r w:rsidR="00C12E85">
              <w:rPr>
                <w:rFonts w:ascii="Arial" w:hAnsi="Arial" w:cs="Arial"/>
                <w:sz w:val="22"/>
                <w:szCs w:val="22"/>
              </w:rPr>
              <w:t>D</w:t>
            </w:r>
            <w:r w:rsidRPr="00FB2F3D">
              <w:rPr>
                <w:rFonts w:ascii="Arial" w:hAnsi="Arial" w:cs="Arial"/>
                <w:sz w:val="22"/>
                <w:szCs w:val="22"/>
              </w:rPr>
              <w:t>isclosure; and</w:t>
            </w:r>
          </w:p>
          <w:p w14:paraId="74C2ED9B" w14:textId="77777777" w:rsidR="00162E0C" w:rsidRPr="00FB2F3D" w:rsidRDefault="00162E0C" w:rsidP="00755725">
            <w:pPr>
              <w:pStyle w:val="UK12Block"/>
              <w:numPr>
                <w:ilvl w:val="0"/>
                <w:numId w:val="70"/>
              </w:numPr>
              <w:jc w:val="left"/>
              <w:rPr>
                <w:rFonts w:ascii="Arial" w:hAnsi="Arial" w:cs="Arial"/>
                <w:sz w:val="22"/>
                <w:szCs w:val="22"/>
              </w:rPr>
            </w:pPr>
            <w:r w:rsidRPr="00FB2F3D">
              <w:rPr>
                <w:rFonts w:ascii="Arial" w:hAnsi="Arial" w:cs="Arial"/>
                <w:sz w:val="22"/>
                <w:szCs w:val="22"/>
              </w:rPr>
              <w:t>a full description of the event, activity or transaction proposed or effected, as the case may be.</w:t>
            </w:r>
          </w:p>
        </w:tc>
        <w:tc>
          <w:tcPr>
            <w:tcW w:w="1980" w:type="dxa"/>
          </w:tcPr>
          <w:p w14:paraId="75225981"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lastRenderedPageBreak/>
              <w:t>As soon as possible.</w:t>
            </w:r>
          </w:p>
        </w:tc>
        <w:tc>
          <w:tcPr>
            <w:tcW w:w="450" w:type="dxa"/>
          </w:tcPr>
          <w:p w14:paraId="41D08FFE"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7930CCED"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450" w:type="dxa"/>
            <w:gridSpan w:val="2"/>
          </w:tcPr>
          <w:p w14:paraId="60328F24" w14:textId="77777777" w:rsidR="00162E0C" w:rsidRPr="00FB2F3D" w:rsidRDefault="00162E0C" w:rsidP="00BA0E5D">
            <w:pPr>
              <w:pStyle w:val="UK12Block"/>
              <w:jc w:val="left"/>
              <w:rPr>
                <w:rFonts w:ascii="Arial" w:hAnsi="Arial" w:cs="Arial"/>
                <w:sz w:val="22"/>
                <w:szCs w:val="22"/>
              </w:rPr>
            </w:pPr>
          </w:p>
        </w:tc>
        <w:tc>
          <w:tcPr>
            <w:tcW w:w="720" w:type="dxa"/>
          </w:tcPr>
          <w:p w14:paraId="0EAA396A" w14:textId="77777777" w:rsidR="00162E0C" w:rsidRPr="00FB2F3D" w:rsidRDefault="00162E0C" w:rsidP="00BA0E5D">
            <w:pPr>
              <w:pStyle w:val="UK12Block"/>
              <w:jc w:val="left"/>
              <w:rPr>
                <w:rFonts w:ascii="Arial" w:hAnsi="Arial" w:cs="Arial"/>
                <w:sz w:val="22"/>
                <w:szCs w:val="22"/>
              </w:rPr>
            </w:pPr>
          </w:p>
        </w:tc>
        <w:tc>
          <w:tcPr>
            <w:tcW w:w="630" w:type="dxa"/>
          </w:tcPr>
          <w:p w14:paraId="3369491D"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69269A73" w14:textId="77777777" w:rsidR="00162E0C" w:rsidRPr="00FB2F3D" w:rsidRDefault="00162E0C" w:rsidP="00BA0E5D">
            <w:pPr>
              <w:pStyle w:val="UK12Block"/>
              <w:jc w:val="left"/>
              <w:rPr>
                <w:rFonts w:ascii="Arial" w:hAnsi="Arial" w:cs="Arial"/>
                <w:sz w:val="22"/>
                <w:szCs w:val="22"/>
              </w:rPr>
            </w:pPr>
          </w:p>
        </w:tc>
        <w:tc>
          <w:tcPr>
            <w:tcW w:w="562" w:type="dxa"/>
          </w:tcPr>
          <w:p w14:paraId="09002178" w14:textId="77777777" w:rsidR="00162E0C" w:rsidRPr="00FB2F3D" w:rsidRDefault="00162E0C" w:rsidP="00BA0E5D">
            <w:pPr>
              <w:pStyle w:val="UK12Block"/>
              <w:jc w:val="left"/>
              <w:rPr>
                <w:rFonts w:ascii="Arial" w:hAnsi="Arial" w:cs="Arial"/>
                <w:sz w:val="22"/>
                <w:szCs w:val="22"/>
              </w:rPr>
            </w:pPr>
            <w:r w:rsidRPr="00FB2F3D">
              <w:rPr>
                <w:rFonts w:ascii="Arial" w:hAnsi="Arial" w:cs="Arial"/>
                <w:sz w:val="22"/>
                <w:szCs w:val="22"/>
              </w:rPr>
              <w:sym w:font="Wingdings" w:char="F0FC"/>
            </w:r>
          </w:p>
        </w:tc>
      </w:tr>
      <w:tr w:rsidR="00C12E85" w:rsidRPr="00FB2F3D" w14:paraId="23C365D4" w14:textId="77777777" w:rsidTr="00C12E85">
        <w:tc>
          <w:tcPr>
            <w:tcW w:w="648" w:type="dxa"/>
          </w:tcPr>
          <w:p w14:paraId="5DC6E137" w14:textId="77777777" w:rsidR="00C12E85" w:rsidRPr="00FB2F3D" w:rsidRDefault="00C12E85" w:rsidP="00C12E85">
            <w:pPr>
              <w:pStyle w:val="UK12Block"/>
              <w:numPr>
                <w:ilvl w:val="1"/>
                <w:numId w:val="67"/>
              </w:numPr>
              <w:rPr>
                <w:rFonts w:ascii="Arial" w:hAnsi="Arial" w:cs="Arial"/>
                <w:b/>
                <w:sz w:val="22"/>
                <w:szCs w:val="22"/>
              </w:rPr>
            </w:pPr>
          </w:p>
        </w:tc>
        <w:tc>
          <w:tcPr>
            <w:tcW w:w="3453" w:type="dxa"/>
          </w:tcPr>
          <w:p w14:paraId="2C21EC45" w14:textId="77777777" w:rsidR="00C12E85" w:rsidRPr="00C12E85" w:rsidRDefault="00C12E85" w:rsidP="00C12E85">
            <w:pPr>
              <w:pStyle w:val="UK12Block"/>
              <w:jc w:val="left"/>
              <w:rPr>
                <w:rFonts w:ascii="Arial" w:hAnsi="Arial" w:cs="Arial"/>
                <w:sz w:val="22"/>
                <w:szCs w:val="22"/>
              </w:rPr>
            </w:pPr>
            <w:r w:rsidRPr="00C12E85">
              <w:rPr>
                <w:rFonts w:ascii="Arial" w:hAnsi="Arial" w:cs="Arial"/>
                <w:sz w:val="22"/>
                <w:szCs w:val="22"/>
              </w:rPr>
              <w:t xml:space="preserve">A description of the Listed Entity’s exposure to sustainability / ESG factors.  </w:t>
            </w:r>
          </w:p>
          <w:p w14:paraId="31BAD439" w14:textId="2C71D9A6" w:rsidR="00C12E85" w:rsidRPr="00C12E85" w:rsidRDefault="00C12E85" w:rsidP="00C12E85">
            <w:pPr>
              <w:pStyle w:val="UK12Block"/>
              <w:jc w:val="left"/>
              <w:rPr>
                <w:rFonts w:ascii="Arial" w:hAnsi="Arial" w:cs="Arial"/>
                <w:sz w:val="22"/>
                <w:szCs w:val="22"/>
              </w:rPr>
            </w:pPr>
            <w:r w:rsidRPr="00C12E85">
              <w:rPr>
                <w:rFonts w:ascii="Arial" w:hAnsi="Arial" w:cs="Arial"/>
                <w:sz w:val="22"/>
                <w:szCs w:val="22"/>
              </w:rPr>
              <w:t xml:space="preserve">If the Listed Entity’s exposure is material, how does the Listed Entity manage, or intend to </w:t>
            </w:r>
            <w:r w:rsidRPr="00C12E85">
              <w:rPr>
                <w:rFonts w:ascii="Arial" w:hAnsi="Arial" w:cs="Arial"/>
                <w:sz w:val="22"/>
                <w:szCs w:val="22"/>
              </w:rPr>
              <w:lastRenderedPageBreak/>
              <w:t>manage, such sustainability / ESG risks.</w:t>
            </w:r>
          </w:p>
        </w:tc>
        <w:tc>
          <w:tcPr>
            <w:tcW w:w="3837" w:type="dxa"/>
          </w:tcPr>
          <w:p w14:paraId="676C4EFE" w14:textId="079D8788" w:rsidR="00C12E85" w:rsidRPr="00C12E85" w:rsidRDefault="00C12E85" w:rsidP="00C12E85">
            <w:pPr>
              <w:pStyle w:val="UK12Block"/>
              <w:jc w:val="left"/>
              <w:rPr>
                <w:rFonts w:ascii="Arial" w:hAnsi="Arial" w:cs="Arial"/>
                <w:sz w:val="22"/>
                <w:szCs w:val="22"/>
              </w:rPr>
            </w:pPr>
            <w:r w:rsidRPr="00C12E85">
              <w:rPr>
                <w:rFonts w:ascii="Arial" w:hAnsi="Arial" w:cs="Arial"/>
                <w:sz w:val="22"/>
                <w:szCs w:val="22"/>
              </w:rPr>
              <w:lastRenderedPageBreak/>
              <w:t>Disclosure in the annual report of the matters set out in Rule 9.2.10.</w:t>
            </w:r>
          </w:p>
        </w:tc>
        <w:tc>
          <w:tcPr>
            <w:tcW w:w="1980" w:type="dxa"/>
          </w:tcPr>
          <w:p w14:paraId="411F60A2" w14:textId="509DE075" w:rsidR="00C12E85" w:rsidRPr="00C12E85" w:rsidRDefault="00C12E85" w:rsidP="00C12E85">
            <w:pPr>
              <w:pStyle w:val="UK12Block"/>
              <w:jc w:val="left"/>
              <w:rPr>
                <w:rFonts w:ascii="Arial" w:hAnsi="Arial" w:cs="Arial"/>
                <w:sz w:val="22"/>
                <w:szCs w:val="22"/>
              </w:rPr>
            </w:pPr>
            <w:r w:rsidRPr="00C12E85">
              <w:rPr>
                <w:rFonts w:ascii="Arial" w:hAnsi="Arial" w:cs="Arial"/>
                <w:sz w:val="22"/>
                <w:szCs w:val="22"/>
              </w:rPr>
              <w:t>In accordance with Rule 10.1.8(2)(a).</w:t>
            </w:r>
          </w:p>
        </w:tc>
        <w:tc>
          <w:tcPr>
            <w:tcW w:w="450" w:type="dxa"/>
          </w:tcPr>
          <w:p w14:paraId="6BCAF214" w14:textId="741E0374"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63B5D130" w14:textId="77777777" w:rsidR="00C12E85" w:rsidRPr="00FB2F3D" w:rsidRDefault="00C12E85" w:rsidP="00C12E85">
            <w:pPr>
              <w:pStyle w:val="UK12Block"/>
              <w:jc w:val="left"/>
              <w:rPr>
                <w:rFonts w:ascii="Arial" w:hAnsi="Arial" w:cs="Arial"/>
                <w:sz w:val="22"/>
                <w:szCs w:val="22"/>
              </w:rPr>
            </w:pPr>
          </w:p>
        </w:tc>
        <w:tc>
          <w:tcPr>
            <w:tcW w:w="450" w:type="dxa"/>
            <w:gridSpan w:val="2"/>
          </w:tcPr>
          <w:p w14:paraId="51271C3E" w14:textId="77777777" w:rsidR="00C12E85" w:rsidRPr="00FB2F3D" w:rsidRDefault="00C12E85" w:rsidP="00C12E85">
            <w:pPr>
              <w:pStyle w:val="UK12Block"/>
              <w:jc w:val="left"/>
              <w:rPr>
                <w:rFonts w:ascii="Arial" w:hAnsi="Arial" w:cs="Arial"/>
                <w:sz w:val="22"/>
                <w:szCs w:val="22"/>
              </w:rPr>
            </w:pPr>
          </w:p>
        </w:tc>
        <w:tc>
          <w:tcPr>
            <w:tcW w:w="720" w:type="dxa"/>
          </w:tcPr>
          <w:p w14:paraId="64734F63" w14:textId="77777777" w:rsidR="00C12E85" w:rsidRPr="00FB2F3D" w:rsidRDefault="00C12E85" w:rsidP="00C12E85">
            <w:pPr>
              <w:pStyle w:val="UK12Block"/>
              <w:jc w:val="left"/>
              <w:rPr>
                <w:rFonts w:ascii="Arial" w:hAnsi="Arial" w:cs="Arial"/>
                <w:sz w:val="22"/>
                <w:szCs w:val="22"/>
              </w:rPr>
            </w:pPr>
          </w:p>
        </w:tc>
        <w:tc>
          <w:tcPr>
            <w:tcW w:w="630" w:type="dxa"/>
          </w:tcPr>
          <w:p w14:paraId="36B97324" w14:textId="77777777" w:rsidR="00C12E85" w:rsidRPr="00FB2F3D" w:rsidRDefault="00C12E85" w:rsidP="00C12E85">
            <w:pPr>
              <w:pStyle w:val="UK12Block"/>
              <w:jc w:val="left"/>
              <w:rPr>
                <w:rFonts w:ascii="Arial" w:hAnsi="Arial" w:cs="Arial"/>
                <w:sz w:val="22"/>
                <w:szCs w:val="22"/>
              </w:rPr>
            </w:pPr>
          </w:p>
        </w:tc>
        <w:tc>
          <w:tcPr>
            <w:tcW w:w="630" w:type="dxa"/>
          </w:tcPr>
          <w:p w14:paraId="0382EE52" w14:textId="77777777" w:rsidR="00C12E85" w:rsidRPr="00FB2F3D" w:rsidRDefault="00C12E85" w:rsidP="00C12E85">
            <w:pPr>
              <w:pStyle w:val="UK12Block"/>
              <w:jc w:val="left"/>
              <w:rPr>
                <w:rFonts w:ascii="Arial" w:hAnsi="Arial" w:cs="Arial"/>
                <w:sz w:val="22"/>
                <w:szCs w:val="22"/>
              </w:rPr>
            </w:pPr>
          </w:p>
        </w:tc>
        <w:tc>
          <w:tcPr>
            <w:tcW w:w="562" w:type="dxa"/>
          </w:tcPr>
          <w:p w14:paraId="50FD62C8" w14:textId="77777777" w:rsidR="00C12E85" w:rsidRPr="00FB2F3D" w:rsidRDefault="00C12E85" w:rsidP="00C12E85">
            <w:pPr>
              <w:pStyle w:val="UK12Block"/>
              <w:jc w:val="left"/>
              <w:rPr>
                <w:rFonts w:ascii="Arial" w:hAnsi="Arial" w:cs="Arial"/>
                <w:sz w:val="22"/>
                <w:szCs w:val="22"/>
              </w:rPr>
            </w:pPr>
          </w:p>
        </w:tc>
      </w:tr>
      <w:tr w:rsidR="00C12E85" w:rsidRPr="00FB2F3D" w14:paraId="2A32E7A4" w14:textId="77777777" w:rsidTr="00C12E85">
        <w:tc>
          <w:tcPr>
            <w:tcW w:w="14170" w:type="dxa"/>
            <w:gridSpan w:val="13"/>
          </w:tcPr>
          <w:p w14:paraId="4E40E235" w14:textId="77777777" w:rsidR="00C12E85" w:rsidRPr="00FB2F3D" w:rsidRDefault="00C12E85" w:rsidP="00C12E85">
            <w:pPr>
              <w:pStyle w:val="UK12Block"/>
              <w:keepNext/>
              <w:numPr>
                <w:ilvl w:val="0"/>
                <w:numId w:val="67"/>
              </w:numPr>
              <w:spacing w:after="0"/>
              <w:jc w:val="left"/>
              <w:rPr>
                <w:rFonts w:ascii="Arial" w:hAnsi="Arial" w:cs="Arial"/>
                <w:b/>
                <w:sz w:val="22"/>
                <w:szCs w:val="22"/>
              </w:rPr>
            </w:pPr>
            <w:r w:rsidRPr="00FB2F3D">
              <w:rPr>
                <w:rFonts w:ascii="Arial" w:hAnsi="Arial" w:cs="Arial"/>
                <w:b/>
                <w:sz w:val="22"/>
                <w:szCs w:val="22"/>
              </w:rPr>
              <w:t>DISCLOSURES RELATING TO SECURITIES OF THE ISSUER</w:t>
            </w:r>
          </w:p>
        </w:tc>
      </w:tr>
      <w:tr w:rsidR="00C12E85" w:rsidRPr="00FB2F3D" w14:paraId="483F05BE" w14:textId="77777777" w:rsidTr="00C12E85">
        <w:tc>
          <w:tcPr>
            <w:tcW w:w="648" w:type="dxa"/>
          </w:tcPr>
          <w:p w14:paraId="7DED56FD" w14:textId="77777777" w:rsidR="00C12E85" w:rsidRPr="00FB2F3D" w:rsidRDefault="00C12E85" w:rsidP="00C12E85">
            <w:pPr>
              <w:pStyle w:val="UK12Block"/>
              <w:numPr>
                <w:ilvl w:val="1"/>
                <w:numId w:val="67"/>
              </w:numPr>
              <w:rPr>
                <w:rFonts w:ascii="Arial" w:hAnsi="Arial" w:cs="Arial"/>
                <w:b/>
                <w:sz w:val="22"/>
                <w:szCs w:val="22"/>
              </w:rPr>
            </w:pPr>
          </w:p>
        </w:tc>
        <w:tc>
          <w:tcPr>
            <w:tcW w:w="3453" w:type="dxa"/>
          </w:tcPr>
          <w:p w14:paraId="152F3501"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Any decision:</w:t>
            </w:r>
          </w:p>
          <w:p w14:paraId="4F111C0A" w14:textId="77777777" w:rsidR="00C12E85" w:rsidRPr="00FB2F3D" w:rsidRDefault="00C12E85" w:rsidP="00C12E85">
            <w:pPr>
              <w:pStyle w:val="UK12Block"/>
              <w:numPr>
                <w:ilvl w:val="2"/>
                <w:numId w:val="67"/>
              </w:numPr>
              <w:jc w:val="left"/>
              <w:rPr>
                <w:rFonts w:ascii="Arial" w:hAnsi="Arial" w:cs="Arial"/>
                <w:sz w:val="22"/>
                <w:szCs w:val="22"/>
              </w:rPr>
            </w:pPr>
            <w:r w:rsidRPr="00FB2F3D">
              <w:rPr>
                <w:rFonts w:ascii="Arial" w:hAnsi="Arial" w:cs="Arial"/>
                <w:sz w:val="22"/>
                <w:szCs w:val="22"/>
              </w:rPr>
              <w:t>to declare, recommend or pay any dividend or to make any other distribution on the Securities; or</w:t>
            </w:r>
          </w:p>
          <w:p w14:paraId="5E6D79B5" w14:textId="77777777" w:rsidR="00C12E85" w:rsidRPr="00FB2F3D" w:rsidRDefault="00C12E85" w:rsidP="00C12E85">
            <w:pPr>
              <w:pStyle w:val="UK12Block"/>
              <w:numPr>
                <w:ilvl w:val="2"/>
                <w:numId w:val="67"/>
              </w:numPr>
              <w:jc w:val="left"/>
              <w:rPr>
                <w:rFonts w:ascii="Arial" w:hAnsi="Arial" w:cs="Arial"/>
                <w:sz w:val="22"/>
                <w:szCs w:val="22"/>
              </w:rPr>
            </w:pPr>
            <w:r w:rsidRPr="00FB2F3D">
              <w:rPr>
                <w:rFonts w:ascii="Arial" w:hAnsi="Arial" w:cs="Arial"/>
                <w:sz w:val="22"/>
                <w:szCs w:val="22"/>
              </w:rPr>
              <w:t>not to declare, recommend or pay any dividend which would otherwise have been expected to have been declared, recommended or paid in the normal course of events.</w:t>
            </w:r>
          </w:p>
        </w:tc>
        <w:tc>
          <w:tcPr>
            <w:tcW w:w="3837" w:type="dxa"/>
          </w:tcPr>
          <w:p w14:paraId="28E2F8EF" w14:textId="07E45D3D" w:rsidR="00C12E85" w:rsidRPr="00FB2F3D" w:rsidRDefault="00C12E85" w:rsidP="00C12E85">
            <w:pPr>
              <w:pStyle w:val="UK12Block"/>
              <w:jc w:val="left"/>
              <w:rPr>
                <w:rFonts w:ascii="Arial" w:hAnsi="Arial" w:cs="Arial"/>
                <w:sz w:val="22"/>
                <w:szCs w:val="22"/>
              </w:rPr>
            </w:pPr>
            <w:r>
              <w:rPr>
                <w:rFonts w:ascii="Arial" w:hAnsi="Arial" w:cs="Arial"/>
                <w:sz w:val="22"/>
                <w:szCs w:val="22"/>
              </w:rPr>
              <w:t>D</w:t>
            </w:r>
            <w:r w:rsidRPr="00FB2F3D">
              <w:rPr>
                <w:rFonts w:ascii="Arial" w:hAnsi="Arial" w:cs="Arial"/>
                <w:sz w:val="22"/>
                <w:szCs w:val="22"/>
              </w:rPr>
              <w:t>isclosure of the decision, including the rate and amount of and record date for the dividend or other distribution or the grounds for the decision in relation to non</w:t>
            </w:r>
            <w:r w:rsidRPr="00FB2F3D">
              <w:rPr>
                <w:rFonts w:ascii="Arial" w:hAnsi="Arial" w:cs="Arial"/>
                <w:sz w:val="22"/>
                <w:szCs w:val="22"/>
              </w:rPr>
              <w:noBreakHyphen/>
              <w:t>payment.</w:t>
            </w:r>
          </w:p>
        </w:tc>
        <w:tc>
          <w:tcPr>
            <w:tcW w:w="1980" w:type="dxa"/>
          </w:tcPr>
          <w:p w14:paraId="2674BD0C" w14:textId="3AFC41FC"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As soon as possible and in any event within five </w:t>
            </w:r>
            <w:r>
              <w:rPr>
                <w:rFonts w:ascii="Arial" w:hAnsi="Arial" w:cs="Arial"/>
                <w:sz w:val="22"/>
                <w:szCs w:val="22"/>
              </w:rPr>
              <w:t>Business D</w:t>
            </w:r>
            <w:r w:rsidRPr="00FB2F3D">
              <w:rPr>
                <w:rFonts w:ascii="Arial" w:hAnsi="Arial" w:cs="Arial"/>
                <w:sz w:val="22"/>
                <w:szCs w:val="22"/>
              </w:rPr>
              <w:t>ays prior to the record date or the date of expected distribution.</w:t>
            </w:r>
          </w:p>
        </w:tc>
        <w:tc>
          <w:tcPr>
            <w:tcW w:w="450" w:type="dxa"/>
          </w:tcPr>
          <w:p w14:paraId="67852F21"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7B6DE08C"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360" w:type="dxa"/>
          </w:tcPr>
          <w:p w14:paraId="414C59B7"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291A88E4"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7A024A46"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44E84927"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562" w:type="dxa"/>
          </w:tcPr>
          <w:p w14:paraId="1E4B4266"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r>
      <w:tr w:rsidR="00C12E85" w:rsidRPr="00FB2F3D" w14:paraId="47A67F3D" w14:textId="77777777" w:rsidTr="00C12E85">
        <w:trPr>
          <w:cantSplit/>
        </w:trPr>
        <w:tc>
          <w:tcPr>
            <w:tcW w:w="648" w:type="dxa"/>
          </w:tcPr>
          <w:p w14:paraId="34CC16D3" w14:textId="77777777" w:rsidR="00C12E85" w:rsidRPr="00FB2F3D" w:rsidRDefault="00C12E85" w:rsidP="00C12E85">
            <w:pPr>
              <w:pStyle w:val="UK12Block"/>
              <w:numPr>
                <w:ilvl w:val="1"/>
                <w:numId w:val="67"/>
              </w:numPr>
              <w:rPr>
                <w:rFonts w:ascii="Arial" w:hAnsi="Arial" w:cs="Arial"/>
                <w:b/>
                <w:sz w:val="22"/>
                <w:szCs w:val="22"/>
              </w:rPr>
            </w:pPr>
          </w:p>
        </w:tc>
        <w:tc>
          <w:tcPr>
            <w:tcW w:w="3453" w:type="dxa"/>
          </w:tcPr>
          <w:p w14:paraId="14947D76"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Admission to listing or trading of the same class of Securities on a Regulated Exchange.</w:t>
            </w:r>
          </w:p>
        </w:tc>
        <w:tc>
          <w:tcPr>
            <w:tcW w:w="3837" w:type="dxa"/>
          </w:tcPr>
          <w:p w14:paraId="1F9DE56C" w14:textId="098868C5" w:rsidR="00C12E85" w:rsidRPr="00FB2F3D" w:rsidRDefault="00C12E85" w:rsidP="00C12E85">
            <w:pPr>
              <w:pStyle w:val="UK12Block"/>
              <w:jc w:val="left"/>
              <w:rPr>
                <w:rFonts w:ascii="Arial" w:hAnsi="Arial" w:cs="Arial"/>
                <w:sz w:val="22"/>
                <w:szCs w:val="22"/>
              </w:rPr>
            </w:pPr>
            <w:r>
              <w:rPr>
                <w:rFonts w:ascii="Arial" w:hAnsi="Arial" w:cs="Arial"/>
                <w:sz w:val="22"/>
                <w:szCs w:val="22"/>
              </w:rPr>
              <w:t>D</w:t>
            </w:r>
            <w:r w:rsidRPr="00FB2F3D">
              <w:rPr>
                <w:rFonts w:ascii="Arial" w:hAnsi="Arial" w:cs="Arial"/>
                <w:sz w:val="22"/>
                <w:szCs w:val="22"/>
              </w:rPr>
              <w:t>isclosure of all the relevant details relating to the admission to listing or trading.</w:t>
            </w:r>
          </w:p>
        </w:tc>
        <w:tc>
          <w:tcPr>
            <w:tcW w:w="1980" w:type="dxa"/>
          </w:tcPr>
          <w:p w14:paraId="077713A4"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As soon as possible.</w:t>
            </w:r>
          </w:p>
        </w:tc>
        <w:tc>
          <w:tcPr>
            <w:tcW w:w="450" w:type="dxa"/>
          </w:tcPr>
          <w:p w14:paraId="7E391EEA"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7063FAE1"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360" w:type="dxa"/>
          </w:tcPr>
          <w:p w14:paraId="469C7DF4"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7C98C8FC"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0C637977"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5F377EE7"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562" w:type="dxa"/>
          </w:tcPr>
          <w:p w14:paraId="6F0C585B"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r>
      <w:tr w:rsidR="00C12E85" w:rsidRPr="00FB2F3D" w14:paraId="4A7296DF" w14:textId="77777777" w:rsidTr="00C12E85">
        <w:tc>
          <w:tcPr>
            <w:tcW w:w="648" w:type="dxa"/>
          </w:tcPr>
          <w:p w14:paraId="596C1B74" w14:textId="77777777" w:rsidR="00C12E85" w:rsidRPr="00FB2F3D" w:rsidRDefault="00C12E85" w:rsidP="00C12E85">
            <w:pPr>
              <w:pStyle w:val="UK12Block"/>
              <w:numPr>
                <w:ilvl w:val="1"/>
                <w:numId w:val="67"/>
              </w:numPr>
              <w:rPr>
                <w:rFonts w:ascii="Arial" w:hAnsi="Arial" w:cs="Arial"/>
                <w:b/>
                <w:sz w:val="22"/>
                <w:szCs w:val="22"/>
              </w:rPr>
            </w:pPr>
          </w:p>
        </w:tc>
        <w:tc>
          <w:tcPr>
            <w:tcW w:w="3453" w:type="dxa"/>
          </w:tcPr>
          <w:p w14:paraId="2366183E"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 xml:space="preserve">Any other disclosure required to be made pursuant to the requirements in the Regulated </w:t>
            </w:r>
            <w:r w:rsidRPr="00FB2F3D">
              <w:rPr>
                <w:rFonts w:ascii="Arial" w:hAnsi="Arial" w:cs="Arial"/>
                <w:sz w:val="22"/>
                <w:szCs w:val="22"/>
              </w:rPr>
              <w:lastRenderedPageBreak/>
              <w:t>Exchange arising from the listing or trading of the same class of Securities on that exchange where such disclosure is not made in the ADGM.</w:t>
            </w:r>
          </w:p>
        </w:tc>
        <w:tc>
          <w:tcPr>
            <w:tcW w:w="3837" w:type="dxa"/>
          </w:tcPr>
          <w:p w14:paraId="1EBCD9F8" w14:textId="09F2EFAF" w:rsidR="00C12E85" w:rsidRPr="00FB2F3D" w:rsidRDefault="00C12E85" w:rsidP="00C12E85">
            <w:pPr>
              <w:pStyle w:val="UK12Block"/>
              <w:jc w:val="left"/>
              <w:rPr>
                <w:rFonts w:ascii="Arial" w:hAnsi="Arial" w:cs="Arial"/>
                <w:sz w:val="22"/>
                <w:szCs w:val="22"/>
              </w:rPr>
            </w:pPr>
            <w:r>
              <w:rPr>
                <w:rFonts w:ascii="Arial" w:hAnsi="Arial" w:cs="Arial"/>
                <w:sz w:val="22"/>
                <w:szCs w:val="22"/>
              </w:rPr>
              <w:lastRenderedPageBreak/>
              <w:t>D</w:t>
            </w:r>
            <w:r w:rsidRPr="00FB2F3D">
              <w:rPr>
                <w:rFonts w:ascii="Arial" w:hAnsi="Arial" w:cs="Arial"/>
                <w:sz w:val="22"/>
                <w:szCs w:val="22"/>
              </w:rPr>
              <w:t>isclosure of the information required to be disclosed to the Regulated Exchange.</w:t>
            </w:r>
          </w:p>
        </w:tc>
        <w:tc>
          <w:tcPr>
            <w:tcW w:w="1980" w:type="dxa"/>
          </w:tcPr>
          <w:p w14:paraId="4E02B198"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 xml:space="preserve">As soon as such disclosure is made on the </w:t>
            </w:r>
            <w:r w:rsidRPr="00FB2F3D">
              <w:rPr>
                <w:rFonts w:ascii="Arial" w:hAnsi="Arial" w:cs="Arial"/>
                <w:sz w:val="22"/>
                <w:szCs w:val="22"/>
              </w:rPr>
              <w:lastRenderedPageBreak/>
              <w:t>Regulated Exchange.</w:t>
            </w:r>
          </w:p>
        </w:tc>
        <w:tc>
          <w:tcPr>
            <w:tcW w:w="450" w:type="dxa"/>
          </w:tcPr>
          <w:p w14:paraId="5863FE64"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lastRenderedPageBreak/>
              <w:sym w:font="Wingdings" w:char="F0FC"/>
            </w:r>
          </w:p>
        </w:tc>
        <w:tc>
          <w:tcPr>
            <w:tcW w:w="810" w:type="dxa"/>
            <w:gridSpan w:val="2"/>
          </w:tcPr>
          <w:p w14:paraId="0F232AEE"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360" w:type="dxa"/>
          </w:tcPr>
          <w:p w14:paraId="5332B5D1"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5B75E618"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55091862"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58F9567F"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562" w:type="dxa"/>
          </w:tcPr>
          <w:p w14:paraId="70781961"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r>
      <w:tr w:rsidR="00C12E85" w:rsidRPr="00FB2F3D" w14:paraId="3E501EC5" w14:textId="77777777" w:rsidTr="00C12E85">
        <w:tc>
          <w:tcPr>
            <w:tcW w:w="648" w:type="dxa"/>
          </w:tcPr>
          <w:p w14:paraId="2912D3F0" w14:textId="77777777" w:rsidR="00C12E85" w:rsidRPr="00FB2F3D" w:rsidRDefault="00C12E85" w:rsidP="00C12E85">
            <w:pPr>
              <w:pStyle w:val="UK12Block"/>
              <w:numPr>
                <w:ilvl w:val="1"/>
                <w:numId w:val="67"/>
              </w:numPr>
              <w:rPr>
                <w:rFonts w:ascii="Arial" w:hAnsi="Arial" w:cs="Arial"/>
                <w:b/>
                <w:sz w:val="22"/>
                <w:szCs w:val="22"/>
              </w:rPr>
            </w:pPr>
          </w:p>
        </w:tc>
        <w:tc>
          <w:tcPr>
            <w:tcW w:w="3453" w:type="dxa"/>
          </w:tcPr>
          <w:p w14:paraId="52595961"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Any change of custodian or depositary in relation to Certificates representing Shares and debentures.</w:t>
            </w:r>
          </w:p>
        </w:tc>
        <w:tc>
          <w:tcPr>
            <w:tcW w:w="3837" w:type="dxa"/>
          </w:tcPr>
          <w:p w14:paraId="48C6CB1C" w14:textId="3C1872CF" w:rsidR="00C12E85" w:rsidRPr="00FB2F3D" w:rsidRDefault="00C12E85" w:rsidP="00C12E85">
            <w:pPr>
              <w:pStyle w:val="UK12Block"/>
              <w:jc w:val="left"/>
              <w:rPr>
                <w:rFonts w:ascii="Arial" w:hAnsi="Arial" w:cs="Arial"/>
                <w:sz w:val="22"/>
                <w:szCs w:val="22"/>
              </w:rPr>
            </w:pPr>
            <w:r>
              <w:rPr>
                <w:rFonts w:ascii="Arial" w:hAnsi="Arial" w:cs="Arial"/>
                <w:sz w:val="22"/>
                <w:szCs w:val="22"/>
              </w:rPr>
              <w:t>D</w:t>
            </w:r>
            <w:r w:rsidRPr="00FB2F3D">
              <w:rPr>
                <w:rFonts w:ascii="Arial" w:hAnsi="Arial" w:cs="Arial"/>
                <w:sz w:val="22"/>
                <w:szCs w:val="22"/>
              </w:rPr>
              <w:t>isclosure of the new custodian or depository and any implication/effect of this change.</w:t>
            </w:r>
          </w:p>
        </w:tc>
        <w:tc>
          <w:tcPr>
            <w:tcW w:w="1980" w:type="dxa"/>
          </w:tcPr>
          <w:p w14:paraId="0D6AC818"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As soon as possible.</w:t>
            </w:r>
          </w:p>
        </w:tc>
        <w:tc>
          <w:tcPr>
            <w:tcW w:w="450" w:type="dxa"/>
          </w:tcPr>
          <w:p w14:paraId="548AE8CE" w14:textId="77777777" w:rsidR="00C12E85" w:rsidRPr="00FB2F3D" w:rsidRDefault="00C12E85" w:rsidP="00C12E85">
            <w:pPr>
              <w:pStyle w:val="UK12Block"/>
              <w:jc w:val="left"/>
              <w:rPr>
                <w:rFonts w:ascii="Arial" w:hAnsi="Arial" w:cs="Arial"/>
                <w:sz w:val="22"/>
                <w:szCs w:val="22"/>
              </w:rPr>
            </w:pPr>
          </w:p>
        </w:tc>
        <w:tc>
          <w:tcPr>
            <w:tcW w:w="810" w:type="dxa"/>
            <w:gridSpan w:val="2"/>
          </w:tcPr>
          <w:p w14:paraId="7012077E" w14:textId="77777777" w:rsidR="00C12E85" w:rsidRPr="00FB2F3D" w:rsidRDefault="00C12E85" w:rsidP="00C12E85">
            <w:pPr>
              <w:pStyle w:val="UK12Block"/>
              <w:jc w:val="left"/>
              <w:rPr>
                <w:rFonts w:ascii="Arial" w:hAnsi="Arial" w:cs="Arial"/>
                <w:sz w:val="22"/>
                <w:szCs w:val="22"/>
              </w:rPr>
            </w:pPr>
          </w:p>
        </w:tc>
        <w:tc>
          <w:tcPr>
            <w:tcW w:w="360" w:type="dxa"/>
          </w:tcPr>
          <w:p w14:paraId="7EB652BF" w14:textId="77777777" w:rsidR="00C12E85" w:rsidRPr="00FB2F3D" w:rsidRDefault="00C12E85" w:rsidP="00C12E85">
            <w:pPr>
              <w:pStyle w:val="UK12Block"/>
              <w:jc w:val="left"/>
              <w:rPr>
                <w:rFonts w:ascii="Arial" w:hAnsi="Arial" w:cs="Arial"/>
                <w:sz w:val="22"/>
                <w:szCs w:val="22"/>
              </w:rPr>
            </w:pPr>
          </w:p>
        </w:tc>
        <w:tc>
          <w:tcPr>
            <w:tcW w:w="810" w:type="dxa"/>
            <w:gridSpan w:val="2"/>
          </w:tcPr>
          <w:p w14:paraId="339171D5" w14:textId="77777777" w:rsidR="00C12E85" w:rsidRPr="00FB2F3D" w:rsidRDefault="00C12E85" w:rsidP="00C12E85">
            <w:pPr>
              <w:pStyle w:val="UK12Block"/>
              <w:jc w:val="left"/>
              <w:rPr>
                <w:rFonts w:ascii="Arial" w:hAnsi="Arial" w:cs="Arial"/>
                <w:sz w:val="22"/>
                <w:szCs w:val="22"/>
              </w:rPr>
            </w:pPr>
          </w:p>
        </w:tc>
        <w:tc>
          <w:tcPr>
            <w:tcW w:w="630" w:type="dxa"/>
          </w:tcPr>
          <w:p w14:paraId="6DC8C960"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4AE24F47"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562" w:type="dxa"/>
          </w:tcPr>
          <w:p w14:paraId="670823BE" w14:textId="77777777" w:rsidR="00C12E85" w:rsidRPr="00FB2F3D" w:rsidRDefault="00C12E85" w:rsidP="00C12E85">
            <w:pPr>
              <w:pStyle w:val="UK12Block"/>
              <w:jc w:val="left"/>
              <w:rPr>
                <w:rFonts w:ascii="Arial" w:hAnsi="Arial" w:cs="Arial"/>
                <w:sz w:val="22"/>
                <w:szCs w:val="22"/>
              </w:rPr>
            </w:pPr>
          </w:p>
        </w:tc>
      </w:tr>
      <w:tr w:rsidR="00C12E85" w:rsidRPr="00FB2F3D" w14:paraId="26BC3BD7" w14:textId="77777777" w:rsidTr="00C12E85">
        <w:tc>
          <w:tcPr>
            <w:tcW w:w="648" w:type="dxa"/>
          </w:tcPr>
          <w:p w14:paraId="20B890D8" w14:textId="77777777" w:rsidR="00C12E85" w:rsidRPr="00FB2F3D" w:rsidRDefault="00C12E85" w:rsidP="00C12E85">
            <w:pPr>
              <w:pStyle w:val="UK12Block"/>
              <w:numPr>
                <w:ilvl w:val="1"/>
                <w:numId w:val="67"/>
              </w:numPr>
              <w:rPr>
                <w:rFonts w:ascii="Arial" w:hAnsi="Arial" w:cs="Arial"/>
                <w:b/>
                <w:sz w:val="22"/>
                <w:szCs w:val="22"/>
              </w:rPr>
            </w:pPr>
          </w:p>
        </w:tc>
        <w:tc>
          <w:tcPr>
            <w:tcW w:w="3453" w:type="dxa"/>
          </w:tcPr>
          <w:p w14:paraId="639967B6" w14:textId="5F884CBE" w:rsidR="00C12E85" w:rsidRPr="00C12E85" w:rsidRDefault="00C12E85" w:rsidP="00C12E85">
            <w:pPr>
              <w:pStyle w:val="UK12Block"/>
              <w:jc w:val="left"/>
              <w:rPr>
                <w:rFonts w:ascii="Arial" w:hAnsi="Arial" w:cs="Arial"/>
                <w:sz w:val="22"/>
                <w:szCs w:val="22"/>
              </w:rPr>
            </w:pPr>
            <w:r w:rsidRPr="00C12E85">
              <w:rPr>
                <w:rFonts w:ascii="Arial" w:hAnsi="Arial" w:cs="Arial"/>
                <w:sz w:val="22"/>
                <w:szCs w:val="22"/>
              </w:rPr>
              <w:t>Restricted Securities subject to a Restriction Agreement are to be released.</w:t>
            </w:r>
          </w:p>
        </w:tc>
        <w:tc>
          <w:tcPr>
            <w:tcW w:w="3837" w:type="dxa"/>
          </w:tcPr>
          <w:p w14:paraId="0F2CA8A2" w14:textId="75573885" w:rsidR="00C12E85" w:rsidRPr="00C12E85" w:rsidRDefault="00C12E85" w:rsidP="00C12E85">
            <w:pPr>
              <w:pStyle w:val="UK12Block"/>
              <w:jc w:val="left"/>
              <w:rPr>
                <w:rFonts w:ascii="Arial" w:hAnsi="Arial" w:cs="Arial"/>
                <w:sz w:val="22"/>
                <w:szCs w:val="22"/>
              </w:rPr>
            </w:pPr>
            <w:r w:rsidRPr="00C12E85">
              <w:rPr>
                <w:rFonts w:ascii="Arial" w:hAnsi="Arial" w:cs="Arial"/>
                <w:sz w:val="22"/>
                <w:szCs w:val="22"/>
              </w:rPr>
              <w:t>Disclosure of all relevant details relating to the release of the Restricted Securities, including name of the holder(s), number of securities to be released, length of time of the Restriction Agreement, and intended date of trading on the relevant Recognised Investment Exchange.</w:t>
            </w:r>
          </w:p>
        </w:tc>
        <w:tc>
          <w:tcPr>
            <w:tcW w:w="1980" w:type="dxa"/>
          </w:tcPr>
          <w:p w14:paraId="3F4DF777" w14:textId="1A218FC7" w:rsidR="00C12E85" w:rsidRPr="00C12E85" w:rsidRDefault="00C12E85" w:rsidP="00C12E85">
            <w:pPr>
              <w:pStyle w:val="UK12Block"/>
              <w:jc w:val="left"/>
              <w:rPr>
                <w:rFonts w:ascii="Arial" w:hAnsi="Arial" w:cs="Arial"/>
                <w:sz w:val="22"/>
                <w:szCs w:val="22"/>
              </w:rPr>
            </w:pPr>
            <w:r w:rsidRPr="00C12E85">
              <w:rPr>
                <w:rFonts w:ascii="Arial" w:hAnsi="Arial" w:cs="Arial"/>
                <w:sz w:val="22"/>
                <w:szCs w:val="22"/>
              </w:rPr>
              <w:t>10 Business Days before the end of the Restriction Period.</w:t>
            </w:r>
          </w:p>
        </w:tc>
        <w:tc>
          <w:tcPr>
            <w:tcW w:w="450" w:type="dxa"/>
          </w:tcPr>
          <w:p w14:paraId="2D1B54F1" w14:textId="4771B64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0C966AAF" w14:textId="706AA572"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360" w:type="dxa"/>
          </w:tcPr>
          <w:p w14:paraId="018779D8" w14:textId="77777777" w:rsidR="00C12E85" w:rsidRPr="00FB2F3D" w:rsidRDefault="00C12E85" w:rsidP="00C12E85">
            <w:pPr>
              <w:pStyle w:val="UK12Block"/>
              <w:jc w:val="left"/>
              <w:rPr>
                <w:rFonts w:ascii="Arial" w:hAnsi="Arial" w:cs="Arial"/>
                <w:sz w:val="22"/>
                <w:szCs w:val="22"/>
              </w:rPr>
            </w:pPr>
          </w:p>
        </w:tc>
        <w:tc>
          <w:tcPr>
            <w:tcW w:w="810" w:type="dxa"/>
            <w:gridSpan w:val="2"/>
          </w:tcPr>
          <w:p w14:paraId="455A04C6" w14:textId="77777777" w:rsidR="00C12E85" w:rsidRPr="00FB2F3D" w:rsidRDefault="00C12E85" w:rsidP="00C12E85">
            <w:pPr>
              <w:pStyle w:val="UK12Block"/>
              <w:jc w:val="left"/>
              <w:rPr>
                <w:rFonts w:ascii="Arial" w:hAnsi="Arial" w:cs="Arial"/>
                <w:sz w:val="22"/>
                <w:szCs w:val="22"/>
              </w:rPr>
            </w:pPr>
          </w:p>
        </w:tc>
        <w:tc>
          <w:tcPr>
            <w:tcW w:w="630" w:type="dxa"/>
          </w:tcPr>
          <w:p w14:paraId="2975E757" w14:textId="4659F695"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2B38B785" w14:textId="77777777" w:rsidR="00C12E85" w:rsidRPr="00FB2F3D" w:rsidRDefault="00C12E85" w:rsidP="00C12E85">
            <w:pPr>
              <w:pStyle w:val="UK12Block"/>
              <w:jc w:val="left"/>
              <w:rPr>
                <w:rFonts w:ascii="Arial" w:hAnsi="Arial" w:cs="Arial"/>
                <w:sz w:val="22"/>
                <w:szCs w:val="22"/>
              </w:rPr>
            </w:pPr>
          </w:p>
        </w:tc>
        <w:tc>
          <w:tcPr>
            <w:tcW w:w="562" w:type="dxa"/>
          </w:tcPr>
          <w:p w14:paraId="39E524A9" w14:textId="77777777" w:rsidR="00C12E85" w:rsidRPr="00FB2F3D" w:rsidRDefault="00C12E85" w:rsidP="00C12E85">
            <w:pPr>
              <w:pStyle w:val="UK12Block"/>
              <w:jc w:val="left"/>
              <w:rPr>
                <w:rFonts w:ascii="Arial" w:hAnsi="Arial" w:cs="Arial"/>
                <w:sz w:val="22"/>
                <w:szCs w:val="22"/>
              </w:rPr>
            </w:pPr>
          </w:p>
        </w:tc>
      </w:tr>
      <w:tr w:rsidR="00C12E85" w:rsidRPr="00FB2F3D" w14:paraId="3594DBE4" w14:textId="77777777" w:rsidTr="00C12E85">
        <w:tc>
          <w:tcPr>
            <w:tcW w:w="14170" w:type="dxa"/>
            <w:gridSpan w:val="13"/>
          </w:tcPr>
          <w:p w14:paraId="22B930E1" w14:textId="77777777" w:rsidR="00C12E85" w:rsidRPr="00FB2F3D" w:rsidRDefault="00C12E85" w:rsidP="00C12E85">
            <w:pPr>
              <w:pStyle w:val="UK12Block"/>
              <w:keepNext/>
              <w:numPr>
                <w:ilvl w:val="0"/>
                <w:numId w:val="67"/>
              </w:numPr>
              <w:spacing w:after="0"/>
              <w:jc w:val="left"/>
              <w:rPr>
                <w:rFonts w:ascii="Arial" w:hAnsi="Arial" w:cs="Arial"/>
                <w:b/>
                <w:sz w:val="22"/>
                <w:szCs w:val="22"/>
              </w:rPr>
            </w:pPr>
            <w:r w:rsidRPr="00FB2F3D">
              <w:rPr>
                <w:rFonts w:ascii="Arial" w:hAnsi="Arial" w:cs="Arial"/>
                <w:b/>
                <w:sz w:val="22"/>
                <w:szCs w:val="22"/>
              </w:rPr>
              <w:t>DISCLOSURE OF INTERESTS</w:t>
            </w:r>
          </w:p>
        </w:tc>
      </w:tr>
      <w:tr w:rsidR="00C12E85" w:rsidRPr="00FB2F3D" w14:paraId="589B9032" w14:textId="77777777" w:rsidTr="00C12E85">
        <w:tc>
          <w:tcPr>
            <w:tcW w:w="648" w:type="dxa"/>
          </w:tcPr>
          <w:p w14:paraId="2AC47D7D" w14:textId="77777777" w:rsidR="00C12E85" w:rsidRPr="00FB2F3D" w:rsidRDefault="00C12E85" w:rsidP="00C12E85">
            <w:pPr>
              <w:pStyle w:val="UK12Block"/>
              <w:numPr>
                <w:ilvl w:val="1"/>
                <w:numId w:val="67"/>
              </w:numPr>
              <w:rPr>
                <w:rFonts w:ascii="Arial" w:hAnsi="Arial" w:cs="Arial"/>
                <w:b/>
                <w:sz w:val="22"/>
                <w:szCs w:val="22"/>
              </w:rPr>
            </w:pPr>
          </w:p>
        </w:tc>
        <w:tc>
          <w:tcPr>
            <w:tcW w:w="3453" w:type="dxa"/>
          </w:tcPr>
          <w:p w14:paraId="4F0EFF13"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The requirement to make a disclosure of interests held by a Connected Person pursuant to section 76 of the FSMR.</w:t>
            </w:r>
          </w:p>
        </w:tc>
        <w:tc>
          <w:tcPr>
            <w:tcW w:w="3837" w:type="dxa"/>
          </w:tcPr>
          <w:p w14:paraId="0D5C4D81" w14:textId="606EC032" w:rsidR="00C12E85" w:rsidRPr="00FB2F3D" w:rsidRDefault="00C12E85" w:rsidP="00C12E85">
            <w:pPr>
              <w:pStyle w:val="UK12Block"/>
              <w:jc w:val="left"/>
              <w:rPr>
                <w:rFonts w:ascii="Arial" w:hAnsi="Arial" w:cs="Arial"/>
                <w:sz w:val="22"/>
                <w:szCs w:val="22"/>
              </w:rPr>
            </w:pPr>
            <w:r>
              <w:rPr>
                <w:rFonts w:ascii="Arial" w:hAnsi="Arial" w:cs="Arial"/>
                <w:sz w:val="22"/>
                <w:szCs w:val="22"/>
              </w:rPr>
              <w:t>D</w:t>
            </w:r>
            <w:r w:rsidRPr="00FB2F3D">
              <w:rPr>
                <w:rFonts w:ascii="Arial" w:hAnsi="Arial" w:cs="Arial"/>
                <w:sz w:val="22"/>
                <w:szCs w:val="22"/>
              </w:rPr>
              <w:t>isclosure of the information set out in Rule 7.3.4.</w:t>
            </w:r>
          </w:p>
        </w:tc>
        <w:tc>
          <w:tcPr>
            <w:tcW w:w="1980" w:type="dxa"/>
          </w:tcPr>
          <w:p w14:paraId="2915F9EC"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As soon as possible.</w:t>
            </w:r>
          </w:p>
        </w:tc>
        <w:tc>
          <w:tcPr>
            <w:tcW w:w="540" w:type="dxa"/>
            <w:gridSpan w:val="2"/>
          </w:tcPr>
          <w:p w14:paraId="4B21A515"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64C6E201"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450" w:type="dxa"/>
            <w:gridSpan w:val="2"/>
          </w:tcPr>
          <w:p w14:paraId="3CD9363A"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74021E31"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104D36D0"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7D3C8A86"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562" w:type="dxa"/>
          </w:tcPr>
          <w:p w14:paraId="169B2307" w14:textId="77777777" w:rsidR="00C12E85" w:rsidRPr="00FB2F3D" w:rsidRDefault="00C12E85" w:rsidP="00C12E85">
            <w:pPr>
              <w:pStyle w:val="UK12Block"/>
              <w:jc w:val="left"/>
              <w:rPr>
                <w:rFonts w:ascii="Arial" w:hAnsi="Arial" w:cs="Arial"/>
                <w:sz w:val="22"/>
                <w:szCs w:val="22"/>
              </w:rPr>
            </w:pPr>
          </w:p>
        </w:tc>
      </w:tr>
      <w:tr w:rsidR="00C12E85" w:rsidRPr="00FB2F3D" w14:paraId="2DA6E37F" w14:textId="77777777" w:rsidTr="00C12E85">
        <w:trPr>
          <w:cantSplit/>
        </w:trPr>
        <w:tc>
          <w:tcPr>
            <w:tcW w:w="648" w:type="dxa"/>
          </w:tcPr>
          <w:p w14:paraId="62F7A108" w14:textId="77777777" w:rsidR="00C12E85" w:rsidRPr="00FB2F3D" w:rsidRDefault="00C12E85" w:rsidP="00C12E85">
            <w:pPr>
              <w:pStyle w:val="UK12Block"/>
              <w:numPr>
                <w:ilvl w:val="1"/>
                <w:numId w:val="67"/>
              </w:numPr>
              <w:rPr>
                <w:rFonts w:ascii="Arial" w:hAnsi="Arial" w:cs="Arial"/>
                <w:b/>
                <w:sz w:val="22"/>
                <w:szCs w:val="22"/>
              </w:rPr>
            </w:pPr>
          </w:p>
        </w:tc>
        <w:tc>
          <w:tcPr>
            <w:tcW w:w="3453" w:type="dxa"/>
          </w:tcPr>
          <w:p w14:paraId="50E9AC10"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The requirement to give a notice of a Director's notifiable interests.</w:t>
            </w:r>
          </w:p>
        </w:tc>
        <w:tc>
          <w:tcPr>
            <w:tcW w:w="3837" w:type="dxa"/>
          </w:tcPr>
          <w:p w14:paraId="2F7ABAD4" w14:textId="6D21AF87" w:rsidR="00C12E85" w:rsidRPr="00FB2F3D" w:rsidRDefault="00C12E85" w:rsidP="00C12E85">
            <w:pPr>
              <w:pStyle w:val="UK12Block"/>
              <w:jc w:val="left"/>
              <w:rPr>
                <w:rFonts w:ascii="Arial" w:hAnsi="Arial" w:cs="Arial"/>
                <w:sz w:val="22"/>
                <w:szCs w:val="22"/>
              </w:rPr>
            </w:pPr>
            <w:r>
              <w:rPr>
                <w:rFonts w:ascii="Arial" w:hAnsi="Arial" w:cs="Arial"/>
                <w:sz w:val="22"/>
                <w:szCs w:val="22"/>
              </w:rPr>
              <w:t>D</w:t>
            </w:r>
            <w:r w:rsidRPr="00FB2F3D">
              <w:rPr>
                <w:rFonts w:ascii="Arial" w:hAnsi="Arial" w:cs="Arial"/>
                <w:sz w:val="22"/>
                <w:szCs w:val="22"/>
              </w:rPr>
              <w:t>isclosure of the information set out in Rule 7.4.3(3).</w:t>
            </w:r>
          </w:p>
        </w:tc>
        <w:tc>
          <w:tcPr>
            <w:tcW w:w="1980" w:type="dxa"/>
          </w:tcPr>
          <w:p w14:paraId="125E28C4"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As soon as possible.</w:t>
            </w:r>
          </w:p>
        </w:tc>
        <w:tc>
          <w:tcPr>
            <w:tcW w:w="540" w:type="dxa"/>
            <w:gridSpan w:val="2"/>
          </w:tcPr>
          <w:p w14:paraId="414EA133"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008AEBA3"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450" w:type="dxa"/>
            <w:gridSpan w:val="2"/>
          </w:tcPr>
          <w:p w14:paraId="6C7E71FA"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49E772A4"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4F25D578"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797B38E7"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562" w:type="dxa"/>
          </w:tcPr>
          <w:p w14:paraId="0742EDBB" w14:textId="77777777" w:rsidR="00C12E85" w:rsidRPr="00FB2F3D" w:rsidRDefault="00C12E85" w:rsidP="00C12E85">
            <w:pPr>
              <w:pStyle w:val="UK12Block"/>
              <w:jc w:val="left"/>
              <w:rPr>
                <w:rFonts w:ascii="Arial" w:hAnsi="Arial" w:cs="Arial"/>
                <w:sz w:val="22"/>
                <w:szCs w:val="22"/>
              </w:rPr>
            </w:pPr>
          </w:p>
        </w:tc>
      </w:tr>
      <w:tr w:rsidR="00C12E85" w:rsidRPr="00FB2F3D" w14:paraId="17349564" w14:textId="77777777" w:rsidTr="00C12E85">
        <w:tc>
          <w:tcPr>
            <w:tcW w:w="14170" w:type="dxa"/>
            <w:gridSpan w:val="13"/>
          </w:tcPr>
          <w:p w14:paraId="76723A54" w14:textId="77777777" w:rsidR="00C12E85" w:rsidRPr="00FB2F3D" w:rsidRDefault="00C12E85" w:rsidP="00C12E85">
            <w:pPr>
              <w:pStyle w:val="UK12Block"/>
              <w:keepNext/>
              <w:numPr>
                <w:ilvl w:val="0"/>
                <w:numId w:val="67"/>
              </w:numPr>
              <w:spacing w:after="0"/>
              <w:jc w:val="left"/>
              <w:rPr>
                <w:rFonts w:ascii="Arial" w:hAnsi="Arial" w:cs="Arial"/>
                <w:b/>
                <w:sz w:val="22"/>
                <w:szCs w:val="22"/>
              </w:rPr>
            </w:pPr>
            <w:r w:rsidRPr="00FB2F3D">
              <w:rPr>
                <w:rFonts w:ascii="Arial" w:hAnsi="Arial" w:cs="Arial"/>
                <w:b/>
                <w:sz w:val="22"/>
                <w:szCs w:val="22"/>
              </w:rPr>
              <w:t xml:space="preserve">FINANCIAL INFORMATION ABOUT THE </w:t>
            </w:r>
            <w:r w:rsidRPr="00FB2F3D">
              <w:rPr>
                <w:rFonts w:ascii="Arial" w:hAnsi="Arial" w:cs="Arial"/>
                <w:b/>
                <w:bCs/>
                <w:sz w:val="22"/>
                <w:szCs w:val="22"/>
              </w:rPr>
              <w:t>REPORTING ENTITY</w:t>
            </w:r>
          </w:p>
        </w:tc>
      </w:tr>
      <w:tr w:rsidR="00C12E85" w:rsidRPr="00FB2F3D" w14:paraId="1462D912" w14:textId="77777777" w:rsidTr="00C12E85">
        <w:tc>
          <w:tcPr>
            <w:tcW w:w="648" w:type="dxa"/>
          </w:tcPr>
          <w:p w14:paraId="5753CDF5" w14:textId="77777777" w:rsidR="00C12E85" w:rsidRPr="00FB2F3D" w:rsidRDefault="00C12E85" w:rsidP="00C12E85">
            <w:pPr>
              <w:pStyle w:val="UK12Block"/>
              <w:numPr>
                <w:ilvl w:val="1"/>
                <w:numId w:val="67"/>
              </w:numPr>
              <w:rPr>
                <w:rFonts w:ascii="Arial" w:hAnsi="Arial" w:cs="Arial"/>
                <w:b/>
                <w:sz w:val="22"/>
                <w:szCs w:val="22"/>
              </w:rPr>
            </w:pPr>
          </w:p>
        </w:tc>
        <w:tc>
          <w:tcPr>
            <w:tcW w:w="3453" w:type="dxa"/>
          </w:tcPr>
          <w:p w14:paraId="4511056C"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The requirement to file an annual financial report pursuant to section 78 of the FSMR.</w:t>
            </w:r>
          </w:p>
        </w:tc>
        <w:tc>
          <w:tcPr>
            <w:tcW w:w="3837" w:type="dxa"/>
          </w:tcPr>
          <w:p w14:paraId="3909DCC6" w14:textId="205B8B23" w:rsidR="00C12E85" w:rsidRPr="00FB2F3D" w:rsidRDefault="00EC2BBA" w:rsidP="00C12E85">
            <w:pPr>
              <w:pStyle w:val="UK12Block"/>
              <w:jc w:val="left"/>
              <w:rPr>
                <w:rFonts w:ascii="Arial" w:hAnsi="Arial" w:cs="Arial"/>
                <w:sz w:val="22"/>
                <w:szCs w:val="22"/>
              </w:rPr>
            </w:pPr>
            <w:r>
              <w:rPr>
                <w:rFonts w:ascii="Arial" w:hAnsi="Arial" w:cs="Arial"/>
                <w:sz w:val="22"/>
                <w:szCs w:val="22"/>
              </w:rPr>
              <w:t>D</w:t>
            </w:r>
            <w:r w:rsidR="00C12E85" w:rsidRPr="00FB2F3D">
              <w:rPr>
                <w:rFonts w:ascii="Arial" w:hAnsi="Arial" w:cs="Arial"/>
                <w:sz w:val="22"/>
                <w:szCs w:val="22"/>
              </w:rPr>
              <w:t>isclosure of the report prepared in accordance with the requirements in Rule 10.1.4, 10.1.5 and 10.1.6.</w:t>
            </w:r>
          </w:p>
        </w:tc>
        <w:tc>
          <w:tcPr>
            <w:tcW w:w="1980" w:type="dxa"/>
          </w:tcPr>
          <w:p w14:paraId="4A6757EB"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In accordance with Rule 10.1.8(2)(a).</w:t>
            </w:r>
          </w:p>
        </w:tc>
        <w:tc>
          <w:tcPr>
            <w:tcW w:w="540" w:type="dxa"/>
            <w:gridSpan w:val="2"/>
          </w:tcPr>
          <w:p w14:paraId="79A4B0DA"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3E219D45"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450" w:type="dxa"/>
            <w:gridSpan w:val="2"/>
          </w:tcPr>
          <w:p w14:paraId="2A9B467F"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21EC353A"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7DC2C9A8"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34BF3F32"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562" w:type="dxa"/>
          </w:tcPr>
          <w:p w14:paraId="27E84319" w14:textId="77777777" w:rsidR="00C12E85" w:rsidRPr="00FB2F3D" w:rsidRDefault="00C12E85" w:rsidP="00C12E85">
            <w:pPr>
              <w:pStyle w:val="UK12Block"/>
              <w:jc w:val="left"/>
              <w:rPr>
                <w:rFonts w:ascii="Arial" w:hAnsi="Arial" w:cs="Arial"/>
                <w:sz w:val="22"/>
                <w:szCs w:val="22"/>
              </w:rPr>
            </w:pPr>
          </w:p>
        </w:tc>
      </w:tr>
      <w:tr w:rsidR="00C12E85" w:rsidRPr="00FB2F3D" w14:paraId="5000CBBF" w14:textId="77777777" w:rsidTr="00C12E85">
        <w:tc>
          <w:tcPr>
            <w:tcW w:w="648" w:type="dxa"/>
          </w:tcPr>
          <w:p w14:paraId="2F2E49DA" w14:textId="77777777" w:rsidR="00C12E85" w:rsidRPr="00FB2F3D" w:rsidRDefault="00C12E85" w:rsidP="00C12E85">
            <w:pPr>
              <w:pStyle w:val="UK12Block"/>
              <w:numPr>
                <w:ilvl w:val="1"/>
                <w:numId w:val="67"/>
              </w:numPr>
              <w:rPr>
                <w:rFonts w:ascii="Arial" w:hAnsi="Arial" w:cs="Arial"/>
                <w:b/>
                <w:sz w:val="22"/>
                <w:szCs w:val="22"/>
              </w:rPr>
            </w:pPr>
          </w:p>
        </w:tc>
        <w:tc>
          <w:tcPr>
            <w:tcW w:w="3453" w:type="dxa"/>
          </w:tcPr>
          <w:p w14:paraId="1DD40085"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The requirement to file a semi</w:t>
            </w:r>
            <w:r w:rsidRPr="00FB2F3D">
              <w:rPr>
                <w:rFonts w:ascii="Arial" w:hAnsi="Arial" w:cs="Arial"/>
                <w:sz w:val="22"/>
                <w:szCs w:val="22"/>
              </w:rPr>
              <w:noBreakHyphen/>
              <w:t>annual financial report pursuant to section 79 of the FSMR.</w:t>
            </w:r>
          </w:p>
        </w:tc>
        <w:tc>
          <w:tcPr>
            <w:tcW w:w="3837" w:type="dxa"/>
          </w:tcPr>
          <w:p w14:paraId="6924BD5D" w14:textId="3C8E143F" w:rsidR="00C12E85" w:rsidRPr="00FB2F3D" w:rsidRDefault="00EC2BBA" w:rsidP="00C12E85">
            <w:pPr>
              <w:pStyle w:val="UK12Block"/>
              <w:jc w:val="left"/>
              <w:rPr>
                <w:rFonts w:ascii="Arial" w:hAnsi="Arial" w:cs="Arial"/>
                <w:sz w:val="22"/>
                <w:szCs w:val="22"/>
              </w:rPr>
            </w:pPr>
            <w:r>
              <w:rPr>
                <w:rFonts w:ascii="Arial" w:hAnsi="Arial" w:cs="Arial"/>
                <w:sz w:val="22"/>
                <w:szCs w:val="22"/>
              </w:rPr>
              <w:t>D</w:t>
            </w:r>
            <w:r w:rsidR="00C12E85" w:rsidRPr="00FB2F3D">
              <w:rPr>
                <w:rFonts w:ascii="Arial" w:hAnsi="Arial" w:cs="Arial"/>
                <w:sz w:val="22"/>
                <w:szCs w:val="22"/>
              </w:rPr>
              <w:t>isclosure of the report prepared in accordance with the relevant requirements set out in Rule 10.1.</w:t>
            </w:r>
            <w:r>
              <w:rPr>
                <w:rFonts w:ascii="Arial" w:hAnsi="Arial" w:cs="Arial"/>
                <w:sz w:val="22"/>
                <w:szCs w:val="22"/>
              </w:rPr>
              <w:t>7</w:t>
            </w:r>
            <w:r w:rsidR="00C12E85" w:rsidRPr="00FB2F3D">
              <w:rPr>
                <w:rFonts w:ascii="Arial" w:hAnsi="Arial" w:cs="Arial"/>
                <w:sz w:val="22"/>
                <w:szCs w:val="22"/>
              </w:rPr>
              <w:t>.</w:t>
            </w:r>
          </w:p>
        </w:tc>
        <w:tc>
          <w:tcPr>
            <w:tcW w:w="1980" w:type="dxa"/>
          </w:tcPr>
          <w:p w14:paraId="41818AD4"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In accordance with Rule 10.1.8(2)(b).</w:t>
            </w:r>
          </w:p>
        </w:tc>
        <w:tc>
          <w:tcPr>
            <w:tcW w:w="540" w:type="dxa"/>
            <w:gridSpan w:val="2"/>
          </w:tcPr>
          <w:p w14:paraId="21B7AC07"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1E4F472F"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450" w:type="dxa"/>
            <w:gridSpan w:val="2"/>
          </w:tcPr>
          <w:p w14:paraId="626AAA38" w14:textId="77777777" w:rsidR="00C12E85" w:rsidRPr="00FB2F3D" w:rsidRDefault="00C12E85" w:rsidP="00C12E85">
            <w:pPr>
              <w:pStyle w:val="UK12Block"/>
              <w:jc w:val="left"/>
              <w:rPr>
                <w:rFonts w:ascii="Arial" w:hAnsi="Arial" w:cs="Arial"/>
                <w:sz w:val="22"/>
                <w:szCs w:val="22"/>
              </w:rPr>
            </w:pPr>
          </w:p>
        </w:tc>
        <w:tc>
          <w:tcPr>
            <w:tcW w:w="720" w:type="dxa"/>
          </w:tcPr>
          <w:p w14:paraId="3110FF82" w14:textId="77777777" w:rsidR="00C12E85" w:rsidRPr="00FB2F3D" w:rsidRDefault="00C12E85" w:rsidP="00C12E85">
            <w:pPr>
              <w:pStyle w:val="UK12Block"/>
              <w:jc w:val="left"/>
              <w:rPr>
                <w:rFonts w:ascii="Arial" w:hAnsi="Arial" w:cs="Arial"/>
                <w:sz w:val="22"/>
                <w:szCs w:val="22"/>
              </w:rPr>
            </w:pPr>
          </w:p>
        </w:tc>
        <w:tc>
          <w:tcPr>
            <w:tcW w:w="630" w:type="dxa"/>
          </w:tcPr>
          <w:p w14:paraId="7426FDE8"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16E7ABC3" w14:textId="77777777" w:rsidR="00C12E85" w:rsidRPr="00FB2F3D" w:rsidRDefault="00C12E85" w:rsidP="00C12E85">
            <w:pPr>
              <w:pStyle w:val="UK12Block"/>
              <w:jc w:val="left"/>
              <w:rPr>
                <w:rFonts w:ascii="Arial" w:hAnsi="Arial" w:cs="Arial"/>
                <w:sz w:val="22"/>
                <w:szCs w:val="22"/>
              </w:rPr>
            </w:pPr>
          </w:p>
        </w:tc>
        <w:tc>
          <w:tcPr>
            <w:tcW w:w="562" w:type="dxa"/>
          </w:tcPr>
          <w:p w14:paraId="50B522B1" w14:textId="77777777" w:rsidR="00C12E85" w:rsidRPr="00FB2F3D" w:rsidRDefault="00C12E85" w:rsidP="00C12E85">
            <w:pPr>
              <w:pStyle w:val="UK12Block"/>
              <w:jc w:val="left"/>
              <w:rPr>
                <w:rFonts w:ascii="Arial" w:hAnsi="Arial" w:cs="Arial"/>
                <w:sz w:val="22"/>
                <w:szCs w:val="22"/>
              </w:rPr>
            </w:pPr>
          </w:p>
        </w:tc>
      </w:tr>
      <w:tr w:rsidR="00C12E85" w:rsidRPr="00FB2F3D" w14:paraId="77DBC62E" w14:textId="77777777" w:rsidTr="00C12E85">
        <w:tc>
          <w:tcPr>
            <w:tcW w:w="648" w:type="dxa"/>
          </w:tcPr>
          <w:p w14:paraId="49954A5C" w14:textId="77777777" w:rsidR="00C12E85" w:rsidRPr="00FB2F3D" w:rsidRDefault="00C12E85" w:rsidP="00C12E85">
            <w:pPr>
              <w:pStyle w:val="UK12Block"/>
              <w:numPr>
                <w:ilvl w:val="1"/>
                <w:numId w:val="67"/>
              </w:numPr>
              <w:rPr>
                <w:rFonts w:ascii="Arial" w:hAnsi="Arial" w:cs="Arial"/>
                <w:b/>
                <w:sz w:val="22"/>
                <w:szCs w:val="22"/>
              </w:rPr>
            </w:pPr>
          </w:p>
        </w:tc>
        <w:tc>
          <w:tcPr>
            <w:tcW w:w="3453" w:type="dxa"/>
          </w:tcPr>
          <w:p w14:paraId="7F527B71"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The requirement to file preliminary financial results pursuant to Rule 10.1.8.</w:t>
            </w:r>
          </w:p>
        </w:tc>
        <w:tc>
          <w:tcPr>
            <w:tcW w:w="3837" w:type="dxa"/>
          </w:tcPr>
          <w:p w14:paraId="1A569DF5" w14:textId="7477911D" w:rsidR="00C12E85" w:rsidRPr="00FB2F3D" w:rsidRDefault="00EC2BBA" w:rsidP="00C12E85">
            <w:pPr>
              <w:pStyle w:val="UK12Block"/>
              <w:jc w:val="left"/>
              <w:rPr>
                <w:rFonts w:ascii="Arial" w:hAnsi="Arial" w:cs="Arial"/>
                <w:sz w:val="22"/>
                <w:szCs w:val="22"/>
              </w:rPr>
            </w:pPr>
            <w:r>
              <w:rPr>
                <w:rFonts w:ascii="Arial" w:hAnsi="Arial" w:cs="Arial"/>
                <w:sz w:val="22"/>
                <w:szCs w:val="22"/>
              </w:rPr>
              <w:t>D</w:t>
            </w:r>
            <w:r w:rsidR="00C12E85" w:rsidRPr="00FB2F3D">
              <w:rPr>
                <w:rFonts w:ascii="Arial" w:hAnsi="Arial" w:cs="Arial"/>
                <w:sz w:val="22"/>
                <w:szCs w:val="22"/>
              </w:rPr>
              <w:t>isclosure of the preliminary financial results.</w:t>
            </w:r>
          </w:p>
        </w:tc>
        <w:tc>
          <w:tcPr>
            <w:tcW w:w="1980" w:type="dxa"/>
          </w:tcPr>
          <w:p w14:paraId="07F675E2"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In accordance with Rule 10.1.8(2)(c).</w:t>
            </w:r>
          </w:p>
        </w:tc>
        <w:tc>
          <w:tcPr>
            <w:tcW w:w="540" w:type="dxa"/>
            <w:gridSpan w:val="2"/>
          </w:tcPr>
          <w:p w14:paraId="15150338"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622943F3"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450" w:type="dxa"/>
            <w:gridSpan w:val="2"/>
          </w:tcPr>
          <w:p w14:paraId="64209B7D" w14:textId="77777777" w:rsidR="00C12E85" w:rsidRPr="00FB2F3D" w:rsidRDefault="00C12E85" w:rsidP="00C12E85">
            <w:pPr>
              <w:pStyle w:val="UK12Block"/>
              <w:jc w:val="left"/>
              <w:rPr>
                <w:rFonts w:ascii="Arial" w:hAnsi="Arial" w:cs="Arial"/>
                <w:sz w:val="22"/>
                <w:szCs w:val="22"/>
              </w:rPr>
            </w:pPr>
          </w:p>
        </w:tc>
        <w:tc>
          <w:tcPr>
            <w:tcW w:w="720" w:type="dxa"/>
          </w:tcPr>
          <w:p w14:paraId="51F9FEEC" w14:textId="77777777" w:rsidR="00C12E85" w:rsidRPr="00FB2F3D" w:rsidRDefault="00C12E85" w:rsidP="00C12E85">
            <w:pPr>
              <w:pStyle w:val="UK12Block"/>
              <w:jc w:val="left"/>
              <w:rPr>
                <w:rFonts w:ascii="Arial" w:hAnsi="Arial" w:cs="Arial"/>
                <w:sz w:val="22"/>
                <w:szCs w:val="22"/>
              </w:rPr>
            </w:pPr>
          </w:p>
        </w:tc>
        <w:tc>
          <w:tcPr>
            <w:tcW w:w="630" w:type="dxa"/>
          </w:tcPr>
          <w:p w14:paraId="7EB58EE1"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16374434" w14:textId="77777777" w:rsidR="00C12E85" w:rsidRPr="00FB2F3D" w:rsidRDefault="00C12E85" w:rsidP="00C12E85">
            <w:pPr>
              <w:pStyle w:val="UK12Block"/>
              <w:jc w:val="left"/>
              <w:rPr>
                <w:rFonts w:ascii="Arial" w:hAnsi="Arial" w:cs="Arial"/>
                <w:sz w:val="22"/>
                <w:szCs w:val="22"/>
              </w:rPr>
            </w:pPr>
          </w:p>
        </w:tc>
        <w:tc>
          <w:tcPr>
            <w:tcW w:w="562" w:type="dxa"/>
          </w:tcPr>
          <w:p w14:paraId="6140391C" w14:textId="77777777" w:rsidR="00C12E85" w:rsidRPr="00FB2F3D" w:rsidRDefault="00C12E85" w:rsidP="00C12E85">
            <w:pPr>
              <w:pStyle w:val="UK12Block"/>
              <w:jc w:val="left"/>
              <w:rPr>
                <w:rFonts w:ascii="Arial" w:hAnsi="Arial" w:cs="Arial"/>
                <w:sz w:val="22"/>
                <w:szCs w:val="22"/>
              </w:rPr>
            </w:pPr>
          </w:p>
        </w:tc>
      </w:tr>
      <w:tr w:rsidR="00C12E85" w:rsidRPr="00FB2F3D" w14:paraId="38DD1407" w14:textId="77777777" w:rsidTr="00C12E85">
        <w:tc>
          <w:tcPr>
            <w:tcW w:w="648" w:type="dxa"/>
          </w:tcPr>
          <w:p w14:paraId="454EB8D7" w14:textId="77777777" w:rsidR="00C12E85" w:rsidRPr="00FB2F3D" w:rsidRDefault="00C12E85" w:rsidP="00C12E85">
            <w:pPr>
              <w:pStyle w:val="UK12Block"/>
              <w:numPr>
                <w:ilvl w:val="1"/>
                <w:numId w:val="67"/>
              </w:numPr>
              <w:rPr>
                <w:rFonts w:ascii="Arial" w:hAnsi="Arial" w:cs="Arial"/>
                <w:b/>
                <w:sz w:val="22"/>
                <w:szCs w:val="22"/>
              </w:rPr>
            </w:pPr>
          </w:p>
        </w:tc>
        <w:tc>
          <w:tcPr>
            <w:tcW w:w="3453" w:type="dxa"/>
          </w:tcPr>
          <w:p w14:paraId="7815D9C2"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Any change to the accounting reference date.</w:t>
            </w:r>
          </w:p>
        </w:tc>
        <w:tc>
          <w:tcPr>
            <w:tcW w:w="3837" w:type="dxa"/>
          </w:tcPr>
          <w:p w14:paraId="794FD684" w14:textId="677757CE" w:rsidR="00C12E85" w:rsidRPr="00FB2F3D" w:rsidRDefault="00EC2BBA" w:rsidP="00C12E85">
            <w:pPr>
              <w:pStyle w:val="UK12Block"/>
              <w:jc w:val="left"/>
              <w:rPr>
                <w:rFonts w:ascii="Arial" w:hAnsi="Arial" w:cs="Arial"/>
                <w:sz w:val="22"/>
                <w:szCs w:val="22"/>
              </w:rPr>
            </w:pPr>
            <w:r>
              <w:rPr>
                <w:rFonts w:ascii="Arial" w:hAnsi="Arial" w:cs="Arial"/>
                <w:sz w:val="22"/>
                <w:szCs w:val="22"/>
              </w:rPr>
              <w:t>D</w:t>
            </w:r>
            <w:r w:rsidR="00C12E85" w:rsidRPr="00FB2F3D">
              <w:rPr>
                <w:rFonts w:ascii="Arial" w:hAnsi="Arial" w:cs="Arial"/>
                <w:sz w:val="22"/>
                <w:szCs w:val="22"/>
              </w:rPr>
              <w:t>isclosure of the previous and new accounting reference date, and reasons for the change.</w:t>
            </w:r>
          </w:p>
        </w:tc>
        <w:tc>
          <w:tcPr>
            <w:tcW w:w="1980" w:type="dxa"/>
          </w:tcPr>
          <w:p w14:paraId="06E58DA7"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As soon possible.</w:t>
            </w:r>
          </w:p>
        </w:tc>
        <w:tc>
          <w:tcPr>
            <w:tcW w:w="540" w:type="dxa"/>
            <w:gridSpan w:val="2"/>
          </w:tcPr>
          <w:p w14:paraId="2F77F159"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2772A738"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450" w:type="dxa"/>
            <w:gridSpan w:val="2"/>
          </w:tcPr>
          <w:p w14:paraId="7485D88C"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4DD15E75"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7421820C"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4486F481"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562" w:type="dxa"/>
          </w:tcPr>
          <w:p w14:paraId="085ED34E" w14:textId="77777777" w:rsidR="00C12E85" w:rsidRPr="00FB2F3D" w:rsidRDefault="00C12E85" w:rsidP="00C12E85">
            <w:pPr>
              <w:pStyle w:val="UK12Block"/>
              <w:jc w:val="left"/>
              <w:rPr>
                <w:rFonts w:ascii="Arial" w:hAnsi="Arial" w:cs="Arial"/>
                <w:sz w:val="22"/>
                <w:szCs w:val="22"/>
              </w:rPr>
            </w:pPr>
          </w:p>
        </w:tc>
      </w:tr>
      <w:tr w:rsidR="00C12E85" w:rsidRPr="00FB2F3D" w14:paraId="21374D1F" w14:textId="77777777" w:rsidTr="00C12E85">
        <w:trPr>
          <w:cantSplit/>
        </w:trPr>
        <w:tc>
          <w:tcPr>
            <w:tcW w:w="648" w:type="dxa"/>
          </w:tcPr>
          <w:p w14:paraId="14562F55" w14:textId="77777777" w:rsidR="00C12E85" w:rsidRPr="00FB2F3D" w:rsidRDefault="00C12E85" w:rsidP="00C12E85">
            <w:pPr>
              <w:pStyle w:val="UK12Block"/>
              <w:numPr>
                <w:ilvl w:val="1"/>
                <w:numId w:val="67"/>
              </w:numPr>
              <w:rPr>
                <w:rFonts w:ascii="Arial" w:hAnsi="Arial" w:cs="Arial"/>
                <w:b/>
                <w:sz w:val="22"/>
                <w:szCs w:val="22"/>
              </w:rPr>
            </w:pPr>
          </w:p>
        </w:tc>
        <w:tc>
          <w:tcPr>
            <w:tcW w:w="3453" w:type="dxa"/>
          </w:tcPr>
          <w:p w14:paraId="49627ABD"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Change of accounting date extending the annual accounting period to more than 14 months.</w:t>
            </w:r>
          </w:p>
        </w:tc>
        <w:tc>
          <w:tcPr>
            <w:tcW w:w="3837" w:type="dxa"/>
          </w:tcPr>
          <w:p w14:paraId="620B7A9A" w14:textId="1DE8633C" w:rsidR="00C12E85" w:rsidRPr="00FB2F3D" w:rsidRDefault="00EC2BBA" w:rsidP="00C12E85">
            <w:pPr>
              <w:pStyle w:val="UK12Block"/>
              <w:jc w:val="left"/>
              <w:rPr>
                <w:rFonts w:ascii="Arial" w:hAnsi="Arial" w:cs="Arial"/>
                <w:sz w:val="22"/>
                <w:szCs w:val="22"/>
              </w:rPr>
            </w:pPr>
            <w:r>
              <w:rPr>
                <w:rFonts w:ascii="Arial" w:hAnsi="Arial" w:cs="Arial"/>
                <w:sz w:val="22"/>
                <w:szCs w:val="22"/>
              </w:rPr>
              <w:t>D</w:t>
            </w:r>
            <w:r w:rsidR="00C12E85" w:rsidRPr="00FB2F3D">
              <w:rPr>
                <w:rFonts w:ascii="Arial" w:hAnsi="Arial" w:cs="Arial"/>
                <w:sz w:val="22"/>
                <w:szCs w:val="22"/>
              </w:rPr>
              <w:t>isclosure of a second semi</w:t>
            </w:r>
            <w:r w:rsidR="00C12E85" w:rsidRPr="00FB2F3D">
              <w:rPr>
                <w:rFonts w:ascii="Arial" w:hAnsi="Arial" w:cs="Arial"/>
                <w:sz w:val="22"/>
                <w:szCs w:val="22"/>
              </w:rPr>
              <w:noBreakHyphen/>
              <w:t>annual financial report.</w:t>
            </w:r>
          </w:p>
        </w:tc>
        <w:tc>
          <w:tcPr>
            <w:tcW w:w="1980" w:type="dxa"/>
          </w:tcPr>
          <w:p w14:paraId="6D6B4CE5"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Within six months of the old accounting reference date.</w:t>
            </w:r>
          </w:p>
        </w:tc>
        <w:tc>
          <w:tcPr>
            <w:tcW w:w="540" w:type="dxa"/>
            <w:gridSpan w:val="2"/>
          </w:tcPr>
          <w:p w14:paraId="4871DD0F"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533A69A1"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450" w:type="dxa"/>
            <w:gridSpan w:val="2"/>
          </w:tcPr>
          <w:p w14:paraId="02F335E3"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4766E443"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514FAAEB"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785CDC46"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562" w:type="dxa"/>
          </w:tcPr>
          <w:p w14:paraId="1D7B60A5" w14:textId="77777777" w:rsidR="00C12E85" w:rsidRPr="00FB2F3D" w:rsidRDefault="00C12E85" w:rsidP="00C12E85">
            <w:pPr>
              <w:pStyle w:val="UK12Block"/>
              <w:jc w:val="left"/>
              <w:rPr>
                <w:rFonts w:ascii="Arial" w:hAnsi="Arial" w:cs="Arial"/>
                <w:sz w:val="22"/>
                <w:szCs w:val="22"/>
              </w:rPr>
            </w:pPr>
          </w:p>
        </w:tc>
      </w:tr>
      <w:tr w:rsidR="00C12E85" w:rsidRPr="00FB2F3D" w14:paraId="5F23AD52" w14:textId="77777777" w:rsidTr="00C12E85">
        <w:tc>
          <w:tcPr>
            <w:tcW w:w="14170" w:type="dxa"/>
            <w:gridSpan w:val="13"/>
          </w:tcPr>
          <w:p w14:paraId="6196540F" w14:textId="77777777" w:rsidR="00C12E85" w:rsidRPr="00FB2F3D" w:rsidRDefault="00C12E85" w:rsidP="00C12E85">
            <w:pPr>
              <w:pStyle w:val="UK12Block"/>
              <w:keepNext/>
              <w:numPr>
                <w:ilvl w:val="0"/>
                <w:numId w:val="67"/>
              </w:numPr>
              <w:spacing w:after="0"/>
              <w:jc w:val="left"/>
              <w:rPr>
                <w:rFonts w:ascii="Arial" w:hAnsi="Arial" w:cs="Arial"/>
                <w:b/>
                <w:sz w:val="22"/>
                <w:szCs w:val="22"/>
              </w:rPr>
            </w:pPr>
            <w:r w:rsidRPr="00FB2F3D">
              <w:rPr>
                <w:rFonts w:ascii="Arial" w:hAnsi="Arial" w:cs="Arial"/>
                <w:b/>
                <w:sz w:val="22"/>
                <w:szCs w:val="22"/>
              </w:rPr>
              <w:lastRenderedPageBreak/>
              <w:t>MATTERS RELATING TO THE CAPITAL OF THE REPORTING ENTITY</w:t>
            </w:r>
          </w:p>
        </w:tc>
      </w:tr>
      <w:tr w:rsidR="00C12E85" w:rsidRPr="00FB2F3D" w14:paraId="17DF0955" w14:textId="77777777" w:rsidTr="00C12E85">
        <w:tc>
          <w:tcPr>
            <w:tcW w:w="648" w:type="dxa"/>
          </w:tcPr>
          <w:p w14:paraId="76BD15E0" w14:textId="77777777" w:rsidR="00C12E85" w:rsidRPr="00FB2F3D" w:rsidRDefault="00C12E85" w:rsidP="00C12E85">
            <w:pPr>
              <w:pStyle w:val="UK12Block"/>
              <w:numPr>
                <w:ilvl w:val="1"/>
                <w:numId w:val="67"/>
              </w:numPr>
              <w:rPr>
                <w:rFonts w:ascii="Arial" w:hAnsi="Arial" w:cs="Arial"/>
                <w:b/>
                <w:sz w:val="22"/>
                <w:szCs w:val="22"/>
              </w:rPr>
            </w:pPr>
          </w:p>
        </w:tc>
        <w:tc>
          <w:tcPr>
            <w:tcW w:w="3453" w:type="dxa"/>
          </w:tcPr>
          <w:p w14:paraId="4EFD3294"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 xml:space="preserve">Any proposed new issue of Securities. </w:t>
            </w:r>
          </w:p>
        </w:tc>
        <w:tc>
          <w:tcPr>
            <w:tcW w:w="3837" w:type="dxa"/>
          </w:tcPr>
          <w:p w14:paraId="628A2983" w14:textId="17940B86" w:rsidR="00C12E85" w:rsidRPr="00FB2F3D" w:rsidRDefault="00EC2BBA" w:rsidP="00C12E85">
            <w:pPr>
              <w:pStyle w:val="UK12Block"/>
              <w:jc w:val="left"/>
              <w:rPr>
                <w:rFonts w:ascii="Arial" w:hAnsi="Arial" w:cs="Arial"/>
                <w:sz w:val="22"/>
                <w:szCs w:val="22"/>
              </w:rPr>
            </w:pPr>
            <w:r>
              <w:rPr>
                <w:rFonts w:ascii="Arial" w:hAnsi="Arial" w:cs="Arial"/>
                <w:sz w:val="22"/>
                <w:szCs w:val="22"/>
              </w:rPr>
              <w:t>D</w:t>
            </w:r>
            <w:r w:rsidR="00C12E85" w:rsidRPr="00FB2F3D">
              <w:rPr>
                <w:rFonts w:ascii="Arial" w:hAnsi="Arial" w:cs="Arial"/>
                <w:sz w:val="22"/>
                <w:szCs w:val="22"/>
              </w:rPr>
              <w:t>isclosure of the class, number and proposed date of issue and details of the changes to the Share capital resulting from the new issue proposed.</w:t>
            </w:r>
          </w:p>
        </w:tc>
        <w:tc>
          <w:tcPr>
            <w:tcW w:w="1980" w:type="dxa"/>
          </w:tcPr>
          <w:p w14:paraId="696766F2"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As soon as possible after the decision is made.</w:t>
            </w:r>
          </w:p>
        </w:tc>
        <w:tc>
          <w:tcPr>
            <w:tcW w:w="450" w:type="dxa"/>
          </w:tcPr>
          <w:p w14:paraId="3EE54262"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7C3075BA"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360" w:type="dxa"/>
          </w:tcPr>
          <w:p w14:paraId="6A214F63"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1AEF7BAF"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70689F92"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78BE8A50"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562" w:type="dxa"/>
          </w:tcPr>
          <w:p w14:paraId="40CD1D04" w14:textId="77777777" w:rsidR="00C12E85" w:rsidRPr="00FB2F3D" w:rsidRDefault="00C12E85" w:rsidP="00C12E85">
            <w:pPr>
              <w:pStyle w:val="UK12Block"/>
              <w:jc w:val="left"/>
              <w:rPr>
                <w:rFonts w:ascii="Arial" w:hAnsi="Arial" w:cs="Arial"/>
                <w:sz w:val="22"/>
                <w:szCs w:val="22"/>
              </w:rPr>
            </w:pPr>
          </w:p>
        </w:tc>
      </w:tr>
      <w:tr w:rsidR="00C12E85" w:rsidRPr="00FB2F3D" w14:paraId="16612D82" w14:textId="77777777" w:rsidTr="00C12E85">
        <w:tc>
          <w:tcPr>
            <w:tcW w:w="648" w:type="dxa"/>
          </w:tcPr>
          <w:p w14:paraId="6275C46A" w14:textId="77777777" w:rsidR="00C12E85" w:rsidRPr="00FB2F3D" w:rsidRDefault="00C12E85" w:rsidP="00C12E85">
            <w:pPr>
              <w:pStyle w:val="UK12Block"/>
              <w:numPr>
                <w:ilvl w:val="1"/>
                <w:numId w:val="67"/>
              </w:numPr>
              <w:rPr>
                <w:rFonts w:ascii="Arial" w:hAnsi="Arial" w:cs="Arial"/>
                <w:b/>
                <w:sz w:val="22"/>
                <w:szCs w:val="22"/>
              </w:rPr>
            </w:pPr>
          </w:p>
        </w:tc>
        <w:tc>
          <w:tcPr>
            <w:tcW w:w="3453" w:type="dxa"/>
          </w:tcPr>
          <w:p w14:paraId="5AFCFBBC"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Results of the new issue.</w:t>
            </w:r>
          </w:p>
        </w:tc>
        <w:tc>
          <w:tcPr>
            <w:tcW w:w="3837" w:type="dxa"/>
          </w:tcPr>
          <w:p w14:paraId="36524459" w14:textId="56D0A92B" w:rsidR="00C12E85" w:rsidRPr="00FB2F3D" w:rsidRDefault="00EC2BBA" w:rsidP="00C12E85">
            <w:pPr>
              <w:pStyle w:val="UK12Block"/>
              <w:jc w:val="left"/>
              <w:rPr>
                <w:rFonts w:ascii="Arial" w:hAnsi="Arial" w:cs="Arial"/>
                <w:sz w:val="22"/>
                <w:szCs w:val="22"/>
              </w:rPr>
            </w:pPr>
            <w:r>
              <w:rPr>
                <w:rFonts w:ascii="Arial" w:hAnsi="Arial" w:cs="Arial"/>
                <w:sz w:val="22"/>
                <w:szCs w:val="22"/>
              </w:rPr>
              <w:t>D</w:t>
            </w:r>
            <w:r w:rsidR="00C12E85" w:rsidRPr="00FB2F3D">
              <w:rPr>
                <w:rFonts w:ascii="Arial" w:hAnsi="Arial" w:cs="Arial"/>
                <w:sz w:val="22"/>
                <w:szCs w:val="22"/>
              </w:rPr>
              <w:t>isclosure of the results of the issue including:</w:t>
            </w:r>
          </w:p>
          <w:p w14:paraId="0D14D723" w14:textId="77777777" w:rsidR="00C12E85" w:rsidRPr="00FB2F3D" w:rsidRDefault="00C12E85" w:rsidP="00C12E85">
            <w:pPr>
              <w:pStyle w:val="UK12Block"/>
              <w:numPr>
                <w:ilvl w:val="2"/>
                <w:numId w:val="67"/>
              </w:numPr>
              <w:jc w:val="left"/>
              <w:rPr>
                <w:rFonts w:ascii="Arial" w:hAnsi="Arial" w:cs="Arial"/>
                <w:sz w:val="22"/>
                <w:szCs w:val="22"/>
              </w:rPr>
            </w:pPr>
            <w:r w:rsidRPr="00FB2F3D">
              <w:rPr>
                <w:rFonts w:ascii="Arial" w:hAnsi="Arial" w:cs="Arial"/>
                <w:sz w:val="22"/>
                <w:szCs w:val="22"/>
              </w:rPr>
              <w:t>the class, number and the actual date of the issue;</w:t>
            </w:r>
          </w:p>
          <w:p w14:paraId="738E1428" w14:textId="77777777" w:rsidR="00C12E85" w:rsidRPr="00FB2F3D" w:rsidRDefault="00C12E85" w:rsidP="00C12E85">
            <w:pPr>
              <w:pStyle w:val="UK12Block"/>
              <w:numPr>
                <w:ilvl w:val="2"/>
                <w:numId w:val="67"/>
              </w:numPr>
              <w:jc w:val="left"/>
              <w:rPr>
                <w:rFonts w:ascii="Arial" w:hAnsi="Arial" w:cs="Arial"/>
                <w:sz w:val="22"/>
                <w:szCs w:val="22"/>
              </w:rPr>
            </w:pPr>
            <w:r w:rsidRPr="00FB2F3D">
              <w:rPr>
                <w:rFonts w:ascii="Arial" w:hAnsi="Arial" w:cs="Arial"/>
                <w:sz w:val="22"/>
                <w:szCs w:val="22"/>
              </w:rPr>
              <w:t>consideration received; and</w:t>
            </w:r>
          </w:p>
          <w:p w14:paraId="2CA83672" w14:textId="77777777" w:rsidR="00C12E85" w:rsidRPr="00FB2F3D" w:rsidRDefault="00C12E85" w:rsidP="00C12E85">
            <w:pPr>
              <w:pStyle w:val="UK12Block"/>
              <w:numPr>
                <w:ilvl w:val="2"/>
                <w:numId w:val="67"/>
              </w:numPr>
              <w:jc w:val="left"/>
              <w:rPr>
                <w:rFonts w:ascii="Arial" w:hAnsi="Arial" w:cs="Arial"/>
                <w:sz w:val="22"/>
                <w:szCs w:val="22"/>
              </w:rPr>
            </w:pPr>
            <w:r w:rsidRPr="00FB2F3D">
              <w:rPr>
                <w:rFonts w:ascii="Arial" w:hAnsi="Arial" w:cs="Arial"/>
                <w:sz w:val="22"/>
                <w:szCs w:val="22"/>
              </w:rPr>
              <w:t>details of changes in the Share capital.</w:t>
            </w:r>
          </w:p>
        </w:tc>
        <w:tc>
          <w:tcPr>
            <w:tcW w:w="1980" w:type="dxa"/>
          </w:tcPr>
          <w:p w14:paraId="4C3D8D41"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As soon as possible.</w:t>
            </w:r>
          </w:p>
        </w:tc>
        <w:tc>
          <w:tcPr>
            <w:tcW w:w="450" w:type="dxa"/>
          </w:tcPr>
          <w:p w14:paraId="7060C848"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4BF071E9"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360" w:type="dxa"/>
          </w:tcPr>
          <w:p w14:paraId="624EC5F1"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030CA7A4"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1787E013"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52ABF3CC"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562" w:type="dxa"/>
          </w:tcPr>
          <w:p w14:paraId="29B4C11D" w14:textId="77777777" w:rsidR="00C12E85" w:rsidRPr="00FB2F3D" w:rsidRDefault="00C12E85" w:rsidP="00C12E85">
            <w:pPr>
              <w:pStyle w:val="UK12Block"/>
              <w:jc w:val="left"/>
              <w:rPr>
                <w:rFonts w:ascii="Arial" w:hAnsi="Arial" w:cs="Arial"/>
                <w:sz w:val="22"/>
                <w:szCs w:val="22"/>
              </w:rPr>
            </w:pPr>
          </w:p>
        </w:tc>
      </w:tr>
      <w:tr w:rsidR="00C12E85" w:rsidRPr="00FB2F3D" w14:paraId="2422C8AC" w14:textId="77777777" w:rsidTr="00C12E85">
        <w:tc>
          <w:tcPr>
            <w:tcW w:w="14170" w:type="dxa"/>
            <w:gridSpan w:val="13"/>
          </w:tcPr>
          <w:p w14:paraId="291BA201" w14:textId="77777777" w:rsidR="00C12E85" w:rsidRPr="00FB2F3D" w:rsidRDefault="00C12E85" w:rsidP="00C12E85">
            <w:pPr>
              <w:pStyle w:val="UK12Block"/>
              <w:keepNext/>
              <w:numPr>
                <w:ilvl w:val="0"/>
                <w:numId w:val="67"/>
              </w:numPr>
              <w:spacing w:after="0"/>
              <w:jc w:val="left"/>
              <w:rPr>
                <w:rFonts w:ascii="Arial" w:hAnsi="Arial" w:cs="Arial"/>
                <w:b/>
                <w:sz w:val="22"/>
                <w:szCs w:val="22"/>
              </w:rPr>
            </w:pPr>
            <w:r w:rsidRPr="00FB2F3D">
              <w:rPr>
                <w:rFonts w:ascii="Arial" w:hAnsi="Arial" w:cs="Arial"/>
                <w:b/>
                <w:sz w:val="22"/>
                <w:szCs w:val="22"/>
              </w:rPr>
              <w:t xml:space="preserve">INSOLVENCY/WINDING UP OF THE </w:t>
            </w:r>
            <w:r w:rsidRPr="00FB2F3D">
              <w:rPr>
                <w:rFonts w:ascii="Arial" w:hAnsi="Arial" w:cs="Arial"/>
                <w:b/>
                <w:bCs/>
                <w:sz w:val="22"/>
                <w:szCs w:val="22"/>
              </w:rPr>
              <w:t>REPORTING ENTITY</w:t>
            </w:r>
          </w:p>
        </w:tc>
      </w:tr>
      <w:tr w:rsidR="00C12E85" w:rsidRPr="00FB2F3D" w14:paraId="6556A1D7" w14:textId="77777777" w:rsidTr="00C12E85">
        <w:tc>
          <w:tcPr>
            <w:tcW w:w="648" w:type="dxa"/>
          </w:tcPr>
          <w:p w14:paraId="65792CD3" w14:textId="77777777" w:rsidR="00C12E85" w:rsidRPr="00FB2F3D" w:rsidRDefault="00C12E85" w:rsidP="00C12E85">
            <w:pPr>
              <w:pStyle w:val="UK12Block"/>
              <w:numPr>
                <w:ilvl w:val="1"/>
                <w:numId w:val="67"/>
              </w:numPr>
              <w:rPr>
                <w:rFonts w:ascii="Arial" w:hAnsi="Arial" w:cs="Arial"/>
                <w:b/>
                <w:sz w:val="22"/>
                <w:szCs w:val="22"/>
              </w:rPr>
            </w:pPr>
          </w:p>
        </w:tc>
        <w:tc>
          <w:tcPr>
            <w:tcW w:w="3453" w:type="dxa"/>
          </w:tcPr>
          <w:p w14:paraId="74B97949"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In the case of an insolvency/winding up:</w:t>
            </w:r>
          </w:p>
          <w:p w14:paraId="0A6ECF2C" w14:textId="77777777" w:rsidR="00C12E85" w:rsidRPr="00FB2F3D" w:rsidRDefault="00C12E85" w:rsidP="00C12E85">
            <w:pPr>
              <w:pStyle w:val="UK12Block"/>
              <w:numPr>
                <w:ilvl w:val="2"/>
                <w:numId w:val="67"/>
              </w:numPr>
              <w:jc w:val="left"/>
              <w:rPr>
                <w:rFonts w:ascii="Arial" w:hAnsi="Arial" w:cs="Arial"/>
                <w:sz w:val="22"/>
                <w:szCs w:val="22"/>
              </w:rPr>
            </w:pPr>
            <w:r w:rsidRPr="00FB2F3D">
              <w:rPr>
                <w:rFonts w:ascii="Arial" w:hAnsi="Arial" w:cs="Arial"/>
                <w:sz w:val="22"/>
                <w:szCs w:val="22"/>
              </w:rPr>
              <w:t>the presentation of any winding</w:t>
            </w:r>
            <w:r w:rsidRPr="00FB2F3D">
              <w:rPr>
                <w:rFonts w:ascii="Arial" w:hAnsi="Arial" w:cs="Arial"/>
                <w:sz w:val="22"/>
                <w:szCs w:val="22"/>
              </w:rPr>
              <w:noBreakHyphen/>
              <w:t>up petition, the making of any winding</w:t>
            </w:r>
            <w:r w:rsidRPr="00FB2F3D">
              <w:rPr>
                <w:rFonts w:ascii="Arial" w:hAnsi="Arial" w:cs="Arial"/>
                <w:sz w:val="22"/>
                <w:szCs w:val="22"/>
              </w:rPr>
              <w:noBreakHyphen/>
              <w:t xml:space="preserve">up order or the appointment of an Administrator, liquidator or the commencement of any </w:t>
            </w:r>
            <w:r w:rsidRPr="00FB2F3D">
              <w:rPr>
                <w:rFonts w:ascii="Arial" w:hAnsi="Arial" w:cs="Arial"/>
                <w:sz w:val="22"/>
                <w:szCs w:val="22"/>
              </w:rPr>
              <w:lastRenderedPageBreak/>
              <w:t>proceedings under any applicable insolvency laws in respect of the Reporting Entity or any member of its Group; or</w:t>
            </w:r>
          </w:p>
          <w:p w14:paraId="580E82F4" w14:textId="77777777" w:rsidR="00C12E85" w:rsidRPr="00FB2F3D" w:rsidRDefault="00C12E85" w:rsidP="00C12E85">
            <w:pPr>
              <w:pStyle w:val="UK12Block"/>
              <w:numPr>
                <w:ilvl w:val="2"/>
                <w:numId w:val="67"/>
              </w:numPr>
              <w:jc w:val="left"/>
              <w:rPr>
                <w:rFonts w:ascii="Arial" w:hAnsi="Arial" w:cs="Arial"/>
                <w:sz w:val="22"/>
                <w:szCs w:val="22"/>
              </w:rPr>
            </w:pPr>
            <w:r w:rsidRPr="00FB2F3D">
              <w:rPr>
                <w:rFonts w:ascii="Arial" w:hAnsi="Arial" w:cs="Arial"/>
                <w:sz w:val="22"/>
                <w:szCs w:val="22"/>
              </w:rPr>
              <w:t>the passing of any resolution by the Reporting Entity or any member of its Group that it be wound up by way of members' or creditors' voluntary winding</w:t>
            </w:r>
            <w:r w:rsidRPr="00FB2F3D">
              <w:rPr>
                <w:rFonts w:ascii="Arial" w:hAnsi="Arial" w:cs="Arial"/>
                <w:sz w:val="22"/>
                <w:szCs w:val="22"/>
              </w:rPr>
              <w:noBreakHyphen/>
              <w:t>up, or the occurrence of any event or termination of any period of time which would cause a winding</w:t>
            </w:r>
            <w:r w:rsidRPr="00FB2F3D">
              <w:rPr>
                <w:rFonts w:ascii="Arial" w:hAnsi="Arial" w:cs="Arial"/>
                <w:sz w:val="22"/>
                <w:szCs w:val="22"/>
              </w:rPr>
              <w:noBreakHyphen/>
              <w:t>up.</w:t>
            </w:r>
          </w:p>
        </w:tc>
        <w:tc>
          <w:tcPr>
            <w:tcW w:w="3837" w:type="dxa"/>
          </w:tcPr>
          <w:p w14:paraId="3FC2BEC8" w14:textId="1F40897C" w:rsidR="00C12E85" w:rsidRPr="00FB2F3D" w:rsidRDefault="00EC2BBA" w:rsidP="00C12E85">
            <w:pPr>
              <w:pStyle w:val="UK12Block"/>
              <w:jc w:val="left"/>
              <w:rPr>
                <w:rFonts w:ascii="Arial" w:hAnsi="Arial" w:cs="Arial"/>
                <w:sz w:val="22"/>
                <w:szCs w:val="22"/>
              </w:rPr>
            </w:pPr>
            <w:r>
              <w:rPr>
                <w:rFonts w:ascii="Arial" w:hAnsi="Arial" w:cs="Arial"/>
                <w:sz w:val="22"/>
                <w:szCs w:val="22"/>
              </w:rPr>
              <w:lastRenderedPageBreak/>
              <w:t>D</w:t>
            </w:r>
            <w:r w:rsidR="00C12E85" w:rsidRPr="00FB2F3D">
              <w:rPr>
                <w:rFonts w:ascii="Arial" w:hAnsi="Arial" w:cs="Arial"/>
                <w:sz w:val="22"/>
                <w:szCs w:val="22"/>
              </w:rPr>
              <w:t>isclosure of the:</w:t>
            </w:r>
          </w:p>
          <w:p w14:paraId="2D1DC6F7" w14:textId="77777777" w:rsidR="00C12E85" w:rsidRPr="00FB2F3D" w:rsidRDefault="00C12E85" w:rsidP="00C12E85">
            <w:pPr>
              <w:pStyle w:val="UK12Block"/>
              <w:numPr>
                <w:ilvl w:val="0"/>
                <w:numId w:val="71"/>
              </w:numPr>
              <w:jc w:val="left"/>
              <w:rPr>
                <w:rFonts w:ascii="Arial" w:hAnsi="Arial" w:cs="Arial"/>
                <w:sz w:val="22"/>
                <w:szCs w:val="22"/>
              </w:rPr>
            </w:pPr>
            <w:r w:rsidRPr="00FB2F3D">
              <w:rPr>
                <w:rFonts w:ascii="Arial" w:hAnsi="Arial" w:cs="Arial"/>
                <w:sz w:val="22"/>
                <w:szCs w:val="22"/>
              </w:rPr>
              <w:t>time and date of the presentation, details of the order, appointment, resolution or other event;</w:t>
            </w:r>
          </w:p>
          <w:p w14:paraId="6A66B012" w14:textId="77777777" w:rsidR="00C12E85" w:rsidRPr="00FB2F3D" w:rsidRDefault="00C12E85" w:rsidP="00C12E85">
            <w:pPr>
              <w:pStyle w:val="UK12Block"/>
              <w:numPr>
                <w:ilvl w:val="0"/>
                <w:numId w:val="71"/>
              </w:numPr>
              <w:jc w:val="left"/>
              <w:rPr>
                <w:rFonts w:ascii="Arial" w:hAnsi="Arial" w:cs="Arial"/>
                <w:sz w:val="22"/>
                <w:szCs w:val="22"/>
              </w:rPr>
            </w:pPr>
            <w:r w:rsidRPr="00FB2F3D">
              <w:rPr>
                <w:rFonts w:ascii="Arial" w:hAnsi="Arial" w:cs="Arial"/>
                <w:sz w:val="22"/>
                <w:szCs w:val="22"/>
              </w:rPr>
              <w:lastRenderedPageBreak/>
              <w:t>identity of the petitioner or other Person at whose instigation the event occurs;</w:t>
            </w:r>
          </w:p>
          <w:p w14:paraId="007D812D" w14:textId="77777777" w:rsidR="00C12E85" w:rsidRPr="00FB2F3D" w:rsidRDefault="00C12E85" w:rsidP="00C12E85">
            <w:pPr>
              <w:pStyle w:val="UK12Block"/>
              <w:numPr>
                <w:ilvl w:val="0"/>
                <w:numId w:val="71"/>
              </w:numPr>
              <w:jc w:val="left"/>
              <w:rPr>
                <w:rFonts w:ascii="Arial" w:hAnsi="Arial" w:cs="Arial"/>
                <w:sz w:val="22"/>
                <w:szCs w:val="22"/>
              </w:rPr>
            </w:pPr>
            <w:r w:rsidRPr="00FB2F3D">
              <w:rPr>
                <w:rFonts w:ascii="Arial" w:hAnsi="Arial" w:cs="Arial"/>
                <w:sz w:val="22"/>
                <w:szCs w:val="22"/>
              </w:rPr>
              <w:t>court or tribunal responsible for making any order; or</w:t>
            </w:r>
          </w:p>
          <w:p w14:paraId="69D15EA2" w14:textId="77777777" w:rsidR="00C12E85" w:rsidRPr="00FB2F3D" w:rsidRDefault="00C12E85" w:rsidP="00C12E85">
            <w:pPr>
              <w:pStyle w:val="UK12Block"/>
              <w:numPr>
                <w:ilvl w:val="0"/>
                <w:numId w:val="71"/>
              </w:numPr>
              <w:jc w:val="left"/>
              <w:rPr>
                <w:rFonts w:ascii="Arial" w:hAnsi="Arial" w:cs="Arial"/>
                <w:sz w:val="22"/>
                <w:szCs w:val="22"/>
              </w:rPr>
            </w:pPr>
            <w:r w:rsidRPr="00FB2F3D">
              <w:rPr>
                <w:rFonts w:ascii="Arial" w:hAnsi="Arial" w:cs="Arial"/>
                <w:sz w:val="22"/>
                <w:szCs w:val="22"/>
              </w:rPr>
              <w:t xml:space="preserve">Administrator or liquidator appointed, </w:t>
            </w:r>
          </w:p>
          <w:p w14:paraId="20284B0A"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t>as is relevant.</w:t>
            </w:r>
          </w:p>
        </w:tc>
        <w:tc>
          <w:tcPr>
            <w:tcW w:w="1980" w:type="dxa"/>
          </w:tcPr>
          <w:p w14:paraId="44D389F0"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lastRenderedPageBreak/>
              <w:t>As soon as possible.</w:t>
            </w:r>
          </w:p>
        </w:tc>
        <w:tc>
          <w:tcPr>
            <w:tcW w:w="450" w:type="dxa"/>
          </w:tcPr>
          <w:p w14:paraId="025F84B9"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25735A17"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360" w:type="dxa"/>
          </w:tcPr>
          <w:p w14:paraId="5553F6A1"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112959E7"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7A6ABD78"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6BF39A87"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c>
          <w:tcPr>
            <w:tcW w:w="562" w:type="dxa"/>
          </w:tcPr>
          <w:p w14:paraId="7B7C29A5" w14:textId="77777777" w:rsidR="00C12E85" w:rsidRPr="00FB2F3D" w:rsidRDefault="00C12E85" w:rsidP="00C12E85">
            <w:pPr>
              <w:pStyle w:val="UK12Block"/>
              <w:jc w:val="left"/>
              <w:rPr>
                <w:rFonts w:ascii="Arial" w:hAnsi="Arial" w:cs="Arial"/>
                <w:sz w:val="22"/>
                <w:szCs w:val="22"/>
              </w:rPr>
            </w:pPr>
            <w:r w:rsidRPr="00FB2F3D">
              <w:rPr>
                <w:rFonts w:ascii="Arial" w:hAnsi="Arial" w:cs="Arial"/>
                <w:sz w:val="22"/>
                <w:szCs w:val="22"/>
              </w:rPr>
              <w:sym w:font="Wingdings" w:char="F0FC"/>
            </w:r>
          </w:p>
        </w:tc>
      </w:tr>
      <w:tr w:rsidR="00EC2BBA" w:rsidRPr="00FB2F3D" w14:paraId="33A5009D" w14:textId="77777777" w:rsidTr="00E524FD">
        <w:tc>
          <w:tcPr>
            <w:tcW w:w="14170" w:type="dxa"/>
            <w:gridSpan w:val="13"/>
          </w:tcPr>
          <w:p w14:paraId="4978A028" w14:textId="40BE8405" w:rsidR="00EC2BBA" w:rsidRPr="00EC2BBA" w:rsidRDefault="00EC2BBA" w:rsidP="00EC2BBA">
            <w:pPr>
              <w:pStyle w:val="UK12Block"/>
              <w:keepNext/>
              <w:numPr>
                <w:ilvl w:val="0"/>
                <w:numId w:val="67"/>
              </w:numPr>
              <w:spacing w:after="0"/>
              <w:jc w:val="left"/>
              <w:rPr>
                <w:rFonts w:ascii="Arial" w:hAnsi="Arial" w:cs="Arial"/>
                <w:b/>
                <w:sz w:val="22"/>
                <w:szCs w:val="22"/>
              </w:rPr>
            </w:pPr>
            <w:r w:rsidRPr="00EC2BBA">
              <w:rPr>
                <w:rFonts w:ascii="Arial" w:hAnsi="Arial" w:cs="Arial"/>
                <w:b/>
                <w:sz w:val="22"/>
                <w:szCs w:val="22"/>
              </w:rPr>
              <w:t>MINING AND PETROLEUM DISCLOSURES</w:t>
            </w:r>
          </w:p>
        </w:tc>
      </w:tr>
      <w:tr w:rsidR="00EC2BBA" w:rsidRPr="00FB2F3D" w14:paraId="648198D5" w14:textId="77777777" w:rsidTr="00C12E85">
        <w:tc>
          <w:tcPr>
            <w:tcW w:w="648" w:type="dxa"/>
          </w:tcPr>
          <w:p w14:paraId="7F75E6F8" w14:textId="77777777" w:rsidR="00EC2BBA" w:rsidRPr="00FB2F3D" w:rsidRDefault="00EC2BBA" w:rsidP="00EC2BBA">
            <w:pPr>
              <w:pStyle w:val="UK12Block"/>
              <w:numPr>
                <w:ilvl w:val="1"/>
                <w:numId w:val="67"/>
              </w:numPr>
              <w:rPr>
                <w:rFonts w:ascii="Arial" w:hAnsi="Arial" w:cs="Arial"/>
                <w:b/>
                <w:sz w:val="22"/>
                <w:szCs w:val="22"/>
              </w:rPr>
            </w:pPr>
          </w:p>
        </w:tc>
        <w:tc>
          <w:tcPr>
            <w:tcW w:w="3453" w:type="dxa"/>
          </w:tcPr>
          <w:p w14:paraId="692AA57D" w14:textId="31FB2AEE" w:rsidR="00EC2BBA" w:rsidRPr="00EC2BBA" w:rsidRDefault="00EC2BBA" w:rsidP="00EC2BBA">
            <w:pPr>
              <w:pStyle w:val="UK12Block"/>
              <w:jc w:val="left"/>
              <w:rPr>
                <w:rFonts w:ascii="Arial" w:hAnsi="Arial" w:cs="Arial"/>
                <w:sz w:val="22"/>
                <w:szCs w:val="22"/>
              </w:rPr>
            </w:pPr>
            <w:r w:rsidRPr="00EC2BBA">
              <w:rPr>
                <w:rFonts w:ascii="Arial" w:hAnsi="Arial" w:cs="Arial"/>
                <w:szCs w:val="22"/>
              </w:rPr>
              <w:t>Mining and Petroleum information required to be disclosed (as set out in chapters 11 or 12).</w:t>
            </w:r>
          </w:p>
        </w:tc>
        <w:tc>
          <w:tcPr>
            <w:tcW w:w="3837" w:type="dxa"/>
          </w:tcPr>
          <w:p w14:paraId="241B8DBE" w14:textId="5B06DC2C" w:rsidR="00EC2BBA" w:rsidRPr="00EC2BBA" w:rsidRDefault="00EC2BBA" w:rsidP="00EC2BBA">
            <w:pPr>
              <w:pStyle w:val="UK12Block"/>
              <w:jc w:val="left"/>
              <w:rPr>
                <w:rFonts w:ascii="Arial" w:hAnsi="Arial" w:cs="Arial"/>
                <w:sz w:val="22"/>
                <w:szCs w:val="22"/>
              </w:rPr>
            </w:pPr>
            <w:r w:rsidRPr="00EC2BBA">
              <w:rPr>
                <w:rFonts w:ascii="Arial" w:hAnsi="Arial" w:cs="Arial"/>
                <w:szCs w:val="22"/>
              </w:rPr>
              <w:t>Market disclosures required of the Mining Reporting Entity or Petroleum Reporting Entity.</w:t>
            </w:r>
          </w:p>
        </w:tc>
        <w:tc>
          <w:tcPr>
            <w:tcW w:w="1980" w:type="dxa"/>
          </w:tcPr>
          <w:p w14:paraId="501989FD" w14:textId="13AC34F9" w:rsidR="00EC2BBA" w:rsidRPr="00EC2BBA" w:rsidRDefault="00EC2BBA" w:rsidP="00EC2BBA">
            <w:pPr>
              <w:pStyle w:val="UK12Block"/>
              <w:jc w:val="left"/>
              <w:rPr>
                <w:rFonts w:ascii="Arial" w:hAnsi="Arial" w:cs="Arial"/>
                <w:sz w:val="22"/>
                <w:szCs w:val="22"/>
              </w:rPr>
            </w:pPr>
            <w:r w:rsidRPr="00EC2BBA">
              <w:rPr>
                <w:rFonts w:ascii="Arial" w:hAnsi="Arial" w:cs="Arial"/>
                <w:szCs w:val="22"/>
              </w:rPr>
              <w:t>As soon as possible.</w:t>
            </w:r>
          </w:p>
        </w:tc>
        <w:tc>
          <w:tcPr>
            <w:tcW w:w="450" w:type="dxa"/>
          </w:tcPr>
          <w:p w14:paraId="7ECF9230" w14:textId="48893774" w:rsidR="00EC2BBA" w:rsidRPr="00FB2F3D" w:rsidRDefault="00EC2BBA" w:rsidP="00EC2BBA">
            <w:pPr>
              <w:pStyle w:val="UK12Block"/>
              <w:jc w:val="left"/>
              <w:rPr>
                <w:rFonts w:ascii="Arial" w:hAnsi="Arial" w:cs="Arial"/>
                <w:sz w:val="22"/>
                <w:szCs w:val="22"/>
              </w:rPr>
            </w:pPr>
            <w:r w:rsidRPr="00FB2F3D">
              <w:rPr>
                <w:rFonts w:ascii="Arial" w:hAnsi="Arial" w:cs="Arial"/>
                <w:sz w:val="22"/>
                <w:szCs w:val="22"/>
              </w:rPr>
              <w:sym w:font="Wingdings" w:char="F0FC"/>
            </w:r>
          </w:p>
        </w:tc>
        <w:tc>
          <w:tcPr>
            <w:tcW w:w="810" w:type="dxa"/>
            <w:gridSpan w:val="2"/>
          </w:tcPr>
          <w:p w14:paraId="7C282F20" w14:textId="532140F2" w:rsidR="00EC2BBA" w:rsidRPr="00FB2F3D" w:rsidRDefault="00EC2BBA" w:rsidP="00EC2BBA">
            <w:pPr>
              <w:pStyle w:val="UK12Block"/>
              <w:jc w:val="left"/>
              <w:rPr>
                <w:rFonts w:ascii="Arial" w:hAnsi="Arial" w:cs="Arial"/>
                <w:sz w:val="22"/>
                <w:szCs w:val="22"/>
              </w:rPr>
            </w:pPr>
            <w:r w:rsidRPr="00FB2F3D">
              <w:rPr>
                <w:rFonts w:ascii="Arial" w:hAnsi="Arial" w:cs="Arial"/>
                <w:sz w:val="22"/>
                <w:szCs w:val="22"/>
              </w:rPr>
              <w:sym w:font="Wingdings" w:char="F0FC"/>
            </w:r>
          </w:p>
        </w:tc>
        <w:tc>
          <w:tcPr>
            <w:tcW w:w="360" w:type="dxa"/>
          </w:tcPr>
          <w:p w14:paraId="2CA4C9D9" w14:textId="77777777" w:rsidR="00EC2BBA" w:rsidRPr="00FB2F3D" w:rsidRDefault="00EC2BBA" w:rsidP="00EC2BBA">
            <w:pPr>
              <w:pStyle w:val="UK12Block"/>
              <w:jc w:val="left"/>
              <w:rPr>
                <w:rFonts w:ascii="Arial" w:hAnsi="Arial" w:cs="Arial"/>
                <w:sz w:val="22"/>
                <w:szCs w:val="22"/>
              </w:rPr>
            </w:pPr>
          </w:p>
        </w:tc>
        <w:tc>
          <w:tcPr>
            <w:tcW w:w="810" w:type="dxa"/>
            <w:gridSpan w:val="2"/>
          </w:tcPr>
          <w:p w14:paraId="48E060F9" w14:textId="77777777" w:rsidR="00EC2BBA" w:rsidRPr="00FB2F3D" w:rsidRDefault="00EC2BBA" w:rsidP="00EC2BBA">
            <w:pPr>
              <w:pStyle w:val="UK12Block"/>
              <w:jc w:val="left"/>
              <w:rPr>
                <w:rFonts w:ascii="Arial" w:hAnsi="Arial" w:cs="Arial"/>
                <w:sz w:val="22"/>
                <w:szCs w:val="22"/>
              </w:rPr>
            </w:pPr>
          </w:p>
        </w:tc>
        <w:tc>
          <w:tcPr>
            <w:tcW w:w="630" w:type="dxa"/>
          </w:tcPr>
          <w:p w14:paraId="62F513CF" w14:textId="3BDD4440" w:rsidR="00EC2BBA" w:rsidRPr="00FB2F3D" w:rsidRDefault="00C172C0" w:rsidP="00EC2BBA">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6F05E6DB" w14:textId="77777777" w:rsidR="00EC2BBA" w:rsidRPr="00FB2F3D" w:rsidRDefault="00EC2BBA" w:rsidP="00EC2BBA">
            <w:pPr>
              <w:pStyle w:val="UK12Block"/>
              <w:jc w:val="left"/>
              <w:rPr>
                <w:rFonts w:ascii="Arial" w:hAnsi="Arial" w:cs="Arial"/>
                <w:sz w:val="22"/>
                <w:szCs w:val="22"/>
              </w:rPr>
            </w:pPr>
          </w:p>
        </w:tc>
        <w:tc>
          <w:tcPr>
            <w:tcW w:w="562" w:type="dxa"/>
          </w:tcPr>
          <w:p w14:paraId="507646A9" w14:textId="6FD0E48F" w:rsidR="00EC2BBA" w:rsidRPr="00FB2F3D" w:rsidRDefault="00C172C0" w:rsidP="00EC2BBA">
            <w:pPr>
              <w:pStyle w:val="UK12Block"/>
              <w:jc w:val="left"/>
              <w:rPr>
                <w:rFonts w:ascii="Arial" w:hAnsi="Arial" w:cs="Arial"/>
                <w:sz w:val="22"/>
                <w:szCs w:val="22"/>
              </w:rPr>
            </w:pPr>
            <w:r w:rsidRPr="00FB2F3D">
              <w:rPr>
                <w:rFonts w:ascii="Arial" w:hAnsi="Arial" w:cs="Arial"/>
                <w:sz w:val="22"/>
                <w:szCs w:val="22"/>
              </w:rPr>
              <w:sym w:font="Wingdings" w:char="F0FC"/>
            </w:r>
          </w:p>
        </w:tc>
      </w:tr>
    </w:tbl>
    <w:p w14:paraId="478B9B88" w14:textId="77777777" w:rsidR="00C22865" w:rsidRPr="00FB2F3D" w:rsidRDefault="00C22865" w:rsidP="00C22865">
      <w:pPr>
        <w:pStyle w:val="UK12Block"/>
        <w:rPr>
          <w:rFonts w:ascii="Arial" w:hAnsi="Arial" w:cs="Arial"/>
          <w:sz w:val="22"/>
          <w:szCs w:val="22"/>
        </w:rPr>
        <w:sectPr w:rsidR="00C22865" w:rsidRPr="00FB2F3D" w:rsidSect="00695527">
          <w:pgSz w:w="16834" w:h="11909" w:orient="landscape" w:code="9"/>
          <w:pgMar w:top="1440" w:right="1440" w:bottom="1440" w:left="1440" w:header="720" w:footer="720" w:gutter="0"/>
          <w:cols w:space="720"/>
          <w:docGrid w:linePitch="360"/>
        </w:sectPr>
      </w:pPr>
    </w:p>
    <w:p w14:paraId="51DA95DC" w14:textId="78B240C2" w:rsidR="00162E0C" w:rsidRPr="00FB2F3D" w:rsidRDefault="00162E0C" w:rsidP="00C22865">
      <w:pPr>
        <w:pStyle w:val="S2Heading1"/>
        <w:rPr>
          <w:rFonts w:ascii="Arial" w:hAnsi="Arial" w:cs="Arial"/>
          <w:sz w:val="22"/>
          <w:szCs w:val="22"/>
        </w:rPr>
      </w:pPr>
      <w:bookmarkStart w:id="934" w:name="_Ref410059203"/>
      <w:bookmarkStart w:id="935" w:name="_Ref410073633"/>
      <w:bookmarkStart w:id="936" w:name="_Toc410136278"/>
      <w:bookmarkStart w:id="937" w:name="_Toc410605989"/>
      <w:bookmarkStart w:id="938" w:name="_Toc410658925"/>
      <w:bookmarkStart w:id="939" w:name="_Toc410659059"/>
      <w:bookmarkStart w:id="940" w:name="_Ref410669211"/>
      <w:bookmarkStart w:id="941" w:name="_Ref410669986"/>
      <w:bookmarkStart w:id="942" w:name="_Ref410672138"/>
      <w:bookmarkStart w:id="943" w:name="_Toc410835597"/>
      <w:bookmarkStart w:id="944" w:name="_Toc138325746"/>
      <w:r w:rsidRPr="00FB2F3D">
        <w:rPr>
          <w:rFonts w:ascii="Arial" w:hAnsi="Arial" w:cs="Arial"/>
          <w:sz w:val="22"/>
          <w:szCs w:val="22"/>
        </w:rPr>
        <w:lastRenderedPageBreak/>
        <w:t>DISCLOSURE</w:t>
      </w:r>
      <w:r w:rsidR="003E303A">
        <w:rPr>
          <w:rFonts w:ascii="Arial" w:hAnsi="Arial" w:cs="Arial"/>
          <w:sz w:val="22"/>
          <w:szCs w:val="22"/>
        </w:rPr>
        <w:t>S</w:t>
      </w:r>
      <w:r w:rsidRPr="00FB2F3D">
        <w:rPr>
          <w:rFonts w:ascii="Arial" w:hAnsi="Arial" w:cs="Arial"/>
          <w:sz w:val="22"/>
          <w:szCs w:val="22"/>
        </w:rPr>
        <w:t xml:space="preserve"> RELATING TO LISTED FUNDS</w:t>
      </w:r>
      <w:bookmarkEnd w:id="934"/>
      <w:bookmarkEnd w:id="935"/>
      <w:bookmarkEnd w:id="936"/>
      <w:bookmarkEnd w:id="937"/>
      <w:bookmarkEnd w:id="938"/>
      <w:bookmarkEnd w:id="939"/>
      <w:bookmarkEnd w:id="940"/>
      <w:bookmarkEnd w:id="941"/>
      <w:bookmarkEnd w:id="942"/>
      <w:bookmarkEnd w:id="943"/>
      <w:bookmarkEnd w:id="944"/>
    </w:p>
    <w:p w14:paraId="49B3F083" w14:textId="77777777" w:rsidR="00162E0C" w:rsidRPr="00FB2F3D" w:rsidRDefault="00162E0C" w:rsidP="00C22865">
      <w:pPr>
        <w:pStyle w:val="S2Heading3"/>
        <w:rPr>
          <w:rFonts w:ascii="Arial" w:hAnsi="Arial" w:cs="Arial"/>
          <w:sz w:val="22"/>
          <w:szCs w:val="22"/>
        </w:rPr>
      </w:pPr>
      <w:bookmarkStart w:id="945" w:name="_Toc410659060"/>
      <w:r w:rsidRPr="00FB2F3D">
        <w:rPr>
          <w:rFonts w:ascii="Arial" w:hAnsi="Arial" w:cs="Arial"/>
          <w:sz w:val="22"/>
          <w:szCs w:val="22"/>
        </w:rPr>
        <w:t>This table forms part of Rule </w:t>
      </w:r>
      <w:r w:rsidR="00693841" w:rsidRPr="00FB2F3D">
        <w:rPr>
          <w:rFonts w:ascii="Arial" w:hAnsi="Arial" w:cs="Arial"/>
          <w:sz w:val="22"/>
          <w:szCs w:val="22"/>
        </w:rPr>
        <w:t>3.8.1</w:t>
      </w:r>
      <w:r w:rsidRPr="00FB2F3D">
        <w:rPr>
          <w:rFonts w:ascii="Arial" w:hAnsi="Arial" w:cs="Arial"/>
          <w:sz w:val="22"/>
          <w:szCs w:val="22"/>
        </w:rPr>
        <w:t xml:space="preserve"> and Rule </w:t>
      </w:r>
      <w:r w:rsidR="00693841" w:rsidRPr="00FB2F3D">
        <w:rPr>
          <w:rFonts w:ascii="Arial" w:hAnsi="Arial" w:cs="Arial"/>
          <w:sz w:val="22"/>
          <w:szCs w:val="22"/>
        </w:rPr>
        <w:t>2.7.8</w:t>
      </w:r>
      <w:r w:rsidRPr="00FB2F3D">
        <w:rPr>
          <w:rFonts w:ascii="Arial" w:hAnsi="Arial" w:cs="Arial"/>
          <w:sz w:val="22"/>
          <w:szCs w:val="22"/>
        </w:rPr>
        <w:t>.</w:t>
      </w:r>
      <w:bookmarkEnd w:id="945"/>
    </w:p>
    <w:p w14:paraId="171EB865" w14:textId="553B8FC9" w:rsidR="00162E0C" w:rsidRPr="00FB2F3D" w:rsidRDefault="005A10A6" w:rsidP="005A10A6">
      <w:pPr>
        <w:pStyle w:val="S2Heading3"/>
        <w:rPr>
          <w:rFonts w:ascii="Arial" w:hAnsi="Arial" w:cs="Arial"/>
          <w:sz w:val="22"/>
          <w:szCs w:val="22"/>
        </w:rPr>
      </w:pPr>
      <w:bookmarkStart w:id="946" w:name="_Toc410659061"/>
      <w:r w:rsidRPr="00FB2F3D">
        <w:rPr>
          <w:rFonts w:ascii="Arial" w:hAnsi="Arial" w:cs="Arial"/>
          <w:sz w:val="22"/>
          <w:szCs w:val="22"/>
        </w:rPr>
        <w:t>A Reporting Entity</w:t>
      </w:r>
      <w:r w:rsidR="00162E0C" w:rsidRPr="00FB2F3D">
        <w:rPr>
          <w:rFonts w:ascii="Arial" w:hAnsi="Arial" w:cs="Arial"/>
          <w:sz w:val="22"/>
          <w:szCs w:val="22"/>
        </w:rPr>
        <w:t xml:space="preserve"> of a Listed Fund must, on the occurrence of an event specified in column 1, make the required </w:t>
      </w:r>
      <w:r w:rsidR="003E303A">
        <w:rPr>
          <w:rFonts w:ascii="Arial" w:hAnsi="Arial" w:cs="Arial"/>
          <w:sz w:val="22"/>
          <w:szCs w:val="22"/>
        </w:rPr>
        <w:t>D</w:t>
      </w:r>
      <w:r w:rsidR="00162E0C" w:rsidRPr="00FB2F3D">
        <w:rPr>
          <w:rFonts w:ascii="Arial" w:hAnsi="Arial" w:cs="Arial"/>
          <w:sz w:val="22"/>
          <w:szCs w:val="22"/>
        </w:rPr>
        <w:t>isclosure detailed in column 2, within the time specified in column 3.</w:t>
      </w:r>
      <w:bookmarkEnd w:id="946"/>
    </w:p>
    <w:p w14:paraId="1094B643" w14:textId="2BE773BF" w:rsidR="00162E0C" w:rsidRPr="00FB2F3D" w:rsidRDefault="00162E0C" w:rsidP="005A10A6">
      <w:pPr>
        <w:pStyle w:val="UK12Block"/>
        <w:ind w:left="864" w:hanging="864"/>
        <w:rPr>
          <w:rFonts w:ascii="Arial" w:hAnsi="Arial" w:cs="Arial"/>
          <w:sz w:val="22"/>
          <w:szCs w:val="22"/>
        </w:rPr>
      </w:pPr>
      <w:r w:rsidRPr="00FB2F3D">
        <w:rPr>
          <w:rFonts w:ascii="Arial" w:hAnsi="Arial" w:cs="Arial"/>
          <w:b/>
          <w:bCs/>
          <w:sz w:val="22"/>
          <w:szCs w:val="22"/>
        </w:rPr>
        <w:t>Note:</w:t>
      </w:r>
      <w:r w:rsidRPr="00FB2F3D">
        <w:rPr>
          <w:rFonts w:ascii="Arial" w:eastAsiaTheme="minorEastAsia" w:hAnsi="Arial" w:cs="Arial"/>
          <w:b/>
          <w:bCs/>
          <w:sz w:val="22"/>
          <w:szCs w:val="22"/>
        </w:rPr>
        <w:tab/>
      </w:r>
      <w:r w:rsidRPr="00FB2F3D">
        <w:rPr>
          <w:rFonts w:ascii="Arial" w:hAnsi="Arial" w:cs="Arial"/>
          <w:sz w:val="22"/>
          <w:szCs w:val="22"/>
        </w:rPr>
        <w:t xml:space="preserve">Unless otherwise indicated, the </w:t>
      </w:r>
      <w:r w:rsidR="003E303A">
        <w:rPr>
          <w:rFonts w:ascii="Arial" w:hAnsi="Arial" w:cs="Arial"/>
          <w:sz w:val="22"/>
          <w:szCs w:val="22"/>
        </w:rPr>
        <w:t>D</w:t>
      </w:r>
      <w:r w:rsidRPr="00FB2F3D">
        <w:rPr>
          <w:rFonts w:ascii="Arial" w:hAnsi="Arial" w:cs="Arial"/>
          <w:sz w:val="22"/>
          <w:szCs w:val="22"/>
        </w:rPr>
        <w:t xml:space="preserve">isclosure required relates to the operation and matters relating to the Listed Fund. The </w:t>
      </w:r>
      <w:r w:rsidR="005A10A6" w:rsidRPr="00FB2F3D">
        <w:rPr>
          <w:rFonts w:ascii="Arial" w:hAnsi="Arial" w:cs="Arial"/>
          <w:sz w:val="22"/>
          <w:szCs w:val="22"/>
        </w:rPr>
        <w:t>Reporting Entity</w:t>
      </w:r>
      <w:r w:rsidRPr="00FB2F3D">
        <w:rPr>
          <w:rFonts w:ascii="Arial" w:hAnsi="Arial" w:cs="Arial"/>
          <w:sz w:val="22"/>
          <w:szCs w:val="22"/>
        </w:rPr>
        <w:t xml:space="preserve"> of a Listed Fund must construe the items specified in the event column in an appropriate manner to achieve the fundamental purpose of making the required </w:t>
      </w:r>
      <w:r w:rsidR="003E303A">
        <w:rPr>
          <w:rFonts w:ascii="Arial" w:hAnsi="Arial" w:cs="Arial"/>
          <w:sz w:val="22"/>
          <w:szCs w:val="22"/>
        </w:rPr>
        <w:t>D</w:t>
      </w:r>
      <w:r w:rsidRPr="00FB2F3D">
        <w:rPr>
          <w:rFonts w:ascii="Arial" w:hAnsi="Arial" w:cs="Arial"/>
          <w:sz w:val="22"/>
          <w:szCs w:val="22"/>
        </w:rPr>
        <w:t>isclosure of information relating to the Listed Fund.</w:t>
      </w:r>
    </w:p>
    <w:tbl>
      <w:tblPr>
        <w:tblStyle w:val="TableGrid"/>
        <w:tblW w:w="0" w:type="auto"/>
        <w:tblLook w:val="04A0" w:firstRow="1" w:lastRow="0" w:firstColumn="1" w:lastColumn="0" w:noHBand="0" w:noVBand="1"/>
      </w:tblPr>
      <w:tblGrid>
        <w:gridCol w:w="636"/>
        <w:gridCol w:w="5231"/>
        <w:gridCol w:w="5825"/>
        <w:gridCol w:w="2252"/>
      </w:tblGrid>
      <w:tr w:rsidR="00B1204B" w:rsidRPr="00FB2F3D" w14:paraId="3E4700B6" w14:textId="77777777" w:rsidTr="00BD64B9">
        <w:tc>
          <w:tcPr>
            <w:tcW w:w="648" w:type="dxa"/>
          </w:tcPr>
          <w:p w14:paraId="3420EB54" w14:textId="77777777" w:rsidR="00162E0C" w:rsidRPr="00FB2F3D" w:rsidRDefault="00162E0C" w:rsidP="00BD64B9">
            <w:pPr>
              <w:pStyle w:val="UK12Block"/>
              <w:jc w:val="left"/>
              <w:rPr>
                <w:rFonts w:ascii="Arial" w:hAnsi="Arial" w:cs="Arial"/>
                <w:sz w:val="22"/>
                <w:szCs w:val="22"/>
              </w:rPr>
            </w:pPr>
          </w:p>
        </w:tc>
        <w:tc>
          <w:tcPr>
            <w:tcW w:w="5310" w:type="dxa"/>
          </w:tcPr>
          <w:p w14:paraId="6DF0B7D3" w14:textId="77777777" w:rsidR="00162E0C" w:rsidRPr="00FB2F3D" w:rsidRDefault="00162E0C" w:rsidP="00BD64B9">
            <w:pPr>
              <w:pStyle w:val="UK12Block"/>
              <w:jc w:val="left"/>
              <w:rPr>
                <w:rFonts w:ascii="Arial" w:hAnsi="Arial" w:cs="Arial"/>
                <w:b/>
                <w:sz w:val="22"/>
                <w:szCs w:val="22"/>
              </w:rPr>
            </w:pPr>
          </w:p>
        </w:tc>
        <w:tc>
          <w:tcPr>
            <w:tcW w:w="5940" w:type="dxa"/>
          </w:tcPr>
          <w:p w14:paraId="46C91057" w14:textId="77777777" w:rsidR="00162E0C" w:rsidRPr="00FB2F3D" w:rsidRDefault="00162E0C" w:rsidP="00BD64B9">
            <w:pPr>
              <w:pStyle w:val="UK12Block"/>
              <w:jc w:val="left"/>
              <w:rPr>
                <w:rFonts w:ascii="Arial" w:hAnsi="Arial" w:cs="Arial"/>
                <w:b/>
                <w:sz w:val="22"/>
                <w:szCs w:val="22"/>
              </w:rPr>
            </w:pPr>
          </w:p>
        </w:tc>
        <w:tc>
          <w:tcPr>
            <w:tcW w:w="2272" w:type="dxa"/>
          </w:tcPr>
          <w:p w14:paraId="2A84A8A8" w14:textId="77777777" w:rsidR="00162E0C" w:rsidRPr="00FB2F3D" w:rsidRDefault="00162E0C" w:rsidP="00BD64B9">
            <w:pPr>
              <w:pStyle w:val="UK12Block"/>
              <w:jc w:val="left"/>
              <w:rPr>
                <w:rFonts w:ascii="Arial" w:hAnsi="Arial" w:cs="Arial"/>
                <w:b/>
                <w:sz w:val="22"/>
                <w:szCs w:val="22"/>
              </w:rPr>
            </w:pPr>
            <w:r w:rsidRPr="00FB2F3D">
              <w:rPr>
                <w:rFonts w:ascii="Arial" w:hAnsi="Arial" w:cs="Arial"/>
                <w:b/>
                <w:sz w:val="22"/>
                <w:szCs w:val="22"/>
              </w:rPr>
              <w:t>APP3</w:t>
            </w:r>
          </w:p>
        </w:tc>
      </w:tr>
      <w:tr w:rsidR="00B1204B" w:rsidRPr="00FB2F3D" w14:paraId="7B231822" w14:textId="77777777" w:rsidTr="00277917">
        <w:tc>
          <w:tcPr>
            <w:tcW w:w="648" w:type="dxa"/>
          </w:tcPr>
          <w:p w14:paraId="44F30B20" w14:textId="77777777" w:rsidR="00162E0C" w:rsidRPr="00FB2F3D" w:rsidRDefault="00162E0C" w:rsidP="00BD64B9">
            <w:pPr>
              <w:pStyle w:val="UK12Block"/>
              <w:spacing w:after="0"/>
              <w:jc w:val="left"/>
              <w:rPr>
                <w:rFonts w:ascii="Arial" w:hAnsi="Arial" w:cs="Arial"/>
                <w:sz w:val="22"/>
                <w:szCs w:val="22"/>
              </w:rPr>
            </w:pPr>
          </w:p>
        </w:tc>
        <w:tc>
          <w:tcPr>
            <w:tcW w:w="5310" w:type="dxa"/>
            <w:vAlign w:val="center"/>
          </w:tcPr>
          <w:p w14:paraId="3AFEAFA1" w14:textId="77777777" w:rsidR="00162E0C" w:rsidRPr="00FB2F3D" w:rsidRDefault="00162E0C" w:rsidP="00277917">
            <w:pPr>
              <w:pStyle w:val="UK12Block"/>
              <w:spacing w:after="0"/>
              <w:jc w:val="left"/>
              <w:rPr>
                <w:rFonts w:ascii="Arial" w:hAnsi="Arial" w:cs="Arial"/>
                <w:b/>
                <w:sz w:val="22"/>
                <w:szCs w:val="22"/>
              </w:rPr>
            </w:pPr>
            <w:r w:rsidRPr="00FB2F3D">
              <w:rPr>
                <w:rFonts w:ascii="Arial" w:hAnsi="Arial" w:cs="Arial"/>
                <w:b/>
                <w:sz w:val="22"/>
                <w:szCs w:val="22"/>
              </w:rPr>
              <w:t>EVENT GIVING RISE TO DISCLOSURE</w:t>
            </w:r>
          </w:p>
        </w:tc>
        <w:tc>
          <w:tcPr>
            <w:tcW w:w="5940" w:type="dxa"/>
            <w:vAlign w:val="center"/>
          </w:tcPr>
          <w:p w14:paraId="57A487A2" w14:textId="77777777" w:rsidR="00162E0C" w:rsidRPr="00FB2F3D" w:rsidRDefault="00162E0C" w:rsidP="00277917">
            <w:pPr>
              <w:pStyle w:val="UK12Block"/>
              <w:spacing w:after="0"/>
              <w:jc w:val="left"/>
              <w:rPr>
                <w:rFonts w:ascii="Arial" w:hAnsi="Arial" w:cs="Arial"/>
                <w:b/>
                <w:sz w:val="22"/>
                <w:szCs w:val="22"/>
              </w:rPr>
            </w:pPr>
            <w:r w:rsidRPr="00FB2F3D">
              <w:rPr>
                <w:rFonts w:ascii="Arial" w:hAnsi="Arial" w:cs="Arial"/>
                <w:b/>
                <w:sz w:val="22"/>
                <w:szCs w:val="22"/>
              </w:rPr>
              <w:t>DISCLOSURE REQUIREMENT</w:t>
            </w:r>
          </w:p>
        </w:tc>
        <w:tc>
          <w:tcPr>
            <w:tcW w:w="2272" w:type="dxa"/>
            <w:vAlign w:val="center"/>
          </w:tcPr>
          <w:p w14:paraId="5DF42B04" w14:textId="77777777" w:rsidR="00162E0C" w:rsidRPr="00FB2F3D" w:rsidRDefault="00162E0C" w:rsidP="00277917">
            <w:pPr>
              <w:pStyle w:val="UK12Block"/>
              <w:spacing w:after="0"/>
              <w:jc w:val="left"/>
              <w:rPr>
                <w:rFonts w:ascii="Arial" w:hAnsi="Arial" w:cs="Arial"/>
                <w:b/>
                <w:sz w:val="22"/>
                <w:szCs w:val="22"/>
              </w:rPr>
            </w:pPr>
            <w:r w:rsidRPr="00FB2F3D">
              <w:rPr>
                <w:rFonts w:ascii="Arial" w:hAnsi="Arial" w:cs="Arial"/>
                <w:b/>
                <w:sz w:val="22"/>
                <w:szCs w:val="22"/>
              </w:rPr>
              <w:t>TIME OF DISCLOSURE</w:t>
            </w:r>
          </w:p>
        </w:tc>
      </w:tr>
      <w:tr w:rsidR="00162E0C" w:rsidRPr="00FB2F3D" w14:paraId="1F488C3C" w14:textId="77777777" w:rsidTr="00BD64B9">
        <w:tc>
          <w:tcPr>
            <w:tcW w:w="14170" w:type="dxa"/>
            <w:gridSpan w:val="4"/>
          </w:tcPr>
          <w:p w14:paraId="0C61CED6" w14:textId="77777777" w:rsidR="00162E0C" w:rsidRPr="00FB2F3D" w:rsidRDefault="00162E0C" w:rsidP="00755725">
            <w:pPr>
              <w:pStyle w:val="UK12Block"/>
              <w:keepNext/>
              <w:numPr>
                <w:ilvl w:val="0"/>
                <w:numId w:val="72"/>
              </w:numPr>
              <w:spacing w:after="0"/>
              <w:jc w:val="left"/>
              <w:rPr>
                <w:rFonts w:ascii="Arial" w:hAnsi="Arial" w:cs="Arial"/>
                <w:b/>
                <w:sz w:val="22"/>
                <w:szCs w:val="22"/>
              </w:rPr>
            </w:pPr>
            <w:r w:rsidRPr="00FB2F3D">
              <w:rPr>
                <w:rFonts w:ascii="Arial" w:hAnsi="Arial" w:cs="Arial"/>
                <w:b/>
                <w:sz w:val="22"/>
                <w:szCs w:val="22"/>
              </w:rPr>
              <w:t>INSIDE INFORMATION</w:t>
            </w:r>
          </w:p>
        </w:tc>
      </w:tr>
      <w:tr w:rsidR="00B1204B" w:rsidRPr="00FB2F3D" w14:paraId="4DBC828F" w14:textId="77777777" w:rsidTr="00BD64B9">
        <w:tc>
          <w:tcPr>
            <w:tcW w:w="648" w:type="dxa"/>
          </w:tcPr>
          <w:p w14:paraId="3D389EE2"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403409B6" w14:textId="44E5B726" w:rsidR="00162E0C" w:rsidRPr="00FB2F3D" w:rsidRDefault="00162E0C" w:rsidP="0098450E">
            <w:pPr>
              <w:pStyle w:val="UK12Block"/>
              <w:jc w:val="left"/>
              <w:rPr>
                <w:rFonts w:ascii="Arial" w:hAnsi="Arial" w:cs="Arial"/>
                <w:sz w:val="22"/>
                <w:szCs w:val="22"/>
              </w:rPr>
            </w:pPr>
            <w:r w:rsidRPr="00FB2F3D">
              <w:rPr>
                <w:rFonts w:ascii="Arial" w:hAnsi="Arial" w:cs="Arial"/>
                <w:sz w:val="22"/>
                <w:szCs w:val="22"/>
              </w:rPr>
              <w:t>Inside Information as set out in Rule </w:t>
            </w:r>
            <w:r w:rsidR="003E303A">
              <w:rPr>
                <w:rFonts w:ascii="Arial" w:hAnsi="Arial" w:cs="Arial"/>
                <w:sz w:val="22"/>
                <w:szCs w:val="22"/>
              </w:rPr>
              <w:t>7.2</w:t>
            </w:r>
            <w:r w:rsidR="00693841" w:rsidRPr="00FB2F3D">
              <w:rPr>
                <w:rFonts w:ascii="Arial" w:hAnsi="Arial" w:cs="Arial"/>
                <w:sz w:val="22"/>
                <w:szCs w:val="22"/>
              </w:rPr>
              <w:t>.1</w:t>
            </w:r>
            <w:r w:rsidRPr="00FB2F3D">
              <w:rPr>
                <w:rFonts w:ascii="Arial" w:hAnsi="Arial" w:cs="Arial"/>
                <w:sz w:val="22"/>
                <w:szCs w:val="22"/>
              </w:rPr>
              <w:t xml:space="preserve"> relating to the Listed Fund.</w:t>
            </w:r>
          </w:p>
        </w:tc>
        <w:tc>
          <w:tcPr>
            <w:tcW w:w="5940" w:type="dxa"/>
          </w:tcPr>
          <w:p w14:paraId="27655B24" w14:textId="1C9BDEE5" w:rsidR="00162E0C" w:rsidRPr="00FB2F3D" w:rsidRDefault="003E303A" w:rsidP="0098450E">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the Inside Information, unless Rule </w:t>
            </w:r>
            <w:r>
              <w:rPr>
                <w:rFonts w:ascii="Arial" w:hAnsi="Arial" w:cs="Arial"/>
                <w:sz w:val="22"/>
                <w:szCs w:val="22"/>
              </w:rPr>
              <w:t>7.2.1</w:t>
            </w:r>
            <w:r w:rsidR="00162E0C" w:rsidRPr="00FB2F3D">
              <w:rPr>
                <w:rFonts w:ascii="Arial" w:hAnsi="Arial" w:cs="Arial"/>
                <w:sz w:val="22"/>
                <w:szCs w:val="22"/>
              </w:rPr>
              <w:t xml:space="preserve"> applies.</w:t>
            </w:r>
          </w:p>
        </w:tc>
        <w:tc>
          <w:tcPr>
            <w:tcW w:w="2272" w:type="dxa"/>
          </w:tcPr>
          <w:p w14:paraId="76664D9D"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as possible.</w:t>
            </w:r>
          </w:p>
        </w:tc>
      </w:tr>
      <w:tr w:rsidR="00162E0C" w:rsidRPr="00FB2F3D" w14:paraId="4291D81F" w14:textId="77777777" w:rsidTr="00BD64B9">
        <w:tc>
          <w:tcPr>
            <w:tcW w:w="14170" w:type="dxa"/>
            <w:gridSpan w:val="4"/>
          </w:tcPr>
          <w:p w14:paraId="53E991F9" w14:textId="77777777" w:rsidR="00162E0C" w:rsidRPr="00FB2F3D" w:rsidRDefault="00162E0C" w:rsidP="00755725">
            <w:pPr>
              <w:pStyle w:val="UK12Block"/>
              <w:keepNext/>
              <w:numPr>
                <w:ilvl w:val="0"/>
                <w:numId w:val="72"/>
              </w:numPr>
              <w:spacing w:after="0"/>
              <w:jc w:val="left"/>
              <w:rPr>
                <w:rFonts w:ascii="Arial" w:hAnsi="Arial" w:cs="Arial"/>
                <w:b/>
                <w:sz w:val="22"/>
                <w:szCs w:val="22"/>
              </w:rPr>
            </w:pPr>
            <w:r w:rsidRPr="00FB2F3D">
              <w:rPr>
                <w:rFonts w:ascii="Arial" w:hAnsi="Arial" w:cs="Arial"/>
                <w:b/>
                <w:sz w:val="22"/>
                <w:szCs w:val="22"/>
              </w:rPr>
              <w:t xml:space="preserve">GOVERNANCE OF THE LISTED FUND AND THE </w:t>
            </w:r>
            <w:r w:rsidR="005A10A6" w:rsidRPr="00FB2F3D">
              <w:rPr>
                <w:rFonts w:ascii="Arial" w:hAnsi="Arial" w:cs="Arial"/>
                <w:b/>
                <w:bCs/>
                <w:sz w:val="22"/>
                <w:szCs w:val="22"/>
              </w:rPr>
              <w:t>REPORTING ENTITY</w:t>
            </w:r>
          </w:p>
        </w:tc>
      </w:tr>
      <w:tr w:rsidR="00B1204B" w:rsidRPr="00FB2F3D" w14:paraId="3DB8B10C" w14:textId="77777777" w:rsidTr="00BD64B9">
        <w:tc>
          <w:tcPr>
            <w:tcW w:w="648" w:type="dxa"/>
          </w:tcPr>
          <w:p w14:paraId="701CEEDB"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21044058"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Any change to the Governing Body of the Listed Fund including:</w:t>
            </w:r>
          </w:p>
          <w:p w14:paraId="3B254251"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the appointment of a new Director, Partner or other member of the Governing Body;</w:t>
            </w:r>
          </w:p>
          <w:p w14:paraId="1F6DE8CE"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the resignation, retirement or removal of any Person referred to in (a); and</w:t>
            </w:r>
          </w:p>
          <w:p w14:paraId="5688F655" w14:textId="77777777" w:rsidR="00162E0C"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changes to any important functions or executive responsibilities of a Person referred to in (a).</w:t>
            </w:r>
          </w:p>
        </w:tc>
        <w:tc>
          <w:tcPr>
            <w:tcW w:w="5940" w:type="dxa"/>
          </w:tcPr>
          <w:p w14:paraId="5F5F105D" w14:textId="21D52264" w:rsidR="00162E0C" w:rsidRPr="00FB2F3D" w:rsidRDefault="003E303A"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 xml:space="preserve">isclosure of: </w:t>
            </w:r>
          </w:p>
          <w:p w14:paraId="5D03B8CB" w14:textId="77777777" w:rsidR="00B1204B" w:rsidRPr="00FB2F3D" w:rsidRDefault="00162E0C" w:rsidP="00755725">
            <w:pPr>
              <w:pStyle w:val="UK12Block"/>
              <w:numPr>
                <w:ilvl w:val="0"/>
                <w:numId w:val="73"/>
              </w:numPr>
              <w:jc w:val="left"/>
              <w:rPr>
                <w:rFonts w:ascii="Arial" w:hAnsi="Arial" w:cs="Arial"/>
                <w:sz w:val="22"/>
                <w:szCs w:val="22"/>
              </w:rPr>
            </w:pPr>
            <w:r w:rsidRPr="00FB2F3D">
              <w:rPr>
                <w:rFonts w:ascii="Arial" w:hAnsi="Arial" w:cs="Arial"/>
                <w:sz w:val="22"/>
                <w:szCs w:val="22"/>
              </w:rPr>
              <w:t xml:space="preserve">the effective date of the change (if it has been decided); </w:t>
            </w:r>
          </w:p>
          <w:p w14:paraId="72D52AFF" w14:textId="77777777" w:rsidR="00B1204B" w:rsidRPr="00FB2F3D" w:rsidRDefault="00162E0C" w:rsidP="00755725">
            <w:pPr>
              <w:pStyle w:val="UK12Block"/>
              <w:numPr>
                <w:ilvl w:val="0"/>
                <w:numId w:val="73"/>
              </w:numPr>
              <w:jc w:val="left"/>
              <w:rPr>
                <w:rFonts w:ascii="Arial" w:hAnsi="Arial" w:cs="Arial"/>
                <w:sz w:val="22"/>
                <w:szCs w:val="22"/>
              </w:rPr>
            </w:pPr>
            <w:r w:rsidRPr="00FB2F3D">
              <w:rPr>
                <w:rFonts w:ascii="Arial" w:hAnsi="Arial" w:cs="Arial"/>
                <w:sz w:val="22"/>
                <w:szCs w:val="22"/>
              </w:rPr>
              <w:t>whether the position is executive or non</w:t>
            </w:r>
            <w:r w:rsidRPr="00FB2F3D">
              <w:rPr>
                <w:rFonts w:ascii="Arial" w:hAnsi="Arial" w:cs="Arial"/>
                <w:sz w:val="22"/>
                <w:szCs w:val="22"/>
              </w:rPr>
              <w:noBreakHyphen/>
              <w:t>executive;</w:t>
            </w:r>
          </w:p>
          <w:p w14:paraId="76DF5E03" w14:textId="77777777" w:rsidR="00B1204B" w:rsidRPr="00FB2F3D" w:rsidRDefault="00162E0C" w:rsidP="00755725">
            <w:pPr>
              <w:pStyle w:val="UK12Block"/>
              <w:numPr>
                <w:ilvl w:val="0"/>
                <w:numId w:val="73"/>
              </w:numPr>
              <w:jc w:val="left"/>
              <w:rPr>
                <w:rFonts w:ascii="Arial" w:hAnsi="Arial" w:cs="Arial"/>
                <w:sz w:val="22"/>
                <w:szCs w:val="22"/>
              </w:rPr>
            </w:pPr>
            <w:r w:rsidRPr="00FB2F3D">
              <w:rPr>
                <w:rFonts w:ascii="Arial" w:hAnsi="Arial" w:cs="Arial"/>
                <w:sz w:val="22"/>
                <w:szCs w:val="22"/>
              </w:rPr>
              <w:t>whether the position is considered to be independent; and</w:t>
            </w:r>
          </w:p>
          <w:p w14:paraId="72269026" w14:textId="77777777" w:rsidR="00162E0C" w:rsidRPr="00FB2F3D" w:rsidRDefault="00162E0C" w:rsidP="00755725">
            <w:pPr>
              <w:pStyle w:val="UK12Block"/>
              <w:numPr>
                <w:ilvl w:val="0"/>
                <w:numId w:val="73"/>
              </w:numPr>
              <w:jc w:val="left"/>
              <w:rPr>
                <w:rFonts w:ascii="Arial" w:hAnsi="Arial" w:cs="Arial"/>
                <w:sz w:val="22"/>
                <w:szCs w:val="22"/>
              </w:rPr>
            </w:pPr>
            <w:r w:rsidRPr="00FB2F3D">
              <w:rPr>
                <w:rFonts w:ascii="Arial" w:hAnsi="Arial" w:cs="Arial"/>
                <w:sz w:val="22"/>
                <w:szCs w:val="22"/>
              </w:rPr>
              <w:t>the nature of any functions or responsibilit</w:t>
            </w:r>
            <w:r w:rsidR="000D027C" w:rsidRPr="00FB2F3D">
              <w:rPr>
                <w:rFonts w:ascii="Arial" w:hAnsi="Arial" w:cs="Arial"/>
                <w:sz w:val="22"/>
                <w:szCs w:val="22"/>
              </w:rPr>
              <w:t>ies</w:t>
            </w:r>
            <w:r w:rsidRPr="00FB2F3D">
              <w:rPr>
                <w:rFonts w:ascii="Arial" w:hAnsi="Arial" w:cs="Arial"/>
                <w:sz w:val="22"/>
                <w:szCs w:val="22"/>
              </w:rPr>
              <w:t xml:space="preserve"> of the position.</w:t>
            </w:r>
          </w:p>
        </w:tc>
        <w:tc>
          <w:tcPr>
            <w:tcW w:w="2272" w:type="dxa"/>
          </w:tcPr>
          <w:p w14:paraId="4C74F3C5"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as possible.</w:t>
            </w:r>
          </w:p>
        </w:tc>
      </w:tr>
      <w:tr w:rsidR="00B1204B" w:rsidRPr="00FB2F3D" w14:paraId="57F989FC" w14:textId="77777777" w:rsidTr="00BD64B9">
        <w:tc>
          <w:tcPr>
            <w:tcW w:w="648" w:type="dxa"/>
          </w:tcPr>
          <w:p w14:paraId="716CE316"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7950B900"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Information in respect of a new Director, Partner or other member of the Governing Body.</w:t>
            </w:r>
          </w:p>
        </w:tc>
        <w:tc>
          <w:tcPr>
            <w:tcW w:w="5940" w:type="dxa"/>
          </w:tcPr>
          <w:p w14:paraId="28D63880" w14:textId="5D12828D" w:rsidR="00162E0C" w:rsidRPr="00FB2F3D" w:rsidRDefault="003E303A"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 xml:space="preserve">isclosure of: </w:t>
            </w:r>
          </w:p>
          <w:p w14:paraId="3D4257F3"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 xml:space="preserve">all directorships or </w:t>
            </w:r>
            <w:r w:rsidR="00F767DE" w:rsidRPr="00FB2F3D">
              <w:rPr>
                <w:rFonts w:ascii="Arial" w:hAnsi="Arial" w:cs="Arial"/>
                <w:sz w:val="22"/>
                <w:szCs w:val="22"/>
              </w:rPr>
              <w:t>Partnership</w:t>
            </w:r>
            <w:r w:rsidRPr="00FB2F3D">
              <w:rPr>
                <w:rFonts w:ascii="Arial" w:hAnsi="Arial" w:cs="Arial"/>
                <w:sz w:val="22"/>
                <w:szCs w:val="22"/>
              </w:rPr>
              <w:t>s past or present held by the Director, Partner or other member of the Governing Body in any other Body Corporate or Partnership in the previous five years;</w:t>
            </w:r>
          </w:p>
          <w:p w14:paraId="3534C9C3"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the experience of the Persons referred to in (a);</w:t>
            </w:r>
          </w:p>
          <w:p w14:paraId="452D186E"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details of the process by which the Person referred to in (a) was selected;</w:t>
            </w:r>
          </w:p>
          <w:p w14:paraId="6E0EFE96"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 xml:space="preserve">any unspent convictions relating to serious financial crimes; </w:t>
            </w:r>
          </w:p>
          <w:p w14:paraId="5049BD66"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any bankruptcies or individual voluntary arrangements;</w:t>
            </w:r>
          </w:p>
          <w:p w14:paraId="37F3C41A"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 xml:space="preserve">any compulsory liquidations, creditors voluntary liquidations, </w:t>
            </w:r>
            <w:r w:rsidR="00EE4C51" w:rsidRPr="00FB2F3D">
              <w:rPr>
                <w:rFonts w:ascii="Arial" w:hAnsi="Arial" w:cs="Arial"/>
                <w:sz w:val="22"/>
                <w:szCs w:val="22"/>
              </w:rPr>
              <w:t>Company</w:t>
            </w:r>
            <w:r w:rsidRPr="00FB2F3D">
              <w:rPr>
                <w:rFonts w:ascii="Arial" w:hAnsi="Arial" w:cs="Arial"/>
                <w:sz w:val="22"/>
                <w:szCs w:val="22"/>
              </w:rPr>
              <w:t xml:space="preserve"> voluntary arrangements, receivership or any composition or arrangement with its creditors generally or any class of its creditors of any </w:t>
            </w:r>
            <w:r w:rsidR="000A19CB" w:rsidRPr="00FB2F3D">
              <w:rPr>
                <w:rFonts w:ascii="Arial" w:hAnsi="Arial" w:cs="Arial"/>
                <w:sz w:val="22"/>
                <w:szCs w:val="22"/>
              </w:rPr>
              <w:t>Issuer</w:t>
            </w:r>
            <w:r w:rsidRPr="00FB2F3D">
              <w:rPr>
                <w:rFonts w:ascii="Arial" w:hAnsi="Arial" w:cs="Arial"/>
                <w:sz w:val="22"/>
                <w:szCs w:val="22"/>
              </w:rPr>
              <w:t xml:space="preserve"> where such an individual was a Director or Partner at the time of appointment or within the 12 months preceding such events; and</w:t>
            </w:r>
          </w:p>
          <w:p w14:paraId="1DB6EF51" w14:textId="77777777" w:rsidR="00162E0C"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 xml:space="preserve">any public criticisms or disqualifications of the individual by governmental or regulatory authorities and whether the individual has ever been disqualified by a court from acting as a Director of a Body Corporate, General Partner of a </w:t>
            </w:r>
            <w:r w:rsidR="00F767DE" w:rsidRPr="00FB2F3D">
              <w:rPr>
                <w:rFonts w:ascii="Arial" w:hAnsi="Arial" w:cs="Arial"/>
                <w:sz w:val="22"/>
                <w:szCs w:val="22"/>
              </w:rPr>
              <w:t>Partnership</w:t>
            </w:r>
            <w:r w:rsidRPr="00FB2F3D">
              <w:rPr>
                <w:rFonts w:ascii="Arial" w:hAnsi="Arial" w:cs="Arial"/>
                <w:sz w:val="22"/>
                <w:szCs w:val="22"/>
              </w:rPr>
              <w:t xml:space="preserve"> or from acting in the management or conduct of the affairs of any Body Corporate or </w:t>
            </w:r>
            <w:r w:rsidRPr="00FB2F3D">
              <w:rPr>
                <w:rFonts w:ascii="Arial" w:hAnsi="Arial" w:cs="Arial"/>
                <w:sz w:val="22"/>
                <w:szCs w:val="22"/>
              </w:rPr>
              <w:lastRenderedPageBreak/>
              <w:t>Listed Fund</w:t>
            </w:r>
            <w:r w:rsidR="000D027C" w:rsidRPr="00FB2F3D">
              <w:rPr>
                <w:rFonts w:ascii="Arial" w:hAnsi="Arial" w:cs="Arial"/>
                <w:sz w:val="22"/>
                <w:szCs w:val="22"/>
              </w:rPr>
              <w:t xml:space="preserve"> and</w:t>
            </w:r>
            <w:r w:rsidRPr="00FB2F3D">
              <w:rPr>
                <w:rFonts w:ascii="Arial" w:hAnsi="Arial" w:cs="Arial"/>
                <w:sz w:val="22"/>
                <w:szCs w:val="22"/>
              </w:rPr>
              <w:t>, if there are no such details to be disclosed, a statement to that effect.</w:t>
            </w:r>
          </w:p>
        </w:tc>
        <w:tc>
          <w:tcPr>
            <w:tcW w:w="2272" w:type="dxa"/>
          </w:tcPr>
          <w:p w14:paraId="0E07B00D" w14:textId="4721EEE4"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lastRenderedPageBreak/>
              <w:t xml:space="preserve">Within </w:t>
            </w:r>
            <w:r w:rsidR="003E303A">
              <w:rPr>
                <w:rFonts w:ascii="Arial" w:hAnsi="Arial" w:cs="Arial"/>
                <w:sz w:val="22"/>
                <w:szCs w:val="22"/>
              </w:rPr>
              <w:t>five Business D</w:t>
            </w:r>
            <w:r w:rsidRPr="00FB2F3D">
              <w:rPr>
                <w:rFonts w:ascii="Arial" w:hAnsi="Arial" w:cs="Arial"/>
                <w:sz w:val="22"/>
                <w:szCs w:val="22"/>
              </w:rPr>
              <w:t>ays.</w:t>
            </w:r>
          </w:p>
        </w:tc>
      </w:tr>
      <w:tr w:rsidR="00B1204B" w:rsidRPr="00FB2F3D" w14:paraId="10482220" w14:textId="77777777" w:rsidTr="00BD64B9">
        <w:tc>
          <w:tcPr>
            <w:tcW w:w="648" w:type="dxa"/>
          </w:tcPr>
          <w:p w14:paraId="1B2F6948"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04E6B5BE" w14:textId="77777777" w:rsidR="00162E0C" w:rsidRPr="00FB2F3D" w:rsidRDefault="00162E0C" w:rsidP="00E415BE">
            <w:pPr>
              <w:pStyle w:val="UK12Block"/>
              <w:jc w:val="left"/>
              <w:rPr>
                <w:rFonts w:ascii="Arial" w:hAnsi="Arial" w:cs="Arial"/>
                <w:sz w:val="22"/>
                <w:szCs w:val="22"/>
              </w:rPr>
            </w:pPr>
            <w:r w:rsidRPr="00FB2F3D">
              <w:rPr>
                <w:rFonts w:ascii="Arial" w:hAnsi="Arial" w:cs="Arial"/>
                <w:sz w:val="22"/>
                <w:szCs w:val="22"/>
              </w:rPr>
              <w:t xml:space="preserve">Any event that requires Unitholder approval under the </w:t>
            </w:r>
            <w:r w:rsidR="00701C02" w:rsidRPr="00FB2F3D">
              <w:rPr>
                <w:rFonts w:ascii="Arial" w:hAnsi="Arial" w:cs="Arial"/>
                <w:sz w:val="22"/>
                <w:szCs w:val="22"/>
              </w:rPr>
              <w:t>Fund Rules</w:t>
            </w:r>
            <w:r w:rsidR="00E415BE" w:rsidRPr="00FB2F3D">
              <w:rPr>
                <w:rFonts w:ascii="Arial" w:hAnsi="Arial" w:cs="Arial"/>
                <w:sz w:val="22"/>
                <w:szCs w:val="22"/>
              </w:rPr>
              <w:t xml:space="preserve">. </w:t>
            </w:r>
          </w:p>
        </w:tc>
        <w:tc>
          <w:tcPr>
            <w:tcW w:w="5940" w:type="dxa"/>
          </w:tcPr>
          <w:p w14:paraId="21D6F18C" w14:textId="7195A13C" w:rsidR="00162E0C" w:rsidRPr="00FB2F3D" w:rsidRDefault="003E303A"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w:t>
            </w:r>
          </w:p>
          <w:p w14:paraId="4DFD5230"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the nature, details, contents and effect of the relevant event; and</w:t>
            </w:r>
          </w:p>
          <w:p w14:paraId="0A46DC79" w14:textId="77777777" w:rsidR="00162E0C"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any material change affecting any matter contained in an earlier disclosure.</w:t>
            </w:r>
          </w:p>
        </w:tc>
        <w:tc>
          <w:tcPr>
            <w:tcW w:w="2272" w:type="dxa"/>
          </w:tcPr>
          <w:p w14:paraId="5B84CA0C"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as possible.</w:t>
            </w:r>
          </w:p>
        </w:tc>
      </w:tr>
      <w:tr w:rsidR="00B1204B" w:rsidRPr="00FB2F3D" w14:paraId="35F72D97" w14:textId="77777777" w:rsidTr="00BD64B9">
        <w:tc>
          <w:tcPr>
            <w:tcW w:w="648" w:type="dxa"/>
          </w:tcPr>
          <w:p w14:paraId="3A51F174"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74A8C215"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Any resolution adopted by the Listed Fund other than a resolution concerning ordinary business of the Listed Fund.</w:t>
            </w:r>
          </w:p>
        </w:tc>
        <w:tc>
          <w:tcPr>
            <w:tcW w:w="5940" w:type="dxa"/>
          </w:tcPr>
          <w:p w14:paraId="092AA2C2" w14:textId="76C3D29C" w:rsidR="00162E0C" w:rsidRPr="00FB2F3D" w:rsidRDefault="003E303A"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the resolution.</w:t>
            </w:r>
          </w:p>
        </w:tc>
        <w:tc>
          <w:tcPr>
            <w:tcW w:w="2272" w:type="dxa"/>
          </w:tcPr>
          <w:p w14:paraId="43B29B28"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as possible.</w:t>
            </w:r>
          </w:p>
        </w:tc>
      </w:tr>
      <w:tr w:rsidR="00162E0C" w:rsidRPr="00FB2F3D" w14:paraId="28A8EE64" w14:textId="77777777" w:rsidTr="00BD64B9">
        <w:tc>
          <w:tcPr>
            <w:tcW w:w="14170" w:type="dxa"/>
            <w:gridSpan w:val="4"/>
          </w:tcPr>
          <w:p w14:paraId="669CCE73" w14:textId="77777777" w:rsidR="00162E0C" w:rsidRPr="00FB2F3D" w:rsidRDefault="00162E0C" w:rsidP="00755725">
            <w:pPr>
              <w:pStyle w:val="UK12Block"/>
              <w:numPr>
                <w:ilvl w:val="0"/>
                <w:numId w:val="72"/>
              </w:numPr>
              <w:jc w:val="left"/>
              <w:rPr>
                <w:rFonts w:ascii="Arial" w:hAnsi="Arial" w:cs="Arial"/>
                <w:b/>
                <w:sz w:val="22"/>
                <w:szCs w:val="22"/>
              </w:rPr>
            </w:pPr>
            <w:r w:rsidRPr="00FB2F3D">
              <w:rPr>
                <w:rFonts w:ascii="Arial" w:hAnsi="Arial" w:cs="Arial"/>
                <w:b/>
                <w:sz w:val="22"/>
                <w:szCs w:val="22"/>
              </w:rPr>
              <w:t>BUSINESS OF THE LISTED FUND</w:t>
            </w:r>
          </w:p>
        </w:tc>
      </w:tr>
      <w:tr w:rsidR="00B1204B" w:rsidRPr="00FB2F3D" w14:paraId="79EE1FB6" w14:textId="77777777" w:rsidTr="00BD64B9">
        <w:tc>
          <w:tcPr>
            <w:tcW w:w="648" w:type="dxa"/>
          </w:tcPr>
          <w:p w14:paraId="73CE3948"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49787FE2"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Transactions undertaken which could result in:</w:t>
            </w:r>
          </w:p>
          <w:p w14:paraId="2ECEDD57"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 xml:space="preserve">any significant investment (being any </w:t>
            </w:r>
            <w:r w:rsidR="009C4BF8" w:rsidRPr="00FB2F3D">
              <w:rPr>
                <w:rFonts w:ascii="Arial" w:hAnsi="Arial" w:cs="Arial"/>
                <w:sz w:val="22"/>
                <w:szCs w:val="22"/>
              </w:rPr>
              <w:t>investment</w:t>
            </w:r>
            <w:r w:rsidRPr="00FB2F3D">
              <w:rPr>
                <w:rFonts w:ascii="Arial" w:hAnsi="Arial" w:cs="Arial"/>
                <w:sz w:val="22"/>
                <w:szCs w:val="22"/>
              </w:rPr>
              <w:t>s equal to or greater than 5% of the net asset value of the fund) or material change to a significant investment outside the stated investment strategy of the Listed Fund; or</w:t>
            </w:r>
          </w:p>
          <w:p w14:paraId="510E1D15" w14:textId="77777777" w:rsidR="00162E0C"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the incurring of any significant debt outside the usual and ordinary course of business of the Listed Fund (being debt with an amount equal to or greater than 5% of the net asset value of the fund) taking into account the stated investment strategy.</w:t>
            </w:r>
          </w:p>
        </w:tc>
        <w:tc>
          <w:tcPr>
            <w:tcW w:w="5940" w:type="dxa"/>
          </w:tcPr>
          <w:p w14:paraId="257E9D9A" w14:textId="5BC2D877" w:rsidR="00162E0C" w:rsidRPr="00FB2F3D" w:rsidRDefault="003E303A"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relating to:</w:t>
            </w:r>
          </w:p>
          <w:p w14:paraId="0570D0CD" w14:textId="77777777" w:rsidR="00B1204B" w:rsidRPr="00FB2F3D" w:rsidRDefault="00162E0C" w:rsidP="00755725">
            <w:pPr>
              <w:pStyle w:val="UK12Block"/>
              <w:numPr>
                <w:ilvl w:val="0"/>
                <w:numId w:val="74"/>
              </w:numPr>
              <w:jc w:val="left"/>
              <w:rPr>
                <w:rFonts w:ascii="Arial" w:hAnsi="Arial" w:cs="Arial"/>
                <w:sz w:val="22"/>
                <w:szCs w:val="22"/>
              </w:rPr>
            </w:pPr>
            <w:r w:rsidRPr="00FB2F3D">
              <w:rPr>
                <w:rFonts w:ascii="Arial" w:hAnsi="Arial" w:cs="Arial"/>
                <w:sz w:val="22"/>
                <w:szCs w:val="22"/>
              </w:rPr>
              <w:t>any decision to enter into such a transaction;</w:t>
            </w:r>
          </w:p>
          <w:p w14:paraId="5406F042" w14:textId="77777777" w:rsidR="00B1204B" w:rsidRPr="00FB2F3D" w:rsidRDefault="00162E0C" w:rsidP="00755725">
            <w:pPr>
              <w:pStyle w:val="UK12Block"/>
              <w:numPr>
                <w:ilvl w:val="0"/>
                <w:numId w:val="74"/>
              </w:numPr>
              <w:jc w:val="left"/>
              <w:rPr>
                <w:rFonts w:ascii="Arial" w:hAnsi="Arial" w:cs="Arial"/>
                <w:sz w:val="22"/>
                <w:szCs w:val="22"/>
              </w:rPr>
            </w:pPr>
            <w:r w:rsidRPr="00FB2F3D">
              <w:rPr>
                <w:rFonts w:ascii="Arial" w:hAnsi="Arial" w:cs="Arial"/>
                <w:sz w:val="22"/>
                <w:szCs w:val="22"/>
              </w:rPr>
              <w:t>any material change or new matter affecting any matter contained in an earlier disclosure; and</w:t>
            </w:r>
          </w:p>
          <w:p w14:paraId="293BFF20" w14:textId="77777777" w:rsidR="00162E0C" w:rsidRPr="00FB2F3D" w:rsidRDefault="00162E0C" w:rsidP="00755725">
            <w:pPr>
              <w:pStyle w:val="UK12Block"/>
              <w:numPr>
                <w:ilvl w:val="0"/>
                <w:numId w:val="74"/>
              </w:numPr>
              <w:jc w:val="left"/>
              <w:rPr>
                <w:rFonts w:ascii="Arial" w:hAnsi="Arial" w:cs="Arial"/>
                <w:sz w:val="22"/>
                <w:szCs w:val="22"/>
              </w:rPr>
            </w:pPr>
            <w:r w:rsidRPr="00FB2F3D">
              <w:rPr>
                <w:rFonts w:ascii="Arial" w:hAnsi="Arial" w:cs="Arial"/>
                <w:sz w:val="22"/>
                <w:szCs w:val="22"/>
              </w:rPr>
              <w:t>a full description of the event, activity or transaction proposed or effected as the case may be.</w:t>
            </w:r>
          </w:p>
        </w:tc>
        <w:tc>
          <w:tcPr>
            <w:tcW w:w="2272" w:type="dxa"/>
          </w:tcPr>
          <w:p w14:paraId="7DB73EB8"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Without delay.</w:t>
            </w:r>
          </w:p>
        </w:tc>
      </w:tr>
      <w:tr w:rsidR="00162E0C" w:rsidRPr="00FB2F3D" w14:paraId="1CB2E3A4" w14:textId="77777777" w:rsidTr="00BD64B9">
        <w:tc>
          <w:tcPr>
            <w:tcW w:w="14170" w:type="dxa"/>
            <w:gridSpan w:val="4"/>
          </w:tcPr>
          <w:p w14:paraId="3F438786" w14:textId="77777777" w:rsidR="00162E0C" w:rsidRPr="00FB2F3D" w:rsidRDefault="00162E0C" w:rsidP="00755725">
            <w:pPr>
              <w:pStyle w:val="UK12Block"/>
              <w:numPr>
                <w:ilvl w:val="0"/>
                <w:numId w:val="72"/>
              </w:numPr>
              <w:jc w:val="left"/>
              <w:rPr>
                <w:rFonts w:ascii="Arial" w:hAnsi="Arial" w:cs="Arial"/>
                <w:b/>
                <w:sz w:val="22"/>
                <w:szCs w:val="22"/>
              </w:rPr>
            </w:pPr>
            <w:r w:rsidRPr="00FB2F3D">
              <w:rPr>
                <w:rFonts w:ascii="Arial" w:hAnsi="Arial" w:cs="Arial"/>
                <w:b/>
                <w:sz w:val="22"/>
                <w:szCs w:val="22"/>
              </w:rPr>
              <w:t>DISCLOSURE RELATING TO UNITS OF THE LISTED FUND</w:t>
            </w:r>
          </w:p>
        </w:tc>
      </w:tr>
      <w:tr w:rsidR="00B1204B" w:rsidRPr="00FB2F3D" w14:paraId="69F59FE2" w14:textId="77777777" w:rsidTr="00BD64B9">
        <w:tc>
          <w:tcPr>
            <w:tcW w:w="648" w:type="dxa"/>
          </w:tcPr>
          <w:p w14:paraId="15D3DAC1"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7B7BDF39"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Any decision:</w:t>
            </w:r>
          </w:p>
          <w:p w14:paraId="5A2F87FD" w14:textId="12B0B78C"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 xml:space="preserve">to declare, recommend or pay any dividend not previously </w:t>
            </w:r>
            <w:r w:rsidR="003E303A">
              <w:rPr>
                <w:rFonts w:ascii="Arial" w:hAnsi="Arial" w:cs="Arial"/>
                <w:sz w:val="22"/>
                <w:szCs w:val="22"/>
              </w:rPr>
              <w:t>D</w:t>
            </w:r>
            <w:r w:rsidRPr="00FB2F3D">
              <w:rPr>
                <w:rFonts w:ascii="Arial" w:hAnsi="Arial" w:cs="Arial"/>
                <w:sz w:val="22"/>
                <w:szCs w:val="22"/>
              </w:rPr>
              <w:t>isclosed;</w:t>
            </w:r>
          </w:p>
          <w:p w14:paraId="6C80DF88"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to make any other distribution on the Units; or</w:t>
            </w:r>
          </w:p>
          <w:p w14:paraId="270C5074" w14:textId="77777777" w:rsidR="00162E0C"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not to declare, recommend or pay any dividend which would otherwise have been expected to have been declared, recommended or paid in the normal course of events.</w:t>
            </w:r>
          </w:p>
        </w:tc>
        <w:tc>
          <w:tcPr>
            <w:tcW w:w="5940" w:type="dxa"/>
          </w:tcPr>
          <w:p w14:paraId="1E774949" w14:textId="24EA640F" w:rsidR="00162E0C" w:rsidRPr="00FB2F3D" w:rsidRDefault="003E303A"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the decision, including the rate and amount of and record date for the dividend or other distribution or the grounds for the decision in relation to non</w:t>
            </w:r>
            <w:r w:rsidR="00162E0C" w:rsidRPr="00FB2F3D">
              <w:rPr>
                <w:rFonts w:ascii="Arial" w:hAnsi="Arial" w:cs="Arial"/>
                <w:sz w:val="22"/>
                <w:szCs w:val="22"/>
              </w:rPr>
              <w:noBreakHyphen/>
              <w:t>payment.</w:t>
            </w:r>
          </w:p>
        </w:tc>
        <w:tc>
          <w:tcPr>
            <w:tcW w:w="2272" w:type="dxa"/>
          </w:tcPr>
          <w:p w14:paraId="61433282" w14:textId="4DC5CEAA"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as possible and in any event no later than five </w:t>
            </w:r>
            <w:r w:rsidR="003E303A">
              <w:rPr>
                <w:rFonts w:ascii="Arial" w:hAnsi="Arial" w:cs="Arial"/>
                <w:sz w:val="22"/>
                <w:szCs w:val="22"/>
              </w:rPr>
              <w:t>Business D</w:t>
            </w:r>
            <w:r w:rsidRPr="00FB2F3D">
              <w:rPr>
                <w:rFonts w:ascii="Arial" w:hAnsi="Arial" w:cs="Arial"/>
                <w:sz w:val="22"/>
                <w:szCs w:val="22"/>
              </w:rPr>
              <w:t>ays prior to the record date or the date of expected distribution.</w:t>
            </w:r>
          </w:p>
        </w:tc>
      </w:tr>
      <w:tr w:rsidR="00B1204B" w:rsidRPr="00FB2F3D" w14:paraId="53740A7B" w14:textId="77777777" w:rsidTr="00BD64B9">
        <w:tc>
          <w:tcPr>
            <w:tcW w:w="648" w:type="dxa"/>
          </w:tcPr>
          <w:p w14:paraId="0F038835"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158D0A56"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Any decision made in regard to:</w:t>
            </w:r>
          </w:p>
          <w:p w14:paraId="5ED237BE"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any change in the general character or nature of the Listed Fund;</w:t>
            </w:r>
          </w:p>
          <w:p w14:paraId="41B15E32"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any change in the redemption of all or any of the Units of the Listed Fund;</w:t>
            </w:r>
          </w:p>
          <w:p w14:paraId="4C778CC3"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any change to its published investment policies or objectives, investment restrictions or borrowing restrictions;</w:t>
            </w:r>
          </w:p>
          <w:p w14:paraId="2160048F"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 xml:space="preserve">any change in the way in which net asset value or issue and redemption prices are calculated, or in the frequency of calculation of the net asset value; </w:t>
            </w:r>
          </w:p>
          <w:p w14:paraId="7B9BB51E"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any change in the manner in which the management fees payable by the Listed Fund are calculated;</w:t>
            </w:r>
          </w:p>
          <w:p w14:paraId="1F803191"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lastRenderedPageBreak/>
              <w:t>any changes in the trustee, custodian or prime broke</w:t>
            </w:r>
            <w:r w:rsidR="000F2B46" w:rsidRPr="00FB2F3D">
              <w:rPr>
                <w:rFonts w:ascii="Arial" w:hAnsi="Arial" w:cs="Arial"/>
                <w:sz w:val="22"/>
                <w:szCs w:val="22"/>
              </w:rPr>
              <w:t>r(s), Investment Manager, Advise</w:t>
            </w:r>
            <w:r w:rsidRPr="00FB2F3D">
              <w:rPr>
                <w:rFonts w:ascii="Arial" w:hAnsi="Arial" w:cs="Arial"/>
                <w:sz w:val="22"/>
                <w:szCs w:val="22"/>
              </w:rPr>
              <w:t xml:space="preserve">r, Fund Administrator or </w:t>
            </w:r>
            <w:r w:rsidR="00A85262" w:rsidRPr="00FB2F3D">
              <w:rPr>
                <w:rFonts w:ascii="Arial" w:hAnsi="Arial" w:cs="Arial"/>
                <w:sz w:val="22"/>
                <w:szCs w:val="22"/>
              </w:rPr>
              <w:t>auditor</w:t>
            </w:r>
            <w:r w:rsidRPr="00FB2F3D">
              <w:rPr>
                <w:rFonts w:ascii="Arial" w:hAnsi="Arial" w:cs="Arial"/>
                <w:sz w:val="22"/>
                <w:szCs w:val="22"/>
              </w:rPr>
              <w:t>;</w:t>
            </w:r>
          </w:p>
          <w:p w14:paraId="13FA5049"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any changes in the control of the trustee, custodian or prime broker(</w:t>
            </w:r>
            <w:r w:rsidR="000F2B46" w:rsidRPr="00FB2F3D">
              <w:rPr>
                <w:rFonts w:ascii="Arial" w:hAnsi="Arial" w:cs="Arial"/>
                <w:sz w:val="22"/>
                <w:szCs w:val="22"/>
              </w:rPr>
              <w:t>s), Investment Manager or Advise</w:t>
            </w:r>
            <w:r w:rsidRPr="00FB2F3D">
              <w:rPr>
                <w:rFonts w:ascii="Arial" w:hAnsi="Arial" w:cs="Arial"/>
                <w:sz w:val="22"/>
                <w:szCs w:val="22"/>
              </w:rPr>
              <w:t>r;</w:t>
            </w:r>
          </w:p>
          <w:p w14:paraId="04E6B460"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any change in the tax status of the Listed Fund;</w:t>
            </w:r>
          </w:p>
          <w:p w14:paraId="21A26EAA"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any suspension in the calculation of net asset value or of redemptions; or</w:t>
            </w:r>
          </w:p>
          <w:p w14:paraId="6F7C348A" w14:textId="77777777" w:rsidR="00162E0C"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 xml:space="preserve">details of any repurchase, drawing or redemption by the Listed Fund or any of its subsidiaries of the Listed Fund's Listed </w:t>
            </w:r>
            <w:r w:rsidR="004B46BD" w:rsidRPr="00FB2F3D">
              <w:rPr>
                <w:rFonts w:ascii="Arial" w:hAnsi="Arial" w:cs="Arial"/>
                <w:sz w:val="22"/>
                <w:szCs w:val="22"/>
              </w:rPr>
              <w:t>Securities</w:t>
            </w:r>
            <w:r w:rsidRPr="00FB2F3D">
              <w:rPr>
                <w:rFonts w:ascii="Arial" w:hAnsi="Arial" w:cs="Arial"/>
                <w:sz w:val="22"/>
                <w:szCs w:val="22"/>
              </w:rPr>
              <w:t>, unless the purchases are made pursuant to the requirements in the Listing Rules on purchase of own Shares.</w:t>
            </w:r>
          </w:p>
        </w:tc>
        <w:tc>
          <w:tcPr>
            <w:tcW w:w="5940" w:type="dxa"/>
          </w:tcPr>
          <w:p w14:paraId="0AF88899" w14:textId="23F1F7B1" w:rsidR="00162E0C" w:rsidRPr="00FB2F3D" w:rsidRDefault="00846BC6" w:rsidP="00BD64B9">
            <w:pPr>
              <w:pStyle w:val="UK12Block"/>
              <w:jc w:val="left"/>
              <w:rPr>
                <w:rFonts w:ascii="Arial" w:hAnsi="Arial" w:cs="Arial"/>
                <w:sz w:val="22"/>
                <w:szCs w:val="22"/>
              </w:rPr>
            </w:pPr>
            <w:r>
              <w:rPr>
                <w:rFonts w:ascii="Arial" w:hAnsi="Arial" w:cs="Arial"/>
                <w:sz w:val="22"/>
                <w:szCs w:val="22"/>
              </w:rPr>
              <w:lastRenderedPageBreak/>
              <w:t>D</w:t>
            </w:r>
            <w:r w:rsidR="00162E0C" w:rsidRPr="00FB2F3D">
              <w:rPr>
                <w:rFonts w:ascii="Arial" w:hAnsi="Arial" w:cs="Arial"/>
                <w:sz w:val="22"/>
                <w:szCs w:val="22"/>
              </w:rPr>
              <w:t>isclosure of the decision and all relevant details relating to the decision.</w:t>
            </w:r>
          </w:p>
        </w:tc>
        <w:tc>
          <w:tcPr>
            <w:tcW w:w="2272" w:type="dxa"/>
          </w:tcPr>
          <w:p w14:paraId="7B9D0FCC"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as possible.</w:t>
            </w:r>
          </w:p>
        </w:tc>
      </w:tr>
      <w:tr w:rsidR="00B1204B" w:rsidRPr="00FB2F3D" w14:paraId="439BA89D" w14:textId="77777777" w:rsidTr="00BD64B9">
        <w:tc>
          <w:tcPr>
            <w:tcW w:w="648" w:type="dxa"/>
          </w:tcPr>
          <w:p w14:paraId="25C2F6D0"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43835324"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Admission to listing or trading of the same class of Units on a Regulated Exchange.</w:t>
            </w:r>
          </w:p>
        </w:tc>
        <w:tc>
          <w:tcPr>
            <w:tcW w:w="5940" w:type="dxa"/>
          </w:tcPr>
          <w:p w14:paraId="20197428" w14:textId="74DC526C" w:rsidR="00162E0C" w:rsidRPr="00FB2F3D" w:rsidRDefault="00846BC6"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all the relevant details relating to the admission to listing or trading.</w:t>
            </w:r>
          </w:p>
        </w:tc>
        <w:tc>
          <w:tcPr>
            <w:tcW w:w="2272" w:type="dxa"/>
          </w:tcPr>
          <w:p w14:paraId="0B89E179"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as possible.</w:t>
            </w:r>
          </w:p>
        </w:tc>
      </w:tr>
      <w:tr w:rsidR="00B1204B" w:rsidRPr="00FB2F3D" w14:paraId="209B6613" w14:textId="77777777" w:rsidTr="00BD64B9">
        <w:tc>
          <w:tcPr>
            <w:tcW w:w="648" w:type="dxa"/>
          </w:tcPr>
          <w:p w14:paraId="45A057B7"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3351E8AA"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Any other disclosure required to be made pursuant to the requirements in the Regulated Exchange arising from the listing or trading of the same class of Units on that exchange where such disclosure is not made in the ADGM.</w:t>
            </w:r>
          </w:p>
        </w:tc>
        <w:tc>
          <w:tcPr>
            <w:tcW w:w="5940" w:type="dxa"/>
          </w:tcPr>
          <w:p w14:paraId="68578BC9" w14:textId="5E6F2F81" w:rsidR="00162E0C" w:rsidRPr="00FB2F3D" w:rsidRDefault="00846BC6"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the information required to be disclosed to the Regulated Exchange.</w:t>
            </w:r>
          </w:p>
        </w:tc>
        <w:tc>
          <w:tcPr>
            <w:tcW w:w="2272" w:type="dxa"/>
          </w:tcPr>
          <w:p w14:paraId="019A898C"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as such disclosure is made on the Regulated Exchange.</w:t>
            </w:r>
          </w:p>
        </w:tc>
      </w:tr>
      <w:tr w:rsidR="00B1204B" w:rsidRPr="00FB2F3D" w14:paraId="1BFAB846" w14:textId="77777777" w:rsidTr="00BD64B9">
        <w:tc>
          <w:tcPr>
            <w:tcW w:w="648" w:type="dxa"/>
          </w:tcPr>
          <w:p w14:paraId="04A7B2CF"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30836E41"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Any change of the Trustee, custodian or depositary in relation to the Listed Fund.</w:t>
            </w:r>
          </w:p>
        </w:tc>
        <w:tc>
          <w:tcPr>
            <w:tcW w:w="5940" w:type="dxa"/>
          </w:tcPr>
          <w:p w14:paraId="3D29748A" w14:textId="0D545265" w:rsidR="00162E0C" w:rsidRPr="00FB2F3D" w:rsidRDefault="00846BC6"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the details relating to the new Trustee, custodian or depository and any implication/effect of this change.</w:t>
            </w:r>
          </w:p>
        </w:tc>
        <w:tc>
          <w:tcPr>
            <w:tcW w:w="2272" w:type="dxa"/>
          </w:tcPr>
          <w:p w14:paraId="7A68A7CF"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as possible.</w:t>
            </w:r>
          </w:p>
        </w:tc>
      </w:tr>
      <w:tr w:rsidR="00B1204B" w:rsidRPr="00FB2F3D" w14:paraId="797D2D51" w14:textId="77777777" w:rsidTr="00BD64B9">
        <w:tc>
          <w:tcPr>
            <w:tcW w:w="648" w:type="dxa"/>
          </w:tcPr>
          <w:p w14:paraId="7C7C0382"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3C9F8744"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Proposed and new issues of Units.</w:t>
            </w:r>
          </w:p>
        </w:tc>
        <w:tc>
          <w:tcPr>
            <w:tcW w:w="5940" w:type="dxa"/>
          </w:tcPr>
          <w:p w14:paraId="4F150B0D" w14:textId="7E0B2843" w:rsidR="00162E0C" w:rsidRPr="00FB2F3D" w:rsidRDefault="00846BC6"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the class, number, date of issue, and consideration received for the issue of the Units and details of changes in the capital.</w:t>
            </w:r>
          </w:p>
        </w:tc>
        <w:tc>
          <w:tcPr>
            <w:tcW w:w="2272" w:type="dxa"/>
          </w:tcPr>
          <w:p w14:paraId="7555D945"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as possible.</w:t>
            </w:r>
          </w:p>
        </w:tc>
      </w:tr>
      <w:tr w:rsidR="00162E0C" w:rsidRPr="00FB2F3D" w14:paraId="0B22EA78" w14:textId="77777777" w:rsidTr="00BD64B9">
        <w:tc>
          <w:tcPr>
            <w:tcW w:w="14170" w:type="dxa"/>
            <w:gridSpan w:val="4"/>
          </w:tcPr>
          <w:p w14:paraId="52406300" w14:textId="77777777" w:rsidR="00162E0C" w:rsidRPr="00FB2F3D" w:rsidRDefault="00162E0C" w:rsidP="00755725">
            <w:pPr>
              <w:pStyle w:val="UK12Block"/>
              <w:numPr>
                <w:ilvl w:val="0"/>
                <w:numId w:val="72"/>
              </w:numPr>
              <w:jc w:val="left"/>
              <w:rPr>
                <w:rFonts w:ascii="Arial" w:hAnsi="Arial" w:cs="Arial"/>
                <w:b/>
                <w:sz w:val="22"/>
                <w:szCs w:val="22"/>
              </w:rPr>
            </w:pPr>
            <w:r w:rsidRPr="00FB2F3D">
              <w:rPr>
                <w:rFonts w:ascii="Arial" w:hAnsi="Arial" w:cs="Arial"/>
                <w:b/>
                <w:sz w:val="22"/>
                <w:szCs w:val="22"/>
              </w:rPr>
              <w:t>DISCLOSURE OF INTERESTS</w:t>
            </w:r>
          </w:p>
        </w:tc>
      </w:tr>
      <w:tr w:rsidR="00B1204B" w:rsidRPr="00FB2F3D" w14:paraId="7FB4920C" w14:textId="77777777" w:rsidTr="00BD64B9">
        <w:tc>
          <w:tcPr>
            <w:tcW w:w="648" w:type="dxa"/>
          </w:tcPr>
          <w:p w14:paraId="5589AD8C"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1DD3B74B" w14:textId="77777777" w:rsidR="00162E0C" w:rsidRPr="00FB2F3D" w:rsidRDefault="00162E0C" w:rsidP="00DF0FE1">
            <w:pPr>
              <w:pStyle w:val="UK12Block"/>
              <w:jc w:val="left"/>
              <w:rPr>
                <w:rFonts w:ascii="Arial" w:hAnsi="Arial" w:cs="Arial"/>
                <w:sz w:val="22"/>
                <w:szCs w:val="22"/>
              </w:rPr>
            </w:pPr>
            <w:r w:rsidRPr="00FB2F3D">
              <w:rPr>
                <w:rFonts w:ascii="Arial" w:hAnsi="Arial" w:cs="Arial"/>
                <w:sz w:val="22"/>
                <w:szCs w:val="22"/>
              </w:rPr>
              <w:t xml:space="preserve">The requirement to disclose interests held by a Connected Person pursuant to section </w:t>
            </w:r>
            <w:r w:rsidR="007B199B" w:rsidRPr="00FB2F3D">
              <w:rPr>
                <w:rFonts w:ascii="Arial" w:hAnsi="Arial" w:cs="Arial"/>
                <w:sz w:val="22"/>
                <w:szCs w:val="22"/>
              </w:rPr>
              <w:t>7</w:t>
            </w:r>
            <w:r w:rsidR="00DF0FE1" w:rsidRPr="00FB2F3D">
              <w:rPr>
                <w:rFonts w:ascii="Arial" w:hAnsi="Arial" w:cs="Arial"/>
                <w:sz w:val="22"/>
                <w:szCs w:val="22"/>
              </w:rPr>
              <w:t>6</w:t>
            </w:r>
            <w:r w:rsidRPr="00FB2F3D">
              <w:rPr>
                <w:rFonts w:ascii="Arial" w:hAnsi="Arial" w:cs="Arial"/>
                <w:sz w:val="22"/>
                <w:szCs w:val="22"/>
              </w:rPr>
              <w:t xml:space="preserve"> of the FSMR.</w:t>
            </w:r>
          </w:p>
        </w:tc>
        <w:tc>
          <w:tcPr>
            <w:tcW w:w="5940" w:type="dxa"/>
          </w:tcPr>
          <w:p w14:paraId="5E2B6D25" w14:textId="66A04EC3" w:rsidR="00162E0C" w:rsidRPr="00FB2F3D" w:rsidRDefault="00846BC6" w:rsidP="0098450E">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the information set out in Rule </w:t>
            </w:r>
            <w:r w:rsidR="00693841" w:rsidRPr="00FB2F3D">
              <w:rPr>
                <w:rFonts w:ascii="Arial" w:hAnsi="Arial" w:cs="Arial"/>
                <w:sz w:val="22"/>
                <w:szCs w:val="22"/>
              </w:rPr>
              <w:t>3.6.3</w:t>
            </w:r>
            <w:r w:rsidR="00162E0C" w:rsidRPr="00FB2F3D">
              <w:rPr>
                <w:rFonts w:ascii="Arial" w:hAnsi="Arial" w:cs="Arial"/>
                <w:sz w:val="22"/>
                <w:szCs w:val="22"/>
              </w:rPr>
              <w:t>.</w:t>
            </w:r>
          </w:p>
        </w:tc>
        <w:tc>
          <w:tcPr>
            <w:tcW w:w="2272" w:type="dxa"/>
          </w:tcPr>
          <w:p w14:paraId="4307076C"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as possible.</w:t>
            </w:r>
          </w:p>
        </w:tc>
      </w:tr>
      <w:tr w:rsidR="00B1204B" w:rsidRPr="00FB2F3D" w14:paraId="0CB44067" w14:textId="77777777" w:rsidTr="00BD64B9">
        <w:tc>
          <w:tcPr>
            <w:tcW w:w="648" w:type="dxa"/>
          </w:tcPr>
          <w:p w14:paraId="4D53D211"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23AEABD2"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 xml:space="preserve">The requirement to give a notice of a Director's </w:t>
            </w:r>
            <w:r w:rsidR="00D7529B" w:rsidRPr="00FB2F3D">
              <w:rPr>
                <w:rFonts w:ascii="Arial" w:hAnsi="Arial" w:cs="Arial"/>
                <w:sz w:val="22"/>
                <w:szCs w:val="22"/>
              </w:rPr>
              <w:t xml:space="preserve">notifiable </w:t>
            </w:r>
            <w:r w:rsidRPr="00FB2F3D">
              <w:rPr>
                <w:rFonts w:ascii="Arial" w:hAnsi="Arial" w:cs="Arial"/>
                <w:sz w:val="22"/>
                <w:szCs w:val="22"/>
              </w:rPr>
              <w:t>interests.</w:t>
            </w:r>
          </w:p>
        </w:tc>
        <w:tc>
          <w:tcPr>
            <w:tcW w:w="5940" w:type="dxa"/>
          </w:tcPr>
          <w:p w14:paraId="7F02625D" w14:textId="5A8E2A5A" w:rsidR="00162E0C" w:rsidRPr="00FB2F3D" w:rsidRDefault="00846BC6" w:rsidP="0098450E">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the information set out in Rule </w:t>
            </w:r>
            <w:r w:rsidR="00693841" w:rsidRPr="00FB2F3D">
              <w:rPr>
                <w:rFonts w:ascii="Arial" w:hAnsi="Arial" w:cs="Arial"/>
                <w:sz w:val="22"/>
                <w:szCs w:val="22"/>
              </w:rPr>
              <w:t>3.7.3(3)</w:t>
            </w:r>
            <w:r w:rsidR="00162E0C" w:rsidRPr="00FB2F3D">
              <w:rPr>
                <w:rFonts w:ascii="Arial" w:hAnsi="Arial" w:cs="Arial"/>
                <w:sz w:val="22"/>
                <w:szCs w:val="22"/>
              </w:rPr>
              <w:t>.</w:t>
            </w:r>
          </w:p>
        </w:tc>
        <w:tc>
          <w:tcPr>
            <w:tcW w:w="2272" w:type="dxa"/>
          </w:tcPr>
          <w:p w14:paraId="19848A24"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as possible.</w:t>
            </w:r>
          </w:p>
        </w:tc>
      </w:tr>
      <w:tr w:rsidR="00162E0C" w:rsidRPr="00FB2F3D" w14:paraId="6DF79FD6" w14:textId="77777777" w:rsidTr="00BD64B9">
        <w:tc>
          <w:tcPr>
            <w:tcW w:w="14170" w:type="dxa"/>
            <w:gridSpan w:val="4"/>
          </w:tcPr>
          <w:p w14:paraId="7A17612B" w14:textId="77777777" w:rsidR="00162E0C" w:rsidRPr="00FB2F3D" w:rsidRDefault="00162E0C" w:rsidP="00755725">
            <w:pPr>
              <w:pStyle w:val="UK12Block"/>
              <w:numPr>
                <w:ilvl w:val="0"/>
                <w:numId w:val="72"/>
              </w:numPr>
              <w:jc w:val="left"/>
              <w:rPr>
                <w:rFonts w:ascii="Arial" w:hAnsi="Arial" w:cs="Arial"/>
                <w:b/>
                <w:sz w:val="22"/>
                <w:szCs w:val="22"/>
              </w:rPr>
            </w:pPr>
            <w:r w:rsidRPr="00FB2F3D">
              <w:rPr>
                <w:rFonts w:ascii="Arial" w:hAnsi="Arial" w:cs="Arial"/>
                <w:b/>
                <w:sz w:val="22"/>
                <w:szCs w:val="22"/>
              </w:rPr>
              <w:t>FINANCIAL INFORMATION RELATING TO THE LISTED FUND</w:t>
            </w:r>
          </w:p>
        </w:tc>
      </w:tr>
      <w:tr w:rsidR="00B1204B" w:rsidRPr="00FB2F3D" w14:paraId="7084645E" w14:textId="77777777" w:rsidTr="00BD64B9">
        <w:tc>
          <w:tcPr>
            <w:tcW w:w="648" w:type="dxa"/>
          </w:tcPr>
          <w:p w14:paraId="4FBBC043"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70CBBD5A" w14:textId="77777777" w:rsidR="00162E0C" w:rsidRPr="00FB2F3D" w:rsidRDefault="00162E0C" w:rsidP="00ED4966">
            <w:pPr>
              <w:pStyle w:val="UK12Block"/>
              <w:jc w:val="left"/>
              <w:rPr>
                <w:rFonts w:ascii="Arial" w:hAnsi="Arial" w:cs="Arial"/>
                <w:sz w:val="22"/>
                <w:szCs w:val="22"/>
              </w:rPr>
            </w:pPr>
            <w:r w:rsidRPr="00FB2F3D">
              <w:rPr>
                <w:rFonts w:ascii="Arial" w:hAnsi="Arial" w:cs="Arial"/>
                <w:sz w:val="22"/>
                <w:szCs w:val="22"/>
              </w:rPr>
              <w:t xml:space="preserve">The </w:t>
            </w:r>
            <w:r w:rsidR="00ED4966" w:rsidRPr="00FB2F3D">
              <w:rPr>
                <w:rFonts w:ascii="Arial" w:hAnsi="Arial" w:cs="Arial"/>
                <w:sz w:val="22"/>
                <w:szCs w:val="22"/>
              </w:rPr>
              <w:t>preparation and approval of annual and interim financial reports</w:t>
            </w:r>
            <w:r w:rsidRPr="00FB2F3D">
              <w:rPr>
                <w:rFonts w:ascii="Arial" w:hAnsi="Arial" w:cs="Arial"/>
                <w:sz w:val="22"/>
                <w:szCs w:val="22"/>
              </w:rPr>
              <w:t>.</w:t>
            </w:r>
          </w:p>
        </w:tc>
        <w:tc>
          <w:tcPr>
            <w:tcW w:w="5940" w:type="dxa"/>
          </w:tcPr>
          <w:p w14:paraId="532C1EEE" w14:textId="16FA6E1D" w:rsidR="00162E0C" w:rsidRPr="00FB2F3D" w:rsidRDefault="00846BC6" w:rsidP="00ED4966">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the annual and interim financial report prepared in accordance with the requirement in Rule </w:t>
            </w:r>
            <w:r w:rsidR="00ED4966" w:rsidRPr="00FB2F3D">
              <w:rPr>
                <w:rFonts w:ascii="Arial" w:hAnsi="Arial" w:cs="Arial"/>
                <w:sz w:val="22"/>
                <w:szCs w:val="22"/>
              </w:rPr>
              <w:t>3.9.</w:t>
            </w:r>
            <w:r>
              <w:rPr>
                <w:rFonts w:ascii="Arial" w:hAnsi="Arial" w:cs="Arial"/>
                <w:sz w:val="22"/>
                <w:szCs w:val="22"/>
              </w:rPr>
              <w:t>2</w:t>
            </w:r>
            <w:r w:rsidR="00ED4966" w:rsidRPr="00FB2F3D">
              <w:rPr>
                <w:rFonts w:ascii="Arial" w:hAnsi="Arial" w:cs="Arial"/>
                <w:sz w:val="22"/>
                <w:szCs w:val="22"/>
              </w:rPr>
              <w:t>.</w:t>
            </w:r>
          </w:p>
        </w:tc>
        <w:tc>
          <w:tcPr>
            <w:tcW w:w="2272" w:type="dxa"/>
          </w:tcPr>
          <w:p w14:paraId="5EAB6667" w14:textId="77777777" w:rsidR="00162E0C" w:rsidRPr="00FB2F3D" w:rsidRDefault="00162E0C" w:rsidP="00E415BE">
            <w:pPr>
              <w:pStyle w:val="UK12Block"/>
              <w:jc w:val="left"/>
              <w:rPr>
                <w:rFonts w:ascii="Arial" w:hAnsi="Arial" w:cs="Arial"/>
                <w:sz w:val="22"/>
                <w:szCs w:val="22"/>
              </w:rPr>
            </w:pPr>
            <w:r w:rsidRPr="00FB2F3D">
              <w:rPr>
                <w:rFonts w:ascii="Arial" w:hAnsi="Arial" w:cs="Arial"/>
                <w:sz w:val="22"/>
                <w:szCs w:val="22"/>
              </w:rPr>
              <w:t xml:space="preserve">In the case of a Domestic Fund in accordance with </w:t>
            </w:r>
            <w:r w:rsidR="00E415BE" w:rsidRPr="00FB2F3D">
              <w:rPr>
                <w:rFonts w:ascii="Arial" w:hAnsi="Arial" w:cs="Arial"/>
                <w:sz w:val="22"/>
                <w:szCs w:val="22"/>
              </w:rPr>
              <w:t xml:space="preserve">the </w:t>
            </w:r>
            <w:r w:rsidR="00701C02" w:rsidRPr="00FB2F3D">
              <w:rPr>
                <w:rFonts w:ascii="Arial" w:hAnsi="Arial" w:cs="Arial"/>
                <w:sz w:val="22"/>
                <w:szCs w:val="22"/>
              </w:rPr>
              <w:t>Fund Rules</w:t>
            </w:r>
            <w:r w:rsidRPr="00FB2F3D">
              <w:rPr>
                <w:rFonts w:ascii="Arial" w:hAnsi="Arial" w:cs="Arial"/>
                <w:sz w:val="22"/>
                <w:szCs w:val="22"/>
              </w:rPr>
              <w:t xml:space="preserve"> and in the case of a Foreign Fund the earlier of the period allowed under</w:t>
            </w:r>
            <w:r w:rsidR="00E415BE" w:rsidRPr="00FB2F3D">
              <w:rPr>
                <w:rFonts w:ascii="Arial" w:hAnsi="Arial" w:cs="Arial"/>
                <w:sz w:val="22"/>
                <w:szCs w:val="22"/>
              </w:rPr>
              <w:t xml:space="preserve"> the</w:t>
            </w:r>
            <w:r w:rsidRPr="00FB2F3D">
              <w:rPr>
                <w:rFonts w:ascii="Arial" w:hAnsi="Arial" w:cs="Arial"/>
                <w:sz w:val="22"/>
                <w:szCs w:val="22"/>
              </w:rPr>
              <w:t xml:space="preserve"> </w:t>
            </w:r>
            <w:r w:rsidR="00701C02" w:rsidRPr="00FB2F3D">
              <w:rPr>
                <w:rFonts w:ascii="Arial" w:hAnsi="Arial" w:cs="Arial"/>
                <w:sz w:val="22"/>
                <w:szCs w:val="22"/>
              </w:rPr>
              <w:t>Fund Rules</w:t>
            </w:r>
            <w:r w:rsidRPr="00FB2F3D">
              <w:rPr>
                <w:rFonts w:ascii="Arial" w:hAnsi="Arial" w:cs="Arial"/>
                <w:sz w:val="22"/>
                <w:szCs w:val="22"/>
              </w:rPr>
              <w:t xml:space="preserve"> or the period for filing under the home jurisdiction requirements.</w:t>
            </w:r>
          </w:p>
        </w:tc>
      </w:tr>
      <w:tr w:rsidR="00B1204B" w:rsidRPr="00FB2F3D" w14:paraId="4A0541F0" w14:textId="77777777" w:rsidTr="00BD64B9">
        <w:tc>
          <w:tcPr>
            <w:tcW w:w="648" w:type="dxa"/>
          </w:tcPr>
          <w:p w14:paraId="220B5A05"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28892CA3"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Any change to the accounting reference date.</w:t>
            </w:r>
          </w:p>
        </w:tc>
        <w:tc>
          <w:tcPr>
            <w:tcW w:w="5940" w:type="dxa"/>
          </w:tcPr>
          <w:p w14:paraId="3182333F" w14:textId="72C304B8" w:rsidR="00162E0C" w:rsidRPr="00FB2F3D" w:rsidRDefault="00846BC6"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the previous and new accounting reference date, and reasons for the change.</w:t>
            </w:r>
          </w:p>
        </w:tc>
        <w:tc>
          <w:tcPr>
            <w:tcW w:w="2272" w:type="dxa"/>
          </w:tcPr>
          <w:p w14:paraId="6AF4BD0B"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possible.</w:t>
            </w:r>
          </w:p>
        </w:tc>
      </w:tr>
      <w:tr w:rsidR="00162E0C" w:rsidRPr="00FB2F3D" w14:paraId="36DBEC03" w14:textId="77777777" w:rsidTr="00BD64B9">
        <w:tc>
          <w:tcPr>
            <w:tcW w:w="14170" w:type="dxa"/>
            <w:gridSpan w:val="4"/>
          </w:tcPr>
          <w:p w14:paraId="46BF603D" w14:textId="77777777" w:rsidR="00162E0C" w:rsidRPr="00FB2F3D" w:rsidRDefault="00162E0C" w:rsidP="00755725">
            <w:pPr>
              <w:pStyle w:val="UK12Block"/>
              <w:numPr>
                <w:ilvl w:val="0"/>
                <w:numId w:val="72"/>
              </w:numPr>
              <w:jc w:val="left"/>
              <w:rPr>
                <w:rFonts w:ascii="Arial" w:hAnsi="Arial" w:cs="Arial"/>
                <w:b/>
                <w:sz w:val="22"/>
                <w:szCs w:val="22"/>
              </w:rPr>
            </w:pPr>
            <w:r w:rsidRPr="00FB2F3D">
              <w:rPr>
                <w:rFonts w:ascii="Arial" w:hAnsi="Arial" w:cs="Arial"/>
                <w:b/>
                <w:sz w:val="22"/>
                <w:szCs w:val="22"/>
              </w:rPr>
              <w:t>MATTERS RELATING TO THE CAPITAL OF THE LISTED FUND</w:t>
            </w:r>
          </w:p>
        </w:tc>
      </w:tr>
      <w:tr w:rsidR="00B1204B" w:rsidRPr="00FB2F3D" w14:paraId="64A63A61" w14:textId="77777777" w:rsidTr="00BD64B9">
        <w:tc>
          <w:tcPr>
            <w:tcW w:w="648" w:type="dxa"/>
          </w:tcPr>
          <w:p w14:paraId="2DF9FF7D"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6ACB346D"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Any proposed new issue of Units.</w:t>
            </w:r>
          </w:p>
        </w:tc>
        <w:tc>
          <w:tcPr>
            <w:tcW w:w="5940" w:type="dxa"/>
          </w:tcPr>
          <w:p w14:paraId="10A72785" w14:textId="5B941B7B" w:rsidR="00162E0C" w:rsidRPr="00FB2F3D" w:rsidRDefault="00846BC6"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the class, number and proposed date of the proposed issue.</w:t>
            </w:r>
          </w:p>
        </w:tc>
        <w:tc>
          <w:tcPr>
            <w:tcW w:w="2272" w:type="dxa"/>
          </w:tcPr>
          <w:p w14:paraId="77A3DEC6"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as possible after the decision is made.</w:t>
            </w:r>
          </w:p>
        </w:tc>
      </w:tr>
      <w:tr w:rsidR="00B1204B" w:rsidRPr="00FB2F3D" w14:paraId="0B63CBE2" w14:textId="77777777" w:rsidTr="00BD64B9">
        <w:tc>
          <w:tcPr>
            <w:tcW w:w="648" w:type="dxa"/>
          </w:tcPr>
          <w:p w14:paraId="581A7D2B"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0B40C3F9"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Results of the new issue.</w:t>
            </w:r>
          </w:p>
        </w:tc>
        <w:tc>
          <w:tcPr>
            <w:tcW w:w="5940" w:type="dxa"/>
          </w:tcPr>
          <w:p w14:paraId="4EAAE9C5" w14:textId="008588EA" w:rsidR="00ED4966" w:rsidRPr="00FB2F3D" w:rsidRDefault="00846BC6" w:rsidP="00ED4966">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the results of the issue including total consideration received.</w:t>
            </w:r>
          </w:p>
        </w:tc>
        <w:tc>
          <w:tcPr>
            <w:tcW w:w="2272" w:type="dxa"/>
          </w:tcPr>
          <w:p w14:paraId="0DD6FAE5"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as possible.</w:t>
            </w:r>
          </w:p>
        </w:tc>
      </w:tr>
      <w:tr w:rsidR="00162E0C" w:rsidRPr="00FB2F3D" w14:paraId="75ADC7E1" w14:textId="77777777" w:rsidTr="00BD64B9">
        <w:tc>
          <w:tcPr>
            <w:tcW w:w="14170" w:type="dxa"/>
            <w:gridSpan w:val="4"/>
          </w:tcPr>
          <w:p w14:paraId="0E91426B" w14:textId="77777777" w:rsidR="00162E0C" w:rsidRPr="00FB2F3D" w:rsidRDefault="00162E0C" w:rsidP="00755725">
            <w:pPr>
              <w:pStyle w:val="UK12Block"/>
              <w:numPr>
                <w:ilvl w:val="0"/>
                <w:numId w:val="72"/>
              </w:numPr>
              <w:jc w:val="left"/>
              <w:rPr>
                <w:rFonts w:ascii="Arial" w:hAnsi="Arial" w:cs="Arial"/>
                <w:b/>
                <w:sz w:val="22"/>
                <w:szCs w:val="22"/>
              </w:rPr>
            </w:pPr>
            <w:r w:rsidRPr="00FB2F3D">
              <w:rPr>
                <w:rFonts w:ascii="Arial" w:hAnsi="Arial" w:cs="Arial"/>
                <w:b/>
                <w:sz w:val="22"/>
                <w:szCs w:val="22"/>
              </w:rPr>
              <w:t>TRANSFER SCHEME/WINDING UP OF THE LISTED FUND</w:t>
            </w:r>
          </w:p>
        </w:tc>
      </w:tr>
      <w:tr w:rsidR="00B1204B" w:rsidRPr="00FB2F3D" w14:paraId="4057C74A" w14:textId="77777777" w:rsidTr="00BD64B9">
        <w:tc>
          <w:tcPr>
            <w:tcW w:w="648" w:type="dxa"/>
          </w:tcPr>
          <w:p w14:paraId="26D9E7BE"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109C382C"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In the case of a transfer scheme or winding up of a Listed Fund:</w:t>
            </w:r>
          </w:p>
          <w:p w14:paraId="5423A2C9"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the passing of any resolution by the Listed Fund or any members of the Listed Fund that it be wound up by way of members' or creditors' voluntary winding</w:t>
            </w:r>
            <w:r w:rsidRPr="00FB2F3D">
              <w:rPr>
                <w:rFonts w:ascii="Arial" w:hAnsi="Arial" w:cs="Arial"/>
                <w:sz w:val="22"/>
                <w:szCs w:val="22"/>
              </w:rPr>
              <w:noBreakHyphen/>
              <w:t>up, or the occurrence of any event or termination of any period of time which would cause termination or winding</w:t>
            </w:r>
            <w:r w:rsidRPr="00FB2F3D">
              <w:rPr>
                <w:rFonts w:ascii="Arial" w:hAnsi="Arial" w:cs="Arial"/>
                <w:sz w:val="22"/>
                <w:szCs w:val="22"/>
              </w:rPr>
              <w:noBreakHyphen/>
              <w:t>up of the Fund; and</w:t>
            </w:r>
          </w:p>
          <w:p w14:paraId="7628D8B3"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 xml:space="preserve">either: </w:t>
            </w:r>
          </w:p>
          <w:p w14:paraId="180E4982" w14:textId="77777777" w:rsidR="00B1204B" w:rsidRPr="00FB2F3D" w:rsidRDefault="00162E0C" w:rsidP="00755725">
            <w:pPr>
              <w:pStyle w:val="UK12Block"/>
              <w:numPr>
                <w:ilvl w:val="3"/>
                <w:numId w:val="72"/>
              </w:numPr>
              <w:jc w:val="left"/>
              <w:rPr>
                <w:rFonts w:ascii="Arial" w:hAnsi="Arial" w:cs="Arial"/>
                <w:sz w:val="22"/>
                <w:szCs w:val="22"/>
              </w:rPr>
            </w:pPr>
            <w:r w:rsidRPr="00FB2F3D">
              <w:rPr>
                <w:rFonts w:ascii="Arial" w:hAnsi="Arial" w:cs="Arial"/>
                <w:sz w:val="22"/>
                <w:szCs w:val="22"/>
              </w:rPr>
              <w:t xml:space="preserve">the presentation of the relevant </w:t>
            </w:r>
            <w:r w:rsidR="00447121" w:rsidRPr="00FB2F3D">
              <w:rPr>
                <w:rFonts w:ascii="Arial" w:hAnsi="Arial" w:cs="Arial"/>
                <w:sz w:val="22"/>
                <w:szCs w:val="22"/>
              </w:rPr>
              <w:t>application</w:t>
            </w:r>
            <w:r w:rsidRPr="00FB2F3D">
              <w:rPr>
                <w:rFonts w:ascii="Arial" w:hAnsi="Arial" w:cs="Arial"/>
                <w:sz w:val="22"/>
                <w:szCs w:val="22"/>
              </w:rPr>
              <w:t xml:space="preserve">s made pursuant to the requirements in </w:t>
            </w:r>
            <w:r w:rsidR="00E415BE" w:rsidRPr="00FB2F3D">
              <w:rPr>
                <w:rFonts w:ascii="Arial" w:hAnsi="Arial" w:cs="Arial"/>
                <w:sz w:val="22"/>
                <w:szCs w:val="22"/>
              </w:rPr>
              <w:t xml:space="preserve">the </w:t>
            </w:r>
            <w:r w:rsidR="00701C02" w:rsidRPr="00FB2F3D">
              <w:rPr>
                <w:rFonts w:ascii="Arial" w:hAnsi="Arial" w:cs="Arial"/>
                <w:sz w:val="22"/>
                <w:szCs w:val="22"/>
              </w:rPr>
              <w:t>Fund Rules</w:t>
            </w:r>
            <w:r w:rsidRPr="00FB2F3D">
              <w:rPr>
                <w:rFonts w:ascii="Arial" w:hAnsi="Arial" w:cs="Arial"/>
                <w:sz w:val="22"/>
                <w:szCs w:val="22"/>
              </w:rPr>
              <w:t xml:space="preserve"> in the case of a Domestic Fund; or</w:t>
            </w:r>
          </w:p>
          <w:p w14:paraId="7726CB14" w14:textId="77777777" w:rsidR="00162E0C" w:rsidRPr="00FB2F3D" w:rsidRDefault="00162E0C" w:rsidP="00755725">
            <w:pPr>
              <w:pStyle w:val="UK12Block"/>
              <w:numPr>
                <w:ilvl w:val="3"/>
                <w:numId w:val="72"/>
              </w:numPr>
              <w:jc w:val="left"/>
              <w:rPr>
                <w:rFonts w:ascii="Arial" w:hAnsi="Arial" w:cs="Arial"/>
                <w:sz w:val="22"/>
                <w:szCs w:val="22"/>
              </w:rPr>
            </w:pPr>
            <w:r w:rsidRPr="00FB2F3D">
              <w:rPr>
                <w:rFonts w:ascii="Arial" w:hAnsi="Arial" w:cs="Arial"/>
                <w:sz w:val="22"/>
                <w:szCs w:val="22"/>
              </w:rPr>
              <w:t xml:space="preserve">the </w:t>
            </w:r>
            <w:r w:rsidR="00447121" w:rsidRPr="00FB2F3D">
              <w:rPr>
                <w:rFonts w:ascii="Arial" w:hAnsi="Arial" w:cs="Arial"/>
                <w:sz w:val="22"/>
                <w:szCs w:val="22"/>
              </w:rPr>
              <w:t>application</w:t>
            </w:r>
            <w:r w:rsidRPr="00FB2F3D">
              <w:rPr>
                <w:rFonts w:ascii="Arial" w:hAnsi="Arial" w:cs="Arial"/>
                <w:sz w:val="22"/>
                <w:szCs w:val="22"/>
              </w:rPr>
              <w:t>s made pursuant to the relevant legislation applicable in the home jurisdiction of the Listed Fund in the case of a Foreign Fund.</w:t>
            </w:r>
          </w:p>
        </w:tc>
        <w:tc>
          <w:tcPr>
            <w:tcW w:w="5940" w:type="dxa"/>
          </w:tcPr>
          <w:p w14:paraId="2649A9B7" w14:textId="0702978C" w:rsidR="00162E0C" w:rsidRPr="00FB2F3D" w:rsidRDefault="00846BC6"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the:</w:t>
            </w:r>
          </w:p>
          <w:p w14:paraId="7300973C" w14:textId="77777777" w:rsidR="00B1204B" w:rsidRPr="00FB2F3D" w:rsidRDefault="00162E0C" w:rsidP="00755725">
            <w:pPr>
              <w:pStyle w:val="UK12Block"/>
              <w:numPr>
                <w:ilvl w:val="0"/>
                <w:numId w:val="77"/>
              </w:numPr>
              <w:jc w:val="left"/>
              <w:rPr>
                <w:rFonts w:ascii="Arial" w:hAnsi="Arial" w:cs="Arial"/>
                <w:sz w:val="22"/>
                <w:szCs w:val="22"/>
              </w:rPr>
            </w:pPr>
            <w:r w:rsidRPr="00FB2F3D">
              <w:rPr>
                <w:rFonts w:ascii="Arial" w:hAnsi="Arial" w:cs="Arial"/>
                <w:sz w:val="22"/>
                <w:szCs w:val="22"/>
              </w:rPr>
              <w:t>time and date of the presentation, details of the order, appointment, resolution or other event;</w:t>
            </w:r>
          </w:p>
          <w:p w14:paraId="78B6DD1E" w14:textId="0747C587" w:rsidR="00B1204B" w:rsidRPr="00FB2F3D" w:rsidRDefault="00162E0C" w:rsidP="00755725">
            <w:pPr>
              <w:pStyle w:val="UK12Block"/>
              <w:numPr>
                <w:ilvl w:val="0"/>
                <w:numId w:val="77"/>
              </w:numPr>
              <w:jc w:val="left"/>
              <w:rPr>
                <w:rFonts w:ascii="Arial" w:hAnsi="Arial" w:cs="Arial"/>
                <w:sz w:val="22"/>
                <w:szCs w:val="22"/>
              </w:rPr>
            </w:pPr>
            <w:r w:rsidRPr="00FB2F3D">
              <w:rPr>
                <w:rFonts w:ascii="Arial" w:hAnsi="Arial" w:cs="Arial"/>
                <w:sz w:val="22"/>
                <w:szCs w:val="22"/>
              </w:rPr>
              <w:t xml:space="preserve">identity of the petitioner or other </w:t>
            </w:r>
            <w:r w:rsidR="00846BC6">
              <w:rPr>
                <w:rFonts w:ascii="Arial" w:hAnsi="Arial" w:cs="Arial"/>
                <w:sz w:val="22"/>
                <w:szCs w:val="22"/>
              </w:rPr>
              <w:t>P</w:t>
            </w:r>
            <w:r w:rsidRPr="00FB2F3D">
              <w:rPr>
                <w:rFonts w:ascii="Arial" w:hAnsi="Arial" w:cs="Arial"/>
                <w:sz w:val="22"/>
                <w:szCs w:val="22"/>
              </w:rPr>
              <w:t>erson at whose instigation the event occurs;</w:t>
            </w:r>
          </w:p>
          <w:p w14:paraId="1A4DBFB6" w14:textId="77777777" w:rsidR="00B1204B" w:rsidRPr="00FB2F3D" w:rsidRDefault="00162E0C" w:rsidP="00755725">
            <w:pPr>
              <w:pStyle w:val="UK12Block"/>
              <w:numPr>
                <w:ilvl w:val="0"/>
                <w:numId w:val="77"/>
              </w:numPr>
              <w:jc w:val="left"/>
              <w:rPr>
                <w:rFonts w:ascii="Arial" w:hAnsi="Arial" w:cs="Arial"/>
                <w:sz w:val="22"/>
                <w:szCs w:val="22"/>
              </w:rPr>
            </w:pPr>
            <w:r w:rsidRPr="00FB2F3D">
              <w:rPr>
                <w:rFonts w:ascii="Arial" w:hAnsi="Arial" w:cs="Arial"/>
                <w:sz w:val="22"/>
                <w:szCs w:val="22"/>
              </w:rPr>
              <w:t>the court or tribunal responsible for making any order; or</w:t>
            </w:r>
          </w:p>
          <w:p w14:paraId="33C06DAD" w14:textId="77777777" w:rsidR="00162E0C" w:rsidRPr="00FB2F3D" w:rsidRDefault="00162E0C" w:rsidP="00755725">
            <w:pPr>
              <w:pStyle w:val="UK12Block"/>
              <w:numPr>
                <w:ilvl w:val="0"/>
                <w:numId w:val="77"/>
              </w:numPr>
              <w:jc w:val="left"/>
              <w:rPr>
                <w:rFonts w:ascii="Arial" w:hAnsi="Arial" w:cs="Arial"/>
                <w:sz w:val="22"/>
                <w:szCs w:val="22"/>
              </w:rPr>
            </w:pPr>
            <w:r w:rsidRPr="00FB2F3D">
              <w:rPr>
                <w:rFonts w:ascii="Arial" w:hAnsi="Arial" w:cs="Arial"/>
                <w:sz w:val="22"/>
                <w:szCs w:val="22"/>
              </w:rPr>
              <w:t xml:space="preserve">any </w:t>
            </w:r>
            <w:r w:rsidR="00874479" w:rsidRPr="00FB2F3D">
              <w:rPr>
                <w:rFonts w:ascii="Arial" w:hAnsi="Arial" w:cs="Arial"/>
                <w:sz w:val="22"/>
                <w:szCs w:val="22"/>
              </w:rPr>
              <w:t>Administrator</w:t>
            </w:r>
            <w:r w:rsidRPr="00FB2F3D">
              <w:rPr>
                <w:rFonts w:ascii="Arial" w:hAnsi="Arial" w:cs="Arial"/>
                <w:sz w:val="22"/>
                <w:szCs w:val="22"/>
              </w:rPr>
              <w:t xml:space="preserve"> or liquidator </w:t>
            </w:r>
            <w:r w:rsidR="00EE4C51" w:rsidRPr="00FB2F3D">
              <w:rPr>
                <w:rFonts w:ascii="Arial" w:hAnsi="Arial" w:cs="Arial"/>
                <w:sz w:val="22"/>
                <w:szCs w:val="22"/>
              </w:rPr>
              <w:t>appointed</w:t>
            </w:r>
            <w:r w:rsidRPr="00FB2F3D">
              <w:rPr>
                <w:rFonts w:ascii="Arial" w:hAnsi="Arial" w:cs="Arial"/>
                <w:sz w:val="22"/>
                <w:szCs w:val="22"/>
              </w:rPr>
              <w:t>.</w:t>
            </w:r>
          </w:p>
        </w:tc>
        <w:tc>
          <w:tcPr>
            <w:tcW w:w="2272" w:type="dxa"/>
          </w:tcPr>
          <w:p w14:paraId="783C6767"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as possible.</w:t>
            </w:r>
          </w:p>
        </w:tc>
      </w:tr>
      <w:tr w:rsidR="00162E0C" w:rsidRPr="00FB2F3D" w14:paraId="4BE3BECB" w14:textId="77777777" w:rsidTr="00BD64B9">
        <w:tc>
          <w:tcPr>
            <w:tcW w:w="14170" w:type="dxa"/>
            <w:gridSpan w:val="4"/>
          </w:tcPr>
          <w:p w14:paraId="028538E1" w14:textId="77777777" w:rsidR="00162E0C" w:rsidRPr="00FB2F3D" w:rsidRDefault="00162E0C" w:rsidP="00755725">
            <w:pPr>
              <w:pStyle w:val="UK12Block"/>
              <w:numPr>
                <w:ilvl w:val="0"/>
                <w:numId w:val="72"/>
              </w:numPr>
              <w:jc w:val="left"/>
              <w:rPr>
                <w:rFonts w:ascii="Arial" w:hAnsi="Arial" w:cs="Arial"/>
                <w:b/>
                <w:sz w:val="22"/>
                <w:szCs w:val="22"/>
              </w:rPr>
            </w:pPr>
            <w:r w:rsidRPr="00FB2F3D">
              <w:rPr>
                <w:rFonts w:ascii="Arial" w:hAnsi="Arial" w:cs="Arial"/>
                <w:b/>
                <w:sz w:val="22"/>
                <w:szCs w:val="22"/>
              </w:rPr>
              <w:t>OTHER DISCLOSURES RELATING TO THE LISTED FUND</w:t>
            </w:r>
          </w:p>
        </w:tc>
      </w:tr>
      <w:tr w:rsidR="00B1204B" w:rsidRPr="00FB2F3D" w14:paraId="3C2F3F95" w14:textId="77777777" w:rsidTr="00BD64B9">
        <w:tc>
          <w:tcPr>
            <w:tcW w:w="648" w:type="dxa"/>
          </w:tcPr>
          <w:p w14:paraId="7B1B4E48"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61971D82"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 change to the legal structure of the Listed Fund (unless it is required to be disclosed under 2.3 or 2.4).</w:t>
            </w:r>
          </w:p>
        </w:tc>
        <w:tc>
          <w:tcPr>
            <w:tcW w:w="5940" w:type="dxa"/>
          </w:tcPr>
          <w:p w14:paraId="7D540014" w14:textId="0AA436FE" w:rsidR="00162E0C" w:rsidRPr="00FB2F3D" w:rsidRDefault="00846BC6"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any proposed change.</w:t>
            </w:r>
          </w:p>
        </w:tc>
        <w:tc>
          <w:tcPr>
            <w:tcW w:w="2272" w:type="dxa"/>
          </w:tcPr>
          <w:p w14:paraId="1A940923"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as possible.</w:t>
            </w:r>
          </w:p>
        </w:tc>
      </w:tr>
      <w:tr w:rsidR="00B1204B" w:rsidRPr="00FB2F3D" w14:paraId="50EBB8C7" w14:textId="77777777" w:rsidTr="00BD64B9">
        <w:tc>
          <w:tcPr>
            <w:tcW w:w="648" w:type="dxa"/>
          </w:tcPr>
          <w:p w14:paraId="7BA715FC"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5403631A"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 change in fees (including management fees by whatever named called) or charges imposed on holders of Units.</w:t>
            </w:r>
          </w:p>
        </w:tc>
        <w:tc>
          <w:tcPr>
            <w:tcW w:w="5940" w:type="dxa"/>
          </w:tcPr>
          <w:p w14:paraId="20FDAE58" w14:textId="67AEE508" w:rsidR="00162E0C" w:rsidRPr="00FB2F3D" w:rsidRDefault="00846BC6"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any change in the fee structure of a Listed Fund.</w:t>
            </w:r>
          </w:p>
        </w:tc>
        <w:tc>
          <w:tcPr>
            <w:tcW w:w="2272" w:type="dxa"/>
          </w:tcPr>
          <w:p w14:paraId="3F162DE6"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as possible.</w:t>
            </w:r>
          </w:p>
        </w:tc>
      </w:tr>
      <w:tr w:rsidR="00B1204B" w:rsidRPr="00FB2F3D" w14:paraId="09497871" w14:textId="77777777" w:rsidTr="00BD64B9">
        <w:tc>
          <w:tcPr>
            <w:tcW w:w="648" w:type="dxa"/>
          </w:tcPr>
          <w:p w14:paraId="7E1C9D87"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2AD4522F"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 change in the investment management of the Listed Fund.</w:t>
            </w:r>
          </w:p>
        </w:tc>
        <w:tc>
          <w:tcPr>
            <w:tcW w:w="5940" w:type="dxa"/>
          </w:tcPr>
          <w:p w14:paraId="2E619E95" w14:textId="689C6C7A" w:rsidR="00162E0C" w:rsidRPr="00FB2F3D" w:rsidRDefault="00846BC6"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any proposed change in the investment management of the Listed Fund.</w:t>
            </w:r>
          </w:p>
        </w:tc>
        <w:tc>
          <w:tcPr>
            <w:tcW w:w="2272" w:type="dxa"/>
          </w:tcPr>
          <w:p w14:paraId="720D74DF"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As soon as possible.</w:t>
            </w:r>
          </w:p>
        </w:tc>
      </w:tr>
      <w:tr w:rsidR="00B1204B" w:rsidRPr="00FB2F3D" w14:paraId="573552BC" w14:textId="77777777" w:rsidTr="00BD64B9">
        <w:tc>
          <w:tcPr>
            <w:tcW w:w="648" w:type="dxa"/>
          </w:tcPr>
          <w:p w14:paraId="629E2A0A"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68BFBB2A" w14:textId="77777777" w:rsidR="00162E0C" w:rsidRPr="00FB2F3D" w:rsidRDefault="00162E0C" w:rsidP="00C57656">
            <w:pPr>
              <w:pStyle w:val="UK12Block"/>
              <w:jc w:val="left"/>
              <w:rPr>
                <w:rFonts w:ascii="Arial" w:hAnsi="Arial" w:cs="Arial"/>
                <w:sz w:val="22"/>
                <w:szCs w:val="22"/>
              </w:rPr>
            </w:pPr>
            <w:r w:rsidRPr="00FB2F3D">
              <w:rPr>
                <w:rFonts w:ascii="Arial" w:hAnsi="Arial" w:cs="Arial"/>
                <w:sz w:val="22"/>
                <w:szCs w:val="22"/>
              </w:rPr>
              <w:t xml:space="preserve">Any closure of the Listed Fund's register of </w:t>
            </w:r>
            <w:r w:rsidR="00C57656" w:rsidRPr="00FB2F3D">
              <w:rPr>
                <w:rFonts w:ascii="Arial" w:hAnsi="Arial" w:cs="Arial"/>
                <w:sz w:val="22"/>
                <w:szCs w:val="22"/>
              </w:rPr>
              <w:t>Unit</w:t>
            </w:r>
            <w:r w:rsidRPr="00FB2F3D">
              <w:rPr>
                <w:rFonts w:ascii="Arial" w:hAnsi="Arial" w:cs="Arial"/>
                <w:sz w:val="22"/>
                <w:szCs w:val="22"/>
              </w:rPr>
              <w:t>holders.</w:t>
            </w:r>
          </w:p>
        </w:tc>
        <w:tc>
          <w:tcPr>
            <w:tcW w:w="5940" w:type="dxa"/>
          </w:tcPr>
          <w:p w14:paraId="1E7C2BED" w14:textId="4B0E8D9F" w:rsidR="00162E0C" w:rsidRPr="00FB2F3D" w:rsidRDefault="00846BC6"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the closure.</w:t>
            </w:r>
          </w:p>
        </w:tc>
        <w:tc>
          <w:tcPr>
            <w:tcW w:w="2272" w:type="dxa"/>
          </w:tcPr>
          <w:p w14:paraId="1CADEBA1" w14:textId="4B3A54A5"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 xml:space="preserve">At least </w:t>
            </w:r>
            <w:r w:rsidR="00846BC6">
              <w:rPr>
                <w:rFonts w:ascii="Arial" w:hAnsi="Arial" w:cs="Arial"/>
                <w:sz w:val="22"/>
                <w:szCs w:val="22"/>
              </w:rPr>
              <w:t>ten Business D</w:t>
            </w:r>
            <w:r w:rsidRPr="00FB2F3D">
              <w:rPr>
                <w:rFonts w:ascii="Arial" w:hAnsi="Arial" w:cs="Arial"/>
                <w:sz w:val="22"/>
                <w:szCs w:val="22"/>
              </w:rPr>
              <w:t>ays before the closure.</w:t>
            </w:r>
          </w:p>
        </w:tc>
      </w:tr>
      <w:tr w:rsidR="00B1204B" w:rsidRPr="00FB2F3D" w14:paraId="6F4A5800" w14:textId="77777777" w:rsidTr="00BD64B9">
        <w:tc>
          <w:tcPr>
            <w:tcW w:w="648" w:type="dxa"/>
          </w:tcPr>
          <w:p w14:paraId="33B3C892"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13224D74" w14:textId="77777777" w:rsidR="00162E0C" w:rsidRPr="00FB2F3D" w:rsidRDefault="00162E0C" w:rsidP="00C57656">
            <w:pPr>
              <w:pStyle w:val="UK12Block"/>
              <w:jc w:val="left"/>
              <w:rPr>
                <w:rFonts w:ascii="Arial" w:hAnsi="Arial" w:cs="Arial"/>
                <w:sz w:val="22"/>
                <w:szCs w:val="22"/>
              </w:rPr>
            </w:pPr>
            <w:r w:rsidRPr="00FB2F3D">
              <w:rPr>
                <w:rFonts w:ascii="Arial" w:hAnsi="Arial" w:cs="Arial"/>
                <w:sz w:val="22"/>
                <w:szCs w:val="22"/>
              </w:rPr>
              <w:t xml:space="preserve">Any meeting of </w:t>
            </w:r>
            <w:r w:rsidR="00C57656" w:rsidRPr="00FB2F3D">
              <w:rPr>
                <w:rFonts w:ascii="Arial" w:hAnsi="Arial" w:cs="Arial"/>
                <w:sz w:val="22"/>
                <w:szCs w:val="22"/>
              </w:rPr>
              <w:t>Unit</w:t>
            </w:r>
            <w:r w:rsidRPr="00FB2F3D">
              <w:rPr>
                <w:rFonts w:ascii="Arial" w:hAnsi="Arial" w:cs="Arial"/>
                <w:sz w:val="22"/>
                <w:szCs w:val="22"/>
              </w:rPr>
              <w:t>holders.</w:t>
            </w:r>
            <w:r w:rsidRPr="00FB2F3D">
              <w:rPr>
                <w:rFonts w:ascii="Arial" w:hAnsi="Arial" w:cs="Arial"/>
                <w:sz w:val="22"/>
                <w:szCs w:val="22"/>
              </w:rPr>
              <w:tab/>
            </w:r>
          </w:p>
        </w:tc>
        <w:tc>
          <w:tcPr>
            <w:tcW w:w="5940" w:type="dxa"/>
          </w:tcPr>
          <w:p w14:paraId="26020866" w14:textId="48A1D401" w:rsidR="00162E0C" w:rsidRPr="00FB2F3D" w:rsidRDefault="00846BC6"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notice.</w:t>
            </w:r>
          </w:p>
        </w:tc>
        <w:tc>
          <w:tcPr>
            <w:tcW w:w="2272" w:type="dxa"/>
          </w:tcPr>
          <w:p w14:paraId="3708FFCE" w14:textId="77777777" w:rsidR="00162E0C" w:rsidRPr="00FB2F3D" w:rsidRDefault="00162E0C" w:rsidP="00C57656">
            <w:pPr>
              <w:pStyle w:val="UK12Block"/>
              <w:jc w:val="left"/>
              <w:rPr>
                <w:rFonts w:ascii="Arial" w:hAnsi="Arial" w:cs="Arial"/>
                <w:sz w:val="22"/>
                <w:szCs w:val="22"/>
              </w:rPr>
            </w:pPr>
            <w:r w:rsidRPr="00FB2F3D">
              <w:rPr>
                <w:rFonts w:ascii="Arial" w:hAnsi="Arial" w:cs="Arial"/>
                <w:sz w:val="22"/>
                <w:szCs w:val="22"/>
              </w:rPr>
              <w:t xml:space="preserve">At the same time as such notice is sent to </w:t>
            </w:r>
            <w:r w:rsidR="00C57656" w:rsidRPr="00FB2F3D">
              <w:rPr>
                <w:rFonts w:ascii="Arial" w:hAnsi="Arial" w:cs="Arial"/>
                <w:sz w:val="22"/>
                <w:szCs w:val="22"/>
              </w:rPr>
              <w:t>Unitholders</w:t>
            </w:r>
            <w:r w:rsidRPr="00FB2F3D">
              <w:rPr>
                <w:rFonts w:ascii="Arial" w:hAnsi="Arial" w:cs="Arial"/>
                <w:sz w:val="22"/>
                <w:szCs w:val="22"/>
              </w:rPr>
              <w:t>.</w:t>
            </w:r>
          </w:p>
        </w:tc>
      </w:tr>
      <w:tr w:rsidR="00B1204B" w:rsidRPr="00FB2F3D" w14:paraId="64D561F3" w14:textId="77777777" w:rsidTr="00BD64B9">
        <w:tc>
          <w:tcPr>
            <w:tcW w:w="648" w:type="dxa"/>
          </w:tcPr>
          <w:p w14:paraId="121EF3DC"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487DFC23" w14:textId="77777777" w:rsidR="00162E0C" w:rsidRPr="00FB2F3D" w:rsidRDefault="00162E0C" w:rsidP="00C57656">
            <w:pPr>
              <w:pStyle w:val="UK12Block"/>
              <w:jc w:val="left"/>
              <w:rPr>
                <w:rFonts w:ascii="Arial" w:hAnsi="Arial" w:cs="Arial"/>
                <w:sz w:val="22"/>
                <w:szCs w:val="22"/>
              </w:rPr>
            </w:pPr>
            <w:r w:rsidRPr="00FB2F3D">
              <w:rPr>
                <w:rFonts w:ascii="Arial" w:hAnsi="Arial" w:cs="Arial"/>
                <w:sz w:val="22"/>
                <w:szCs w:val="22"/>
              </w:rPr>
              <w:t xml:space="preserve">The final timetable for any proposed action affecting the rights of existing holders of its </w:t>
            </w:r>
            <w:r w:rsidR="00C57656" w:rsidRPr="00FB2F3D">
              <w:rPr>
                <w:rFonts w:ascii="Arial" w:hAnsi="Arial" w:cs="Arial"/>
                <w:sz w:val="22"/>
                <w:szCs w:val="22"/>
              </w:rPr>
              <w:t xml:space="preserve">Units </w:t>
            </w:r>
            <w:r w:rsidRPr="00FB2F3D">
              <w:rPr>
                <w:rFonts w:ascii="Arial" w:hAnsi="Arial" w:cs="Arial"/>
                <w:sz w:val="22"/>
                <w:szCs w:val="22"/>
              </w:rPr>
              <w:t>.</w:t>
            </w:r>
          </w:p>
        </w:tc>
        <w:tc>
          <w:tcPr>
            <w:tcW w:w="5940" w:type="dxa"/>
          </w:tcPr>
          <w:p w14:paraId="243EB3EB" w14:textId="4FDD8565" w:rsidR="00162E0C" w:rsidRPr="00FB2F3D" w:rsidRDefault="00846BC6"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w:t>
            </w:r>
            <w:r>
              <w:rPr>
                <w:rFonts w:ascii="Arial" w:hAnsi="Arial" w:cs="Arial"/>
                <w:sz w:val="22"/>
                <w:szCs w:val="22"/>
              </w:rPr>
              <w:t xml:space="preserve"> of the timetable</w:t>
            </w:r>
            <w:r w:rsidR="00162E0C" w:rsidRPr="00FB2F3D">
              <w:rPr>
                <w:rFonts w:ascii="Arial" w:hAnsi="Arial" w:cs="Arial"/>
                <w:sz w:val="22"/>
                <w:szCs w:val="22"/>
              </w:rPr>
              <w:t>.</w:t>
            </w:r>
          </w:p>
        </w:tc>
        <w:tc>
          <w:tcPr>
            <w:tcW w:w="2272" w:type="dxa"/>
          </w:tcPr>
          <w:p w14:paraId="1488F2C0"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t xml:space="preserve">As soon as possible after finalisation of the timetable with the </w:t>
            </w:r>
            <w:r w:rsidR="0035335F" w:rsidRPr="00FB2F3D">
              <w:rPr>
                <w:rFonts w:ascii="Arial" w:hAnsi="Arial" w:cs="Arial"/>
                <w:sz w:val="22"/>
                <w:szCs w:val="22"/>
              </w:rPr>
              <w:t>Regulator</w:t>
            </w:r>
            <w:r w:rsidRPr="00FB2F3D">
              <w:rPr>
                <w:rFonts w:ascii="Arial" w:hAnsi="Arial" w:cs="Arial"/>
                <w:sz w:val="22"/>
                <w:szCs w:val="22"/>
              </w:rPr>
              <w:t>.</w:t>
            </w:r>
          </w:p>
        </w:tc>
      </w:tr>
      <w:tr w:rsidR="00B1204B" w:rsidRPr="00FB2F3D" w14:paraId="54A283C9" w14:textId="77777777" w:rsidTr="00BD64B9">
        <w:tc>
          <w:tcPr>
            <w:tcW w:w="648" w:type="dxa"/>
          </w:tcPr>
          <w:p w14:paraId="691B9BF0" w14:textId="77777777" w:rsidR="00162E0C" w:rsidRPr="00FB2F3D" w:rsidRDefault="00162E0C" w:rsidP="00755725">
            <w:pPr>
              <w:pStyle w:val="UK12Block"/>
              <w:numPr>
                <w:ilvl w:val="1"/>
                <w:numId w:val="72"/>
              </w:numPr>
              <w:jc w:val="left"/>
              <w:rPr>
                <w:rFonts w:ascii="Arial" w:hAnsi="Arial" w:cs="Arial"/>
                <w:b/>
                <w:sz w:val="22"/>
                <w:szCs w:val="22"/>
              </w:rPr>
            </w:pPr>
          </w:p>
        </w:tc>
        <w:tc>
          <w:tcPr>
            <w:tcW w:w="5310" w:type="dxa"/>
          </w:tcPr>
          <w:p w14:paraId="633A3F45" w14:textId="77777777" w:rsidR="00162E0C" w:rsidRPr="00FB2F3D" w:rsidRDefault="00162E0C" w:rsidP="00C57656">
            <w:pPr>
              <w:pStyle w:val="UK12Block"/>
              <w:jc w:val="left"/>
              <w:rPr>
                <w:rFonts w:ascii="Arial" w:hAnsi="Arial" w:cs="Arial"/>
                <w:sz w:val="22"/>
                <w:szCs w:val="22"/>
              </w:rPr>
            </w:pPr>
            <w:r w:rsidRPr="00FB2F3D">
              <w:rPr>
                <w:rFonts w:ascii="Arial" w:hAnsi="Arial" w:cs="Arial"/>
                <w:sz w:val="22"/>
                <w:szCs w:val="22"/>
              </w:rPr>
              <w:t xml:space="preserve">Changes to rights attaching to </w:t>
            </w:r>
            <w:r w:rsidR="00C57656" w:rsidRPr="00FB2F3D">
              <w:rPr>
                <w:rFonts w:ascii="Arial" w:hAnsi="Arial" w:cs="Arial"/>
                <w:sz w:val="22"/>
                <w:szCs w:val="22"/>
              </w:rPr>
              <w:t xml:space="preserve">Units </w:t>
            </w:r>
            <w:r w:rsidRPr="00FB2F3D">
              <w:rPr>
                <w:rFonts w:ascii="Arial" w:hAnsi="Arial" w:cs="Arial"/>
                <w:sz w:val="22"/>
                <w:szCs w:val="22"/>
              </w:rPr>
              <w:t xml:space="preserve">or other </w:t>
            </w:r>
            <w:r w:rsidR="004B46BD" w:rsidRPr="00FB2F3D">
              <w:rPr>
                <w:rFonts w:ascii="Arial" w:hAnsi="Arial" w:cs="Arial"/>
                <w:sz w:val="22"/>
                <w:szCs w:val="22"/>
              </w:rPr>
              <w:t>Securities</w:t>
            </w:r>
            <w:r w:rsidRPr="00FB2F3D">
              <w:rPr>
                <w:rFonts w:ascii="Arial" w:hAnsi="Arial" w:cs="Arial"/>
                <w:sz w:val="22"/>
                <w:szCs w:val="22"/>
              </w:rPr>
              <w:t xml:space="preserve"> into which they convert.</w:t>
            </w:r>
          </w:p>
        </w:tc>
        <w:tc>
          <w:tcPr>
            <w:tcW w:w="5940" w:type="dxa"/>
          </w:tcPr>
          <w:p w14:paraId="4C9A2849" w14:textId="54F879E9" w:rsidR="00162E0C" w:rsidRPr="00FB2F3D" w:rsidRDefault="00B03204" w:rsidP="00BD64B9">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 xml:space="preserve">isclosure of: </w:t>
            </w:r>
          </w:p>
          <w:p w14:paraId="510859C7"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 xml:space="preserve">the class of </w:t>
            </w:r>
            <w:r w:rsidR="004B46BD" w:rsidRPr="00FB2F3D">
              <w:rPr>
                <w:rFonts w:ascii="Arial" w:hAnsi="Arial" w:cs="Arial"/>
                <w:sz w:val="22"/>
                <w:szCs w:val="22"/>
              </w:rPr>
              <w:t>Securities</w:t>
            </w:r>
            <w:r w:rsidRPr="00FB2F3D">
              <w:rPr>
                <w:rFonts w:ascii="Arial" w:hAnsi="Arial" w:cs="Arial"/>
                <w:sz w:val="22"/>
                <w:szCs w:val="22"/>
              </w:rPr>
              <w:t xml:space="preserve"> to which the changes apply;</w:t>
            </w:r>
          </w:p>
          <w:p w14:paraId="4868F84A"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the date on which the changes become effective;</w:t>
            </w:r>
          </w:p>
          <w:p w14:paraId="7E0A1648" w14:textId="77777777" w:rsidR="00B1204B"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 xml:space="preserve">confirmation that consent of the holders of the </w:t>
            </w:r>
            <w:r w:rsidR="004B46BD" w:rsidRPr="00FB2F3D">
              <w:rPr>
                <w:rFonts w:ascii="Arial" w:hAnsi="Arial" w:cs="Arial"/>
                <w:sz w:val="22"/>
                <w:szCs w:val="22"/>
              </w:rPr>
              <w:t>Securities</w:t>
            </w:r>
            <w:r w:rsidRPr="00FB2F3D">
              <w:rPr>
                <w:rFonts w:ascii="Arial" w:hAnsi="Arial" w:cs="Arial"/>
                <w:sz w:val="22"/>
                <w:szCs w:val="22"/>
              </w:rPr>
              <w:t xml:space="preserve"> (and any other holders of </w:t>
            </w:r>
            <w:r w:rsidR="00706804" w:rsidRPr="00FB2F3D">
              <w:rPr>
                <w:rFonts w:ascii="Arial" w:hAnsi="Arial" w:cs="Arial"/>
                <w:sz w:val="22"/>
                <w:szCs w:val="22"/>
              </w:rPr>
              <w:t xml:space="preserve">Relevant </w:t>
            </w:r>
            <w:r w:rsidR="004B46BD" w:rsidRPr="00FB2F3D">
              <w:rPr>
                <w:rFonts w:ascii="Arial" w:hAnsi="Arial" w:cs="Arial"/>
                <w:sz w:val="22"/>
                <w:szCs w:val="22"/>
              </w:rPr>
              <w:lastRenderedPageBreak/>
              <w:t>Securities</w:t>
            </w:r>
            <w:r w:rsidRPr="00FB2F3D">
              <w:rPr>
                <w:rFonts w:ascii="Arial" w:hAnsi="Arial" w:cs="Arial"/>
                <w:sz w:val="22"/>
                <w:szCs w:val="22"/>
              </w:rPr>
              <w:t>) has been obtained and the date that such consent was obtained; and</w:t>
            </w:r>
          </w:p>
          <w:p w14:paraId="6405BB78" w14:textId="77777777" w:rsidR="00162E0C" w:rsidRPr="00FB2F3D" w:rsidRDefault="00162E0C" w:rsidP="00755725">
            <w:pPr>
              <w:pStyle w:val="UK12Block"/>
              <w:numPr>
                <w:ilvl w:val="2"/>
                <w:numId w:val="72"/>
              </w:numPr>
              <w:jc w:val="left"/>
              <w:rPr>
                <w:rFonts w:ascii="Arial" w:hAnsi="Arial" w:cs="Arial"/>
                <w:sz w:val="22"/>
                <w:szCs w:val="22"/>
              </w:rPr>
            </w:pPr>
            <w:r w:rsidRPr="00FB2F3D">
              <w:rPr>
                <w:rFonts w:ascii="Arial" w:hAnsi="Arial" w:cs="Arial"/>
                <w:sz w:val="22"/>
                <w:szCs w:val="22"/>
              </w:rPr>
              <w:t>a summary of the changes.</w:t>
            </w:r>
          </w:p>
        </w:tc>
        <w:tc>
          <w:tcPr>
            <w:tcW w:w="2272" w:type="dxa"/>
          </w:tcPr>
          <w:p w14:paraId="4AF5D96A" w14:textId="77777777" w:rsidR="00162E0C" w:rsidRPr="00FB2F3D" w:rsidRDefault="00162E0C" w:rsidP="00BD64B9">
            <w:pPr>
              <w:pStyle w:val="UK12Block"/>
              <w:jc w:val="left"/>
              <w:rPr>
                <w:rFonts w:ascii="Arial" w:hAnsi="Arial" w:cs="Arial"/>
                <w:sz w:val="22"/>
                <w:szCs w:val="22"/>
              </w:rPr>
            </w:pPr>
            <w:r w:rsidRPr="00FB2F3D">
              <w:rPr>
                <w:rFonts w:ascii="Arial" w:hAnsi="Arial" w:cs="Arial"/>
                <w:sz w:val="22"/>
                <w:szCs w:val="22"/>
              </w:rPr>
              <w:lastRenderedPageBreak/>
              <w:t>As soon as possible.</w:t>
            </w:r>
          </w:p>
        </w:tc>
      </w:tr>
    </w:tbl>
    <w:p w14:paraId="79A68C69" w14:textId="77777777" w:rsidR="00162E0C" w:rsidRPr="00FB2F3D" w:rsidRDefault="00162E0C" w:rsidP="00277917">
      <w:pPr>
        <w:pStyle w:val="UK12Block"/>
        <w:rPr>
          <w:rFonts w:ascii="Arial" w:hAnsi="Arial" w:cs="Arial"/>
          <w:sz w:val="22"/>
          <w:szCs w:val="22"/>
        </w:rPr>
      </w:pPr>
      <w:bookmarkStart w:id="947" w:name="_Ref410051790"/>
      <w:bookmarkStart w:id="948" w:name="_Toc410136279"/>
    </w:p>
    <w:p w14:paraId="0565828C" w14:textId="77777777" w:rsidR="00277917" w:rsidRPr="00FB2F3D" w:rsidRDefault="00277917" w:rsidP="00277917">
      <w:pPr>
        <w:pStyle w:val="UK12Block"/>
        <w:rPr>
          <w:rFonts w:ascii="Arial" w:hAnsi="Arial" w:cs="Arial"/>
          <w:b/>
          <w:bCs/>
          <w:iCs/>
          <w:color w:val="010000"/>
          <w:sz w:val="22"/>
          <w:szCs w:val="22"/>
          <w:lang w:eastAsia="ja-JP"/>
        </w:rPr>
        <w:sectPr w:rsidR="00277917" w:rsidRPr="00FB2F3D" w:rsidSect="00695527">
          <w:pgSz w:w="16834" w:h="11909" w:orient="landscape" w:code="9"/>
          <w:pgMar w:top="1440" w:right="1440" w:bottom="1440" w:left="1440" w:header="720" w:footer="720" w:gutter="0"/>
          <w:cols w:space="720"/>
          <w:docGrid w:linePitch="360"/>
        </w:sectPr>
      </w:pPr>
    </w:p>
    <w:p w14:paraId="224DE5A4" w14:textId="77777777" w:rsidR="00162E0C" w:rsidRPr="00FB2F3D" w:rsidRDefault="00A65187" w:rsidP="00277917">
      <w:pPr>
        <w:pStyle w:val="S2Heading1"/>
        <w:rPr>
          <w:rFonts w:ascii="Arial" w:hAnsi="Arial" w:cs="Arial"/>
          <w:sz w:val="22"/>
          <w:szCs w:val="22"/>
        </w:rPr>
      </w:pPr>
      <w:bookmarkStart w:id="949" w:name="_Toc410605990"/>
      <w:bookmarkStart w:id="950" w:name="_Toc410658926"/>
      <w:bookmarkStart w:id="951" w:name="_Toc410659062"/>
      <w:bookmarkStart w:id="952" w:name="_Ref410664706"/>
      <w:bookmarkStart w:id="953" w:name="_Ref410666982"/>
      <w:bookmarkStart w:id="954" w:name="_Ref410667156"/>
      <w:bookmarkStart w:id="955" w:name="_Toc410835598"/>
      <w:bookmarkStart w:id="956" w:name="_Ref416750466"/>
      <w:bookmarkStart w:id="957" w:name="_Ref416751542"/>
      <w:bookmarkStart w:id="958" w:name="_Ref416751570"/>
      <w:bookmarkStart w:id="959" w:name="_Toc138325747"/>
      <w:r w:rsidRPr="00FB2F3D">
        <w:rPr>
          <w:rFonts w:ascii="Arial" w:hAnsi="Arial" w:cs="Arial"/>
          <w:sz w:val="22"/>
          <w:szCs w:val="22"/>
        </w:rPr>
        <w:lastRenderedPageBreak/>
        <w:t>CORPORATE GOVERNANCE</w:t>
      </w:r>
      <w:r w:rsidR="00162E0C" w:rsidRPr="00FB2F3D">
        <w:rPr>
          <w:rFonts w:ascii="Arial" w:hAnsi="Arial" w:cs="Arial"/>
          <w:sz w:val="22"/>
          <w:szCs w:val="22"/>
        </w:rPr>
        <w:t xml:space="preserve"> BEST PRACTICE STANDARDS</w:t>
      </w:r>
      <w:bookmarkEnd w:id="947"/>
      <w:bookmarkEnd w:id="948"/>
      <w:bookmarkEnd w:id="949"/>
      <w:bookmarkEnd w:id="950"/>
      <w:bookmarkEnd w:id="951"/>
      <w:bookmarkEnd w:id="952"/>
      <w:bookmarkEnd w:id="953"/>
      <w:bookmarkEnd w:id="954"/>
      <w:bookmarkEnd w:id="955"/>
      <w:bookmarkEnd w:id="956"/>
      <w:bookmarkEnd w:id="957"/>
      <w:bookmarkEnd w:id="958"/>
      <w:bookmarkEnd w:id="959"/>
    </w:p>
    <w:p w14:paraId="216F8192" w14:textId="77777777" w:rsidR="00162E0C" w:rsidRPr="00FB2F3D" w:rsidRDefault="00162E0C" w:rsidP="00277917">
      <w:pPr>
        <w:pStyle w:val="TitleL"/>
        <w:rPr>
          <w:rFonts w:ascii="Arial" w:hAnsi="Arial" w:cs="Arial"/>
          <w:sz w:val="22"/>
          <w:szCs w:val="22"/>
        </w:rPr>
      </w:pPr>
      <w:r w:rsidRPr="00FB2F3D">
        <w:rPr>
          <w:rFonts w:ascii="Arial" w:hAnsi="Arial" w:cs="Arial"/>
          <w:sz w:val="22"/>
          <w:szCs w:val="22"/>
        </w:rPr>
        <w:t>General</w:t>
      </w:r>
    </w:p>
    <w:p w14:paraId="4DCA9255" w14:textId="2065BDA9"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This Appendix sets out, by way of Guidance, best practice standards relevant to each of the </w:t>
      </w:r>
      <w:r w:rsidR="00A65187" w:rsidRPr="00FB2F3D">
        <w:rPr>
          <w:rFonts w:ascii="Arial" w:hAnsi="Arial" w:cs="Arial"/>
          <w:sz w:val="22"/>
          <w:szCs w:val="22"/>
        </w:rPr>
        <w:t>Corporate Governance</w:t>
      </w:r>
      <w:r w:rsidR="00EE4E6B" w:rsidRPr="00FB2F3D">
        <w:rPr>
          <w:rFonts w:ascii="Arial" w:hAnsi="Arial" w:cs="Arial"/>
          <w:sz w:val="22"/>
          <w:szCs w:val="22"/>
        </w:rPr>
        <w:t xml:space="preserve"> Principles</w:t>
      </w:r>
      <w:r w:rsidRPr="00FB2F3D">
        <w:rPr>
          <w:rFonts w:ascii="Arial" w:hAnsi="Arial" w:cs="Arial"/>
          <w:sz w:val="22"/>
          <w:szCs w:val="22"/>
        </w:rPr>
        <w:t xml:space="preserve"> (the "</w:t>
      </w:r>
      <w:r w:rsidRPr="00FB2F3D">
        <w:rPr>
          <w:rFonts w:ascii="Arial" w:hAnsi="Arial" w:cs="Arial"/>
          <w:b/>
          <w:sz w:val="22"/>
          <w:szCs w:val="22"/>
        </w:rPr>
        <w:t>Principles</w:t>
      </w:r>
      <w:r w:rsidRPr="00FB2F3D">
        <w:rPr>
          <w:rFonts w:ascii="Arial" w:hAnsi="Arial" w:cs="Arial"/>
          <w:sz w:val="22"/>
          <w:szCs w:val="22"/>
        </w:rPr>
        <w:t>") set out in Rule </w:t>
      </w:r>
      <w:r w:rsidR="00693841" w:rsidRPr="00FB2F3D">
        <w:rPr>
          <w:rFonts w:ascii="Arial" w:hAnsi="Arial" w:cs="Arial"/>
          <w:sz w:val="22"/>
          <w:szCs w:val="22"/>
        </w:rPr>
        <w:t>9.2</w:t>
      </w:r>
      <w:r w:rsidRPr="00FB2F3D">
        <w:rPr>
          <w:rFonts w:ascii="Arial" w:hAnsi="Arial" w:cs="Arial"/>
          <w:sz w:val="22"/>
          <w:szCs w:val="22"/>
        </w:rPr>
        <w:t>. While the Principles have the status of Rule</w:t>
      </w:r>
      <w:r w:rsidR="005A10A6" w:rsidRPr="00FB2F3D">
        <w:rPr>
          <w:rFonts w:ascii="Arial" w:hAnsi="Arial" w:cs="Arial"/>
          <w:sz w:val="22"/>
          <w:szCs w:val="22"/>
        </w:rPr>
        <w:t>s that apply to a Reporting Entity</w:t>
      </w:r>
      <w:r w:rsidR="00B03204">
        <w:rPr>
          <w:rFonts w:ascii="Arial" w:hAnsi="Arial" w:cs="Arial"/>
          <w:sz w:val="22"/>
          <w:szCs w:val="22"/>
        </w:rPr>
        <w:t>/Listed Entity</w:t>
      </w:r>
      <w:r w:rsidRPr="00FB2F3D">
        <w:rPr>
          <w:rFonts w:ascii="Arial" w:hAnsi="Arial" w:cs="Arial"/>
          <w:sz w:val="22"/>
          <w:szCs w:val="22"/>
        </w:rPr>
        <w:t>, the standards in this document are best practice standards that may be adopted by a</w:t>
      </w:r>
      <w:r w:rsidR="005A10A6" w:rsidRPr="00FB2F3D">
        <w:rPr>
          <w:rFonts w:ascii="Arial" w:hAnsi="Arial" w:cs="Arial"/>
          <w:sz w:val="22"/>
          <w:szCs w:val="22"/>
        </w:rPr>
        <w:t xml:space="preserve"> Reporting Entity</w:t>
      </w:r>
      <w:r w:rsidR="00B03204">
        <w:rPr>
          <w:rFonts w:ascii="Arial" w:hAnsi="Arial" w:cs="Arial"/>
          <w:sz w:val="22"/>
          <w:szCs w:val="22"/>
        </w:rPr>
        <w:t>/Listed Entity</w:t>
      </w:r>
      <w:r w:rsidRPr="00FB2F3D">
        <w:rPr>
          <w:rFonts w:ascii="Arial" w:hAnsi="Arial" w:cs="Arial"/>
          <w:sz w:val="22"/>
          <w:szCs w:val="22"/>
        </w:rPr>
        <w:t xml:space="preserve"> to achieve compliance with the Principles.</w:t>
      </w:r>
    </w:p>
    <w:p w14:paraId="6F5CADFA" w14:textId="77777777" w:rsidR="00162E0C" w:rsidRPr="00FB2F3D" w:rsidRDefault="00162E0C" w:rsidP="005A10A6">
      <w:pPr>
        <w:pStyle w:val="S2Heading8"/>
        <w:rPr>
          <w:rFonts w:ascii="Arial" w:hAnsi="Arial" w:cs="Arial"/>
          <w:sz w:val="22"/>
          <w:szCs w:val="22"/>
        </w:rPr>
      </w:pPr>
      <w:bookmarkStart w:id="960" w:name="_Ref416814598"/>
      <w:r w:rsidRPr="00FB2F3D">
        <w:rPr>
          <w:rFonts w:ascii="Arial" w:hAnsi="Arial" w:cs="Arial"/>
          <w:sz w:val="22"/>
          <w:szCs w:val="22"/>
        </w:rPr>
        <w:t>A</w:t>
      </w:r>
      <w:r w:rsidR="005A10A6" w:rsidRPr="00FB2F3D">
        <w:rPr>
          <w:rFonts w:ascii="Arial" w:hAnsi="Arial" w:cs="Arial"/>
          <w:sz w:val="22"/>
          <w:szCs w:val="22"/>
        </w:rPr>
        <w:t xml:space="preserve"> Reporting Entity</w:t>
      </w:r>
      <w:r w:rsidRPr="00FB2F3D">
        <w:rPr>
          <w:rFonts w:ascii="Arial" w:hAnsi="Arial" w:cs="Arial"/>
          <w:sz w:val="22"/>
          <w:szCs w:val="22"/>
        </w:rPr>
        <w:t xml:space="preserve"> to which the Principles apply is required under Rule </w:t>
      </w:r>
      <w:r w:rsidR="00693841" w:rsidRPr="00FB2F3D">
        <w:rPr>
          <w:rFonts w:ascii="Arial" w:hAnsi="Arial" w:cs="Arial"/>
          <w:sz w:val="22"/>
          <w:szCs w:val="22"/>
        </w:rPr>
        <w:t>9.2.10</w:t>
      </w:r>
      <w:r w:rsidRPr="00FB2F3D">
        <w:rPr>
          <w:rFonts w:ascii="Arial" w:hAnsi="Arial" w:cs="Arial"/>
          <w:sz w:val="22"/>
          <w:szCs w:val="22"/>
        </w:rPr>
        <w:t xml:space="preserve"> to state in its annual report whether the best practice standards have been adopted. In circumstances where a</w:t>
      </w:r>
      <w:r w:rsidR="005A10A6" w:rsidRPr="00FB2F3D">
        <w:rPr>
          <w:rFonts w:ascii="Arial" w:hAnsi="Arial" w:cs="Arial"/>
          <w:sz w:val="22"/>
          <w:szCs w:val="22"/>
        </w:rPr>
        <w:t xml:space="preserve"> Reporting Entity</w:t>
      </w:r>
      <w:r w:rsidRPr="00FB2F3D">
        <w:rPr>
          <w:rFonts w:ascii="Arial" w:hAnsi="Arial" w:cs="Arial"/>
          <w:sz w:val="22"/>
          <w:szCs w:val="22"/>
        </w:rPr>
        <w:t xml:space="preserve"> has not fully adopted or only partially adopted the best practice standards, it needs to explain in its annual report why the standards were not fully adopted or adopted only partially and what actions, if any, it has taken to achieve compliance with the Principles.</w:t>
      </w:r>
      <w:bookmarkEnd w:id="960"/>
    </w:p>
    <w:p w14:paraId="518B4DA0"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Section </w:t>
      </w:r>
      <w:r w:rsidR="00DF0FE1" w:rsidRPr="00FB2F3D">
        <w:rPr>
          <w:rFonts w:ascii="Arial" w:hAnsi="Arial" w:cs="Arial"/>
          <w:sz w:val="22"/>
          <w:szCs w:val="22"/>
        </w:rPr>
        <w:t>73</w:t>
      </w:r>
      <w:r w:rsidR="007B199B" w:rsidRPr="00FB2F3D">
        <w:rPr>
          <w:rFonts w:ascii="Arial" w:hAnsi="Arial" w:cs="Arial"/>
          <w:sz w:val="22"/>
          <w:szCs w:val="22"/>
        </w:rPr>
        <w:t>(2)</w:t>
      </w:r>
      <w:r w:rsidRPr="00FB2F3D">
        <w:rPr>
          <w:rFonts w:ascii="Arial" w:hAnsi="Arial" w:cs="Arial"/>
          <w:sz w:val="22"/>
          <w:szCs w:val="22"/>
        </w:rPr>
        <w:t xml:space="preserve"> of the FSMR provides that the </w:t>
      </w:r>
      <w:r w:rsidR="0035335F" w:rsidRPr="00FB2F3D">
        <w:rPr>
          <w:rFonts w:ascii="Arial" w:hAnsi="Arial" w:cs="Arial"/>
          <w:sz w:val="22"/>
          <w:szCs w:val="22"/>
        </w:rPr>
        <w:t>Regulator</w:t>
      </w:r>
      <w:r w:rsidRPr="00FB2F3D">
        <w:rPr>
          <w:rFonts w:ascii="Arial" w:hAnsi="Arial" w:cs="Arial"/>
          <w:sz w:val="22"/>
          <w:szCs w:val="22"/>
        </w:rPr>
        <w:t xml:space="preserve"> is entit</w:t>
      </w:r>
      <w:r w:rsidR="005A10A6" w:rsidRPr="00FB2F3D">
        <w:rPr>
          <w:rFonts w:ascii="Arial" w:hAnsi="Arial" w:cs="Arial"/>
          <w:sz w:val="22"/>
          <w:szCs w:val="22"/>
        </w:rPr>
        <w:t>led to enact rules requiring a Reporting Entity</w:t>
      </w:r>
      <w:r w:rsidRPr="00FB2F3D">
        <w:rPr>
          <w:rFonts w:ascii="Arial" w:hAnsi="Arial" w:cs="Arial"/>
          <w:sz w:val="22"/>
          <w:szCs w:val="22"/>
        </w:rPr>
        <w:t xml:space="preserve"> to have a </w:t>
      </w:r>
      <w:r w:rsidR="00A65187" w:rsidRPr="00FB2F3D">
        <w:rPr>
          <w:rFonts w:ascii="Arial" w:hAnsi="Arial" w:cs="Arial"/>
          <w:sz w:val="22"/>
          <w:szCs w:val="22"/>
        </w:rPr>
        <w:t>Corporate Governance</w:t>
      </w:r>
      <w:r w:rsidRPr="00FB2F3D">
        <w:rPr>
          <w:rFonts w:ascii="Arial" w:hAnsi="Arial" w:cs="Arial"/>
          <w:sz w:val="22"/>
          <w:szCs w:val="22"/>
        </w:rPr>
        <w:t xml:space="preserve"> framework which is adequate to promote prudent and sound management of the </w:t>
      </w:r>
      <w:r w:rsidR="005A10A6" w:rsidRPr="00FB2F3D">
        <w:rPr>
          <w:rFonts w:ascii="Arial" w:hAnsi="Arial" w:cs="Arial"/>
          <w:sz w:val="22"/>
          <w:szCs w:val="22"/>
        </w:rPr>
        <w:t>Reporting Entity</w:t>
      </w:r>
      <w:r w:rsidRPr="00FB2F3D">
        <w:rPr>
          <w:rFonts w:ascii="Arial" w:hAnsi="Arial" w:cs="Arial"/>
          <w:sz w:val="22"/>
          <w:szCs w:val="22"/>
        </w:rPr>
        <w:t xml:space="preserve"> in the long</w:t>
      </w:r>
      <w:r w:rsidRPr="00FB2F3D">
        <w:rPr>
          <w:rFonts w:ascii="Arial" w:hAnsi="Arial" w:cs="Arial"/>
          <w:sz w:val="22"/>
          <w:szCs w:val="22"/>
        </w:rPr>
        <w:noBreakHyphen/>
        <w:t xml:space="preserve">term interest of the </w:t>
      </w:r>
      <w:r w:rsidR="005A10A6" w:rsidRPr="00FB2F3D">
        <w:rPr>
          <w:rFonts w:ascii="Arial" w:hAnsi="Arial" w:cs="Arial"/>
          <w:sz w:val="22"/>
          <w:szCs w:val="22"/>
        </w:rPr>
        <w:t>Reporting Entity</w:t>
      </w:r>
      <w:r w:rsidRPr="00FB2F3D">
        <w:rPr>
          <w:rFonts w:ascii="Arial" w:hAnsi="Arial" w:cs="Arial"/>
          <w:sz w:val="22"/>
          <w:szCs w:val="22"/>
        </w:rPr>
        <w:t xml:space="preserve"> and its </w:t>
      </w:r>
      <w:r w:rsidR="00B46F00" w:rsidRPr="00FB2F3D">
        <w:rPr>
          <w:rFonts w:ascii="Arial" w:hAnsi="Arial" w:cs="Arial"/>
          <w:sz w:val="22"/>
          <w:szCs w:val="22"/>
        </w:rPr>
        <w:t>Shareholder</w:t>
      </w:r>
      <w:r w:rsidRPr="00FB2F3D">
        <w:rPr>
          <w:rFonts w:ascii="Arial" w:hAnsi="Arial" w:cs="Arial"/>
          <w:sz w:val="22"/>
          <w:szCs w:val="22"/>
        </w:rPr>
        <w:t xml:space="preserve">s. Accordingly, in providing its explanation in the annual report as noted in </w:t>
      </w:r>
      <w:r w:rsidR="00693841" w:rsidRPr="00FB2F3D">
        <w:rPr>
          <w:rFonts w:ascii="Arial" w:hAnsi="Arial" w:cs="Arial"/>
          <w:sz w:val="22"/>
          <w:szCs w:val="22"/>
        </w:rPr>
        <w:t>2</w:t>
      </w:r>
      <w:r w:rsidRPr="00FB2F3D">
        <w:rPr>
          <w:rFonts w:ascii="Arial" w:hAnsi="Arial" w:cs="Arial"/>
          <w:sz w:val="22"/>
          <w:szCs w:val="22"/>
        </w:rPr>
        <w:t>, a</w:t>
      </w:r>
      <w:r w:rsidR="005A10A6" w:rsidRPr="00FB2F3D">
        <w:rPr>
          <w:rFonts w:ascii="Arial" w:hAnsi="Arial" w:cs="Arial"/>
          <w:sz w:val="22"/>
          <w:szCs w:val="22"/>
        </w:rPr>
        <w:t xml:space="preserve"> Reporting Entity</w:t>
      </w:r>
      <w:r w:rsidRPr="00FB2F3D">
        <w:rPr>
          <w:rFonts w:ascii="Arial" w:hAnsi="Arial" w:cs="Arial"/>
          <w:sz w:val="22"/>
          <w:szCs w:val="22"/>
        </w:rPr>
        <w:t xml:space="preserve"> should aim to illustrate how its actual practices achieve compliance with the outcomes intended by section </w:t>
      </w:r>
      <w:r w:rsidR="007B199B" w:rsidRPr="00FB2F3D">
        <w:rPr>
          <w:rFonts w:ascii="Arial" w:hAnsi="Arial" w:cs="Arial"/>
          <w:sz w:val="22"/>
          <w:szCs w:val="22"/>
        </w:rPr>
        <w:t>7</w:t>
      </w:r>
      <w:r w:rsidR="00DF0FE1" w:rsidRPr="00FB2F3D">
        <w:rPr>
          <w:rFonts w:ascii="Arial" w:hAnsi="Arial" w:cs="Arial"/>
          <w:sz w:val="22"/>
          <w:szCs w:val="22"/>
        </w:rPr>
        <w:t>3</w:t>
      </w:r>
      <w:r w:rsidR="007B199B" w:rsidRPr="00FB2F3D">
        <w:rPr>
          <w:rFonts w:ascii="Arial" w:hAnsi="Arial" w:cs="Arial"/>
          <w:sz w:val="22"/>
          <w:szCs w:val="22"/>
        </w:rPr>
        <w:t xml:space="preserve"> </w:t>
      </w:r>
      <w:r w:rsidRPr="00FB2F3D">
        <w:rPr>
          <w:rFonts w:ascii="Arial" w:hAnsi="Arial" w:cs="Arial"/>
          <w:sz w:val="22"/>
          <w:szCs w:val="22"/>
        </w:rPr>
        <w:t xml:space="preserve">of the FSMR and the Principles, and thereby contribute to prudent and sound management of the </w:t>
      </w:r>
      <w:r w:rsidR="005A10A6" w:rsidRPr="00FB2F3D">
        <w:rPr>
          <w:rFonts w:ascii="Arial" w:hAnsi="Arial" w:cs="Arial"/>
          <w:sz w:val="22"/>
          <w:szCs w:val="22"/>
        </w:rPr>
        <w:t>Reporting Entity</w:t>
      </w:r>
      <w:r w:rsidRPr="00FB2F3D">
        <w:rPr>
          <w:rFonts w:ascii="Arial" w:hAnsi="Arial" w:cs="Arial"/>
          <w:sz w:val="22"/>
          <w:szCs w:val="22"/>
        </w:rPr>
        <w:t xml:space="preserve">.  </w:t>
      </w:r>
    </w:p>
    <w:p w14:paraId="682DCC10"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The annual report required under Rule </w:t>
      </w:r>
      <w:r w:rsidR="00693841" w:rsidRPr="00FB2F3D">
        <w:rPr>
          <w:rFonts w:ascii="Arial" w:hAnsi="Arial" w:cs="Arial"/>
          <w:sz w:val="22"/>
          <w:szCs w:val="22"/>
        </w:rPr>
        <w:t>9.2.10</w:t>
      </w:r>
      <w:r w:rsidRPr="00FB2F3D">
        <w:rPr>
          <w:rFonts w:ascii="Arial" w:hAnsi="Arial" w:cs="Arial"/>
          <w:sz w:val="22"/>
          <w:szCs w:val="22"/>
        </w:rPr>
        <w:t xml:space="preserve"> must include a statement by the Board of Directors (the "</w:t>
      </w:r>
      <w:r w:rsidRPr="00FB2F3D">
        <w:rPr>
          <w:rFonts w:ascii="Arial" w:hAnsi="Arial" w:cs="Arial"/>
          <w:b/>
          <w:sz w:val="22"/>
          <w:szCs w:val="22"/>
        </w:rPr>
        <w:t>Board</w:t>
      </w:r>
      <w:r w:rsidRPr="00FB2F3D">
        <w:rPr>
          <w:rFonts w:ascii="Arial" w:hAnsi="Arial" w:cs="Arial"/>
          <w:sz w:val="22"/>
          <w:szCs w:val="22"/>
        </w:rPr>
        <w:t xml:space="preserve">"), stating whether or not, in its opinion, the </w:t>
      </w:r>
      <w:r w:rsidR="00A65187" w:rsidRPr="00FB2F3D">
        <w:rPr>
          <w:rFonts w:ascii="Arial" w:hAnsi="Arial" w:cs="Arial"/>
          <w:sz w:val="22"/>
          <w:szCs w:val="22"/>
        </w:rPr>
        <w:t>Corporate Governance</w:t>
      </w:r>
      <w:r w:rsidRPr="00FB2F3D">
        <w:rPr>
          <w:rFonts w:ascii="Arial" w:hAnsi="Arial" w:cs="Arial"/>
          <w:sz w:val="22"/>
          <w:szCs w:val="22"/>
        </w:rPr>
        <w:t xml:space="preserve"> framework of the </w:t>
      </w:r>
      <w:r w:rsidR="005A10A6" w:rsidRPr="00FB2F3D">
        <w:rPr>
          <w:rFonts w:ascii="Arial" w:hAnsi="Arial" w:cs="Arial"/>
          <w:sz w:val="22"/>
          <w:szCs w:val="22"/>
        </w:rPr>
        <w:t>Reporting Entity</w:t>
      </w:r>
      <w:r w:rsidRPr="00FB2F3D">
        <w:rPr>
          <w:rFonts w:ascii="Arial" w:hAnsi="Arial" w:cs="Arial"/>
          <w:sz w:val="22"/>
          <w:szCs w:val="22"/>
        </w:rPr>
        <w:t xml:space="preserve"> is effective in achieving the outcome required by section </w:t>
      </w:r>
      <w:r w:rsidR="007B199B" w:rsidRPr="00FB2F3D">
        <w:rPr>
          <w:rFonts w:ascii="Arial" w:hAnsi="Arial" w:cs="Arial"/>
          <w:sz w:val="22"/>
          <w:szCs w:val="22"/>
        </w:rPr>
        <w:t>7</w:t>
      </w:r>
      <w:r w:rsidR="00DF0FE1" w:rsidRPr="00FB2F3D">
        <w:rPr>
          <w:rFonts w:ascii="Arial" w:hAnsi="Arial" w:cs="Arial"/>
          <w:sz w:val="22"/>
          <w:szCs w:val="22"/>
        </w:rPr>
        <w:t>3</w:t>
      </w:r>
      <w:r w:rsidRPr="00FB2F3D">
        <w:rPr>
          <w:rFonts w:ascii="Arial" w:hAnsi="Arial" w:cs="Arial"/>
          <w:sz w:val="22"/>
          <w:szCs w:val="22"/>
        </w:rPr>
        <w:t xml:space="preserve"> of the FSMR and promoting compliance with the Principles, with supporting information and assumptions, and qualifications if necessary. As the Principles are the core of the </w:t>
      </w:r>
      <w:r w:rsidR="00A65187" w:rsidRPr="00FB2F3D">
        <w:rPr>
          <w:rFonts w:ascii="Arial" w:hAnsi="Arial" w:cs="Arial"/>
          <w:sz w:val="22"/>
          <w:szCs w:val="22"/>
        </w:rPr>
        <w:t>Corporate Governance</w:t>
      </w:r>
      <w:r w:rsidRPr="00FB2F3D">
        <w:rPr>
          <w:rFonts w:ascii="Arial" w:hAnsi="Arial" w:cs="Arial"/>
          <w:sz w:val="22"/>
          <w:szCs w:val="22"/>
        </w:rPr>
        <w:t xml:space="preserve"> framework, the way in which they are applied should be the central question for the Board as it determines how the </w:t>
      </w:r>
      <w:r w:rsidR="005A10A6" w:rsidRPr="00FB2F3D">
        <w:rPr>
          <w:rFonts w:ascii="Arial" w:hAnsi="Arial" w:cs="Arial"/>
          <w:sz w:val="22"/>
          <w:szCs w:val="22"/>
        </w:rPr>
        <w:t>Reporting Entity</w:t>
      </w:r>
      <w:r w:rsidRPr="00FB2F3D">
        <w:rPr>
          <w:rFonts w:ascii="Arial" w:hAnsi="Arial" w:cs="Arial"/>
          <w:sz w:val="22"/>
          <w:szCs w:val="22"/>
        </w:rPr>
        <w:t xml:space="preserve"> conducts its affairs under its directorship in accordance with the letter and spirit of the applicable requirements including the Principles and the standards.</w:t>
      </w:r>
    </w:p>
    <w:p w14:paraId="3FFA72F4"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The "comply or explain" approach reflected in the standards recognises that there is more than one way to comply with the Principles to achieve sound and prudent governance of the </w:t>
      </w:r>
      <w:r w:rsidR="005A10A6" w:rsidRPr="00FB2F3D">
        <w:rPr>
          <w:rFonts w:ascii="Arial" w:hAnsi="Arial" w:cs="Arial"/>
          <w:sz w:val="22"/>
          <w:szCs w:val="22"/>
        </w:rPr>
        <w:t>Reporting Entity</w:t>
      </w:r>
      <w:r w:rsidRPr="00FB2F3D">
        <w:rPr>
          <w:rFonts w:ascii="Arial" w:hAnsi="Arial" w:cs="Arial"/>
          <w:sz w:val="22"/>
          <w:szCs w:val="22"/>
        </w:rPr>
        <w:t xml:space="preserve">. It also gives the </w:t>
      </w:r>
      <w:r w:rsidR="005A10A6" w:rsidRPr="00FB2F3D">
        <w:rPr>
          <w:rFonts w:ascii="Arial" w:hAnsi="Arial" w:cs="Arial"/>
          <w:sz w:val="22"/>
          <w:szCs w:val="22"/>
        </w:rPr>
        <w:t>Reporting Entity</w:t>
      </w:r>
      <w:r w:rsidRPr="00FB2F3D">
        <w:rPr>
          <w:rFonts w:ascii="Arial" w:hAnsi="Arial" w:cs="Arial"/>
          <w:sz w:val="22"/>
          <w:szCs w:val="22"/>
        </w:rPr>
        <w:t xml:space="preserve"> the flexibility to tailor its governance practices to achieve effective outcomes taking into account the nature, size and complexity of its business. For example, a</w:t>
      </w:r>
      <w:r w:rsidR="005A10A6" w:rsidRPr="00FB2F3D">
        <w:rPr>
          <w:rFonts w:ascii="Arial" w:hAnsi="Arial" w:cs="Arial"/>
          <w:sz w:val="22"/>
          <w:szCs w:val="22"/>
        </w:rPr>
        <w:t xml:space="preserve"> Reporting Entity</w:t>
      </w:r>
      <w:r w:rsidRPr="00FB2F3D">
        <w:rPr>
          <w:rFonts w:ascii="Arial" w:hAnsi="Arial" w:cs="Arial"/>
          <w:sz w:val="22"/>
          <w:szCs w:val="22"/>
        </w:rPr>
        <w:t xml:space="preserve"> may have a small Board to reflect the small and less complex nature of its business, as opposed to a larger and more complex business which requires a larger Board. It may not be possible to have a large number of committees of the small Board to undertake the functions of committees discussed in this Appendix. In such cases, the Board as a whole may undertake all these functions, or alternatively, combine the roles of committees as appropriate.</w:t>
      </w:r>
    </w:p>
    <w:p w14:paraId="0618DF20"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Where the standards set out in this Appendix are not adopted due to particular circumstances of the </w:t>
      </w:r>
      <w:r w:rsidR="005A10A6" w:rsidRPr="00FB2F3D">
        <w:rPr>
          <w:rFonts w:ascii="Arial" w:hAnsi="Arial" w:cs="Arial"/>
          <w:sz w:val="22"/>
          <w:szCs w:val="22"/>
        </w:rPr>
        <w:t>Reporting Entity</w:t>
      </w:r>
      <w:r w:rsidRPr="00FB2F3D">
        <w:rPr>
          <w:rFonts w:ascii="Arial" w:hAnsi="Arial" w:cs="Arial"/>
          <w:sz w:val="22"/>
          <w:szCs w:val="22"/>
        </w:rPr>
        <w:t xml:space="preserve">, the reasons for deviating from the standards should be explained clearly and carefully in the </w:t>
      </w:r>
      <w:r w:rsidR="005A10A6" w:rsidRPr="00FB2F3D">
        <w:rPr>
          <w:rFonts w:ascii="Arial" w:hAnsi="Arial" w:cs="Arial"/>
          <w:sz w:val="22"/>
          <w:szCs w:val="22"/>
        </w:rPr>
        <w:t>Reporting Entity</w:t>
      </w:r>
      <w:r w:rsidRPr="00FB2F3D">
        <w:rPr>
          <w:rFonts w:ascii="Arial" w:hAnsi="Arial" w:cs="Arial"/>
          <w:sz w:val="22"/>
          <w:szCs w:val="22"/>
        </w:rPr>
        <w:t xml:space="preserve">'s </w:t>
      </w:r>
      <w:r w:rsidRPr="00FB2F3D">
        <w:rPr>
          <w:rFonts w:ascii="Arial" w:hAnsi="Arial" w:cs="Arial"/>
          <w:sz w:val="22"/>
          <w:szCs w:val="22"/>
        </w:rPr>
        <w:lastRenderedPageBreak/>
        <w:t xml:space="preserve">annual report, thereby providing </w:t>
      </w:r>
      <w:r w:rsidR="00B46F00" w:rsidRPr="00FB2F3D">
        <w:rPr>
          <w:rFonts w:ascii="Arial" w:hAnsi="Arial" w:cs="Arial"/>
          <w:sz w:val="22"/>
          <w:szCs w:val="22"/>
        </w:rPr>
        <w:t>Shareholder</w:t>
      </w:r>
      <w:r w:rsidRPr="00FB2F3D">
        <w:rPr>
          <w:rFonts w:ascii="Arial" w:hAnsi="Arial" w:cs="Arial"/>
          <w:sz w:val="22"/>
          <w:szCs w:val="22"/>
        </w:rPr>
        <w:t>s with the opportunity to make well informed decisions with regard to their voting and the exercise of their rights.</w:t>
      </w:r>
    </w:p>
    <w:p w14:paraId="033471FF"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The standards in this Appendix are not exhaustive and hence a</w:t>
      </w:r>
      <w:r w:rsidR="005A10A6" w:rsidRPr="00FB2F3D">
        <w:rPr>
          <w:rFonts w:ascii="Arial" w:hAnsi="Arial" w:cs="Arial"/>
          <w:sz w:val="22"/>
          <w:szCs w:val="22"/>
        </w:rPr>
        <w:t xml:space="preserve"> Reporting Entity</w:t>
      </w:r>
      <w:r w:rsidRPr="00FB2F3D">
        <w:rPr>
          <w:rFonts w:ascii="Arial" w:hAnsi="Arial" w:cs="Arial"/>
          <w:sz w:val="22"/>
          <w:szCs w:val="22"/>
        </w:rPr>
        <w:t xml:space="preserve"> may implement any additional measures as required in order for it to comply with the Principles and contribute to sound and prudent governance of the entity. </w:t>
      </w:r>
    </w:p>
    <w:p w14:paraId="0E05ECED" w14:textId="77777777" w:rsidR="00162E0C" w:rsidRPr="00FB2F3D" w:rsidRDefault="00162E0C" w:rsidP="00277917">
      <w:pPr>
        <w:pStyle w:val="TitleL"/>
        <w:rPr>
          <w:rFonts w:ascii="Arial" w:hAnsi="Arial" w:cs="Arial"/>
          <w:sz w:val="22"/>
          <w:szCs w:val="22"/>
          <w:u w:val="single"/>
          <w:lang w:eastAsia="ja-JP"/>
        </w:rPr>
      </w:pPr>
      <w:r w:rsidRPr="00FB2F3D">
        <w:rPr>
          <w:rFonts w:ascii="Arial" w:hAnsi="Arial" w:cs="Arial"/>
          <w:sz w:val="22"/>
          <w:szCs w:val="22"/>
          <w:u w:val="single"/>
        </w:rPr>
        <w:t xml:space="preserve">Principle 1 – Board of </w:t>
      </w:r>
      <w:r w:rsidR="002A1DA9" w:rsidRPr="00FB2F3D">
        <w:rPr>
          <w:rFonts w:ascii="Arial" w:hAnsi="Arial" w:cs="Arial"/>
          <w:sz w:val="22"/>
          <w:szCs w:val="22"/>
          <w:u w:val="single"/>
        </w:rPr>
        <w:t>Directors</w:t>
      </w:r>
    </w:p>
    <w:p w14:paraId="145EF6CD" w14:textId="77777777" w:rsidR="00162E0C" w:rsidRPr="00FB2F3D" w:rsidRDefault="00162E0C" w:rsidP="003721B0">
      <w:pPr>
        <w:pStyle w:val="UK12Block05"/>
        <w:keepNext/>
        <w:rPr>
          <w:rFonts w:ascii="Arial" w:hAnsi="Arial" w:cs="Arial"/>
          <w:sz w:val="22"/>
          <w:szCs w:val="22"/>
        </w:rPr>
      </w:pPr>
      <w:r w:rsidRPr="00FB2F3D">
        <w:rPr>
          <w:rFonts w:ascii="Arial" w:hAnsi="Arial" w:cs="Arial"/>
          <w:sz w:val="22"/>
          <w:szCs w:val="22"/>
        </w:rPr>
        <w:t>Rule </w:t>
      </w:r>
      <w:r w:rsidR="00693841" w:rsidRPr="00FB2F3D">
        <w:rPr>
          <w:rFonts w:ascii="Arial" w:hAnsi="Arial" w:cs="Arial"/>
          <w:sz w:val="22"/>
          <w:szCs w:val="22"/>
        </w:rPr>
        <w:t>9.2.3</w:t>
      </w:r>
    </w:p>
    <w:p w14:paraId="1A2ED185" w14:textId="77777777" w:rsidR="00162E0C" w:rsidRPr="00FB2F3D" w:rsidRDefault="00162E0C" w:rsidP="005A10A6">
      <w:pPr>
        <w:pStyle w:val="UK12Block05"/>
        <w:rPr>
          <w:rFonts w:ascii="Arial" w:hAnsi="Arial" w:cs="Arial"/>
          <w:sz w:val="22"/>
          <w:szCs w:val="22"/>
        </w:rPr>
      </w:pPr>
      <w:r w:rsidRPr="00FB2F3D">
        <w:rPr>
          <w:rFonts w:ascii="Arial" w:hAnsi="Arial" w:cs="Arial"/>
          <w:sz w:val="22"/>
          <w:szCs w:val="22"/>
        </w:rPr>
        <w:t xml:space="preserve">"Every </w:t>
      </w:r>
      <w:r w:rsidR="005A10A6" w:rsidRPr="00FB2F3D">
        <w:rPr>
          <w:rFonts w:ascii="Arial" w:hAnsi="Arial" w:cs="Arial"/>
          <w:sz w:val="22"/>
          <w:szCs w:val="22"/>
        </w:rPr>
        <w:t>Reporting Entity</w:t>
      </w:r>
      <w:r w:rsidRPr="00FB2F3D">
        <w:rPr>
          <w:rFonts w:ascii="Arial" w:hAnsi="Arial" w:cs="Arial"/>
          <w:sz w:val="22"/>
          <w:szCs w:val="22"/>
        </w:rPr>
        <w:t xml:space="preserve"> must have an effective Board of Directors ("the </w:t>
      </w:r>
      <w:r w:rsidRPr="00FB2F3D">
        <w:rPr>
          <w:rFonts w:ascii="Arial" w:hAnsi="Arial" w:cs="Arial"/>
          <w:b/>
          <w:bCs/>
          <w:sz w:val="22"/>
          <w:szCs w:val="22"/>
        </w:rPr>
        <w:t>Board</w:t>
      </w:r>
      <w:r w:rsidRPr="00FB2F3D">
        <w:rPr>
          <w:rFonts w:ascii="Arial" w:hAnsi="Arial" w:cs="Arial"/>
          <w:sz w:val="22"/>
          <w:szCs w:val="22"/>
        </w:rPr>
        <w:t xml:space="preserve">") which is collectively accountable for ensuring that the </w:t>
      </w:r>
      <w:r w:rsidR="005A10A6" w:rsidRPr="00FB2F3D">
        <w:rPr>
          <w:rFonts w:ascii="Arial" w:hAnsi="Arial" w:cs="Arial"/>
          <w:sz w:val="22"/>
          <w:szCs w:val="22"/>
        </w:rPr>
        <w:t>Reporting Entity</w:t>
      </w:r>
      <w:r w:rsidRPr="00FB2F3D">
        <w:rPr>
          <w:rFonts w:ascii="Arial" w:hAnsi="Arial" w:cs="Arial"/>
          <w:sz w:val="22"/>
          <w:szCs w:val="22"/>
        </w:rPr>
        <w:t>'s business is managed prudently and soundly."</w:t>
      </w:r>
    </w:p>
    <w:p w14:paraId="112893E4"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The role of the Board is to provide leadership of the </w:t>
      </w:r>
      <w:r w:rsidR="005A10A6" w:rsidRPr="00FB2F3D">
        <w:rPr>
          <w:rFonts w:ascii="Arial" w:hAnsi="Arial" w:cs="Arial"/>
          <w:sz w:val="22"/>
          <w:szCs w:val="22"/>
        </w:rPr>
        <w:t>Reporting Entity</w:t>
      </w:r>
      <w:r w:rsidRPr="00FB2F3D">
        <w:rPr>
          <w:rFonts w:ascii="Arial" w:hAnsi="Arial" w:cs="Arial"/>
          <w:sz w:val="22"/>
          <w:szCs w:val="22"/>
        </w:rPr>
        <w:t xml:space="preserve"> within a framework of prudent and effective controls which enable risks to which the </w:t>
      </w:r>
      <w:r w:rsidR="005A10A6" w:rsidRPr="00FB2F3D">
        <w:rPr>
          <w:rFonts w:ascii="Arial" w:hAnsi="Arial" w:cs="Arial"/>
          <w:sz w:val="22"/>
          <w:szCs w:val="22"/>
        </w:rPr>
        <w:t>Reporting Entity</w:t>
      </w:r>
      <w:r w:rsidRPr="00FB2F3D">
        <w:rPr>
          <w:rFonts w:ascii="Arial" w:hAnsi="Arial" w:cs="Arial"/>
          <w:sz w:val="22"/>
          <w:szCs w:val="22"/>
        </w:rPr>
        <w:t xml:space="preserve"> is exposed to be identified, assessed and effectively managed.</w:t>
      </w:r>
    </w:p>
    <w:p w14:paraId="5CBE4A9F"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The Board should set the </w:t>
      </w:r>
      <w:r w:rsidR="005A10A6" w:rsidRPr="00FB2F3D">
        <w:rPr>
          <w:rFonts w:ascii="Arial" w:hAnsi="Arial" w:cs="Arial"/>
          <w:sz w:val="22"/>
          <w:szCs w:val="22"/>
        </w:rPr>
        <w:t>Reporting Entity</w:t>
      </w:r>
      <w:r w:rsidRPr="00FB2F3D">
        <w:rPr>
          <w:rFonts w:ascii="Arial" w:hAnsi="Arial" w:cs="Arial"/>
          <w:sz w:val="22"/>
          <w:szCs w:val="22"/>
        </w:rPr>
        <w:t xml:space="preserve">'s business and strategic objectives and risk parameters, ensure that the necessary financial and human resources are in place for the </w:t>
      </w:r>
      <w:r w:rsidR="005A10A6" w:rsidRPr="00FB2F3D">
        <w:rPr>
          <w:rFonts w:ascii="Arial" w:hAnsi="Arial" w:cs="Arial"/>
          <w:sz w:val="22"/>
          <w:szCs w:val="22"/>
        </w:rPr>
        <w:t>Reporting Entity</w:t>
      </w:r>
      <w:r w:rsidRPr="00FB2F3D">
        <w:rPr>
          <w:rFonts w:ascii="Arial" w:hAnsi="Arial" w:cs="Arial"/>
          <w:sz w:val="22"/>
          <w:szCs w:val="22"/>
        </w:rPr>
        <w:t xml:space="preserve"> to meet those objectives, and review management performance in achieving those objectives and outcomes. For this purpose, the Board should: </w:t>
      </w:r>
    </w:p>
    <w:p w14:paraId="0B41A9D4" w14:textId="77777777" w:rsidR="00162E0C" w:rsidRPr="00FB2F3D" w:rsidRDefault="00162E0C" w:rsidP="00277917">
      <w:pPr>
        <w:pStyle w:val="S2Heading9"/>
        <w:rPr>
          <w:rFonts w:ascii="Arial" w:hAnsi="Arial" w:cs="Arial"/>
          <w:sz w:val="22"/>
          <w:szCs w:val="22"/>
        </w:rPr>
      </w:pPr>
      <w:r w:rsidRPr="00FB2F3D">
        <w:rPr>
          <w:rFonts w:ascii="Arial" w:hAnsi="Arial" w:cs="Arial"/>
          <w:sz w:val="22"/>
          <w:szCs w:val="22"/>
        </w:rPr>
        <w:t>determine the nature and extent of the significant risks it is willing to take in achieving the relevant strategic objectives; and</w:t>
      </w:r>
    </w:p>
    <w:p w14:paraId="711CEB5A" w14:textId="77777777" w:rsidR="00162E0C" w:rsidRPr="00FB2F3D" w:rsidRDefault="00162E0C" w:rsidP="005A10A6">
      <w:pPr>
        <w:pStyle w:val="S2Heading9"/>
        <w:rPr>
          <w:rFonts w:ascii="Arial" w:hAnsi="Arial" w:cs="Arial"/>
          <w:sz w:val="22"/>
          <w:szCs w:val="22"/>
        </w:rPr>
      </w:pPr>
      <w:r w:rsidRPr="00FB2F3D">
        <w:rPr>
          <w:rFonts w:ascii="Arial" w:hAnsi="Arial" w:cs="Arial"/>
          <w:sz w:val="22"/>
          <w:szCs w:val="22"/>
        </w:rPr>
        <w:t xml:space="preserve">set the </w:t>
      </w:r>
      <w:r w:rsidR="005A10A6" w:rsidRPr="00FB2F3D">
        <w:rPr>
          <w:rFonts w:ascii="Arial" w:hAnsi="Arial" w:cs="Arial"/>
          <w:sz w:val="22"/>
          <w:szCs w:val="22"/>
        </w:rPr>
        <w:t>Reporting Entity</w:t>
      </w:r>
      <w:r w:rsidRPr="00FB2F3D">
        <w:rPr>
          <w:rFonts w:ascii="Arial" w:hAnsi="Arial" w:cs="Arial"/>
          <w:sz w:val="22"/>
          <w:szCs w:val="22"/>
        </w:rPr>
        <w:t>'s values and standards and ensure that its obligations to its stakeholders are clearly understood and met.</w:t>
      </w:r>
    </w:p>
    <w:p w14:paraId="7D7DC484"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The Board should meet sufficiently regularly to discharge its duties effectively. There should be a formal schedule of matters specifically reserved for its decision.</w:t>
      </w:r>
    </w:p>
    <w:p w14:paraId="5CE900A6"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The mandate, composition and working procedures of the Board should be well defined.</w:t>
      </w:r>
    </w:p>
    <w:p w14:paraId="71CAD484"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The annual report of the </w:t>
      </w:r>
      <w:r w:rsidR="005A10A6" w:rsidRPr="00FB2F3D">
        <w:rPr>
          <w:rFonts w:ascii="Arial" w:hAnsi="Arial" w:cs="Arial"/>
          <w:sz w:val="22"/>
          <w:szCs w:val="22"/>
        </w:rPr>
        <w:t>Reporting Entity</w:t>
      </w:r>
      <w:r w:rsidRPr="00FB2F3D">
        <w:rPr>
          <w:rFonts w:ascii="Arial" w:hAnsi="Arial" w:cs="Arial"/>
          <w:sz w:val="22"/>
          <w:szCs w:val="22"/>
        </w:rPr>
        <w:t xml:space="preserve"> should include a statement of how the Board operates and it should also set out the number of meetings of the Board.</w:t>
      </w:r>
    </w:p>
    <w:p w14:paraId="0D47C198" w14:textId="77777777" w:rsidR="00162E0C" w:rsidRPr="00FB2F3D" w:rsidRDefault="00162E0C" w:rsidP="00277917">
      <w:pPr>
        <w:pStyle w:val="TitleL"/>
        <w:rPr>
          <w:rFonts w:ascii="Arial" w:hAnsi="Arial" w:cs="Arial"/>
          <w:sz w:val="22"/>
          <w:szCs w:val="22"/>
          <w:u w:val="single"/>
        </w:rPr>
      </w:pPr>
      <w:r w:rsidRPr="00FB2F3D">
        <w:rPr>
          <w:rFonts w:ascii="Arial" w:hAnsi="Arial" w:cs="Arial"/>
          <w:sz w:val="22"/>
          <w:szCs w:val="22"/>
          <w:u w:val="single"/>
        </w:rPr>
        <w:t>Principle 2 – Division of responsibilities</w:t>
      </w:r>
    </w:p>
    <w:p w14:paraId="14DA9E97" w14:textId="77777777" w:rsidR="00162E0C" w:rsidRPr="00FB2F3D" w:rsidRDefault="00162E0C" w:rsidP="003721B0">
      <w:pPr>
        <w:pStyle w:val="UK12Block05"/>
        <w:keepNext/>
        <w:rPr>
          <w:rFonts w:ascii="Arial" w:hAnsi="Arial" w:cs="Arial"/>
          <w:sz w:val="22"/>
          <w:szCs w:val="22"/>
        </w:rPr>
      </w:pPr>
      <w:r w:rsidRPr="00FB2F3D">
        <w:rPr>
          <w:rFonts w:ascii="Arial" w:hAnsi="Arial" w:cs="Arial"/>
          <w:sz w:val="22"/>
          <w:szCs w:val="22"/>
        </w:rPr>
        <w:t>Rule </w:t>
      </w:r>
      <w:r w:rsidR="00693841" w:rsidRPr="00FB2F3D">
        <w:rPr>
          <w:rFonts w:ascii="Arial" w:hAnsi="Arial" w:cs="Arial"/>
          <w:sz w:val="22"/>
          <w:szCs w:val="22"/>
        </w:rPr>
        <w:t>9.2.4</w:t>
      </w:r>
    </w:p>
    <w:p w14:paraId="2202CD71" w14:textId="77777777" w:rsidR="00162E0C" w:rsidRPr="00FB2F3D" w:rsidRDefault="00162E0C" w:rsidP="005A10A6">
      <w:pPr>
        <w:pStyle w:val="UK12Block05"/>
        <w:rPr>
          <w:rFonts w:ascii="Arial" w:hAnsi="Arial" w:cs="Arial"/>
          <w:sz w:val="22"/>
          <w:szCs w:val="22"/>
        </w:rPr>
      </w:pPr>
      <w:r w:rsidRPr="00FB2F3D">
        <w:rPr>
          <w:rFonts w:ascii="Arial" w:hAnsi="Arial" w:cs="Arial"/>
          <w:sz w:val="22"/>
          <w:szCs w:val="22"/>
        </w:rPr>
        <w:t xml:space="preserve">"The Board must ensure that there is a clear division between the Board's responsibility for setting the strategic aims and </w:t>
      </w:r>
      <w:r w:rsidR="007B224F" w:rsidRPr="00FB2F3D">
        <w:rPr>
          <w:rFonts w:ascii="Arial" w:hAnsi="Arial" w:cs="Arial"/>
          <w:sz w:val="22"/>
          <w:szCs w:val="22"/>
        </w:rPr>
        <w:t>overseeing</w:t>
      </w:r>
      <w:r w:rsidRPr="00FB2F3D">
        <w:rPr>
          <w:rFonts w:ascii="Arial" w:hAnsi="Arial" w:cs="Arial"/>
          <w:sz w:val="22"/>
          <w:szCs w:val="22"/>
        </w:rPr>
        <w:t xml:space="preserve"> the </w:t>
      </w:r>
      <w:r w:rsidR="005A10A6" w:rsidRPr="00FB2F3D">
        <w:rPr>
          <w:rFonts w:ascii="Arial" w:hAnsi="Arial" w:cs="Arial"/>
          <w:sz w:val="22"/>
          <w:szCs w:val="22"/>
        </w:rPr>
        <w:t>Reporting Entity</w:t>
      </w:r>
      <w:r w:rsidRPr="00FB2F3D">
        <w:rPr>
          <w:rFonts w:ascii="Arial" w:hAnsi="Arial" w:cs="Arial"/>
          <w:sz w:val="22"/>
          <w:szCs w:val="22"/>
        </w:rPr>
        <w:t xml:space="preserve"> and the Senior Management's responsibility for managing the </w:t>
      </w:r>
      <w:r w:rsidR="005A10A6" w:rsidRPr="00FB2F3D">
        <w:rPr>
          <w:rFonts w:ascii="Arial" w:hAnsi="Arial" w:cs="Arial"/>
          <w:sz w:val="22"/>
          <w:szCs w:val="22"/>
        </w:rPr>
        <w:t>Reporting Entity</w:t>
      </w:r>
      <w:r w:rsidRPr="00FB2F3D">
        <w:rPr>
          <w:rFonts w:ascii="Arial" w:hAnsi="Arial" w:cs="Arial"/>
          <w:sz w:val="22"/>
          <w:szCs w:val="22"/>
        </w:rPr>
        <w:t>'s business in accordance with the strategic aims and risk parameters set by the Board."</w:t>
      </w:r>
    </w:p>
    <w:p w14:paraId="60901F92" w14:textId="77777777" w:rsidR="00162E0C" w:rsidRPr="00FB2F3D" w:rsidRDefault="00162E0C" w:rsidP="00277917">
      <w:pPr>
        <w:pStyle w:val="TitleL"/>
        <w:rPr>
          <w:rFonts w:ascii="Arial" w:hAnsi="Arial" w:cs="Arial"/>
          <w:sz w:val="22"/>
          <w:szCs w:val="22"/>
        </w:rPr>
      </w:pPr>
      <w:r w:rsidRPr="00FB2F3D">
        <w:rPr>
          <w:rFonts w:ascii="Arial" w:hAnsi="Arial" w:cs="Arial"/>
          <w:sz w:val="22"/>
          <w:szCs w:val="22"/>
        </w:rPr>
        <w:lastRenderedPageBreak/>
        <w:t>Board and Senior Management</w:t>
      </w:r>
    </w:p>
    <w:p w14:paraId="141814BC"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The division of responsibilities between the Board and the Senior Management of the </w:t>
      </w:r>
      <w:r w:rsidR="005A10A6" w:rsidRPr="00FB2F3D">
        <w:rPr>
          <w:rFonts w:ascii="Arial" w:hAnsi="Arial" w:cs="Arial"/>
          <w:sz w:val="22"/>
          <w:szCs w:val="22"/>
        </w:rPr>
        <w:t>Reporting Entity</w:t>
      </w:r>
      <w:r w:rsidRPr="00FB2F3D">
        <w:rPr>
          <w:rFonts w:ascii="Arial" w:hAnsi="Arial" w:cs="Arial"/>
          <w:sz w:val="22"/>
          <w:szCs w:val="22"/>
        </w:rPr>
        <w:t xml:space="preserve"> should be clearly established, set out in writing, and agreed to by the Board. In assigning duties, the Board should ensure that no one individual has unfettered powers in making decisions. It should also ensure that there is a clear segregation of the functions of: </w:t>
      </w:r>
    </w:p>
    <w:p w14:paraId="7AE02AF6" w14:textId="77777777" w:rsidR="00162E0C" w:rsidRPr="00FB2F3D" w:rsidRDefault="00162E0C" w:rsidP="00277917">
      <w:pPr>
        <w:pStyle w:val="S2Heading9"/>
        <w:rPr>
          <w:rFonts w:ascii="Arial" w:hAnsi="Arial" w:cs="Arial"/>
          <w:sz w:val="22"/>
          <w:szCs w:val="22"/>
        </w:rPr>
      </w:pPr>
      <w:r w:rsidRPr="00FB2F3D">
        <w:rPr>
          <w:rFonts w:ascii="Arial" w:hAnsi="Arial" w:cs="Arial"/>
          <w:sz w:val="22"/>
          <w:szCs w:val="22"/>
        </w:rPr>
        <w:t>the oversight of the management by the Board; and</w:t>
      </w:r>
    </w:p>
    <w:p w14:paraId="04DD2831" w14:textId="77777777" w:rsidR="00162E0C" w:rsidRPr="00FB2F3D" w:rsidRDefault="00162E0C" w:rsidP="005A10A6">
      <w:pPr>
        <w:pStyle w:val="S2Heading9"/>
        <w:rPr>
          <w:rFonts w:ascii="Arial" w:hAnsi="Arial" w:cs="Arial"/>
          <w:sz w:val="22"/>
          <w:szCs w:val="22"/>
        </w:rPr>
      </w:pPr>
      <w:r w:rsidRPr="00FB2F3D">
        <w:rPr>
          <w:rFonts w:ascii="Arial" w:hAnsi="Arial" w:cs="Arial"/>
          <w:sz w:val="22"/>
          <w:szCs w:val="22"/>
        </w:rPr>
        <w:t xml:space="preserve">the management of the </w:t>
      </w:r>
      <w:r w:rsidR="005A10A6" w:rsidRPr="00FB2F3D">
        <w:rPr>
          <w:rFonts w:ascii="Arial" w:hAnsi="Arial" w:cs="Arial"/>
          <w:sz w:val="22"/>
          <w:szCs w:val="22"/>
        </w:rPr>
        <w:t>Reporting Entity</w:t>
      </w:r>
      <w:r w:rsidRPr="00FB2F3D">
        <w:rPr>
          <w:rFonts w:ascii="Arial" w:hAnsi="Arial" w:cs="Arial"/>
          <w:sz w:val="22"/>
          <w:szCs w:val="22"/>
        </w:rPr>
        <w:t>'s business by the Senior Management in accordance with the strategic aims and risk parameters set by the Board.</w:t>
      </w:r>
    </w:p>
    <w:p w14:paraId="335B86FD" w14:textId="77777777" w:rsidR="00162E0C" w:rsidRPr="00FB2F3D" w:rsidRDefault="00162E0C" w:rsidP="00ED4966">
      <w:pPr>
        <w:pStyle w:val="S2Heading8"/>
        <w:rPr>
          <w:rFonts w:ascii="Arial" w:hAnsi="Arial" w:cs="Arial"/>
          <w:sz w:val="22"/>
          <w:szCs w:val="22"/>
        </w:rPr>
      </w:pPr>
      <w:r w:rsidRPr="00FB2F3D">
        <w:rPr>
          <w:rFonts w:ascii="Arial" w:hAnsi="Arial" w:cs="Arial"/>
          <w:sz w:val="22"/>
          <w:szCs w:val="22"/>
        </w:rPr>
        <w:t xml:space="preserve">Board members may include individuals undertaking Senior Management functions. For example, the </w:t>
      </w:r>
      <w:r w:rsidR="00ED4966" w:rsidRPr="00FB2F3D">
        <w:rPr>
          <w:rFonts w:ascii="Arial" w:hAnsi="Arial" w:cs="Arial"/>
          <w:sz w:val="22"/>
          <w:szCs w:val="22"/>
        </w:rPr>
        <w:t>c</w:t>
      </w:r>
      <w:r w:rsidR="00514BD2" w:rsidRPr="00FB2F3D">
        <w:rPr>
          <w:rFonts w:ascii="Arial" w:hAnsi="Arial" w:cs="Arial"/>
          <w:sz w:val="22"/>
          <w:szCs w:val="22"/>
        </w:rPr>
        <w:t xml:space="preserve">hief </w:t>
      </w:r>
      <w:r w:rsidR="00ED4966" w:rsidRPr="00FB2F3D">
        <w:rPr>
          <w:rFonts w:ascii="Arial" w:hAnsi="Arial" w:cs="Arial"/>
          <w:sz w:val="22"/>
          <w:szCs w:val="22"/>
        </w:rPr>
        <w:t>e</w:t>
      </w:r>
      <w:r w:rsidR="00514BD2" w:rsidRPr="00FB2F3D">
        <w:rPr>
          <w:rFonts w:ascii="Arial" w:hAnsi="Arial" w:cs="Arial"/>
          <w:sz w:val="22"/>
          <w:szCs w:val="22"/>
        </w:rPr>
        <w:t>xecutive</w:t>
      </w:r>
      <w:r w:rsidRPr="00FB2F3D">
        <w:rPr>
          <w:rFonts w:ascii="Arial" w:hAnsi="Arial" w:cs="Arial"/>
          <w:sz w:val="22"/>
          <w:szCs w:val="22"/>
        </w:rPr>
        <w:t xml:space="preserve"> of a</w:t>
      </w:r>
      <w:r w:rsidR="005A10A6" w:rsidRPr="00FB2F3D">
        <w:rPr>
          <w:rFonts w:ascii="Arial" w:hAnsi="Arial" w:cs="Arial"/>
          <w:sz w:val="22"/>
          <w:szCs w:val="22"/>
        </w:rPr>
        <w:t xml:space="preserve"> Reporting Entity</w:t>
      </w:r>
      <w:r w:rsidRPr="00FB2F3D">
        <w:rPr>
          <w:rFonts w:ascii="Arial" w:hAnsi="Arial" w:cs="Arial"/>
          <w:sz w:val="22"/>
          <w:szCs w:val="22"/>
        </w:rPr>
        <w:t xml:space="preserve"> may also be a Board member. Where this is the case, the Board should ensure that when assessing the performance of the Senior Management, the independence and objectivity of that process is achieved through appropriate mechanisms, such as the assignment of such a task to a non</w:t>
      </w:r>
      <w:r w:rsidRPr="00FB2F3D">
        <w:rPr>
          <w:rFonts w:ascii="Arial" w:hAnsi="Arial" w:cs="Arial"/>
          <w:sz w:val="22"/>
          <w:szCs w:val="22"/>
        </w:rPr>
        <w:noBreakHyphen/>
        <w:t>executive Director of the Board or a committee comprising a majority of non</w:t>
      </w:r>
      <w:r w:rsidRPr="00FB2F3D">
        <w:rPr>
          <w:rFonts w:ascii="Arial" w:hAnsi="Arial" w:cs="Arial"/>
          <w:sz w:val="22"/>
          <w:szCs w:val="22"/>
        </w:rPr>
        <w:noBreakHyphen/>
        <w:t>executive Directors.</w:t>
      </w:r>
    </w:p>
    <w:p w14:paraId="595671AC" w14:textId="77777777" w:rsidR="00162E0C" w:rsidRPr="00FB2F3D" w:rsidRDefault="00162E0C" w:rsidP="00277917">
      <w:pPr>
        <w:pStyle w:val="TitleL"/>
        <w:rPr>
          <w:rFonts w:ascii="Arial" w:hAnsi="Arial" w:cs="Arial"/>
          <w:sz w:val="22"/>
          <w:szCs w:val="22"/>
        </w:rPr>
      </w:pPr>
      <w:r w:rsidRPr="00FB2F3D">
        <w:rPr>
          <w:rFonts w:ascii="Arial" w:hAnsi="Arial" w:cs="Arial"/>
          <w:sz w:val="22"/>
          <w:szCs w:val="22"/>
        </w:rPr>
        <w:t xml:space="preserve">Chairman and </w:t>
      </w:r>
      <w:r w:rsidR="00514BD2" w:rsidRPr="00FB2F3D">
        <w:rPr>
          <w:rFonts w:ascii="Arial" w:hAnsi="Arial" w:cs="Arial"/>
          <w:sz w:val="22"/>
          <w:szCs w:val="22"/>
        </w:rPr>
        <w:t>Chief Executive</w:t>
      </w:r>
    </w:p>
    <w:p w14:paraId="6453C48D" w14:textId="77777777" w:rsidR="00162E0C" w:rsidRPr="00FB2F3D" w:rsidRDefault="00162E0C" w:rsidP="00ED4966">
      <w:pPr>
        <w:pStyle w:val="S2Heading8"/>
        <w:rPr>
          <w:rFonts w:ascii="Arial" w:hAnsi="Arial" w:cs="Arial"/>
          <w:sz w:val="22"/>
          <w:szCs w:val="22"/>
        </w:rPr>
      </w:pPr>
      <w:r w:rsidRPr="00FB2F3D">
        <w:rPr>
          <w:rFonts w:ascii="Arial" w:hAnsi="Arial" w:cs="Arial"/>
          <w:sz w:val="22"/>
          <w:szCs w:val="22"/>
        </w:rPr>
        <w:t xml:space="preserve">In order to ensure that the Board's function of providing effective oversight of the management of the </w:t>
      </w:r>
      <w:r w:rsidR="005A10A6" w:rsidRPr="00FB2F3D">
        <w:rPr>
          <w:rFonts w:ascii="Arial" w:hAnsi="Arial" w:cs="Arial"/>
          <w:sz w:val="22"/>
          <w:szCs w:val="22"/>
        </w:rPr>
        <w:t>Reporting Entity</w:t>
      </w:r>
      <w:r w:rsidRPr="00FB2F3D">
        <w:rPr>
          <w:rFonts w:ascii="Arial" w:hAnsi="Arial" w:cs="Arial"/>
          <w:sz w:val="22"/>
          <w:szCs w:val="22"/>
        </w:rPr>
        <w:t xml:space="preserve"> is not compromised, it is important that the role of the chairman of the Board and the role of the </w:t>
      </w:r>
      <w:r w:rsidR="00ED4966" w:rsidRPr="00FB2F3D">
        <w:rPr>
          <w:rFonts w:ascii="Arial" w:hAnsi="Arial" w:cs="Arial"/>
          <w:sz w:val="22"/>
          <w:szCs w:val="22"/>
        </w:rPr>
        <w:t>chief e</w:t>
      </w:r>
      <w:r w:rsidR="00514BD2" w:rsidRPr="00FB2F3D">
        <w:rPr>
          <w:rFonts w:ascii="Arial" w:hAnsi="Arial" w:cs="Arial"/>
          <w:sz w:val="22"/>
          <w:szCs w:val="22"/>
        </w:rPr>
        <w:t>xecutive</w:t>
      </w:r>
      <w:r w:rsidRPr="00FB2F3D">
        <w:rPr>
          <w:rFonts w:ascii="Arial" w:hAnsi="Arial" w:cs="Arial"/>
          <w:sz w:val="22"/>
          <w:szCs w:val="22"/>
        </w:rPr>
        <w:t xml:space="preserve"> of the </w:t>
      </w:r>
      <w:r w:rsidR="005A10A6" w:rsidRPr="00FB2F3D">
        <w:rPr>
          <w:rFonts w:ascii="Arial" w:hAnsi="Arial" w:cs="Arial"/>
          <w:sz w:val="22"/>
          <w:szCs w:val="22"/>
        </w:rPr>
        <w:t>Reporting Entity</w:t>
      </w:r>
      <w:r w:rsidRPr="00FB2F3D">
        <w:rPr>
          <w:rFonts w:ascii="Arial" w:hAnsi="Arial" w:cs="Arial"/>
          <w:sz w:val="22"/>
          <w:szCs w:val="22"/>
        </w:rPr>
        <w:t xml:space="preserve"> should not be held by the same individual.</w:t>
      </w:r>
    </w:p>
    <w:p w14:paraId="7CA832BB" w14:textId="77777777" w:rsidR="00162E0C" w:rsidRPr="00FB2F3D" w:rsidRDefault="00162E0C" w:rsidP="00C534F0">
      <w:pPr>
        <w:pStyle w:val="S2Heading8"/>
        <w:rPr>
          <w:rFonts w:ascii="Arial" w:hAnsi="Arial" w:cs="Arial"/>
          <w:sz w:val="22"/>
          <w:szCs w:val="22"/>
        </w:rPr>
      </w:pPr>
      <w:r w:rsidRPr="00FB2F3D">
        <w:rPr>
          <w:rFonts w:ascii="Arial" w:hAnsi="Arial" w:cs="Arial"/>
          <w:sz w:val="22"/>
          <w:szCs w:val="22"/>
        </w:rPr>
        <w:t xml:space="preserve">However, if the Board decides that the </w:t>
      </w:r>
      <w:r w:rsidR="00ED4966" w:rsidRPr="00FB2F3D">
        <w:rPr>
          <w:rFonts w:ascii="Arial" w:hAnsi="Arial" w:cs="Arial"/>
          <w:sz w:val="22"/>
          <w:szCs w:val="22"/>
        </w:rPr>
        <w:t>c</w:t>
      </w:r>
      <w:r w:rsidR="00514BD2" w:rsidRPr="00FB2F3D">
        <w:rPr>
          <w:rFonts w:ascii="Arial" w:hAnsi="Arial" w:cs="Arial"/>
          <w:sz w:val="22"/>
          <w:szCs w:val="22"/>
        </w:rPr>
        <w:t xml:space="preserve">hief </w:t>
      </w:r>
      <w:r w:rsidR="00ED4966" w:rsidRPr="00FB2F3D">
        <w:rPr>
          <w:rFonts w:ascii="Arial" w:hAnsi="Arial" w:cs="Arial"/>
          <w:sz w:val="22"/>
          <w:szCs w:val="22"/>
        </w:rPr>
        <w:t>e</w:t>
      </w:r>
      <w:r w:rsidR="00514BD2" w:rsidRPr="00FB2F3D">
        <w:rPr>
          <w:rFonts w:ascii="Arial" w:hAnsi="Arial" w:cs="Arial"/>
          <w:sz w:val="22"/>
          <w:szCs w:val="22"/>
        </w:rPr>
        <w:t>xecutive</w:t>
      </w:r>
      <w:r w:rsidRPr="00FB2F3D">
        <w:rPr>
          <w:rFonts w:ascii="Arial" w:hAnsi="Arial" w:cs="Arial"/>
          <w:sz w:val="22"/>
          <w:szCs w:val="22"/>
        </w:rPr>
        <w:t xml:space="preserve"> should also hold the position of the chairman of the Board, there should be effective measures to ensure that the Board is able to properly discharge its function of providing effective oversight of the management of the business of the </w:t>
      </w:r>
      <w:r w:rsidR="005A10A6" w:rsidRPr="00FB2F3D">
        <w:rPr>
          <w:rFonts w:ascii="Arial" w:hAnsi="Arial" w:cs="Arial"/>
          <w:sz w:val="22"/>
          <w:szCs w:val="22"/>
        </w:rPr>
        <w:t>Reporting Entity</w:t>
      </w:r>
      <w:r w:rsidRPr="00FB2F3D">
        <w:rPr>
          <w:rFonts w:ascii="Arial" w:hAnsi="Arial" w:cs="Arial"/>
          <w:sz w:val="22"/>
          <w:szCs w:val="22"/>
        </w:rPr>
        <w:t xml:space="preserve"> by its Senior Management. For example, the performance assessment of the </w:t>
      </w:r>
      <w:r w:rsidR="00C534F0" w:rsidRPr="00FB2F3D">
        <w:rPr>
          <w:rFonts w:ascii="Arial" w:hAnsi="Arial" w:cs="Arial"/>
          <w:sz w:val="22"/>
          <w:szCs w:val="22"/>
        </w:rPr>
        <w:t>chief e</w:t>
      </w:r>
      <w:r w:rsidR="00514BD2" w:rsidRPr="00FB2F3D">
        <w:rPr>
          <w:rFonts w:ascii="Arial" w:hAnsi="Arial" w:cs="Arial"/>
          <w:sz w:val="22"/>
          <w:szCs w:val="22"/>
        </w:rPr>
        <w:t>xecutive</w:t>
      </w:r>
      <w:r w:rsidRPr="00FB2F3D">
        <w:rPr>
          <w:rFonts w:ascii="Arial" w:hAnsi="Arial" w:cs="Arial"/>
          <w:sz w:val="22"/>
          <w:szCs w:val="22"/>
        </w:rPr>
        <w:t xml:space="preserve"> and other members of the Senior Management should be undertaken by a non</w:t>
      </w:r>
      <w:r w:rsidRPr="00FB2F3D">
        <w:rPr>
          <w:rFonts w:ascii="Arial" w:hAnsi="Arial" w:cs="Arial"/>
          <w:sz w:val="22"/>
          <w:szCs w:val="22"/>
        </w:rPr>
        <w:noBreakHyphen/>
      </w:r>
      <w:r w:rsidR="009D079A" w:rsidRPr="00FB2F3D">
        <w:rPr>
          <w:rFonts w:ascii="Arial" w:hAnsi="Arial" w:cs="Arial"/>
          <w:sz w:val="22"/>
          <w:szCs w:val="22"/>
        </w:rPr>
        <w:t xml:space="preserve">executive Director of the Board </w:t>
      </w:r>
      <w:r w:rsidRPr="00FB2F3D">
        <w:rPr>
          <w:rFonts w:ascii="Arial" w:hAnsi="Arial" w:cs="Arial"/>
          <w:sz w:val="22"/>
          <w:szCs w:val="22"/>
        </w:rPr>
        <w:t>or a committee comprising a majority of non</w:t>
      </w:r>
      <w:r w:rsidRPr="00FB2F3D">
        <w:rPr>
          <w:rFonts w:ascii="Arial" w:hAnsi="Arial" w:cs="Arial"/>
          <w:sz w:val="22"/>
          <w:szCs w:val="22"/>
        </w:rPr>
        <w:noBreakHyphen/>
        <w:t xml:space="preserve">executive Directors who report to the Board directly on their assessment, and also, prior approval by </w:t>
      </w:r>
      <w:r w:rsidR="00B46F00" w:rsidRPr="00FB2F3D">
        <w:rPr>
          <w:rFonts w:ascii="Arial" w:hAnsi="Arial" w:cs="Arial"/>
          <w:sz w:val="22"/>
          <w:szCs w:val="22"/>
        </w:rPr>
        <w:t>Shareholder</w:t>
      </w:r>
      <w:r w:rsidRPr="00FB2F3D">
        <w:rPr>
          <w:rFonts w:ascii="Arial" w:hAnsi="Arial" w:cs="Arial"/>
          <w:sz w:val="22"/>
          <w:szCs w:val="22"/>
        </w:rPr>
        <w:t xml:space="preserve">s of the appointment of the </w:t>
      </w:r>
      <w:r w:rsidR="00C534F0" w:rsidRPr="00FB2F3D">
        <w:rPr>
          <w:rFonts w:ascii="Arial" w:hAnsi="Arial" w:cs="Arial"/>
          <w:sz w:val="22"/>
          <w:szCs w:val="22"/>
        </w:rPr>
        <w:t>c</w:t>
      </w:r>
      <w:r w:rsidR="00514BD2" w:rsidRPr="00FB2F3D">
        <w:rPr>
          <w:rFonts w:ascii="Arial" w:hAnsi="Arial" w:cs="Arial"/>
          <w:sz w:val="22"/>
          <w:szCs w:val="22"/>
        </w:rPr>
        <w:t xml:space="preserve">hief </w:t>
      </w:r>
      <w:r w:rsidR="00C534F0" w:rsidRPr="00FB2F3D">
        <w:rPr>
          <w:rFonts w:ascii="Arial" w:hAnsi="Arial" w:cs="Arial"/>
          <w:sz w:val="22"/>
          <w:szCs w:val="22"/>
        </w:rPr>
        <w:t>e</w:t>
      </w:r>
      <w:r w:rsidR="00514BD2" w:rsidRPr="00FB2F3D">
        <w:rPr>
          <w:rFonts w:ascii="Arial" w:hAnsi="Arial" w:cs="Arial"/>
          <w:sz w:val="22"/>
          <w:szCs w:val="22"/>
        </w:rPr>
        <w:t>xecutive</w:t>
      </w:r>
      <w:r w:rsidRPr="00FB2F3D">
        <w:rPr>
          <w:rFonts w:ascii="Arial" w:hAnsi="Arial" w:cs="Arial"/>
          <w:sz w:val="22"/>
          <w:szCs w:val="22"/>
        </w:rPr>
        <w:t xml:space="preserve"> as chairman of the Board.</w:t>
      </w:r>
    </w:p>
    <w:p w14:paraId="5BAF2425" w14:textId="77777777" w:rsidR="00162E0C" w:rsidRPr="00FB2F3D" w:rsidRDefault="00162E0C" w:rsidP="00C534F0">
      <w:pPr>
        <w:pStyle w:val="S2Heading8"/>
        <w:rPr>
          <w:rFonts w:ascii="Arial" w:hAnsi="Arial" w:cs="Arial"/>
          <w:sz w:val="22"/>
          <w:szCs w:val="22"/>
        </w:rPr>
      </w:pPr>
      <w:r w:rsidRPr="00FB2F3D">
        <w:rPr>
          <w:rFonts w:ascii="Arial" w:hAnsi="Arial" w:cs="Arial"/>
          <w:sz w:val="22"/>
          <w:szCs w:val="22"/>
        </w:rPr>
        <w:t xml:space="preserve">Except where the positions of the chairman of the board and the </w:t>
      </w:r>
      <w:r w:rsidR="00C534F0" w:rsidRPr="00FB2F3D">
        <w:rPr>
          <w:rFonts w:ascii="Arial" w:hAnsi="Arial" w:cs="Arial"/>
          <w:sz w:val="22"/>
          <w:szCs w:val="22"/>
        </w:rPr>
        <w:t>c</w:t>
      </w:r>
      <w:r w:rsidR="00514BD2" w:rsidRPr="00FB2F3D">
        <w:rPr>
          <w:rFonts w:ascii="Arial" w:hAnsi="Arial" w:cs="Arial"/>
          <w:sz w:val="22"/>
          <w:szCs w:val="22"/>
        </w:rPr>
        <w:t xml:space="preserve">hief </w:t>
      </w:r>
      <w:r w:rsidR="00C534F0" w:rsidRPr="00FB2F3D">
        <w:rPr>
          <w:rFonts w:ascii="Arial" w:hAnsi="Arial" w:cs="Arial"/>
          <w:sz w:val="22"/>
          <w:szCs w:val="22"/>
        </w:rPr>
        <w:t>e</w:t>
      </w:r>
      <w:r w:rsidR="00514BD2" w:rsidRPr="00FB2F3D">
        <w:rPr>
          <w:rFonts w:ascii="Arial" w:hAnsi="Arial" w:cs="Arial"/>
          <w:sz w:val="22"/>
          <w:szCs w:val="22"/>
        </w:rPr>
        <w:t>xecutive</w:t>
      </w:r>
      <w:r w:rsidRPr="00FB2F3D">
        <w:rPr>
          <w:rFonts w:ascii="Arial" w:hAnsi="Arial" w:cs="Arial"/>
          <w:sz w:val="22"/>
          <w:szCs w:val="22"/>
        </w:rPr>
        <w:t xml:space="preserve"> are held by the same person, the division of responsibilities between the chairman and </w:t>
      </w:r>
      <w:r w:rsidR="00C534F0" w:rsidRPr="00FB2F3D">
        <w:rPr>
          <w:rFonts w:ascii="Arial" w:hAnsi="Arial" w:cs="Arial"/>
          <w:sz w:val="22"/>
          <w:szCs w:val="22"/>
        </w:rPr>
        <w:t>chief ex</w:t>
      </w:r>
      <w:r w:rsidR="00514BD2" w:rsidRPr="00FB2F3D">
        <w:rPr>
          <w:rFonts w:ascii="Arial" w:hAnsi="Arial" w:cs="Arial"/>
          <w:sz w:val="22"/>
          <w:szCs w:val="22"/>
        </w:rPr>
        <w:t>ecutive</w:t>
      </w:r>
      <w:r w:rsidRPr="00FB2F3D">
        <w:rPr>
          <w:rFonts w:ascii="Arial" w:hAnsi="Arial" w:cs="Arial"/>
          <w:sz w:val="22"/>
          <w:szCs w:val="22"/>
        </w:rPr>
        <w:t xml:space="preserve"> should be clearly established, set out in writing and agreed to by the Board.</w:t>
      </w:r>
    </w:p>
    <w:p w14:paraId="690A9527"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The chairman should be responsible for providing leadership of the Board, ensuring its effectiveness in all aspects of the Board's role and setting its agenda.</w:t>
      </w:r>
    </w:p>
    <w:p w14:paraId="5608E0B8"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 xml:space="preserve">Except where the positions of the chairman of the Board and the </w:t>
      </w:r>
      <w:r w:rsidR="00C534F0" w:rsidRPr="00FB2F3D">
        <w:rPr>
          <w:rFonts w:ascii="Arial" w:hAnsi="Arial" w:cs="Arial"/>
          <w:sz w:val="22"/>
          <w:szCs w:val="22"/>
        </w:rPr>
        <w:t>chief e</w:t>
      </w:r>
      <w:r w:rsidR="00514BD2" w:rsidRPr="00FB2F3D">
        <w:rPr>
          <w:rFonts w:ascii="Arial" w:hAnsi="Arial" w:cs="Arial"/>
          <w:sz w:val="22"/>
          <w:szCs w:val="22"/>
        </w:rPr>
        <w:t>xecutive</w:t>
      </w:r>
      <w:r w:rsidRPr="00FB2F3D">
        <w:rPr>
          <w:rFonts w:ascii="Arial" w:hAnsi="Arial" w:cs="Arial"/>
          <w:sz w:val="22"/>
          <w:szCs w:val="22"/>
        </w:rPr>
        <w:t xml:space="preserve"> are held by the same individual, the chairman of the Board should meet the independence criteria set out in paragraph </w:t>
      </w:r>
      <w:r w:rsidR="00693841" w:rsidRPr="00FB2F3D">
        <w:rPr>
          <w:rFonts w:ascii="Arial" w:hAnsi="Arial" w:cs="Arial"/>
          <w:sz w:val="22"/>
          <w:szCs w:val="22"/>
        </w:rPr>
        <w:t>31</w:t>
      </w:r>
      <w:r w:rsidRPr="00FB2F3D">
        <w:rPr>
          <w:rFonts w:ascii="Arial" w:hAnsi="Arial" w:cs="Arial"/>
          <w:sz w:val="22"/>
          <w:szCs w:val="22"/>
        </w:rPr>
        <w:t>.</w:t>
      </w:r>
    </w:p>
    <w:p w14:paraId="2DA1CDBC"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The annual report of the </w:t>
      </w:r>
      <w:r w:rsidR="005A10A6" w:rsidRPr="00FB2F3D">
        <w:rPr>
          <w:rFonts w:ascii="Arial" w:hAnsi="Arial" w:cs="Arial"/>
          <w:sz w:val="22"/>
          <w:szCs w:val="22"/>
        </w:rPr>
        <w:t>Reporting Entity</w:t>
      </w:r>
      <w:r w:rsidRPr="00FB2F3D">
        <w:rPr>
          <w:rFonts w:ascii="Arial" w:hAnsi="Arial" w:cs="Arial"/>
          <w:sz w:val="22"/>
          <w:szCs w:val="22"/>
        </w:rPr>
        <w:t xml:space="preserve"> should:</w:t>
      </w:r>
    </w:p>
    <w:p w14:paraId="335E6570" w14:textId="77777777" w:rsidR="00162E0C" w:rsidRPr="00FB2F3D" w:rsidRDefault="00162E0C" w:rsidP="00277917">
      <w:pPr>
        <w:pStyle w:val="S2Heading9"/>
        <w:rPr>
          <w:rFonts w:ascii="Arial" w:hAnsi="Arial" w:cs="Arial"/>
          <w:sz w:val="22"/>
          <w:szCs w:val="22"/>
        </w:rPr>
      </w:pPr>
      <w:r w:rsidRPr="00FB2F3D">
        <w:rPr>
          <w:rFonts w:ascii="Arial" w:hAnsi="Arial" w:cs="Arial"/>
          <w:sz w:val="22"/>
          <w:szCs w:val="22"/>
        </w:rPr>
        <w:lastRenderedPageBreak/>
        <w:t>identify the chairman, the deputy chairman (where there is one)</w:t>
      </w:r>
      <w:r w:rsidR="001E5F58" w:rsidRPr="00FB2F3D">
        <w:rPr>
          <w:rFonts w:ascii="Arial" w:hAnsi="Arial" w:cs="Arial"/>
          <w:sz w:val="22"/>
          <w:szCs w:val="22"/>
        </w:rPr>
        <w:t>, the Directors</w:t>
      </w:r>
      <w:r w:rsidRPr="00FB2F3D">
        <w:rPr>
          <w:rFonts w:ascii="Arial" w:hAnsi="Arial" w:cs="Arial"/>
          <w:sz w:val="22"/>
          <w:szCs w:val="22"/>
        </w:rPr>
        <w:t xml:space="preserve"> and the </w:t>
      </w:r>
      <w:r w:rsidR="00C534F0" w:rsidRPr="00FB2F3D">
        <w:rPr>
          <w:rFonts w:ascii="Arial" w:hAnsi="Arial" w:cs="Arial"/>
          <w:sz w:val="22"/>
          <w:szCs w:val="22"/>
        </w:rPr>
        <w:t>chief e</w:t>
      </w:r>
      <w:r w:rsidR="00514BD2" w:rsidRPr="00FB2F3D">
        <w:rPr>
          <w:rFonts w:ascii="Arial" w:hAnsi="Arial" w:cs="Arial"/>
          <w:sz w:val="22"/>
          <w:szCs w:val="22"/>
        </w:rPr>
        <w:t>xecutive</w:t>
      </w:r>
      <w:r w:rsidRPr="00FB2F3D">
        <w:rPr>
          <w:rFonts w:ascii="Arial" w:hAnsi="Arial" w:cs="Arial"/>
          <w:sz w:val="22"/>
          <w:szCs w:val="22"/>
        </w:rPr>
        <w:t>; and</w:t>
      </w:r>
    </w:p>
    <w:p w14:paraId="47663FBF" w14:textId="77777777" w:rsidR="00162E0C" w:rsidRPr="00FB2F3D" w:rsidRDefault="00162E0C" w:rsidP="00277917">
      <w:pPr>
        <w:pStyle w:val="S2Heading9"/>
        <w:rPr>
          <w:rFonts w:ascii="Arial" w:hAnsi="Arial" w:cs="Arial"/>
          <w:sz w:val="22"/>
          <w:szCs w:val="22"/>
        </w:rPr>
      </w:pPr>
      <w:r w:rsidRPr="00FB2F3D">
        <w:rPr>
          <w:rFonts w:ascii="Arial" w:hAnsi="Arial" w:cs="Arial"/>
          <w:sz w:val="22"/>
          <w:szCs w:val="22"/>
        </w:rPr>
        <w:t>include a high level statement of which types of decisions are to be taken by the Board and which are to be delegated to the Senior Management.</w:t>
      </w:r>
    </w:p>
    <w:p w14:paraId="38A855DC" w14:textId="77777777" w:rsidR="00162E0C" w:rsidRPr="00FB2F3D" w:rsidRDefault="00162E0C" w:rsidP="00277917">
      <w:pPr>
        <w:pStyle w:val="TitleL"/>
        <w:rPr>
          <w:rFonts w:ascii="Arial" w:hAnsi="Arial" w:cs="Arial"/>
          <w:sz w:val="22"/>
          <w:szCs w:val="22"/>
          <w:u w:val="single"/>
        </w:rPr>
      </w:pPr>
      <w:r w:rsidRPr="00FB2F3D">
        <w:rPr>
          <w:rFonts w:ascii="Arial" w:hAnsi="Arial" w:cs="Arial"/>
          <w:sz w:val="22"/>
          <w:szCs w:val="22"/>
          <w:u w:val="single"/>
        </w:rPr>
        <w:t>Principle 3 – Board composition and resources</w:t>
      </w:r>
    </w:p>
    <w:p w14:paraId="2CF299BD" w14:textId="77777777" w:rsidR="00162E0C" w:rsidRPr="00FB2F3D" w:rsidRDefault="00162E0C" w:rsidP="003721B0">
      <w:pPr>
        <w:pStyle w:val="UK12Block05"/>
        <w:keepNext/>
        <w:rPr>
          <w:rFonts w:ascii="Arial" w:hAnsi="Arial" w:cs="Arial"/>
          <w:sz w:val="22"/>
          <w:szCs w:val="22"/>
        </w:rPr>
      </w:pPr>
      <w:r w:rsidRPr="00FB2F3D">
        <w:rPr>
          <w:rFonts w:ascii="Arial" w:hAnsi="Arial" w:cs="Arial"/>
          <w:sz w:val="22"/>
          <w:szCs w:val="22"/>
        </w:rPr>
        <w:t>Rule </w:t>
      </w:r>
      <w:r w:rsidR="00693841" w:rsidRPr="00FB2F3D">
        <w:rPr>
          <w:rFonts w:ascii="Arial" w:hAnsi="Arial" w:cs="Arial"/>
          <w:sz w:val="22"/>
          <w:szCs w:val="22"/>
        </w:rPr>
        <w:t>9.2.5</w:t>
      </w:r>
    </w:p>
    <w:p w14:paraId="72009FB4" w14:textId="77777777" w:rsidR="00162E0C" w:rsidRPr="00FB2F3D" w:rsidRDefault="00162E0C" w:rsidP="005A10A6">
      <w:pPr>
        <w:pStyle w:val="UK12Block05"/>
        <w:rPr>
          <w:rFonts w:ascii="Arial" w:hAnsi="Arial" w:cs="Arial"/>
          <w:sz w:val="22"/>
          <w:szCs w:val="22"/>
        </w:rPr>
      </w:pPr>
      <w:r w:rsidRPr="00FB2F3D">
        <w:rPr>
          <w:rFonts w:ascii="Arial" w:hAnsi="Arial" w:cs="Arial"/>
          <w:sz w:val="22"/>
          <w:szCs w:val="22"/>
        </w:rPr>
        <w:t xml:space="preserve">"The Board and its committees must have an appropriate balance of skills, experience, independence and knowledge of the </w:t>
      </w:r>
      <w:r w:rsidR="005A10A6" w:rsidRPr="00FB2F3D">
        <w:rPr>
          <w:rFonts w:ascii="Arial" w:hAnsi="Arial" w:cs="Arial"/>
          <w:sz w:val="22"/>
          <w:szCs w:val="22"/>
        </w:rPr>
        <w:t>Reporting Entity</w:t>
      </w:r>
      <w:r w:rsidRPr="00FB2F3D">
        <w:rPr>
          <w:rFonts w:ascii="Arial" w:hAnsi="Arial" w:cs="Arial"/>
          <w:sz w:val="22"/>
          <w:szCs w:val="22"/>
        </w:rPr>
        <w:t xml:space="preserve">'s business, and adequate resources, including access to expertise as required and timely and comprehensive information relating to the affairs of the </w:t>
      </w:r>
      <w:r w:rsidR="005A10A6" w:rsidRPr="00FB2F3D">
        <w:rPr>
          <w:rFonts w:ascii="Arial" w:hAnsi="Arial" w:cs="Arial"/>
          <w:sz w:val="22"/>
          <w:szCs w:val="22"/>
        </w:rPr>
        <w:t>Reporting Entity</w:t>
      </w:r>
      <w:r w:rsidRPr="00FB2F3D">
        <w:rPr>
          <w:rFonts w:ascii="Arial" w:hAnsi="Arial" w:cs="Arial"/>
          <w:sz w:val="22"/>
          <w:szCs w:val="22"/>
        </w:rPr>
        <w:t>."</w:t>
      </w:r>
    </w:p>
    <w:p w14:paraId="1CFBB780" w14:textId="77777777" w:rsidR="00162E0C" w:rsidRPr="00FB2F3D" w:rsidRDefault="00162E0C" w:rsidP="00277917">
      <w:pPr>
        <w:pStyle w:val="TitleL"/>
        <w:rPr>
          <w:rFonts w:ascii="Arial" w:hAnsi="Arial" w:cs="Arial"/>
          <w:sz w:val="22"/>
          <w:szCs w:val="22"/>
        </w:rPr>
      </w:pPr>
      <w:r w:rsidRPr="00FB2F3D">
        <w:rPr>
          <w:rFonts w:ascii="Arial" w:hAnsi="Arial" w:cs="Arial"/>
          <w:sz w:val="22"/>
          <w:szCs w:val="22"/>
        </w:rPr>
        <w:t>Balance of skills and independence</w:t>
      </w:r>
    </w:p>
    <w:p w14:paraId="7FBB6DC2"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A major consideration that underpins the effectiveness of the Board is the availability at the Board level of the relevant skills, expertise and resources as are necessary to discharge the Board functions, taking d</w:t>
      </w:r>
      <w:r w:rsidR="001E5F58" w:rsidRPr="00FB2F3D">
        <w:rPr>
          <w:rFonts w:ascii="Arial" w:hAnsi="Arial" w:cs="Arial"/>
          <w:sz w:val="22"/>
          <w:szCs w:val="22"/>
        </w:rPr>
        <w:t xml:space="preserve">ue account of the nature, scale, diversity </w:t>
      </w:r>
      <w:r w:rsidRPr="00FB2F3D">
        <w:rPr>
          <w:rFonts w:ascii="Arial" w:hAnsi="Arial" w:cs="Arial"/>
          <w:sz w:val="22"/>
          <w:szCs w:val="22"/>
        </w:rPr>
        <w:t xml:space="preserve">and complexity of the business of the </w:t>
      </w:r>
      <w:r w:rsidR="005A10A6" w:rsidRPr="00FB2F3D">
        <w:rPr>
          <w:rFonts w:ascii="Arial" w:hAnsi="Arial" w:cs="Arial"/>
          <w:sz w:val="22"/>
          <w:szCs w:val="22"/>
        </w:rPr>
        <w:t>Reporting Entity</w:t>
      </w:r>
      <w:r w:rsidRPr="00FB2F3D">
        <w:rPr>
          <w:rFonts w:ascii="Arial" w:hAnsi="Arial" w:cs="Arial"/>
          <w:sz w:val="22"/>
          <w:szCs w:val="22"/>
        </w:rPr>
        <w:t>.</w:t>
      </w:r>
    </w:p>
    <w:p w14:paraId="546E9786"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It may well be that no single Director has all the knowledge, skills and expertise needed by a Board to discharge its functions. The Board should have an appropriate number and mix of individuals to ensure that there is an overall adequate level of knowledge, skills and expertise commensurate with the nature, scale and complexity of the business of the </w:t>
      </w:r>
      <w:r w:rsidR="005A10A6" w:rsidRPr="00FB2F3D">
        <w:rPr>
          <w:rFonts w:ascii="Arial" w:hAnsi="Arial" w:cs="Arial"/>
          <w:sz w:val="22"/>
          <w:szCs w:val="22"/>
        </w:rPr>
        <w:t>Reporting Entity</w:t>
      </w:r>
      <w:r w:rsidRPr="00FB2F3D">
        <w:rPr>
          <w:rFonts w:ascii="Arial" w:hAnsi="Arial" w:cs="Arial"/>
          <w:sz w:val="22"/>
          <w:szCs w:val="22"/>
        </w:rPr>
        <w:t>.</w:t>
      </w:r>
    </w:p>
    <w:p w14:paraId="31B7C6D3"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In order to ensure that the Board is equipped with the necessary skills, expertise and resources appropriate to the business of the </w:t>
      </w:r>
      <w:r w:rsidR="005A10A6" w:rsidRPr="00FB2F3D">
        <w:rPr>
          <w:rFonts w:ascii="Arial" w:hAnsi="Arial" w:cs="Arial"/>
          <w:sz w:val="22"/>
          <w:szCs w:val="22"/>
        </w:rPr>
        <w:t>Reporting Entity</w:t>
      </w:r>
      <w:r w:rsidRPr="00FB2F3D">
        <w:rPr>
          <w:rFonts w:ascii="Arial" w:hAnsi="Arial" w:cs="Arial"/>
          <w:sz w:val="22"/>
          <w:szCs w:val="22"/>
        </w:rPr>
        <w:t>, there should be a formal, rigorous and transparent procedure for the appointment of Directors to the Board. Appointments to the Board should be made on merit and against objective criteria, with due regard to the benefits of diversity on the Board. Care should be taken to ensure that appointees have enough time available to devote to the job. This is particularly important in the case of chairmanships.</w:t>
      </w:r>
    </w:p>
    <w:p w14:paraId="725349A4"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All Directors should be submitted for re</w:t>
      </w:r>
      <w:r w:rsidRPr="00FB2F3D">
        <w:rPr>
          <w:rFonts w:ascii="Arial" w:hAnsi="Arial" w:cs="Arial"/>
          <w:sz w:val="22"/>
          <w:szCs w:val="22"/>
        </w:rPr>
        <w:noBreakHyphen/>
        <w:t>appointment at regular intervals, subject to continued satisfactory performance. The Board should ensure planned and progressive refreshing of the Board to ensure the on</w:t>
      </w:r>
      <w:r w:rsidRPr="00FB2F3D">
        <w:rPr>
          <w:rFonts w:ascii="Arial" w:hAnsi="Arial" w:cs="Arial"/>
          <w:sz w:val="22"/>
          <w:szCs w:val="22"/>
        </w:rPr>
        <w:noBreakHyphen/>
        <w:t xml:space="preserve">going effectiveness of the Board, particularly the objectivity of the decision making by the Board and maintaining the skills and expertise as relevant to the </w:t>
      </w:r>
      <w:r w:rsidR="005A10A6" w:rsidRPr="00FB2F3D">
        <w:rPr>
          <w:rFonts w:ascii="Arial" w:hAnsi="Arial" w:cs="Arial"/>
          <w:sz w:val="22"/>
          <w:szCs w:val="22"/>
        </w:rPr>
        <w:t>Reporting Entity</w:t>
      </w:r>
      <w:r w:rsidRPr="00FB2F3D">
        <w:rPr>
          <w:rFonts w:ascii="Arial" w:hAnsi="Arial" w:cs="Arial"/>
          <w:sz w:val="22"/>
          <w:szCs w:val="22"/>
        </w:rPr>
        <w:t>'s business.</w:t>
      </w:r>
    </w:p>
    <w:p w14:paraId="003D133D"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All Directors should be subject to election by </w:t>
      </w:r>
      <w:r w:rsidR="00B46F00" w:rsidRPr="00FB2F3D">
        <w:rPr>
          <w:rFonts w:ascii="Arial" w:hAnsi="Arial" w:cs="Arial"/>
          <w:sz w:val="22"/>
          <w:szCs w:val="22"/>
        </w:rPr>
        <w:t>Shareholder</w:t>
      </w:r>
      <w:r w:rsidRPr="00FB2F3D">
        <w:rPr>
          <w:rFonts w:ascii="Arial" w:hAnsi="Arial" w:cs="Arial"/>
          <w:sz w:val="22"/>
          <w:szCs w:val="22"/>
        </w:rPr>
        <w:t>s at the first annual general meeting after their appointment, and to re</w:t>
      </w:r>
      <w:r w:rsidRPr="00FB2F3D">
        <w:rPr>
          <w:rFonts w:ascii="Arial" w:hAnsi="Arial" w:cs="Arial"/>
          <w:sz w:val="22"/>
          <w:szCs w:val="22"/>
        </w:rPr>
        <w:noBreakHyphen/>
        <w:t>election thereafter at intervals of no more than three years. The Board should satisfy itself that there is adequate succession planning in respect of Board membership and the Senior Management, so as to ensure an orderly and smooth change</w:t>
      </w:r>
      <w:r w:rsidRPr="00FB2F3D">
        <w:rPr>
          <w:rFonts w:ascii="Arial" w:hAnsi="Arial" w:cs="Arial"/>
          <w:sz w:val="22"/>
          <w:szCs w:val="22"/>
        </w:rPr>
        <w:noBreakHyphen/>
        <w:t xml:space="preserve">over of positions whilst maintaining an appropriate balance of skills and experience within the </w:t>
      </w:r>
      <w:r w:rsidR="005A10A6" w:rsidRPr="00FB2F3D">
        <w:rPr>
          <w:rFonts w:ascii="Arial" w:hAnsi="Arial" w:cs="Arial"/>
          <w:sz w:val="22"/>
          <w:szCs w:val="22"/>
        </w:rPr>
        <w:t>Reporting Entity</w:t>
      </w:r>
      <w:r w:rsidRPr="00FB2F3D">
        <w:rPr>
          <w:rFonts w:ascii="Arial" w:hAnsi="Arial" w:cs="Arial"/>
          <w:sz w:val="22"/>
          <w:szCs w:val="22"/>
        </w:rPr>
        <w:t xml:space="preserve"> and on the Board.</w:t>
      </w:r>
    </w:p>
    <w:p w14:paraId="4217CBF9"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lastRenderedPageBreak/>
        <w:t>Chairman</w:t>
      </w:r>
    </w:p>
    <w:p w14:paraId="25F8EDDF"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For the appointment of a chairman, there should be a job specification, and an objective assessment against the relevant criteria including an assessment of the time commitment expected, recognising the need for availability in the event of crises. Generally, the nomination committee should undertake this function. A chairman's other significant commitments should be disclosed to the Board before appointment and included in the annual report. Changes to such commitments should be reported to the Board as they arise, and their impact explained in the next annual report.</w:t>
      </w:r>
    </w:p>
    <w:p w14:paraId="59CA40C7"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The chairman should ensure that new Directors receive an appropriate induction on joining the Board. The chairman should ensure that the Directors continually update their skills and their knowledge and familiarity with the </w:t>
      </w:r>
      <w:r w:rsidR="005A10A6" w:rsidRPr="00FB2F3D">
        <w:rPr>
          <w:rFonts w:ascii="Arial" w:hAnsi="Arial" w:cs="Arial"/>
          <w:sz w:val="22"/>
          <w:szCs w:val="22"/>
        </w:rPr>
        <w:t>Reporting Entity</w:t>
      </w:r>
      <w:r w:rsidRPr="00FB2F3D">
        <w:rPr>
          <w:rFonts w:ascii="Arial" w:hAnsi="Arial" w:cs="Arial"/>
          <w:sz w:val="22"/>
          <w:szCs w:val="22"/>
        </w:rPr>
        <w:t xml:space="preserve"> required in fulfilling their role both on the Board and its committees. All Directors should have appropriate knowledge of the </w:t>
      </w:r>
      <w:r w:rsidR="005A10A6" w:rsidRPr="00FB2F3D">
        <w:rPr>
          <w:rFonts w:ascii="Arial" w:hAnsi="Arial" w:cs="Arial"/>
          <w:sz w:val="22"/>
          <w:szCs w:val="22"/>
        </w:rPr>
        <w:t>Reporting Entity</w:t>
      </w:r>
      <w:r w:rsidRPr="00FB2F3D">
        <w:rPr>
          <w:rFonts w:ascii="Arial" w:hAnsi="Arial" w:cs="Arial"/>
          <w:sz w:val="22"/>
          <w:szCs w:val="22"/>
        </w:rPr>
        <w:t xml:space="preserve"> and should be provided with adequate access to its operations and staff to carry out their respective responsibilities.</w:t>
      </w:r>
    </w:p>
    <w:p w14:paraId="3F23F80C"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The </w:t>
      </w:r>
      <w:r w:rsidR="005A10A6" w:rsidRPr="00FB2F3D">
        <w:rPr>
          <w:rFonts w:ascii="Arial" w:hAnsi="Arial" w:cs="Arial"/>
          <w:sz w:val="22"/>
          <w:szCs w:val="22"/>
        </w:rPr>
        <w:t>Reporting Entity</w:t>
      </w:r>
      <w:r w:rsidRPr="00FB2F3D">
        <w:rPr>
          <w:rFonts w:ascii="Arial" w:hAnsi="Arial" w:cs="Arial"/>
          <w:sz w:val="22"/>
          <w:szCs w:val="22"/>
        </w:rPr>
        <w:t xml:space="preserve"> should provide the necessary resources for developing and updating its Directors' knowledge and capabilities. The chairman should regularly review and agree with each Director their training and development needs.</w:t>
      </w:r>
    </w:p>
    <w:p w14:paraId="61EFB175" w14:textId="77777777" w:rsidR="00162E0C" w:rsidRPr="00FB2F3D" w:rsidRDefault="00162E0C" w:rsidP="00277917">
      <w:pPr>
        <w:pStyle w:val="TitleL"/>
        <w:rPr>
          <w:rFonts w:ascii="Arial" w:hAnsi="Arial" w:cs="Arial"/>
          <w:sz w:val="22"/>
          <w:szCs w:val="22"/>
        </w:rPr>
      </w:pPr>
      <w:r w:rsidRPr="00FB2F3D">
        <w:rPr>
          <w:rFonts w:ascii="Arial" w:hAnsi="Arial" w:cs="Arial"/>
          <w:sz w:val="22"/>
          <w:szCs w:val="22"/>
        </w:rPr>
        <w:t>Executive and non</w:t>
      </w:r>
      <w:r w:rsidRPr="00FB2F3D">
        <w:rPr>
          <w:rFonts w:ascii="Arial" w:hAnsi="Arial" w:cs="Arial"/>
          <w:sz w:val="22"/>
          <w:szCs w:val="22"/>
        </w:rPr>
        <w:noBreakHyphen/>
        <w:t xml:space="preserve">executive </w:t>
      </w:r>
      <w:r w:rsidR="002A1DA9" w:rsidRPr="00FB2F3D">
        <w:rPr>
          <w:rFonts w:ascii="Arial" w:hAnsi="Arial" w:cs="Arial"/>
          <w:sz w:val="22"/>
          <w:szCs w:val="22"/>
        </w:rPr>
        <w:t>Directors</w:t>
      </w:r>
    </w:p>
    <w:p w14:paraId="4377D22F"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The Board should include a balance of executive and non</w:t>
      </w:r>
      <w:r w:rsidRPr="00FB2F3D">
        <w:rPr>
          <w:rFonts w:ascii="Arial" w:hAnsi="Arial" w:cs="Arial"/>
          <w:sz w:val="22"/>
          <w:szCs w:val="22"/>
        </w:rPr>
        <w:noBreakHyphen/>
        <w:t>executive Directors (including independent non</w:t>
      </w:r>
      <w:r w:rsidRPr="00FB2F3D">
        <w:rPr>
          <w:rFonts w:ascii="Arial" w:hAnsi="Arial" w:cs="Arial"/>
          <w:sz w:val="22"/>
          <w:szCs w:val="22"/>
        </w:rPr>
        <w:noBreakHyphen/>
        <w:t>executive Directors). No individual or small group of individuals should be able to dominate the Board's decision making. At least one third of the Board should comprise non</w:t>
      </w:r>
      <w:r w:rsidRPr="00FB2F3D">
        <w:rPr>
          <w:rFonts w:ascii="Arial" w:hAnsi="Arial" w:cs="Arial"/>
          <w:sz w:val="22"/>
          <w:szCs w:val="22"/>
        </w:rPr>
        <w:noBreakHyphen/>
        <w:t>executive Directors, of which at least two non</w:t>
      </w:r>
      <w:r w:rsidRPr="00FB2F3D">
        <w:rPr>
          <w:rFonts w:ascii="Arial" w:hAnsi="Arial" w:cs="Arial"/>
          <w:sz w:val="22"/>
          <w:szCs w:val="22"/>
        </w:rPr>
        <w:noBreakHyphen/>
        <w:t>executive Directors should be independent.</w:t>
      </w:r>
    </w:p>
    <w:p w14:paraId="66C73881" w14:textId="2F1B6F5A" w:rsidR="00162E0C" w:rsidRPr="00FB2F3D" w:rsidRDefault="00162E0C" w:rsidP="005A10A6">
      <w:pPr>
        <w:pStyle w:val="S2Heading8"/>
        <w:rPr>
          <w:rFonts w:ascii="Arial" w:hAnsi="Arial" w:cs="Arial"/>
          <w:sz w:val="22"/>
          <w:szCs w:val="22"/>
        </w:rPr>
      </w:pPr>
      <w:bookmarkStart w:id="961" w:name="_Ref416815176"/>
      <w:r w:rsidRPr="00FB2F3D">
        <w:rPr>
          <w:rFonts w:ascii="Arial" w:hAnsi="Arial" w:cs="Arial"/>
          <w:sz w:val="22"/>
          <w:szCs w:val="22"/>
        </w:rPr>
        <w:t>The Board should consider a non</w:t>
      </w:r>
      <w:r w:rsidRPr="00FB2F3D">
        <w:rPr>
          <w:rFonts w:ascii="Arial" w:hAnsi="Arial" w:cs="Arial"/>
          <w:sz w:val="22"/>
          <w:szCs w:val="22"/>
        </w:rPr>
        <w:noBreakHyphen/>
        <w:t xml:space="preserve">executive Director to be "independent" if that Director meets, upon an assessment, objective criteria of independence set by the Board. Such independence criteria should encompass independence in character and judgement of the individual by having no commercial or other relationships or circumstances which are likely to affect or could appear to impair his judgement in a manner other than in the best interests of the </w:t>
      </w:r>
      <w:r w:rsidR="005A10A6" w:rsidRPr="00FB2F3D">
        <w:rPr>
          <w:rFonts w:ascii="Arial" w:hAnsi="Arial" w:cs="Arial"/>
          <w:sz w:val="22"/>
          <w:szCs w:val="22"/>
        </w:rPr>
        <w:t>Reporting Entity</w:t>
      </w:r>
      <w:r w:rsidRPr="00FB2F3D">
        <w:rPr>
          <w:rFonts w:ascii="Arial" w:hAnsi="Arial" w:cs="Arial"/>
          <w:sz w:val="22"/>
          <w:szCs w:val="22"/>
        </w:rPr>
        <w:t xml:space="preserve">. In making the assessment of independence against such criteria, the Board should consider matters such as whether the </w:t>
      </w:r>
      <w:r w:rsidR="00B03204">
        <w:rPr>
          <w:rFonts w:ascii="Arial" w:hAnsi="Arial" w:cs="Arial"/>
          <w:sz w:val="22"/>
          <w:szCs w:val="22"/>
        </w:rPr>
        <w:t>P</w:t>
      </w:r>
      <w:r w:rsidRPr="00FB2F3D">
        <w:rPr>
          <w:rFonts w:ascii="Arial" w:hAnsi="Arial" w:cs="Arial"/>
          <w:sz w:val="22"/>
          <w:szCs w:val="22"/>
        </w:rPr>
        <w:t>erson:</w:t>
      </w:r>
      <w:bookmarkEnd w:id="961"/>
    </w:p>
    <w:p w14:paraId="03CF8821" w14:textId="77777777" w:rsidR="00162E0C" w:rsidRPr="00FB2F3D" w:rsidRDefault="00162E0C" w:rsidP="00277917">
      <w:pPr>
        <w:pStyle w:val="S2Heading9"/>
        <w:rPr>
          <w:rFonts w:ascii="Arial" w:hAnsi="Arial" w:cs="Arial"/>
          <w:sz w:val="22"/>
          <w:szCs w:val="22"/>
        </w:rPr>
      </w:pPr>
      <w:r w:rsidRPr="00FB2F3D">
        <w:rPr>
          <w:rFonts w:ascii="Arial" w:hAnsi="Arial" w:cs="Arial"/>
          <w:sz w:val="22"/>
          <w:szCs w:val="22"/>
        </w:rPr>
        <w:t>has already served as a member of the Board for a significant period;</w:t>
      </w:r>
    </w:p>
    <w:p w14:paraId="4BA6169B" w14:textId="77777777" w:rsidR="00162E0C" w:rsidRPr="00FB2F3D" w:rsidRDefault="00162E0C" w:rsidP="005A10A6">
      <w:pPr>
        <w:pStyle w:val="S2Heading9"/>
        <w:rPr>
          <w:rFonts w:ascii="Arial" w:hAnsi="Arial" w:cs="Arial"/>
          <w:sz w:val="22"/>
          <w:szCs w:val="22"/>
        </w:rPr>
      </w:pPr>
      <w:r w:rsidRPr="00FB2F3D">
        <w:rPr>
          <w:rFonts w:ascii="Arial" w:hAnsi="Arial" w:cs="Arial"/>
          <w:sz w:val="22"/>
          <w:szCs w:val="22"/>
        </w:rPr>
        <w:t xml:space="preserve">has been an Employee of the </w:t>
      </w:r>
      <w:r w:rsidR="005A10A6" w:rsidRPr="00FB2F3D">
        <w:rPr>
          <w:rFonts w:ascii="Arial" w:hAnsi="Arial" w:cs="Arial"/>
          <w:sz w:val="22"/>
          <w:szCs w:val="22"/>
        </w:rPr>
        <w:t>Reporting Entity</w:t>
      </w:r>
      <w:r w:rsidRPr="00FB2F3D">
        <w:rPr>
          <w:rFonts w:ascii="Arial" w:hAnsi="Arial" w:cs="Arial"/>
          <w:sz w:val="22"/>
          <w:szCs w:val="22"/>
        </w:rPr>
        <w:t xml:space="preserve"> or a member of the Group within the last five years;</w:t>
      </w:r>
    </w:p>
    <w:p w14:paraId="3DBE1020" w14:textId="77777777" w:rsidR="00162E0C" w:rsidRPr="00FB2F3D" w:rsidRDefault="00162E0C" w:rsidP="005A10A6">
      <w:pPr>
        <w:pStyle w:val="S2Heading9"/>
        <w:rPr>
          <w:rFonts w:ascii="Arial" w:hAnsi="Arial" w:cs="Arial"/>
          <w:sz w:val="22"/>
          <w:szCs w:val="22"/>
        </w:rPr>
      </w:pPr>
      <w:r w:rsidRPr="00FB2F3D">
        <w:rPr>
          <w:rFonts w:ascii="Arial" w:hAnsi="Arial" w:cs="Arial"/>
          <w:sz w:val="22"/>
          <w:szCs w:val="22"/>
        </w:rPr>
        <w:t xml:space="preserve">has or has had, within the last three years, a material business relationship with the </w:t>
      </w:r>
      <w:r w:rsidR="005A10A6" w:rsidRPr="00FB2F3D">
        <w:rPr>
          <w:rFonts w:ascii="Arial" w:hAnsi="Arial" w:cs="Arial"/>
          <w:sz w:val="22"/>
          <w:szCs w:val="22"/>
        </w:rPr>
        <w:t>Reporting Entity</w:t>
      </w:r>
      <w:r w:rsidR="00F767DE" w:rsidRPr="00FB2F3D">
        <w:rPr>
          <w:rFonts w:ascii="Arial" w:hAnsi="Arial" w:cs="Arial"/>
          <w:sz w:val="22"/>
          <w:szCs w:val="22"/>
        </w:rPr>
        <w:t>, either directly or as a P</w:t>
      </w:r>
      <w:r w:rsidRPr="00FB2F3D">
        <w:rPr>
          <w:rFonts w:ascii="Arial" w:hAnsi="Arial" w:cs="Arial"/>
          <w:sz w:val="22"/>
          <w:szCs w:val="22"/>
        </w:rPr>
        <w:t xml:space="preserve">artner, </w:t>
      </w:r>
      <w:r w:rsidR="00B46F00" w:rsidRPr="00FB2F3D">
        <w:rPr>
          <w:rFonts w:ascii="Arial" w:hAnsi="Arial" w:cs="Arial"/>
          <w:sz w:val="22"/>
          <w:szCs w:val="22"/>
        </w:rPr>
        <w:t>Shareholder</w:t>
      </w:r>
      <w:r w:rsidRPr="00FB2F3D">
        <w:rPr>
          <w:rFonts w:ascii="Arial" w:hAnsi="Arial" w:cs="Arial"/>
          <w:sz w:val="22"/>
          <w:szCs w:val="22"/>
        </w:rPr>
        <w:t xml:space="preserve">, Director or senior Employee of another body that has such a relationship with the </w:t>
      </w:r>
      <w:r w:rsidR="005A10A6" w:rsidRPr="00FB2F3D">
        <w:rPr>
          <w:rFonts w:ascii="Arial" w:hAnsi="Arial" w:cs="Arial"/>
          <w:sz w:val="22"/>
          <w:szCs w:val="22"/>
        </w:rPr>
        <w:t>Reporting Entity</w:t>
      </w:r>
      <w:r w:rsidRPr="00FB2F3D">
        <w:rPr>
          <w:rFonts w:ascii="Arial" w:hAnsi="Arial" w:cs="Arial"/>
          <w:sz w:val="22"/>
          <w:szCs w:val="22"/>
        </w:rPr>
        <w:t>;</w:t>
      </w:r>
    </w:p>
    <w:p w14:paraId="3F7D70F8" w14:textId="77777777" w:rsidR="00162E0C" w:rsidRPr="00FB2F3D" w:rsidRDefault="00162E0C" w:rsidP="005A10A6">
      <w:pPr>
        <w:pStyle w:val="S2Heading9"/>
        <w:rPr>
          <w:rFonts w:ascii="Arial" w:hAnsi="Arial" w:cs="Arial"/>
          <w:sz w:val="22"/>
          <w:szCs w:val="22"/>
        </w:rPr>
      </w:pPr>
      <w:r w:rsidRPr="00FB2F3D">
        <w:rPr>
          <w:rFonts w:ascii="Arial" w:hAnsi="Arial" w:cs="Arial"/>
          <w:sz w:val="22"/>
          <w:szCs w:val="22"/>
        </w:rPr>
        <w:t>receives or has received, in the last three years</w:t>
      </w:r>
      <w:r w:rsidR="000D027C" w:rsidRPr="00FB2F3D">
        <w:rPr>
          <w:rFonts w:ascii="Arial" w:hAnsi="Arial" w:cs="Arial"/>
          <w:sz w:val="22"/>
          <w:szCs w:val="22"/>
        </w:rPr>
        <w:t>,</w:t>
      </w:r>
      <w:r w:rsidRPr="00FB2F3D">
        <w:rPr>
          <w:rFonts w:ascii="Arial" w:hAnsi="Arial" w:cs="Arial"/>
          <w:sz w:val="22"/>
          <w:szCs w:val="22"/>
        </w:rPr>
        <w:t xml:space="preserve"> additional remuneration or payments from the </w:t>
      </w:r>
      <w:r w:rsidR="005A10A6" w:rsidRPr="00FB2F3D">
        <w:rPr>
          <w:rFonts w:ascii="Arial" w:hAnsi="Arial" w:cs="Arial"/>
          <w:sz w:val="22"/>
          <w:szCs w:val="22"/>
        </w:rPr>
        <w:t>Reporting Entity</w:t>
      </w:r>
      <w:r w:rsidRPr="00FB2F3D">
        <w:rPr>
          <w:rFonts w:ascii="Arial" w:hAnsi="Arial" w:cs="Arial"/>
          <w:sz w:val="22"/>
          <w:szCs w:val="22"/>
        </w:rPr>
        <w:t xml:space="preserve"> apart from a Director's fee, or participates in the </w:t>
      </w:r>
      <w:r w:rsidR="005A10A6" w:rsidRPr="00FB2F3D">
        <w:rPr>
          <w:rFonts w:ascii="Arial" w:hAnsi="Arial" w:cs="Arial"/>
          <w:sz w:val="22"/>
          <w:szCs w:val="22"/>
        </w:rPr>
        <w:t>Reporting Entity</w:t>
      </w:r>
      <w:r w:rsidRPr="00FB2F3D">
        <w:rPr>
          <w:rFonts w:ascii="Arial" w:hAnsi="Arial" w:cs="Arial"/>
          <w:sz w:val="22"/>
          <w:szCs w:val="22"/>
        </w:rPr>
        <w:t xml:space="preserve">'s </w:t>
      </w:r>
      <w:r w:rsidR="00CA15B4" w:rsidRPr="00FB2F3D">
        <w:rPr>
          <w:rFonts w:ascii="Arial" w:hAnsi="Arial" w:cs="Arial"/>
          <w:sz w:val="22"/>
          <w:szCs w:val="22"/>
        </w:rPr>
        <w:t>Share</w:t>
      </w:r>
      <w:r w:rsidRPr="00FB2F3D">
        <w:rPr>
          <w:rFonts w:ascii="Arial" w:hAnsi="Arial" w:cs="Arial"/>
          <w:sz w:val="22"/>
          <w:szCs w:val="22"/>
        </w:rPr>
        <w:t xml:space="preserve"> option, or </w:t>
      </w:r>
      <w:r w:rsidRPr="00FB2F3D">
        <w:rPr>
          <w:rFonts w:ascii="Arial" w:hAnsi="Arial" w:cs="Arial"/>
          <w:sz w:val="22"/>
          <w:szCs w:val="22"/>
        </w:rPr>
        <w:lastRenderedPageBreak/>
        <w:t>a performance</w:t>
      </w:r>
      <w:r w:rsidRPr="00FB2F3D">
        <w:rPr>
          <w:rFonts w:ascii="Arial" w:hAnsi="Arial" w:cs="Arial"/>
          <w:sz w:val="22"/>
          <w:szCs w:val="22"/>
        </w:rPr>
        <w:noBreakHyphen/>
        <w:t xml:space="preserve">related pay scheme, or is a member of the </w:t>
      </w:r>
      <w:r w:rsidR="005A10A6" w:rsidRPr="00FB2F3D">
        <w:rPr>
          <w:rFonts w:ascii="Arial" w:hAnsi="Arial" w:cs="Arial"/>
          <w:sz w:val="22"/>
          <w:szCs w:val="22"/>
        </w:rPr>
        <w:t>Reporting Entity</w:t>
      </w:r>
      <w:r w:rsidRPr="00FB2F3D">
        <w:rPr>
          <w:rFonts w:ascii="Arial" w:hAnsi="Arial" w:cs="Arial"/>
          <w:sz w:val="22"/>
          <w:szCs w:val="22"/>
        </w:rPr>
        <w:t>'s pension scheme;</w:t>
      </w:r>
    </w:p>
    <w:p w14:paraId="4A63AFA9" w14:textId="77777777" w:rsidR="00162E0C" w:rsidRPr="00FB2F3D" w:rsidRDefault="00F767DE" w:rsidP="005A10A6">
      <w:pPr>
        <w:pStyle w:val="S2Heading9"/>
        <w:rPr>
          <w:rFonts w:ascii="Arial" w:hAnsi="Arial" w:cs="Arial"/>
          <w:sz w:val="22"/>
          <w:szCs w:val="22"/>
        </w:rPr>
      </w:pPr>
      <w:r w:rsidRPr="00FB2F3D">
        <w:rPr>
          <w:rFonts w:ascii="Arial" w:hAnsi="Arial" w:cs="Arial"/>
          <w:sz w:val="22"/>
          <w:szCs w:val="22"/>
        </w:rPr>
        <w:t>is or has been a Director, P</w:t>
      </w:r>
      <w:r w:rsidR="00162E0C" w:rsidRPr="00FB2F3D">
        <w:rPr>
          <w:rFonts w:ascii="Arial" w:hAnsi="Arial" w:cs="Arial"/>
          <w:sz w:val="22"/>
          <w:szCs w:val="22"/>
        </w:rPr>
        <w:t xml:space="preserve">artner or </w:t>
      </w:r>
      <w:r w:rsidR="002A1DA9" w:rsidRPr="00FB2F3D">
        <w:rPr>
          <w:rFonts w:ascii="Arial" w:hAnsi="Arial" w:cs="Arial"/>
          <w:sz w:val="22"/>
          <w:szCs w:val="22"/>
        </w:rPr>
        <w:t>Employee</w:t>
      </w:r>
      <w:r w:rsidR="00162E0C" w:rsidRPr="00FB2F3D">
        <w:rPr>
          <w:rFonts w:ascii="Arial" w:hAnsi="Arial" w:cs="Arial"/>
          <w:sz w:val="22"/>
          <w:szCs w:val="22"/>
        </w:rPr>
        <w:t xml:space="preserve"> of a firm which is the </w:t>
      </w:r>
      <w:r w:rsidR="005A10A6" w:rsidRPr="00FB2F3D">
        <w:rPr>
          <w:rFonts w:ascii="Arial" w:hAnsi="Arial" w:cs="Arial"/>
          <w:sz w:val="22"/>
          <w:szCs w:val="22"/>
        </w:rPr>
        <w:t>Reporting Entity</w:t>
      </w:r>
      <w:r w:rsidR="00162E0C" w:rsidRPr="00FB2F3D">
        <w:rPr>
          <w:rFonts w:ascii="Arial" w:hAnsi="Arial" w:cs="Arial"/>
          <w:sz w:val="22"/>
          <w:szCs w:val="22"/>
        </w:rPr>
        <w:t xml:space="preserve">'s external </w:t>
      </w:r>
      <w:r w:rsidR="00A85262" w:rsidRPr="00FB2F3D">
        <w:rPr>
          <w:rFonts w:ascii="Arial" w:hAnsi="Arial" w:cs="Arial"/>
          <w:sz w:val="22"/>
          <w:szCs w:val="22"/>
        </w:rPr>
        <w:t>auditor</w:t>
      </w:r>
      <w:r w:rsidR="00162E0C" w:rsidRPr="00FB2F3D">
        <w:rPr>
          <w:rFonts w:ascii="Arial" w:hAnsi="Arial" w:cs="Arial"/>
          <w:sz w:val="22"/>
          <w:szCs w:val="22"/>
        </w:rPr>
        <w:t>;</w:t>
      </w:r>
    </w:p>
    <w:p w14:paraId="6D56D0DD" w14:textId="77777777" w:rsidR="00162E0C" w:rsidRPr="00FB2F3D" w:rsidRDefault="00162E0C" w:rsidP="005A10A6">
      <w:pPr>
        <w:pStyle w:val="S2Heading9"/>
        <w:rPr>
          <w:rFonts w:ascii="Arial" w:hAnsi="Arial" w:cs="Arial"/>
          <w:sz w:val="22"/>
          <w:szCs w:val="22"/>
        </w:rPr>
      </w:pPr>
      <w:r w:rsidRPr="00FB2F3D">
        <w:rPr>
          <w:rFonts w:ascii="Arial" w:hAnsi="Arial" w:cs="Arial"/>
          <w:sz w:val="22"/>
          <w:szCs w:val="22"/>
        </w:rPr>
        <w:t xml:space="preserve">has close family ties with any of the </w:t>
      </w:r>
      <w:r w:rsidR="005A10A6" w:rsidRPr="00FB2F3D">
        <w:rPr>
          <w:rFonts w:ascii="Arial" w:hAnsi="Arial" w:cs="Arial"/>
          <w:sz w:val="22"/>
          <w:szCs w:val="22"/>
        </w:rPr>
        <w:t>Reporting Entity</w:t>
      </w:r>
      <w:r w:rsidR="000F2B46" w:rsidRPr="00FB2F3D">
        <w:rPr>
          <w:rFonts w:ascii="Arial" w:hAnsi="Arial" w:cs="Arial"/>
          <w:sz w:val="22"/>
          <w:szCs w:val="22"/>
        </w:rPr>
        <w:t>'s advisers</w:t>
      </w:r>
      <w:r w:rsidRPr="00FB2F3D">
        <w:rPr>
          <w:rFonts w:ascii="Arial" w:hAnsi="Arial" w:cs="Arial"/>
          <w:sz w:val="22"/>
          <w:szCs w:val="22"/>
        </w:rPr>
        <w:t>, Directors or senior Employees;</w:t>
      </w:r>
    </w:p>
    <w:p w14:paraId="3697B2C2" w14:textId="77777777" w:rsidR="00162E0C" w:rsidRPr="00FB2F3D" w:rsidRDefault="00162E0C" w:rsidP="00277917">
      <w:pPr>
        <w:pStyle w:val="S2Heading9"/>
        <w:rPr>
          <w:rFonts w:ascii="Arial" w:hAnsi="Arial" w:cs="Arial"/>
          <w:sz w:val="22"/>
          <w:szCs w:val="22"/>
        </w:rPr>
      </w:pPr>
      <w:r w:rsidRPr="00FB2F3D">
        <w:rPr>
          <w:rFonts w:ascii="Arial" w:hAnsi="Arial" w:cs="Arial"/>
          <w:sz w:val="22"/>
          <w:szCs w:val="22"/>
        </w:rPr>
        <w:t xml:space="preserve">holds cross Directorships or has significant links with other Directors through involvement in other </w:t>
      </w:r>
      <w:r w:rsidR="00EE4C51" w:rsidRPr="00FB2F3D">
        <w:rPr>
          <w:rFonts w:ascii="Arial" w:hAnsi="Arial" w:cs="Arial"/>
          <w:sz w:val="22"/>
          <w:szCs w:val="22"/>
        </w:rPr>
        <w:t>Companies</w:t>
      </w:r>
      <w:r w:rsidRPr="00FB2F3D">
        <w:rPr>
          <w:rFonts w:ascii="Arial" w:hAnsi="Arial" w:cs="Arial"/>
          <w:sz w:val="22"/>
          <w:szCs w:val="22"/>
        </w:rPr>
        <w:t xml:space="preserve"> or bodies; or</w:t>
      </w:r>
    </w:p>
    <w:p w14:paraId="74B19BB5" w14:textId="77777777" w:rsidR="00162E0C" w:rsidRPr="00FB2F3D" w:rsidRDefault="00162E0C" w:rsidP="00277917">
      <w:pPr>
        <w:pStyle w:val="S2Heading9"/>
        <w:rPr>
          <w:rFonts w:ascii="Arial" w:hAnsi="Arial" w:cs="Arial"/>
          <w:sz w:val="22"/>
          <w:szCs w:val="22"/>
        </w:rPr>
      </w:pPr>
      <w:r w:rsidRPr="00FB2F3D">
        <w:rPr>
          <w:rFonts w:ascii="Arial" w:hAnsi="Arial" w:cs="Arial"/>
          <w:sz w:val="22"/>
          <w:szCs w:val="22"/>
        </w:rPr>
        <w:t xml:space="preserve">represents a significant </w:t>
      </w:r>
      <w:r w:rsidR="00B46F00" w:rsidRPr="00FB2F3D">
        <w:rPr>
          <w:rFonts w:ascii="Arial" w:hAnsi="Arial" w:cs="Arial"/>
          <w:sz w:val="22"/>
          <w:szCs w:val="22"/>
        </w:rPr>
        <w:t>Shareholder</w:t>
      </w:r>
      <w:r w:rsidRPr="00FB2F3D">
        <w:rPr>
          <w:rFonts w:ascii="Arial" w:hAnsi="Arial" w:cs="Arial"/>
          <w:sz w:val="22"/>
          <w:szCs w:val="22"/>
        </w:rPr>
        <w:t>.</w:t>
      </w:r>
    </w:p>
    <w:p w14:paraId="5CAF69C9" w14:textId="125F3382" w:rsidR="00162E0C" w:rsidRPr="00FB2F3D" w:rsidRDefault="00162E0C" w:rsidP="005A10A6">
      <w:pPr>
        <w:pStyle w:val="S2Heading8"/>
        <w:rPr>
          <w:rFonts w:ascii="Arial" w:hAnsi="Arial" w:cs="Arial"/>
          <w:sz w:val="22"/>
          <w:szCs w:val="22"/>
        </w:rPr>
      </w:pPr>
      <w:r w:rsidRPr="00FB2F3D">
        <w:rPr>
          <w:rFonts w:ascii="Arial" w:hAnsi="Arial" w:cs="Arial"/>
          <w:sz w:val="22"/>
          <w:szCs w:val="22"/>
        </w:rPr>
        <w:t>The terms and conditions of appointment of non</w:t>
      </w:r>
      <w:r w:rsidRPr="00FB2F3D">
        <w:rPr>
          <w:rFonts w:ascii="Arial" w:hAnsi="Arial" w:cs="Arial"/>
          <w:sz w:val="22"/>
          <w:szCs w:val="22"/>
        </w:rPr>
        <w:noBreakHyphen/>
        <w:t xml:space="preserve">executive Directors should be made available for inspection by any </w:t>
      </w:r>
      <w:r w:rsidR="00B03204">
        <w:rPr>
          <w:rFonts w:ascii="Arial" w:hAnsi="Arial" w:cs="Arial"/>
          <w:sz w:val="22"/>
          <w:szCs w:val="22"/>
        </w:rPr>
        <w:t>P</w:t>
      </w:r>
      <w:r w:rsidRPr="00FB2F3D">
        <w:rPr>
          <w:rFonts w:ascii="Arial" w:hAnsi="Arial" w:cs="Arial"/>
          <w:sz w:val="22"/>
          <w:szCs w:val="22"/>
        </w:rPr>
        <w:t xml:space="preserve">erson at the </w:t>
      </w:r>
      <w:r w:rsidR="005A10A6" w:rsidRPr="00FB2F3D">
        <w:rPr>
          <w:rFonts w:ascii="Arial" w:hAnsi="Arial" w:cs="Arial"/>
          <w:sz w:val="22"/>
          <w:szCs w:val="22"/>
        </w:rPr>
        <w:t>Reporting Entity</w:t>
      </w:r>
      <w:r w:rsidRPr="00FB2F3D">
        <w:rPr>
          <w:rFonts w:ascii="Arial" w:hAnsi="Arial" w:cs="Arial"/>
          <w:sz w:val="22"/>
          <w:szCs w:val="22"/>
        </w:rPr>
        <w:t>'s registered office during normal business hours. The letter of appointment should set out the expected time commitment. Non</w:t>
      </w:r>
      <w:r w:rsidRPr="00FB2F3D">
        <w:rPr>
          <w:rFonts w:ascii="Arial" w:hAnsi="Arial" w:cs="Arial"/>
          <w:sz w:val="22"/>
          <w:szCs w:val="22"/>
        </w:rPr>
        <w:noBreakHyphen/>
        <w:t xml:space="preserve">executive Directors should undertake that they will have sufficient time to meet what is expected of them. Their other significant commitments should be disclosed to the Board before appointment, with a broad indication of the time involved. The Board should be </w:t>
      </w:r>
      <w:r w:rsidR="00B03204">
        <w:rPr>
          <w:rFonts w:ascii="Arial" w:hAnsi="Arial" w:cs="Arial"/>
          <w:sz w:val="22"/>
          <w:szCs w:val="22"/>
        </w:rPr>
        <w:t>notified</w:t>
      </w:r>
      <w:r w:rsidRPr="00FB2F3D">
        <w:rPr>
          <w:rFonts w:ascii="Arial" w:hAnsi="Arial" w:cs="Arial"/>
          <w:sz w:val="22"/>
          <w:szCs w:val="22"/>
        </w:rPr>
        <w:t xml:space="preserve"> of subsequent changes.</w:t>
      </w:r>
    </w:p>
    <w:p w14:paraId="507A27C0" w14:textId="77777777" w:rsidR="00162E0C" w:rsidRPr="00FB2F3D" w:rsidRDefault="00162E0C" w:rsidP="009D079A">
      <w:pPr>
        <w:pStyle w:val="S2Heading8"/>
        <w:rPr>
          <w:rFonts w:ascii="Arial" w:hAnsi="Arial" w:cs="Arial"/>
          <w:sz w:val="22"/>
          <w:szCs w:val="22"/>
        </w:rPr>
      </w:pPr>
      <w:r w:rsidRPr="00FB2F3D">
        <w:rPr>
          <w:rFonts w:ascii="Arial" w:hAnsi="Arial" w:cs="Arial"/>
          <w:sz w:val="22"/>
          <w:szCs w:val="22"/>
        </w:rPr>
        <w:t xml:space="preserve">The annual report of the </w:t>
      </w:r>
      <w:r w:rsidR="005A10A6" w:rsidRPr="00FB2F3D">
        <w:rPr>
          <w:rFonts w:ascii="Arial" w:hAnsi="Arial" w:cs="Arial"/>
          <w:sz w:val="22"/>
          <w:szCs w:val="22"/>
        </w:rPr>
        <w:t>Reporting Entity</w:t>
      </w:r>
      <w:r w:rsidRPr="00FB2F3D">
        <w:rPr>
          <w:rFonts w:ascii="Arial" w:hAnsi="Arial" w:cs="Arial"/>
          <w:sz w:val="22"/>
          <w:szCs w:val="22"/>
        </w:rPr>
        <w:t xml:space="preserve"> should identify each non</w:t>
      </w:r>
      <w:r w:rsidRPr="00FB2F3D">
        <w:rPr>
          <w:rFonts w:ascii="Arial" w:hAnsi="Arial" w:cs="Arial"/>
          <w:sz w:val="22"/>
          <w:szCs w:val="22"/>
        </w:rPr>
        <w:noBreakHyphen/>
        <w:t xml:space="preserve">executive Director it considers to be independent, and the chairman and members of each of the Board committees. It should also state the relevant skills and expertise which each Director brings to the Board and set out the number of meetings of each of the committees and individual attendance by Directors. </w:t>
      </w:r>
    </w:p>
    <w:p w14:paraId="7953C185"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As part of their role as members of the Board, non</w:t>
      </w:r>
      <w:r w:rsidRPr="00FB2F3D">
        <w:rPr>
          <w:rFonts w:ascii="Arial" w:hAnsi="Arial" w:cs="Arial"/>
          <w:sz w:val="22"/>
          <w:szCs w:val="22"/>
        </w:rPr>
        <w:noBreakHyphen/>
        <w:t>executive Directors should constructively challenge and help develop proposals on business objectives and strateg</w:t>
      </w:r>
      <w:r w:rsidR="000D027C" w:rsidRPr="00FB2F3D">
        <w:rPr>
          <w:rFonts w:ascii="Arial" w:hAnsi="Arial" w:cs="Arial"/>
          <w:sz w:val="22"/>
          <w:szCs w:val="22"/>
        </w:rPr>
        <w:t>ies</w:t>
      </w:r>
      <w:r w:rsidRPr="00FB2F3D">
        <w:rPr>
          <w:rFonts w:ascii="Arial" w:hAnsi="Arial" w:cs="Arial"/>
          <w:sz w:val="22"/>
          <w:szCs w:val="22"/>
        </w:rPr>
        <w:t xml:space="preserve"> for achieving those objectives. Non</w:t>
      </w:r>
      <w:r w:rsidRPr="00FB2F3D">
        <w:rPr>
          <w:rFonts w:ascii="Arial" w:hAnsi="Arial" w:cs="Arial"/>
          <w:sz w:val="22"/>
          <w:szCs w:val="22"/>
        </w:rPr>
        <w:noBreakHyphen/>
        <w:t>executive Directors should scrutinise the performance of Senior Management against agreed goals and objectives and monitor the reporting of their performance.</w:t>
      </w:r>
    </w:p>
    <w:p w14:paraId="1D34042E"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Nomination committee</w:t>
      </w:r>
    </w:p>
    <w:p w14:paraId="6F910BBC"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The Board should establish and maintain a nomination committee to lead the process for appointments and make recommendations to the Board relating to the appointment of Board members and the Senior Management. A majority of members of the nomination committee should be independent non</w:t>
      </w:r>
      <w:r w:rsidRPr="00FB2F3D">
        <w:rPr>
          <w:rFonts w:ascii="Arial" w:hAnsi="Arial" w:cs="Arial"/>
          <w:sz w:val="22"/>
          <w:szCs w:val="22"/>
        </w:rPr>
        <w:noBreakHyphen/>
        <w:t>executive Directors. The chairman of the nomination committee should be an independent non</w:t>
      </w:r>
      <w:r w:rsidRPr="00FB2F3D">
        <w:rPr>
          <w:rFonts w:ascii="Arial" w:hAnsi="Arial" w:cs="Arial"/>
          <w:sz w:val="22"/>
          <w:szCs w:val="22"/>
        </w:rPr>
        <w:noBreakHyphen/>
        <w:t>executive Director.</w:t>
      </w:r>
    </w:p>
    <w:p w14:paraId="2A7C1FE3"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The mandate, composition and working procedures of the nomination committee should be well defined. The nomination committee should make available on the website of the </w:t>
      </w:r>
      <w:r w:rsidR="005A10A6" w:rsidRPr="00FB2F3D">
        <w:rPr>
          <w:rFonts w:ascii="Arial" w:hAnsi="Arial" w:cs="Arial"/>
          <w:sz w:val="22"/>
          <w:szCs w:val="22"/>
        </w:rPr>
        <w:t>Reporting Entity</w:t>
      </w:r>
      <w:r w:rsidRPr="00FB2F3D">
        <w:rPr>
          <w:rFonts w:ascii="Arial" w:hAnsi="Arial" w:cs="Arial"/>
          <w:sz w:val="22"/>
          <w:szCs w:val="22"/>
        </w:rPr>
        <w:t xml:space="preserve"> its written terms of reference explaining its role and the authority delegated to it by the Board.</w:t>
      </w:r>
    </w:p>
    <w:p w14:paraId="76E01337"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The nomination committee should evaluate the balance of skills, knowledge, independence and experience on the Board and, in the light of this evaluation, prepare a description of the role and capabilities required for a particular appointment.</w:t>
      </w:r>
    </w:p>
    <w:p w14:paraId="0D4E1753"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lastRenderedPageBreak/>
        <w:t xml:space="preserve">A separate section of the annual report of the </w:t>
      </w:r>
      <w:r w:rsidR="005A10A6" w:rsidRPr="00FB2F3D">
        <w:rPr>
          <w:rFonts w:ascii="Arial" w:hAnsi="Arial" w:cs="Arial"/>
          <w:sz w:val="22"/>
          <w:szCs w:val="22"/>
        </w:rPr>
        <w:t>Reporting Entity</w:t>
      </w:r>
      <w:r w:rsidRPr="00FB2F3D">
        <w:rPr>
          <w:rFonts w:ascii="Arial" w:hAnsi="Arial" w:cs="Arial"/>
          <w:sz w:val="22"/>
          <w:szCs w:val="22"/>
        </w:rPr>
        <w:t xml:space="preserve"> should describe the work of the nomination committee, including the process it has used in relation to Board appointments. An explanation should be given if neither an external consultancy nor an open advertising process has been used in the appointment of the chairman or a non</w:t>
      </w:r>
      <w:r w:rsidRPr="00FB2F3D">
        <w:rPr>
          <w:rFonts w:ascii="Arial" w:hAnsi="Arial" w:cs="Arial"/>
          <w:sz w:val="22"/>
          <w:szCs w:val="22"/>
        </w:rPr>
        <w:noBreakHyphen/>
        <w:t>executive Director of the Board.</w:t>
      </w:r>
    </w:p>
    <w:p w14:paraId="07E185D3" w14:textId="77777777" w:rsidR="00162E0C" w:rsidRPr="00FB2F3D" w:rsidRDefault="00162E0C" w:rsidP="005A10A6">
      <w:pPr>
        <w:pStyle w:val="TitleL"/>
        <w:rPr>
          <w:rFonts w:ascii="Arial" w:hAnsi="Arial" w:cs="Arial"/>
          <w:sz w:val="22"/>
          <w:szCs w:val="22"/>
        </w:rPr>
      </w:pPr>
      <w:r w:rsidRPr="00FB2F3D">
        <w:rPr>
          <w:rFonts w:ascii="Arial" w:hAnsi="Arial" w:cs="Arial"/>
          <w:sz w:val="22"/>
          <w:szCs w:val="22"/>
        </w:rPr>
        <w:t xml:space="preserve">Secretary of the </w:t>
      </w:r>
      <w:r w:rsidR="005A10A6" w:rsidRPr="00FB2F3D">
        <w:rPr>
          <w:rFonts w:ascii="Arial" w:hAnsi="Arial" w:cs="Arial"/>
          <w:sz w:val="22"/>
          <w:szCs w:val="22"/>
        </w:rPr>
        <w:t>Reporting Entity</w:t>
      </w:r>
    </w:p>
    <w:p w14:paraId="71D7ABBE"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The responsibilities of the </w:t>
      </w:r>
      <w:r w:rsidR="005A10A6" w:rsidRPr="00FB2F3D">
        <w:rPr>
          <w:rFonts w:ascii="Arial" w:hAnsi="Arial" w:cs="Arial"/>
          <w:sz w:val="22"/>
          <w:szCs w:val="22"/>
        </w:rPr>
        <w:t>Reporting Entity</w:t>
      </w:r>
      <w:r w:rsidRPr="00FB2F3D">
        <w:rPr>
          <w:rFonts w:ascii="Arial" w:hAnsi="Arial" w:cs="Arial"/>
          <w:sz w:val="22"/>
          <w:szCs w:val="22"/>
        </w:rPr>
        <w:t>'s secretary should clearly include, under the direction of the chairman, ensuring good information flows within the Board and its committees and between Senior Management and non</w:t>
      </w:r>
      <w:r w:rsidRPr="00FB2F3D">
        <w:rPr>
          <w:rFonts w:ascii="Arial" w:hAnsi="Arial" w:cs="Arial"/>
          <w:sz w:val="22"/>
          <w:szCs w:val="22"/>
        </w:rPr>
        <w:noBreakHyphen/>
        <w:t>executive Directors, as well as facilitating induction and assisting with professional development of Board members as required. The secretary should also be responsible for ensuring that Board procedures are fully complied with, and advising the Board through the chairman on all governance matters.</w:t>
      </w:r>
    </w:p>
    <w:p w14:paraId="79E48BC9"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Both the appointment and removal of the secretary of the </w:t>
      </w:r>
      <w:r w:rsidR="005A10A6" w:rsidRPr="00FB2F3D">
        <w:rPr>
          <w:rFonts w:ascii="Arial" w:hAnsi="Arial" w:cs="Arial"/>
          <w:sz w:val="22"/>
          <w:szCs w:val="22"/>
        </w:rPr>
        <w:t>Reporting Entity</w:t>
      </w:r>
      <w:r w:rsidRPr="00FB2F3D">
        <w:rPr>
          <w:rFonts w:ascii="Arial" w:hAnsi="Arial" w:cs="Arial"/>
          <w:sz w:val="22"/>
          <w:szCs w:val="22"/>
        </w:rPr>
        <w:t xml:space="preserve"> should be a matter for the Board as a whole.</w:t>
      </w:r>
    </w:p>
    <w:p w14:paraId="4FD39049" w14:textId="77777777" w:rsidR="00162E0C" w:rsidRPr="00FB2F3D" w:rsidRDefault="00162E0C" w:rsidP="00277917">
      <w:pPr>
        <w:pStyle w:val="TitleL"/>
        <w:rPr>
          <w:rFonts w:ascii="Arial" w:hAnsi="Arial" w:cs="Arial"/>
          <w:sz w:val="22"/>
          <w:szCs w:val="22"/>
        </w:rPr>
      </w:pPr>
      <w:r w:rsidRPr="00FB2F3D">
        <w:rPr>
          <w:rFonts w:ascii="Arial" w:hAnsi="Arial" w:cs="Arial"/>
          <w:sz w:val="22"/>
          <w:szCs w:val="22"/>
        </w:rPr>
        <w:t>Information and support</w:t>
      </w:r>
    </w:p>
    <w:p w14:paraId="02531A83"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All Directors should have access to accurate, timely and clear information relating to the business and affairs of the </w:t>
      </w:r>
      <w:r w:rsidR="005A10A6" w:rsidRPr="00FB2F3D">
        <w:rPr>
          <w:rFonts w:ascii="Arial" w:hAnsi="Arial" w:cs="Arial"/>
          <w:sz w:val="22"/>
          <w:szCs w:val="22"/>
        </w:rPr>
        <w:t>Reporting Entity</w:t>
      </w:r>
      <w:r w:rsidRPr="00FB2F3D">
        <w:rPr>
          <w:rFonts w:ascii="Arial" w:hAnsi="Arial" w:cs="Arial"/>
          <w:sz w:val="22"/>
          <w:szCs w:val="22"/>
        </w:rPr>
        <w:t xml:space="preserve"> to enable them to discharge their duties, taking due account of the roles undertaken by such members. The chairman is responsible for ensuring that the Directors receive such information. Senior Management has an obligation to provide such information, but Directors should seek clarification or amplification where necessary. All Directors should also have access to the advice and services of the secretary of the </w:t>
      </w:r>
      <w:r w:rsidR="005A10A6" w:rsidRPr="00FB2F3D">
        <w:rPr>
          <w:rFonts w:ascii="Arial" w:hAnsi="Arial" w:cs="Arial"/>
          <w:sz w:val="22"/>
          <w:szCs w:val="22"/>
        </w:rPr>
        <w:t>Reporting Entity</w:t>
      </w:r>
      <w:r w:rsidRPr="00FB2F3D">
        <w:rPr>
          <w:rFonts w:ascii="Arial" w:hAnsi="Arial" w:cs="Arial"/>
          <w:sz w:val="22"/>
          <w:szCs w:val="22"/>
        </w:rPr>
        <w:t>, as he is responsible to the Board for ensuring compliance with the Board procedures.</w:t>
      </w:r>
    </w:p>
    <w:p w14:paraId="492CCCD6"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The Board should ensure that Directors, especially non</w:t>
      </w:r>
      <w:r w:rsidRPr="00FB2F3D">
        <w:rPr>
          <w:rFonts w:ascii="Arial" w:hAnsi="Arial" w:cs="Arial"/>
          <w:sz w:val="22"/>
          <w:szCs w:val="22"/>
        </w:rPr>
        <w:noBreakHyphen/>
        <w:t xml:space="preserve">executive Directors, have access to independent professional advice at the </w:t>
      </w:r>
      <w:r w:rsidR="005A10A6" w:rsidRPr="00FB2F3D">
        <w:rPr>
          <w:rFonts w:ascii="Arial" w:hAnsi="Arial" w:cs="Arial"/>
          <w:sz w:val="22"/>
          <w:szCs w:val="22"/>
        </w:rPr>
        <w:t>Reporting Entity</w:t>
      </w:r>
      <w:r w:rsidRPr="00FB2F3D">
        <w:rPr>
          <w:rFonts w:ascii="Arial" w:hAnsi="Arial" w:cs="Arial"/>
          <w:sz w:val="22"/>
          <w:szCs w:val="22"/>
        </w:rPr>
        <w:t>'s expense where necessary to enable them to discharge their respective roles and responsibilities. Committees of the Board should also be provided with sufficient resources including information to carry out their role and responsibilities effectively.</w:t>
      </w:r>
    </w:p>
    <w:p w14:paraId="56BAFEE4"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Performance evaluation</w:t>
      </w:r>
    </w:p>
    <w:p w14:paraId="5ED156CE"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The Board should undertake a formal and rigorous evaluation of its own performance and that of its committees and individual Directors at least annually.</w:t>
      </w:r>
    </w:p>
    <w:p w14:paraId="1FFBFED8"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The chairman of the Board should act on the results of the performance evaluation by recognising the strengths and addressing the weaknesses of the Board and making any changes to the composition of the Board as required.</w:t>
      </w:r>
    </w:p>
    <w:p w14:paraId="216C6E6D"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The Board should state in the annual report how performance evaluation of the Board, its committees and its individual Directors has been conducted.</w:t>
      </w:r>
    </w:p>
    <w:p w14:paraId="57D509C9" w14:textId="77777777" w:rsidR="00162E0C" w:rsidRPr="00FB2F3D" w:rsidRDefault="00162E0C" w:rsidP="00277917">
      <w:pPr>
        <w:pStyle w:val="TitleL"/>
        <w:rPr>
          <w:rFonts w:ascii="Arial" w:hAnsi="Arial" w:cs="Arial"/>
          <w:sz w:val="22"/>
          <w:szCs w:val="22"/>
          <w:u w:val="single"/>
        </w:rPr>
      </w:pPr>
      <w:r w:rsidRPr="00FB2F3D">
        <w:rPr>
          <w:rFonts w:ascii="Arial" w:hAnsi="Arial" w:cs="Arial"/>
          <w:sz w:val="22"/>
          <w:szCs w:val="22"/>
          <w:u w:val="single"/>
        </w:rPr>
        <w:lastRenderedPageBreak/>
        <w:t>Principle 4 – Risk management and internal control systems</w:t>
      </w:r>
    </w:p>
    <w:p w14:paraId="22E55B15" w14:textId="77777777" w:rsidR="00162E0C" w:rsidRPr="00FB2F3D" w:rsidRDefault="00162E0C" w:rsidP="003721B0">
      <w:pPr>
        <w:pStyle w:val="UK12Block05"/>
        <w:keepNext/>
        <w:rPr>
          <w:rFonts w:ascii="Arial" w:hAnsi="Arial" w:cs="Arial"/>
          <w:sz w:val="22"/>
          <w:szCs w:val="22"/>
        </w:rPr>
      </w:pPr>
      <w:r w:rsidRPr="00FB2F3D">
        <w:rPr>
          <w:rFonts w:ascii="Arial" w:hAnsi="Arial" w:cs="Arial"/>
          <w:sz w:val="22"/>
          <w:szCs w:val="22"/>
        </w:rPr>
        <w:t>Rule </w:t>
      </w:r>
      <w:r w:rsidR="00693841" w:rsidRPr="00FB2F3D">
        <w:rPr>
          <w:rFonts w:ascii="Arial" w:hAnsi="Arial" w:cs="Arial"/>
          <w:sz w:val="22"/>
          <w:szCs w:val="22"/>
        </w:rPr>
        <w:t>9.2.6</w:t>
      </w:r>
    </w:p>
    <w:p w14:paraId="53E40028" w14:textId="77777777" w:rsidR="00162E0C" w:rsidRPr="00FB2F3D" w:rsidRDefault="00162E0C" w:rsidP="005A10A6">
      <w:pPr>
        <w:pStyle w:val="UK12Block05"/>
        <w:rPr>
          <w:rFonts w:ascii="Arial" w:hAnsi="Arial" w:cs="Arial"/>
          <w:sz w:val="22"/>
          <w:szCs w:val="22"/>
        </w:rPr>
      </w:pPr>
      <w:r w:rsidRPr="00FB2F3D">
        <w:rPr>
          <w:rFonts w:ascii="Arial" w:hAnsi="Arial" w:cs="Arial"/>
          <w:sz w:val="22"/>
          <w:szCs w:val="22"/>
        </w:rPr>
        <w:t xml:space="preserve">"The Board must ensure that the </w:t>
      </w:r>
      <w:r w:rsidR="005A10A6" w:rsidRPr="00FB2F3D">
        <w:rPr>
          <w:rFonts w:ascii="Arial" w:hAnsi="Arial" w:cs="Arial"/>
          <w:sz w:val="22"/>
          <w:szCs w:val="22"/>
        </w:rPr>
        <w:t>Reporting Entity</w:t>
      </w:r>
      <w:r w:rsidRPr="00FB2F3D">
        <w:rPr>
          <w:rFonts w:ascii="Arial" w:hAnsi="Arial" w:cs="Arial"/>
          <w:sz w:val="22"/>
          <w:szCs w:val="22"/>
        </w:rPr>
        <w:t xml:space="preserve"> has an adequate, effective, well</w:t>
      </w:r>
      <w:r w:rsidRPr="00FB2F3D">
        <w:rPr>
          <w:rFonts w:ascii="Arial" w:hAnsi="Arial" w:cs="Arial"/>
          <w:sz w:val="22"/>
          <w:szCs w:val="22"/>
        </w:rPr>
        <w:noBreakHyphen/>
        <w:t>defined and well</w:t>
      </w:r>
      <w:r w:rsidRPr="00FB2F3D">
        <w:rPr>
          <w:rFonts w:ascii="Arial" w:hAnsi="Arial" w:cs="Arial"/>
          <w:sz w:val="22"/>
          <w:szCs w:val="22"/>
        </w:rPr>
        <w:noBreakHyphen/>
        <w:t>integrated risk management, internal control and compliance framework."</w:t>
      </w:r>
    </w:p>
    <w:p w14:paraId="6CE6DBF7"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The Board should, at least annually, conduct a review of the effectiveness of the </w:t>
      </w:r>
      <w:r w:rsidR="005A10A6" w:rsidRPr="00FB2F3D">
        <w:rPr>
          <w:rFonts w:ascii="Arial" w:hAnsi="Arial" w:cs="Arial"/>
          <w:sz w:val="22"/>
          <w:szCs w:val="22"/>
        </w:rPr>
        <w:t>Reporting Entity</w:t>
      </w:r>
      <w:r w:rsidRPr="00FB2F3D">
        <w:rPr>
          <w:rFonts w:ascii="Arial" w:hAnsi="Arial" w:cs="Arial"/>
          <w:sz w:val="22"/>
          <w:szCs w:val="22"/>
        </w:rPr>
        <w:t>'s risk management, internal cont</w:t>
      </w:r>
      <w:r w:rsidR="00410DD5" w:rsidRPr="00FB2F3D">
        <w:rPr>
          <w:rFonts w:ascii="Arial" w:hAnsi="Arial" w:cs="Arial"/>
          <w:sz w:val="22"/>
          <w:szCs w:val="22"/>
        </w:rPr>
        <w:t xml:space="preserve">rol and compliance framework </w:t>
      </w:r>
      <w:r w:rsidRPr="00FB2F3D">
        <w:rPr>
          <w:rFonts w:ascii="Arial" w:hAnsi="Arial" w:cs="Arial"/>
          <w:sz w:val="22"/>
          <w:szCs w:val="22"/>
        </w:rPr>
        <w:t xml:space="preserve">and should report to the </w:t>
      </w:r>
      <w:r w:rsidR="00B46F00" w:rsidRPr="00FB2F3D">
        <w:rPr>
          <w:rFonts w:ascii="Arial" w:hAnsi="Arial" w:cs="Arial"/>
          <w:sz w:val="22"/>
          <w:szCs w:val="22"/>
        </w:rPr>
        <w:t>Shareholder</w:t>
      </w:r>
      <w:r w:rsidRPr="00FB2F3D">
        <w:rPr>
          <w:rFonts w:ascii="Arial" w:hAnsi="Arial" w:cs="Arial"/>
          <w:sz w:val="22"/>
          <w:szCs w:val="22"/>
        </w:rPr>
        <w:t xml:space="preserve">s that it has done so. The review should cover all aspects of material controls, including management, financial, operational and compliance controls and risk management systems. The Board may satisfy this requirement by instructing an external </w:t>
      </w:r>
      <w:r w:rsidR="00A85262" w:rsidRPr="00FB2F3D">
        <w:rPr>
          <w:rFonts w:ascii="Arial" w:hAnsi="Arial" w:cs="Arial"/>
          <w:sz w:val="22"/>
          <w:szCs w:val="22"/>
        </w:rPr>
        <w:t>auditor</w:t>
      </w:r>
      <w:r w:rsidRPr="00FB2F3D">
        <w:rPr>
          <w:rFonts w:ascii="Arial" w:hAnsi="Arial" w:cs="Arial"/>
          <w:sz w:val="22"/>
          <w:szCs w:val="22"/>
        </w:rPr>
        <w:t xml:space="preserve"> to undertake the review and report to it on its outcome. They should satisfy themselves on the integrity of financial information and that financial controls and systems of risk management are robust and effective.</w:t>
      </w:r>
    </w:p>
    <w:p w14:paraId="6F917FF9"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 xml:space="preserve">The Board should establish formal and transparent arrangements for considering how it should apply the financial reporting and internal control systems, and for maintaining an appropriate relationship with its </w:t>
      </w:r>
      <w:r w:rsidR="00A85262" w:rsidRPr="00FB2F3D">
        <w:rPr>
          <w:rFonts w:ascii="Arial" w:hAnsi="Arial" w:cs="Arial"/>
          <w:sz w:val="22"/>
          <w:szCs w:val="22"/>
        </w:rPr>
        <w:t>auditor</w:t>
      </w:r>
      <w:r w:rsidRPr="00FB2F3D">
        <w:rPr>
          <w:rFonts w:ascii="Arial" w:hAnsi="Arial" w:cs="Arial"/>
          <w:sz w:val="22"/>
          <w:szCs w:val="22"/>
        </w:rPr>
        <w:t>s.</w:t>
      </w:r>
    </w:p>
    <w:p w14:paraId="3BE76D5E"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The Board should establish policies and procedures for the identification and oversight and management of material business risks and disclose a summary of those policies and procedures in its annual report. The Board should also ensure that Senior Management implements the requisite risk management and internal control systems to manage material risks.</w:t>
      </w:r>
    </w:p>
    <w:p w14:paraId="385B7701"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Audit committee</w:t>
      </w:r>
    </w:p>
    <w:p w14:paraId="27F1429F"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The Board should establish and maintain an audit committee to monitor and review the </w:t>
      </w:r>
      <w:r w:rsidR="005A10A6" w:rsidRPr="00FB2F3D">
        <w:rPr>
          <w:rFonts w:ascii="Arial" w:hAnsi="Arial" w:cs="Arial"/>
          <w:sz w:val="22"/>
          <w:szCs w:val="22"/>
        </w:rPr>
        <w:t>Reporting Entity</w:t>
      </w:r>
      <w:r w:rsidRPr="00FB2F3D">
        <w:rPr>
          <w:rFonts w:ascii="Arial" w:hAnsi="Arial" w:cs="Arial"/>
          <w:sz w:val="22"/>
          <w:szCs w:val="22"/>
        </w:rPr>
        <w:t xml:space="preserve">'s internal audit function and other internal controls. The main roles and responsibilities of the audit committee should be set out in written terms of reference, be available on the website of the </w:t>
      </w:r>
      <w:r w:rsidR="005A10A6" w:rsidRPr="00FB2F3D">
        <w:rPr>
          <w:rFonts w:ascii="Arial" w:hAnsi="Arial" w:cs="Arial"/>
          <w:sz w:val="22"/>
          <w:szCs w:val="22"/>
        </w:rPr>
        <w:t>Reporting Entity</w:t>
      </w:r>
      <w:r w:rsidRPr="00FB2F3D">
        <w:rPr>
          <w:rFonts w:ascii="Arial" w:hAnsi="Arial" w:cs="Arial"/>
          <w:sz w:val="22"/>
          <w:szCs w:val="22"/>
        </w:rPr>
        <w:t xml:space="preserve"> and include at least the following:</w:t>
      </w:r>
    </w:p>
    <w:p w14:paraId="6D959EC2" w14:textId="64D9F697" w:rsidR="00162E0C" w:rsidRPr="00FB2F3D" w:rsidRDefault="00162E0C" w:rsidP="005A10A6">
      <w:pPr>
        <w:pStyle w:val="S2Heading9"/>
        <w:rPr>
          <w:rFonts w:ascii="Arial" w:hAnsi="Arial" w:cs="Arial"/>
          <w:sz w:val="22"/>
          <w:szCs w:val="22"/>
        </w:rPr>
      </w:pPr>
      <w:r w:rsidRPr="00FB2F3D">
        <w:rPr>
          <w:rFonts w:ascii="Arial" w:hAnsi="Arial" w:cs="Arial"/>
          <w:sz w:val="22"/>
          <w:szCs w:val="22"/>
        </w:rPr>
        <w:t xml:space="preserve">monitoring the integrity of the financial statements of the </w:t>
      </w:r>
      <w:r w:rsidR="005A10A6" w:rsidRPr="00FB2F3D">
        <w:rPr>
          <w:rFonts w:ascii="Arial" w:hAnsi="Arial" w:cs="Arial"/>
          <w:sz w:val="22"/>
          <w:szCs w:val="22"/>
        </w:rPr>
        <w:t>Reporting Entity</w:t>
      </w:r>
      <w:r w:rsidRPr="00FB2F3D">
        <w:rPr>
          <w:rFonts w:ascii="Arial" w:hAnsi="Arial" w:cs="Arial"/>
          <w:sz w:val="22"/>
          <w:szCs w:val="22"/>
        </w:rPr>
        <w:t xml:space="preserve"> and any </w:t>
      </w:r>
      <w:r w:rsidR="00B03204">
        <w:rPr>
          <w:rFonts w:ascii="Arial" w:hAnsi="Arial" w:cs="Arial"/>
          <w:sz w:val="22"/>
          <w:szCs w:val="22"/>
        </w:rPr>
        <w:t>Disclosures</w:t>
      </w:r>
      <w:r w:rsidRPr="00FB2F3D">
        <w:rPr>
          <w:rFonts w:ascii="Arial" w:hAnsi="Arial" w:cs="Arial"/>
          <w:sz w:val="22"/>
          <w:szCs w:val="22"/>
        </w:rPr>
        <w:t xml:space="preserve"> relating to the </w:t>
      </w:r>
      <w:r w:rsidR="005A10A6" w:rsidRPr="00FB2F3D">
        <w:rPr>
          <w:rFonts w:ascii="Arial" w:hAnsi="Arial" w:cs="Arial"/>
          <w:sz w:val="22"/>
          <w:szCs w:val="22"/>
        </w:rPr>
        <w:t xml:space="preserve">Reporting Entity </w:t>
      </w:r>
      <w:r w:rsidRPr="00FB2F3D">
        <w:rPr>
          <w:rFonts w:ascii="Arial" w:hAnsi="Arial" w:cs="Arial"/>
          <w:sz w:val="22"/>
          <w:szCs w:val="22"/>
        </w:rPr>
        <w:t>'s financial performance and reviewing significant financial reporting judgements contained in them;</w:t>
      </w:r>
    </w:p>
    <w:p w14:paraId="1FF85FE1" w14:textId="77777777" w:rsidR="00162E0C" w:rsidRPr="00FB2F3D" w:rsidRDefault="00162E0C" w:rsidP="005A10A6">
      <w:pPr>
        <w:pStyle w:val="S2Heading9"/>
        <w:rPr>
          <w:rFonts w:ascii="Arial" w:hAnsi="Arial" w:cs="Arial"/>
          <w:sz w:val="22"/>
          <w:szCs w:val="22"/>
        </w:rPr>
      </w:pPr>
      <w:r w:rsidRPr="00FB2F3D">
        <w:rPr>
          <w:rFonts w:ascii="Arial" w:hAnsi="Arial" w:cs="Arial"/>
          <w:sz w:val="22"/>
          <w:szCs w:val="22"/>
        </w:rPr>
        <w:t xml:space="preserve">reviewing the </w:t>
      </w:r>
      <w:r w:rsidR="005A10A6" w:rsidRPr="00FB2F3D">
        <w:rPr>
          <w:rFonts w:ascii="Arial" w:hAnsi="Arial" w:cs="Arial"/>
          <w:sz w:val="22"/>
          <w:szCs w:val="22"/>
        </w:rPr>
        <w:t>Reporting Entity</w:t>
      </w:r>
      <w:r w:rsidRPr="00FB2F3D">
        <w:rPr>
          <w:rFonts w:ascii="Arial" w:hAnsi="Arial" w:cs="Arial"/>
          <w:sz w:val="22"/>
          <w:szCs w:val="22"/>
        </w:rPr>
        <w:t>'s internal financial controls and, unless expressly addressed by a separate risk committee of the Board or the Board itself, internal controls and risk management systems;</w:t>
      </w:r>
    </w:p>
    <w:p w14:paraId="168307B1" w14:textId="77777777" w:rsidR="00162E0C" w:rsidRPr="00FB2F3D" w:rsidRDefault="00162E0C" w:rsidP="005A10A6">
      <w:pPr>
        <w:pStyle w:val="S2Heading9"/>
        <w:rPr>
          <w:rFonts w:ascii="Arial" w:hAnsi="Arial" w:cs="Arial"/>
          <w:sz w:val="22"/>
          <w:szCs w:val="22"/>
        </w:rPr>
      </w:pPr>
      <w:r w:rsidRPr="00FB2F3D">
        <w:rPr>
          <w:rFonts w:ascii="Arial" w:hAnsi="Arial" w:cs="Arial"/>
          <w:sz w:val="22"/>
          <w:szCs w:val="22"/>
        </w:rPr>
        <w:t xml:space="preserve">monitoring and reviewing the effectiveness of the </w:t>
      </w:r>
      <w:r w:rsidR="005A10A6" w:rsidRPr="00FB2F3D">
        <w:rPr>
          <w:rFonts w:ascii="Arial" w:hAnsi="Arial" w:cs="Arial"/>
          <w:sz w:val="22"/>
          <w:szCs w:val="22"/>
        </w:rPr>
        <w:t>Reporting Entity</w:t>
      </w:r>
      <w:r w:rsidRPr="00FB2F3D">
        <w:rPr>
          <w:rFonts w:ascii="Arial" w:hAnsi="Arial" w:cs="Arial"/>
          <w:sz w:val="22"/>
          <w:szCs w:val="22"/>
        </w:rPr>
        <w:t>'s internal audit function;</w:t>
      </w:r>
    </w:p>
    <w:p w14:paraId="3BCAD9AF" w14:textId="77777777" w:rsidR="00162E0C" w:rsidRPr="00FB2F3D" w:rsidRDefault="00162E0C" w:rsidP="00277917">
      <w:pPr>
        <w:pStyle w:val="S2Heading9"/>
        <w:rPr>
          <w:rFonts w:ascii="Arial" w:hAnsi="Arial" w:cs="Arial"/>
          <w:sz w:val="22"/>
          <w:szCs w:val="22"/>
        </w:rPr>
      </w:pPr>
      <w:r w:rsidRPr="00FB2F3D">
        <w:rPr>
          <w:rFonts w:ascii="Arial" w:hAnsi="Arial" w:cs="Arial"/>
          <w:sz w:val="22"/>
          <w:szCs w:val="22"/>
        </w:rPr>
        <w:t>making recommendations to the Board in respect of the appointment, re</w:t>
      </w:r>
      <w:r w:rsidRPr="00FB2F3D">
        <w:rPr>
          <w:rFonts w:ascii="Arial" w:hAnsi="Arial" w:cs="Arial"/>
          <w:sz w:val="22"/>
          <w:szCs w:val="22"/>
        </w:rPr>
        <w:noBreakHyphen/>
        <w:t xml:space="preserve">appointment, removal and terms of engagement, including remuneration, of the external </w:t>
      </w:r>
      <w:r w:rsidR="00A85262" w:rsidRPr="00FB2F3D">
        <w:rPr>
          <w:rFonts w:ascii="Arial" w:hAnsi="Arial" w:cs="Arial"/>
          <w:sz w:val="22"/>
          <w:szCs w:val="22"/>
        </w:rPr>
        <w:t>auditor</w:t>
      </w:r>
      <w:r w:rsidRPr="00FB2F3D">
        <w:rPr>
          <w:rFonts w:ascii="Arial" w:hAnsi="Arial" w:cs="Arial"/>
          <w:sz w:val="22"/>
          <w:szCs w:val="22"/>
        </w:rPr>
        <w:t>;</w:t>
      </w:r>
    </w:p>
    <w:p w14:paraId="700DD3E1" w14:textId="77777777" w:rsidR="00162E0C" w:rsidRPr="00FB2F3D" w:rsidRDefault="00162E0C" w:rsidP="00277917">
      <w:pPr>
        <w:pStyle w:val="S2Heading9"/>
        <w:rPr>
          <w:rFonts w:ascii="Arial" w:hAnsi="Arial" w:cs="Arial"/>
          <w:sz w:val="22"/>
          <w:szCs w:val="22"/>
        </w:rPr>
      </w:pPr>
      <w:r w:rsidRPr="00FB2F3D">
        <w:rPr>
          <w:rFonts w:ascii="Arial" w:hAnsi="Arial" w:cs="Arial"/>
          <w:sz w:val="22"/>
          <w:szCs w:val="22"/>
        </w:rPr>
        <w:t xml:space="preserve">reviewing and monitoring the external </w:t>
      </w:r>
      <w:r w:rsidR="00A85262" w:rsidRPr="00FB2F3D">
        <w:rPr>
          <w:rFonts w:ascii="Arial" w:hAnsi="Arial" w:cs="Arial"/>
          <w:sz w:val="22"/>
          <w:szCs w:val="22"/>
        </w:rPr>
        <w:t>auditor</w:t>
      </w:r>
      <w:r w:rsidRPr="00FB2F3D">
        <w:rPr>
          <w:rFonts w:ascii="Arial" w:hAnsi="Arial" w:cs="Arial"/>
          <w:sz w:val="22"/>
          <w:szCs w:val="22"/>
        </w:rPr>
        <w:t>'s independence and objectivity and the effectiveness of the audit process;</w:t>
      </w:r>
    </w:p>
    <w:p w14:paraId="5D865F9D" w14:textId="77777777" w:rsidR="00162E0C" w:rsidRPr="00FB2F3D" w:rsidRDefault="00162E0C" w:rsidP="00277917">
      <w:pPr>
        <w:pStyle w:val="S2Heading9"/>
        <w:rPr>
          <w:rFonts w:ascii="Arial" w:hAnsi="Arial" w:cs="Arial"/>
          <w:sz w:val="22"/>
          <w:szCs w:val="22"/>
        </w:rPr>
      </w:pPr>
      <w:r w:rsidRPr="00FB2F3D">
        <w:rPr>
          <w:rFonts w:ascii="Arial" w:hAnsi="Arial" w:cs="Arial"/>
          <w:sz w:val="22"/>
          <w:szCs w:val="22"/>
        </w:rPr>
        <w:lastRenderedPageBreak/>
        <w:t xml:space="preserve">developing and implementing policy on the engagement of the external </w:t>
      </w:r>
      <w:r w:rsidR="00A85262" w:rsidRPr="00FB2F3D">
        <w:rPr>
          <w:rFonts w:ascii="Arial" w:hAnsi="Arial" w:cs="Arial"/>
          <w:sz w:val="22"/>
          <w:szCs w:val="22"/>
        </w:rPr>
        <w:t>auditor</w:t>
      </w:r>
      <w:r w:rsidRPr="00FB2F3D">
        <w:rPr>
          <w:rFonts w:ascii="Arial" w:hAnsi="Arial" w:cs="Arial"/>
          <w:sz w:val="22"/>
          <w:szCs w:val="22"/>
        </w:rPr>
        <w:t xml:space="preserve"> to supply non</w:t>
      </w:r>
      <w:r w:rsidRPr="00FB2F3D">
        <w:rPr>
          <w:rFonts w:ascii="Arial" w:hAnsi="Arial" w:cs="Arial"/>
          <w:sz w:val="22"/>
          <w:szCs w:val="22"/>
        </w:rPr>
        <w:noBreakHyphen/>
        <w:t>audit services; and</w:t>
      </w:r>
    </w:p>
    <w:p w14:paraId="070EF410" w14:textId="77777777" w:rsidR="00162E0C" w:rsidRPr="00FB2F3D" w:rsidRDefault="00162E0C" w:rsidP="005A10A6">
      <w:pPr>
        <w:pStyle w:val="S2Heading9"/>
        <w:rPr>
          <w:rFonts w:ascii="Arial" w:hAnsi="Arial" w:cs="Arial"/>
          <w:sz w:val="22"/>
          <w:szCs w:val="22"/>
        </w:rPr>
      </w:pPr>
      <w:r w:rsidRPr="00FB2F3D">
        <w:rPr>
          <w:rFonts w:ascii="Arial" w:hAnsi="Arial" w:cs="Arial"/>
          <w:sz w:val="22"/>
          <w:szCs w:val="22"/>
        </w:rPr>
        <w:t xml:space="preserve">reviewing the adequacy of arrangements by which staff of the </w:t>
      </w:r>
      <w:r w:rsidR="005A10A6" w:rsidRPr="00FB2F3D">
        <w:rPr>
          <w:rFonts w:ascii="Arial" w:hAnsi="Arial" w:cs="Arial"/>
          <w:sz w:val="22"/>
          <w:szCs w:val="22"/>
        </w:rPr>
        <w:t>Reporting Entity</w:t>
      </w:r>
      <w:r w:rsidRPr="00FB2F3D">
        <w:rPr>
          <w:rFonts w:ascii="Arial" w:hAnsi="Arial" w:cs="Arial"/>
          <w:sz w:val="22"/>
          <w:szCs w:val="22"/>
        </w:rPr>
        <w:t xml:space="preserve"> may, in confidence, raise concerns about possible improprieties in matters of financial reporting or other matters to ensure that arrangements are in place for the proportionate and independent investigation of such matters and for appropriate follow</w:t>
      </w:r>
      <w:r w:rsidRPr="00FB2F3D">
        <w:rPr>
          <w:rFonts w:ascii="Arial" w:hAnsi="Arial" w:cs="Arial"/>
          <w:sz w:val="22"/>
          <w:szCs w:val="22"/>
        </w:rPr>
        <w:noBreakHyphen/>
        <w:t>up action.</w:t>
      </w:r>
    </w:p>
    <w:p w14:paraId="63B5BE1C"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The Board should appoint at least two independent non</w:t>
      </w:r>
      <w:r w:rsidRPr="00FB2F3D">
        <w:rPr>
          <w:rFonts w:ascii="Arial" w:hAnsi="Arial" w:cs="Arial"/>
          <w:sz w:val="22"/>
          <w:szCs w:val="22"/>
        </w:rPr>
        <w:noBreakHyphen/>
        <w:t>executive Directors to the audit committee. At least one of the independent non</w:t>
      </w:r>
      <w:r w:rsidRPr="00FB2F3D">
        <w:rPr>
          <w:rFonts w:ascii="Arial" w:hAnsi="Arial" w:cs="Arial"/>
          <w:sz w:val="22"/>
          <w:szCs w:val="22"/>
        </w:rPr>
        <w:noBreakHyphen/>
        <w:t xml:space="preserve">executive Directors </w:t>
      </w:r>
      <w:r w:rsidR="00EE4C51" w:rsidRPr="00FB2F3D">
        <w:rPr>
          <w:rFonts w:ascii="Arial" w:hAnsi="Arial" w:cs="Arial"/>
          <w:sz w:val="22"/>
          <w:szCs w:val="22"/>
        </w:rPr>
        <w:t>appointed</w:t>
      </w:r>
      <w:r w:rsidRPr="00FB2F3D">
        <w:rPr>
          <w:rFonts w:ascii="Arial" w:hAnsi="Arial" w:cs="Arial"/>
          <w:sz w:val="22"/>
          <w:szCs w:val="22"/>
        </w:rPr>
        <w:t xml:space="preserve"> to the audit committee should have recent and relevant financial expertise. The chair of the audit committee should be an independent non</w:t>
      </w:r>
      <w:r w:rsidRPr="00FB2F3D">
        <w:rPr>
          <w:rFonts w:ascii="Arial" w:hAnsi="Arial" w:cs="Arial"/>
          <w:sz w:val="22"/>
          <w:szCs w:val="22"/>
        </w:rPr>
        <w:noBreakHyphen/>
        <w:t>executive Director.</w:t>
      </w:r>
    </w:p>
    <w:p w14:paraId="4E4B3022"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 xml:space="preserve">A separate section of the annual report should describe the work of the audit committee in discharging its responsibilities. The annual report should also explain to </w:t>
      </w:r>
      <w:r w:rsidR="00B46F00" w:rsidRPr="00FB2F3D">
        <w:rPr>
          <w:rFonts w:ascii="Arial" w:hAnsi="Arial" w:cs="Arial"/>
          <w:sz w:val="22"/>
          <w:szCs w:val="22"/>
        </w:rPr>
        <w:t>Shareholder</w:t>
      </w:r>
      <w:r w:rsidRPr="00FB2F3D">
        <w:rPr>
          <w:rFonts w:ascii="Arial" w:hAnsi="Arial" w:cs="Arial"/>
          <w:sz w:val="22"/>
          <w:szCs w:val="22"/>
        </w:rPr>
        <w:t xml:space="preserve">s how, if the </w:t>
      </w:r>
      <w:r w:rsidR="00A85262" w:rsidRPr="00FB2F3D">
        <w:rPr>
          <w:rFonts w:ascii="Arial" w:hAnsi="Arial" w:cs="Arial"/>
          <w:sz w:val="22"/>
          <w:szCs w:val="22"/>
        </w:rPr>
        <w:t>auditor</w:t>
      </w:r>
      <w:r w:rsidRPr="00FB2F3D">
        <w:rPr>
          <w:rFonts w:ascii="Arial" w:hAnsi="Arial" w:cs="Arial"/>
          <w:sz w:val="22"/>
          <w:szCs w:val="22"/>
        </w:rPr>
        <w:t xml:space="preserve"> provides non</w:t>
      </w:r>
      <w:r w:rsidRPr="00FB2F3D">
        <w:rPr>
          <w:rFonts w:ascii="Arial" w:hAnsi="Arial" w:cs="Arial"/>
          <w:sz w:val="22"/>
          <w:szCs w:val="22"/>
        </w:rPr>
        <w:noBreakHyphen/>
        <w:t xml:space="preserve">audit services, </w:t>
      </w:r>
      <w:r w:rsidR="00A85262" w:rsidRPr="00FB2F3D">
        <w:rPr>
          <w:rFonts w:ascii="Arial" w:hAnsi="Arial" w:cs="Arial"/>
          <w:sz w:val="22"/>
          <w:szCs w:val="22"/>
        </w:rPr>
        <w:t>auditor</w:t>
      </w:r>
      <w:r w:rsidRPr="00FB2F3D">
        <w:rPr>
          <w:rFonts w:ascii="Arial" w:hAnsi="Arial" w:cs="Arial"/>
          <w:sz w:val="22"/>
          <w:szCs w:val="22"/>
        </w:rPr>
        <w:t xml:space="preserve"> objectivity and independence is safeguarded.</w:t>
      </w:r>
    </w:p>
    <w:p w14:paraId="35825AC6" w14:textId="77777777" w:rsidR="00162E0C" w:rsidRPr="00FB2F3D" w:rsidRDefault="00162E0C" w:rsidP="00FD2C3F">
      <w:pPr>
        <w:pStyle w:val="TitleL"/>
        <w:rPr>
          <w:rFonts w:ascii="Arial" w:hAnsi="Arial" w:cs="Arial"/>
          <w:sz w:val="22"/>
          <w:szCs w:val="22"/>
          <w:u w:val="single"/>
        </w:rPr>
      </w:pPr>
      <w:r w:rsidRPr="00FB2F3D">
        <w:rPr>
          <w:rFonts w:ascii="Arial" w:hAnsi="Arial" w:cs="Arial"/>
          <w:sz w:val="22"/>
          <w:szCs w:val="22"/>
          <w:u w:val="single"/>
        </w:rPr>
        <w:t>Principle 5 – Shareholder rights and effective dialogue</w:t>
      </w:r>
    </w:p>
    <w:p w14:paraId="64E13046" w14:textId="77777777" w:rsidR="00162E0C" w:rsidRPr="00FB2F3D" w:rsidRDefault="00162E0C" w:rsidP="003721B0">
      <w:pPr>
        <w:pStyle w:val="UK12Block05"/>
        <w:keepNext/>
        <w:rPr>
          <w:rFonts w:ascii="Arial" w:hAnsi="Arial" w:cs="Arial"/>
          <w:sz w:val="22"/>
          <w:szCs w:val="22"/>
        </w:rPr>
      </w:pPr>
      <w:r w:rsidRPr="00FB2F3D">
        <w:rPr>
          <w:rFonts w:ascii="Arial" w:hAnsi="Arial" w:cs="Arial"/>
          <w:sz w:val="22"/>
          <w:szCs w:val="22"/>
        </w:rPr>
        <w:t>Rule </w:t>
      </w:r>
      <w:r w:rsidR="00693841" w:rsidRPr="00FB2F3D">
        <w:rPr>
          <w:rFonts w:ascii="Arial" w:hAnsi="Arial" w:cs="Arial"/>
          <w:sz w:val="22"/>
          <w:szCs w:val="22"/>
        </w:rPr>
        <w:t>9.2.7</w:t>
      </w:r>
    </w:p>
    <w:p w14:paraId="2E05DF2C" w14:textId="77777777" w:rsidR="00162E0C" w:rsidRPr="00FB2F3D" w:rsidRDefault="00162E0C" w:rsidP="006207B8">
      <w:pPr>
        <w:pStyle w:val="UK12Block05"/>
        <w:rPr>
          <w:rFonts w:ascii="Arial" w:hAnsi="Arial" w:cs="Arial"/>
          <w:sz w:val="22"/>
          <w:szCs w:val="22"/>
        </w:rPr>
      </w:pPr>
      <w:r w:rsidRPr="00FB2F3D">
        <w:rPr>
          <w:rFonts w:ascii="Arial" w:hAnsi="Arial" w:cs="Arial"/>
          <w:sz w:val="22"/>
          <w:szCs w:val="22"/>
        </w:rPr>
        <w:t xml:space="preserve">"The Board must ensure that the rights of </w:t>
      </w:r>
      <w:r w:rsidR="00B46F00" w:rsidRPr="00FB2F3D">
        <w:rPr>
          <w:rFonts w:ascii="Arial" w:hAnsi="Arial" w:cs="Arial"/>
          <w:sz w:val="22"/>
          <w:szCs w:val="22"/>
        </w:rPr>
        <w:t>Shareholder</w:t>
      </w:r>
      <w:r w:rsidRPr="00FB2F3D">
        <w:rPr>
          <w:rFonts w:ascii="Arial" w:hAnsi="Arial" w:cs="Arial"/>
          <w:sz w:val="22"/>
          <w:szCs w:val="22"/>
        </w:rPr>
        <w:t xml:space="preserve">s are properly safeguarded through appropriate measures that enable the </w:t>
      </w:r>
      <w:r w:rsidR="00B46F00" w:rsidRPr="00FB2F3D">
        <w:rPr>
          <w:rFonts w:ascii="Arial" w:hAnsi="Arial" w:cs="Arial"/>
          <w:sz w:val="22"/>
          <w:szCs w:val="22"/>
        </w:rPr>
        <w:t>Shareholder</w:t>
      </w:r>
      <w:r w:rsidRPr="00FB2F3D">
        <w:rPr>
          <w:rFonts w:ascii="Arial" w:hAnsi="Arial" w:cs="Arial"/>
          <w:sz w:val="22"/>
          <w:szCs w:val="22"/>
        </w:rPr>
        <w:t xml:space="preserve">s to exercise their rights effectively, promote effective dialogue with </w:t>
      </w:r>
      <w:r w:rsidR="00B46F00" w:rsidRPr="00FB2F3D">
        <w:rPr>
          <w:rFonts w:ascii="Arial" w:hAnsi="Arial" w:cs="Arial"/>
          <w:sz w:val="22"/>
          <w:szCs w:val="22"/>
        </w:rPr>
        <w:t>Shareholder</w:t>
      </w:r>
      <w:r w:rsidRPr="00FB2F3D">
        <w:rPr>
          <w:rFonts w:ascii="Arial" w:hAnsi="Arial" w:cs="Arial"/>
          <w:sz w:val="22"/>
          <w:szCs w:val="22"/>
        </w:rPr>
        <w:t xml:space="preserve">s and other key stakeholders as appropriate, and prevent any abuse or oppression of minority </w:t>
      </w:r>
      <w:r w:rsidR="00B46F00" w:rsidRPr="00FB2F3D">
        <w:rPr>
          <w:rFonts w:ascii="Arial" w:hAnsi="Arial" w:cs="Arial"/>
          <w:sz w:val="22"/>
          <w:szCs w:val="22"/>
        </w:rPr>
        <w:t>Shareholder</w:t>
      </w:r>
      <w:r w:rsidRPr="00FB2F3D">
        <w:rPr>
          <w:rFonts w:ascii="Arial" w:hAnsi="Arial" w:cs="Arial"/>
          <w:sz w:val="22"/>
          <w:szCs w:val="22"/>
        </w:rPr>
        <w:t>s."</w:t>
      </w:r>
    </w:p>
    <w:p w14:paraId="324F6A7C"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The Board as a whole has responsibility for ensuring that a satisfactory dialogue with </w:t>
      </w:r>
      <w:r w:rsidR="00B46F00" w:rsidRPr="00FB2F3D">
        <w:rPr>
          <w:rFonts w:ascii="Arial" w:hAnsi="Arial" w:cs="Arial"/>
          <w:sz w:val="22"/>
          <w:szCs w:val="22"/>
        </w:rPr>
        <w:t>Shareholder</w:t>
      </w:r>
      <w:r w:rsidRPr="00FB2F3D">
        <w:rPr>
          <w:rFonts w:ascii="Arial" w:hAnsi="Arial" w:cs="Arial"/>
          <w:sz w:val="22"/>
          <w:szCs w:val="22"/>
        </w:rPr>
        <w:t xml:space="preserve">s takes place. Such dialogue should be based on the mutual understanding of objectives and provision of adequate information relating to the </w:t>
      </w:r>
      <w:r w:rsidR="005A10A6" w:rsidRPr="00FB2F3D">
        <w:rPr>
          <w:rFonts w:ascii="Arial" w:hAnsi="Arial" w:cs="Arial"/>
          <w:sz w:val="22"/>
          <w:szCs w:val="22"/>
        </w:rPr>
        <w:t>Reporting Entity</w:t>
      </w:r>
      <w:r w:rsidRPr="00FB2F3D">
        <w:rPr>
          <w:rFonts w:ascii="Arial" w:hAnsi="Arial" w:cs="Arial"/>
          <w:sz w:val="22"/>
          <w:szCs w:val="22"/>
        </w:rPr>
        <w:t xml:space="preserve"> including financial information, and how the business and affairs of the </w:t>
      </w:r>
      <w:r w:rsidR="005A10A6" w:rsidRPr="00FB2F3D">
        <w:rPr>
          <w:rFonts w:ascii="Arial" w:hAnsi="Arial" w:cs="Arial"/>
          <w:sz w:val="22"/>
          <w:szCs w:val="22"/>
        </w:rPr>
        <w:t>Reporting Entity</w:t>
      </w:r>
      <w:r w:rsidRPr="00FB2F3D">
        <w:rPr>
          <w:rFonts w:ascii="Arial" w:hAnsi="Arial" w:cs="Arial"/>
          <w:sz w:val="22"/>
          <w:szCs w:val="22"/>
        </w:rPr>
        <w:t xml:space="preserve"> are carried out.</w:t>
      </w:r>
    </w:p>
    <w:p w14:paraId="2BB4E62C"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 xml:space="preserve">The Board should hold a general meeting of </w:t>
      </w:r>
      <w:r w:rsidR="00B46F00" w:rsidRPr="00FB2F3D">
        <w:rPr>
          <w:rFonts w:ascii="Arial" w:hAnsi="Arial" w:cs="Arial"/>
          <w:sz w:val="22"/>
          <w:szCs w:val="22"/>
        </w:rPr>
        <w:t>Shareholder</w:t>
      </w:r>
      <w:r w:rsidRPr="00FB2F3D">
        <w:rPr>
          <w:rFonts w:ascii="Arial" w:hAnsi="Arial" w:cs="Arial"/>
          <w:sz w:val="22"/>
          <w:szCs w:val="22"/>
        </w:rPr>
        <w:t>s at least annually.</w:t>
      </w:r>
    </w:p>
    <w:p w14:paraId="55EEF8A1"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The Board should use the annual general meeting to communicate with </w:t>
      </w:r>
      <w:r w:rsidR="00B46F00" w:rsidRPr="00FB2F3D">
        <w:rPr>
          <w:rFonts w:ascii="Arial" w:hAnsi="Arial" w:cs="Arial"/>
          <w:sz w:val="22"/>
          <w:szCs w:val="22"/>
        </w:rPr>
        <w:t>Shareholder</w:t>
      </w:r>
      <w:r w:rsidRPr="00FB2F3D">
        <w:rPr>
          <w:rFonts w:ascii="Arial" w:hAnsi="Arial" w:cs="Arial"/>
          <w:sz w:val="22"/>
          <w:szCs w:val="22"/>
        </w:rPr>
        <w:t xml:space="preserve">s on important aspects of the </w:t>
      </w:r>
      <w:r w:rsidR="005A10A6" w:rsidRPr="00FB2F3D">
        <w:rPr>
          <w:rFonts w:ascii="Arial" w:hAnsi="Arial" w:cs="Arial"/>
          <w:sz w:val="22"/>
          <w:szCs w:val="22"/>
        </w:rPr>
        <w:t>Reporting Entity</w:t>
      </w:r>
      <w:r w:rsidRPr="00FB2F3D">
        <w:rPr>
          <w:rFonts w:ascii="Arial" w:hAnsi="Arial" w:cs="Arial"/>
          <w:sz w:val="22"/>
          <w:szCs w:val="22"/>
        </w:rPr>
        <w:t>'s business and affairs and encourage their participation. Shareholders should have the opportunity to ask questions of the Board, to place items on the agenda of general meetings and to propose resolutions.</w:t>
      </w:r>
    </w:p>
    <w:p w14:paraId="4BC51FBD"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At any general meeting, the </w:t>
      </w:r>
      <w:r w:rsidR="005A10A6" w:rsidRPr="00FB2F3D">
        <w:rPr>
          <w:rFonts w:ascii="Arial" w:hAnsi="Arial" w:cs="Arial"/>
          <w:sz w:val="22"/>
          <w:szCs w:val="22"/>
        </w:rPr>
        <w:t>Reporting Entity</w:t>
      </w:r>
      <w:r w:rsidRPr="00FB2F3D">
        <w:rPr>
          <w:rFonts w:ascii="Arial" w:hAnsi="Arial" w:cs="Arial"/>
          <w:sz w:val="22"/>
          <w:szCs w:val="22"/>
        </w:rPr>
        <w:t xml:space="preserve"> should propose a separate resolution on each substantial separate issue, and should in particular propose a resolution at the annual general meeting relating to the report and accounts. For each resolution, proxy appointment forms should provide </w:t>
      </w:r>
      <w:r w:rsidR="00B46F00" w:rsidRPr="00FB2F3D">
        <w:rPr>
          <w:rFonts w:ascii="Arial" w:hAnsi="Arial" w:cs="Arial"/>
          <w:sz w:val="22"/>
          <w:szCs w:val="22"/>
        </w:rPr>
        <w:t>Shareholder</w:t>
      </w:r>
      <w:r w:rsidRPr="00FB2F3D">
        <w:rPr>
          <w:rFonts w:ascii="Arial" w:hAnsi="Arial" w:cs="Arial"/>
          <w:sz w:val="22"/>
          <w:szCs w:val="22"/>
        </w:rPr>
        <w:t>s with the option to direct their proxy to vote either for or against the resolution or to withhold their vote.</w:t>
      </w:r>
    </w:p>
    <w:p w14:paraId="645F7B09"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The chairman should arrange for the chairs of the audit, remuneration, and nomination committees to be available to answer questions at the annual general meeting and for all Directors to attend either in person or by electronic means.</w:t>
      </w:r>
    </w:p>
    <w:p w14:paraId="3DFFFF42"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lastRenderedPageBreak/>
        <w:t xml:space="preserve">Whilst recognising that most </w:t>
      </w:r>
      <w:r w:rsidR="00B46F00" w:rsidRPr="00FB2F3D">
        <w:rPr>
          <w:rFonts w:ascii="Arial" w:hAnsi="Arial" w:cs="Arial"/>
          <w:sz w:val="22"/>
          <w:szCs w:val="22"/>
        </w:rPr>
        <w:t>Shareholder</w:t>
      </w:r>
      <w:r w:rsidRPr="00FB2F3D">
        <w:rPr>
          <w:rFonts w:ascii="Arial" w:hAnsi="Arial" w:cs="Arial"/>
          <w:sz w:val="22"/>
          <w:szCs w:val="22"/>
        </w:rPr>
        <w:t xml:space="preserve"> contact is with the </w:t>
      </w:r>
      <w:r w:rsidR="00C534F0" w:rsidRPr="00FB2F3D">
        <w:rPr>
          <w:rFonts w:ascii="Arial" w:hAnsi="Arial" w:cs="Arial"/>
          <w:sz w:val="22"/>
          <w:szCs w:val="22"/>
        </w:rPr>
        <w:t>chief e</w:t>
      </w:r>
      <w:r w:rsidR="00514BD2" w:rsidRPr="00FB2F3D">
        <w:rPr>
          <w:rFonts w:ascii="Arial" w:hAnsi="Arial" w:cs="Arial"/>
          <w:sz w:val="22"/>
          <w:szCs w:val="22"/>
        </w:rPr>
        <w:t>xecutive</w:t>
      </w:r>
      <w:r w:rsidRPr="00FB2F3D">
        <w:rPr>
          <w:rFonts w:ascii="Arial" w:hAnsi="Arial" w:cs="Arial"/>
          <w:sz w:val="22"/>
          <w:szCs w:val="22"/>
        </w:rPr>
        <w:t xml:space="preserve"> and finance Director, the chairman and other Directors, including non</w:t>
      </w:r>
      <w:r w:rsidRPr="00FB2F3D">
        <w:rPr>
          <w:rFonts w:ascii="Arial" w:hAnsi="Arial" w:cs="Arial"/>
          <w:sz w:val="22"/>
          <w:szCs w:val="22"/>
        </w:rPr>
        <w:noBreakHyphen/>
        <w:t>executive Directors as appropriate</w:t>
      </w:r>
      <w:r w:rsidR="00DA0152" w:rsidRPr="00FB2F3D">
        <w:rPr>
          <w:rFonts w:ascii="Arial" w:hAnsi="Arial" w:cs="Arial"/>
          <w:sz w:val="22"/>
          <w:szCs w:val="22"/>
        </w:rPr>
        <w:t>,</w:t>
      </w:r>
      <w:r w:rsidRPr="00FB2F3D">
        <w:rPr>
          <w:rFonts w:ascii="Arial" w:hAnsi="Arial" w:cs="Arial"/>
          <w:sz w:val="22"/>
          <w:szCs w:val="22"/>
        </w:rPr>
        <w:t xml:space="preserve"> should maintain sufficient contact with major </w:t>
      </w:r>
      <w:r w:rsidR="00B46F00" w:rsidRPr="00FB2F3D">
        <w:rPr>
          <w:rFonts w:ascii="Arial" w:hAnsi="Arial" w:cs="Arial"/>
          <w:sz w:val="22"/>
          <w:szCs w:val="22"/>
        </w:rPr>
        <w:t>Shareholder</w:t>
      </w:r>
      <w:r w:rsidRPr="00FB2F3D">
        <w:rPr>
          <w:rFonts w:ascii="Arial" w:hAnsi="Arial" w:cs="Arial"/>
          <w:sz w:val="22"/>
          <w:szCs w:val="22"/>
        </w:rPr>
        <w:t xml:space="preserve">s to understand their issues and concerns. The Board should keep in touch with </w:t>
      </w:r>
      <w:r w:rsidR="00B46F00" w:rsidRPr="00FB2F3D">
        <w:rPr>
          <w:rFonts w:ascii="Arial" w:hAnsi="Arial" w:cs="Arial"/>
          <w:sz w:val="22"/>
          <w:szCs w:val="22"/>
        </w:rPr>
        <w:t>Shareholder</w:t>
      </w:r>
      <w:r w:rsidRPr="00FB2F3D">
        <w:rPr>
          <w:rFonts w:ascii="Arial" w:hAnsi="Arial" w:cs="Arial"/>
          <w:sz w:val="22"/>
          <w:szCs w:val="22"/>
        </w:rPr>
        <w:t xml:space="preserve"> opinion using means which are most practical and efficient taking into account the nature, scale and complexity of its operations and the nature of its </w:t>
      </w:r>
      <w:r w:rsidR="00B46F00" w:rsidRPr="00FB2F3D">
        <w:rPr>
          <w:rFonts w:ascii="Arial" w:hAnsi="Arial" w:cs="Arial"/>
          <w:sz w:val="22"/>
          <w:szCs w:val="22"/>
        </w:rPr>
        <w:t>Shareholder</w:t>
      </w:r>
      <w:r w:rsidRPr="00FB2F3D">
        <w:rPr>
          <w:rFonts w:ascii="Arial" w:hAnsi="Arial" w:cs="Arial"/>
          <w:sz w:val="22"/>
          <w:szCs w:val="22"/>
        </w:rPr>
        <w:t xml:space="preserve"> base. The Board should use its website as a forum for the posting of information such as new strategies</w:t>
      </w:r>
      <w:r w:rsidR="00DA0152" w:rsidRPr="00FB2F3D">
        <w:rPr>
          <w:rFonts w:ascii="Arial" w:hAnsi="Arial" w:cs="Arial"/>
          <w:sz w:val="22"/>
          <w:szCs w:val="22"/>
        </w:rPr>
        <w:t xml:space="preserve"> and a</w:t>
      </w:r>
      <w:r w:rsidRPr="00FB2F3D">
        <w:rPr>
          <w:rFonts w:ascii="Arial" w:hAnsi="Arial" w:cs="Arial"/>
          <w:sz w:val="22"/>
          <w:szCs w:val="22"/>
        </w:rPr>
        <w:t xml:space="preserve"> calendar for important meetings and other events.</w:t>
      </w:r>
    </w:p>
    <w:p w14:paraId="20F04B8A"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The chairman should ensure that the views of </w:t>
      </w:r>
      <w:r w:rsidR="00B46F00" w:rsidRPr="00FB2F3D">
        <w:rPr>
          <w:rFonts w:ascii="Arial" w:hAnsi="Arial" w:cs="Arial"/>
          <w:sz w:val="22"/>
          <w:szCs w:val="22"/>
        </w:rPr>
        <w:t>Shareholder</w:t>
      </w:r>
      <w:r w:rsidRPr="00FB2F3D">
        <w:rPr>
          <w:rFonts w:ascii="Arial" w:hAnsi="Arial" w:cs="Arial"/>
          <w:sz w:val="22"/>
          <w:szCs w:val="22"/>
        </w:rPr>
        <w:t>s are communicated to the Board as a whole. In addition, the chairman should discuss</w:t>
      </w:r>
      <w:r w:rsidR="00DA0152" w:rsidRPr="00FB2F3D">
        <w:rPr>
          <w:rFonts w:ascii="Arial" w:hAnsi="Arial" w:cs="Arial"/>
          <w:sz w:val="22"/>
          <w:szCs w:val="22"/>
        </w:rPr>
        <w:t xml:space="preserve"> the</w:t>
      </w:r>
      <w:r w:rsidRPr="00FB2F3D">
        <w:rPr>
          <w:rFonts w:ascii="Arial" w:hAnsi="Arial" w:cs="Arial"/>
          <w:sz w:val="22"/>
          <w:szCs w:val="22"/>
        </w:rPr>
        <w:t xml:space="preserve"> governance and strategy of the </w:t>
      </w:r>
      <w:r w:rsidR="005A10A6" w:rsidRPr="00FB2F3D">
        <w:rPr>
          <w:rFonts w:ascii="Arial" w:hAnsi="Arial" w:cs="Arial"/>
          <w:sz w:val="22"/>
          <w:szCs w:val="22"/>
        </w:rPr>
        <w:t>Reporting Entity</w:t>
      </w:r>
      <w:r w:rsidR="00DA0152" w:rsidRPr="00FB2F3D">
        <w:rPr>
          <w:rFonts w:ascii="Arial" w:hAnsi="Arial" w:cs="Arial"/>
          <w:sz w:val="22"/>
          <w:szCs w:val="22"/>
        </w:rPr>
        <w:t>,</w:t>
      </w:r>
      <w:r w:rsidRPr="00FB2F3D">
        <w:rPr>
          <w:rFonts w:ascii="Arial" w:hAnsi="Arial" w:cs="Arial"/>
          <w:sz w:val="22"/>
          <w:szCs w:val="22"/>
        </w:rPr>
        <w:t xml:space="preserve"> at least with its major </w:t>
      </w:r>
      <w:r w:rsidR="00B46F00" w:rsidRPr="00FB2F3D">
        <w:rPr>
          <w:rFonts w:ascii="Arial" w:hAnsi="Arial" w:cs="Arial"/>
          <w:sz w:val="22"/>
          <w:szCs w:val="22"/>
        </w:rPr>
        <w:t>Shareholder</w:t>
      </w:r>
      <w:r w:rsidRPr="00FB2F3D">
        <w:rPr>
          <w:rFonts w:ascii="Arial" w:hAnsi="Arial" w:cs="Arial"/>
          <w:sz w:val="22"/>
          <w:szCs w:val="22"/>
        </w:rPr>
        <w:t>s. Non</w:t>
      </w:r>
      <w:r w:rsidRPr="00FB2F3D">
        <w:rPr>
          <w:rFonts w:ascii="Arial" w:hAnsi="Arial" w:cs="Arial"/>
          <w:sz w:val="22"/>
          <w:szCs w:val="22"/>
        </w:rPr>
        <w:noBreakHyphen/>
        <w:t xml:space="preserve">executive Directors should be offered the opportunity to attend meetings with major </w:t>
      </w:r>
      <w:r w:rsidR="00B46F00" w:rsidRPr="00FB2F3D">
        <w:rPr>
          <w:rFonts w:ascii="Arial" w:hAnsi="Arial" w:cs="Arial"/>
          <w:sz w:val="22"/>
          <w:szCs w:val="22"/>
        </w:rPr>
        <w:t>Shareholder</w:t>
      </w:r>
      <w:r w:rsidRPr="00FB2F3D">
        <w:rPr>
          <w:rFonts w:ascii="Arial" w:hAnsi="Arial" w:cs="Arial"/>
          <w:sz w:val="22"/>
          <w:szCs w:val="22"/>
        </w:rPr>
        <w:t>s and should expect to attend such meetings</w:t>
      </w:r>
      <w:r w:rsidR="00DA0152" w:rsidRPr="00FB2F3D">
        <w:rPr>
          <w:rFonts w:ascii="Arial" w:hAnsi="Arial" w:cs="Arial"/>
          <w:sz w:val="22"/>
          <w:szCs w:val="22"/>
        </w:rPr>
        <w:t>,</w:t>
      </w:r>
      <w:r w:rsidRPr="00FB2F3D">
        <w:rPr>
          <w:rFonts w:ascii="Arial" w:hAnsi="Arial" w:cs="Arial"/>
          <w:sz w:val="22"/>
          <w:szCs w:val="22"/>
        </w:rPr>
        <w:t xml:space="preserve"> especially if requested by major </w:t>
      </w:r>
      <w:r w:rsidR="00B46F00" w:rsidRPr="00FB2F3D">
        <w:rPr>
          <w:rFonts w:ascii="Arial" w:hAnsi="Arial" w:cs="Arial"/>
          <w:sz w:val="22"/>
          <w:szCs w:val="22"/>
        </w:rPr>
        <w:t>Shareholder</w:t>
      </w:r>
      <w:r w:rsidRPr="00FB2F3D">
        <w:rPr>
          <w:rFonts w:ascii="Arial" w:hAnsi="Arial" w:cs="Arial"/>
          <w:sz w:val="22"/>
          <w:szCs w:val="22"/>
        </w:rPr>
        <w:t>s.</w:t>
      </w:r>
    </w:p>
    <w:p w14:paraId="3D8EA854"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 xml:space="preserve">The Board should ensure that no steps are taken which may prevent </w:t>
      </w:r>
      <w:r w:rsidR="00B46F00" w:rsidRPr="00FB2F3D">
        <w:rPr>
          <w:rFonts w:ascii="Arial" w:hAnsi="Arial" w:cs="Arial"/>
          <w:sz w:val="22"/>
          <w:szCs w:val="22"/>
        </w:rPr>
        <w:t>Shareholder</w:t>
      </w:r>
      <w:r w:rsidRPr="00FB2F3D">
        <w:rPr>
          <w:rFonts w:ascii="Arial" w:hAnsi="Arial" w:cs="Arial"/>
          <w:sz w:val="22"/>
          <w:szCs w:val="22"/>
        </w:rPr>
        <w:t xml:space="preserve">s consulting with other </w:t>
      </w:r>
      <w:r w:rsidR="00B46F00" w:rsidRPr="00FB2F3D">
        <w:rPr>
          <w:rFonts w:ascii="Arial" w:hAnsi="Arial" w:cs="Arial"/>
          <w:sz w:val="22"/>
          <w:szCs w:val="22"/>
        </w:rPr>
        <w:t>Shareholder</w:t>
      </w:r>
      <w:r w:rsidRPr="00FB2F3D">
        <w:rPr>
          <w:rFonts w:ascii="Arial" w:hAnsi="Arial" w:cs="Arial"/>
          <w:sz w:val="22"/>
          <w:szCs w:val="22"/>
        </w:rPr>
        <w:t xml:space="preserve">s on issues concerning their basic </w:t>
      </w:r>
      <w:r w:rsidR="00B46F00" w:rsidRPr="00FB2F3D">
        <w:rPr>
          <w:rFonts w:ascii="Arial" w:hAnsi="Arial" w:cs="Arial"/>
          <w:sz w:val="22"/>
          <w:szCs w:val="22"/>
        </w:rPr>
        <w:t>Shareholder</w:t>
      </w:r>
      <w:r w:rsidRPr="00FB2F3D">
        <w:rPr>
          <w:rFonts w:ascii="Arial" w:hAnsi="Arial" w:cs="Arial"/>
          <w:sz w:val="22"/>
          <w:szCs w:val="22"/>
        </w:rPr>
        <w:t xml:space="preserve"> rights, subject to exceptions to prevent abuse. Similarly, the Board should also protect minority </w:t>
      </w:r>
      <w:r w:rsidR="00B46F00" w:rsidRPr="00FB2F3D">
        <w:rPr>
          <w:rFonts w:ascii="Arial" w:hAnsi="Arial" w:cs="Arial"/>
          <w:sz w:val="22"/>
          <w:szCs w:val="22"/>
        </w:rPr>
        <w:t>Shareholder</w:t>
      </w:r>
      <w:r w:rsidRPr="00FB2F3D">
        <w:rPr>
          <w:rFonts w:ascii="Arial" w:hAnsi="Arial" w:cs="Arial"/>
          <w:sz w:val="22"/>
          <w:szCs w:val="22"/>
        </w:rPr>
        <w:t xml:space="preserve">s from any oppressive or abusive action by controlling or major </w:t>
      </w:r>
      <w:r w:rsidR="00B46F00" w:rsidRPr="00FB2F3D">
        <w:rPr>
          <w:rFonts w:ascii="Arial" w:hAnsi="Arial" w:cs="Arial"/>
          <w:sz w:val="22"/>
          <w:szCs w:val="22"/>
        </w:rPr>
        <w:t>Shareholder</w:t>
      </w:r>
      <w:r w:rsidRPr="00FB2F3D">
        <w:rPr>
          <w:rFonts w:ascii="Arial" w:hAnsi="Arial" w:cs="Arial"/>
          <w:sz w:val="22"/>
          <w:szCs w:val="22"/>
        </w:rPr>
        <w:t>s.</w:t>
      </w:r>
    </w:p>
    <w:p w14:paraId="24DC6506"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Other stakeholders</w:t>
      </w:r>
    </w:p>
    <w:p w14:paraId="361C6E19"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While </w:t>
      </w:r>
      <w:r w:rsidR="00B46F00" w:rsidRPr="00FB2F3D">
        <w:rPr>
          <w:rFonts w:ascii="Arial" w:hAnsi="Arial" w:cs="Arial"/>
          <w:sz w:val="22"/>
          <w:szCs w:val="22"/>
        </w:rPr>
        <w:t>Shareholder</w:t>
      </w:r>
      <w:r w:rsidRPr="00FB2F3D">
        <w:rPr>
          <w:rFonts w:ascii="Arial" w:hAnsi="Arial" w:cs="Arial"/>
          <w:sz w:val="22"/>
          <w:szCs w:val="22"/>
        </w:rPr>
        <w:t xml:space="preserve">s of the </w:t>
      </w:r>
      <w:r w:rsidR="005A10A6" w:rsidRPr="00FB2F3D">
        <w:rPr>
          <w:rFonts w:ascii="Arial" w:hAnsi="Arial" w:cs="Arial"/>
          <w:sz w:val="22"/>
          <w:szCs w:val="22"/>
        </w:rPr>
        <w:t>Reporting Entity</w:t>
      </w:r>
      <w:r w:rsidRPr="00FB2F3D">
        <w:rPr>
          <w:rFonts w:ascii="Arial" w:hAnsi="Arial" w:cs="Arial"/>
          <w:sz w:val="22"/>
          <w:szCs w:val="22"/>
        </w:rPr>
        <w:t xml:space="preserve"> form the major stakeholder group of the </w:t>
      </w:r>
      <w:r w:rsidR="005A10A6" w:rsidRPr="00FB2F3D">
        <w:rPr>
          <w:rFonts w:ascii="Arial" w:hAnsi="Arial" w:cs="Arial"/>
          <w:sz w:val="22"/>
          <w:szCs w:val="22"/>
        </w:rPr>
        <w:t>Reporting Entity</w:t>
      </w:r>
      <w:r w:rsidRPr="00FB2F3D">
        <w:rPr>
          <w:rFonts w:ascii="Arial" w:hAnsi="Arial" w:cs="Arial"/>
          <w:sz w:val="22"/>
          <w:szCs w:val="22"/>
        </w:rPr>
        <w:t xml:space="preserve">, the Board should also ensure that there are adequate channels of communication with its other key stakeholders as appropriate to the nature, scale and complexity of its business operations, and the environment in which it operates. Such stakeholders may include </w:t>
      </w:r>
      <w:r w:rsidR="002A1DA9" w:rsidRPr="00FB2F3D">
        <w:rPr>
          <w:rFonts w:ascii="Arial" w:hAnsi="Arial" w:cs="Arial"/>
          <w:sz w:val="22"/>
          <w:szCs w:val="22"/>
        </w:rPr>
        <w:t>Employee</w:t>
      </w:r>
      <w:r w:rsidRPr="00FB2F3D">
        <w:rPr>
          <w:rFonts w:ascii="Arial" w:hAnsi="Arial" w:cs="Arial"/>
          <w:sz w:val="22"/>
          <w:szCs w:val="22"/>
        </w:rPr>
        <w:t xml:space="preserve">s, creditors and business </w:t>
      </w:r>
      <w:r w:rsidR="00BA3095" w:rsidRPr="00FB2F3D">
        <w:rPr>
          <w:rFonts w:ascii="Arial" w:hAnsi="Arial" w:cs="Arial"/>
          <w:sz w:val="22"/>
          <w:szCs w:val="22"/>
        </w:rPr>
        <w:t>Customer</w:t>
      </w:r>
      <w:r w:rsidRPr="00FB2F3D">
        <w:rPr>
          <w:rFonts w:ascii="Arial" w:hAnsi="Arial" w:cs="Arial"/>
          <w:sz w:val="22"/>
          <w:szCs w:val="22"/>
        </w:rPr>
        <w:t xml:space="preserve">s of the </w:t>
      </w:r>
      <w:r w:rsidR="005A10A6" w:rsidRPr="00FB2F3D">
        <w:rPr>
          <w:rFonts w:ascii="Arial" w:hAnsi="Arial" w:cs="Arial"/>
          <w:sz w:val="22"/>
          <w:szCs w:val="22"/>
        </w:rPr>
        <w:t>Reporting Entity</w:t>
      </w:r>
      <w:r w:rsidRPr="00FB2F3D">
        <w:rPr>
          <w:rFonts w:ascii="Arial" w:hAnsi="Arial" w:cs="Arial"/>
          <w:sz w:val="22"/>
          <w:szCs w:val="22"/>
        </w:rPr>
        <w:t xml:space="preserve">. The Board should make an assessment of the level of information that should generally be made available to the public, or to any particular group of stakeholders, relating to the affairs of the </w:t>
      </w:r>
      <w:r w:rsidR="00EE4C51" w:rsidRPr="00FB2F3D">
        <w:rPr>
          <w:rFonts w:ascii="Arial" w:hAnsi="Arial" w:cs="Arial"/>
          <w:sz w:val="22"/>
          <w:szCs w:val="22"/>
        </w:rPr>
        <w:t>Company</w:t>
      </w:r>
      <w:r w:rsidRPr="00FB2F3D">
        <w:rPr>
          <w:rFonts w:ascii="Arial" w:hAnsi="Arial" w:cs="Arial"/>
          <w:sz w:val="22"/>
          <w:szCs w:val="22"/>
        </w:rPr>
        <w:t>, and how best to make use of its website or any other channels of communication as appropriate to disseminate relevant information.</w:t>
      </w:r>
    </w:p>
    <w:p w14:paraId="7BB88387" w14:textId="77777777" w:rsidR="00162E0C" w:rsidRPr="00FB2F3D" w:rsidRDefault="00162E0C" w:rsidP="00FD2C3F">
      <w:pPr>
        <w:pStyle w:val="TitleL"/>
        <w:rPr>
          <w:rFonts w:ascii="Arial" w:hAnsi="Arial" w:cs="Arial"/>
          <w:sz w:val="22"/>
          <w:szCs w:val="22"/>
          <w:u w:val="single"/>
        </w:rPr>
      </w:pPr>
      <w:r w:rsidRPr="00FB2F3D">
        <w:rPr>
          <w:rFonts w:ascii="Arial" w:hAnsi="Arial" w:cs="Arial"/>
          <w:sz w:val="22"/>
          <w:szCs w:val="22"/>
          <w:u w:val="single"/>
        </w:rPr>
        <w:t>Principle 6 –Position and prospects</w:t>
      </w:r>
    </w:p>
    <w:p w14:paraId="709AD910" w14:textId="77777777" w:rsidR="00162E0C" w:rsidRPr="00FB2F3D" w:rsidRDefault="00162E0C" w:rsidP="003721B0">
      <w:pPr>
        <w:pStyle w:val="UK12Block05"/>
        <w:keepNext/>
        <w:rPr>
          <w:rFonts w:ascii="Arial" w:hAnsi="Arial" w:cs="Arial"/>
          <w:sz w:val="22"/>
          <w:szCs w:val="22"/>
        </w:rPr>
      </w:pPr>
      <w:r w:rsidRPr="00FB2F3D">
        <w:rPr>
          <w:rFonts w:ascii="Arial" w:hAnsi="Arial" w:cs="Arial"/>
          <w:sz w:val="22"/>
          <w:szCs w:val="22"/>
        </w:rPr>
        <w:t>Rule </w:t>
      </w:r>
      <w:r w:rsidR="00693841" w:rsidRPr="00FB2F3D">
        <w:rPr>
          <w:rFonts w:ascii="Arial" w:hAnsi="Arial" w:cs="Arial"/>
          <w:sz w:val="22"/>
          <w:szCs w:val="22"/>
        </w:rPr>
        <w:t>9.2.8</w:t>
      </w:r>
    </w:p>
    <w:p w14:paraId="7F8620F0" w14:textId="77777777" w:rsidR="00162E0C" w:rsidRPr="00FB2F3D" w:rsidRDefault="00162E0C" w:rsidP="005A10A6">
      <w:pPr>
        <w:pStyle w:val="UK12Block05"/>
        <w:rPr>
          <w:rFonts w:ascii="Arial" w:hAnsi="Arial" w:cs="Arial"/>
          <w:sz w:val="22"/>
          <w:szCs w:val="22"/>
        </w:rPr>
      </w:pPr>
      <w:r w:rsidRPr="00FB2F3D">
        <w:rPr>
          <w:rFonts w:ascii="Arial" w:hAnsi="Arial" w:cs="Arial"/>
          <w:sz w:val="22"/>
          <w:szCs w:val="22"/>
        </w:rPr>
        <w:t xml:space="preserve">"The Board must ensure that the </w:t>
      </w:r>
      <w:r w:rsidR="005A10A6" w:rsidRPr="00FB2F3D">
        <w:rPr>
          <w:rFonts w:ascii="Arial" w:hAnsi="Arial" w:cs="Arial"/>
          <w:sz w:val="22"/>
          <w:szCs w:val="22"/>
        </w:rPr>
        <w:t>Reporting Entity</w:t>
      </w:r>
      <w:r w:rsidRPr="00FB2F3D">
        <w:rPr>
          <w:rFonts w:ascii="Arial" w:hAnsi="Arial" w:cs="Arial"/>
          <w:sz w:val="22"/>
          <w:szCs w:val="22"/>
        </w:rPr>
        <w:t xml:space="preserve">'s financial and other reports present an accurate, balanced and understandable assessment of the </w:t>
      </w:r>
      <w:r w:rsidR="005A10A6" w:rsidRPr="00FB2F3D">
        <w:rPr>
          <w:rFonts w:ascii="Arial" w:hAnsi="Arial" w:cs="Arial"/>
          <w:sz w:val="22"/>
          <w:szCs w:val="22"/>
        </w:rPr>
        <w:t>Reporting Entity</w:t>
      </w:r>
      <w:r w:rsidRPr="00FB2F3D">
        <w:rPr>
          <w:rFonts w:ascii="Arial" w:hAnsi="Arial" w:cs="Arial"/>
          <w:sz w:val="22"/>
          <w:szCs w:val="22"/>
        </w:rPr>
        <w:t>'s financial position and prospects by ensuring that there are effective internal risk control and reporting requirements."</w:t>
      </w:r>
    </w:p>
    <w:p w14:paraId="57AA8734"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The Board's responsibility to present a true, balanced and understandable assessment of its financial position and prospects should extend to interim and other price</w:t>
      </w:r>
      <w:r w:rsidRPr="00FB2F3D">
        <w:rPr>
          <w:rFonts w:ascii="Arial" w:hAnsi="Arial" w:cs="Arial"/>
          <w:sz w:val="22"/>
          <w:szCs w:val="22"/>
        </w:rPr>
        <w:noBreakHyphen/>
        <w:t>sensitive public reports and reports to regulators as well as to information required to be presented by law.</w:t>
      </w:r>
    </w:p>
    <w:p w14:paraId="4411C502"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 xml:space="preserve">The Directors should explain in the annual financial report their responsibility for preparing that report and accounts, and there should be a statement by the </w:t>
      </w:r>
      <w:r w:rsidR="00A85262" w:rsidRPr="00FB2F3D">
        <w:rPr>
          <w:rFonts w:ascii="Arial" w:hAnsi="Arial" w:cs="Arial"/>
          <w:sz w:val="22"/>
          <w:szCs w:val="22"/>
        </w:rPr>
        <w:t>auditor</w:t>
      </w:r>
      <w:r w:rsidRPr="00FB2F3D">
        <w:rPr>
          <w:rFonts w:ascii="Arial" w:hAnsi="Arial" w:cs="Arial"/>
          <w:sz w:val="22"/>
          <w:szCs w:val="22"/>
        </w:rPr>
        <w:t xml:space="preserve"> about their reporting responsibilities.</w:t>
      </w:r>
    </w:p>
    <w:p w14:paraId="78BFC5E0"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lastRenderedPageBreak/>
        <w:t xml:space="preserve">The Directors should include in the annual report an explanation of the basis on which the </w:t>
      </w:r>
      <w:r w:rsidR="005A10A6" w:rsidRPr="00FB2F3D">
        <w:rPr>
          <w:rFonts w:ascii="Arial" w:hAnsi="Arial" w:cs="Arial"/>
          <w:sz w:val="22"/>
          <w:szCs w:val="22"/>
        </w:rPr>
        <w:t>Reporting Entity</w:t>
      </w:r>
      <w:r w:rsidRPr="00FB2F3D">
        <w:rPr>
          <w:rFonts w:ascii="Arial" w:hAnsi="Arial" w:cs="Arial"/>
          <w:sz w:val="22"/>
          <w:szCs w:val="22"/>
        </w:rPr>
        <w:t xml:space="preserve"> generates or preserves value over the longer term (the business model) and the strategy for delivering the objectives of the </w:t>
      </w:r>
      <w:r w:rsidR="005A10A6" w:rsidRPr="00FB2F3D">
        <w:rPr>
          <w:rFonts w:ascii="Arial" w:hAnsi="Arial" w:cs="Arial"/>
          <w:sz w:val="22"/>
          <w:szCs w:val="22"/>
        </w:rPr>
        <w:t>Reporting Entity</w:t>
      </w:r>
      <w:r w:rsidRPr="00FB2F3D">
        <w:rPr>
          <w:rFonts w:ascii="Arial" w:hAnsi="Arial" w:cs="Arial"/>
          <w:sz w:val="22"/>
          <w:szCs w:val="22"/>
        </w:rPr>
        <w:t>.</w:t>
      </w:r>
    </w:p>
    <w:p w14:paraId="70170EA5"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The Directors should report in annual and half yearly financial statements that the business is a going concern, with supporting assumptions or qualifications as necessary.</w:t>
      </w:r>
    </w:p>
    <w:p w14:paraId="3F99BBEA" w14:textId="77777777" w:rsidR="00162E0C" w:rsidRPr="00FB2F3D" w:rsidRDefault="00162E0C" w:rsidP="00FD2C3F">
      <w:pPr>
        <w:pStyle w:val="TitleL"/>
        <w:rPr>
          <w:rFonts w:ascii="Arial" w:hAnsi="Arial" w:cs="Arial"/>
          <w:sz w:val="22"/>
          <w:szCs w:val="22"/>
          <w:u w:val="single"/>
        </w:rPr>
      </w:pPr>
      <w:r w:rsidRPr="00FB2F3D">
        <w:rPr>
          <w:rFonts w:ascii="Arial" w:hAnsi="Arial" w:cs="Arial"/>
          <w:sz w:val="22"/>
          <w:szCs w:val="22"/>
          <w:u w:val="single"/>
        </w:rPr>
        <w:t>Principle 7 – Remuneration</w:t>
      </w:r>
    </w:p>
    <w:p w14:paraId="07CAD01C" w14:textId="77777777" w:rsidR="00162E0C" w:rsidRPr="00FB2F3D" w:rsidRDefault="00162E0C" w:rsidP="003721B0">
      <w:pPr>
        <w:pStyle w:val="UK12Block05"/>
        <w:keepNext/>
        <w:rPr>
          <w:rFonts w:ascii="Arial" w:hAnsi="Arial" w:cs="Arial"/>
          <w:sz w:val="22"/>
          <w:szCs w:val="22"/>
        </w:rPr>
      </w:pPr>
      <w:r w:rsidRPr="00FB2F3D">
        <w:rPr>
          <w:rFonts w:ascii="Arial" w:hAnsi="Arial" w:cs="Arial"/>
          <w:sz w:val="22"/>
          <w:szCs w:val="22"/>
        </w:rPr>
        <w:t>Rule </w:t>
      </w:r>
      <w:r w:rsidR="00693841" w:rsidRPr="00FB2F3D">
        <w:rPr>
          <w:rFonts w:ascii="Arial" w:hAnsi="Arial" w:cs="Arial"/>
          <w:sz w:val="22"/>
          <w:szCs w:val="22"/>
        </w:rPr>
        <w:t>9.2.9</w:t>
      </w:r>
    </w:p>
    <w:p w14:paraId="0A9E7C52" w14:textId="77777777" w:rsidR="00162E0C" w:rsidRPr="00FB2F3D" w:rsidRDefault="00162E0C" w:rsidP="005A10A6">
      <w:pPr>
        <w:pStyle w:val="UK12Block05"/>
        <w:rPr>
          <w:rFonts w:ascii="Arial" w:hAnsi="Arial" w:cs="Arial"/>
          <w:sz w:val="22"/>
          <w:szCs w:val="22"/>
        </w:rPr>
      </w:pPr>
      <w:r w:rsidRPr="00FB2F3D">
        <w:rPr>
          <w:rFonts w:ascii="Arial" w:hAnsi="Arial" w:cs="Arial"/>
          <w:sz w:val="22"/>
          <w:szCs w:val="22"/>
        </w:rPr>
        <w:t xml:space="preserve">"The Board must ensure that the </w:t>
      </w:r>
      <w:r w:rsidR="005A10A6" w:rsidRPr="00FB2F3D">
        <w:rPr>
          <w:rFonts w:ascii="Arial" w:hAnsi="Arial" w:cs="Arial"/>
          <w:sz w:val="22"/>
          <w:szCs w:val="22"/>
        </w:rPr>
        <w:t>Reporting Entity</w:t>
      </w:r>
      <w:r w:rsidRPr="00FB2F3D">
        <w:rPr>
          <w:rFonts w:ascii="Arial" w:hAnsi="Arial" w:cs="Arial"/>
          <w:sz w:val="22"/>
          <w:szCs w:val="22"/>
        </w:rPr>
        <w:t xml:space="preserve"> has remuneration structures and strategies that are well aligned with the long</w:t>
      </w:r>
      <w:r w:rsidRPr="00FB2F3D">
        <w:rPr>
          <w:rFonts w:ascii="Arial" w:hAnsi="Arial" w:cs="Arial"/>
          <w:sz w:val="22"/>
          <w:szCs w:val="22"/>
        </w:rPr>
        <w:noBreakHyphen/>
        <w:t>term interests of the entity."</w:t>
      </w:r>
    </w:p>
    <w:p w14:paraId="7D140777"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Directors' remuneration</w:t>
      </w:r>
    </w:p>
    <w:p w14:paraId="046F4A7C"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Levels of remuneration of Directors should be sufficient to attract and retain Directors of appropriate quality, taking into account the nature, scale and complexity of the business of the </w:t>
      </w:r>
      <w:r w:rsidR="005A10A6" w:rsidRPr="00FB2F3D">
        <w:rPr>
          <w:rFonts w:ascii="Arial" w:hAnsi="Arial" w:cs="Arial"/>
          <w:sz w:val="22"/>
          <w:szCs w:val="22"/>
        </w:rPr>
        <w:t>Reporting Entity</w:t>
      </w:r>
      <w:r w:rsidRPr="00FB2F3D">
        <w:rPr>
          <w:rFonts w:ascii="Arial" w:hAnsi="Arial" w:cs="Arial"/>
          <w:sz w:val="22"/>
          <w:szCs w:val="22"/>
        </w:rPr>
        <w:t xml:space="preserve">, and to provide effective direction and leadership to the </w:t>
      </w:r>
      <w:r w:rsidR="005A10A6" w:rsidRPr="00FB2F3D">
        <w:rPr>
          <w:rFonts w:ascii="Arial" w:hAnsi="Arial" w:cs="Arial"/>
          <w:sz w:val="22"/>
          <w:szCs w:val="22"/>
        </w:rPr>
        <w:t>Reporting Entity</w:t>
      </w:r>
      <w:r w:rsidRPr="00FB2F3D">
        <w:rPr>
          <w:rFonts w:ascii="Arial" w:hAnsi="Arial" w:cs="Arial"/>
          <w:sz w:val="22"/>
          <w:szCs w:val="22"/>
        </w:rPr>
        <w:t xml:space="preserve"> in managing its business and affairs successfully. In doing so, the </w:t>
      </w:r>
      <w:r w:rsidR="005A10A6" w:rsidRPr="00FB2F3D">
        <w:rPr>
          <w:rFonts w:ascii="Arial" w:hAnsi="Arial" w:cs="Arial"/>
          <w:sz w:val="22"/>
          <w:szCs w:val="22"/>
        </w:rPr>
        <w:t>Reporting Entity</w:t>
      </w:r>
      <w:r w:rsidRPr="00FB2F3D">
        <w:rPr>
          <w:rFonts w:ascii="Arial" w:hAnsi="Arial" w:cs="Arial"/>
          <w:sz w:val="22"/>
          <w:szCs w:val="22"/>
        </w:rPr>
        <w:t xml:space="preserve"> should avoid paying more than is necessary for this purpose.</w:t>
      </w:r>
    </w:p>
    <w:p w14:paraId="3C891A0A"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The performance</w:t>
      </w:r>
      <w:r w:rsidRPr="00FB2F3D">
        <w:rPr>
          <w:rFonts w:ascii="Arial" w:hAnsi="Arial" w:cs="Arial"/>
          <w:sz w:val="22"/>
          <w:szCs w:val="22"/>
        </w:rPr>
        <w:noBreakHyphen/>
        <w:t xml:space="preserve">related elements of remuneration should form an appropriate proportion of the total remuneration package of executive Directors and should be designed to promote the long term interests and viability of the </w:t>
      </w:r>
      <w:r w:rsidR="005A10A6" w:rsidRPr="00FB2F3D">
        <w:rPr>
          <w:rFonts w:ascii="Arial" w:hAnsi="Arial" w:cs="Arial"/>
          <w:sz w:val="22"/>
          <w:szCs w:val="22"/>
        </w:rPr>
        <w:t>Reporting Entity</w:t>
      </w:r>
      <w:r w:rsidRPr="00FB2F3D">
        <w:rPr>
          <w:rFonts w:ascii="Arial" w:hAnsi="Arial" w:cs="Arial"/>
          <w:sz w:val="22"/>
          <w:szCs w:val="22"/>
        </w:rPr>
        <w:t xml:space="preserve">, to align their interests with those of </w:t>
      </w:r>
      <w:r w:rsidR="00B46F00" w:rsidRPr="00FB2F3D">
        <w:rPr>
          <w:rFonts w:ascii="Arial" w:hAnsi="Arial" w:cs="Arial"/>
          <w:sz w:val="22"/>
          <w:szCs w:val="22"/>
        </w:rPr>
        <w:t>Shareholder</w:t>
      </w:r>
      <w:r w:rsidRPr="00FB2F3D">
        <w:rPr>
          <w:rFonts w:ascii="Arial" w:hAnsi="Arial" w:cs="Arial"/>
          <w:sz w:val="22"/>
          <w:szCs w:val="22"/>
        </w:rPr>
        <w:t>s and other key stakeholders and to give these Directors appropriate incentives to perform at the highest levels.</w:t>
      </w:r>
    </w:p>
    <w:p w14:paraId="72B8C4CD"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Levels of remuneration for non</w:t>
      </w:r>
      <w:r w:rsidRPr="00FB2F3D">
        <w:rPr>
          <w:rFonts w:ascii="Arial" w:hAnsi="Arial" w:cs="Arial"/>
          <w:sz w:val="22"/>
          <w:szCs w:val="22"/>
        </w:rPr>
        <w:noBreakHyphen/>
        <w:t xml:space="preserve">executive Directors should reflect the time commitment and responsibilities of their respective roles and the objectivity of judgement in the decision making required by them. In considering whether to grant </w:t>
      </w:r>
      <w:r w:rsidR="00CA15B4" w:rsidRPr="00FB2F3D">
        <w:rPr>
          <w:rFonts w:ascii="Arial" w:hAnsi="Arial" w:cs="Arial"/>
          <w:sz w:val="22"/>
          <w:szCs w:val="22"/>
        </w:rPr>
        <w:t>Share</w:t>
      </w:r>
      <w:r w:rsidRPr="00FB2F3D">
        <w:rPr>
          <w:rFonts w:ascii="Arial" w:hAnsi="Arial" w:cs="Arial"/>
          <w:sz w:val="22"/>
          <w:szCs w:val="22"/>
        </w:rPr>
        <w:t xml:space="preserve"> options to non</w:t>
      </w:r>
      <w:r w:rsidRPr="00FB2F3D">
        <w:rPr>
          <w:rFonts w:ascii="Arial" w:hAnsi="Arial" w:cs="Arial"/>
          <w:sz w:val="22"/>
          <w:szCs w:val="22"/>
        </w:rPr>
        <w:noBreakHyphen/>
        <w:t>executive Directors, a</w:t>
      </w:r>
      <w:r w:rsidR="005A10A6" w:rsidRPr="00FB2F3D">
        <w:rPr>
          <w:rFonts w:ascii="Arial" w:hAnsi="Arial" w:cs="Arial"/>
          <w:sz w:val="22"/>
          <w:szCs w:val="22"/>
        </w:rPr>
        <w:t xml:space="preserve"> Reporting Entity</w:t>
      </w:r>
      <w:r w:rsidRPr="00FB2F3D">
        <w:rPr>
          <w:rFonts w:ascii="Arial" w:hAnsi="Arial" w:cs="Arial"/>
          <w:sz w:val="22"/>
          <w:szCs w:val="22"/>
        </w:rPr>
        <w:t xml:space="preserve"> should consider whether the granting of the </w:t>
      </w:r>
      <w:r w:rsidR="00CA15B4" w:rsidRPr="00FB2F3D">
        <w:rPr>
          <w:rFonts w:ascii="Arial" w:hAnsi="Arial" w:cs="Arial"/>
          <w:sz w:val="22"/>
          <w:szCs w:val="22"/>
        </w:rPr>
        <w:t>Share</w:t>
      </w:r>
      <w:r w:rsidRPr="00FB2F3D">
        <w:rPr>
          <w:rFonts w:ascii="Arial" w:hAnsi="Arial" w:cs="Arial"/>
          <w:sz w:val="22"/>
          <w:szCs w:val="22"/>
        </w:rPr>
        <w:t xml:space="preserve"> options will impair the objectivity or independence of the non</w:t>
      </w:r>
      <w:r w:rsidRPr="00FB2F3D">
        <w:rPr>
          <w:rFonts w:ascii="Arial" w:hAnsi="Arial" w:cs="Arial"/>
          <w:sz w:val="22"/>
          <w:szCs w:val="22"/>
        </w:rPr>
        <w:noBreakHyphen/>
        <w:t>executive Directors' decision making.</w:t>
      </w:r>
    </w:p>
    <w:p w14:paraId="3562DE24"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Generally, where non</w:t>
      </w:r>
      <w:r w:rsidRPr="00FB2F3D">
        <w:rPr>
          <w:rFonts w:ascii="Arial" w:hAnsi="Arial" w:cs="Arial"/>
          <w:sz w:val="22"/>
          <w:szCs w:val="22"/>
        </w:rPr>
        <w:noBreakHyphen/>
        <w:t>executive Directors' remuneration include</w:t>
      </w:r>
      <w:r w:rsidR="00535287" w:rsidRPr="00FB2F3D">
        <w:rPr>
          <w:rFonts w:ascii="Arial" w:hAnsi="Arial" w:cs="Arial"/>
          <w:sz w:val="22"/>
          <w:szCs w:val="22"/>
        </w:rPr>
        <w:t>s</w:t>
      </w:r>
      <w:r w:rsidRPr="00FB2F3D">
        <w:rPr>
          <w:rFonts w:ascii="Arial" w:hAnsi="Arial" w:cs="Arial"/>
          <w:sz w:val="22"/>
          <w:szCs w:val="22"/>
        </w:rPr>
        <w:t xml:space="preserve"> </w:t>
      </w:r>
      <w:r w:rsidR="00CA15B4" w:rsidRPr="00FB2F3D">
        <w:rPr>
          <w:rFonts w:ascii="Arial" w:hAnsi="Arial" w:cs="Arial"/>
          <w:sz w:val="22"/>
          <w:szCs w:val="22"/>
        </w:rPr>
        <w:t>Share</w:t>
      </w:r>
      <w:r w:rsidRPr="00FB2F3D">
        <w:rPr>
          <w:rFonts w:ascii="Arial" w:hAnsi="Arial" w:cs="Arial"/>
          <w:sz w:val="22"/>
          <w:szCs w:val="22"/>
        </w:rPr>
        <w:t xml:space="preserve"> options, rights resulting from the exercise of </w:t>
      </w:r>
      <w:r w:rsidR="00CA15B4" w:rsidRPr="00FB2F3D">
        <w:rPr>
          <w:rFonts w:ascii="Arial" w:hAnsi="Arial" w:cs="Arial"/>
          <w:sz w:val="22"/>
          <w:szCs w:val="22"/>
        </w:rPr>
        <w:t>Share</w:t>
      </w:r>
      <w:r w:rsidRPr="00FB2F3D">
        <w:rPr>
          <w:rFonts w:ascii="Arial" w:hAnsi="Arial" w:cs="Arial"/>
          <w:sz w:val="22"/>
          <w:szCs w:val="22"/>
        </w:rPr>
        <w:t xml:space="preserve"> options should be subject to appropriate retention and vesting periods, generally until at least one year after the non</w:t>
      </w:r>
      <w:r w:rsidRPr="00FB2F3D">
        <w:rPr>
          <w:rFonts w:ascii="Arial" w:hAnsi="Arial" w:cs="Arial"/>
          <w:sz w:val="22"/>
          <w:szCs w:val="22"/>
        </w:rPr>
        <w:noBreakHyphen/>
        <w:t>executive Director leaves the Board.</w:t>
      </w:r>
    </w:p>
    <w:p w14:paraId="2CF0D3AF" w14:textId="77777777" w:rsidR="00162E0C" w:rsidRPr="00FB2F3D" w:rsidRDefault="00162E0C" w:rsidP="002E5BAC">
      <w:pPr>
        <w:pStyle w:val="S2Heading8"/>
        <w:rPr>
          <w:rFonts w:ascii="Arial" w:hAnsi="Arial" w:cs="Arial"/>
          <w:sz w:val="22"/>
          <w:szCs w:val="22"/>
        </w:rPr>
      </w:pPr>
      <w:r w:rsidRPr="00FB2F3D">
        <w:rPr>
          <w:rFonts w:ascii="Arial" w:hAnsi="Arial" w:cs="Arial"/>
          <w:sz w:val="22"/>
          <w:szCs w:val="22"/>
        </w:rPr>
        <w:t xml:space="preserve">There should be a formal and transparent procedure for developing policies on executive remuneration and for fixing remuneration packages of individual Directors. No Director should decide his own remuneration, and ideally, all Directors' remuneration should be subject to recommendations of </w:t>
      </w:r>
      <w:r w:rsidR="002E5BAC" w:rsidRPr="00FB2F3D">
        <w:rPr>
          <w:rFonts w:ascii="Arial" w:hAnsi="Arial" w:cs="Arial"/>
          <w:sz w:val="22"/>
          <w:szCs w:val="22"/>
        </w:rPr>
        <w:t>any internal</w:t>
      </w:r>
      <w:r w:rsidRPr="00FB2F3D">
        <w:rPr>
          <w:rFonts w:ascii="Arial" w:hAnsi="Arial" w:cs="Arial"/>
          <w:sz w:val="22"/>
          <w:szCs w:val="22"/>
        </w:rPr>
        <w:t xml:space="preserve"> remuneration committee, and otherwise upon the advice of an external consultant.</w:t>
      </w:r>
    </w:p>
    <w:p w14:paraId="2DF5BACA" w14:textId="77777777" w:rsidR="00162E0C" w:rsidRPr="00FB2F3D" w:rsidRDefault="00162E0C" w:rsidP="006207B8">
      <w:pPr>
        <w:pStyle w:val="TitleL"/>
        <w:rPr>
          <w:rFonts w:ascii="Arial" w:hAnsi="Arial" w:cs="Arial"/>
          <w:sz w:val="22"/>
          <w:szCs w:val="22"/>
        </w:rPr>
      </w:pPr>
      <w:r w:rsidRPr="00FB2F3D">
        <w:rPr>
          <w:rFonts w:ascii="Arial" w:hAnsi="Arial" w:cs="Arial"/>
          <w:sz w:val="22"/>
          <w:szCs w:val="22"/>
        </w:rPr>
        <w:t>Remuneration committee</w:t>
      </w:r>
    </w:p>
    <w:p w14:paraId="470BA588"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 xml:space="preserve">The Board should establish and maintain a remuneration committee to assess the remuneration of Directors (including the chairman). The remuneration </w:t>
      </w:r>
      <w:r w:rsidRPr="00FB2F3D">
        <w:rPr>
          <w:rFonts w:ascii="Arial" w:hAnsi="Arial" w:cs="Arial"/>
          <w:sz w:val="22"/>
          <w:szCs w:val="22"/>
        </w:rPr>
        <w:lastRenderedPageBreak/>
        <w:t>committee should comprise at least three members, with a majority of those members being independent non</w:t>
      </w:r>
      <w:r w:rsidRPr="00FB2F3D">
        <w:rPr>
          <w:rFonts w:ascii="Arial" w:hAnsi="Arial" w:cs="Arial"/>
          <w:sz w:val="22"/>
          <w:szCs w:val="22"/>
        </w:rPr>
        <w:noBreakHyphen/>
        <w:t>executive Directors. The chair of the committee should be an independent non</w:t>
      </w:r>
      <w:r w:rsidRPr="00FB2F3D">
        <w:rPr>
          <w:rFonts w:ascii="Arial" w:hAnsi="Arial" w:cs="Arial"/>
          <w:sz w:val="22"/>
          <w:szCs w:val="22"/>
        </w:rPr>
        <w:noBreakHyphen/>
        <w:t>executive Director. In addition, the chairman of the Board may also be a member but not the chair of the committee.</w:t>
      </w:r>
    </w:p>
    <w:p w14:paraId="24DA3D8E"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The remuneration committee should have delegated responsibility for setting remuneration for all executive Directors and the chairman. The committee should also recommend and monitor the level and structure of remuneration for the Senior Management and other key control functionaries such as the risk or compliance officers and </w:t>
      </w:r>
      <w:r w:rsidR="00A85262" w:rsidRPr="00FB2F3D">
        <w:rPr>
          <w:rFonts w:ascii="Arial" w:hAnsi="Arial" w:cs="Arial"/>
          <w:sz w:val="22"/>
          <w:szCs w:val="22"/>
        </w:rPr>
        <w:t>auditor</w:t>
      </w:r>
      <w:r w:rsidRPr="00FB2F3D">
        <w:rPr>
          <w:rFonts w:ascii="Arial" w:hAnsi="Arial" w:cs="Arial"/>
          <w:sz w:val="22"/>
          <w:szCs w:val="22"/>
        </w:rPr>
        <w:t xml:space="preserve">s, to ensure that the independence and objectivity of the decision making by such control functionaries is not compromised or impaired by their remuneration structure. An important consideration that should be taken into account in setting remuneration of key control functionaries of the </w:t>
      </w:r>
      <w:r w:rsidR="005A10A6" w:rsidRPr="00FB2F3D">
        <w:rPr>
          <w:rFonts w:ascii="Arial" w:hAnsi="Arial" w:cs="Arial"/>
          <w:sz w:val="22"/>
          <w:szCs w:val="22"/>
        </w:rPr>
        <w:t>Reporting Entity</w:t>
      </w:r>
      <w:r w:rsidRPr="00FB2F3D">
        <w:rPr>
          <w:rFonts w:ascii="Arial" w:hAnsi="Arial" w:cs="Arial"/>
          <w:sz w:val="22"/>
          <w:szCs w:val="22"/>
        </w:rPr>
        <w:t xml:space="preserve"> is that their remuneration is not substantially linked to the profits generated by business or trading units whose activities are subject to monitoring and oversight by those functionaries.</w:t>
      </w:r>
    </w:p>
    <w:p w14:paraId="637840AF"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The mandate, composition and working procedures of the remuneration committee should be well defined. The remuneration committee should make available on the website of the </w:t>
      </w:r>
      <w:r w:rsidR="005A10A6" w:rsidRPr="00FB2F3D">
        <w:rPr>
          <w:rFonts w:ascii="Arial" w:hAnsi="Arial" w:cs="Arial"/>
          <w:sz w:val="22"/>
          <w:szCs w:val="22"/>
        </w:rPr>
        <w:t>Reporting Entity</w:t>
      </w:r>
      <w:r w:rsidRPr="00FB2F3D">
        <w:rPr>
          <w:rFonts w:ascii="Arial" w:hAnsi="Arial" w:cs="Arial"/>
          <w:sz w:val="22"/>
          <w:szCs w:val="22"/>
        </w:rPr>
        <w:t xml:space="preserve"> its written terms of reference explaining its role and the authority delegated to it by the Board.</w:t>
      </w:r>
    </w:p>
    <w:p w14:paraId="17565A16" w14:textId="77777777" w:rsidR="00162E0C" w:rsidRPr="00FB2F3D" w:rsidRDefault="00162E0C" w:rsidP="005A10A6">
      <w:pPr>
        <w:pStyle w:val="S2Heading8"/>
        <w:rPr>
          <w:rFonts w:ascii="Arial" w:hAnsi="Arial" w:cs="Arial"/>
          <w:sz w:val="22"/>
          <w:szCs w:val="22"/>
        </w:rPr>
      </w:pPr>
      <w:r w:rsidRPr="00FB2F3D">
        <w:rPr>
          <w:rFonts w:ascii="Arial" w:hAnsi="Arial" w:cs="Arial"/>
          <w:sz w:val="22"/>
          <w:szCs w:val="22"/>
        </w:rPr>
        <w:t xml:space="preserve">The remuneration committee should also be responsible for appointing any external consultants in respect of executive Directors' remuneration. Where external consultants are </w:t>
      </w:r>
      <w:r w:rsidR="00EE4C51" w:rsidRPr="00FB2F3D">
        <w:rPr>
          <w:rFonts w:ascii="Arial" w:hAnsi="Arial" w:cs="Arial"/>
          <w:sz w:val="22"/>
          <w:szCs w:val="22"/>
        </w:rPr>
        <w:t>appointed</w:t>
      </w:r>
      <w:r w:rsidRPr="00FB2F3D">
        <w:rPr>
          <w:rFonts w:ascii="Arial" w:hAnsi="Arial" w:cs="Arial"/>
          <w:sz w:val="22"/>
          <w:szCs w:val="22"/>
        </w:rPr>
        <w:t xml:space="preserve">, a statement should be made available of whether they have any other connection with the </w:t>
      </w:r>
      <w:r w:rsidR="005A10A6" w:rsidRPr="00FB2F3D">
        <w:rPr>
          <w:rFonts w:ascii="Arial" w:hAnsi="Arial" w:cs="Arial"/>
          <w:sz w:val="22"/>
          <w:szCs w:val="22"/>
        </w:rPr>
        <w:t>Reporting Entity</w:t>
      </w:r>
      <w:r w:rsidRPr="00FB2F3D">
        <w:rPr>
          <w:rFonts w:ascii="Arial" w:hAnsi="Arial" w:cs="Arial"/>
          <w:sz w:val="22"/>
          <w:szCs w:val="22"/>
        </w:rPr>
        <w:t>.</w:t>
      </w:r>
    </w:p>
    <w:p w14:paraId="66CAAFAB" w14:textId="77777777" w:rsidR="00162E0C" w:rsidRPr="00FB2F3D" w:rsidRDefault="00162E0C" w:rsidP="00277917">
      <w:pPr>
        <w:pStyle w:val="S2Heading8"/>
        <w:rPr>
          <w:rFonts w:ascii="Arial" w:hAnsi="Arial" w:cs="Arial"/>
          <w:sz w:val="22"/>
          <w:szCs w:val="22"/>
        </w:rPr>
      </w:pPr>
      <w:r w:rsidRPr="00FB2F3D">
        <w:rPr>
          <w:rFonts w:ascii="Arial" w:hAnsi="Arial" w:cs="Arial"/>
          <w:sz w:val="22"/>
          <w:szCs w:val="22"/>
        </w:rPr>
        <w:t xml:space="preserve">The Board itself, or where required by the articles of association or other </w:t>
      </w:r>
      <w:r w:rsidR="00C57656" w:rsidRPr="00FB2F3D">
        <w:rPr>
          <w:rFonts w:ascii="Arial" w:hAnsi="Arial" w:cs="Arial"/>
          <w:sz w:val="22"/>
          <w:szCs w:val="22"/>
        </w:rPr>
        <w:t>constitutional</w:t>
      </w:r>
      <w:r w:rsidRPr="00FB2F3D">
        <w:rPr>
          <w:rFonts w:ascii="Arial" w:hAnsi="Arial" w:cs="Arial"/>
          <w:sz w:val="22"/>
          <w:szCs w:val="22"/>
        </w:rPr>
        <w:t xml:space="preserve"> documents, the </w:t>
      </w:r>
      <w:r w:rsidR="00B46F00" w:rsidRPr="00FB2F3D">
        <w:rPr>
          <w:rFonts w:ascii="Arial" w:hAnsi="Arial" w:cs="Arial"/>
          <w:sz w:val="22"/>
          <w:szCs w:val="22"/>
        </w:rPr>
        <w:t>Shareholder</w:t>
      </w:r>
      <w:r w:rsidRPr="00FB2F3D">
        <w:rPr>
          <w:rFonts w:ascii="Arial" w:hAnsi="Arial" w:cs="Arial"/>
          <w:sz w:val="22"/>
          <w:szCs w:val="22"/>
        </w:rPr>
        <w:t>s, should determine the remuneration of the non</w:t>
      </w:r>
      <w:r w:rsidRPr="00FB2F3D">
        <w:rPr>
          <w:rFonts w:ascii="Arial" w:hAnsi="Arial" w:cs="Arial"/>
          <w:sz w:val="22"/>
          <w:szCs w:val="22"/>
        </w:rPr>
        <w:noBreakHyphen/>
        <w:t>executive Directors.</w:t>
      </w:r>
    </w:p>
    <w:p w14:paraId="08C21D60" w14:textId="77777777" w:rsidR="00162E0C" w:rsidRPr="00FB2F3D" w:rsidRDefault="00162E0C" w:rsidP="003B4A39">
      <w:pPr>
        <w:pStyle w:val="S2Heading8"/>
        <w:rPr>
          <w:rFonts w:ascii="Arial" w:hAnsi="Arial" w:cs="Arial"/>
          <w:sz w:val="22"/>
          <w:szCs w:val="22"/>
        </w:rPr>
      </w:pPr>
      <w:r w:rsidRPr="00FB2F3D">
        <w:rPr>
          <w:rFonts w:ascii="Arial" w:hAnsi="Arial" w:cs="Arial"/>
          <w:sz w:val="22"/>
          <w:szCs w:val="22"/>
        </w:rPr>
        <w:t xml:space="preserve">The annual report of the </w:t>
      </w:r>
      <w:r w:rsidR="005A10A6" w:rsidRPr="00FB2F3D">
        <w:rPr>
          <w:rFonts w:ascii="Arial" w:hAnsi="Arial" w:cs="Arial"/>
          <w:sz w:val="22"/>
          <w:szCs w:val="22"/>
        </w:rPr>
        <w:t>Reporting Entity</w:t>
      </w:r>
      <w:r w:rsidRPr="00FB2F3D">
        <w:rPr>
          <w:rFonts w:ascii="Arial" w:hAnsi="Arial" w:cs="Arial"/>
          <w:sz w:val="22"/>
          <w:szCs w:val="22"/>
        </w:rPr>
        <w:t xml:space="preserve"> should contain sufficient information relating to the overall remuneration policy and strategy of the </w:t>
      </w:r>
      <w:r w:rsidR="005A10A6" w:rsidRPr="00FB2F3D">
        <w:rPr>
          <w:rFonts w:ascii="Arial" w:hAnsi="Arial" w:cs="Arial"/>
          <w:sz w:val="22"/>
          <w:szCs w:val="22"/>
        </w:rPr>
        <w:t>Reporting Entity</w:t>
      </w:r>
      <w:r w:rsidRPr="00FB2F3D">
        <w:rPr>
          <w:rFonts w:ascii="Arial" w:hAnsi="Arial" w:cs="Arial"/>
          <w:sz w:val="22"/>
          <w:szCs w:val="22"/>
        </w:rPr>
        <w:t xml:space="preserve"> to demonstrate that the remuneration, particularly of the executive Directors and Senior Management</w:t>
      </w:r>
      <w:r w:rsidR="00535287" w:rsidRPr="00FB2F3D">
        <w:rPr>
          <w:rFonts w:ascii="Arial" w:hAnsi="Arial" w:cs="Arial"/>
          <w:sz w:val="22"/>
          <w:szCs w:val="22"/>
        </w:rPr>
        <w:t>,</w:t>
      </w:r>
      <w:r w:rsidRPr="00FB2F3D">
        <w:rPr>
          <w:rFonts w:ascii="Arial" w:hAnsi="Arial" w:cs="Arial"/>
          <w:sz w:val="22"/>
          <w:szCs w:val="22"/>
        </w:rPr>
        <w:t xml:space="preserve"> properly link</w:t>
      </w:r>
      <w:r w:rsidR="003B4A39" w:rsidRPr="00FB2F3D">
        <w:rPr>
          <w:rFonts w:ascii="Arial" w:hAnsi="Arial" w:cs="Arial"/>
          <w:sz w:val="22"/>
          <w:szCs w:val="22"/>
        </w:rPr>
        <w:t>s</w:t>
      </w:r>
      <w:r w:rsidRPr="00FB2F3D">
        <w:rPr>
          <w:rFonts w:ascii="Arial" w:hAnsi="Arial" w:cs="Arial"/>
          <w:sz w:val="22"/>
          <w:szCs w:val="22"/>
        </w:rPr>
        <w:t xml:space="preserve"> rewards to corporate and individual performance and outcomes, and to ensure that any performance</w:t>
      </w:r>
      <w:r w:rsidRPr="00FB2F3D">
        <w:rPr>
          <w:rFonts w:ascii="Arial" w:hAnsi="Arial" w:cs="Arial"/>
          <w:sz w:val="22"/>
          <w:szCs w:val="22"/>
        </w:rPr>
        <w:noBreakHyphen/>
        <w:t>based remuneration granted is structured in such a way so as to not induce inappropriate risk taking by such individuals.</w:t>
      </w:r>
    </w:p>
    <w:p w14:paraId="19ED8EB8" w14:textId="77777777" w:rsidR="00FD2C3F" w:rsidRPr="00FB2F3D" w:rsidRDefault="00FD2C3F" w:rsidP="00FD2C3F">
      <w:pPr>
        <w:pStyle w:val="UK12Block"/>
        <w:rPr>
          <w:rFonts w:ascii="Arial" w:hAnsi="Arial" w:cs="Arial"/>
          <w:sz w:val="22"/>
          <w:szCs w:val="22"/>
          <w:lang w:eastAsia="ja-JP"/>
        </w:rPr>
        <w:sectPr w:rsidR="00FD2C3F" w:rsidRPr="00FB2F3D" w:rsidSect="00277917">
          <w:headerReference w:type="default" r:id="rId16"/>
          <w:footerReference w:type="default" r:id="rId17"/>
          <w:pgSz w:w="11909" w:h="16834" w:code="9"/>
          <w:pgMar w:top="1440" w:right="1440" w:bottom="1440" w:left="1440" w:header="720" w:footer="720" w:gutter="0"/>
          <w:cols w:space="720"/>
          <w:docGrid w:linePitch="360"/>
        </w:sectPr>
      </w:pPr>
      <w:bookmarkStart w:id="962" w:name="_Ref410075189"/>
      <w:bookmarkStart w:id="963" w:name="_Toc410136280"/>
    </w:p>
    <w:p w14:paraId="4988EE14" w14:textId="77777777" w:rsidR="00162E0C" w:rsidRPr="00FB2F3D" w:rsidRDefault="00162E0C" w:rsidP="00FD2C3F">
      <w:pPr>
        <w:pStyle w:val="S2Heading1"/>
        <w:rPr>
          <w:rFonts w:ascii="Arial" w:hAnsi="Arial" w:cs="Arial"/>
          <w:sz w:val="22"/>
          <w:szCs w:val="22"/>
        </w:rPr>
      </w:pPr>
      <w:bookmarkStart w:id="964" w:name="_Toc410605991"/>
      <w:bookmarkStart w:id="965" w:name="_Toc410658927"/>
      <w:bookmarkStart w:id="966" w:name="_Toc410659063"/>
      <w:bookmarkStart w:id="967" w:name="_Ref410664444"/>
      <w:bookmarkStart w:id="968" w:name="_Toc410835599"/>
      <w:bookmarkStart w:id="969" w:name="_Ref416750191"/>
      <w:bookmarkStart w:id="970" w:name="_Toc138325748"/>
      <w:r w:rsidRPr="00FB2F3D">
        <w:rPr>
          <w:rFonts w:ascii="Arial" w:hAnsi="Arial" w:cs="Arial"/>
          <w:sz w:val="22"/>
          <w:szCs w:val="22"/>
        </w:rPr>
        <w:lastRenderedPageBreak/>
        <w:t>LIST OF EXEMPT OFFERORS</w:t>
      </w:r>
      <w:bookmarkEnd w:id="962"/>
      <w:bookmarkEnd w:id="963"/>
      <w:bookmarkEnd w:id="964"/>
      <w:bookmarkEnd w:id="965"/>
      <w:bookmarkEnd w:id="966"/>
      <w:bookmarkEnd w:id="967"/>
      <w:bookmarkEnd w:id="968"/>
      <w:bookmarkEnd w:id="969"/>
      <w:bookmarkEnd w:id="970"/>
    </w:p>
    <w:p w14:paraId="252248D0" w14:textId="77777777" w:rsidR="00162E0C" w:rsidRPr="00FB2F3D" w:rsidRDefault="002A1DA9" w:rsidP="00FD2C3F">
      <w:pPr>
        <w:pStyle w:val="S2Heading2"/>
        <w:rPr>
          <w:rFonts w:ascii="Arial" w:hAnsi="Arial" w:cs="Arial"/>
          <w:b/>
          <w:sz w:val="22"/>
          <w:szCs w:val="22"/>
        </w:rPr>
      </w:pPr>
      <w:bookmarkStart w:id="971" w:name="_Toc410136281"/>
      <w:bookmarkStart w:id="972" w:name="_Toc410605992"/>
      <w:bookmarkStart w:id="973" w:name="_Toc410658928"/>
      <w:bookmarkStart w:id="974" w:name="_Toc410659064"/>
      <w:bookmarkStart w:id="975" w:name="_Toc410835600"/>
      <w:bookmarkStart w:id="976" w:name="_Toc113454833"/>
      <w:bookmarkStart w:id="977" w:name="_Toc138325749"/>
      <w:r w:rsidRPr="00FB2F3D">
        <w:rPr>
          <w:rFonts w:ascii="Arial" w:hAnsi="Arial" w:cs="Arial"/>
          <w:b/>
          <w:sz w:val="22"/>
          <w:szCs w:val="22"/>
        </w:rPr>
        <w:t>List of Exempt O</w:t>
      </w:r>
      <w:r w:rsidR="00162E0C" w:rsidRPr="00FB2F3D">
        <w:rPr>
          <w:rFonts w:ascii="Arial" w:hAnsi="Arial" w:cs="Arial"/>
          <w:b/>
          <w:sz w:val="22"/>
          <w:szCs w:val="22"/>
        </w:rPr>
        <w:t>fferors</w:t>
      </w:r>
      <w:bookmarkEnd w:id="971"/>
      <w:bookmarkEnd w:id="972"/>
      <w:bookmarkEnd w:id="973"/>
      <w:bookmarkEnd w:id="974"/>
      <w:bookmarkEnd w:id="975"/>
      <w:bookmarkEnd w:id="976"/>
      <w:bookmarkEnd w:id="977"/>
    </w:p>
    <w:p w14:paraId="2F501B58" w14:textId="77777777" w:rsidR="00162E0C" w:rsidRPr="00FB2F3D" w:rsidRDefault="00162E0C" w:rsidP="005260BB">
      <w:pPr>
        <w:pStyle w:val="S2Heading3"/>
        <w:rPr>
          <w:rFonts w:ascii="Arial" w:hAnsi="Arial" w:cs="Arial"/>
          <w:sz w:val="22"/>
          <w:szCs w:val="22"/>
        </w:rPr>
      </w:pPr>
      <w:bookmarkStart w:id="978" w:name="_Toc410659065"/>
      <w:r w:rsidRPr="00FB2F3D">
        <w:rPr>
          <w:rFonts w:ascii="Arial" w:hAnsi="Arial" w:cs="Arial"/>
          <w:sz w:val="22"/>
          <w:szCs w:val="22"/>
        </w:rPr>
        <w:t>The following entities are Exempt Offerors:</w:t>
      </w:r>
      <w:bookmarkEnd w:id="978"/>
    </w:p>
    <w:p w14:paraId="2F35D942" w14:textId="77777777" w:rsidR="00162E0C" w:rsidRPr="00FB2F3D" w:rsidRDefault="00162E0C" w:rsidP="00FD2C3F">
      <w:pPr>
        <w:pStyle w:val="S2Heading5"/>
        <w:rPr>
          <w:rFonts w:ascii="Arial" w:hAnsi="Arial" w:cs="Arial"/>
          <w:sz w:val="22"/>
          <w:szCs w:val="22"/>
        </w:rPr>
      </w:pPr>
      <w:r w:rsidRPr="00FB2F3D">
        <w:rPr>
          <w:rFonts w:ascii="Arial" w:hAnsi="Arial" w:cs="Arial"/>
          <w:sz w:val="22"/>
          <w:szCs w:val="22"/>
        </w:rPr>
        <w:t>Properly constituted governments, government agencies, central banks or other national monetary authorities of the following countries or jurisdictions:</w:t>
      </w:r>
    </w:p>
    <w:p w14:paraId="3FDC8E18" w14:textId="77777777" w:rsidR="00162E0C" w:rsidRPr="00FB2F3D" w:rsidRDefault="00162E0C" w:rsidP="00FD2C3F">
      <w:pPr>
        <w:pStyle w:val="S2Heading6"/>
        <w:rPr>
          <w:rFonts w:ascii="Arial" w:hAnsi="Arial" w:cs="Arial"/>
          <w:sz w:val="22"/>
          <w:szCs w:val="22"/>
        </w:rPr>
      </w:pPr>
      <w:r w:rsidRPr="00FB2F3D">
        <w:rPr>
          <w:rFonts w:ascii="Arial" w:hAnsi="Arial" w:cs="Arial"/>
          <w:sz w:val="22"/>
          <w:szCs w:val="22"/>
        </w:rPr>
        <w:t>Organisation for Economic Co</w:t>
      </w:r>
      <w:r w:rsidRPr="00FB2F3D">
        <w:rPr>
          <w:rFonts w:ascii="Arial" w:hAnsi="Arial" w:cs="Arial"/>
          <w:sz w:val="22"/>
          <w:szCs w:val="22"/>
        </w:rPr>
        <w:noBreakHyphen/>
        <w:t>operation and Development (OECD) member countries;</w:t>
      </w:r>
    </w:p>
    <w:p w14:paraId="0B4415C0" w14:textId="77777777" w:rsidR="00162E0C" w:rsidRPr="00FB2F3D" w:rsidRDefault="00162E0C" w:rsidP="00FD2C3F">
      <w:pPr>
        <w:pStyle w:val="S2Heading6"/>
        <w:rPr>
          <w:rFonts w:ascii="Arial" w:hAnsi="Arial" w:cs="Arial"/>
          <w:sz w:val="22"/>
          <w:szCs w:val="22"/>
        </w:rPr>
      </w:pPr>
      <w:r w:rsidRPr="00FB2F3D">
        <w:rPr>
          <w:rFonts w:ascii="Arial" w:hAnsi="Arial" w:cs="Arial"/>
          <w:sz w:val="22"/>
          <w:szCs w:val="22"/>
        </w:rPr>
        <w:t>member countries of the Gulf Co</w:t>
      </w:r>
      <w:r w:rsidRPr="00FB2F3D">
        <w:rPr>
          <w:rFonts w:ascii="Arial" w:hAnsi="Arial" w:cs="Arial"/>
          <w:sz w:val="22"/>
          <w:szCs w:val="22"/>
        </w:rPr>
        <w:noBreakHyphen/>
        <w:t>operation Council (GCC); or</w:t>
      </w:r>
    </w:p>
    <w:p w14:paraId="4E0310DC" w14:textId="77777777" w:rsidR="00162E0C" w:rsidRPr="00FB2F3D" w:rsidRDefault="00162E0C" w:rsidP="00FD2C3F">
      <w:pPr>
        <w:pStyle w:val="S2Heading6"/>
        <w:rPr>
          <w:rFonts w:ascii="Arial" w:hAnsi="Arial" w:cs="Arial"/>
          <w:sz w:val="22"/>
          <w:szCs w:val="22"/>
        </w:rPr>
      </w:pPr>
      <w:r w:rsidRPr="00FB2F3D">
        <w:rPr>
          <w:rFonts w:ascii="Arial" w:hAnsi="Arial" w:cs="Arial"/>
          <w:sz w:val="22"/>
          <w:szCs w:val="22"/>
        </w:rPr>
        <w:t>the Emirate of Abu Dhabi.</w:t>
      </w:r>
    </w:p>
    <w:p w14:paraId="66AAA4E8" w14:textId="77777777" w:rsidR="00162E0C" w:rsidRPr="00FB2F3D" w:rsidRDefault="005260BB" w:rsidP="005260BB">
      <w:pPr>
        <w:pStyle w:val="S2Heading5"/>
        <w:rPr>
          <w:rFonts w:ascii="Arial" w:hAnsi="Arial" w:cs="Arial"/>
          <w:sz w:val="22"/>
          <w:szCs w:val="22"/>
        </w:rPr>
      </w:pPr>
      <w:r w:rsidRPr="00FB2F3D">
        <w:rPr>
          <w:rFonts w:ascii="Arial" w:hAnsi="Arial" w:cs="Arial"/>
          <w:sz w:val="22"/>
          <w:szCs w:val="22"/>
        </w:rPr>
        <w:t xml:space="preserve">The International Monetary Fund, </w:t>
      </w:r>
      <w:r w:rsidR="00162E0C" w:rsidRPr="00FB2F3D">
        <w:rPr>
          <w:rFonts w:ascii="Arial" w:hAnsi="Arial" w:cs="Arial"/>
          <w:sz w:val="22"/>
          <w:szCs w:val="22"/>
        </w:rPr>
        <w:t>the World Bank</w:t>
      </w:r>
      <w:r w:rsidRPr="00FB2F3D">
        <w:rPr>
          <w:rFonts w:ascii="Arial" w:hAnsi="Arial" w:cs="Arial"/>
          <w:sz w:val="22"/>
          <w:szCs w:val="22"/>
        </w:rPr>
        <w:t>, the International Finance Corporation and the Islamic Development Bank</w:t>
      </w:r>
      <w:r w:rsidR="00162E0C" w:rsidRPr="00FB2F3D">
        <w:rPr>
          <w:rFonts w:ascii="Arial" w:hAnsi="Arial" w:cs="Arial"/>
          <w:sz w:val="22"/>
          <w:szCs w:val="22"/>
        </w:rPr>
        <w:t>.</w:t>
      </w:r>
    </w:p>
    <w:p w14:paraId="3B854215" w14:textId="77777777" w:rsidR="005260BB" w:rsidRPr="00FB2F3D" w:rsidRDefault="005260BB" w:rsidP="00FD2C3F">
      <w:pPr>
        <w:pStyle w:val="S2Heading5"/>
        <w:rPr>
          <w:rFonts w:ascii="Arial" w:hAnsi="Arial" w:cs="Arial"/>
          <w:sz w:val="22"/>
          <w:szCs w:val="22"/>
        </w:rPr>
      </w:pPr>
      <w:r w:rsidRPr="00FB2F3D">
        <w:rPr>
          <w:rFonts w:ascii="Arial" w:hAnsi="Arial" w:cs="Arial"/>
          <w:sz w:val="22"/>
          <w:szCs w:val="22"/>
        </w:rPr>
        <w:t>A Special Purpose Vehicle used by an entity referred to in (a) or (b) to issue Securities.</w:t>
      </w:r>
    </w:p>
    <w:p w14:paraId="0244E564" w14:textId="77777777" w:rsidR="00162E0C" w:rsidRPr="00FB2F3D" w:rsidRDefault="00162E0C" w:rsidP="00FD2C3F">
      <w:pPr>
        <w:pStyle w:val="S2Heading5"/>
        <w:rPr>
          <w:rFonts w:ascii="Arial" w:hAnsi="Arial" w:cs="Arial"/>
          <w:sz w:val="22"/>
          <w:szCs w:val="22"/>
        </w:rPr>
      </w:pPr>
      <w:r w:rsidRPr="00FB2F3D">
        <w:rPr>
          <w:rFonts w:ascii="Arial" w:hAnsi="Arial" w:cs="Arial"/>
          <w:sz w:val="22"/>
          <w:szCs w:val="22"/>
        </w:rPr>
        <w:t>Any other country, jurisdiction or supranational organisation</w:t>
      </w:r>
      <w:r w:rsidR="005260BB" w:rsidRPr="00FB2F3D">
        <w:rPr>
          <w:rFonts w:ascii="Arial" w:hAnsi="Arial" w:cs="Arial"/>
          <w:sz w:val="22"/>
          <w:szCs w:val="22"/>
        </w:rPr>
        <w:t>, or any Special Purpose Vehicle use by a country, jurisdiction or supranational organisation to issue Securities</w:t>
      </w:r>
      <w:r w:rsidRPr="00FB2F3D">
        <w:rPr>
          <w:rFonts w:ascii="Arial" w:hAnsi="Arial" w:cs="Arial"/>
          <w:sz w:val="22"/>
          <w:szCs w:val="22"/>
        </w:rPr>
        <w:t xml:space="preserve"> that may be approved as an Exempt Offeror by the </w:t>
      </w:r>
      <w:r w:rsidR="0035335F" w:rsidRPr="00FB2F3D">
        <w:rPr>
          <w:rFonts w:ascii="Arial" w:hAnsi="Arial" w:cs="Arial"/>
          <w:sz w:val="22"/>
          <w:szCs w:val="22"/>
        </w:rPr>
        <w:t>Regulator</w:t>
      </w:r>
      <w:r w:rsidRPr="00FB2F3D">
        <w:rPr>
          <w:rFonts w:ascii="Arial" w:hAnsi="Arial" w:cs="Arial"/>
          <w:sz w:val="22"/>
          <w:szCs w:val="22"/>
        </w:rPr>
        <w:t xml:space="preserve"> for the purpose of that </w:t>
      </w:r>
      <w:r w:rsidR="00FB37F9" w:rsidRPr="00FB2F3D">
        <w:rPr>
          <w:rFonts w:ascii="Arial" w:hAnsi="Arial" w:cs="Arial"/>
          <w:sz w:val="22"/>
          <w:szCs w:val="22"/>
        </w:rPr>
        <w:t>Offer</w:t>
      </w:r>
      <w:r w:rsidRPr="00FB2F3D">
        <w:rPr>
          <w:rFonts w:ascii="Arial" w:hAnsi="Arial" w:cs="Arial"/>
          <w:sz w:val="22"/>
          <w:szCs w:val="22"/>
        </w:rPr>
        <w:t>.</w:t>
      </w:r>
    </w:p>
    <w:p w14:paraId="2820E4ED" w14:textId="77777777" w:rsidR="005260BB" w:rsidRPr="00FB2F3D" w:rsidRDefault="005260BB" w:rsidP="005260BB">
      <w:pPr>
        <w:pStyle w:val="S2Heading5"/>
        <w:numPr>
          <w:ilvl w:val="0"/>
          <w:numId w:val="0"/>
        </w:numPr>
        <w:ind w:left="900" w:hanging="900"/>
        <w:rPr>
          <w:rFonts w:ascii="Arial" w:hAnsi="Arial" w:cs="Arial"/>
          <w:sz w:val="22"/>
          <w:szCs w:val="22"/>
        </w:rPr>
      </w:pPr>
      <w:r w:rsidRPr="00FB2F3D">
        <w:rPr>
          <w:rFonts w:ascii="Arial" w:hAnsi="Arial" w:cs="Arial"/>
          <w:b/>
          <w:bCs w:val="0"/>
          <w:sz w:val="22"/>
          <w:szCs w:val="22"/>
        </w:rPr>
        <w:t>A5.1.2</w:t>
      </w:r>
      <w:r w:rsidRPr="00FB2F3D">
        <w:rPr>
          <w:rFonts w:ascii="Arial" w:hAnsi="Arial" w:cs="Arial"/>
          <w:sz w:val="22"/>
          <w:szCs w:val="22"/>
        </w:rPr>
        <w:tab/>
        <w:t>For the purposes of A5.1.1(c) and (d), the Special Purpose Vehicle may be a vehicle controlled directly by the entity or indirectly through one or more Subsidiaries.</w:t>
      </w:r>
    </w:p>
    <w:p w14:paraId="10FB2967" w14:textId="77777777" w:rsidR="00FD2C3F" w:rsidRPr="00FB2F3D" w:rsidRDefault="00FD2C3F" w:rsidP="00FD2C3F">
      <w:pPr>
        <w:pStyle w:val="UK12Block"/>
        <w:rPr>
          <w:rFonts w:ascii="Arial" w:hAnsi="Arial" w:cs="Arial"/>
          <w:sz w:val="22"/>
          <w:szCs w:val="22"/>
          <w:lang w:eastAsia="ja-JP"/>
        </w:rPr>
      </w:pPr>
      <w:bookmarkStart w:id="979" w:name="_Toc410136282"/>
    </w:p>
    <w:p w14:paraId="0E6FFB9C" w14:textId="77777777" w:rsidR="00FD2C3F" w:rsidRPr="00FB2F3D" w:rsidRDefault="00FD2C3F" w:rsidP="00FD2C3F">
      <w:pPr>
        <w:pStyle w:val="UK12Block"/>
        <w:rPr>
          <w:rFonts w:ascii="Arial" w:hAnsi="Arial" w:cs="Arial"/>
          <w:sz w:val="22"/>
          <w:szCs w:val="22"/>
          <w:lang w:eastAsia="ja-JP"/>
        </w:rPr>
        <w:sectPr w:rsidR="00FD2C3F" w:rsidRPr="00FB2F3D" w:rsidSect="00277917">
          <w:pgSz w:w="11909" w:h="16834" w:code="9"/>
          <w:pgMar w:top="1440" w:right="1440" w:bottom="1440" w:left="1440" w:header="720" w:footer="720" w:gutter="0"/>
          <w:cols w:space="720"/>
          <w:docGrid w:linePitch="360"/>
        </w:sectPr>
      </w:pPr>
    </w:p>
    <w:p w14:paraId="79144312" w14:textId="77777777" w:rsidR="00162E0C" w:rsidRPr="00FB2F3D" w:rsidRDefault="00162E0C" w:rsidP="00FD2C3F">
      <w:pPr>
        <w:pStyle w:val="S2Heading1"/>
        <w:rPr>
          <w:rFonts w:ascii="Arial" w:hAnsi="Arial" w:cs="Arial"/>
          <w:sz w:val="22"/>
          <w:szCs w:val="22"/>
        </w:rPr>
      </w:pPr>
      <w:bookmarkStart w:id="980" w:name="_Toc410605993"/>
      <w:bookmarkStart w:id="981" w:name="_Toc410658929"/>
      <w:bookmarkStart w:id="982" w:name="_Toc410659066"/>
      <w:bookmarkStart w:id="983" w:name="_Toc410835601"/>
      <w:bookmarkStart w:id="984" w:name="_Toc138325750"/>
      <w:r w:rsidRPr="00FB2F3D">
        <w:rPr>
          <w:rFonts w:ascii="Arial" w:hAnsi="Arial" w:cs="Arial"/>
          <w:sz w:val="22"/>
          <w:szCs w:val="22"/>
        </w:rPr>
        <w:lastRenderedPageBreak/>
        <w:t>CONTINUING OBLIGATIONS – SECURITY SPECIFIC DISCLOSURES</w:t>
      </w:r>
      <w:bookmarkEnd w:id="979"/>
      <w:bookmarkEnd w:id="980"/>
      <w:bookmarkEnd w:id="981"/>
      <w:bookmarkEnd w:id="982"/>
      <w:bookmarkEnd w:id="983"/>
      <w:bookmarkEnd w:id="984"/>
    </w:p>
    <w:p w14:paraId="195DFA9C" w14:textId="637BC192" w:rsidR="00162E0C" w:rsidRPr="00FB2F3D" w:rsidRDefault="00162E0C" w:rsidP="00FD2C3F">
      <w:pPr>
        <w:pStyle w:val="S2Heading2"/>
        <w:rPr>
          <w:rFonts w:ascii="Arial" w:hAnsi="Arial" w:cs="Arial"/>
          <w:sz w:val="22"/>
          <w:szCs w:val="22"/>
        </w:rPr>
      </w:pPr>
      <w:bookmarkStart w:id="985" w:name="_Ref410073641"/>
      <w:bookmarkStart w:id="986" w:name="_Toc410136283"/>
      <w:bookmarkStart w:id="987" w:name="_Toc410605994"/>
      <w:bookmarkStart w:id="988" w:name="_Toc410658930"/>
      <w:bookmarkStart w:id="989" w:name="_Toc410659067"/>
      <w:bookmarkStart w:id="990" w:name="_Toc410835602"/>
      <w:bookmarkStart w:id="991" w:name="_Toc138325751"/>
      <w:r w:rsidRPr="00FB2F3D">
        <w:rPr>
          <w:rFonts w:ascii="Arial" w:hAnsi="Arial" w:cs="Arial"/>
          <w:sz w:val="22"/>
          <w:szCs w:val="22"/>
        </w:rPr>
        <w:t>Continuing obliga</w:t>
      </w:r>
      <w:r w:rsidR="005260BB" w:rsidRPr="00FB2F3D">
        <w:rPr>
          <w:rFonts w:ascii="Arial" w:hAnsi="Arial" w:cs="Arial"/>
          <w:sz w:val="22"/>
          <w:szCs w:val="22"/>
        </w:rPr>
        <w:t xml:space="preserve">tions – </w:t>
      </w:r>
      <w:r w:rsidR="00B03204">
        <w:rPr>
          <w:rFonts w:ascii="Arial" w:hAnsi="Arial" w:cs="Arial"/>
          <w:sz w:val="22"/>
          <w:szCs w:val="22"/>
        </w:rPr>
        <w:t>D</w:t>
      </w:r>
      <w:r w:rsidR="005260BB" w:rsidRPr="00FB2F3D">
        <w:rPr>
          <w:rFonts w:ascii="Arial" w:hAnsi="Arial" w:cs="Arial"/>
          <w:sz w:val="22"/>
          <w:szCs w:val="22"/>
        </w:rPr>
        <w:t>isclosures for Listed E</w:t>
      </w:r>
      <w:r w:rsidRPr="00FB2F3D">
        <w:rPr>
          <w:rFonts w:ascii="Arial" w:hAnsi="Arial" w:cs="Arial"/>
          <w:sz w:val="22"/>
          <w:szCs w:val="22"/>
        </w:rPr>
        <w:t>ntities</w:t>
      </w:r>
      <w:bookmarkEnd w:id="985"/>
      <w:bookmarkEnd w:id="986"/>
      <w:bookmarkEnd w:id="987"/>
      <w:bookmarkEnd w:id="988"/>
      <w:bookmarkEnd w:id="989"/>
      <w:bookmarkEnd w:id="990"/>
      <w:bookmarkEnd w:id="991"/>
    </w:p>
    <w:p w14:paraId="4563E9E5" w14:textId="77777777" w:rsidR="00162E0C" w:rsidRPr="00FB2F3D" w:rsidRDefault="00162E0C" w:rsidP="00FD2C3F">
      <w:pPr>
        <w:pStyle w:val="S2Heading3"/>
        <w:rPr>
          <w:rFonts w:ascii="Arial" w:hAnsi="Arial" w:cs="Arial"/>
          <w:sz w:val="22"/>
          <w:szCs w:val="22"/>
        </w:rPr>
      </w:pPr>
      <w:bookmarkStart w:id="992" w:name="_Toc410659068"/>
      <w:r w:rsidRPr="00FB2F3D">
        <w:rPr>
          <w:rFonts w:ascii="Arial" w:hAnsi="Arial" w:cs="Arial"/>
          <w:sz w:val="22"/>
          <w:szCs w:val="22"/>
        </w:rPr>
        <w:t>This table forms part of Rule </w:t>
      </w:r>
      <w:r w:rsidR="00693841" w:rsidRPr="00FB2F3D">
        <w:rPr>
          <w:rFonts w:ascii="Arial" w:hAnsi="Arial" w:cs="Arial"/>
          <w:sz w:val="22"/>
          <w:szCs w:val="22"/>
        </w:rPr>
        <w:t>2.7.8</w:t>
      </w:r>
      <w:r w:rsidRPr="00FB2F3D">
        <w:rPr>
          <w:rFonts w:ascii="Arial" w:hAnsi="Arial" w:cs="Arial"/>
          <w:sz w:val="22"/>
          <w:szCs w:val="22"/>
        </w:rPr>
        <w:t>.</w:t>
      </w:r>
      <w:bookmarkEnd w:id="992"/>
    </w:p>
    <w:p w14:paraId="2510CB03" w14:textId="5308BD98" w:rsidR="00162E0C" w:rsidRPr="00FB2F3D" w:rsidRDefault="00162E0C" w:rsidP="00FD2C3F">
      <w:pPr>
        <w:pStyle w:val="S2Heading3"/>
        <w:rPr>
          <w:rFonts w:ascii="Arial" w:hAnsi="Arial" w:cs="Arial"/>
          <w:sz w:val="22"/>
          <w:szCs w:val="22"/>
        </w:rPr>
      </w:pPr>
      <w:bookmarkStart w:id="993" w:name="_Toc410659069"/>
      <w:r w:rsidRPr="00FB2F3D">
        <w:rPr>
          <w:rFonts w:ascii="Arial" w:hAnsi="Arial" w:cs="Arial"/>
          <w:sz w:val="22"/>
          <w:szCs w:val="22"/>
        </w:rPr>
        <w:t xml:space="preserve">A Listed Entity </w:t>
      </w:r>
      <w:r w:rsidR="00B03204">
        <w:rPr>
          <w:rFonts w:ascii="Arial" w:hAnsi="Arial" w:cs="Arial"/>
          <w:sz w:val="22"/>
          <w:szCs w:val="22"/>
        </w:rPr>
        <w:t xml:space="preserve">(or its Reporting Entity) </w:t>
      </w:r>
      <w:r w:rsidRPr="00FB2F3D">
        <w:rPr>
          <w:rFonts w:ascii="Arial" w:hAnsi="Arial" w:cs="Arial"/>
          <w:sz w:val="22"/>
          <w:szCs w:val="22"/>
        </w:rPr>
        <w:t xml:space="preserve">must, on the occurrence of an event specified in column 1, make the required </w:t>
      </w:r>
      <w:r w:rsidR="00B03204">
        <w:rPr>
          <w:rFonts w:ascii="Arial" w:hAnsi="Arial" w:cs="Arial"/>
          <w:sz w:val="22"/>
          <w:szCs w:val="22"/>
        </w:rPr>
        <w:t>D</w:t>
      </w:r>
      <w:r w:rsidRPr="00FB2F3D">
        <w:rPr>
          <w:rFonts w:ascii="Arial" w:hAnsi="Arial" w:cs="Arial"/>
          <w:sz w:val="22"/>
          <w:szCs w:val="22"/>
        </w:rPr>
        <w:t xml:space="preserve">isclosure detailed in column 2, within the time specified in column 3, in respect of the </w:t>
      </w:r>
      <w:r w:rsidR="004B46BD" w:rsidRPr="00FB2F3D">
        <w:rPr>
          <w:rFonts w:ascii="Arial" w:hAnsi="Arial" w:cs="Arial"/>
          <w:sz w:val="22"/>
          <w:szCs w:val="22"/>
        </w:rPr>
        <w:t>Securities</w:t>
      </w:r>
      <w:r w:rsidRPr="00FB2F3D">
        <w:rPr>
          <w:rFonts w:ascii="Arial" w:hAnsi="Arial" w:cs="Arial"/>
          <w:sz w:val="22"/>
          <w:szCs w:val="22"/>
        </w:rPr>
        <w:t xml:space="preserve"> identified with a "</w:t>
      </w:r>
      <w:r w:rsidRPr="00FB2F3D">
        <w:rPr>
          <w:rFonts w:ascii="Arial" w:hAnsi="Arial" w:cs="Arial"/>
          <w:sz w:val="22"/>
          <w:szCs w:val="22"/>
        </w:rPr>
        <w:sym w:font="Wingdings" w:char="F0FC"/>
      </w:r>
      <w:r w:rsidRPr="00FB2F3D">
        <w:rPr>
          <w:rFonts w:ascii="Arial" w:hAnsi="Arial" w:cs="Arial"/>
          <w:sz w:val="22"/>
          <w:szCs w:val="22"/>
        </w:rPr>
        <w:t>" in column 4, of this Table.</w:t>
      </w:r>
      <w:bookmarkEnd w:id="993"/>
    </w:p>
    <w:tbl>
      <w:tblPr>
        <w:tblStyle w:val="TableGrid"/>
        <w:tblW w:w="14185" w:type="dxa"/>
        <w:tblLayout w:type="fixed"/>
        <w:tblLook w:val="04A0" w:firstRow="1" w:lastRow="0" w:firstColumn="1" w:lastColumn="0" w:noHBand="0" w:noVBand="1"/>
      </w:tblPr>
      <w:tblGrid>
        <w:gridCol w:w="647"/>
        <w:gridCol w:w="3871"/>
        <w:gridCol w:w="3510"/>
        <w:gridCol w:w="2340"/>
        <w:gridCol w:w="540"/>
        <w:gridCol w:w="540"/>
        <w:gridCol w:w="540"/>
        <w:gridCol w:w="540"/>
        <w:gridCol w:w="540"/>
        <w:gridCol w:w="540"/>
        <w:gridCol w:w="577"/>
      </w:tblGrid>
      <w:tr w:rsidR="00162E0C" w:rsidRPr="00FB2F3D" w14:paraId="2BA68E2C" w14:textId="77777777" w:rsidTr="00FD2C3F">
        <w:trPr>
          <w:tblHeader/>
        </w:trPr>
        <w:tc>
          <w:tcPr>
            <w:tcW w:w="14185" w:type="dxa"/>
            <w:gridSpan w:val="11"/>
          </w:tcPr>
          <w:p w14:paraId="5B28147B" w14:textId="77777777" w:rsidR="00162E0C" w:rsidRPr="00FB2F3D" w:rsidRDefault="00162E0C" w:rsidP="00FD2C3F">
            <w:pPr>
              <w:pStyle w:val="UK12Block"/>
              <w:spacing w:after="0"/>
              <w:jc w:val="right"/>
              <w:rPr>
                <w:rFonts w:ascii="Arial" w:hAnsi="Arial" w:cs="Arial"/>
                <w:b/>
                <w:sz w:val="22"/>
                <w:szCs w:val="22"/>
              </w:rPr>
            </w:pPr>
            <w:r w:rsidRPr="00FB2F3D">
              <w:rPr>
                <w:rFonts w:ascii="Arial" w:hAnsi="Arial" w:cs="Arial"/>
                <w:b/>
                <w:sz w:val="22"/>
                <w:szCs w:val="22"/>
              </w:rPr>
              <w:t>A6.1.1</w:t>
            </w:r>
          </w:p>
        </w:tc>
      </w:tr>
      <w:tr w:rsidR="00162E0C" w:rsidRPr="00FB2F3D" w14:paraId="7F27481A" w14:textId="77777777" w:rsidTr="00FE28B5">
        <w:trPr>
          <w:cantSplit/>
          <w:trHeight w:val="968"/>
          <w:tblHeader/>
        </w:trPr>
        <w:tc>
          <w:tcPr>
            <w:tcW w:w="647" w:type="dxa"/>
            <w:vMerge w:val="restart"/>
          </w:tcPr>
          <w:p w14:paraId="2FA8FF82" w14:textId="77777777" w:rsidR="00162E0C" w:rsidRPr="00FB2F3D" w:rsidRDefault="00162E0C" w:rsidP="00FD2C3F">
            <w:pPr>
              <w:pStyle w:val="UK12Block"/>
              <w:spacing w:after="0"/>
              <w:jc w:val="left"/>
              <w:rPr>
                <w:rFonts w:ascii="Arial" w:hAnsi="Arial" w:cs="Arial"/>
                <w:sz w:val="22"/>
                <w:szCs w:val="22"/>
              </w:rPr>
            </w:pPr>
          </w:p>
        </w:tc>
        <w:tc>
          <w:tcPr>
            <w:tcW w:w="3871" w:type="dxa"/>
            <w:vMerge w:val="restart"/>
          </w:tcPr>
          <w:p w14:paraId="015EE9AF" w14:textId="77777777" w:rsidR="00162E0C" w:rsidRPr="00FB2F3D" w:rsidRDefault="00162E0C" w:rsidP="00FD2C3F">
            <w:pPr>
              <w:pStyle w:val="UK12Block"/>
              <w:spacing w:after="0"/>
              <w:jc w:val="left"/>
              <w:rPr>
                <w:rFonts w:ascii="Arial" w:hAnsi="Arial" w:cs="Arial"/>
                <w:b/>
                <w:sz w:val="22"/>
                <w:szCs w:val="22"/>
              </w:rPr>
            </w:pPr>
            <w:r w:rsidRPr="00FB2F3D">
              <w:rPr>
                <w:rFonts w:ascii="Arial" w:hAnsi="Arial" w:cs="Arial"/>
                <w:b/>
                <w:sz w:val="22"/>
                <w:szCs w:val="22"/>
              </w:rPr>
              <w:t>EVENT GIVING RISE TO DISCLOSURE OBLIGATION</w:t>
            </w:r>
          </w:p>
        </w:tc>
        <w:tc>
          <w:tcPr>
            <w:tcW w:w="3510" w:type="dxa"/>
            <w:vMerge w:val="restart"/>
          </w:tcPr>
          <w:p w14:paraId="31378EAE" w14:textId="77777777" w:rsidR="00162E0C" w:rsidRPr="00FB2F3D" w:rsidRDefault="00162E0C" w:rsidP="00FD2C3F">
            <w:pPr>
              <w:pStyle w:val="UK12Block"/>
              <w:spacing w:after="0"/>
              <w:jc w:val="left"/>
              <w:rPr>
                <w:rFonts w:ascii="Arial" w:hAnsi="Arial" w:cs="Arial"/>
                <w:b/>
                <w:sz w:val="22"/>
                <w:szCs w:val="22"/>
              </w:rPr>
            </w:pPr>
            <w:r w:rsidRPr="00FB2F3D">
              <w:rPr>
                <w:rFonts w:ascii="Arial" w:hAnsi="Arial" w:cs="Arial"/>
                <w:b/>
                <w:sz w:val="22"/>
                <w:szCs w:val="22"/>
              </w:rPr>
              <w:t>DISCLOSURE REQUIRED</w:t>
            </w:r>
          </w:p>
        </w:tc>
        <w:tc>
          <w:tcPr>
            <w:tcW w:w="2340" w:type="dxa"/>
            <w:vMerge w:val="restart"/>
          </w:tcPr>
          <w:p w14:paraId="3B697437" w14:textId="77777777" w:rsidR="00162E0C" w:rsidRPr="00FB2F3D" w:rsidRDefault="00162E0C" w:rsidP="00FD2C3F">
            <w:pPr>
              <w:pStyle w:val="UK12Block"/>
              <w:spacing w:after="0"/>
              <w:jc w:val="left"/>
              <w:rPr>
                <w:rFonts w:ascii="Arial" w:hAnsi="Arial" w:cs="Arial"/>
                <w:b/>
                <w:sz w:val="22"/>
                <w:szCs w:val="22"/>
              </w:rPr>
            </w:pPr>
            <w:r w:rsidRPr="00FB2F3D">
              <w:rPr>
                <w:rFonts w:ascii="Arial" w:hAnsi="Arial" w:cs="Arial"/>
                <w:b/>
                <w:sz w:val="22"/>
                <w:szCs w:val="22"/>
              </w:rPr>
              <w:t>TIME OF DISCLOSURE</w:t>
            </w:r>
          </w:p>
        </w:tc>
        <w:tc>
          <w:tcPr>
            <w:tcW w:w="540" w:type="dxa"/>
            <w:vMerge w:val="restart"/>
            <w:textDirection w:val="tbRl"/>
            <w:vAlign w:val="center"/>
          </w:tcPr>
          <w:p w14:paraId="579C4080" w14:textId="77777777" w:rsidR="00162E0C" w:rsidRPr="00FB2F3D" w:rsidRDefault="00162E0C" w:rsidP="00FE28B5">
            <w:pPr>
              <w:pStyle w:val="UK10Block"/>
              <w:spacing w:after="0" w:line="240" w:lineRule="auto"/>
              <w:jc w:val="right"/>
              <w:rPr>
                <w:rFonts w:ascii="Arial" w:hAnsi="Arial" w:cs="Arial"/>
                <w:sz w:val="22"/>
                <w:szCs w:val="22"/>
              </w:rPr>
            </w:pPr>
            <w:r w:rsidRPr="00FB2F3D">
              <w:rPr>
                <w:rFonts w:ascii="Arial" w:hAnsi="Arial" w:cs="Arial"/>
                <w:sz w:val="22"/>
                <w:szCs w:val="22"/>
              </w:rPr>
              <w:t>Structured Products</w:t>
            </w:r>
          </w:p>
        </w:tc>
        <w:tc>
          <w:tcPr>
            <w:tcW w:w="540" w:type="dxa"/>
            <w:vMerge w:val="restart"/>
            <w:textDirection w:val="tbRl"/>
            <w:vAlign w:val="center"/>
          </w:tcPr>
          <w:p w14:paraId="206360D8" w14:textId="77777777" w:rsidR="00162E0C" w:rsidRPr="00FB2F3D" w:rsidRDefault="00162E0C" w:rsidP="00FE28B5">
            <w:pPr>
              <w:pStyle w:val="UK10Block"/>
              <w:spacing w:after="0" w:line="240" w:lineRule="auto"/>
              <w:jc w:val="right"/>
              <w:rPr>
                <w:rFonts w:ascii="Arial" w:hAnsi="Arial" w:cs="Arial"/>
                <w:sz w:val="22"/>
                <w:szCs w:val="22"/>
              </w:rPr>
            </w:pPr>
            <w:r w:rsidRPr="00FB2F3D">
              <w:rPr>
                <w:rFonts w:ascii="Arial" w:hAnsi="Arial" w:cs="Arial"/>
                <w:sz w:val="22"/>
                <w:szCs w:val="22"/>
              </w:rPr>
              <w:t>Shares</w:t>
            </w:r>
          </w:p>
        </w:tc>
        <w:tc>
          <w:tcPr>
            <w:tcW w:w="540" w:type="dxa"/>
            <w:vMerge w:val="restart"/>
            <w:textDirection w:val="tbRl"/>
            <w:vAlign w:val="center"/>
          </w:tcPr>
          <w:p w14:paraId="1F86F8FD" w14:textId="77777777" w:rsidR="00162E0C" w:rsidRPr="00FB2F3D" w:rsidRDefault="00162E0C" w:rsidP="00FE28B5">
            <w:pPr>
              <w:pStyle w:val="UK10Block"/>
              <w:spacing w:after="0" w:line="240" w:lineRule="auto"/>
              <w:jc w:val="right"/>
              <w:rPr>
                <w:rFonts w:ascii="Arial" w:hAnsi="Arial" w:cs="Arial"/>
                <w:sz w:val="22"/>
                <w:szCs w:val="22"/>
              </w:rPr>
            </w:pPr>
            <w:r w:rsidRPr="00FB2F3D">
              <w:rPr>
                <w:rFonts w:ascii="Arial" w:hAnsi="Arial" w:cs="Arial"/>
                <w:sz w:val="22"/>
                <w:szCs w:val="22"/>
              </w:rPr>
              <w:t>Warrants over Shares</w:t>
            </w:r>
          </w:p>
        </w:tc>
        <w:tc>
          <w:tcPr>
            <w:tcW w:w="540" w:type="dxa"/>
            <w:vMerge w:val="restart"/>
            <w:textDirection w:val="tbRl"/>
            <w:vAlign w:val="center"/>
          </w:tcPr>
          <w:p w14:paraId="180AD66F" w14:textId="77777777" w:rsidR="00162E0C" w:rsidRPr="00FB2F3D" w:rsidRDefault="00162E0C" w:rsidP="00FE28B5">
            <w:pPr>
              <w:pStyle w:val="UK10Block"/>
              <w:spacing w:after="0" w:line="240" w:lineRule="auto"/>
              <w:jc w:val="right"/>
              <w:rPr>
                <w:rFonts w:ascii="Arial" w:hAnsi="Arial" w:cs="Arial"/>
                <w:sz w:val="22"/>
                <w:szCs w:val="22"/>
              </w:rPr>
            </w:pPr>
            <w:r w:rsidRPr="00FB2F3D">
              <w:rPr>
                <w:rFonts w:ascii="Arial" w:hAnsi="Arial" w:cs="Arial"/>
                <w:sz w:val="22"/>
                <w:szCs w:val="22"/>
              </w:rPr>
              <w:t>Warrants over Debentures</w:t>
            </w:r>
          </w:p>
        </w:tc>
        <w:tc>
          <w:tcPr>
            <w:tcW w:w="540" w:type="dxa"/>
            <w:vMerge w:val="restart"/>
            <w:textDirection w:val="tbRl"/>
            <w:vAlign w:val="center"/>
          </w:tcPr>
          <w:p w14:paraId="72D10F9A" w14:textId="77777777" w:rsidR="00162E0C" w:rsidRPr="00FB2F3D" w:rsidRDefault="00162E0C" w:rsidP="00FE28B5">
            <w:pPr>
              <w:pStyle w:val="UK10Block"/>
              <w:spacing w:after="0" w:line="240" w:lineRule="auto"/>
              <w:jc w:val="right"/>
              <w:rPr>
                <w:rFonts w:ascii="Arial" w:hAnsi="Arial" w:cs="Arial"/>
                <w:sz w:val="22"/>
                <w:szCs w:val="22"/>
              </w:rPr>
            </w:pPr>
            <w:r w:rsidRPr="00FB2F3D">
              <w:rPr>
                <w:rFonts w:ascii="Arial" w:hAnsi="Arial" w:cs="Arial"/>
                <w:sz w:val="22"/>
                <w:szCs w:val="22"/>
              </w:rPr>
              <w:t>Debentures</w:t>
            </w:r>
          </w:p>
        </w:tc>
        <w:tc>
          <w:tcPr>
            <w:tcW w:w="1117" w:type="dxa"/>
            <w:gridSpan w:val="2"/>
            <w:tcMar>
              <w:left w:w="115" w:type="dxa"/>
              <w:right w:w="43" w:type="dxa"/>
            </w:tcMar>
            <w:vAlign w:val="center"/>
          </w:tcPr>
          <w:p w14:paraId="59507863" w14:textId="77777777" w:rsidR="00162E0C" w:rsidRPr="00FB2F3D" w:rsidRDefault="00162E0C" w:rsidP="00FE28B5">
            <w:pPr>
              <w:pStyle w:val="UK10Block"/>
              <w:spacing w:after="0" w:line="240" w:lineRule="auto"/>
              <w:jc w:val="right"/>
              <w:rPr>
                <w:rFonts w:ascii="Arial" w:hAnsi="Arial" w:cs="Arial"/>
                <w:sz w:val="22"/>
                <w:szCs w:val="22"/>
              </w:rPr>
            </w:pPr>
            <w:r w:rsidRPr="00FB2F3D">
              <w:rPr>
                <w:rFonts w:ascii="Arial" w:hAnsi="Arial" w:cs="Arial"/>
                <w:sz w:val="22"/>
                <w:szCs w:val="22"/>
              </w:rPr>
              <w:t>Certificates</w:t>
            </w:r>
          </w:p>
        </w:tc>
      </w:tr>
      <w:tr w:rsidR="00162E0C" w:rsidRPr="00FB2F3D" w14:paraId="248DE3F4" w14:textId="77777777" w:rsidTr="00FE28B5">
        <w:trPr>
          <w:cantSplit/>
          <w:trHeight w:val="1134"/>
          <w:tblHeader/>
        </w:trPr>
        <w:tc>
          <w:tcPr>
            <w:tcW w:w="647" w:type="dxa"/>
            <w:vMerge/>
          </w:tcPr>
          <w:p w14:paraId="2105FAFE" w14:textId="77777777" w:rsidR="00162E0C" w:rsidRPr="00FB2F3D" w:rsidRDefault="00162E0C" w:rsidP="00FD2C3F">
            <w:pPr>
              <w:pStyle w:val="UK12Block"/>
              <w:spacing w:after="0"/>
              <w:jc w:val="left"/>
              <w:rPr>
                <w:rFonts w:ascii="Arial" w:hAnsi="Arial" w:cs="Arial"/>
                <w:sz w:val="22"/>
                <w:szCs w:val="22"/>
              </w:rPr>
            </w:pPr>
          </w:p>
        </w:tc>
        <w:tc>
          <w:tcPr>
            <w:tcW w:w="3871" w:type="dxa"/>
            <w:vMerge/>
          </w:tcPr>
          <w:p w14:paraId="7D7AAB53" w14:textId="77777777" w:rsidR="00162E0C" w:rsidRPr="00FB2F3D" w:rsidRDefault="00162E0C" w:rsidP="00FD2C3F">
            <w:pPr>
              <w:pStyle w:val="UK12Block"/>
              <w:spacing w:after="0"/>
              <w:jc w:val="left"/>
              <w:rPr>
                <w:rFonts w:ascii="Arial" w:hAnsi="Arial" w:cs="Arial"/>
                <w:sz w:val="22"/>
                <w:szCs w:val="22"/>
              </w:rPr>
            </w:pPr>
          </w:p>
        </w:tc>
        <w:tc>
          <w:tcPr>
            <w:tcW w:w="3510" w:type="dxa"/>
            <w:vMerge/>
          </w:tcPr>
          <w:p w14:paraId="660B932D" w14:textId="77777777" w:rsidR="00162E0C" w:rsidRPr="00FB2F3D" w:rsidRDefault="00162E0C" w:rsidP="00FD2C3F">
            <w:pPr>
              <w:pStyle w:val="UK12Block"/>
              <w:spacing w:after="0"/>
              <w:jc w:val="left"/>
              <w:rPr>
                <w:rFonts w:ascii="Arial" w:hAnsi="Arial" w:cs="Arial"/>
                <w:sz w:val="22"/>
                <w:szCs w:val="22"/>
              </w:rPr>
            </w:pPr>
          </w:p>
        </w:tc>
        <w:tc>
          <w:tcPr>
            <w:tcW w:w="2340" w:type="dxa"/>
            <w:vMerge/>
          </w:tcPr>
          <w:p w14:paraId="651A0148" w14:textId="77777777" w:rsidR="00162E0C" w:rsidRPr="00FB2F3D" w:rsidRDefault="00162E0C" w:rsidP="00FD2C3F">
            <w:pPr>
              <w:pStyle w:val="UK12Block"/>
              <w:spacing w:after="0"/>
              <w:jc w:val="left"/>
              <w:rPr>
                <w:rFonts w:ascii="Arial" w:hAnsi="Arial" w:cs="Arial"/>
                <w:sz w:val="22"/>
                <w:szCs w:val="22"/>
              </w:rPr>
            </w:pPr>
          </w:p>
        </w:tc>
        <w:tc>
          <w:tcPr>
            <w:tcW w:w="540" w:type="dxa"/>
            <w:vMerge/>
            <w:vAlign w:val="center"/>
          </w:tcPr>
          <w:p w14:paraId="31B0227D" w14:textId="77777777" w:rsidR="00162E0C" w:rsidRPr="00FB2F3D" w:rsidRDefault="00162E0C" w:rsidP="00FE28B5">
            <w:pPr>
              <w:pStyle w:val="UK10Block"/>
              <w:spacing w:after="0" w:line="240" w:lineRule="auto"/>
              <w:jc w:val="right"/>
              <w:rPr>
                <w:rFonts w:ascii="Arial" w:hAnsi="Arial" w:cs="Arial"/>
                <w:sz w:val="22"/>
                <w:szCs w:val="22"/>
              </w:rPr>
            </w:pPr>
          </w:p>
        </w:tc>
        <w:tc>
          <w:tcPr>
            <w:tcW w:w="540" w:type="dxa"/>
            <w:vMerge/>
            <w:textDirection w:val="tbRl"/>
            <w:vAlign w:val="center"/>
          </w:tcPr>
          <w:p w14:paraId="4D27EE80" w14:textId="77777777" w:rsidR="00162E0C" w:rsidRPr="00FB2F3D" w:rsidRDefault="00162E0C" w:rsidP="00FE28B5">
            <w:pPr>
              <w:pStyle w:val="UK10Block"/>
              <w:spacing w:after="0" w:line="240" w:lineRule="auto"/>
              <w:jc w:val="right"/>
              <w:rPr>
                <w:rFonts w:ascii="Arial" w:hAnsi="Arial" w:cs="Arial"/>
                <w:sz w:val="22"/>
                <w:szCs w:val="22"/>
              </w:rPr>
            </w:pPr>
          </w:p>
        </w:tc>
        <w:tc>
          <w:tcPr>
            <w:tcW w:w="540" w:type="dxa"/>
            <w:vMerge/>
            <w:textDirection w:val="tbRl"/>
            <w:vAlign w:val="center"/>
          </w:tcPr>
          <w:p w14:paraId="0FF57D38" w14:textId="77777777" w:rsidR="00162E0C" w:rsidRPr="00FB2F3D" w:rsidRDefault="00162E0C" w:rsidP="00FE28B5">
            <w:pPr>
              <w:pStyle w:val="UK10Block"/>
              <w:spacing w:after="0" w:line="240" w:lineRule="auto"/>
              <w:jc w:val="right"/>
              <w:rPr>
                <w:rFonts w:ascii="Arial" w:hAnsi="Arial" w:cs="Arial"/>
                <w:sz w:val="22"/>
                <w:szCs w:val="22"/>
              </w:rPr>
            </w:pPr>
          </w:p>
        </w:tc>
        <w:tc>
          <w:tcPr>
            <w:tcW w:w="540" w:type="dxa"/>
            <w:vMerge/>
            <w:textDirection w:val="tbRl"/>
            <w:vAlign w:val="center"/>
          </w:tcPr>
          <w:p w14:paraId="57D18337" w14:textId="77777777" w:rsidR="00162E0C" w:rsidRPr="00FB2F3D" w:rsidRDefault="00162E0C" w:rsidP="00FE28B5">
            <w:pPr>
              <w:pStyle w:val="UK10Block"/>
              <w:spacing w:after="0" w:line="240" w:lineRule="auto"/>
              <w:jc w:val="right"/>
              <w:rPr>
                <w:rFonts w:ascii="Arial" w:hAnsi="Arial" w:cs="Arial"/>
                <w:sz w:val="22"/>
                <w:szCs w:val="22"/>
              </w:rPr>
            </w:pPr>
          </w:p>
        </w:tc>
        <w:tc>
          <w:tcPr>
            <w:tcW w:w="540" w:type="dxa"/>
            <w:vMerge/>
            <w:textDirection w:val="tbRl"/>
            <w:vAlign w:val="center"/>
          </w:tcPr>
          <w:p w14:paraId="1BA3C5D3" w14:textId="77777777" w:rsidR="00162E0C" w:rsidRPr="00FB2F3D" w:rsidRDefault="00162E0C" w:rsidP="00FE28B5">
            <w:pPr>
              <w:pStyle w:val="UK10Block"/>
              <w:spacing w:after="0" w:line="240" w:lineRule="auto"/>
              <w:jc w:val="right"/>
              <w:rPr>
                <w:rFonts w:ascii="Arial" w:hAnsi="Arial" w:cs="Arial"/>
                <w:sz w:val="22"/>
                <w:szCs w:val="22"/>
              </w:rPr>
            </w:pPr>
          </w:p>
        </w:tc>
        <w:tc>
          <w:tcPr>
            <w:tcW w:w="540" w:type="dxa"/>
            <w:textDirection w:val="tbRl"/>
            <w:vAlign w:val="center"/>
          </w:tcPr>
          <w:p w14:paraId="74E8F841" w14:textId="77777777" w:rsidR="00162E0C" w:rsidRPr="00FB2F3D" w:rsidRDefault="00162E0C" w:rsidP="00FE28B5">
            <w:pPr>
              <w:pStyle w:val="UK10Block"/>
              <w:spacing w:after="0" w:line="240" w:lineRule="auto"/>
              <w:jc w:val="right"/>
              <w:rPr>
                <w:rFonts w:ascii="Arial" w:hAnsi="Arial" w:cs="Arial"/>
                <w:sz w:val="22"/>
                <w:szCs w:val="22"/>
              </w:rPr>
            </w:pPr>
            <w:r w:rsidRPr="00FB2F3D">
              <w:rPr>
                <w:rFonts w:ascii="Arial" w:hAnsi="Arial" w:cs="Arial"/>
                <w:sz w:val="22"/>
                <w:szCs w:val="22"/>
              </w:rPr>
              <w:t>Shares</w:t>
            </w:r>
          </w:p>
        </w:tc>
        <w:tc>
          <w:tcPr>
            <w:tcW w:w="577" w:type="dxa"/>
            <w:textDirection w:val="tbRl"/>
            <w:vAlign w:val="center"/>
          </w:tcPr>
          <w:p w14:paraId="2888D631" w14:textId="77777777" w:rsidR="00162E0C" w:rsidRPr="00FB2F3D" w:rsidRDefault="00162E0C" w:rsidP="00FE28B5">
            <w:pPr>
              <w:pStyle w:val="UK10Block"/>
              <w:spacing w:after="0" w:line="240" w:lineRule="auto"/>
              <w:jc w:val="right"/>
              <w:rPr>
                <w:rFonts w:ascii="Arial" w:hAnsi="Arial" w:cs="Arial"/>
                <w:sz w:val="22"/>
                <w:szCs w:val="22"/>
              </w:rPr>
            </w:pPr>
            <w:r w:rsidRPr="00FB2F3D">
              <w:rPr>
                <w:rFonts w:ascii="Arial" w:hAnsi="Arial" w:cs="Arial"/>
                <w:sz w:val="22"/>
                <w:szCs w:val="22"/>
              </w:rPr>
              <w:t>Debentures</w:t>
            </w:r>
          </w:p>
        </w:tc>
      </w:tr>
      <w:tr w:rsidR="00162E0C" w:rsidRPr="00FB2F3D" w14:paraId="1FA541B3" w14:textId="77777777" w:rsidTr="00FD2C3F">
        <w:tc>
          <w:tcPr>
            <w:tcW w:w="14185" w:type="dxa"/>
            <w:gridSpan w:val="11"/>
          </w:tcPr>
          <w:p w14:paraId="726ECC6C" w14:textId="77777777" w:rsidR="00162E0C" w:rsidRPr="00FB2F3D" w:rsidRDefault="00162E0C" w:rsidP="00FD2C3F">
            <w:pPr>
              <w:pStyle w:val="UK12Block"/>
              <w:keepNext/>
              <w:spacing w:after="0"/>
              <w:jc w:val="left"/>
              <w:rPr>
                <w:rFonts w:ascii="Arial" w:hAnsi="Arial" w:cs="Arial"/>
                <w:b/>
                <w:sz w:val="22"/>
                <w:szCs w:val="22"/>
              </w:rPr>
            </w:pPr>
            <w:r w:rsidRPr="00FB2F3D">
              <w:rPr>
                <w:rFonts w:ascii="Arial" w:hAnsi="Arial" w:cs="Arial"/>
                <w:b/>
                <w:sz w:val="22"/>
                <w:szCs w:val="22"/>
              </w:rPr>
              <w:t>GENERAL</w:t>
            </w:r>
          </w:p>
        </w:tc>
      </w:tr>
      <w:tr w:rsidR="00162E0C" w:rsidRPr="00FB2F3D" w14:paraId="2B7D8720" w14:textId="77777777" w:rsidTr="00FD2C3F">
        <w:tc>
          <w:tcPr>
            <w:tcW w:w="647" w:type="dxa"/>
          </w:tcPr>
          <w:p w14:paraId="21D62A40" w14:textId="77777777" w:rsidR="00162E0C" w:rsidRPr="00FB2F3D" w:rsidRDefault="00162E0C" w:rsidP="00755725">
            <w:pPr>
              <w:pStyle w:val="UK12Block"/>
              <w:numPr>
                <w:ilvl w:val="0"/>
                <w:numId w:val="75"/>
              </w:numPr>
              <w:jc w:val="left"/>
              <w:rPr>
                <w:rFonts w:ascii="Arial" w:hAnsi="Arial" w:cs="Arial"/>
                <w:b/>
                <w:sz w:val="22"/>
                <w:szCs w:val="22"/>
              </w:rPr>
            </w:pPr>
          </w:p>
        </w:tc>
        <w:tc>
          <w:tcPr>
            <w:tcW w:w="3871" w:type="dxa"/>
          </w:tcPr>
          <w:p w14:paraId="301F91E6"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t>Any closure of the Listed Entity's register of security holders.</w:t>
            </w:r>
          </w:p>
        </w:tc>
        <w:tc>
          <w:tcPr>
            <w:tcW w:w="3510" w:type="dxa"/>
          </w:tcPr>
          <w:p w14:paraId="462CE452" w14:textId="6DB261AD" w:rsidR="00162E0C" w:rsidRPr="00FB2F3D" w:rsidRDefault="00B81749" w:rsidP="00FD2C3F">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the closure.</w:t>
            </w:r>
          </w:p>
        </w:tc>
        <w:tc>
          <w:tcPr>
            <w:tcW w:w="2340" w:type="dxa"/>
          </w:tcPr>
          <w:p w14:paraId="433FE75E" w14:textId="1058077A"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t xml:space="preserve">At least </w:t>
            </w:r>
            <w:r w:rsidR="00B81749">
              <w:rPr>
                <w:rFonts w:ascii="Arial" w:hAnsi="Arial" w:cs="Arial"/>
                <w:sz w:val="22"/>
                <w:szCs w:val="22"/>
              </w:rPr>
              <w:t>ten Business D</w:t>
            </w:r>
            <w:r w:rsidRPr="00FB2F3D">
              <w:rPr>
                <w:rFonts w:ascii="Arial" w:hAnsi="Arial" w:cs="Arial"/>
                <w:sz w:val="22"/>
                <w:szCs w:val="22"/>
              </w:rPr>
              <w:t>ays before the closure.</w:t>
            </w:r>
          </w:p>
        </w:tc>
        <w:tc>
          <w:tcPr>
            <w:tcW w:w="540" w:type="dxa"/>
          </w:tcPr>
          <w:p w14:paraId="059BE93A"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494F1503"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79E5DDBE"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0278B112"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6B2DBA81" w14:textId="77777777" w:rsidR="00162E0C" w:rsidRPr="00FB2F3D" w:rsidRDefault="00162E0C" w:rsidP="00FD2C3F">
            <w:pPr>
              <w:pStyle w:val="UK12Block"/>
              <w:jc w:val="left"/>
              <w:rPr>
                <w:rFonts w:ascii="Arial" w:hAnsi="Arial" w:cs="Arial"/>
                <w:sz w:val="22"/>
                <w:szCs w:val="22"/>
              </w:rPr>
            </w:pPr>
          </w:p>
        </w:tc>
        <w:tc>
          <w:tcPr>
            <w:tcW w:w="540" w:type="dxa"/>
          </w:tcPr>
          <w:p w14:paraId="5458E532"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77" w:type="dxa"/>
          </w:tcPr>
          <w:p w14:paraId="715D8328"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r>
      <w:tr w:rsidR="00162E0C" w:rsidRPr="00FB2F3D" w14:paraId="1F93470E" w14:textId="77777777" w:rsidTr="00FD2C3F">
        <w:tc>
          <w:tcPr>
            <w:tcW w:w="647" w:type="dxa"/>
          </w:tcPr>
          <w:p w14:paraId="09B59831" w14:textId="77777777" w:rsidR="00162E0C" w:rsidRPr="00FB2F3D" w:rsidRDefault="00162E0C" w:rsidP="00755725">
            <w:pPr>
              <w:pStyle w:val="UK12Block"/>
              <w:numPr>
                <w:ilvl w:val="0"/>
                <w:numId w:val="75"/>
              </w:numPr>
              <w:jc w:val="left"/>
              <w:rPr>
                <w:rFonts w:ascii="Arial" w:hAnsi="Arial" w:cs="Arial"/>
                <w:b/>
                <w:sz w:val="22"/>
                <w:szCs w:val="22"/>
              </w:rPr>
            </w:pPr>
          </w:p>
        </w:tc>
        <w:tc>
          <w:tcPr>
            <w:tcW w:w="3871" w:type="dxa"/>
          </w:tcPr>
          <w:p w14:paraId="169C40CF"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t xml:space="preserve">Any meeting of holders of </w:t>
            </w:r>
            <w:r w:rsidR="004B46BD" w:rsidRPr="00FB2F3D">
              <w:rPr>
                <w:rFonts w:ascii="Arial" w:hAnsi="Arial" w:cs="Arial"/>
                <w:sz w:val="22"/>
                <w:szCs w:val="22"/>
              </w:rPr>
              <w:t>Securities</w:t>
            </w:r>
            <w:r w:rsidRPr="00FB2F3D">
              <w:rPr>
                <w:rFonts w:ascii="Arial" w:hAnsi="Arial" w:cs="Arial"/>
                <w:sz w:val="22"/>
                <w:szCs w:val="22"/>
              </w:rPr>
              <w:t>.</w:t>
            </w:r>
            <w:r w:rsidRPr="00FB2F3D">
              <w:rPr>
                <w:rFonts w:ascii="Arial" w:hAnsi="Arial" w:cs="Arial"/>
                <w:sz w:val="22"/>
                <w:szCs w:val="22"/>
              </w:rPr>
              <w:tab/>
            </w:r>
          </w:p>
        </w:tc>
        <w:tc>
          <w:tcPr>
            <w:tcW w:w="3510" w:type="dxa"/>
          </w:tcPr>
          <w:p w14:paraId="036EF0BD" w14:textId="6C8E3A33" w:rsidR="00162E0C" w:rsidRPr="00FB2F3D" w:rsidRDefault="00B81749" w:rsidP="00FD2C3F">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 of notice.</w:t>
            </w:r>
          </w:p>
        </w:tc>
        <w:tc>
          <w:tcPr>
            <w:tcW w:w="2340" w:type="dxa"/>
          </w:tcPr>
          <w:p w14:paraId="5216243A"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t xml:space="preserve">At the same time as such notice is sent to the holders of </w:t>
            </w:r>
            <w:r w:rsidR="004B46BD" w:rsidRPr="00FB2F3D">
              <w:rPr>
                <w:rFonts w:ascii="Arial" w:hAnsi="Arial" w:cs="Arial"/>
                <w:sz w:val="22"/>
                <w:szCs w:val="22"/>
              </w:rPr>
              <w:t>Securities</w:t>
            </w:r>
            <w:r w:rsidRPr="00FB2F3D">
              <w:rPr>
                <w:rFonts w:ascii="Arial" w:hAnsi="Arial" w:cs="Arial"/>
                <w:sz w:val="22"/>
                <w:szCs w:val="22"/>
              </w:rPr>
              <w:t>.</w:t>
            </w:r>
          </w:p>
        </w:tc>
        <w:tc>
          <w:tcPr>
            <w:tcW w:w="540" w:type="dxa"/>
          </w:tcPr>
          <w:p w14:paraId="3678AD4C"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4E9D097C"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7981C1D2"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01F58516"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42FF50C5" w14:textId="77777777" w:rsidR="00162E0C" w:rsidRPr="00FB2F3D" w:rsidRDefault="00162E0C" w:rsidP="00FD2C3F">
            <w:pPr>
              <w:pStyle w:val="UK12Block"/>
              <w:jc w:val="left"/>
              <w:rPr>
                <w:rFonts w:ascii="Arial" w:hAnsi="Arial" w:cs="Arial"/>
                <w:sz w:val="22"/>
                <w:szCs w:val="22"/>
              </w:rPr>
            </w:pPr>
          </w:p>
        </w:tc>
        <w:tc>
          <w:tcPr>
            <w:tcW w:w="540" w:type="dxa"/>
          </w:tcPr>
          <w:p w14:paraId="57CA5CC0"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77" w:type="dxa"/>
          </w:tcPr>
          <w:p w14:paraId="095511A9"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r>
      <w:tr w:rsidR="00162E0C" w:rsidRPr="00FB2F3D" w14:paraId="392AA947" w14:textId="77777777" w:rsidTr="00FD2C3F">
        <w:tc>
          <w:tcPr>
            <w:tcW w:w="647" w:type="dxa"/>
          </w:tcPr>
          <w:p w14:paraId="7019A293" w14:textId="77777777" w:rsidR="00162E0C" w:rsidRPr="00FB2F3D" w:rsidRDefault="00162E0C" w:rsidP="00755725">
            <w:pPr>
              <w:pStyle w:val="UK12Block"/>
              <w:numPr>
                <w:ilvl w:val="0"/>
                <w:numId w:val="75"/>
              </w:numPr>
              <w:jc w:val="left"/>
              <w:rPr>
                <w:rFonts w:ascii="Arial" w:hAnsi="Arial" w:cs="Arial"/>
                <w:b/>
                <w:sz w:val="22"/>
                <w:szCs w:val="22"/>
              </w:rPr>
            </w:pPr>
          </w:p>
        </w:tc>
        <w:tc>
          <w:tcPr>
            <w:tcW w:w="3871" w:type="dxa"/>
          </w:tcPr>
          <w:p w14:paraId="227ECDFA"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t xml:space="preserve">The final timetable for any proposed action affecting the rights of existing holders of its Listed </w:t>
            </w:r>
            <w:r w:rsidR="004B46BD" w:rsidRPr="00FB2F3D">
              <w:rPr>
                <w:rFonts w:ascii="Arial" w:hAnsi="Arial" w:cs="Arial"/>
                <w:sz w:val="22"/>
                <w:szCs w:val="22"/>
              </w:rPr>
              <w:t>Securities</w:t>
            </w:r>
            <w:r w:rsidRPr="00FB2F3D">
              <w:rPr>
                <w:rFonts w:ascii="Arial" w:hAnsi="Arial" w:cs="Arial"/>
                <w:sz w:val="22"/>
                <w:szCs w:val="22"/>
              </w:rPr>
              <w:t>.</w:t>
            </w:r>
          </w:p>
        </w:tc>
        <w:tc>
          <w:tcPr>
            <w:tcW w:w="3510" w:type="dxa"/>
          </w:tcPr>
          <w:p w14:paraId="75B0AAF0" w14:textId="15CF2C06" w:rsidR="00162E0C" w:rsidRPr="00FB2F3D" w:rsidRDefault="00B81749" w:rsidP="00FD2C3F">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w:t>
            </w:r>
            <w:r>
              <w:rPr>
                <w:rFonts w:ascii="Arial" w:hAnsi="Arial" w:cs="Arial"/>
                <w:sz w:val="22"/>
                <w:szCs w:val="22"/>
              </w:rPr>
              <w:t xml:space="preserve"> of the timetable</w:t>
            </w:r>
            <w:r w:rsidR="00162E0C" w:rsidRPr="00FB2F3D">
              <w:rPr>
                <w:rFonts w:ascii="Arial" w:hAnsi="Arial" w:cs="Arial"/>
                <w:sz w:val="22"/>
                <w:szCs w:val="22"/>
              </w:rPr>
              <w:t>.</w:t>
            </w:r>
          </w:p>
        </w:tc>
        <w:tc>
          <w:tcPr>
            <w:tcW w:w="2340" w:type="dxa"/>
          </w:tcPr>
          <w:p w14:paraId="159A9F18"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t xml:space="preserve">As soon as possible after finalisation of </w:t>
            </w:r>
            <w:r w:rsidRPr="00FB2F3D">
              <w:rPr>
                <w:rFonts w:ascii="Arial" w:hAnsi="Arial" w:cs="Arial"/>
                <w:sz w:val="22"/>
                <w:szCs w:val="22"/>
              </w:rPr>
              <w:lastRenderedPageBreak/>
              <w:t xml:space="preserve">the timetable with the </w:t>
            </w:r>
            <w:r w:rsidR="0035335F" w:rsidRPr="00FB2F3D">
              <w:rPr>
                <w:rFonts w:ascii="Arial" w:hAnsi="Arial" w:cs="Arial"/>
                <w:sz w:val="22"/>
                <w:szCs w:val="22"/>
              </w:rPr>
              <w:t>Regulator</w:t>
            </w:r>
            <w:r w:rsidRPr="00FB2F3D">
              <w:rPr>
                <w:rFonts w:ascii="Arial" w:hAnsi="Arial" w:cs="Arial"/>
                <w:sz w:val="22"/>
                <w:szCs w:val="22"/>
              </w:rPr>
              <w:t>.</w:t>
            </w:r>
          </w:p>
        </w:tc>
        <w:tc>
          <w:tcPr>
            <w:tcW w:w="540" w:type="dxa"/>
          </w:tcPr>
          <w:p w14:paraId="67D61064"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lastRenderedPageBreak/>
              <w:sym w:font="Wingdings" w:char="F0FC"/>
            </w:r>
          </w:p>
        </w:tc>
        <w:tc>
          <w:tcPr>
            <w:tcW w:w="540" w:type="dxa"/>
          </w:tcPr>
          <w:p w14:paraId="1A3FC0C5"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1AD30363"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2C359AD3"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1F814A6D"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3E10ECCC"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77" w:type="dxa"/>
          </w:tcPr>
          <w:p w14:paraId="2A59269A" w14:textId="77777777" w:rsidR="00162E0C" w:rsidRPr="00FB2F3D" w:rsidRDefault="00162E0C" w:rsidP="00311EB3">
            <w:pPr>
              <w:pStyle w:val="UK12Block"/>
              <w:jc w:val="left"/>
              <w:rPr>
                <w:rFonts w:ascii="Arial" w:hAnsi="Arial" w:cs="Arial"/>
                <w:sz w:val="22"/>
                <w:szCs w:val="22"/>
              </w:rPr>
            </w:pPr>
            <w:r w:rsidRPr="00FB2F3D">
              <w:rPr>
                <w:rFonts w:ascii="Arial" w:hAnsi="Arial" w:cs="Arial"/>
                <w:sz w:val="22"/>
                <w:szCs w:val="22"/>
              </w:rPr>
              <w:sym w:font="Wingdings" w:char="F0FC"/>
            </w:r>
            <w:r w:rsidR="00311EB3" w:rsidRPr="00FB2F3D">
              <w:rPr>
                <w:rStyle w:val="FootnoteReference"/>
                <w:rFonts w:ascii="Arial" w:hAnsi="Arial" w:cs="Arial"/>
                <w:sz w:val="22"/>
                <w:szCs w:val="22"/>
              </w:rPr>
              <w:footnoteReference w:id="11"/>
            </w:r>
          </w:p>
        </w:tc>
      </w:tr>
      <w:tr w:rsidR="00162E0C" w:rsidRPr="00FB2F3D" w14:paraId="58922341" w14:textId="77777777" w:rsidTr="00FD2C3F">
        <w:tc>
          <w:tcPr>
            <w:tcW w:w="647" w:type="dxa"/>
          </w:tcPr>
          <w:p w14:paraId="34ACDFA3" w14:textId="77777777" w:rsidR="00162E0C" w:rsidRPr="00FB2F3D" w:rsidRDefault="00162E0C" w:rsidP="00755725">
            <w:pPr>
              <w:pStyle w:val="UK12Block"/>
              <w:numPr>
                <w:ilvl w:val="0"/>
                <w:numId w:val="75"/>
              </w:numPr>
              <w:jc w:val="left"/>
              <w:rPr>
                <w:rFonts w:ascii="Arial" w:hAnsi="Arial" w:cs="Arial"/>
                <w:b/>
                <w:sz w:val="22"/>
                <w:szCs w:val="22"/>
              </w:rPr>
            </w:pPr>
          </w:p>
        </w:tc>
        <w:tc>
          <w:tcPr>
            <w:tcW w:w="3871" w:type="dxa"/>
          </w:tcPr>
          <w:p w14:paraId="670C37B2"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t>All proposed drawings to effect partial redemptions, and, in the case of registered Debentures or Structured Products, the date on which it is proposed to close the books for the purpose of making a drawing.</w:t>
            </w:r>
          </w:p>
        </w:tc>
        <w:tc>
          <w:tcPr>
            <w:tcW w:w="3510" w:type="dxa"/>
          </w:tcPr>
          <w:p w14:paraId="5AC18C71" w14:textId="2CE1F309" w:rsidR="00162E0C" w:rsidRPr="00FB2F3D" w:rsidRDefault="00B81749" w:rsidP="00FD2C3F">
            <w:pPr>
              <w:pStyle w:val="UK12Block"/>
              <w:jc w:val="left"/>
              <w:rPr>
                <w:rFonts w:ascii="Arial" w:hAnsi="Arial" w:cs="Arial"/>
                <w:sz w:val="22"/>
                <w:szCs w:val="22"/>
              </w:rPr>
            </w:pPr>
            <w:r>
              <w:rPr>
                <w:rFonts w:ascii="Arial" w:hAnsi="Arial" w:cs="Arial"/>
                <w:sz w:val="22"/>
                <w:szCs w:val="22"/>
              </w:rPr>
              <w:t>Disclosure of the partial redemption.</w:t>
            </w:r>
          </w:p>
        </w:tc>
        <w:tc>
          <w:tcPr>
            <w:tcW w:w="2340" w:type="dxa"/>
          </w:tcPr>
          <w:p w14:paraId="4E35B0A7" w14:textId="09B0CD27" w:rsidR="00162E0C" w:rsidRPr="00FB2F3D" w:rsidRDefault="00B81749" w:rsidP="00FD2C3F">
            <w:pPr>
              <w:pStyle w:val="UK12Block"/>
              <w:jc w:val="left"/>
              <w:rPr>
                <w:rFonts w:ascii="Arial" w:hAnsi="Arial" w:cs="Arial"/>
                <w:sz w:val="22"/>
                <w:szCs w:val="22"/>
              </w:rPr>
            </w:pPr>
            <w:r>
              <w:rPr>
                <w:rFonts w:ascii="Arial" w:hAnsi="Arial" w:cs="Arial"/>
                <w:sz w:val="22"/>
                <w:szCs w:val="22"/>
              </w:rPr>
              <w:t>As soon as possible.</w:t>
            </w:r>
          </w:p>
        </w:tc>
        <w:tc>
          <w:tcPr>
            <w:tcW w:w="540" w:type="dxa"/>
          </w:tcPr>
          <w:p w14:paraId="7CC6DC31" w14:textId="2E9EFFF8" w:rsidR="00162E0C" w:rsidRPr="00FB2F3D" w:rsidRDefault="00B81749"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73FA48B9" w14:textId="77777777" w:rsidR="00162E0C" w:rsidRPr="00FB2F3D" w:rsidRDefault="00162E0C" w:rsidP="00FD2C3F">
            <w:pPr>
              <w:pStyle w:val="UK12Block"/>
              <w:jc w:val="left"/>
              <w:rPr>
                <w:rFonts w:ascii="Arial" w:hAnsi="Arial" w:cs="Arial"/>
                <w:sz w:val="22"/>
                <w:szCs w:val="22"/>
              </w:rPr>
            </w:pPr>
          </w:p>
        </w:tc>
        <w:tc>
          <w:tcPr>
            <w:tcW w:w="540" w:type="dxa"/>
          </w:tcPr>
          <w:p w14:paraId="63C4C409" w14:textId="77777777" w:rsidR="00162E0C" w:rsidRPr="00FB2F3D" w:rsidRDefault="00162E0C" w:rsidP="00FD2C3F">
            <w:pPr>
              <w:pStyle w:val="UK12Block"/>
              <w:jc w:val="left"/>
              <w:rPr>
                <w:rFonts w:ascii="Arial" w:hAnsi="Arial" w:cs="Arial"/>
                <w:sz w:val="22"/>
                <w:szCs w:val="22"/>
              </w:rPr>
            </w:pPr>
          </w:p>
        </w:tc>
        <w:tc>
          <w:tcPr>
            <w:tcW w:w="540" w:type="dxa"/>
          </w:tcPr>
          <w:p w14:paraId="0EA17D97" w14:textId="77777777" w:rsidR="00162E0C" w:rsidRPr="00FB2F3D" w:rsidRDefault="00162E0C" w:rsidP="00FD2C3F">
            <w:pPr>
              <w:pStyle w:val="UK12Block"/>
              <w:jc w:val="left"/>
              <w:rPr>
                <w:rFonts w:ascii="Arial" w:hAnsi="Arial" w:cs="Arial"/>
                <w:sz w:val="22"/>
                <w:szCs w:val="22"/>
              </w:rPr>
            </w:pPr>
          </w:p>
        </w:tc>
        <w:tc>
          <w:tcPr>
            <w:tcW w:w="540" w:type="dxa"/>
          </w:tcPr>
          <w:p w14:paraId="645BC80B" w14:textId="24CE8FDB" w:rsidR="00162E0C" w:rsidRPr="00FB2F3D" w:rsidRDefault="00B81749"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3016450F" w14:textId="77777777" w:rsidR="00162E0C" w:rsidRPr="00FB2F3D" w:rsidRDefault="00162E0C" w:rsidP="00FD2C3F">
            <w:pPr>
              <w:pStyle w:val="UK12Block"/>
              <w:jc w:val="left"/>
              <w:rPr>
                <w:rFonts w:ascii="Arial" w:hAnsi="Arial" w:cs="Arial"/>
                <w:sz w:val="22"/>
                <w:szCs w:val="22"/>
              </w:rPr>
            </w:pPr>
          </w:p>
        </w:tc>
        <w:tc>
          <w:tcPr>
            <w:tcW w:w="577" w:type="dxa"/>
          </w:tcPr>
          <w:p w14:paraId="61641BFA" w14:textId="77777777" w:rsidR="00162E0C" w:rsidRPr="00FB2F3D" w:rsidRDefault="00162E0C" w:rsidP="00FD2C3F">
            <w:pPr>
              <w:pStyle w:val="UK12Block"/>
              <w:jc w:val="left"/>
              <w:rPr>
                <w:rFonts w:ascii="Arial" w:hAnsi="Arial" w:cs="Arial"/>
                <w:sz w:val="22"/>
                <w:szCs w:val="22"/>
              </w:rPr>
            </w:pPr>
          </w:p>
        </w:tc>
      </w:tr>
      <w:tr w:rsidR="00162E0C" w:rsidRPr="00FB2F3D" w14:paraId="330A5282" w14:textId="77777777" w:rsidTr="00FD2C3F">
        <w:tc>
          <w:tcPr>
            <w:tcW w:w="647" w:type="dxa"/>
          </w:tcPr>
          <w:p w14:paraId="795F61DB" w14:textId="77777777" w:rsidR="00162E0C" w:rsidRPr="00FB2F3D" w:rsidRDefault="00162E0C" w:rsidP="00755725">
            <w:pPr>
              <w:pStyle w:val="UK12Block"/>
              <w:numPr>
                <w:ilvl w:val="0"/>
                <w:numId w:val="75"/>
              </w:numPr>
              <w:jc w:val="left"/>
              <w:rPr>
                <w:rFonts w:ascii="Arial" w:hAnsi="Arial" w:cs="Arial"/>
                <w:b/>
                <w:sz w:val="22"/>
                <w:szCs w:val="22"/>
              </w:rPr>
            </w:pPr>
          </w:p>
        </w:tc>
        <w:tc>
          <w:tcPr>
            <w:tcW w:w="3871" w:type="dxa"/>
          </w:tcPr>
          <w:p w14:paraId="5B3A0851"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t xml:space="preserve">Changes to rights attaching to Listed </w:t>
            </w:r>
            <w:r w:rsidR="004B46BD" w:rsidRPr="00FB2F3D">
              <w:rPr>
                <w:rFonts w:ascii="Arial" w:hAnsi="Arial" w:cs="Arial"/>
                <w:sz w:val="22"/>
                <w:szCs w:val="22"/>
              </w:rPr>
              <w:t>Securities</w:t>
            </w:r>
            <w:r w:rsidRPr="00FB2F3D">
              <w:rPr>
                <w:rFonts w:ascii="Arial" w:hAnsi="Arial" w:cs="Arial"/>
                <w:sz w:val="22"/>
                <w:szCs w:val="22"/>
              </w:rPr>
              <w:t xml:space="preserve"> or other </w:t>
            </w:r>
            <w:r w:rsidR="004B46BD" w:rsidRPr="00FB2F3D">
              <w:rPr>
                <w:rFonts w:ascii="Arial" w:hAnsi="Arial" w:cs="Arial"/>
                <w:sz w:val="22"/>
                <w:szCs w:val="22"/>
              </w:rPr>
              <w:t>Securities</w:t>
            </w:r>
            <w:r w:rsidRPr="00FB2F3D">
              <w:rPr>
                <w:rFonts w:ascii="Arial" w:hAnsi="Arial" w:cs="Arial"/>
                <w:sz w:val="22"/>
                <w:szCs w:val="22"/>
              </w:rPr>
              <w:t xml:space="preserve"> into which they convert.</w:t>
            </w:r>
          </w:p>
        </w:tc>
        <w:tc>
          <w:tcPr>
            <w:tcW w:w="3510" w:type="dxa"/>
          </w:tcPr>
          <w:p w14:paraId="5C5DEBB5" w14:textId="57EDAB33" w:rsidR="00162E0C" w:rsidRPr="00FB2F3D" w:rsidRDefault="00B81749" w:rsidP="00FD2C3F">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 xml:space="preserve">isclosure of: </w:t>
            </w:r>
          </w:p>
          <w:p w14:paraId="1A286841" w14:textId="77777777" w:rsidR="004079C1" w:rsidRPr="00FB2F3D" w:rsidRDefault="00162E0C" w:rsidP="00755725">
            <w:pPr>
              <w:pStyle w:val="UK12Block"/>
              <w:numPr>
                <w:ilvl w:val="0"/>
                <w:numId w:val="78"/>
              </w:numPr>
              <w:jc w:val="left"/>
              <w:rPr>
                <w:rFonts w:ascii="Arial" w:hAnsi="Arial" w:cs="Arial"/>
                <w:sz w:val="22"/>
                <w:szCs w:val="22"/>
              </w:rPr>
            </w:pPr>
            <w:r w:rsidRPr="00FB2F3D">
              <w:rPr>
                <w:rFonts w:ascii="Arial" w:hAnsi="Arial" w:cs="Arial"/>
                <w:sz w:val="22"/>
                <w:szCs w:val="22"/>
              </w:rPr>
              <w:t xml:space="preserve">the class of </w:t>
            </w:r>
            <w:r w:rsidR="004B46BD" w:rsidRPr="00FB2F3D">
              <w:rPr>
                <w:rFonts w:ascii="Arial" w:hAnsi="Arial" w:cs="Arial"/>
                <w:sz w:val="22"/>
                <w:szCs w:val="22"/>
              </w:rPr>
              <w:t>Securities</w:t>
            </w:r>
            <w:r w:rsidRPr="00FB2F3D">
              <w:rPr>
                <w:rFonts w:ascii="Arial" w:hAnsi="Arial" w:cs="Arial"/>
                <w:sz w:val="22"/>
                <w:szCs w:val="22"/>
              </w:rPr>
              <w:t xml:space="preserve"> to which the changes apply;</w:t>
            </w:r>
          </w:p>
          <w:p w14:paraId="1B3455DD" w14:textId="77777777" w:rsidR="004079C1" w:rsidRPr="00FB2F3D" w:rsidRDefault="00162E0C" w:rsidP="00755725">
            <w:pPr>
              <w:pStyle w:val="UK12Block"/>
              <w:numPr>
                <w:ilvl w:val="0"/>
                <w:numId w:val="78"/>
              </w:numPr>
              <w:jc w:val="left"/>
              <w:rPr>
                <w:rFonts w:ascii="Arial" w:hAnsi="Arial" w:cs="Arial"/>
                <w:sz w:val="22"/>
                <w:szCs w:val="22"/>
              </w:rPr>
            </w:pPr>
            <w:r w:rsidRPr="00FB2F3D">
              <w:rPr>
                <w:rFonts w:ascii="Arial" w:hAnsi="Arial" w:cs="Arial"/>
                <w:sz w:val="22"/>
                <w:szCs w:val="22"/>
              </w:rPr>
              <w:t>the date on which the changes become effective;</w:t>
            </w:r>
          </w:p>
          <w:p w14:paraId="41CEC75E" w14:textId="77777777" w:rsidR="004079C1" w:rsidRPr="00FB2F3D" w:rsidRDefault="00162E0C" w:rsidP="00755725">
            <w:pPr>
              <w:pStyle w:val="UK12Block"/>
              <w:numPr>
                <w:ilvl w:val="0"/>
                <w:numId w:val="78"/>
              </w:numPr>
              <w:jc w:val="left"/>
              <w:rPr>
                <w:rFonts w:ascii="Arial" w:hAnsi="Arial" w:cs="Arial"/>
                <w:sz w:val="22"/>
                <w:szCs w:val="22"/>
              </w:rPr>
            </w:pPr>
            <w:r w:rsidRPr="00FB2F3D">
              <w:rPr>
                <w:rFonts w:ascii="Arial" w:hAnsi="Arial" w:cs="Arial"/>
                <w:sz w:val="22"/>
                <w:szCs w:val="22"/>
              </w:rPr>
              <w:t xml:space="preserve">confirmation that consent of the holders of the </w:t>
            </w:r>
            <w:r w:rsidR="004B46BD" w:rsidRPr="00FB2F3D">
              <w:rPr>
                <w:rFonts w:ascii="Arial" w:hAnsi="Arial" w:cs="Arial"/>
                <w:sz w:val="22"/>
                <w:szCs w:val="22"/>
              </w:rPr>
              <w:t>Securities</w:t>
            </w:r>
            <w:r w:rsidRPr="00FB2F3D">
              <w:rPr>
                <w:rFonts w:ascii="Arial" w:hAnsi="Arial" w:cs="Arial"/>
                <w:sz w:val="22"/>
                <w:szCs w:val="22"/>
              </w:rPr>
              <w:t xml:space="preserve"> (and any other holders of </w:t>
            </w:r>
            <w:r w:rsidR="00706804" w:rsidRPr="00FB2F3D">
              <w:rPr>
                <w:rFonts w:ascii="Arial" w:hAnsi="Arial" w:cs="Arial"/>
                <w:sz w:val="22"/>
                <w:szCs w:val="22"/>
              </w:rPr>
              <w:t xml:space="preserve">Relevant </w:t>
            </w:r>
            <w:r w:rsidR="004B46BD" w:rsidRPr="00FB2F3D">
              <w:rPr>
                <w:rFonts w:ascii="Arial" w:hAnsi="Arial" w:cs="Arial"/>
                <w:sz w:val="22"/>
                <w:szCs w:val="22"/>
              </w:rPr>
              <w:t>Securities</w:t>
            </w:r>
            <w:r w:rsidRPr="00FB2F3D">
              <w:rPr>
                <w:rFonts w:ascii="Arial" w:hAnsi="Arial" w:cs="Arial"/>
                <w:sz w:val="22"/>
                <w:szCs w:val="22"/>
              </w:rPr>
              <w:t xml:space="preserve">) has been obtained and the date that </w:t>
            </w:r>
            <w:r w:rsidRPr="00FB2F3D">
              <w:rPr>
                <w:rFonts w:ascii="Arial" w:hAnsi="Arial" w:cs="Arial"/>
                <w:sz w:val="22"/>
                <w:szCs w:val="22"/>
              </w:rPr>
              <w:lastRenderedPageBreak/>
              <w:t>such consent was obtained); and</w:t>
            </w:r>
          </w:p>
          <w:p w14:paraId="34C330F3" w14:textId="77777777" w:rsidR="00162E0C" w:rsidRPr="00FB2F3D" w:rsidRDefault="00162E0C" w:rsidP="00755725">
            <w:pPr>
              <w:pStyle w:val="UK12Block"/>
              <w:numPr>
                <w:ilvl w:val="0"/>
                <w:numId w:val="78"/>
              </w:numPr>
              <w:jc w:val="left"/>
              <w:rPr>
                <w:rFonts w:ascii="Arial" w:hAnsi="Arial" w:cs="Arial"/>
                <w:sz w:val="22"/>
                <w:szCs w:val="22"/>
              </w:rPr>
            </w:pPr>
            <w:r w:rsidRPr="00FB2F3D">
              <w:rPr>
                <w:rFonts w:ascii="Arial" w:hAnsi="Arial" w:cs="Arial"/>
                <w:sz w:val="22"/>
                <w:szCs w:val="22"/>
              </w:rPr>
              <w:t>a summary of the changes.</w:t>
            </w:r>
          </w:p>
        </w:tc>
        <w:tc>
          <w:tcPr>
            <w:tcW w:w="2340" w:type="dxa"/>
          </w:tcPr>
          <w:p w14:paraId="3F399EE9"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lastRenderedPageBreak/>
              <w:t>As soon as possible.</w:t>
            </w:r>
          </w:p>
        </w:tc>
        <w:tc>
          <w:tcPr>
            <w:tcW w:w="540" w:type="dxa"/>
          </w:tcPr>
          <w:p w14:paraId="2092392C"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24A80F5F"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5E6286CD"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04DA57C5"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4765C641"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26739377"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77" w:type="dxa"/>
          </w:tcPr>
          <w:p w14:paraId="3AED0CA1"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r>
      <w:tr w:rsidR="00162E0C" w:rsidRPr="00FB2F3D" w14:paraId="6C446074" w14:textId="77777777" w:rsidTr="00FD2C3F">
        <w:tc>
          <w:tcPr>
            <w:tcW w:w="647" w:type="dxa"/>
          </w:tcPr>
          <w:p w14:paraId="2E0C0CC9" w14:textId="77777777" w:rsidR="00162E0C" w:rsidRPr="00FB2F3D" w:rsidRDefault="00162E0C" w:rsidP="00755725">
            <w:pPr>
              <w:pStyle w:val="UK12Block"/>
              <w:numPr>
                <w:ilvl w:val="0"/>
                <w:numId w:val="75"/>
              </w:numPr>
              <w:jc w:val="left"/>
              <w:rPr>
                <w:rFonts w:ascii="Arial" w:hAnsi="Arial" w:cs="Arial"/>
                <w:b/>
                <w:sz w:val="22"/>
                <w:szCs w:val="22"/>
              </w:rPr>
            </w:pPr>
          </w:p>
        </w:tc>
        <w:tc>
          <w:tcPr>
            <w:tcW w:w="3871" w:type="dxa"/>
          </w:tcPr>
          <w:p w14:paraId="1F534068"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t>Any decision made in regard to:</w:t>
            </w:r>
          </w:p>
          <w:p w14:paraId="57DA90E6" w14:textId="77777777" w:rsidR="00162E0C" w:rsidRPr="00FB2F3D" w:rsidRDefault="00162E0C" w:rsidP="00755725">
            <w:pPr>
              <w:pStyle w:val="UK12Block"/>
              <w:numPr>
                <w:ilvl w:val="0"/>
                <w:numId w:val="79"/>
              </w:numPr>
              <w:jc w:val="left"/>
              <w:rPr>
                <w:rFonts w:ascii="Arial" w:hAnsi="Arial" w:cs="Arial"/>
                <w:sz w:val="22"/>
                <w:szCs w:val="22"/>
              </w:rPr>
            </w:pPr>
            <w:r w:rsidRPr="00FB2F3D">
              <w:rPr>
                <w:rFonts w:ascii="Arial" w:hAnsi="Arial" w:cs="Arial"/>
                <w:sz w:val="22"/>
                <w:szCs w:val="22"/>
              </w:rPr>
              <w:t xml:space="preserve">any change in the structure of the Listed </w:t>
            </w:r>
            <w:r w:rsidR="004B46BD" w:rsidRPr="00FB2F3D">
              <w:rPr>
                <w:rFonts w:ascii="Arial" w:hAnsi="Arial" w:cs="Arial"/>
                <w:sz w:val="22"/>
                <w:szCs w:val="22"/>
              </w:rPr>
              <w:t>Securities</w:t>
            </w:r>
            <w:r w:rsidRPr="00FB2F3D">
              <w:rPr>
                <w:rFonts w:ascii="Arial" w:hAnsi="Arial" w:cs="Arial"/>
                <w:sz w:val="22"/>
                <w:szCs w:val="22"/>
              </w:rPr>
              <w:t>;</w:t>
            </w:r>
          </w:p>
        </w:tc>
        <w:tc>
          <w:tcPr>
            <w:tcW w:w="3510" w:type="dxa"/>
          </w:tcPr>
          <w:p w14:paraId="76F5AD74" w14:textId="1611A32C" w:rsidR="00162E0C" w:rsidRPr="00FB2F3D" w:rsidRDefault="00B81749" w:rsidP="00FD2C3F">
            <w:pPr>
              <w:pStyle w:val="UK12Block"/>
              <w:jc w:val="left"/>
              <w:rPr>
                <w:rFonts w:ascii="Arial" w:hAnsi="Arial" w:cs="Arial"/>
                <w:sz w:val="22"/>
                <w:szCs w:val="22"/>
              </w:rPr>
            </w:pPr>
            <w:r>
              <w:rPr>
                <w:rFonts w:ascii="Arial" w:hAnsi="Arial" w:cs="Arial"/>
                <w:sz w:val="22"/>
                <w:szCs w:val="22"/>
              </w:rPr>
              <w:t>D</w:t>
            </w:r>
            <w:r w:rsidR="00162E0C" w:rsidRPr="00FB2F3D">
              <w:rPr>
                <w:rFonts w:ascii="Arial" w:hAnsi="Arial" w:cs="Arial"/>
                <w:sz w:val="22"/>
                <w:szCs w:val="22"/>
              </w:rPr>
              <w:t>isclosure.</w:t>
            </w:r>
          </w:p>
        </w:tc>
        <w:tc>
          <w:tcPr>
            <w:tcW w:w="2340" w:type="dxa"/>
          </w:tcPr>
          <w:p w14:paraId="4A0C3C8B"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t>As soon as possible.</w:t>
            </w:r>
          </w:p>
        </w:tc>
        <w:tc>
          <w:tcPr>
            <w:tcW w:w="540" w:type="dxa"/>
          </w:tcPr>
          <w:p w14:paraId="527B6EA5"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64509B16" w14:textId="77777777" w:rsidR="00162E0C" w:rsidRPr="00FB2F3D" w:rsidRDefault="00162E0C" w:rsidP="00FD2C3F">
            <w:pPr>
              <w:pStyle w:val="UK12Block"/>
              <w:jc w:val="left"/>
              <w:rPr>
                <w:rFonts w:ascii="Arial" w:hAnsi="Arial" w:cs="Arial"/>
                <w:sz w:val="22"/>
                <w:szCs w:val="22"/>
              </w:rPr>
            </w:pPr>
          </w:p>
        </w:tc>
        <w:tc>
          <w:tcPr>
            <w:tcW w:w="540" w:type="dxa"/>
          </w:tcPr>
          <w:p w14:paraId="035A9175" w14:textId="77777777" w:rsidR="00162E0C" w:rsidRPr="00FB2F3D" w:rsidRDefault="00162E0C" w:rsidP="00FD2C3F">
            <w:pPr>
              <w:pStyle w:val="UK12Block"/>
              <w:jc w:val="left"/>
              <w:rPr>
                <w:rFonts w:ascii="Arial" w:hAnsi="Arial" w:cs="Arial"/>
                <w:sz w:val="22"/>
                <w:szCs w:val="22"/>
              </w:rPr>
            </w:pPr>
          </w:p>
        </w:tc>
        <w:tc>
          <w:tcPr>
            <w:tcW w:w="540" w:type="dxa"/>
          </w:tcPr>
          <w:p w14:paraId="448AEFA6" w14:textId="77777777" w:rsidR="00162E0C" w:rsidRPr="00FB2F3D" w:rsidRDefault="00162E0C" w:rsidP="00FD2C3F">
            <w:pPr>
              <w:pStyle w:val="UK12Block"/>
              <w:jc w:val="left"/>
              <w:rPr>
                <w:rFonts w:ascii="Arial" w:hAnsi="Arial" w:cs="Arial"/>
                <w:sz w:val="22"/>
                <w:szCs w:val="22"/>
              </w:rPr>
            </w:pPr>
          </w:p>
        </w:tc>
        <w:tc>
          <w:tcPr>
            <w:tcW w:w="540" w:type="dxa"/>
          </w:tcPr>
          <w:p w14:paraId="21188B59" w14:textId="77777777" w:rsidR="00162E0C" w:rsidRPr="00FB2F3D" w:rsidRDefault="00162E0C" w:rsidP="00FD2C3F">
            <w:pPr>
              <w:pStyle w:val="UK12Block"/>
              <w:jc w:val="left"/>
              <w:rPr>
                <w:rFonts w:ascii="Arial" w:hAnsi="Arial" w:cs="Arial"/>
                <w:sz w:val="22"/>
                <w:szCs w:val="22"/>
              </w:rPr>
            </w:pPr>
          </w:p>
        </w:tc>
        <w:tc>
          <w:tcPr>
            <w:tcW w:w="540" w:type="dxa"/>
          </w:tcPr>
          <w:p w14:paraId="45A69938" w14:textId="77777777" w:rsidR="00162E0C" w:rsidRPr="00FB2F3D" w:rsidRDefault="00162E0C" w:rsidP="00FD2C3F">
            <w:pPr>
              <w:pStyle w:val="UK12Block"/>
              <w:jc w:val="left"/>
              <w:rPr>
                <w:rFonts w:ascii="Arial" w:hAnsi="Arial" w:cs="Arial"/>
                <w:sz w:val="22"/>
                <w:szCs w:val="22"/>
              </w:rPr>
            </w:pPr>
          </w:p>
        </w:tc>
        <w:tc>
          <w:tcPr>
            <w:tcW w:w="577" w:type="dxa"/>
          </w:tcPr>
          <w:p w14:paraId="2350C28D" w14:textId="77777777" w:rsidR="00162E0C" w:rsidRPr="00FB2F3D" w:rsidRDefault="00162E0C" w:rsidP="00FD2C3F">
            <w:pPr>
              <w:pStyle w:val="UK12Block"/>
              <w:jc w:val="left"/>
              <w:rPr>
                <w:rFonts w:ascii="Arial" w:hAnsi="Arial" w:cs="Arial"/>
                <w:sz w:val="22"/>
                <w:szCs w:val="22"/>
              </w:rPr>
            </w:pPr>
          </w:p>
        </w:tc>
      </w:tr>
      <w:tr w:rsidR="00162E0C" w:rsidRPr="00FB2F3D" w14:paraId="34A41C6D" w14:textId="77777777" w:rsidTr="00FD2C3F">
        <w:tc>
          <w:tcPr>
            <w:tcW w:w="647" w:type="dxa"/>
          </w:tcPr>
          <w:p w14:paraId="16353C0D" w14:textId="77777777" w:rsidR="00162E0C" w:rsidRPr="00FB2F3D" w:rsidRDefault="00162E0C" w:rsidP="00FD2C3F">
            <w:pPr>
              <w:pStyle w:val="UK12Block"/>
              <w:jc w:val="left"/>
              <w:rPr>
                <w:rFonts w:ascii="Arial" w:hAnsi="Arial" w:cs="Arial"/>
                <w:sz w:val="22"/>
                <w:szCs w:val="22"/>
              </w:rPr>
            </w:pPr>
          </w:p>
        </w:tc>
        <w:tc>
          <w:tcPr>
            <w:tcW w:w="3871" w:type="dxa"/>
          </w:tcPr>
          <w:p w14:paraId="134D8695" w14:textId="77777777" w:rsidR="00162E0C" w:rsidRPr="00FB2F3D" w:rsidRDefault="00162E0C" w:rsidP="00755725">
            <w:pPr>
              <w:pStyle w:val="UK12Block"/>
              <w:numPr>
                <w:ilvl w:val="0"/>
                <w:numId w:val="79"/>
              </w:numPr>
              <w:jc w:val="left"/>
              <w:rPr>
                <w:rFonts w:ascii="Arial" w:hAnsi="Arial" w:cs="Arial"/>
                <w:sz w:val="22"/>
                <w:szCs w:val="22"/>
              </w:rPr>
            </w:pPr>
            <w:r w:rsidRPr="00FB2F3D">
              <w:rPr>
                <w:rFonts w:ascii="Arial" w:hAnsi="Arial" w:cs="Arial"/>
                <w:sz w:val="22"/>
                <w:szCs w:val="22"/>
              </w:rPr>
              <w:t xml:space="preserve">any change in the index to which any Listed </w:t>
            </w:r>
            <w:r w:rsidR="004B46BD" w:rsidRPr="00FB2F3D">
              <w:rPr>
                <w:rFonts w:ascii="Arial" w:hAnsi="Arial" w:cs="Arial"/>
                <w:sz w:val="22"/>
                <w:szCs w:val="22"/>
              </w:rPr>
              <w:t>Securities</w:t>
            </w:r>
            <w:r w:rsidRPr="00FB2F3D">
              <w:rPr>
                <w:rFonts w:ascii="Arial" w:hAnsi="Arial" w:cs="Arial"/>
                <w:sz w:val="22"/>
                <w:szCs w:val="22"/>
              </w:rPr>
              <w:t xml:space="preserve"> are linked (including any changes in the constituent elements of the index or basket of </w:t>
            </w:r>
            <w:r w:rsidR="004B46BD" w:rsidRPr="00FB2F3D">
              <w:rPr>
                <w:rFonts w:ascii="Arial" w:hAnsi="Arial" w:cs="Arial"/>
                <w:sz w:val="22"/>
                <w:szCs w:val="22"/>
              </w:rPr>
              <w:t>Securities</w:t>
            </w:r>
            <w:r w:rsidRPr="00FB2F3D">
              <w:rPr>
                <w:rFonts w:ascii="Arial" w:hAnsi="Arial" w:cs="Arial"/>
                <w:sz w:val="22"/>
                <w:szCs w:val="22"/>
              </w:rPr>
              <w:t xml:space="preserve"> or the way in which the index is calculated or in the frequency of calculation of the index or the entity that is responsible for calculating and disseminating information with respect to the index);</w:t>
            </w:r>
          </w:p>
        </w:tc>
        <w:tc>
          <w:tcPr>
            <w:tcW w:w="3510" w:type="dxa"/>
          </w:tcPr>
          <w:p w14:paraId="2030BD06" w14:textId="77777777" w:rsidR="00162E0C" w:rsidRPr="00FB2F3D" w:rsidRDefault="00162E0C" w:rsidP="00FD2C3F">
            <w:pPr>
              <w:pStyle w:val="UK12Block"/>
              <w:jc w:val="left"/>
              <w:rPr>
                <w:rFonts w:ascii="Arial" w:hAnsi="Arial" w:cs="Arial"/>
                <w:sz w:val="22"/>
                <w:szCs w:val="22"/>
              </w:rPr>
            </w:pPr>
          </w:p>
        </w:tc>
        <w:tc>
          <w:tcPr>
            <w:tcW w:w="2340" w:type="dxa"/>
          </w:tcPr>
          <w:p w14:paraId="08D0602E" w14:textId="77777777" w:rsidR="00162E0C" w:rsidRPr="00FB2F3D" w:rsidRDefault="00162E0C" w:rsidP="00FD2C3F">
            <w:pPr>
              <w:pStyle w:val="UK12Block"/>
              <w:jc w:val="left"/>
              <w:rPr>
                <w:rFonts w:ascii="Arial" w:hAnsi="Arial" w:cs="Arial"/>
                <w:sz w:val="22"/>
                <w:szCs w:val="22"/>
              </w:rPr>
            </w:pPr>
          </w:p>
        </w:tc>
        <w:tc>
          <w:tcPr>
            <w:tcW w:w="540" w:type="dxa"/>
          </w:tcPr>
          <w:p w14:paraId="3D0685C0"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3E45E3B4" w14:textId="77777777" w:rsidR="00162E0C" w:rsidRPr="00FB2F3D" w:rsidRDefault="00162E0C" w:rsidP="00FD2C3F">
            <w:pPr>
              <w:pStyle w:val="UK12Block"/>
              <w:jc w:val="left"/>
              <w:rPr>
                <w:rFonts w:ascii="Arial" w:hAnsi="Arial" w:cs="Arial"/>
                <w:sz w:val="22"/>
                <w:szCs w:val="22"/>
              </w:rPr>
            </w:pPr>
          </w:p>
        </w:tc>
        <w:tc>
          <w:tcPr>
            <w:tcW w:w="540" w:type="dxa"/>
          </w:tcPr>
          <w:p w14:paraId="1A3D38C6" w14:textId="77777777" w:rsidR="00162E0C" w:rsidRPr="00FB2F3D" w:rsidRDefault="00162E0C" w:rsidP="00FD2C3F">
            <w:pPr>
              <w:pStyle w:val="UK12Block"/>
              <w:jc w:val="left"/>
              <w:rPr>
                <w:rFonts w:ascii="Arial" w:hAnsi="Arial" w:cs="Arial"/>
                <w:sz w:val="22"/>
                <w:szCs w:val="22"/>
              </w:rPr>
            </w:pPr>
          </w:p>
        </w:tc>
        <w:tc>
          <w:tcPr>
            <w:tcW w:w="540" w:type="dxa"/>
          </w:tcPr>
          <w:p w14:paraId="39B7C93D" w14:textId="77777777" w:rsidR="00162E0C" w:rsidRPr="00FB2F3D" w:rsidRDefault="00162E0C" w:rsidP="00FD2C3F">
            <w:pPr>
              <w:pStyle w:val="UK12Block"/>
              <w:jc w:val="left"/>
              <w:rPr>
                <w:rFonts w:ascii="Arial" w:hAnsi="Arial" w:cs="Arial"/>
                <w:sz w:val="22"/>
                <w:szCs w:val="22"/>
              </w:rPr>
            </w:pPr>
          </w:p>
        </w:tc>
        <w:tc>
          <w:tcPr>
            <w:tcW w:w="540" w:type="dxa"/>
          </w:tcPr>
          <w:p w14:paraId="5AB003AC" w14:textId="77777777" w:rsidR="00162E0C" w:rsidRPr="00FB2F3D" w:rsidRDefault="00162E0C" w:rsidP="00FD2C3F">
            <w:pPr>
              <w:pStyle w:val="UK12Block"/>
              <w:jc w:val="left"/>
              <w:rPr>
                <w:rFonts w:ascii="Arial" w:hAnsi="Arial" w:cs="Arial"/>
                <w:sz w:val="22"/>
                <w:szCs w:val="22"/>
              </w:rPr>
            </w:pPr>
          </w:p>
        </w:tc>
        <w:tc>
          <w:tcPr>
            <w:tcW w:w="540" w:type="dxa"/>
          </w:tcPr>
          <w:p w14:paraId="2D89C782" w14:textId="77777777" w:rsidR="00162E0C" w:rsidRPr="00FB2F3D" w:rsidRDefault="00162E0C" w:rsidP="00FD2C3F">
            <w:pPr>
              <w:pStyle w:val="UK12Block"/>
              <w:jc w:val="left"/>
              <w:rPr>
                <w:rFonts w:ascii="Arial" w:hAnsi="Arial" w:cs="Arial"/>
                <w:sz w:val="22"/>
                <w:szCs w:val="22"/>
              </w:rPr>
            </w:pPr>
          </w:p>
        </w:tc>
        <w:tc>
          <w:tcPr>
            <w:tcW w:w="577" w:type="dxa"/>
          </w:tcPr>
          <w:p w14:paraId="19B7A0E4" w14:textId="77777777" w:rsidR="00162E0C" w:rsidRPr="00FB2F3D" w:rsidRDefault="00162E0C" w:rsidP="00FD2C3F">
            <w:pPr>
              <w:pStyle w:val="UK12Block"/>
              <w:jc w:val="left"/>
              <w:rPr>
                <w:rFonts w:ascii="Arial" w:hAnsi="Arial" w:cs="Arial"/>
                <w:sz w:val="22"/>
                <w:szCs w:val="22"/>
              </w:rPr>
            </w:pPr>
          </w:p>
        </w:tc>
      </w:tr>
      <w:tr w:rsidR="00162E0C" w:rsidRPr="00FB2F3D" w14:paraId="0DA9D50E" w14:textId="77777777" w:rsidTr="00FD2C3F">
        <w:tc>
          <w:tcPr>
            <w:tcW w:w="647" w:type="dxa"/>
          </w:tcPr>
          <w:p w14:paraId="16E35406" w14:textId="77777777" w:rsidR="00162E0C" w:rsidRPr="00FB2F3D" w:rsidRDefault="00162E0C" w:rsidP="00FD2C3F">
            <w:pPr>
              <w:pStyle w:val="UK12Block"/>
              <w:jc w:val="left"/>
              <w:rPr>
                <w:rFonts w:ascii="Arial" w:hAnsi="Arial" w:cs="Arial"/>
                <w:sz w:val="22"/>
                <w:szCs w:val="22"/>
              </w:rPr>
            </w:pPr>
          </w:p>
        </w:tc>
        <w:tc>
          <w:tcPr>
            <w:tcW w:w="3871" w:type="dxa"/>
          </w:tcPr>
          <w:p w14:paraId="2A1B162A" w14:textId="77777777" w:rsidR="00162E0C" w:rsidRPr="00FB2F3D" w:rsidRDefault="00162E0C" w:rsidP="00755725">
            <w:pPr>
              <w:pStyle w:val="UK12Block"/>
              <w:numPr>
                <w:ilvl w:val="0"/>
                <w:numId w:val="79"/>
              </w:numPr>
              <w:jc w:val="left"/>
              <w:rPr>
                <w:rFonts w:ascii="Arial" w:hAnsi="Arial" w:cs="Arial"/>
                <w:sz w:val="22"/>
                <w:szCs w:val="22"/>
              </w:rPr>
            </w:pPr>
            <w:r w:rsidRPr="00FB2F3D">
              <w:rPr>
                <w:rFonts w:ascii="Arial" w:hAnsi="Arial" w:cs="Arial"/>
                <w:sz w:val="22"/>
                <w:szCs w:val="22"/>
              </w:rPr>
              <w:t>any changes in the trustee or custodian(where relevant);</w:t>
            </w:r>
          </w:p>
        </w:tc>
        <w:tc>
          <w:tcPr>
            <w:tcW w:w="3510" w:type="dxa"/>
          </w:tcPr>
          <w:p w14:paraId="6C2E14A2" w14:textId="77777777" w:rsidR="00162E0C" w:rsidRPr="00FB2F3D" w:rsidRDefault="00162E0C" w:rsidP="00FD2C3F">
            <w:pPr>
              <w:pStyle w:val="UK12Block"/>
              <w:jc w:val="left"/>
              <w:rPr>
                <w:rFonts w:ascii="Arial" w:hAnsi="Arial" w:cs="Arial"/>
                <w:sz w:val="22"/>
                <w:szCs w:val="22"/>
              </w:rPr>
            </w:pPr>
          </w:p>
        </w:tc>
        <w:tc>
          <w:tcPr>
            <w:tcW w:w="2340" w:type="dxa"/>
          </w:tcPr>
          <w:p w14:paraId="3EDA80B7" w14:textId="77777777" w:rsidR="00162E0C" w:rsidRPr="00FB2F3D" w:rsidRDefault="00162E0C" w:rsidP="00FD2C3F">
            <w:pPr>
              <w:pStyle w:val="UK12Block"/>
              <w:jc w:val="left"/>
              <w:rPr>
                <w:rFonts w:ascii="Arial" w:hAnsi="Arial" w:cs="Arial"/>
                <w:sz w:val="22"/>
                <w:szCs w:val="22"/>
              </w:rPr>
            </w:pPr>
          </w:p>
        </w:tc>
        <w:tc>
          <w:tcPr>
            <w:tcW w:w="540" w:type="dxa"/>
          </w:tcPr>
          <w:p w14:paraId="5F88BBAE"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1B94DBD4" w14:textId="77777777" w:rsidR="00162E0C" w:rsidRPr="00FB2F3D" w:rsidRDefault="00162E0C" w:rsidP="00FD2C3F">
            <w:pPr>
              <w:pStyle w:val="UK12Block"/>
              <w:jc w:val="left"/>
              <w:rPr>
                <w:rFonts w:ascii="Arial" w:hAnsi="Arial" w:cs="Arial"/>
                <w:sz w:val="22"/>
                <w:szCs w:val="22"/>
              </w:rPr>
            </w:pPr>
          </w:p>
        </w:tc>
        <w:tc>
          <w:tcPr>
            <w:tcW w:w="540" w:type="dxa"/>
          </w:tcPr>
          <w:p w14:paraId="38C210C9" w14:textId="77777777" w:rsidR="00162E0C" w:rsidRPr="00FB2F3D" w:rsidRDefault="00162E0C" w:rsidP="00FD2C3F">
            <w:pPr>
              <w:pStyle w:val="UK12Block"/>
              <w:jc w:val="left"/>
              <w:rPr>
                <w:rFonts w:ascii="Arial" w:hAnsi="Arial" w:cs="Arial"/>
                <w:sz w:val="22"/>
                <w:szCs w:val="22"/>
              </w:rPr>
            </w:pPr>
          </w:p>
        </w:tc>
        <w:tc>
          <w:tcPr>
            <w:tcW w:w="540" w:type="dxa"/>
          </w:tcPr>
          <w:p w14:paraId="080AAE6A"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1CD1BF40"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35A2AA34"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77" w:type="dxa"/>
          </w:tcPr>
          <w:p w14:paraId="3C687052"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r>
      <w:tr w:rsidR="00162E0C" w:rsidRPr="00FB2F3D" w14:paraId="0824178E" w14:textId="77777777" w:rsidTr="00FD2C3F">
        <w:tc>
          <w:tcPr>
            <w:tcW w:w="647" w:type="dxa"/>
          </w:tcPr>
          <w:p w14:paraId="475F36B4" w14:textId="77777777" w:rsidR="00162E0C" w:rsidRPr="00FB2F3D" w:rsidRDefault="00162E0C" w:rsidP="00FD2C3F">
            <w:pPr>
              <w:pStyle w:val="UK12Block"/>
              <w:jc w:val="left"/>
              <w:rPr>
                <w:rFonts w:ascii="Arial" w:hAnsi="Arial" w:cs="Arial"/>
                <w:sz w:val="22"/>
                <w:szCs w:val="22"/>
              </w:rPr>
            </w:pPr>
          </w:p>
        </w:tc>
        <w:tc>
          <w:tcPr>
            <w:tcW w:w="3871" w:type="dxa"/>
          </w:tcPr>
          <w:p w14:paraId="2AC26F35" w14:textId="77777777" w:rsidR="00162E0C" w:rsidRPr="00FB2F3D" w:rsidRDefault="00162E0C" w:rsidP="00755725">
            <w:pPr>
              <w:pStyle w:val="UK12Block"/>
              <w:numPr>
                <w:ilvl w:val="0"/>
                <w:numId w:val="79"/>
              </w:numPr>
              <w:jc w:val="left"/>
              <w:rPr>
                <w:rFonts w:ascii="Arial" w:hAnsi="Arial" w:cs="Arial"/>
                <w:sz w:val="22"/>
                <w:szCs w:val="22"/>
              </w:rPr>
            </w:pPr>
            <w:r w:rsidRPr="00FB2F3D">
              <w:rPr>
                <w:rFonts w:ascii="Arial" w:hAnsi="Arial" w:cs="Arial"/>
                <w:sz w:val="22"/>
                <w:szCs w:val="22"/>
              </w:rPr>
              <w:t>any change in the status of the product for taxation purposes;</w:t>
            </w:r>
          </w:p>
        </w:tc>
        <w:tc>
          <w:tcPr>
            <w:tcW w:w="3510" w:type="dxa"/>
          </w:tcPr>
          <w:p w14:paraId="0031199A" w14:textId="77777777" w:rsidR="00162E0C" w:rsidRPr="00FB2F3D" w:rsidRDefault="00162E0C" w:rsidP="00FD2C3F">
            <w:pPr>
              <w:pStyle w:val="UK12Block"/>
              <w:jc w:val="left"/>
              <w:rPr>
                <w:rFonts w:ascii="Arial" w:hAnsi="Arial" w:cs="Arial"/>
                <w:sz w:val="22"/>
                <w:szCs w:val="22"/>
              </w:rPr>
            </w:pPr>
          </w:p>
        </w:tc>
        <w:tc>
          <w:tcPr>
            <w:tcW w:w="2340" w:type="dxa"/>
          </w:tcPr>
          <w:p w14:paraId="76AFD826" w14:textId="77777777" w:rsidR="00162E0C" w:rsidRPr="00FB2F3D" w:rsidRDefault="00162E0C" w:rsidP="00FD2C3F">
            <w:pPr>
              <w:pStyle w:val="UK12Block"/>
              <w:jc w:val="left"/>
              <w:rPr>
                <w:rFonts w:ascii="Arial" w:hAnsi="Arial" w:cs="Arial"/>
                <w:sz w:val="22"/>
                <w:szCs w:val="22"/>
              </w:rPr>
            </w:pPr>
          </w:p>
        </w:tc>
        <w:tc>
          <w:tcPr>
            <w:tcW w:w="540" w:type="dxa"/>
          </w:tcPr>
          <w:p w14:paraId="53041447"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5E8AD45D" w14:textId="77777777" w:rsidR="00162E0C" w:rsidRPr="00FB2F3D" w:rsidRDefault="00162E0C" w:rsidP="00FD2C3F">
            <w:pPr>
              <w:pStyle w:val="UK12Block"/>
              <w:jc w:val="left"/>
              <w:rPr>
                <w:rFonts w:ascii="Arial" w:hAnsi="Arial" w:cs="Arial"/>
                <w:sz w:val="22"/>
                <w:szCs w:val="22"/>
              </w:rPr>
            </w:pPr>
          </w:p>
        </w:tc>
        <w:tc>
          <w:tcPr>
            <w:tcW w:w="540" w:type="dxa"/>
          </w:tcPr>
          <w:p w14:paraId="0F01D532" w14:textId="77777777" w:rsidR="00162E0C" w:rsidRPr="00FB2F3D" w:rsidRDefault="00162E0C" w:rsidP="00FD2C3F">
            <w:pPr>
              <w:pStyle w:val="UK12Block"/>
              <w:jc w:val="left"/>
              <w:rPr>
                <w:rFonts w:ascii="Arial" w:hAnsi="Arial" w:cs="Arial"/>
                <w:sz w:val="22"/>
                <w:szCs w:val="22"/>
              </w:rPr>
            </w:pPr>
          </w:p>
        </w:tc>
        <w:tc>
          <w:tcPr>
            <w:tcW w:w="540" w:type="dxa"/>
          </w:tcPr>
          <w:p w14:paraId="545C97BC" w14:textId="77777777" w:rsidR="00162E0C" w:rsidRPr="00FB2F3D" w:rsidRDefault="00162E0C" w:rsidP="00FD2C3F">
            <w:pPr>
              <w:pStyle w:val="UK12Block"/>
              <w:jc w:val="left"/>
              <w:rPr>
                <w:rFonts w:ascii="Arial" w:hAnsi="Arial" w:cs="Arial"/>
                <w:sz w:val="22"/>
                <w:szCs w:val="22"/>
              </w:rPr>
            </w:pPr>
          </w:p>
        </w:tc>
        <w:tc>
          <w:tcPr>
            <w:tcW w:w="540" w:type="dxa"/>
          </w:tcPr>
          <w:p w14:paraId="7F35E674" w14:textId="77777777" w:rsidR="00162E0C" w:rsidRPr="00FB2F3D" w:rsidRDefault="00162E0C" w:rsidP="00FD2C3F">
            <w:pPr>
              <w:pStyle w:val="UK12Block"/>
              <w:jc w:val="left"/>
              <w:rPr>
                <w:rFonts w:ascii="Arial" w:hAnsi="Arial" w:cs="Arial"/>
                <w:sz w:val="22"/>
                <w:szCs w:val="22"/>
              </w:rPr>
            </w:pPr>
          </w:p>
        </w:tc>
        <w:tc>
          <w:tcPr>
            <w:tcW w:w="540" w:type="dxa"/>
          </w:tcPr>
          <w:p w14:paraId="51D6E434" w14:textId="77777777" w:rsidR="00162E0C" w:rsidRPr="00FB2F3D" w:rsidRDefault="00162E0C" w:rsidP="00FD2C3F">
            <w:pPr>
              <w:pStyle w:val="UK12Block"/>
              <w:jc w:val="left"/>
              <w:rPr>
                <w:rFonts w:ascii="Arial" w:hAnsi="Arial" w:cs="Arial"/>
                <w:sz w:val="22"/>
                <w:szCs w:val="22"/>
              </w:rPr>
            </w:pPr>
          </w:p>
        </w:tc>
        <w:tc>
          <w:tcPr>
            <w:tcW w:w="577" w:type="dxa"/>
          </w:tcPr>
          <w:p w14:paraId="3BFD86AB" w14:textId="77777777" w:rsidR="00162E0C" w:rsidRPr="00FB2F3D" w:rsidRDefault="00162E0C" w:rsidP="00FD2C3F">
            <w:pPr>
              <w:pStyle w:val="UK12Block"/>
              <w:jc w:val="left"/>
              <w:rPr>
                <w:rFonts w:ascii="Arial" w:hAnsi="Arial" w:cs="Arial"/>
                <w:sz w:val="22"/>
                <w:szCs w:val="22"/>
              </w:rPr>
            </w:pPr>
          </w:p>
        </w:tc>
      </w:tr>
      <w:tr w:rsidR="00162E0C" w:rsidRPr="00FB2F3D" w14:paraId="4CCCDD1F" w14:textId="77777777" w:rsidTr="00FD2C3F">
        <w:tc>
          <w:tcPr>
            <w:tcW w:w="647" w:type="dxa"/>
          </w:tcPr>
          <w:p w14:paraId="6BA8565C" w14:textId="77777777" w:rsidR="00162E0C" w:rsidRPr="00FB2F3D" w:rsidRDefault="00162E0C" w:rsidP="00FD2C3F">
            <w:pPr>
              <w:pStyle w:val="UK12Block"/>
              <w:jc w:val="left"/>
              <w:rPr>
                <w:rFonts w:ascii="Arial" w:hAnsi="Arial" w:cs="Arial"/>
                <w:sz w:val="22"/>
                <w:szCs w:val="22"/>
              </w:rPr>
            </w:pPr>
          </w:p>
        </w:tc>
        <w:tc>
          <w:tcPr>
            <w:tcW w:w="3871" w:type="dxa"/>
          </w:tcPr>
          <w:p w14:paraId="3405F4F8" w14:textId="77777777" w:rsidR="00162E0C" w:rsidRPr="00FB2F3D" w:rsidRDefault="00162E0C" w:rsidP="00755725">
            <w:pPr>
              <w:pStyle w:val="UK12Block"/>
              <w:numPr>
                <w:ilvl w:val="0"/>
                <w:numId w:val="79"/>
              </w:numPr>
              <w:jc w:val="left"/>
              <w:rPr>
                <w:rFonts w:ascii="Arial" w:hAnsi="Arial" w:cs="Arial"/>
                <w:sz w:val="22"/>
                <w:szCs w:val="22"/>
              </w:rPr>
            </w:pPr>
            <w:r w:rsidRPr="00FB2F3D">
              <w:rPr>
                <w:rFonts w:ascii="Arial" w:hAnsi="Arial" w:cs="Arial"/>
                <w:sz w:val="22"/>
                <w:szCs w:val="22"/>
              </w:rPr>
              <w:t xml:space="preserve">any suspension in the calculation of the index to which any Listed </w:t>
            </w:r>
            <w:r w:rsidR="004B46BD" w:rsidRPr="00FB2F3D">
              <w:rPr>
                <w:rFonts w:ascii="Arial" w:hAnsi="Arial" w:cs="Arial"/>
                <w:sz w:val="22"/>
                <w:szCs w:val="22"/>
              </w:rPr>
              <w:t>Securities</w:t>
            </w:r>
            <w:r w:rsidRPr="00FB2F3D">
              <w:rPr>
                <w:rFonts w:ascii="Arial" w:hAnsi="Arial" w:cs="Arial"/>
                <w:sz w:val="22"/>
                <w:szCs w:val="22"/>
              </w:rPr>
              <w:t xml:space="preserve"> are linked;</w:t>
            </w:r>
          </w:p>
        </w:tc>
        <w:tc>
          <w:tcPr>
            <w:tcW w:w="3510" w:type="dxa"/>
          </w:tcPr>
          <w:p w14:paraId="63939726" w14:textId="77777777" w:rsidR="00162E0C" w:rsidRPr="00FB2F3D" w:rsidRDefault="00162E0C" w:rsidP="00FD2C3F">
            <w:pPr>
              <w:pStyle w:val="UK12Block"/>
              <w:jc w:val="left"/>
              <w:rPr>
                <w:rFonts w:ascii="Arial" w:hAnsi="Arial" w:cs="Arial"/>
                <w:sz w:val="22"/>
                <w:szCs w:val="22"/>
              </w:rPr>
            </w:pPr>
          </w:p>
        </w:tc>
        <w:tc>
          <w:tcPr>
            <w:tcW w:w="2340" w:type="dxa"/>
          </w:tcPr>
          <w:p w14:paraId="301A6A77" w14:textId="77777777" w:rsidR="00162E0C" w:rsidRPr="00FB2F3D" w:rsidRDefault="00162E0C" w:rsidP="00FD2C3F">
            <w:pPr>
              <w:pStyle w:val="UK12Block"/>
              <w:jc w:val="left"/>
              <w:rPr>
                <w:rFonts w:ascii="Arial" w:hAnsi="Arial" w:cs="Arial"/>
                <w:sz w:val="22"/>
                <w:szCs w:val="22"/>
              </w:rPr>
            </w:pPr>
          </w:p>
        </w:tc>
        <w:tc>
          <w:tcPr>
            <w:tcW w:w="540" w:type="dxa"/>
          </w:tcPr>
          <w:p w14:paraId="00733306"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5E790DD9" w14:textId="77777777" w:rsidR="00162E0C" w:rsidRPr="00FB2F3D" w:rsidRDefault="00162E0C" w:rsidP="00FD2C3F">
            <w:pPr>
              <w:pStyle w:val="UK12Block"/>
              <w:jc w:val="left"/>
              <w:rPr>
                <w:rFonts w:ascii="Arial" w:hAnsi="Arial" w:cs="Arial"/>
                <w:sz w:val="22"/>
                <w:szCs w:val="22"/>
              </w:rPr>
            </w:pPr>
          </w:p>
        </w:tc>
        <w:tc>
          <w:tcPr>
            <w:tcW w:w="540" w:type="dxa"/>
          </w:tcPr>
          <w:p w14:paraId="65151F2A" w14:textId="77777777" w:rsidR="00162E0C" w:rsidRPr="00FB2F3D" w:rsidRDefault="00162E0C" w:rsidP="00FD2C3F">
            <w:pPr>
              <w:pStyle w:val="UK12Block"/>
              <w:jc w:val="left"/>
              <w:rPr>
                <w:rFonts w:ascii="Arial" w:hAnsi="Arial" w:cs="Arial"/>
                <w:sz w:val="22"/>
                <w:szCs w:val="22"/>
              </w:rPr>
            </w:pPr>
          </w:p>
        </w:tc>
        <w:tc>
          <w:tcPr>
            <w:tcW w:w="540" w:type="dxa"/>
          </w:tcPr>
          <w:p w14:paraId="765971AF" w14:textId="77777777" w:rsidR="00162E0C" w:rsidRPr="00FB2F3D" w:rsidRDefault="00162E0C" w:rsidP="00FD2C3F">
            <w:pPr>
              <w:pStyle w:val="UK12Block"/>
              <w:jc w:val="left"/>
              <w:rPr>
                <w:rFonts w:ascii="Arial" w:hAnsi="Arial" w:cs="Arial"/>
                <w:sz w:val="22"/>
                <w:szCs w:val="22"/>
              </w:rPr>
            </w:pPr>
          </w:p>
        </w:tc>
        <w:tc>
          <w:tcPr>
            <w:tcW w:w="540" w:type="dxa"/>
          </w:tcPr>
          <w:p w14:paraId="606B4833" w14:textId="77777777" w:rsidR="00162E0C" w:rsidRPr="00FB2F3D" w:rsidRDefault="00162E0C" w:rsidP="00FD2C3F">
            <w:pPr>
              <w:pStyle w:val="UK12Block"/>
              <w:jc w:val="left"/>
              <w:rPr>
                <w:rFonts w:ascii="Arial" w:hAnsi="Arial" w:cs="Arial"/>
                <w:sz w:val="22"/>
                <w:szCs w:val="22"/>
              </w:rPr>
            </w:pPr>
          </w:p>
        </w:tc>
        <w:tc>
          <w:tcPr>
            <w:tcW w:w="540" w:type="dxa"/>
          </w:tcPr>
          <w:p w14:paraId="0EBDAFA9" w14:textId="77777777" w:rsidR="00162E0C" w:rsidRPr="00FB2F3D" w:rsidRDefault="00162E0C" w:rsidP="00FD2C3F">
            <w:pPr>
              <w:pStyle w:val="UK12Block"/>
              <w:jc w:val="left"/>
              <w:rPr>
                <w:rFonts w:ascii="Arial" w:hAnsi="Arial" w:cs="Arial"/>
                <w:sz w:val="22"/>
                <w:szCs w:val="22"/>
              </w:rPr>
            </w:pPr>
          </w:p>
        </w:tc>
        <w:tc>
          <w:tcPr>
            <w:tcW w:w="577" w:type="dxa"/>
          </w:tcPr>
          <w:p w14:paraId="1E08A5C9" w14:textId="77777777" w:rsidR="00162E0C" w:rsidRPr="00FB2F3D" w:rsidRDefault="00162E0C" w:rsidP="00FD2C3F">
            <w:pPr>
              <w:pStyle w:val="UK12Block"/>
              <w:jc w:val="left"/>
              <w:rPr>
                <w:rFonts w:ascii="Arial" w:hAnsi="Arial" w:cs="Arial"/>
                <w:sz w:val="22"/>
                <w:szCs w:val="22"/>
              </w:rPr>
            </w:pPr>
          </w:p>
        </w:tc>
      </w:tr>
      <w:tr w:rsidR="00162E0C" w:rsidRPr="00FB2F3D" w14:paraId="3E73FEB9" w14:textId="77777777" w:rsidTr="00FD2C3F">
        <w:tc>
          <w:tcPr>
            <w:tcW w:w="647" w:type="dxa"/>
          </w:tcPr>
          <w:p w14:paraId="6A4BC494" w14:textId="77777777" w:rsidR="00162E0C" w:rsidRPr="00FB2F3D" w:rsidRDefault="00162E0C" w:rsidP="00FD2C3F">
            <w:pPr>
              <w:pStyle w:val="UK12Block"/>
              <w:jc w:val="left"/>
              <w:rPr>
                <w:rFonts w:ascii="Arial" w:hAnsi="Arial" w:cs="Arial"/>
                <w:sz w:val="22"/>
                <w:szCs w:val="22"/>
              </w:rPr>
            </w:pPr>
          </w:p>
        </w:tc>
        <w:tc>
          <w:tcPr>
            <w:tcW w:w="3871" w:type="dxa"/>
          </w:tcPr>
          <w:p w14:paraId="77C14531" w14:textId="77777777" w:rsidR="00162E0C" w:rsidRPr="00FB2F3D" w:rsidRDefault="00162E0C" w:rsidP="00755725">
            <w:pPr>
              <w:pStyle w:val="UK12Block"/>
              <w:numPr>
                <w:ilvl w:val="0"/>
                <w:numId w:val="79"/>
              </w:numPr>
              <w:jc w:val="left"/>
              <w:rPr>
                <w:rFonts w:ascii="Arial" w:hAnsi="Arial" w:cs="Arial"/>
                <w:sz w:val="22"/>
                <w:szCs w:val="22"/>
              </w:rPr>
            </w:pPr>
            <w:r w:rsidRPr="00FB2F3D">
              <w:rPr>
                <w:rFonts w:ascii="Arial" w:hAnsi="Arial" w:cs="Arial"/>
                <w:sz w:val="22"/>
                <w:szCs w:val="22"/>
              </w:rPr>
              <w:t xml:space="preserve">any change in the trust deed or other document constituting the Listed </w:t>
            </w:r>
            <w:r w:rsidR="004B46BD" w:rsidRPr="00FB2F3D">
              <w:rPr>
                <w:rFonts w:ascii="Arial" w:hAnsi="Arial" w:cs="Arial"/>
                <w:sz w:val="22"/>
                <w:szCs w:val="22"/>
              </w:rPr>
              <w:t>Securities</w:t>
            </w:r>
            <w:r w:rsidRPr="00FB2F3D">
              <w:rPr>
                <w:rFonts w:ascii="Arial" w:hAnsi="Arial" w:cs="Arial"/>
                <w:sz w:val="22"/>
                <w:szCs w:val="22"/>
              </w:rPr>
              <w:t>;</w:t>
            </w:r>
          </w:p>
        </w:tc>
        <w:tc>
          <w:tcPr>
            <w:tcW w:w="3510" w:type="dxa"/>
          </w:tcPr>
          <w:p w14:paraId="4C886A6D" w14:textId="77777777" w:rsidR="00162E0C" w:rsidRPr="00FB2F3D" w:rsidRDefault="00162E0C" w:rsidP="00FD2C3F">
            <w:pPr>
              <w:pStyle w:val="UK12Block"/>
              <w:jc w:val="left"/>
              <w:rPr>
                <w:rFonts w:ascii="Arial" w:hAnsi="Arial" w:cs="Arial"/>
                <w:sz w:val="22"/>
                <w:szCs w:val="22"/>
              </w:rPr>
            </w:pPr>
          </w:p>
        </w:tc>
        <w:tc>
          <w:tcPr>
            <w:tcW w:w="2340" w:type="dxa"/>
          </w:tcPr>
          <w:p w14:paraId="2867BABB" w14:textId="77777777" w:rsidR="00162E0C" w:rsidRPr="00FB2F3D" w:rsidRDefault="00162E0C" w:rsidP="00FD2C3F">
            <w:pPr>
              <w:pStyle w:val="UK12Block"/>
              <w:jc w:val="left"/>
              <w:rPr>
                <w:rFonts w:ascii="Arial" w:hAnsi="Arial" w:cs="Arial"/>
                <w:sz w:val="22"/>
                <w:szCs w:val="22"/>
              </w:rPr>
            </w:pPr>
          </w:p>
        </w:tc>
        <w:tc>
          <w:tcPr>
            <w:tcW w:w="540" w:type="dxa"/>
          </w:tcPr>
          <w:p w14:paraId="2E735753"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19E9D842" w14:textId="77777777" w:rsidR="00162E0C" w:rsidRPr="00FB2F3D" w:rsidRDefault="00162E0C" w:rsidP="00FD2C3F">
            <w:pPr>
              <w:pStyle w:val="UK12Block"/>
              <w:jc w:val="left"/>
              <w:rPr>
                <w:rFonts w:ascii="Arial" w:hAnsi="Arial" w:cs="Arial"/>
                <w:sz w:val="22"/>
                <w:szCs w:val="22"/>
              </w:rPr>
            </w:pPr>
          </w:p>
        </w:tc>
        <w:tc>
          <w:tcPr>
            <w:tcW w:w="540" w:type="dxa"/>
          </w:tcPr>
          <w:p w14:paraId="3B1A0BEE" w14:textId="77777777" w:rsidR="00162E0C" w:rsidRPr="00FB2F3D" w:rsidRDefault="00162E0C" w:rsidP="00FD2C3F">
            <w:pPr>
              <w:pStyle w:val="UK12Block"/>
              <w:jc w:val="left"/>
              <w:rPr>
                <w:rFonts w:ascii="Arial" w:hAnsi="Arial" w:cs="Arial"/>
                <w:sz w:val="22"/>
                <w:szCs w:val="22"/>
              </w:rPr>
            </w:pPr>
          </w:p>
        </w:tc>
        <w:tc>
          <w:tcPr>
            <w:tcW w:w="540" w:type="dxa"/>
          </w:tcPr>
          <w:p w14:paraId="71488CE3"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0751E218"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6B5B6F7C" w14:textId="77777777" w:rsidR="00162E0C" w:rsidRPr="00FB2F3D" w:rsidRDefault="00162E0C" w:rsidP="00FD2C3F">
            <w:pPr>
              <w:pStyle w:val="UK12Block"/>
              <w:jc w:val="left"/>
              <w:rPr>
                <w:rFonts w:ascii="Arial" w:hAnsi="Arial" w:cs="Arial"/>
                <w:sz w:val="22"/>
                <w:szCs w:val="22"/>
              </w:rPr>
            </w:pPr>
          </w:p>
        </w:tc>
        <w:tc>
          <w:tcPr>
            <w:tcW w:w="577" w:type="dxa"/>
          </w:tcPr>
          <w:p w14:paraId="2DD0CDCD"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r>
      <w:tr w:rsidR="00162E0C" w:rsidRPr="00FB2F3D" w14:paraId="4AA67186" w14:textId="77777777" w:rsidTr="00FD2C3F">
        <w:tc>
          <w:tcPr>
            <w:tcW w:w="647" w:type="dxa"/>
          </w:tcPr>
          <w:p w14:paraId="02FFE377" w14:textId="77777777" w:rsidR="00162E0C" w:rsidRPr="00FB2F3D" w:rsidRDefault="00162E0C" w:rsidP="00FD2C3F">
            <w:pPr>
              <w:pStyle w:val="UK12Block"/>
              <w:jc w:val="left"/>
              <w:rPr>
                <w:rFonts w:ascii="Arial" w:hAnsi="Arial" w:cs="Arial"/>
                <w:sz w:val="22"/>
                <w:szCs w:val="22"/>
              </w:rPr>
            </w:pPr>
          </w:p>
        </w:tc>
        <w:tc>
          <w:tcPr>
            <w:tcW w:w="3871" w:type="dxa"/>
          </w:tcPr>
          <w:p w14:paraId="2DC6010E" w14:textId="77777777" w:rsidR="00162E0C" w:rsidRPr="00FB2F3D" w:rsidRDefault="00162E0C" w:rsidP="00755725">
            <w:pPr>
              <w:pStyle w:val="UK12Block"/>
              <w:numPr>
                <w:ilvl w:val="0"/>
                <w:numId w:val="79"/>
              </w:numPr>
              <w:jc w:val="left"/>
              <w:rPr>
                <w:rFonts w:ascii="Arial" w:hAnsi="Arial" w:cs="Arial"/>
                <w:sz w:val="22"/>
                <w:szCs w:val="22"/>
              </w:rPr>
            </w:pPr>
            <w:r w:rsidRPr="00FB2F3D">
              <w:rPr>
                <w:rFonts w:ascii="Arial" w:hAnsi="Arial" w:cs="Arial"/>
                <w:sz w:val="22"/>
                <w:szCs w:val="22"/>
              </w:rPr>
              <w:t>any change in the paying agent;</w:t>
            </w:r>
          </w:p>
        </w:tc>
        <w:tc>
          <w:tcPr>
            <w:tcW w:w="3510" w:type="dxa"/>
          </w:tcPr>
          <w:p w14:paraId="2023521A" w14:textId="77777777" w:rsidR="00162E0C" w:rsidRPr="00FB2F3D" w:rsidRDefault="00162E0C" w:rsidP="00FD2C3F">
            <w:pPr>
              <w:pStyle w:val="UK12Block"/>
              <w:jc w:val="left"/>
              <w:rPr>
                <w:rFonts w:ascii="Arial" w:hAnsi="Arial" w:cs="Arial"/>
                <w:sz w:val="22"/>
                <w:szCs w:val="22"/>
              </w:rPr>
            </w:pPr>
          </w:p>
        </w:tc>
        <w:tc>
          <w:tcPr>
            <w:tcW w:w="2340" w:type="dxa"/>
          </w:tcPr>
          <w:p w14:paraId="06117C07" w14:textId="77777777" w:rsidR="00162E0C" w:rsidRPr="00FB2F3D" w:rsidRDefault="00162E0C" w:rsidP="00FD2C3F">
            <w:pPr>
              <w:pStyle w:val="UK12Block"/>
              <w:jc w:val="left"/>
              <w:rPr>
                <w:rFonts w:ascii="Arial" w:hAnsi="Arial" w:cs="Arial"/>
                <w:sz w:val="22"/>
                <w:szCs w:val="22"/>
              </w:rPr>
            </w:pPr>
          </w:p>
        </w:tc>
        <w:tc>
          <w:tcPr>
            <w:tcW w:w="540" w:type="dxa"/>
          </w:tcPr>
          <w:p w14:paraId="67CFBE14"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27BC058B" w14:textId="77777777" w:rsidR="00162E0C" w:rsidRPr="00FB2F3D" w:rsidRDefault="00162E0C" w:rsidP="00FD2C3F">
            <w:pPr>
              <w:pStyle w:val="UK12Block"/>
              <w:jc w:val="left"/>
              <w:rPr>
                <w:rFonts w:ascii="Arial" w:hAnsi="Arial" w:cs="Arial"/>
                <w:sz w:val="22"/>
                <w:szCs w:val="22"/>
              </w:rPr>
            </w:pPr>
          </w:p>
        </w:tc>
        <w:tc>
          <w:tcPr>
            <w:tcW w:w="540" w:type="dxa"/>
          </w:tcPr>
          <w:p w14:paraId="732D7E22" w14:textId="77777777" w:rsidR="00162E0C" w:rsidRPr="00FB2F3D" w:rsidRDefault="00162E0C" w:rsidP="00FD2C3F">
            <w:pPr>
              <w:pStyle w:val="UK12Block"/>
              <w:jc w:val="left"/>
              <w:rPr>
                <w:rFonts w:ascii="Arial" w:hAnsi="Arial" w:cs="Arial"/>
                <w:sz w:val="22"/>
                <w:szCs w:val="22"/>
              </w:rPr>
            </w:pPr>
          </w:p>
        </w:tc>
        <w:tc>
          <w:tcPr>
            <w:tcW w:w="540" w:type="dxa"/>
          </w:tcPr>
          <w:p w14:paraId="334CD9FC"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2653674C"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68AEA4C6" w14:textId="77777777" w:rsidR="00162E0C" w:rsidRPr="00FB2F3D" w:rsidRDefault="00162E0C" w:rsidP="00FD2C3F">
            <w:pPr>
              <w:pStyle w:val="UK12Block"/>
              <w:jc w:val="left"/>
              <w:rPr>
                <w:rFonts w:ascii="Arial" w:hAnsi="Arial" w:cs="Arial"/>
                <w:sz w:val="22"/>
                <w:szCs w:val="22"/>
              </w:rPr>
            </w:pPr>
          </w:p>
        </w:tc>
        <w:tc>
          <w:tcPr>
            <w:tcW w:w="577" w:type="dxa"/>
          </w:tcPr>
          <w:p w14:paraId="0EF43BCA"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r>
      <w:tr w:rsidR="00162E0C" w:rsidRPr="00FB2F3D" w14:paraId="5CC4C06D" w14:textId="77777777" w:rsidTr="00FD2C3F">
        <w:tc>
          <w:tcPr>
            <w:tcW w:w="647" w:type="dxa"/>
          </w:tcPr>
          <w:p w14:paraId="6E5E03E8" w14:textId="77777777" w:rsidR="00162E0C" w:rsidRPr="00FB2F3D" w:rsidRDefault="00162E0C" w:rsidP="00FD2C3F">
            <w:pPr>
              <w:pStyle w:val="UK12Block"/>
              <w:jc w:val="left"/>
              <w:rPr>
                <w:rFonts w:ascii="Arial" w:hAnsi="Arial" w:cs="Arial"/>
                <w:sz w:val="22"/>
                <w:szCs w:val="22"/>
              </w:rPr>
            </w:pPr>
          </w:p>
        </w:tc>
        <w:tc>
          <w:tcPr>
            <w:tcW w:w="3871" w:type="dxa"/>
          </w:tcPr>
          <w:p w14:paraId="27C8E081" w14:textId="77777777" w:rsidR="00162E0C" w:rsidRPr="00FB2F3D" w:rsidRDefault="00162E0C" w:rsidP="00755725">
            <w:pPr>
              <w:pStyle w:val="UK12Block"/>
              <w:numPr>
                <w:ilvl w:val="0"/>
                <w:numId w:val="79"/>
              </w:numPr>
              <w:jc w:val="left"/>
              <w:rPr>
                <w:rFonts w:ascii="Arial" w:hAnsi="Arial" w:cs="Arial"/>
                <w:sz w:val="22"/>
                <w:szCs w:val="22"/>
              </w:rPr>
            </w:pPr>
            <w:r w:rsidRPr="00FB2F3D">
              <w:rPr>
                <w:rFonts w:ascii="Arial" w:hAnsi="Arial" w:cs="Arial"/>
                <w:sz w:val="22"/>
                <w:szCs w:val="22"/>
              </w:rPr>
              <w:t xml:space="preserve">all proposed creations, or draw down issuances to effect partial redemptions including the outstanding amount of the Listed </w:t>
            </w:r>
            <w:r w:rsidR="004B46BD" w:rsidRPr="00FB2F3D">
              <w:rPr>
                <w:rFonts w:ascii="Arial" w:hAnsi="Arial" w:cs="Arial"/>
                <w:sz w:val="22"/>
                <w:szCs w:val="22"/>
              </w:rPr>
              <w:lastRenderedPageBreak/>
              <w:t>Securities</w:t>
            </w:r>
            <w:r w:rsidRPr="00FB2F3D">
              <w:rPr>
                <w:rFonts w:ascii="Arial" w:hAnsi="Arial" w:cs="Arial"/>
                <w:sz w:val="22"/>
                <w:szCs w:val="22"/>
              </w:rPr>
              <w:t xml:space="preserve"> which are </w:t>
            </w:r>
            <w:r w:rsidR="005260BB" w:rsidRPr="00FB2F3D">
              <w:rPr>
                <w:rFonts w:ascii="Arial" w:hAnsi="Arial" w:cs="Arial"/>
                <w:sz w:val="22"/>
                <w:szCs w:val="22"/>
              </w:rPr>
              <w:t xml:space="preserve">admitted to the Official List </w:t>
            </w:r>
            <w:r w:rsidRPr="00FB2F3D">
              <w:rPr>
                <w:rFonts w:ascii="Arial" w:hAnsi="Arial" w:cs="Arial"/>
                <w:sz w:val="22"/>
                <w:szCs w:val="22"/>
              </w:rPr>
              <w:t>after any such creation, redemption or drawdown has been made;</w:t>
            </w:r>
          </w:p>
        </w:tc>
        <w:tc>
          <w:tcPr>
            <w:tcW w:w="3510" w:type="dxa"/>
          </w:tcPr>
          <w:p w14:paraId="60598D34" w14:textId="77777777" w:rsidR="00162E0C" w:rsidRPr="00FB2F3D" w:rsidRDefault="00162E0C" w:rsidP="00FD2C3F">
            <w:pPr>
              <w:pStyle w:val="UK12Block"/>
              <w:jc w:val="left"/>
              <w:rPr>
                <w:rFonts w:ascii="Arial" w:hAnsi="Arial" w:cs="Arial"/>
                <w:sz w:val="22"/>
                <w:szCs w:val="22"/>
              </w:rPr>
            </w:pPr>
          </w:p>
        </w:tc>
        <w:tc>
          <w:tcPr>
            <w:tcW w:w="2340" w:type="dxa"/>
          </w:tcPr>
          <w:p w14:paraId="668AE3A6" w14:textId="77777777" w:rsidR="00162E0C" w:rsidRPr="00FB2F3D" w:rsidRDefault="00162E0C" w:rsidP="00FD2C3F">
            <w:pPr>
              <w:pStyle w:val="UK12Block"/>
              <w:jc w:val="left"/>
              <w:rPr>
                <w:rFonts w:ascii="Arial" w:hAnsi="Arial" w:cs="Arial"/>
                <w:sz w:val="22"/>
                <w:szCs w:val="22"/>
              </w:rPr>
            </w:pPr>
          </w:p>
        </w:tc>
        <w:tc>
          <w:tcPr>
            <w:tcW w:w="540" w:type="dxa"/>
          </w:tcPr>
          <w:p w14:paraId="794C3663"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7BCF610F" w14:textId="77777777" w:rsidR="00162E0C" w:rsidRPr="00FB2F3D" w:rsidRDefault="00162E0C" w:rsidP="00FD2C3F">
            <w:pPr>
              <w:pStyle w:val="UK12Block"/>
              <w:jc w:val="left"/>
              <w:rPr>
                <w:rFonts w:ascii="Arial" w:hAnsi="Arial" w:cs="Arial"/>
                <w:sz w:val="22"/>
                <w:szCs w:val="22"/>
              </w:rPr>
            </w:pPr>
          </w:p>
        </w:tc>
        <w:tc>
          <w:tcPr>
            <w:tcW w:w="540" w:type="dxa"/>
          </w:tcPr>
          <w:p w14:paraId="5DCB6845" w14:textId="77777777" w:rsidR="00162E0C" w:rsidRPr="00FB2F3D" w:rsidRDefault="00162E0C" w:rsidP="00FD2C3F">
            <w:pPr>
              <w:pStyle w:val="UK12Block"/>
              <w:jc w:val="left"/>
              <w:rPr>
                <w:rFonts w:ascii="Arial" w:hAnsi="Arial" w:cs="Arial"/>
                <w:sz w:val="22"/>
                <w:szCs w:val="22"/>
              </w:rPr>
            </w:pPr>
          </w:p>
        </w:tc>
        <w:tc>
          <w:tcPr>
            <w:tcW w:w="540" w:type="dxa"/>
          </w:tcPr>
          <w:p w14:paraId="5F6C0797"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4E6C149B"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235F559A" w14:textId="77777777" w:rsidR="00162E0C" w:rsidRPr="00FB2F3D" w:rsidRDefault="00162E0C" w:rsidP="00FD2C3F">
            <w:pPr>
              <w:pStyle w:val="UK12Block"/>
              <w:jc w:val="left"/>
              <w:rPr>
                <w:rFonts w:ascii="Arial" w:hAnsi="Arial" w:cs="Arial"/>
                <w:sz w:val="22"/>
                <w:szCs w:val="22"/>
              </w:rPr>
            </w:pPr>
          </w:p>
        </w:tc>
        <w:tc>
          <w:tcPr>
            <w:tcW w:w="577" w:type="dxa"/>
          </w:tcPr>
          <w:p w14:paraId="1B63BFE0"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r>
      <w:tr w:rsidR="00162E0C" w:rsidRPr="00FB2F3D" w14:paraId="5FBA78CD" w14:textId="77777777" w:rsidTr="00FD2C3F">
        <w:tc>
          <w:tcPr>
            <w:tcW w:w="647" w:type="dxa"/>
          </w:tcPr>
          <w:p w14:paraId="0316FD74" w14:textId="77777777" w:rsidR="00162E0C" w:rsidRPr="00FB2F3D" w:rsidRDefault="00162E0C" w:rsidP="00FD2C3F">
            <w:pPr>
              <w:pStyle w:val="UK12Block"/>
              <w:jc w:val="left"/>
              <w:rPr>
                <w:rFonts w:ascii="Arial" w:hAnsi="Arial" w:cs="Arial"/>
                <w:sz w:val="22"/>
                <w:szCs w:val="22"/>
              </w:rPr>
            </w:pPr>
          </w:p>
        </w:tc>
        <w:tc>
          <w:tcPr>
            <w:tcW w:w="3871" w:type="dxa"/>
          </w:tcPr>
          <w:p w14:paraId="2405F52D" w14:textId="77777777" w:rsidR="00162E0C" w:rsidRPr="00FB2F3D" w:rsidRDefault="00162E0C" w:rsidP="00755725">
            <w:pPr>
              <w:pStyle w:val="UK12Block"/>
              <w:numPr>
                <w:ilvl w:val="0"/>
                <w:numId w:val="79"/>
              </w:numPr>
              <w:jc w:val="left"/>
              <w:rPr>
                <w:rFonts w:ascii="Arial" w:hAnsi="Arial" w:cs="Arial"/>
                <w:sz w:val="22"/>
                <w:szCs w:val="22"/>
              </w:rPr>
            </w:pPr>
            <w:r w:rsidRPr="00FB2F3D">
              <w:rPr>
                <w:rFonts w:ascii="Arial" w:hAnsi="Arial" w:cs="Arial"/>
                <w:sz w:val="22"/>
                <w:szCs w:val="22"/>
              </w:rPr>
              <w:t>the date on which it is proposed to close the books for the purposes of making drawdown, in the case of registered Structured Products; and</w:t>
            </w:r>
          </w:p>
        </w:tc>
        <w:tc>
          <w:tcPr>
            <w:tcW w:w="3510" w:type="dxa"/>
          </w:tcPr>
          <w:p w14:paraId="139B955F" w14:textId="77777777" w:rsidR="00162E0C" w:rsidRPr="00FB2F3D" w:rsidRDefault="00162E0C" w:rsidP="00FD2C3F">
            <w:pPr>
              <w:pStyle w:val="UK12Block"/>
              <w:jc w:val="left"/>
              <w:rPr>
                <w:rFonts w:ascii="Arial" w:hAnsi="Arial" w:cs="Arial"/>
                <w:sz w:val="22"/>
                <w:szCs w:val="22"/>
              </w:rPr>
            </w:pPr>
          </w:p>
        </w:tc>
        <w:tc>
          <w:tcPr>
            <w:tcW w:w="2340" w:type="dxa"/>
          </w:tcPr>
          <w:p w14:paraId="52BE15B5" w14:textId="77777777" w:rsidR="00162E0C" w:rsidRPr="00FB2F3D" w:rsidRDefault="00162E0C" w:rsidP="00FD2C3F">
            <w:pPr>
              <w:pStyle w:val="UK12Block"/>
              <w:jc w:val="left"/>
              <w:rPr>
                <w:rFonts w:ascii="Arial" w:hAnsi="Arial" w:cs="Arial"/>
                <w:sz w:val="22"/>
                <w:szCs w:val="22"/>
              </w:rPr>
            </w:pPr>
          </w:p>
        </w:tc>
        <w:tc>
          <w:tcPr>
            <w:tcW w:w="540" w:type="dxa"/>
          </w:tcPr>
          <w:p w14:paraId="6153A36F"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60B1BBA1" w14:textId="77777777" w:rsidR="00162E0C" w:rsidRPr="00FB2F3D" w:rsidRDefault="00162E0C" w:rsidP="00FD2C3F">
            <w:pPr>
              <w:pStyle w:val="UK12Block"/>
              <w:jc w:val="left"/>
              <w:rPr>
                <w:rFonts w:ascii="Arial" w:hAnsi="Arial" w:cs="Arial"/>
                <w:sz w:val="22"/>
                <w:szCs w:val="22"/>
              </w:rPr>
            </w:pPr>
          </w:p>
        </w:tc>
        <w:tc>
          <w:tcPr>
            <w:tcW w:w="540" w:type="dxa"/>
          </w:tcPr>
          <w:p w14:paraId="1D77F551" w14:textId="77777777" w:rsidR="00162E0C" w:rsidRPr="00FB2F3D" w:rsidRDefault="00162E0C" w:rsidP="00FD2C3F">
            <w:pPr>
              <w:pStyle w:val="UK12Block"/>
              <w:jc w:val="left"/>
              <w:rPr>
                <w:rFonts w:ascii="Arial" w:hAnsi="Arial" w:cs="Arial"/>
                <w:sz w:val="22"/>
                <w:szCs w:val="22"/>
              </w:rPr>
            </w:pPr>
          </w:p>
        </w:tc>
        <w:tc>
          <w:tcPr>
            <w:tcW w:w="540" w:type="dxa"/>
          </w:tcPr>
          <w:p w14:paraId="1E0AF87F" w14:textId="77777777" w:rsidR="00162E0C" w:rsidRPr="00FB2F3D" w:rsidRDefault="00162E0C" w:rsidP="00FD2C3F">
            <w:pPr>
              <w:pStyle w:val="UK12Block"/>
              <w:jc w:val="left"/>
              <w:rPr>
                <w:rFonts w:ascii="Arial" w:hAnsi="Arial" w:cs="Arial"/>
                <w:sz w:val="22"/>
                <w:szCs w:val="22"/>
              </w:rPr>
            </w:pPr>
          </w:p>
        </w:tc>
        <w:tc>
          <w:tcPr>
            <w:tcW w:w="540" w:type="dxa"/>
          </w:tcPr>
          <w:p w14:paraId="25EBF256" w14:textId="77777777" w:rsidR="00162E0C" w:rsidRPr="00FB2F3D" w:rsidRDefault="00162E0C" w:rsidP="00FD2C3F">
            <w:pPr>
              <w:pStyle w:val="UK12Block"/>
              <w:jc w:val="left"/>
              <w:rPr>
                <w:rFonts w:ascii="Arial" w:hAnsi="Arial" w:cs="Arial"/>
                <w:sz w:val="22"/>
                <w:szCs w:val="22"/>
              </w:rPr>
            </w:pPr>
          </w:p>
        </w:tc>
        <w:tc>
          <w:tcPr>
            <w:tcW w:w="540" w:type="dxa"/>
          </w:tcPr>
          <w:p w14:paraId="67BC8AAE" w14:textId="77777777" w:rsidR="00162E0C" w:rsidRPr="00FB2F3D" w:rsidRDefault="00162E0C" w:rsidP="00FD2C3F">
            <w:pPr>
              <w:pStyle w:val="UK12Block"/>
              <w:jc w:val="left"/>
              <w:rPr>
                <w:rFonts w:ascii="Arial" w:hAnsi="Arial" w:cs="Arial"/>
                <w:sz w:val="22"/>
                <w:szCs w:val="22"/>
              </w:rPr>
            </w:pPr>
          </w:p>
        </w:tc>
        <w:tc>
          <w:tcPr>
            <w:tcW w:w="577" w:type="dxa"/>
          </w:tcPr>
          <w:p w14:paraId="47213351" w14:textId="77777777" w:rsidR="00162E0C" w:rsidRPr="00FB2F3D" w:rsidRDefault="00162E0C" w:rsidP="00FD2C3F">
            <w:pPr>
              <w:pStyle w:val="UK12Block"/>
              <w:jc w:val="left"/>
              <w:rPr>
                <w:rFonts w:ascii="Arial" w:hAnsi="Arial" w:cs="Arial"/>
                <w:sz w:val="22"/>
                <w:szCs w:val="22"/>
              </w:rPr>
            </w:pPr>
          </w:p>
        </w:tc>
      </w:tr>
      <w:tr w:rsidR="00162E0C" w:rsidRPr="00FB2F3D" w14:paraId="093A5EB0" w14:textId="77777777" w:rsidTr="00FD2C3F">
        <w:tc>
          <w:tcPr>
            <w:tcW w:w="647" w:type="dxa"/>
          </w:tcPr>
          <w:p w14:paraId="0FB92A2A" w14:textId="77777777" w:rsidR="00162E0C" w:rsidRPr="00FB2F3D" w:rsidRDefault="00162E0C" w:rsidP="00FD2C3F">
            <w:pPr>
              <w:pStyle w:val="UK12Block"/>
              <w:jc w:val="left"/>
              <w:rPr>
                <w:rFonts w:ascii="Arial" w:hAnsi="Arial" w:cs="Arial"/>
                <w:sz w:val="22"/>
                <w:szCs w:val="22"/>
              </w:rPr>
            </w:pPr>
          </w:p>
        </w:tc>
        <w:tc>
          <w:tcPr>
            <w:tcW w:w="3871" w:type="dxa"/>
          </w:tcPr>
          <w:p w14:paraId="4D9350FE" w14:textId="77777777" w:rsidR="00162E0C" w:rsidRPr="00FB2F3D" w:rsidRDefault="00162E0C" w:rsidP="00755725">
            <w:pPr>
              <w:pStyle w:val="UK12Block"/>
              <w:numPr>
                <w:ilvl w:val="0"/>
                <w:numId w:val="79"/>
              </w:numPr>
              <w:jc w:val="left"/>
              <w:rPr>
                <w:rFonts w:ascii="Arial" w:hAnsi="Arial" w:cs="Arial"/>
                <w:sz w:val="22"/>
                <w:szCs w:val="22"/>
              </w:rPr>
            </w:pPr>
            <w:r w:rsidRPr="00FB2F3D">
              <w:rPr>
                <w:rFonts w:ascii="Arial" w:hAnsi="Arial" w:cs="Arial"/>
                <w:sz w:val="22"/>
                <w:szCs w:val="22"/>
              </w:rPr>
              <w:t>any purchase, redemption (including predetermined and scheduled redemptions) or cancellation by the Listed Entity, or any</w:t>
            </w:r>
            <w:r w:rsidR="00BE111A" w:rsidRPr="00FB2F3D">
              <w:rPr>
                <w:rFonts w:ascii="Arial" w:hAnsi="Arial" w:cs="Arial"/>
                <w:sz w:val="22"/>
                <w:szCs w:val="22"/>
              </w:rPr>
              <w:t xml:space="preserve"> member of the Listed Entity's G</w:t>
            </w:r>
            <w:r w:rsidR="005260BB" w:rsidRPr="00FB2F3D">
              <w:rPr>
                <w:rFonts w:ascii="Arial" w:hAnsi="Arial" w:cs="Arial"/>
                <w:sz w:val="22"/>
                <w:szCs w:val="22"/>
              </w:rPr>
              <w:t>roup of its L</w:t>
            </w:r>
            <w:r w:rsidRPr="00FB2F3D">
              <w:rPr>
                <w:rFonts w:ascii="Arial" w:hAnsi="Arial" w:cs="Arial"/>
                <w:sz w:val="22"/>
                <w:szCs w:val="22"/>
              </w:rPr>
              <w:t>isted Structured Products after such purchase, redemption or cancellation.</w:t>
            </w:r>
          </w:p>
        </w:tc>
        <w:tc>
          <w:tcPr>
            <w:tcW w:w="3510" w:type="dxa"/>
          </w:tcPr>
          <w:p w14:paraId="279701E8" w14:textId="77777777" w:rsidR="00162E0C" w:rsidRPr="00FB2F3D" w:rsidRDefault="00162E0C" w:rsidP="00FD2C3F">
            <w:pPr>
              <w:pStyle w:val="UK12Block"/>
              <w:jc w:val="left"/>
              <w:rPr>
                <w:rFonts w:ascii="Arial" w:hAnsi="Arial" w:cs="Arial"/>
                <w:sz w:val="22"/>
                <w:szCs w:val="22"/>
              </w:rPr>
            </w:pPr>
          </w:p>
        </w:tc>
        <w:tc>
          <w:tcPr>
            <w:tcW w:w="2340" w:type="dxa"/>
          </w:tcPr>
          <w:p w14:paraId="6730EEC1" w14:textId="77777777" w:rsidR="00162E0C" w:rsidRPr="00FB2F3D" w:rsidRDefault="00162E0C" w:rsidP="00FD2C3F">
            <w:pPr>
              <w:pStyle w:val="UK12Block"/>
              <w:jc w:val="left"/>
              <w:rPr>
                <w:rFonts w:ascii="Arial" w:hAnsi="Arial" w:cs="Arial"/>
                <w:sz w:val="22"/>
                <w:szCs w:val="22"/>
              </w:rPr>
            </w:pPr>
          </w:p>
        </w:tc>
        <w:tc>
          <w:tcPr>
            <w:tcW w:w="540" w:type="dxa"/>
          </w:tcPr>
          <w:p w14:paraId="5B445B45"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686E5B41" w14:textId="77777777" w:rsidR="00162E0C" w:rsidRPr="00FB2F3D" w:rsidRDefault="00162E0C" w:rsidP="00FD2C3F">
            <w:pPr>
              <w:pStyle w:val="UK12Block"/>
              <w:jc w:val="left"/>
              <w:rPr>
                <w:rFonts w:ascii="Arial" w:hAnsi="Arial" w:cs="Arial"/>
                <w:sz w:val="22"/>
                <w:szCs w:val="22"/>
              </w:rPr>
            </w:pPr>
          </w:p>
        </w:tc>
        <w:tc>
          <w:tcPr>
            <w:tcW w:w="540" w:type="dxa"/>
          </w:tcPr>
          <w:p w14:paraId="6CAFA9BF" w14:textId="77777777" w:rsidR="00162E0C" w:rsidRPr="00FB2F3D" w:rsidRDefault="00162E0C" w:rsidP="00FD2C3F">
            <w:pPr>
              <w:pStyle w:val="UK12Block"/>
              <w:jc w:val="left"/>
              <w:rPr>
                <w:rFonts w:ascii="Arial" w:hAnsi="Arial" w:cs="Arial"/>
                <w:sz w:val="22"/>
                <w:szCs w:val="22"/>
              </w:rPr>
            </w:pPr>
          </w:p>
        </w:tc>
        <w:tc>
          <w:tcPr>
            <w:tcW w:w="540" w:type="dxa"/>
          </w:tcPr>
          <w:p w14:paraId="2A0FFC20"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4248154B"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6265A487" w14:textId="77777777" w:rsidR="00162E0C" w:rsidRPr="00FB2F3D" w:rsidRDefault="00162E0C" w:rsidP="00FD2C3F">
            <w:pPr>
              <w:pStyle w:val="UK12Block"/>
              <w:jc w:val="left"/>
              <w:rPr>
                <w:rFonts w:ascii="Arial" w:hAnsi="Arial" w:cs="Arial"/>
                <w:sz w:val="22"/>
                <w:szCs w:val="22"/>
              </w:rPr>
            </w:pPr>
          </w:p>
        </w:tc>
        <w:tc>
          <w:tcPr>
            <w:tcW w:w="577" w:type="dxa"/>
          </w:tcPr>
          <w:p w14:paraId="7065B76A" w14:textId="77777777" w:rsidR="00162E0C" w:rsidRPr="00FB2F3D" w:rsidRDefault="00162E0C" w:rsidP="00FD2C3F">
            <w:pPr>
              <w:pStyle w:val="UK12Block"/>
              <w:jc w:val="left"/>
              <w:rPr>
                <w:rFonts w:ascii="Arial" w:hAnsi="Arial" w:cs="Arial"/>
                <w:sz w:val="22"/>
                <w:szCs w:val="22"/>
              </w:rPr>
            </w:pPr>
            <w:r w:rsidRPr="00FB2F3D">
              <w:rPr>
                <w:rFonts w:ascii="Arial" w:hAnsi="Arial" w:cs="Arial"/>
                <w:sz w:val="22"/>
                <w:szCs w:val="22"/>
              </w:rPr>
              <w:sym w:font="Wingdings" w:char="F0FC"/>
            </w:r>
          </w:p>
        </w:tc>
      </w:tr>
    </w:tbl>
    <w:p w14:paraId="1F4F3F1C" w14:textId="77777777" w:rsidR="005260BB" w:rsidRPr="00FB2F3D" w:rsidRDefault="005260BB" w:rsidP="00FD2C3F">
      <w:pPr>
        <w:pStyle w:val="UK12Block"/>
        <w:rPr>
          <w:rFonts w:ascii="Arial" w:hAnsi="Arial" w:cs="Arial"/>
          <w:sz w:val="22"/>
          <w:szCs w:val="22"/>
        </w:rPr>
      </w:pPr>
    </w:p>
    <w:p w14:paraId="3E34DF5A" w14:textId="77777777" w:rsidR="005260BB" w:rsidRPr="00FB2F3D" w:rsidRDefault="005260BB">
      <w:pPr>
        <w:rPr>
          <w:rFonts w:ascii="Arial" w:eastAsia="Times New Roman" w:hAnsi="Arial" w:cs="Arial"/>
          <w:sz w:val="22"/>
          <w:szCs w:val="22"/>
        </w:rPr>
      </w:pPr>
      <w:r w:rsidRPr="00FB2F3D">
        <w:rPr>
          <w:rFonts w:ascii="Arial" w:hAnsi="Arial" w:cs="Arial"/>
          <w:sz w:val="22"/>
          <w:szCs w:val="22"/>
        </w:rPr>
        <w:br w:type="page"/>
      </w:r>
    </w:p>
    <w:p w14:paraId="0D6952CB" w14:textId="77777777" w:rsidR="00162E0C" w:rsidRPr="00FB2F3D" w:rsidRDefault="00162E0C" w:rsidP="00FD2C3F">
      <w:pPr>
        <w:pStyle w:val="S2Heading2"/>
        <w:rPr>
          <w:rFonts w:ascii="Arial" w:hAnsi="Arial" w:cs="Arial"/>
          <w:sz w:val="22"/>
          <w:szCs w:val="22"/>
        </w:rPr>
      </w:pPr>
      <w:bookmarkStart w:id="994" w:name="_Ref410073650"/>
      <w:bookmarkStart w:id="995" w:name="_Toc410136284"/>
      <w:bookmarkStart w:id="996" w:name="_Toc410605995"/>
      <w:bookmarkStart w:id="997" w:name="_Toc410658931"/>
      <w:bookmarkStart w:id="998" w:name="_Toc410659070"/>
      <w:bookmarkStart w:id="999" w:name="_Toc410835603"/>
      <w:bookmarkStart w:id="1000" w:name="_Toc138325752"/>
      <w:r w:rsidRPr="00FB2F3D">
        <w:rPr>
          <w:rFonts w:ascii="Arial" w:hAnsi="Arial" w:cs="Arial"/>
          <w:sz w:val="22"/>
          <w:szCs w:val="22"/>
        </w:rPr>
        <w:lastRenderedPageBreak/>
        <w:t>Ot</w:t>
      </w:r>
      <w:r w:rsidR="005260BB" w:rsidRPr="00FB2F3D">
        <w:rPr>
          <w:rFonts w:ascii="Arial" w:hAnsi="Arial" w:cs="Arial"/>
          <w:sz w:val="22"/>
          <w:szCs w:val="22"/>
        </w:rPr>
        <w:t>her continuing obligations for Listed E</w:t>
      </w:r>
      <w:r w:rsidRPr="00FB2F3D">
        <w:rPr>
          <w:rFonts w:ascii="Arial" w:hAnsi="Arial" w:cs="Arial"/>
          <w:sz w:val="22"/>
          <w:szCs w:val="22"/>
        </w:rPr>
        <w:t>ntities</w:t>
      </w:r>
      <w:bookmarkEnd w:id="994"/>
      <w:bookmarkEnd w:id="995"/>
      <w:bookmarkEnd w:id="996"/>
      <w:bookmarkEnd w:id="997"/>
      <w:bookmarkEnd w:id="998"/>
      <w:bookmarkEnd w:id="999"/>
      <w:bookmarkEnd w:id="1000"/>
    </w:p>
    <w:p w14:paraId="1C99FA15" w14:textId="77777777" w:rsidR="00162E0C" w:rsidRPr="00FB2F3D" w:rsidRDefault="00FD2C3F" w:rsidP="00FD2C3F">
      <w:pPr>
        <w:pStyle w:val="S2Heading3"/>
        <w:rPr>
          <w:rFonts w:ascii="Arial" w:hAnsi="Arial" w:cs="Arial"/>
          <w:sz w:val="22"/>
          <w:szCs w:val="22"/>
        </w:rPr>
      </w:pPr>
      <w:bookmarkStart w:id="1001" w:name="_Toc410659071"/>
      <w:r w:rsidRPr="00FB2F3D">
        <w:rPr>
          <w:rFonts w:ascii="Arial" w:hAnsi="Arial" w:cs="Arial"/>
          <w:sz w:val="22"/>
          <w:szCs w:val="22"/>
        </w:rPr>
        <w:t>T</w:t>
      </w:r>
      <w:r w:rsidR="00162E0C" w:rsidRPr="00FB2F3D">
        <w:rPr>
          <w:rFonts w:ascii="Arial" w:hAnsi="Arial" w:cs="Arial"/>
          <w:sz w:val="22"/>
          <w:szCs w:val="22"/>
        </w:rPr>
        <w:t>his table forms part of Rule </w:t>
      </w:r>
      <w:r w:rsidR="00693841" w:rsidRPr="00FB2F3D">
        <w:rPr>
          <w:rFonts w:ascii="Arial" w:hAnsi="Arial" w:cs="Arial"/>
          <w:sz w:val="22"/>
          <w:szCs w:val="22"/>
        </w:rPr>
        <w:t>2.7.8</w:t>
      </w:r>
      <w:r w:rsidR="00162E0C" w:rsidRPr="00FB2F3D">
        <w:rPr>
          <w:rFonts w:ascii="Arial" w:hAnsi="Arial" w:cs="Arial"/>
          <w:sz w:val="22"/>
          <w:szCs w:val="22"/>
        </w:rPr>
        <w:t>.</w:t>
      </w:r>
      <w:bookmarkEnd w:id="1001"/>
    </w:p>
    <w:p w14:paraId="5A1BC447" w14:textId="21680A4C" w:rsidR="00162E0C" w:rsidRPr="00FB2F3D" w:rsidRDefault="008D0991" w:rsidP="00FD2C3F">
      <w:pPr>
        <w:pStyle w:val="S2Heading3"/>
        <w:rPr>
          <w:rFonts w:ascii="Arial" w:hAnsi="Arial" w:cs="Arial"/>
          <w:sz w:val="22"/>
          <w:szCs w:val="22"/>
        </w:rPr>
      </w:pPr>
      <w:bookmarkStart w:id="1002" w:name="_Toc410659072"/>
      <w:r w:rsidRPr="00FB2F3D">
        <w:rPr>
          <w:rFonts w:ascii="Arial" w:hAnsi="Arial" w:cs="Arial"/>
          <w:sz w:val="22"/>
          <w:szCs w:val="22"/>
        </w:rPr>
        <w:t xml:space="preserve">A </w:t>
      </w:r>
      <w:r w:rsidR="00162E0C" w:rsidRPr="00FB2F3D">
        <w:rPr>
          <w:rFonts w:ascii="Arial" w:hAnsi="Arial" w:cs="Arial"/>
          <w:sz w:val="22"/>
          <w:szCs w:val="22"/>
        </w:rPr>
        <w:t>Listed Entity</w:t>
      </w:r>
      <w:r w:rsidR="00B81749">
        <w:rPr>
          <w:rFonts w:ascii="Arial" w:hAnsi="Arial" w:cs="Arial"/>
          <w:sz w:val="22"/>
          <w:szCs w:val="22"/>
        </w:rPr>
        <w:t xml:space="preserve"> (or its Reporting Entity)</w:t>
      </w:r>
      <w:r w:rsidR="00162E0C" w:rsidRPr="00FB2F3D">
        <w:rPr>
          <w:rFonts w:ascii="Arial" w:hAnsi="Arial" w:cs="Arial"/>
          <w:sz w:val="22"/>
          <w:szCs w:val="22"/>
        </w:rPr>
        <w:t xml:space="preserve"> must, on the occurrence of an event</w:t>
      </w:r>
      <w:r w:rsidR="004069B2" w:rsidRPr="00FB2F3D">
        <w:rPr>
          <w:rFonts w:ascii="Arial" w:hAnsi="Arial" w:cs="Arial"/>
          <w:sz w:val="22"/>
          <w:szCs w:val="22"/>
        </w:rPr>
        <w:t xml:space="preserve"> or matter</w:t>
      </w:r>
      <w:r w:rsidR="00162E0C" w:rsidRPr="00FB2F3D">
        <w:rPr>
          <w:rFonts w:ascii="Arial" w:hAnsi="Arial" w:cs="Arial"/>
          <w:sz w:val="22"/>
          <w:szCs w:val="22"/>
        </w:rPr>
        <w:t xml:space="preserve"> specified in column 1, undertake the requirements detailed in column 2, within the time specified in column 3, in respect of the </w:t>
      </w:r>
      <w:r w:rsidR="004B46BD" w:rsidRPr="00FB2F3D">
        <w:rPr>
          <w:rFonts w:ascii="Arial" w:hAnsi="Arial" w:cs="Arial"/>
          <w:sz w:val="22"/>
          <w:szCs w:val="22"/>
        </w:rPr>
        <w:t>Securities</w:t>
      </w:r>
      <w:r w:rsidR="00162E0C" w:rsidRPr="00FB2F3D">
        <w:rPr>
          <w:rFonts w:ascii="Arial" w:hAnsi="Arial" w:cs="Arial"/>
          <w:sz w:val="22"/>
          <w:szCs w:val="22"/>
        </w:rPr>
        <w:t xml:space="preserve"> identified with a "</w:t>
      </w:r>
      <w:r w:rsidR="00162E0C" w:rsidRPr="00FB2F3D">
        <w:rPr>
          <w:rFonts w:ascii="Arial" w:hAnsi="Arial" w:cs="Arial"/>
          <w:sz w:val="22"/>
          <w:szCs w:val="22"/>
        </w:rPr>
        <w:sym w:font="Wingdings" w:char="F0FC"/>
      </w:r>
      <w:r w:rsidR="00162E0C" w:rsidRPr="00FB2F3D">
        <w:rPr>
          <w:rFonts w:ascii="Arial" w:hAnsi="Arial" w:cs="Arial"/>
          <w:sz w:val="22"/>
          <w:szCs w:val="22"/>
        </w:rPr>
        <w:t>" in column 4, of this Table.</w:t>
      </w:r>
      <w:bookmarkEnd w:id="1002"/>
    </w:p>
    <w:tbl>
      <w:tblPr>
        <w:tblStyle w:val="TableGrid"/>
        <w:tblW w:w="14170" w:type="dxa"/>
        <w:tblLayout w:type="fixed"/>
        <w:tblLook w:val="04A0" w:firstRow="1" w:lastRow="0" w:firstColumn="1" w:lastColumn="0" w:noHBand="0" w:noVBand="1"/>
      </w:tblPr>
      <w:tblGrid>
        <w:gridCol w:w="558"/>
        <w:gridCol w:w="3408"/>
        <w:gridCol w:w="2802"/>
        <w:gridCol w:w="2610"/>
        <w:gridCol w:w="630"/>
        <w:gridCol w:w="540"/>
        <w:gridCol w:w="630"/>
        <w:gridCol w:w="630"/>
        <w:gridCol w:w="540"/>
        <w:gridCol w:w="720"/>
        <w:gridCol w:w="630"/>
        <w:gridCol w:w="472"/>
      </w:tblGrid>
      <w:tr w:rsidR="00162E0C" w:rsidRPr="00FB2F3D" w14:paraId="55CEEF55" w14:textId="77777777" w:rsidTr="005B71DD">
        <w:trPr>
          <w:tblHeader/>
        </w:trPr>
        <w:tc>
          <w:tcPr>
            <w:tcW w:w="13698" w:type="dxa"/>
            <w:gridSpan w:val="11"/>
          </w:tcPr>
          <w:p w14:paraId="7645D106" w14:textId="77777777" w:rsidR="00162E0C" w:rsidRPr="00FB2F3D" w:rsidRDefault="00162E0C" w:rsidP="00FC2763">
            <w:pPr>
              <w:pStyle w:val="UK12Block"/>
              <w:keepNext/>
              <w:spacing w:after="0"/>
              <w:jc w:val="left"/>
              <w:rPr>
                <w:rFonts w:ascii="Arial" w:hAnsi="Arial" w:cs="Arial"/>
                <w:b/>
                <w:sz w:val="22"/>
                <w:szCs w:val="22"/>
              </w:rPr>
            </w:pPr>
            <w:r w:rsidRPr="00FB2F3D">
              <w:rPr>
                <w:rFonts w:ascii="Arial" w:hAnsi="Arial" w:cs="Arial"/>
                <w:b/>
                <w:sz w:val="22"/>
                <w:szCs w:val="22"/>
              </w:rPr>
              <w:t>A6.2.1</w:t>
            </w:r>
          </w:p>
        </w:tc>
        <w:tc>
          <w:tcPr>
            <w:tcW w:w="472" w:type="dxa"/>
          </w:tcPr>
          <w:p w14:paraId="6F70CF55" w14:textId="77777777" w:rsidR="00162E0C" w:rsidRPr="00FB2F3D" w:rsidRDefault="00162E0C" w:rsidP="00FC2763">
            <w:pPr>
              <w:pStyle w:val="UK12Block"/>
              <w:keepNext/>
              <w:spacing w:after="0"/>
              <w:jc w:val="left"/>
              <w:rPr>
                <w:rFonts w:ascii="Arial" w:hAnsi="Arial" w:cs="Arial"/>
                <w:b/>
                <w:sz w:val="22"/>
                <w:szCs w:val="22"/>
              </w:rPr>
            </w:pPr>
          </w:p>
        </w:tc>
      </w:tr>
      <w:tr w:rsidR="00162E0C" w:rsidRPr="00FB2F3D" w14:paraId="50595081" w14:textId="77777777" w:rsidTr="005B71DD">
        <w:trPr>
          <w:tblHeader/>
        </w:trPr>
        <w:tc>
          <w:tcPr>
            <w:tcW w:w="558" w:type="dxa"/>
          </w:tcPr>
          <w:p w14:paraId="7EC068AA" w14:textId="77777777" w:rsidR="00162E0C" w:rsidRPr="00FB2F3D" w:rsidRDefault="00162E0C" w:rsidP="00FC2763">
            <w:pPr>
              <w:pStyle w:val="UK12Block"/>
              <w:keepNext/>
              <w:spacing w:after="0"/>
              <w:jc w:val="left"/>
              <w:rPr>
                <w:rFonts w:ascii="Arial" w:hAnsi="Arial" w:cs="Arial"/>
                <w:sz w:val="22"/>
                <w:szCs w:val="22"/>
              </w:rPr>
            </w:pPr>
          </w:p>
        </w:tc>
        <w:tc>
          <w:tcPr>
            <w:tcW w:w="3408" w:type="dxa"/>
          </w:tcPr>
          <w:p w14:paraId="367C4B54" w14:textId="77777777" w:rsidR="00162E0C" w:rsidRPr="00FB2F3D" w:rsidRDefault="00162E0C" w:rsidP="00FC2763">
            <w:pPr>
              <w:pStyle w:val="UK12Block"/>
              <w:keepNext/>
              <w:spacing w:after="0"/>
              <w:jc w:val="left"/>
              <w:rPr>
                <w:rFonts w:ascii="Arial" w:hAnsi="Arial" w:cs="Arial"/>
                <w:b/>
                <w:sz w:val="22"/>
                <w:szCs w:val="22"/>
              </w:rPr>
            </w:pPr>
            <w:r w:rsidRPr="00FB2F3D">
              <w:rPr>
                <w:rFonts w:ascii="Arial" w:hAnsi="Arial" w:cs="Arial"/>
                <w:b/>
                <w:sz w:val="22"/>
                <w:szCs w:val="22"/>
              </w:rPr>
              <w:t>EVENT</w:t>
            </w:r>
            <w:r w:rsidR="004069B2" w:rsidRPr="00FB2F3D">
              <w:rPr>
                <w:rFonts w:ascii="Arial" w:hAnsi="Arial" w:cs="Arial"/>
                <w:b/>
                <w:sz w:val="22"/>
                <w:szCs w:val="22"/>
              </w:rPr>
              <w:t xml:space="preserve"> / MATTER</w:t>
            </w:r>
          </w:p>
        </w:tc>
        <w:tc>
          <w:tcPr>
            <w:tcW w:w="2802" w:type="dxa"/>
          </w:tcPr>
          <w:p w14:paraId="59629BDF" w14:textId="77777777" w:rsidR="00162E0C" w:rsidRPr="00FB2F3D" w:rsidRDefault="00162E0C" w:rsidP="00FC2763">
            <w:pPr>
              <w:pStyle w:val="UK12Block"/>
              <w:keepNext/>
              <w:spacing w:after="0"/>
              <w:jc w:val="left"/>
              <w:rPr>
                <w:rFonts w:ascii="Arial" w:hAnsi="Arial" w:cs="Arial"/>
                <w:b/>
                <w:sz w:val="22"/>
                <w:szCs w:val="22"/>
              </w:rPr>
            </w:pPr>
            <w:r w:rsidRPr="00FB2F3D">
              <w:rPr>
                <w:rFonts w:ascii="Arial" w:hAnsi="Arial" w:cs="Arial"/>
                <w:b/>
                <w:sz w:val="22"/>
                <w:szCs w:val="22"/>
              </w:rPr>
              <w:t>REQUIREMENTS</w:t>
            </w:r>
          </w:p>
        </w:tc>
        <w:tc>
          <w:tcPr>
            <w:tcW w:w="2610" w:type="dxa"/>
          </w:tcPr>
          <w:p w14:paraId="3702A95B" w14:textId="77777777" w:rsidR="00162E0C" w:rsidRPr="00FB2F3D" w:rsidRDefault="00162E0C" w:rsidP="00FC2763">
            <w:pPr>
              <w:pStyle w:val="UK12Block"/>
              <w:keepNext/>
              <w:spacing w:after="0"/>
              <w:jc w:val="left"/>
              <w:rPr>
                <w:rFonts w:ascii="Arial" w:hAnsi="Arial" w:cs="Arial"/>
                <w:b/>
                <w:sz w:val="22"/>
                <w:szCs w:val="22"/>
              </w:rPr>
            </w:pPr>
            <w:r w:rsidRPr="00FB2F3D">
              <w:rPr>
                <w:rFonts w:ascii="Arial" w:hAnsi="Arial" w:cs="Arial"/>
                <w:b/>
                <w:sz w:val="22"/>
                <w:szCs w:val="22"/>
              </w:rPr>
              <w:t xml:space="preserve">TIME </w:t>
            </w:r>
          </w:p>
        </w:tc>
        <w:tc>
          <w:tcPr>
            <w:tcW w:w="630" w:type="dxa"/>
            <w:vMerge w:val="restart"/>
            <w:textDirection w:val="tbRl"/>
            <w:vAlign w:val="bottom"/>
          </w:tcPr>
          <w:p w14:paraId="7C27DEBF" w14:textId="77777777" w:rsidR="00162E0C" w:rsidRPr="00FB2F3D" w:rsidRDefault="00162E0C" w:rsidP="00FC2763">
            <w:pPr>
              <w:pStyle w:val="UK10Block"/>
              <w:keepNext/>
              <w:spacing w:after="0"/>
              <w:jc w:val="left"/>
              <w:rPr>
                <w:rFonts w:ascii="Arial" w:hAnsi="Arial" w:cs="Arial"/>
                <w:sz w:val="22"/>
                <w:szCs w:val="22"/>
              </w:rPr>
            </w:pPr>
            <w:r w:rsidRPr="00FB2F3D">
              <w:rPr>
                <w:rFonts w:ascii="Arial" w:hAnsi="Arial" w:cs="Arial"/>
                <w:sz w:val="22"/>
                <w:szCs w:val="22"/>
              </w:rPr>
              <w:t>Structured Products</w:t>
            </w:r>
          </w:p>
        </w:tc>
        <w:tc>
          <w:tcPr>
            <w:tcW w:w="540" w:type="dxa"/>
            <w:vMerge w:val="restart"/>
            <w:textDirection w:val="tbRl"/>
            <w:vAlign w:val="bottom"/>
          </w:tcPr>
          <w:p w14:paraId="20994BA9" w14:textId="77777777" w:rsidR="00162E0C" w:rsidRPr="00FB2F3D" w:rsidRDefault="00162E0C" w:rsidP="00FC2763">
            <w:pPr>
              <w:pStyle w:val="UK10Block"/>
              <w:keepNext/>
              <w:spacing w:after="0"/>
              <w:jc w:val="left"/>
              <w:rPr>
                <w:rFonts w:ascii="Arial" w:hAnsi="Arial" w:cs="Arial"/>
                <w:sz w:val="22"/>
                <w:szCs w:val="22"/>
              </w:rPr>
            </w:pPr>
            <w:r w:rsidRPr="00FB2F3D">
              <w:rPr>
                <w:rFonts w:ascii="Arial" w:hAnsi="Arial" w:cs="Arial"/>
                <w:sz w:val="22"/>
                <w:szCs w:val="22"/>
              </w:rPr>
              <w:t>Shares</w:t>
            </w:r>
          </w:p>
        </w:tc>
        <w:tc>
          <w:tcPr>
            <w:tcW w:w="630" w:type="dxa"/>
            <w:vMerge w:val="restart"/>
            <w:textDirection w:val="tbRl"/>
            <w:vAlign w:val="bottom"/>
          </w:tcPr>
          <w:p w14:paraId="33F8590E" w14:textId="77777777" w:rsidR="00162E0C" w:rsidRPr="00FB2F3D" w:rsidRDefault="00162E0C" w:rsidP="00FC2763">
            <w:pPr>
              <w:pStyle w:val="UK10Block"/>
              <w:keepNext/>
              <w:spacing w:after="0"/>
              <w:jc w:val="left"/>
              <w:rPr>
                <w:rFonts w:ascii="Arial" w:hAnsi="Arial" w:cs="Arial"/>
                <w:sz w:val="22"/>
                <w:szCs w:val="22"/>
              </w:rPr>
            </w:pPr>
            <w:r w:rsidRPr="00FB2F3D">
              <w:rPr>
                <w:rFonts w:ascii="Arial" w:hAnsi="Arial" w:cs="Arial"/>
                <w:sz w:val="22"/>
                <w:szCs w:val="22"/>
              </w:rPr>
              <w:t>Warrants over Shares</w:t>
            </w:r>
          </w:p>
        </w:tc>
        <w:tc>
          <w:tcPr>
            <w:tcW w:w="630" w:type="dxa"/>
            <w:vMerge w:val="restart"/>
            <w:textDirection w:val="tbRl"/>
            <w:vAlign w:val="bottom"/>
          </w:tcPr>
          <w:p w14:paraId="597D2C93" w14:textId="77777777" w:rsidR="00162E0C" w:rsidRPr="00FB2F3D" w:rsidRDefault="00162E0C" w:rsidP="00FC2763">
            <w:pPr>
              <w:pStyle w:val="UK10Block"/>
              <w:keepNext/>
              <w:spacing w:after="0"/>
              <w:jc w:val="left"/>
              <w:rPr>
                <w:rFonts w:ascii="Arial" w:hAnsi="Arial" w:cs="Arial"/>
                <w:sz w:val="22"/>
                <w:szCs w:val="22"/>
              </w:rPr>
            </w:pPr>
            <w:r w:rsidRPr="00FB2F3D">
              <w:rPr>
                <w:rFonts w:ascii="Arial" w:hAnsi="Arial" w:cs="Arial"/>
                <w:sz w:val="22"/>
                <w:szCs w:val="22"/>
              </w:rPr>
              <w:t>Warrants over Debentures</w:t>
            </w:r>
          </w:p>
        </w:tc>
        <w:tc>
          <w:tcPr>
            <w:tcW w:w="540" w:type="dxa"/>
            <w:vMerge w:val="restart"/>
            <w:textDirection w:val="tbRl"/>
            <w:vAlign w:val="bottom"/>
          </w:tcPr>
          <w:p w14:paraId="3223EFF9" w14:textId="77777777" w:rsidR="00162E0C" w:rsidRPr="00FB2F3D" w:rsidRDefault="00162E0C" w:rsidP="00FC2763">
            <w:pPr>
              <w:pStyle w:val="UK10Block"/>
              <w:keepNext/>
              <w:spacing w:after="0"/>
              <w:jc w:val="left"/>
              <w:rPr>
                <w:rFonts w:ascii="Arial" w:hAnsi="Arial" w:cs="Arial"/>
                <w:sz w:val="22"/>
                <w:szCs w:val="22"/>
              </w:rPr>
            </w:pPr>
            <w:r w:rsidRPr="00FB2F3D">
              <w:rPr>
                <w:rFonts w:ascii="Arial" w:hAnsi="Arial" w:cs="Arial"/>
                <w:sz w:val="22"/>
                <w:szCs w:val="22"/>
              </w:rPr>
              <w:t>Debentures</w:t>
            </w:r>
          </w:p>
        </w:tc>
        <w:tc>
          <w:tcPr>
            <w:tcW w:w="1350" w:type="dxa"/>
            <w:gridSpan w:val="2"/>
          </w:tcPr>
          <w:p w14:paraId="27BA04DE" w14:textId="77777777" w:rsidR="00162E0C" w:rsidRPr="00FB2F3D" w:rsidRDefault="00162E0C" w:rsidP="00FC2763">
            <w:pPr>
              <w:pStyle w:val="UK10Block"/>
              <w:keepNext/>
              <w:spacing w:after="0"/>
              <w:jc w:val="left"/>
              <w:rPr>
                <w:rFonts w:ascii="Arial" w:hAnsi="Arial" w:cs="Arial"/>
                <w:sz w:val="22"/>
                <w:szCs w:val="22"/>
              </w:rPr>
            </w:pPr>
            <w:r w:rsidRPr="00FB2F3D">
              <w:rPr>
                <w:rFonts w:ascii="Arial" w:hAnsi="Arial" w:cs="Arial"/>
                <w:sz w:val="22"/>
                <w:szCs w:val="22"/>
              </w:rPr>
              <w:t>Certificates</w:t>
            </w:r>
          </w:p>
        </w:tc>
        <w:tc>
          <w:tcPr>
            <w:tcW w:w="472" w:type="dxa"/>
            <w:vMerge w:val="restart"/>
            <w:textDirection w:val="tbRl"/>
            <w:vAlign w:val="bottom"/>
          </w:tcPr>
          <w:p w14:paraId="26597139" w14:textId="77777777" w:rsidR="00162E0C" w:rsidRPr="00FB2F3D" w:rsidRDefault="00162E0C" w:rsidP="00FC2763">
            <w:pPr>
              <w:pStyle w:val="UK10Block"/>
              <w:keepNext/>
              <w:spacing w:after="0"/>
              <w:jc w:val="left"/>
              <w:rPr>
                <w:rFonts w:ascii="Arial" w:hAnsi="Arial" w:cs="Arial"/>
                <w:sz w:val="22"/>
                <w:szCs w:val="22"/>
              </w:rPr>
            </w:pPr>
            <w:r w:rsidRPr="00FB2F3D">
              <w:rPr>
                <w:rFonts w:ascii="Arial" w:hAnsi="Arial" w:cs="Arial"/>
                <w:sz w:val="22"/>
                <w:szCs w:val="22"/>
              </w:rPr>
              <w:t>Units</w:t>
            </w:r>
          </w:p>
        </w:tc>
      </w:tr>
      <w:tr w:rsidR="00162E0C" w:rsidRPr="00FB2F3D" w14:paraId="05F7D651" w14:textId="77777777" w:rsidTr="005B71DD">
        <w:trPr>
          <w:cantSplit/>
          <w:trHeight w:val="1457"/>
          <w:tblHeader/>
        </w:trPr>
        <w:tc>
          <w:tcPr>
            <w:tcW w:w="558" w:type="dxa"/>
          </w:tcPr>
          <w:p w14:paraId="0D723291" w14:textId="77777777" w:rsidR="00162E0C" w:rsidRPr="00FB2F3D" w:rsidRDefault="00162E0C" w:rsidP="00FC2763">
            <w:pPr>
              <w:pStyle w:val="UK12Block"/>
              <w:keepNext/>
              <w:spacing w:after="0"/>
              <w:jc w:val="left"/>
              <w:rPr>
                <w:rFonts w:ascii="Arial" w:hAnsi="Arial" w:cs="Arial"/>
                <w:sz w:val="22"/>
                <w:szCs w:val="22"/>
              </w:rPr>
            </w:pPr>
          </w:p>
        </w:tc>
        <w:tc>
          <w:tcPr>
            <w:tcW w:w="3408" w:type="dxa"/>
          </w:tcPr>
          <w:p w14:paraId="710AA603" w14:textId="77777777" w:rsidR="00162E0C" w:rsidRPr="00FB2F3D" w:rsidRDefault="00162E0C" w:rsidP="00FC2763">
            <w:pPr>
              <w:pStyle w:val="UK12Block"/>
              <w:keepNext/>
              <w:spacing w:after="0"/>
              <w:jc w:val="left"/>
              <w:rPr>
                <w:rFonts w:ascii="Arial" w:hAnsi="Arial" w:cs="Arial"/>
                <w:sz w:val="22"/>
                <w:szCs w:val="22"/>
              </w:rPr>
            </w:pPr>
          </w:p>
        </w:tc>
        <w:tc>
          <w:tcPr>
            <w:tcW w:w="2802" w:type="dxa"/>
          </w:tcPr>
          <w:p w14:paraId="408FA9EA" w14:textId="77777777" w:rsidR="00162E0C" w:rsidRPr="00FB2F3D" w:rsidRDefault="00162E0C" w:rsidP="00FC2763">
            <w:pPr>
              <w:pStyle w:val="UK12Block"/>
              <w:keepNext/>
              <w:spacing w:after="0"/>
              <w:jc w:val="left"/>
              <w:rPr>
                <w:rFonts w:ascii="Arial" w:hAnsi="Arial" w:cs="Arial"/>
                <w:sz w:val="22"/>
                <w:szCs w:val="22"/>
              </w:rPr>
            </w:pPr>
          </w:p>
        </w:tc>
        <w:tc>
          <w:tcPr>
            <w:tcW w:w="2610" w:type="dxa"/>
          </w:tcPr>
          <w:p w14:paraId="62765457" w14:textId="77777777" w:rsidR="00162E0C" w:rsidRPr="00FB2F3D" w:rsidRDefault="00162E0C" w:rsidP="00FC2763">
            <w:pPr>
              <w:pStyle w:val="UK12Block"/>
              <w:keepNext/>
              <w:spacing w:after="0"/>
              <w:jc w:val="left"/>
              <w:rPr>
                <w:rFonts w:ascii="Arial" w:hAnsi="Arial" w:cs="Arial"/>
                <w:sz w:val="22"/>
                <w:szCs w:val="22"/>
              </w:rPr>
            </w:pPr>
          </w:p>
        </w:tc>
        <w:tc>
          <w:tcPr>
            <w:tcW w:w="630" w:type="dxa"/>
            <w:vMerge/>
          </w:tcPr>
          <w:p w14:paraId="708E81BE" w14:textId="77777777" w:rsidR="00162E0C" w:rsidRPr="00FB2F3D" w:rsidRDefault="00162E0C" w:rsidP="00FC2763">
            <w:pPr>
              <w:pStyle w:val="UK10Block"/>
              <w:keepNext/>
              <w:spacing w:after="0"/>
              <w:jc w:val="left"/>
              <w:rPr>
                <w:rFonts w:ascii="Arial" w:hAnsi="Arial" w:cs="Arial"/>
                <w:sz w:val="22"/>
                <w:szCs w:val="22"/>
              </w:rPr>
            </w:pPr>
          </w:p>
        </w:tc>
        <w:tc>
          <w:tcPr>
            <w:tcW w:w="540" w:type="dxa"/>
            <w:vMerge/>
          </w:tcPr>
          <w:p w14:paraId="261444B2" w14:textId="77777777" w:rsidR="00162E0C" w:rsidRPr="00FB2F3D" w:rsidRDefault="00162E0C" w:rsidP="00FC2763">
            <w:pPr>
              <w:pStyle w:val="UK10Block"/>
              <w:keepNext/>
              <w:spacing w:after="0"/>
              <w:jc w:val="left"/>
              <w:rPr>
                <w:rFonts w:ascii="Arial" w:hAnsi="Arial" w:cs="Arial"/>
                <w:sz w:val="22"/>
                <w:szCs w:val="22"/>
              </w:rPr>
            </w:pPr>
          </w:p>
        </w:tc>
        <w:tc>
          <w:tcPr>
            <w:tcW w:w="630" w:type="dxa"/>
            <w:vMerge/>
          </w:tcPr>
          <w:p w14:paraId="729C1F14" w14:textId="77777777" w:rsidR="00162E0C" w:rsidRPr="00FB2F3D" w:rsidRDefault="00162E0C" w:rsidP="00FC2763">
            <w:pPr>
              <w:pStyle w:val="UK10Block"/>
              <w:keepNext/>
              <w:spacing w:after="0"/>
              <w:jc w:val="left"/>
              <w:rPr>
                <w:rFonts w:ascii="Arial" w:hAnsi="Arial" w:cs="Arial"/>
                <w:sz w:val="22"/>
                <w:szCs w:val="22"/>
              </w:rPr>
            </w:pPr>
          </w:p>
        </w:tc>
        <w:tc>
          <w:tcPr>
            <w:tcW w:w="630" w:type="dxa"/>
            <w:vMerge/>
          </w:tcPr>
          <w:p w14:paraId="6A6127DE" w14:textId="77777777" w:rsidR="00162E0C" w:rsidRPr="00FB2F3D" w:rsidRDefault="00162E0C" w:rsidP="00FC2763">
            <w:pPr>
              <w:pStyle w:val="UK10Block"/>
              <w:keepNext/>
              <w:spacing w:after="0"/>
              <w:jc w:val="left"/>
              <w:rPr>
                <w:rFonts w:ascii="Arial" w:hAnsi="Arial" w:cs="Arial"/>
                <w:sz w:val="22"/>
                <w:szCs w:val="22"/>
              </w:rPr>
            </w:pPr>
          </w:p>
        </w:tc>
        <w:tc>
          <w:tcPr>
            <w:tcW w:w="540" w:type="dxa"/>
            <w:vMerge/>
          </w:tcPr>
          <w:p w14:paraId="2C43552E" w14:textId="77777777" w:rsidR="00162E0C" w:rsidRPr="00FB2F3D" w:rsidRDefault="00162E0C" w:rsidP="00FC2763">
            <w:pPr>
              <w:pStyle w:val="UK10Block"/>
              <w:keepNext/>
              <w:spacing w:after="0"/>
              <w:jc w:val="left"/>
              <w:rPr>
                <w:rFonts w:ascii="Arial" w:hAnsi="Arial" w:cs="Arial"/>
                <w:sz w:val="22"/>
                <w:szCs w:val="22"/>
              </w:rPr>
            </w:pPr>
          </w:p>
        </w:tc>
        <w:tc>
          <w:tcPr>
            <w:tcW w:w="720" w:type="dxa"/>
            <w:textDirection w:val="tbRl"/>
            <w:vAlign w:val="bottom"/>
          </w:tcPr>
          <w:p w14:paraId="2E277DE9" w14:textId="77777777" w:rsidR="00162E0C" w:rsidRPr="00FB2F3D" w:rsidRDefault="00162E0C" w:rsidP="00FC2763">
            <w:pPr>
              <w:pStyle w:val="UK10Block"/>
              <w:keepNext/>
              <w:spacing w:after="0"/>
              <w:jc w:val="left"/>
              <w:rPr>
                <w:rFonts w:ascii="Arial" w:hAnsi="Arial" w:cs="Arial"/>
                <w:sz w:val="22"/>
                <w:szCs w:val="22"/>
              </w:rPr>
            </w:pPr>
            <w:r w:rsidRPr="00FB2F3D">
              <w:rPr>
                <w:rFonts w:ascii="Arial" w:hAnsi="Arial" w:cs="Arial"/>
                <w:sz w:val="22"/>
                <w:szCs w:val="22"/>
              </w:rPr>
              <w:t>Shares</w:t>
            </w:r>
          </w:p>
        </w:tc>
        <w:tc>
          <w:tcPr>
            <w:tcW w:w="630" w:type="dxa"/>
            <w:textDirection w:val="tbRl"/>
            <w:vAlign w:val="bottom"/>
          </w:tcPr>
          <w:p w14:paraId="3C160FF6" w14:textId="77777777" w:rsidR="00162E0C" w:rsidRPr="00FB2F3D" w:rsidRDefault="00162E0C" w:rsidP="00FC2763">
            <w:pPr>
              <w:pStyle w:val="UK10Block"/>
              <w:keepNext/>
              <w:spacing w:after="0"/>
              <w:jc w:val="left"/>
              <w:rPr>
                <w:rFonts w:ascii="Arial" w:hAnsi="Arial" w:cs="Arial"/>
                <w:sz w:val="22"/>
                <w:szCs w:val="22"/>
              </w:rPr>
            </w:pPr>
            <w:r w:rsidRPr="00FB2F3D">
              <w:rPr>
                <w:rFonts w:ascii="Arial" w:hAnsi="Arial" w:cs="Arial"/>
                <w:sz w:val="22"/>
                <w:szCs w:val="22"/>
              </w:rPr>
              <w:t>Debentures</w:t>
            </w:r>
          </w:p>
        </w:tc>
        <w:tc>
          <w:tcPr>
            <w:tcW w:w="472" w:type="dxa"/>
            <w:vMerge/>
          </w:tcPr>
          <w:p w14:paraId="356F32AD" w14:textId="77777777" w:rsidR="00162E0C" w:rsidRPr="00FB2F3D" w:rsidRDefault="00162E0C" w:rsidP="00FC2763">
            <w:pPr>
              <w:pStyle w:val="UK12Block"/>
              <w:keepNext/>
              <w:spacing w:after="0"/>
              <w:jc w:val="left"/>
              <w:rPr>
                <w:rFonts w:ascii="Arial" w:hAnsi="Arial" w:cs="Arial"/>
                <w:sz w:val="22"/>
                <w:szCs w:val="22"/>
              </w:rPr>
            </w:pPr>
          </w:p>
        </w:tc>
      </w:tr>
      <w:tr w:rsidR="00162E0C" w:rsidRPr="00FB2F3D" w14:paraId="74B0DD8C" w14:textId="77777777" w:rsidTr="005B71DD">
        <w:tc>
          <w:tcPr>
            <w:tcW w:w="14170" w:type="dxa"/>
            <w:gridSpan w:val="12"/>
          </w:tcPr>
          <w:p w14:paraId="0FE58F23" w14:textId="77777777" w:rsidR="00162E0C" w:rsidRPr="00FB2F3D" w:rsidRDefault="00162E0C" w:rsidP="00FC2763">
            <w:pPr>
              <w:pStyle w:val="UK12Block"/>
              <w:keepNext/>
              <w:spacing w:after="0"/>
              <w:jc w:val="left"/>
              <w:rPr>
                <w:rFonts w:ascii="Arial" w:hAnsi="Arial" w:cs="Arial"/>
                <w:b/>
                <w:sz w:val="22"/>
                <w:szCs w:val="22"/>
              </w:rPr>
            </w:pPr>
            <w:r w:rsidRPr="00FB2F3D">
              <w:rPr>
                <w:rFonts w:ascii="Arial" w:hAnsi="Arial" w:cs="Arial"/>
                <w:b/>
                <w:sz w:val="22"/>
                <w:szCs w:val="22"/>
              </w:rPr>
              <w:t>GENERAL</w:t>
            </w:r>
          </w:p>
        </w:tc>
      </w:tr>
      <w:tr w:rsidR="00162E0C" w:rsidRPr="00FB2F3D" w14:paraId="49150595" w14:textId="77777777" w:rsidTr="005B71DD">
        <w:tc>
          <w:tcPr>
            <w:tcW w:w="558" w:type="dxa"/>
          </w:tcPr>
          <w:p w14:paraId="403027AA" w14:textId="77777777" w:rsidR="00162E0C" w:rsidRPr="00FB2F3D" w:rsidRDefault="00162E0C" w:rsidP="00755725">
            <w:pPr>
              <w:pStyle w:val="UK12Block"/>
              <w:numPr>
                <w:ilvl w:val="0"/>
                <w:numId w:val="76"/>
              </w:numPr>
              <w:jc w:val="left"/>
              <w:rPr>
                <w:rFonts w:ascii="Arial" w:hAnsi="Arial" w:cs="Arial"/>
                <w:b/>
                <w:sz w:val="22"/>
                <w:szCs w:val="22"/>
              </w:rPr>
            </w:pPr>
          </w:p>
        </w:tc>
        <w:tc>
          <w:tcPr>
            <w:tcW w:w="3408" w:type="dxa"/>
          </w:tcPr>
          <w:p w14:paraId="126E7C80" w14:textId="77777777" w:rsidR="00162E0C" w:rsidRPr="00FB2F3D" w:rsidRDefault="00162E0C" w:rsidP="005260BB">
            <w:pPr>
              <w:pStyle w:val="UK12Block"/>
              <w:jc w:val="left"/>
              <w:rPr>
                <w:rFonts w:ascii="Arial" w:hAnsi="Arial" w:cs="Arial"/>
                <w:sz w:val="22"/>
                <w:szCs w:val="22"/>
              </w:rPr>
            </w:pPr>
            <w:r w:rsidRPr="00FB2F3D">
              <w:rPr>
                <w:rFonts w:ascii="Arial" w:hAnsi="Arial" w:cs="Arial"/>
                <w:sz w:val="22"/>
                <w:szCs w:val="22"/>
              </w:rPr>
              <w:t xml:space="preserve">Issue of further Debentures backed by the same asset, unless those further Debentures rank pari passu with or are subordinated to any class of Debentures which are already </w:t>
            </w:r>
            <w:r w:rsidR="005260BB" w:rsidRPr="00FB2F3D">
              <w:rPr>
                <w:rFonts w:ascii="Arial" w:hAnsi="Arial" w:cs="Arial"/>
                <w:sz w:val="22"/>
                <w:szCs w:val="22"/>
              </w:rPr>
              <w:t xml:space="preserve">admitted to </w:t>
            </w:r>
            <w:r w:rsidR="004069B2" w:rsidRPr="00FB2F3D">
              <w:rPr>
                <w:rFonts w:ascii="Arial" w:hAnsi="Arial" w:cs="Arial"/>
                <w:sz w:val="22"/>
                <w:szCs w:val="22"/>
              </w:rPr>
              <w:t>the Official List</w:t>
            </w:r>
            <w:r w:rsidRPr="00FB2F3D">
              <w:rPr>
                <w:rFonts w:ascii="Arial" w:hAnsi="Arial" w:cs="Arial"/>
                <w:sz w:val="22"/>
                <w:szCs w:val="22"/>
              </w:rPr>
              <w:t>.</w:t>
            </w:r>
          </w:p>
        </w:tc>
        <w:tc>
          <w:tcPr>
            <w:tcW w:w="2802" w:type="dxa"/>
          </w:tcPr>
          <w:p w14:paraId="33AB08E0"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Prior approval of the existing holders of the existing class of Debentures must be obtained.</w:t>
            </w:r>
          </w:p>
        </w:tc>
        <w:tc>
          <w:tcPr>
            <w:tcW w:w="2610" w:type="dxa"/>
          </w:tcPr>
          <w:p w14:paraId="43805310"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At all times.</w:t>
            </w:r>
          </w:p>
        </w:tc>
        <w:tc>
          <w:tcPr>
            <w:tcW w:w="630" w:type="dxa"/>
          </w:tcPr>
          <w:p w14:paraId="2CFF76EA" w14:textId="77777777" w:rsidR="00162E0C" w:rsidRPr="00FB2F3D" w:rsidRDefault="00162E0C" w:rsidP="00FC2763">
            <w:pPr>
              <w:pStyle w:val="UK12Block"/>
              <w:jc w:val="left"/>
              <w:rPr>
                <w:rFonts w:ascii="Arial" w:hAnsi="Arial" w:cs="Arial"/>
                <w:sz w:val="22"/>
                <w:szCs w:val="22"/>
              </w:rPr>
            </w:pPr>
          </w:p>
        </w:tc>
        <w:tc>
          <w:tcPr>
            <w:tcW w:w="540" w:type="dxa"/>
          </w:tcPr>
          <w:p w14:paraId="5F81AA46" w14:textId="77777777" w:rsidR="00162E0C" w:rsidRPr="00FB2F3D" w:rsidRDefault="00162E0C" w:rsidP="00FC2763">
            <w:pPr>
              <w:pStyle w:val="UK12Block"/>
              <w:jc w:val="left"/>
              <w:rPr>
                <w:rFonts w:ascii="Arial" w:hAnsi="Arial" w:cs="Arial"/>
                <w:sz w:val="22"/>
                <w:szCs w:val="22"/>
              </w:rPr>
            </w:pPr>
          </w:p>
        </w:tc>
        <w:tc>
          <w:tcPr>
            <w:tcW w:w="630" w:type="dxa"/>
          </w:tcPr>
          <w:p w14:paraId="0C6E3346" w14:textId="77777777" w:rsidR="00162E0C" w:rsidRPr="00FB2F3D" w:rsidRDefault="00162E0C" w:rsidP="00FC2763">
            <w:pPr>
              <w:pStyle w:val="UK12Block"/>
              <w:jc w:val="left"/>
              <w:rPr>
                <w:rFonts w:ascii="Arial" w:hAnsi="Arial" w:cs="Arial"/>
                <w:sz w:val="22"/>
                <w:szCs w:val="22"/>
              </w:rPr>
            </w:pPr>
          </w:p>
        </w:tc>
        <w:tc>
          <w:tcPr>
            <w:tcW w:w="630" w:type="dxa"/>
          </w:tcPr>
          <w:p w14:paraId="7AB1B0DC"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0DDADD1D"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2061584F" w14:textId="77777777" w:rsidR="00162E0C" w:rsidRPr="00FB2F3D" w:rsidRDefault="00162E0C" w:rsidP="00FC2763">
            <w:pPr>
              <w:pStyle w:val="UK12Block"/>
              <w:jc w:val="left"/>
              <w:rPr>
                <w:rFonts w:ascii="Arial" w:hAnsi="Arial" w:cs="Arial"/>
                <w:sz w:val="22"/>
                <w:szCs w:val="22"/>
              </w:rPr>
            </w:pPr>
          </w:p>
        </w:tc>
        <w:tc>
          <w:tcPr>
            <w:tcW w:w="630" w:type="dxa"/>
          </w:tcPr>
          <w:p w14:paraId="5185A012"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472" w:type="dxa"/>
          </w:tcPr>
          <w:p w14:paraId="0E5AB66C" w14:textId="77777777" w:rsidR="00162E0C" w:rsidRPr="00FB2F3D" w:rsidRDefault="00162E0C" w:rsidP="00FC2763">
            <w:pPr>
              <w:pStyle w:val="UK12Block"/>
              <w:jc w:val="left"/>
              <w:rPr>
                <w:rFonts w:ascii="Arial" w:hAnsi="Arial" w:cs="Arial"/>
                <w:sz w:val="22"/>
                <w:szCs w:val="22"/>
              </w:rPr>
            </w:pPr>
          </w:p>
        </w:tc>
      </w:tr>
      <w:tr w:rsidR="00162E0C" w:rsidRPr="00FB2F3D" w14:paraId="10C6E390" w14:textId="77777777" w:rsidTr="005B71DD">
        <w:tc>
          <w:tcPr>
            <w:tcW w:w="558" w:type="dxa"/>
          </w:tcPr>
          <w:p w14:paraId="4683EF62" w14:textId="77777777" w:rsidR="00162E0C" w:rsidRPr="00FB2F3D" w:rsidRDefault="00162E0C" w:rsidP="00755725">
            <w:pPr>
              <w:pStyle w:val="UK12Block"/>
              <w:numPr>
                <w:ilvl w:val="0"/>
                <w:numId w:val="76"/>
              </w:numPr>
              <w:jc w:val="left"/>
              <w:rPr>
                <w:rFonts w:ascii="Arial" w:hAnsi="Arial" w:cs="Arial"/>
                <w:b/>
                <w:sz w:val="22"/>
                <w:szCs w:val="22"/>
              </w:rPr>
            </w:pPr>
          </w:p>
        </w:tc>
        <w:tc>
          <w:tcPr>
            <w:tcW w:w="3408" w:type="dxa"/>
          </w:tcPr>
          <w:p w14:paraId="4E835CAA"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 xml:space="preserve">Proxy forms in the case of equity </w:t>
            </w:r>
            <w:r w:rsidR="004B46BD" w:rsidRPr="00FB2F3D">
              <w:rPr>
                <w:rFonts w:ascii="Arial" w:hAnsi="Arial" w:cs="Arial"/>
                <w:sz w:val="22"/>
                <w:szCs w:val="22"/>
              </w:rPr>
              <w:t>Securities</w:t>
            </w:r>
            <w:r w:rsidRPr="00FB2F3D">
              <w:rPr>
                <w:rFonts w:ascii="Arial" w:hAnsi="Arial" w:cs="Arial"/>
                <w:sz w:val="22"/>
                <w:szCs w:val="22"/>
              </w:rPr>
              <w:t>.</w:t>
            </w:r>
          </w:p>
        </w:tc>
        <w:tc>
          <w:tcPr>
            <w:tcW w:w="2802" w:type="dxa"/>
          </w:tcPr>
          <w:p w14:paraId="2086CC56"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The proxy form sent out must make provision for two</w:t>
            </w:r>
            <w:r w:rsidRPr="00FB2F3D">
              <w:rPr>
                <w:rFonts w:ascii="Arial" w:hAnsi="Arial" w:cs="Arial"/>
                <w:sz w:val="22"/>
                <w:szCs w:val="22"/>
              </w:rPr>
              <w:noBreakHyphen/>
              <w:t>way voting on all resolutions intended to be proposed at the meeting.</w:t>
            </w:r>
          </w:p>
        </w:tc>
        <w:tc>
          <w:tcPr>
            <w:tcW w:w="2610" w:type="dxa"/>
          </w:tcPr>
          <w:p w14:paraId="6E59CC44"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At the same time as the sending of the notice convening the meeting.</w:t>
            </w:r>
          </w:p>
        </w:tc>
        <w:tc>
          <w:tcPr>
            <w:tcW w:w="630" w:type="dxa"/>
          </w:tcPr>
          <w:p w14:paraId="05FE426B" w14:textId="77777777" w:rsidR="00162E0C" w:rsidRPr="00FB2F3D" w:rsidRDefault="00162E0C" w:rsidP="00FC2763">
            <w:pPr>
              <w:pStyle w:val="UK12Block"/>
              <w:jc w:val="left"/>
              <w:rPr>
                <w:rFonts w:ascii="Arial" w:hAnsi="Arial" w:cs="Arial"/>
                <w:sz w:val="22"/>
                <w:szCs w:val="22"/>
              </w:rPr>
            </w:pPr>
          </w:p>
        </w:tc>
        <w:tc>
          <w:tcPr>
            <w:tcW w:w="540" w:type="dxa"/>
          </w:tcPr>
          <w:p w14:paraId="0646C423"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63DF2E35"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03FC89A4"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0A38F8A7" w14:textId="77777777" w:rsidR="00162E0C" w:rsidRPr="00FB2F3D" w:rsidRDefault="00162E0C" w:rsidP="00FC2763">
            <w:pPr>
              <w:pStyle w:val="UK12Block"/>
              <w:jc w:val="left"/>
              <w:rPr>
                <w:rFonts w:ascii="Arial" w:hAnsi="Arial" w:cs="Arial"/>
                <w:sz w:val="22"/>
                <w:szCs w:val="22"/>
              </w:rPr>
            </w:pPr>
          </w:p>
        </w:tc>
        <w:tc>
          <w:tcPr>
            <w:tcW w:w="720" w:type="dxa"/>
          </w:tcPr>
          <w:p w14:paraId="46A7C841"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2DBA3830" w14:textId="77777777" w:rsidR="00162E0C" w:rsidRPr="00FB2F3D" w:rsidRDefault="00162E0C" w:rsidP="00FC2763">
            <w:pPr>
              <w:pStyle w:val="UK12Block"/>
              <w:jc w:val="left"/>
              <w:rPr>
                <w:rFonts w:ascii="Arial" w:hAnsi="Arial" w:cs="Arial"/>
                <w:sz w:val="22"/>
                <w:szCs w:val="22"/>
              </w:rPr>
            </w:pPr>
          </w:p>
        </w:tc>
        <w:tc>
          <w:tcPr>
            <w:tcW w:w="472" w:type="dxa"/>
          </w:tcPr>
          <w:p w14:paraId="5C0A435B"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r>
      <w:tr w:rsidR="00162E0C" w:rsidRPr="00FB2F3D" w14:paraId="4C000E0D" w14:textId="77777777" w:rsidTr="005B71DD">
        <w:tc>
          <w:tcPr>
            <w:tcW w:w="558" w:type="dxa"/>
          </w:tcPr>
          <w:p w14:paraId="3914B533" w14:textId="77777777" w:rsidR="00162E0C" w:rsidRPr="00FB2F3D" w:rsidRDefault="00162E0C" w:rsidP="00755725">
            <w:pPr>
              <w:pStyle w:val="UK12Block"/>
              <w:numPr>
                <w:ilvl w:val="0"/>
                <w:numId w:val="76"/>
              </w:numPr>
              <w:jc w:val="left"/>
              <w:rPr>
                <w:rFonts w:ascii="Arial" w:hAnsi="Arial" w:cs="Arial"/>
                <w:b/>
                <w:bCs/>
                <w:sz w:val="22"/>
                <w:szCs w:val="22"/>
              </w:rPr>
            </w:pPr>
          </w:p>
        </w:tc>
        <w:tc>
          <w:tcPr>
            <w:tcW w:w="3408" w:type="dxa"/>
          </w:tcPr>
          <w:p w14:paraId="6A782D9B"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Paying agency for Debentures and Structured Products.</w:t>
            </w:r>
          </w:p>
        </w:tc>
        <w:tc>
          <w:tcPr>
            <w:tcW w:w="2802" w:type="dxa"/>
          </w:tcPr>
          <w:p w14:paraId="1F7A8979"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 xml:space="preserve">The Listed Entity's paying agent must provide facilities for obtaining new </w:t>
            </w:r>
            <w:r w:rsidR="004B46BD" w:rsidRPr="00FB2F3D">
              <w:rPr>
                <w:rFonts w:ascii="Arial" w:hAnsi="Arial" w:cs="Arial"/>
                <w:sz w:val="22"/>
                <w:szCs w:val="22"/>
              </w:rPr>
              <w:t>Securities</w:t>
            </w:r>
            <w:r w:rsidRPr="00FB2F3D">
              <w:rPr>
                <w:rFonts w:ascii="Arial" w:hAnsi="Arial" w:cs="Arial"/>
                <w:sz w:val="22"/>
                <w:szCs w:val="22"/>
              </w:rPr>
              <w:t xml:space="preserve">, to replace those </w:t>
            </w:r>
            <w:r w:rsidR="004B46BD" w:rsidRPr="00FB2F3D">
              <w:rPr>
                <w:rFonts w:ascii="Arial" w:hAnsi="Arial" w:cs="Arial"/>
                <w:sz w:val="22"/>
                <w:szCs w:val="22"/>
              </w:rPr>
              <w:t>Securities</w:t>
            </w:r>
            <w:r w:rsidRPr="00FB2F3D">
              <w:rPr>
                <w:rFonts w:ascii="Arial" w:hAnsi="Arial" w:cs="Arial"/>
                <w:sz w:val="22"/>
                <w:szCs w:val="22"/>
              </w:rPr>
              <w:t xml:space="preserve"> which </w:t>
            </w:r>
            <w:r w:rsidRPr="00FB2F3D">
              <w:rPr>
                <w:rFonts w:ascii="Arial" w:hAnsi="Arial" w:cs="Arial"/>
                <w:sz w:val="22"/>
                <w:szCs w:val="22"/>
              </w:rPr>
              <w:lastRenderedPageBreak/>
              <w:t xml:space="preserve">have been damaged, lost or stolen or destroyed and for all other purposes provided for in the terms and conditions of the </w:t>
            </w:r>
            <w:r w:rsidR="004B46BD" w:rsidRPr="00FB2F3D">
              <w:rPr>
                <w:rFonts w:ascii="Arial" w:hAnsi="Arial" w:cs="Arial"/>
                <w:sz w:val="22"/>
                <w:szCs w:val="22"/>
              </w:rPr>
              <w:t>Securities</w:t>
            </w:r>
            <w:r w:rsidRPr="00FB2F3D">
              <w:rPr>
                <w:rFonts w:ascii="Arial" w:hAnsi="Arial" w:cs="Arial"/>
                <w:sz w:val="22"/>
                <w:szCs w:val="22"/>
              </w:rPr>
              <w:t>.</w:t>
            </w:r>
          </w:p>
        </w:tc>
        <w:tc>
          <w:tcPr>
            <w:tcW w:w="2610" w:type="dxa"/>
          </w:tcPr>
          <w:p w14:paraId="3AF8AB98"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lastRenderedPageBreak/>
              <w:t xml:space="preserve">At all times until the date on which no such </w:t>
            </w:r>
            <w:r w:rsidR="004B46BD" w:rsidRPr="00FB2F3D">
              <w:rPr>
                <w:rFonts w:ascii="Arial" w:hAnsi="Arial" w:cs="Arial"/>
                <w:sz w:val="22"/>
                <w:szCs w:val="22"/>
              </w:rPr>
              <w:t>Securities</w:t>
            </w:r>
            <w:r w:rsidRPr="00FB2F3D">
              <w:rPr>
                <w:rFonts w:ascii="Arial" w:hAnsi="Arial" w:cs="Arial"/>
                <w:sz w:val="22"/>
                <w:szCs w:val="22"/>
              </w:rPr>
              <w:t xml:space="preserve"> are outstanding.</w:t>
            </w:r>
          </w:p>
        </w:tc>
        <w:tc>
          <w:tcPr>
            <w:tcW w:w="630" w:type="dxa"/>
          </w:tcPr>
          <w:p w14:paraId="70DBA861"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35D779FD" w14:textId="77777777" w:rsidR="00162E0C" w:rsidRPr="00FB2F3D" w:rsidRDefault="00162E0C" w:rsidP="00FC2763">
            <w:pPr>
              <w:pStyle w:val="UK12Block"/>
              <w:jc w:val="left"/>
              <w:rPr>
                <w:rFonts w:ascii="Arial" w:hAnsi="Arial" w:cs="Arial"/>
                <w:sz w:val="22"/>
                <w:szCs w:val="22"/>
              </w:rPr>
            </w:pPr>
          </w:p>
        </w:tc>
        <w:tc>
          <w:tcPr>
            <w:tcW w:w="630" w:type="dxa"/>
          </w:tcPr>
          <w:p w14:paraId="266FB65A" w14:textId="77777777" w:rsidR="00162E0C" w:rsidRPr="00FB2F3D" w:rsidRDefault="00162E0C" w:rsidP="00FC2763">
            <w:pPr>
              <w:pStyle w:val="UK12Block"/>
              <w:jc w:val="left"/>
              <w:rPr>
                <w:rFonts w:ascii="Arial" w:hAnsi="Arial" w:cs="Arial"/>
                <w:sz w:val="22"/>
                <w:szCs w:val="22"/>
              </w:rPr>
            </w:pPr>
          </w:p>
        </w:tc>
        <w:tc>
          <w:tcPr>
            <w:tcW w:w="630" w:type="dxa"/>
          </w:tcPr>
          <w:p w14:paraId="26B37390"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4D651F1F"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3B67D0DD" w14:textId="77777777" w:rsidR="00162E0C" w:rsidRPr="00FB2F3D" w:rsidRDefault="00162E0C" w:rsidP="00FC2763">
            <w:pPr>
              <w:pStyle w:val="UK12Block"/>
              <w:jc w:val="left"/>
              <w:rPr>
                <w:rFonts w:ascii="Arial" w:hAnsi="Arial" w:cs="Arial"/>
                <w:sz w:val="22"/>
                <w:szCs w:val="22"/>
              </w:rPr>
            </w:pPr>
          </w:p>
        </w:tc>
        <w:tc>
          <w:tcPr>
            <w:tcW w:w="630" w:type="dxa"/>
          </w:tcPr>
          <w:p w14:paraId="18C477A5" w14:textId="77777777" w:rsidR="00162E0C" w:rsidRPr="00FB2F3D" w:rsidRDefault="00162E0C" w:rsidP="001C6060">
            <w:pPr>
              <w:pStyle w:val="UK12Block"/>
              <w:jc w:val="left"/>
              <w:rPr>
                <w:rFonts w:ascii="Arial" w:hAnsi="Arial" w:cs="Arial"/>
                <w:sz w:val="22"/>
                <w:szCs w:val="22"/>
              </w:rPr>
            </w:pPr>
            <w:r w:rsidRPr="00FB2F3D">
              <w:rPr>
                <w:rFonts w:ascii="Arial" w:hAnsi="Arial" w:cs="Arial"/>
                <w:sz w:val="22"/>
                <w:szCs w:val="22"/>
              </w:rPr>
              <w:sym w:font="Wingdings" w:char="F0FC"/>
            </w:r>
          </w:p>
        </w:tc>
        <w:tc>
          <w:tcPr>
            <w:tcW w:w="472" w:type="dxa"/>
          </w:tcPr>
          <w:p w14:paraId="442EA1C0" w14:textId="77777777" w:rsidR="00162E0C" w:rsidRPr="00FB2F3D" w:rsidRDefault="00162E0C" w:rsidP="00FC2763">
            <w:pPr>
              <w:pStyle w:val="UK12Block"/>
              <w:jc w:val="left"/>
              <w:rPr>
                <w:rFonts w:ascii="Arial" w:hAnsi="Arial" w:cs="Arial"/>
                <w:sz w:val="22"/>
                <w:szCs w:val="22"/>
              </w:rPr>
            </w:pPr>
          </w:p>
        </w:tc>
      </w:tr>
      <w:tr w:rsidR="00162E0C" w:rsidRPr="00FB2F3D" w14:paraId="4D533BA5" w14:textId="77777777" w:rsidTr="005B71DD">
        <w:tc>
          <w:tcPr>
            <w:tcW w:w="14170" w:type="dxa"/>
            <w:gridSpan w:val="12"/>
          </w:tcPr>
          <w:p w14:paraId="3927F79E" w14:textId="77777777" w:rsidR="00162E0C" w:rsidRPr="00FB2F3D" w:rsidRDefault="00162E0C" w:rsidP="00FC2763">
            <w:pPr>
              <w:pStyle w:val="UK12Block"/>
              <w:keepNext/>
              <w:spacing w:after="0"/>
              <w:jc w:val="left"/>
              <w:rPr>
                <w:rFonts w:ascii="Arial" w:hAnsi="Arial" w:cs="Arial"/>
                <w:b/>
                <w:sz w:val="22"/>
                <w:szCs w:val="22"/>
              </w:rPr>
            </w:pPr>
            <w:r w:rsidRPr="00FB2F3D">
              <w:rPr>
                <w:rFonts w:ascii="Arial" w:hAnsi="Arial" w:cs="Arial"/>
                <w:b/>
                <w:bCs/>
                <w:sz w:val="22"/>
                <w:szCs w:val="22"/>
              </w:rPr>
              <w:t>REGISTRATION</w:t>
            </w:r>
          </w:p>
        </w:tc>
      </w:tr>
      <w:tr w:rsidR="00162E0C" w:rsidRPr="00FB2F3D" w14:paraId="13A30456" w14:textId="77777777" w:rsidTr="005B71DD">
        <w:tc>
          <w:tcPr>
            <w:tcW w:w="558" w:type="dxa"/>
          </w:tcPr>
          <w:p w14:paraId="0D23FB37" w14:textId="77777777" w:rsidR="00162E0C" w:rsidRPr="00FB2F3D" w:rsidRDefault="00162E0C" w:rsidP="00755725">
            <w:pPr>
              <w:pStyle w:val="UK12Block"/>
              <w:numPr>
                <w:ilvl w:val="0"/>
                <w:numId w:val="76"/>
              </w:numPr>
              <w:jc w:val="left"/>
              <w:rPr>
                <w:rFonts w:ascii="Arial" w:hAnsi="Arial" w:cs="Arial"/>
                <w:b/>
                <w:bCs/>
                <w:sz w:val="22"/>
                <w:szCs w:val="22"/>
              </w:rPr>
            </w:pPr>
          </w:p>
        </w:tc>
        <w:tc>
          <w:tcPr>
            <w:tcW w:w="3408" w:type="dxa"/>
          </w:tcPr>
          <w:p w14:paraId="38693164"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Maintenance of the register.</w:t>
            </w:r>
          </w:p>
        </w:tc>
        <w:tc>
          <w:tcPr>
            <w:tcW w:w="2802" w:type="dxa"/>
          </w:tcPr>
          <w:p w14:paraId="36989CF3"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If the Listed Entity does not maintain its own register, the Listed Entity must make appropriate arrangements with its registrar to ensure compliance with any relevant continuing obligations in this Appendix.</w:t>
            </w:r>
          </w:p>
        </w:tc>
        <w:tc>
          <w:tcPr>
            <w:tcW w:w="2610" w:type="dxa"/>
          </w:tcPr>
          <w:p w14:paraId="17C9E508"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At all times.</w:t>
            </w:r>
          </w:p>
        </w:tc>
        <w:tc>
          <w:tcPr>
            <w:tcW w:w="630" w:type="dxa"/>
          </w:tcPr>
          <w:p w14:paraId="376413B6"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1555029D"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7951FE2C"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5990E694"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26EA9AB4"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113DA431"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04D09324"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472" w:type="dxa"/>
          </w:tcPr>
          <w:p w14:paraId="50A98D6A"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r>
      <w:tr w:rsidR="00162E0C" w:rsidRPr="00FB2F3D" w14:paraId="4CD39D26" w14:textId="77777777" w:rsidTr="005B71DD">
        <w:tc>
          <w:tcPr>
            <w:tcW w:w="558" w:type="dxa"/>
          </w:tcPr>
          <w:p w14:paraId="6FEA0F23" w14:textId="77777777" w:rsidR="00162E0C" w:rsidRPr="00FB2F3D" w:rsidRDefault="00162E0C" w:rsidP="00755725">
            <w:pPr>
              <w:pStyle w:val="UK12Block"/>
              <w:numPr>
                <w:ilvl w:val="0"/>
                <w:numId w:val="76"/>
              </w:numPr>
              <w:jc w:val="left"/>
              <w:rPr>
                <w:rFonts w:ascii="Arial" w:hAnsi="Arial" w:cs="Arial"/>
                <w:b/>
                <w:bCs/>
                <w:strike/>
                <w:sz w:val="22"/>
                <w:szCs w:val="22"/>
              </w:rPr>
            </w:pPr>
          </w:p>
        </w:tc>
        <w:tc>
          <w:tcPr>
            <w:tcW w:w="3408" w:type="dxa"/>
          </w:tcPr>
          <w:p w14:paraId="01539EE4"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 xml:space="preserve">Receipt of properly executed transfer documents or a request to split documents evidencing </w:t>
            </w:r>
            <w:r w:rsidR="004B46BD" w:rsidRPr="00FB2F3D">
              <w:rPr>
                <w:rFonts w:ascii="Arial" w:hAnsi="Arial" w:cs="Arial"/>
                <w:sz w:val="22"/>
                <w:szCs w:val="22"/>
              </w:rPr>
              <w:t>Securities</w:t>
            </w:r>
            <w:r w:rsidRPr="00FB2F3D">
              <w:rPr>
                <w:rFonts w:ascii="Arial" w:hAnsi="Arial" w:cs="Arial"/>
                <w:sz w:val="22"/>
                <w:szCs w:val="22"/>
              </w:rPr>
              <w:t>.</w:t>
            </w:r>
          </w:p>
        </w:tc>
        <w:tc>
          <w:tcPr>
            <w:tcW w:w="2802" w:type="dxa"/>
          </w:tcPr>
          <w:p w14:paraId="000336F9" w14:textId="7E5DE6EC"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The Listed Entity shall ensure that transfers are registered</w:t>
            </w:r>
            <w:r w:rsidR="00B81749">
              <w:rPr>
                <w:rFonts w:ascii="Arial" w:hAnsi="Arial" w:cs="Arial"/>
                <w:sz w:val="22"/>
                <w:szCs w:val="22"/>
              </w:rPr>
              <w:t xml:space="preserve"> by the registrar</w:t>
            </w:r>
            <w:r w:rsidRPr="00FB2F3D">
              <w:rPr>
                <w:rFonts w:ascii="Arial" w:hAnsi="Arial" w:cs="Arial"/>
                <w:sz w:val="22"/>
                <w:szCs w:val="22"/>
              </w:rPr>
              <w:t xml:space="preserve"> within seven </w:t>
            </w:r>
            <w:r w:rsidR="00936C69" w:rsidRPr="00FB2F3D">
              <w:rPr>
                <w:rFonts w:ascii="Arial" w:hAnsi="Arial" w:cs="Arial"/>
                <w:sz w:val="22"/>
                <w:szCs w:val="22"/>
              </w:rPr>
              <w:t>Business Day</w:t>
            </w:r>
            <w:r w:rsidRPr="00FB2F3D">
              <w:rPr>
                <w:rFonts w:ascii="Arial" w:hAnsi="Arial" w:cs="Arial"/>
                <w:sz w:val="22"/>
                <w:szCs w:val="22"/>
              </w:rPr>
              <w:t xml:space="preserve">s of receipt of the documents evidencing the </w:t>
            </w:r>
            <w:r w:rsidR="004B46BD" w:rsidRPr="00FB2F3D">
              <w:rPr>
                <w:rFonts w:ascii="Arial" w:hAnsi="Arial" w:cs="Arial"/>
                <w:sz w:val="22"/>
                <w:szCs w:val="22"/>
              </w:rPr>
              <w:t>Securities</w:t>
            </w:r>
            <w:r w:rsidR="00B81749">
              <w:rPr>
                <w:rFonts w:ascii="Arial" w:hAnsi="Arial" w:cs="Arial"/>
                <w:sz w:val="22"/>
                <w:szCs w:val="22"/>
              </w:rPr>
              <w:t>.</w:t>
            </w:r>
            <w:r w:rsidRPr="00FB2F3D">
              <w:rPr>
                <w:rFonts w:ascii="Arial" w:hAnsi="Arial" w:cs="Arial"/>
                <w:sz w:val="22"/>
                <w:szCs w:val="22"/>
              </w:rPr>
              <w:t xml:space="preserve"> </w:t>
            </w:r>
          </w:p>
        </w:tc>
        <w:tc>
          <w:tcPr>
            <w:tcW w:w="2610" w:type="dxa"/>
          </w:tcPr>
          <w:p w14:paraId="16608D08"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At all times.</w:t>
            </w:r>
          </w:p>
        </w:tc>
        <w:tc>
          <w:tcPr>
            <w:tcW w:w="630" w:type="dxa"/>
          </w:tcPr>
          <w:p w14:paraId="110F2F15"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0E8DE486"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74848E92"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1C5E7BA5"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6FBA37B0"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55F75778"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0CE36C3D"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472" w:type="dxa"/>
          </w:tcPr>
          <w:p w14:paraId="0BBC2B3E"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r>
      <w:tr w:rsidR="00162E0C" w:rsidRPr="00FB2F3D" w14:paraId="6B67CC36" w14:textId="77777777" w:rsidTr="005B71DD">
        <w:tc>
          <w:tcPr>
            <w:tcW w:w="558" w:type="dxa"/>
          </w:tcPr>
          <w:p w14:paraId="689D85E4" w14:textId="77777777" w:rsidR="00162E0C" w:rsidRPr="00FB2F3D" w:rsidRDefault="00162E0C" w:rsidP="00755725">
            <w:pPr>
              <w:pStyle w:val="UK12Block"/>
              <w:numPr>
                <w:ilvl w:val="0"/>
                <w:numId w:val="76"/>
              </w:numPr>
              <w:jc w:val="left"/>
              <w:rPr>
                <w:rFonts w:ascii="Arial" w:hAnsi="Arial" w:cs="Arial"/>
                <w:b/>
                <w:bCs/>
                <w:sz w:val="22"/>
                <w:szCs w:val="22"/>
              </w:rPr>
            </w:pPr>
          </w:p>
        </w:tc>
        <w:tc>
          <w:tcPr>
            <w:tcW w:w="3408" w:type="dxa"/>
          </w:tcPr>
          <w:p w14:paraId="7E267BBA"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 xml:space="preserve">Registration of transfers or other documents relating to or affecting the title to any </w:t>
            </w:r>
            <w:r w:rsidR="004B46BD" w:rsidRPr="00FB2F3D">
              <w:rPr>
                <w:rFonts w:ascii="Arial" w:hAnsi="Arial" w:cs="Arial"/>
                <w:sz w:val="22"/>
                <w:szCs w:val="22"/>
              </w:rPr>
              <w:t>Securities</w:t>
            </w:r>
            <w:r w:rsidRPr="00FB2F3D">
              <w:rPr>
                <w:rFonts w:ascii="Arial" w:hAnsi="Arial" w:cs="Arial"/>
                <w:sz w:val="22"/>
                <w:szCs w:val="22"/>
              </w:rPr>
              <w:t xml:space="preserve">, splitting documents evidencing </w:t>
            </w:r>
            <w:r w:rsidR="004B46BD" w:rsidRPr="00FB2F3D">
              <w:rPr>
                <w:rFonts w:ascii="Arial" w:hAnsi="Arial" w:cs="Arial"/>
                <w:sz w:val="22"/>
                <w:szCs w:val="22"/>
              </w:rPr>
              <w:t>Securities</w:t>
            </w:r>
            <w:r w:rsidRPr="00FB2F3D">
              <w:rPr>
                <w:rFonts w:ascii="Arial" w:hAnsi="Arial" w:cs="Arial"/>
                <w:sz w:val="22"/>
                <w:szCs w:val="22"/>
              </w:rPr>
              <w:t xml:space="preserve">, issuing documents evidencing </w:t>
            </w:r>
            <w:r w:rsidR="004B46BD" w:rsidRPr="00FB2F3D">
              <w:rPr>
                <w:rFonts w:ascii="Arial" w:hAnsi="Arial" w:cs="Arial"/>
                <w:sz w:val="22"/>
                <w:szCs w:val="22"/>
              </w:rPr>
              <w:t>Securities</w:t>
            </w:r>
            <w:r w:rsidRPr="00FB2F3D">
              <w:rPr>
                <w:rFonts w:ascii="Arial" w:hAnsi="Arial" w:cs="Arial"/>
                <w:sz w:val="22"/>
                <w:szCs w:val="22"/>
              </w:rPr>
              <w:t xml:space="preserve"> or marking or noting such documents.</w:t>
            </w:r>
          </w:p>
        </w:tc>
        <w:tc>
          <w:tcPr>
            <w:tcW w:w="2802" w:type="dxa"/>
          </w:tcPr>
          <w:p w14:paraId="25659119"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Subject to 6 above, the Listed Entity and its registrar shall not charge investors any fee for the registration.</w:t>
            </w:r>
          </w:p>
        </w:tc>
        <w:tc>
          <w:tcPr>
            <w:tcW w:w="2610" w:type="dxa"/>
          </w:tcPr>
          <w:p w14:paraId="447C2FBE"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At all times.</w:t>
            </w:r>
          </w:p>
        </w:tc>
        <w:tc>
          <w:tcPr>
            <w:tcW w:w="630" w:type="dxa"/>
          </w:tcPr>
          <w:p w14:paraId="6B4066AF"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20B03F89"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24823D45"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33753305"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32330E13"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6BAFBEC6"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5036A3E5"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472" w:type="dxa"/>
          </w:tcPr>
          <w:p w14:paraId="5B3A6CAB"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r>
      <w:tr w:rsidR="00162E0C" w:rsidRPr="00FB2F3D" w14:paraId="57351073" w14:textId="77777777" w:rsidTr="005B71DD">
        <w:tc>
          <w:tcPr>
            <w:tcW w:w="558" w:type="dxa"/>
          </w:tcPr>
          <w:p w14:paraId="081229A2" w14:textId="77777777" w:rsidR="00162E0C" w:rsidRPr="00FB2F3D" w:rsidRDefault="00162E0C" w:rsidP="00755725">
            <w:pPr>
              <w:pStyle w:val="UK12Block"/>
              <w:numPr>
                <w:ilvl w:val="0"/>
                <w:numId w:val="76"/>
              </w:numPr>
              <w:jc w:val="left"/>
              <w:rPr>
                <w:rFonts w:ascii="Arial" w:hAnsi="Arial" w:cs="Arial"/>
                <w:b/>
                <w:bCs/>
                <w:sz w:val="22"/>
                <w:szCs w:val="22"/>
              </w:rPr>
            </w:pPr>
          </w:p>
        </w:tc>
        <w:tc>
          <w:tcPr>
            <w:tcW w:w="3408" w:type="dxa"/>
          </w:tcPr>
          <w:p w14:paraId="3BD3E2A0" w14:textId="6F57394A"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 xml:space="preserve">Any </w:t>
            </w:r>
            <w:r w:rsidR="005B71DD">
              <w:rPr>
                <w:rFonts w:ascii="Arial" w:hAnsi="Arial" w:cs="Arial"/>
                <w:sz w:val="22"/>
                <w:szCs w:val="22"/>
              </w:rPr>
              <w:t xml:space="preserve">Disclosure </w:t>
            </w:r>
            <w:r w:rsidRPr="00FB2F3D">
              <w:rPr>
                <w:rFonts w:ascii="Arial" w:hAnsi="Arial" w:cs="Arial"/>
                <w:sz w:val="22"/>
                <w:szCs w:val="22"/>
              </w:rPr>
              <w:t xml:space="preserve">of the timetable for any proposed action affecting the rights of existing holders of its Listed </w:t>
            </w:r>
            <w:r w:rsidR="004B46BD" w:rsidRPr="00FB2F3D">
              <w:rPr>
                <w:rFonts w:ascii="Arial" w:hAnsi="Arial" w:cs="Arial"/>
                <w:sz w:val="22"/>
                <w:szCs w:val="22"/>
              </w:rPr>
              <w:t>Securities</w:t>
            </w:r>
            <w:r w:rsidRPr="00FB2F3D">
              <w:rPr>
                <w:rFonts w:ascii="Arial" w:hAnsi="Arial" w:cs="Arial"/>
                <w:sz w:val="22"/>
                <w:szCs w:val="22"/>
              </w:rPr>
              <w:t xml:space="preserve">. The </w:t>
            </w:r>
            <w:r w:rsidR="0035335F" w:rsidRPr="00FB2F3D">
              <w:rPr>
                <w:rFonts w:ascii="Arial" w:hAnsi="Arial" w:cs="Arial"/>
                <w:sz w:val="22"/>
                <w:szCs w:val="22"/>
              </w:rPr>
              <w:t>Regulator</w:t>
            </w:r>
            <w:r w:rsidRPr="00FB2F3D">
              <w:rPr>
                <w:rFonts w:ascii="Arial" w:hAnsi="Arial" w:cs="Arial"/>
                <w:sz w:val="22"/>
                <w:szCs w:val="22"/>
              </w:rPr>
              <w:t xml:space="preserve"> may request amendments to the timetable, if considered necessary for the purpose of maintaining an orderly market.</w:t>
            </w:r>
          </w:p>
        </w:tc>
        <w:tc>
          <w:tcPr>
            <w:tcW w:w="2802" w:type="dxa"/>
          </w:tcPr>
          <w:p w14:paraId="4AA9E57F"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 xml:space="preserve">Notify the </w:t>
            </w:r>
            <w:r w:rsidR="0035335F" w:rsidRPr="00FB2F3D">
              <w:rPr>
                <w:rFonts w:ascii="Arial" w:hAnsi="Arial" w:cs="Arial"/>
                <w:sz w:val="22"/>
                <w:szCs w:val="22"/>
              </w:rPr>
              <w:t>Regulator</w:t>
            </w:r>
            <w:r w:rsidRPr="00FB2F3D">
              <w:rPr>
                <w:rFonts w:ascii="Arial" w:hAnsi="Arial" w:cs="Arial"/>
                <w:sz w:val="22"/>
                <w:szCs w:val="22"/>
              </w:rPr>
              <w:t>.</w:t>
            </w:r>
          </w:p>
        </w:tc>
        <w:tc>
          <w:tcPr>
            <w:tcW w:w="2610" w:type="dxa"/>
          </w:tcPr>
          <w:p w14:paraId="72D61D03"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At least 24 hours in advance of proposed publication.</w:t>
            </w:r>
          </w:p>
        </w:tc>
        <w:tc>
          <w:tcPr>
            <w:tcW w:w="630" w:type="dxa"/>
          </w:tcPr>
          <w:p w14:paraId="1B24012A"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4F4D7283"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692EE5A7"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472D1E3F"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28EE23EA"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52E4975B"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268F659D"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472" w:type="dxa"/>
          </w:tcPr>
          <w:p w14:paraId="6639EC8F"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r>
      <w:tr w:rsidR="00162E0C" w:rsidRPr="00FB2F3D" w14:paraId="6FFEABDF" w14:textId="77777777" w:rsidTr="005B71DD">
        <w:tc>
          <w:tcPr>
            <w:tcW w:w="558" w:type="dxa"/>
          </w:tcPr>
          <w:p w14:paraId="29C4F833" w14:textId="77777777" w:rsidR="00162E0C" w:rsidRPr="00FB2F3D" w:rsidRDefault="00162E0C" w:rsidP="00755725">
            <w:pPr>
              <w:pStyle w:val="UK12Block"/>
              <w:numPr>
                <w:ilvl w:val="0"/>
                <w:numId w:val="76"/>
              </w:numPr>
              <w:jc w:val="left"/>
              <w:rPr>
                <w:rFonts w:ascii="Arial" w:hAnsi="Arial" w:cs="Arial"/>
                <w:b/>
                <w:bCs/>
                <w:sz w:val="22"/>
                <w:szCs w:val="22"/>
              </w:rPr>
            </w:pPr>
          </w:p>
        </w:tc>
        <w:tc>
          <w:tcPr>
            <w:tcW w:w="3408" w:type="dxa"/>
          </w:tcPr>
          <w:p w14:paraId="04729000" w14:textId="01023F2B"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 xml:space="preserve">Any proposed amendments to a timetable, including amendment to the publication details of </w:t>
            </w:r>
            <w:r w:rsidR="005B71DD">
              <w:rPr>
                <w:rFonts w:ascii="Arial" w:hAnsi="Arial" w:cs="Arial"/>
                <w:sz w:val="22"/>
                <w:szCs w:val="22"/>
              </w:rPr>
              <w:t>a Disclosure</w:t>
            </w:r>
            <w:r w:rsidRPr="00FB2F3D">
              <w:rPr>
                <w:rFonts w:ascii="Arial" w:hAnsi="Arial" w:cs="Arial"/>
                <w:sz w:val="22"/>
                <w:szCs w:val="22"/>
              </w:rPr>
              <w:t>.</w:t>
            </w:r>
          </w:p>
        </w:tc>
        <w:tc>
          <w:tcPr>
            <w:tcW w:w="2802" w:type="dxa"/>
          </w:tcPr>
          <w:p w14:paraId="3A0B10D0"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 xml:space="preserve">Notify the </w:t>
            </w:r>
            <w:r w:rsidR="0035335F" w:rsidRPr="00FB2F3D">
              <w:rPr>
                <w:rFonts w:ascii="Arial" w:hAnsi="Arial" w:cs="Arial"/>
                <w:sz w:val="22"/>
                <w:szCs w:val="22"/>
              </w:rPr>
              <w:t>Regulator</w:t>
            </w:r>
            <w:r w:rsidRPr="00FB2F3D">
              <w:rPr>
                <w:rFonts w:ascii="Arial" w:hAnsi="Arial" w:cs="Arial"/>
                <w:sz w:val="22"/>
                <w:szCs w:val="22"/>
              </w:rPr>
              <w:t>.</w:t>
            </w:r>
          </w:p>
        </w:tc>
        <w:tc>
          <w:tcPr>
            <w:tcW w:w="2610" w:type="dxa"/>
          </w:tcPr>
          <w:p w14:paraId="5590D9F9"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Immediate.</w:t>
            </w:r>
          </w:p>
        </w:tc>
        <w:tc>
          <w:tcPr>
            <w:tcW w:w="630" w:type="dxa"/>
          </w:tcPr>
          <w:p w14:paraId="3106FA34"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73B96113"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29CDFAFB"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5E224A5F"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648BFA86"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6916C29D"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2934FC5E"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472" w:type="dxa"/>
          </w:tcPr>
          <w:p w14:paraId="70C27B3C"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r>
      <w:tr w:rsidR="00162E0C" w:rsidRPr="00FB2F3D" w14:paraId="102E41E8" w14:textId="77777777" w:rsidTr="005B71DD">
        <w:tc>
          <w:tcPr>
            <w:tcW w:w="558" w:type="dxa"/>
          </w:tcPr>
          <w:p w14:paraId="18148C9D" w14:textId="77777777" w:rsidR="00162E0C" w:rsidRPr="00FB2F3D" w:rsidRDefault="00162E0C" w:rsidP="00755725">
            <w:pPr>
              <w:pStyle w:val="UK12Block"/>
              <w:numPr>
                <w:ilvl w:val="0"/>
                <w:numId w:val="76"/>
              </w:numPr>
              <w:jc w:val="left"/>
              <w:rPr>
                <w:rFonts w:ascii="Arial" w:hAnsi="Arial" w:cs="Arial"/>
                <w:b/>
                <w:bCs/>
                <w:sz w:val="22"/>
                <w:szCs w:val="22"/>
              </w:rPr>
            </w:pPr>
          </w:p>
        </w:tc>
        <w:tc>
          <w:tcPr>
            <w:tcW w:w="3408" w:type="dxa"/>
          </w:tcPr>
          <w:p w14:paraId="67632D96"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 xml:space="preserve">All proposed drawings to effect partial redemptions and, in the case of registered Debentures </w:t>
            </w:r>
            <w:r w:rsidRPr="00FB2F3D">
              <w:rPr>
                <w:rFonts w:ascii="Arial" w:hAnsi="Arial" w:cs="Arial"/>
                <w:sz w:val="22"/>
                <w:szCs w:val="22"/>
              </w:rPr>
              <w:lastRenderedPageBreak/>
              <w:t>or Structured Products, the date on which it is proposed to close the books for the purpose of making a drawing.</w:t>
            </w:r>
          </w:p>
        </w:tc>
        <w:tc>
          <w:tcPr>
            <w:tcW w:w="2802" w:type="dxa"/>
          </w:tcPr>
          <w:p w14:paraId="62D8C96D" w14:textId="2C3622F4" w:rsidR="00162E0C" w:rsidRPr="00FB2F3D" w:rsidRDefault="00162E0C" w:rsidP="00CE1569">
            <w:pPr>
              <w:pStyle w:val="UK12Block"/>
              <w:jc w:val="left"/>
              <w:rPr>
                <w:rFonts w:ascii="Arial" w:hAnsi="Arial" w:cs="Arial"/>
                <w:sz w:val="22"/>
                <w:szCs w:val="22"/>
              </w:rPr>
            </w:pPr>
            <w:r w:rsidRPr="00FB2F3D">
              <w:rPr>
                <w:rFonts w:ascii="Arial" w:hAnsi="Arial" w:cs="Arial"/>
                <w:sz w:val="22"/>
                <w:szCs w:val="22"/>
              </w:rPr>
              <w:lastRenderedPageBreak/>
              <w:t xml:space="preserve">The </w:t>
            </w:r>
            <w:r w:rsidR="0035335F" w:rsidRPr="00FB2F3D">
              <w:rPr>
                <w:rFonts w:ascii="Arial" w:hAnsi="Arial" w:cs="Arial"/>
                <w:sz w:val="22"/>
                <w:szCs w:val="22"/>
              </w:rPr>
              <w:t>Regulator</w:t>
            </w:r>
            <w:r w:rsidRPr="00FB2F3D">
              <w:rPr>
                <w:rFonts w:ascii="Arial" w:hAnsi="Arial" w:cs="Arial"/>
                <w:sz w:val="22"/>
                <w:szCs w:val="22"/>
              </w:rPr>
              <w:t xml:space="preserve"> must be </w:t>
            </w:r>
            <w:r w:rsidR="005B71DD">
              <w:rPr>
                <w:rFonts w:ascii="Arial" w:hAnsi="Arial" w:cs="Arial"/>
                <w:sz w:val="22"/>
                <w:szCs w:val="22"/>
              </w:rPr>
              <w:t>notified</w:t>
            </w:r>
            <w:r w:rsidRPr="00FB2F3D">
              <w:rPr>
                <w:rFonts w:ascii="Arial" w:hAnsi="Arial" w:cs="Arial"/>
                <w:sz w:val="22"/>
                <w:szCs w:val="22"/>
              </w:rPr>
              <w:t xml:space="preserve"> of the outstanding amount of the </w:t>
            </w:r>
            <w:r w:rsidR="004B46BD" w:rsidRPr="00FB2F3D">
              <w:rPr>
                <w:rFonts w:ascii="Arial" w:hAnsi="Arial" w:cs="Arial"/>
                <w:sz w:val="22"/>
                <w:szCs w:val="22"/>
              </w:rPr>
              <w:t>Securities</w:t>
            </w:r>
            <w:r w:rsidRPr="00FB2F3D">
              <w:rPr>
                <w:rFonts w:ascii="Arial" w:hAnsi="Arial" w:cs="Arial"/>
                <w:sz w:val="22"/>
                <w:szCs w:val="22"/>
              </w:rPr>
              <w:t xml:space="preserve"> </w:t>
            </w:r>
            <w:r w:rsidRPr="00FB2F3D">
              <w:rPr>
                <w:rFonts w:ascii="Arial" w:hAnsi="Arial" w:cs="Arial"/>
                <w:sz w:val="22"/>
                <w:szCs w:val="22"/>
              </w:rPr>
              <w:lastRenderedPageBreak/>
              <w:t xml:space="preserve">which are </w:t>
            </w:r>
            <w:r w:rsidR="00CE1569" w:rsidRPr="00FB2F3D">
              <w:rPr>
                <w:rFonts w:ascii="Arial" w:hAnsi="Arial" w:cs="Arial"/>
                <w:sz w:val="22"/>
                <w:szCs w:val="22"/>
              </w:rPr>
              <w:t xml:space="preserve">admitted to </w:t>
            </w:r>
            <w:r w:rsidR="004069B2" w:rsidRPr="00FB2F3D">
              <w:rPr>
                <w:rFonts w:ascii="Arial" w:hAnsi="Arial" w:cs="Arial"/>
                <w:sz w:val="22"/>
                <w:szCs w:val="22"/>
              </w:rPr>
              <w:t>the Official List</w:t>
            </w:r>
            <w:r w:rsidRPr="00FB2F3D">
              <w:rPr>
                <w:rFonts w:ascii="Arial" w:hAnsi="Arial" w:cs="Arial"/>
                <w:sz w:val="22"/>
                <w:szCs w:val="22"/>
              </w:rPr>
              <w:t xml:space="preserve"> after any such drawing has been made, for publication by the </w:t>
            </w:r>
            <w:r w:rsidR="0035335F" w:rsidRPr="00FB2F3D">
              <w:rPr>
                <w:rFonts w:ascii="Arial" w:hAnsi="Arial" w:cs="Arial"/>
                <w:sz w:val="22"/>
                <w:szCs w:val="22"/>
              </w:rPr>
              <w:t>Regulator</w:t>
            </w:r>
            <w:r w:rsidRPr="00FB2F3D">
              <w:rPr>
                <w:rFonts w:ascii="Arial" w:hAnsi="Arial" w:cs="Arial"/>
                <w:sz w:val="22"/>
                <w:szCs w:val="22"/>
              </w:rPr>
              <w:t>.</w:t>
            </w:r>
          </w:p>
        </w:tc>
        <w:tc>
          <w:tcPr>
            <w:tcW w:w="2610" w:type="dxa"/>
          </w:tcPr>
          <w:p w14:paraId="31B4570E" w14:textId="77777777" w:rsidR="00FC2763" w:rsidRPr="00FB2F3D" w:rsidRDefault="00162E0C" w:rsidP="00FC2763">
            <w:pPr>
              <w:pStyle w:val="UK12Block"/>
              <w:jc w:val="left"/>
              <w:rPr>
                <w:rFonts w:ascii="Arial" w:hAnsi="Arial" w:cs="Arial"/>
                <w:sz w:val="22"/>
                <w:szCs w:val="22"/>
              </w:rPr>
            </w:pPr>
            <w:r w:rsidRPr="00FB2F3D">
              <w:rPr>
                <w:rFonts w:ascii="Arial" w:hAnsi="Arial" w:cs="Arial"/>
                <w:sz w:val="22"/>
                <w:szCs w:val="22"/>
              </w:rPr>
              <w:lastRenderedPageBreak/>
              <w:t>In advance.</w:t>
            </w:r>
          </w:p>
          <w:p w14:paraId="6E7C829C"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lastRenderedPageBreak/>
              <w:t>As soon as possible.</w:t>
            </w:r>
          </w:p>
        </w:tc>
        <w:tc>
          <w:tcPr>
            <w:tcW w:w="630" w:type="dxa"/>
          </w:tcPr>
          <w:p w14:paraId="39AB824C"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lastRenderedPageBreak/>
              <w:sym w:font="Wingdings" w:char="F0FC"/>
            </w:r>
          </w:p>
        </w:tc>
        <w:tc>
          <w:tcPr>
            <w:tcW w:w="540" w:type="dxa"/>
          </w:tcPr>
          <w:p w14:paraId="03B27F8B" w14:textId="77777777" w:rsidR="00162E0C" w:rsidRPr="00FB2F3D" w:rsidRDefault="00162E0C" w:rsidP="00FC2763">
            <w:pPr>
              <w:pStyle w:val="UK12Block"/>
              <w:jc w:val="left"/>
              <w:rPr>
                <w:rFonts w:ascii="Arial" w:hAnsi="Arial" w:cs="Arial"/>
                <w:sz w:val="22"/>
                <w:szCs w:val="22"/>
              </w:rPr>
            </w:pPr>
          </w:p>
        </w:tc>
        <w:tc>
          <w:tcPr>
            <w:tcW w:w="630" w:type="dxa"/>
          </w:tcPr>
          <w:p w14:paraId="71D3BA7B" w14:textId="77777777" w:rsidR="00162E0C" w:rsidRPr="00FB2F3D" w:rsidRDefault="00162E0C" w:rsidP="00FC2763">
            <w:pPr>
              <w:pStyle w:val="UK12Block"/>
              <w:jc w:val="left"/>
              <w:rPr>
                <w:rFonts w:ascii="Arial" w:hAnsi="Arial" w:cs="Arial"/>
                <w:sz w:val="22"/>
                <w:szCs w:val="22"/>
              </w:rPr>
            </w:pPr>
          </w:p>
        </w:tc>
        <w:tc>
          <w:tcPr>
            <w:tcW w:w="630" w:type="dxa"/>
          </w:tcPr>
          <w:p w14:paraId="62A5E95B" w14:textId="77777777" w:rsidR="00162E0C" w:rsidRPr="00FB2F3D" w:rsidRDefault="00162E0C" w:rsidP="00FC2763">
            <w:pPr>
              <w:pStyle w:val="UK12Block"/>
              <w:jc w:val="left"/>
              <w:rPr>
                <w:rFonts w:ascii="Arial" w:hAnsi="Arial" w:cs="Arial"/>
                <w:sz w:val="22"/>
                <w:szCs w:val="22"/>
              </w:rPr>
            </w:pPr>
          </w:p>
        </w:tc>
        <w:tc>
          <w:tcPr>
            <w:tcW w:w="540" w:type="dxa"/>
          </w:tcPr>
          <w:p w14:paraId="11F63ED3"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2ED4D44F" w14:textId="77777777" w:rsidR="00162E0C" w:rsidRPr="00FB2F3D" w:rsidRDefault="00162E0C" w:rsidP="00FC2763">
            <w:pPr>
              <w:pStyle w:val="UK12Block"/>
              <w:jc w:val="left"/>
              <w:rPr>
                <w:rFonts w:ascii="Arial" w:hAnsi="Arial" w:cs="Arial"/>
                <w:sz w:val="22"/>
                <w:szCs w:val="22"/>
              </w:rPr>
            </w:pPr>
          </w:p>
        </w:tc>
        <w:tc>
          <w:tcPr>
            <w:tcW w:w="630" w:type="dxa"/>
          </w:tcPr>
          <w:p w14:paraId="35E1A242"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472" w:type="dxa"/>
          </w:tcPr>
          <w:p w14:paraId="2C1A835D" w14:textId="77777777" w:rsidR="00162E0C" w:rsidRPr="00FB2F3D" w:rsidRDefault="00162E0C" w:rsidP="00FC2763">
            <w:pPr>
              <w:pStyle w:val="UK12Block"/>
              <w:jc w:val="left"/>
              <w:rPr>
                <w:rFonts w:ascii="Arial" w:hAnsi="Arial" w:cs="Arial"/>
                <w:sz w:val="22"/>
                <w:szCs w:val="22"/>
              </w:rPr>
            </w:pPr>
          </w:p>
        </w:tc>
      </w:tr>
      <w:tr w:rsidR="00162E0C" w:rsidRPr="00FB2F3D" w14:paraId="1C49D970" w14:textId="77777777" w:rsidTr="005B71DD">
        <w:tc>
          <w:tcPr>
            <w:tcW w:w="558" w:type="dxa"/>
          </w:tcPr>
          <w:p w14:paraId="59A320D2" w14:textId="77777777" w:rsidR="00162E0C" w:rsidRPr="00FB2F3D" w:rsidRDefault="00162E0C" w:rsidP="00755725">
            <w:pPr>
              <w:pStyle w:val="UK12Block"/>
              <w:numPr>
                <w:ilvl w:val="0"/>
                <w:numId w:val="76"/>
              </w:numPr>
              <w:jc w:val="left"/>
              <w:rPr>
                <w:rFonts w:ascii="Arial" w:hAnsi="Arial" w:cs="Arial"/>
                <w:b/>
                <w:bCs/>
                <w:sz w:val="22"/>
                <w:szCs w:val="22"/>
              </w:rPr>
            </w:pPr>
          </w:p>
        </w:tc>
        <w:tc>
          <w:tcPr>
            <w:tcW w:w="3408" w:type="dxa"/>
          </w:tcPr>
          <w:p w14:paraId="622EF353"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Any proposed decision with regard to:</w:t>
            </w:r>
          </w:p>
          <w:p w14:paraId="3E39AB97" w14:textId="77777777" w:rsidR="00162E0C" w:rsidRPr="00FB2F3D" w:rsidRDefault="00162E0C" w:rsidP="00755725">
            <w:pPr>
              <w:pStyle w:val="UK12Block"/>
              <w:numPr>
                <w:ilvl w:val="0"/>
                <w:numId w:val="80"/>
              </w:numPr>
              <w:jc w:val="left"/>
              <w:rPr>
                <w:rFonts w:ascii="Arial" w:hAnsi="Arial" w:cs="Arial"/>
                <w:sz w:val="22"/>
                <w:szCs w:val="22"/>
              </w:rPr>
            </w:pPr>
            <w:r w:rsidRPr="00FB2F3D">
              <w:rPr>
                <w:rFonts w:ascii="Arial" w:hAnsi="Arial" w:cs="Arial"/>
                <w:sz w:val="22"/>
                <w:szCs w:val="22"/>
              </w:rPr>
              <w:t xml:space="preserve">any alteration of the Listed Entity's constitution and, in the case of Debentures and Structured Products, any change in the trust deed or other document securing or constituting the </w:t>
            </w:r>
            <w:r w:rsidR="004B46BD" w:rsidRPr="00FB2F3D">
              <w:rPr>
                <w:rFonts w:ascii="Arial" w:hAnsi="Arial" w:cs="Arial"/>
                <w:sz w:val="22"/>
                <w:szCs w:val="22"/>
              </w:rPr>
              <w:t>Securities</w:t>
            </w:r>
            <w:r w:rsidRPr="00FB2F3D">
              <w:rPr>
                <w:rFonts w:ascii="Arial" w:hAnsi="Arial" w:cs="Arial"/>
                <w:sz w:val="22"/>
                <w:szCs w:val="22"/>
              </w:rPr>
              <w:t>;</w:t>
            </w:r>
          </w:p>
          <w:p w14:paraId="4578A409" w14:textId="77777777" w:rsidR="004079C1" w:rsidRPr="00FB2F3D" w:rsidRDefault="00162E0C" w:rsidP="00755725">
            <w:pPr>
              <w:pStyle w:val="UK12Block"/>
              <w:numPr>
                <w:ilvl w:val="0"/>
                <w:numId w:val="80"/>
              </w:numPr>
              <w:jc w:val="left"/>
              <w:rPr>
                <w:rFonts w:ascii="Arial" w:hAnsi="Arial" w:cs="Arial"/>
                <w:sz w:val="22"/>
                <w:szCs w:val="22"/>
              </w:rPr>
            </w:pPr>
            <w:r w:rsidRPr="00FB2F3D">
              <w:rPr>
                <w:rFonts w:ascii="Arial" w:hAnsi="Arial" w:cs="Arial"/>
                <w:sz w:val="22"/>
                <w:szCs w:val="22"/>
              </w:rPr>
              <w:t>any change in the domicile of incorporation or other establishment of the Listed Entity;</w:t>
            </w:r>
          </w:p>
          <w:p w14:paraId="4039C17D" w14:textId="77777777" w:rsidR="00162E0C" w:rsidRPr="00FB2F3D" w:rsidRDefault="00162E0C" w:rsidP="00755725">
            <w:pPr>
              <w:pStyle w:val="UK12Block"/>
              <w:numPr>
                <w:ilvl w:val="0"/>
                <w:numId w:val="80"/>
              </w:numPr>
              <w:jc w:val="left"/>
              <w:rPr>
                <w:rFonts w:ascii="Arial" w:hAnsi="Arial" w:cs="Arial"/>
                <w:sz w:val="22"/>
                <w:szCs w:val="22"/>
              </w:rPr>
            </w:pPr>
            <w:r w:rsidRPr="00FB2F3D">
              <w:rPr>
                <w:rFonts w:ascii="Arial" w:hAnsi="Arial" w:cs="Arial"/>
                <w:sz w:val="22"/>
                <w:szCs w:val="22"/>
              </w:rPr>
              <w:t xml:space="preserve">any change in the rights attaching to any class of </w:t>
            </w:r>
            <w:r w:rsidR="004B46BD" w:rsidRPr="00FB2F3D">
              <w:rPr>
                <w:rFonts w:ascii="Arial" w:hAnsi="Arial" w:cs="Arial"/>
                <w:sz w:val="22"/>
                <w:szCs w:val="22"/>
              </w:rPr>
              <w:t>Securities</w:t>
            </w:r>
            <w:r w:rsidRPr="00FB2F3D">
              <w:rPr>
                <w:rFonts w:ascii="Arial" w:hAnsi="Arial" w:cs="Arial"/>
                <w:sz w:val="22"/>
                <w:szCs w:val="22"/>
              </w:rPr>
              <w:t xml:space="preserve"> which are </w:t>
            </w:r>
            <w:r w:rsidRPr="00FB2F3D">
              <w:rPr>
                <w:rFonts w:ascii="Arial" w:hAnsi="Arial" w:cs="Arial"/>
                <w:sz w:val="22"/>
                <w:szCs w:val="22"/>
              </w:rPr>
              <w:lastRenderedPageBreak/>
              <w:t xml:space="preserve">Listed (including, in the case of Debentures, any change in the rate of interest carried and, in the case of Structured Products, any change in the way the value of the </w:t>
            </w:r>
            <w:r w:rsidR="004B46BD" w:rsidRPr="00FB2F3D">
              <w:rPr>
                <w:rFonts w:ascii="Arial" w:hAnsi="Arial" w:cs="Arial"/>
                <w:sz w:val="22"/>
                <w:szCs w:val="22"/>
              </w:rPr>
              <w:t>Securities</w:t>
            </w:r>
            <w:r w:rsidRPr="00FB2F3D">
              <w:rPr>
                <w:rFonts w:ascii="Arial" w:hAnsi="Arial" w:cs="Arial"/>
                <w:sz w:val="22"/>
                <w:szCs w:val="22"/>
              </w:rPr>
              <w:t xml:space="preserve"> is calculated) and any change in the rights attaching to any </w:t>
            </w:r>
            <w:r w:rsidR="004B46BD" w:rsidRPr="00FB2F3D">
              <w:rPr>
                <w:rFonts w:ascii="Arial" w:hAnsi="Arial" w:cs="Arial"/>
                <w:sz w:val="22"/>
                <w:szCs w:val="22"/>
              </w:rPr>
              <w:t>Securities</w:t>
            </w:r>
            <w:r w:rsidRPr="00FB2F3D">
              <w:rPr>
                <w:rFonts w:ascii="Arial" w:hAnsi="Arial" w:cs="Arial"/>
                <w:sz w:val="22"/>
                <w:szCs w:val="22"/>
              </w:rPr>
              <w:t xml:space="preserve"> into which any </w:t>
            </w:r>
            <w:r w:rsidR="004B46BD" w:rsidRPr="00FB2F3D">
              <w:rPr>
                <w:rFonts w:ascii="Arial" w:hAnsi="Arial" w:cs="Arial"/>
                <w:sz w:val="22"/>
                <w:szCs w:val="22"/>
              </w:rPr>
              <w:t>Securities</w:t>
            </w:r>
            <w:r w:rsidRPr="00FB2F3D">
              <w:rPr>
                <w:rFonts w:ascii="Arial" w:hAnsi="Arial" w:cs="Arial"/>
                <w:sz w:val="22"/>
                <w:szCs w:val="22"/>
              </w:rPr>
              <w:t xml:space="preserve"> which are Listed are convertible or exchangeable (including, in the case of Structured Products, any changes in any index to which the </w:t>
            </w:r>
            <w:r w:rsidR="004B46BD" w:rsidRPr="00FB2F3D">
              <w:rPr>
                <w:rFonts w:ascii="Arial" w:hAnsi="Arial" w:cs="Arial"/>
                <w:sz w:val="22"/>
                <w:szCs w:val="22"/>
              </w:rPr>
              <w:t>Securities</w:t>
            </w:r>
            <w:r w:rsidRPr="00FB2F3D">
              <w:rPr>
                <w:rFonts w:ascii="Arial" w:hAnsi="Arial" w:cs="Arial"/>
                <w:sz w:val="22"/>
                <w:szCs w:val="22"/>
              </w:rPr>
              <w:t xml:space="preserve"> are linked);</w:t>
            </w:r>
          </w:p>
          <w:p w14:paraId="02C0B88C" w14:textId="77777777" w:rsidR="004079C1" w:rsidRPr="00FB2F3D" w:rsidRDefault="00162E0C" w:rsidP="00755725">
            <w:pPr>
              <w:pStyle w:val="UK12Block"/>
              <w:numPr>
                <w:ilvl w:val="0"/>
                <w:numId w:val="80"/>
              </w:numPr>
              <w:jc w:val="left"/>
              <w:rPr>
                <w:rFonts w:ascii="Arial" w:hAnsi="Arial" w:cs="Arial"/>
                <w:sz w:val="22"/>
                <w:szCs w:val="22"/>
              </w:rPr>
            </w:pPr>
            <w:r w:rsidRPr="00FB2F3D">
              <w:rPr>
                <w:rFonts w:ascii="Arial" w:hAnsi="Arial" w:cs="Arial"/>
                <w:sz w:val="22"/>
                <w:szCs w:val="22"/>
              </w:rPr>
              <w:t>any change in the Listed Entity's ongoing contact;</w:t>
            </w:r>
          </w:p>
          <w:p w14:paraId="3674880F" w14:textId="77777777" w:rsidR="004079C1" w:rsidRPr="00FB2F3D" w:rsidRDefault="00162E0C" w:rsidP="00755725">
            <w:pPr>
              <w:pStyle w:val="UK12Block"/>
              <w:numPr>
                <w:ilvl w:val="0"/>
                <w:numId w:val="80"/>
              </w:numPr>
              <w:jc w:val="left"/>
              <w:rPr>
                <w:rFonts w:ascii="Arial" w:hAnsi="Arial" w:cs="Arial"/>
                <w:sz w:val="22"/>
                <w:szCs w:val="22"/>
              </w:rPr>
            </w:pPr>
            <w:r w:rsidRPr="00FB2F3D">
              <w:rPr>
                <w:rFonts w:ascii="Arial" w:hAnsi="Arial" w:cs="Arial"/>
                <w:sz w:val="22"/>
                <w:szCs w:val="22"/>
              </w:rPr>
              <w:t xml:space="preserve">any change in the Listed Entity's secretary, </w:t>
            </w:r>
            <w:r w:rsidR="00A85262" w:rsidRPr="00FB2F3D">
              <w:rPr>
                <w:rFonts w:ascii="Arial" w:hAnsi="Arial" w:cs="Arial"/>
                <w:sz w:val="22"/>
                <w:szCs w:val="22"/>
              </w:rPr>
              <w:t>auditor</w:t>
            </w:r>
            <w:r w:rsidRPr="00FB2F3D">
              <w:rPr>
                <w:rFonts w:ascii="Arial" w:hAnsi="Arial" w:cs="Arial"/>
                <w:sz w:val="22"/>
                <w:szCs w:val="22"/>
              </w:rPr>
              <w:t xml:space="preserve">s, registered </w:t>
            </w:r>
            <w:r w:rsidRPr="00FB2F3D">
              <w:rPr>
                <w:rFonts w:ascii="Arial" w:hAnsi="Arial" w:cs="Arial"/>
                <w:sz w:val="22"/>
                <w:szCs w:val="22"/>
              </w:rPr>
              <w:lastRenderedPageBreak/>
              <w:t>address, transfer agent or registrar;</w:t>
            </w:r>
          </w:p>
          <w:p w14:paraId="2F947FF1" w14:textId="77777777" w:rsidR="004079C1" w:rsidRPr="00FB2F3D" w:rsidRDefault="00162E0C" w:rsidP="00755725">
            <w:pPr>
              <w:pStyle w:val="UK12Block"/>
              <w:numPr>
                <w:ilvl w:val="0"/>
                <w:numId w:val="80"/>
              </w:numPr>
              <w:jc w:val="left"/>
              <w:rPr>
                <w:rFonts w:ascii="Arial" w:hAnsi="Arial" w:cs="Arial"/>
                <w:sz w:val="22"/>
                <w:szCs w:val="22"/>
              </w:rPr>
            </w:pPr>
            <w:r w:rsidRPr="00FB2F3D">
              <w:rPr>
                <w:rFonts w:ascii="Arial" w:hAnsi="Arial" w:cs="Arial"/>
                <w:sz w:val="22"/>
                <w:szCs w:val="22"/>
              </w:rPr>
              <w:t>in the case of Debentures or Structured Products, any change in the trustee or custodian;</w:t>
            </w:r>
          </w:p>
          <w:p w14:paraId="6EFD1EE2" w14:textId="77777777" w:rsidR="004079C1" w:rsidRPr="00FB2F3D" w:rsidRDefault="00162E0C" w:rsidP="00755725">
            <w:pPr>
              <w:pStyle w:val="UK12Block"/>
              <w:numPr>
                <w:ilvl w:val="0"/>
                <w:numId w:val="80"/>
              </w:numPr>
              <w:jc w:val="left"/>
              <w:rPr>
                <w:rFonts w:ascii="Arial" w:hAnsi="Arial" w:cs="Arial"/>
                <w:sz w:val="22"/>
                <w:szCs w:val="22"/>
              </w:rPr>
            </w:pPr>
            <w:r w:rsidRPr="00FB2F3D">
              <w:rPr>
                <w:rFonts w:ascii="Arial" w:hAnsi="Arial" w:cs="Arial"/>
                <w:sz w:val="22"/>
                <w:szCs w:val="22"/>
              </w:rPr>
              <w:t xml:space="preserve">in the case of convertible </w:t>
            </w:r>
            <w:r w:rsidR="004B46BD" w:rsidRPr="00FB2F3D">
              <w:rPr>
                <w:rFonts w:ascii="Arial" w:hAnsi="Arial" w:cs="Arial"/>
                <w:sz w:val="22"/>
                <w:szCs w:val="22"/>
              </w:rPr>
              <w:t>Securities</w:t>
            </w:r>
            <w:r w:rsidRPr="00FB2F3D">
              <w:rPr>
                <w:rFonts w:ascii="Arial" w:hAnsi="Arial" w:cs="Arial"/>
                <w:sz w:val="22"/>
                <w:szCs w:val="22"/>
              </w:rPr>
              <w:t>, any change in the Listed Entity of the convertible;</w:t>
            </w:r>
          </w:p>
          <w:p w14:paraId="7F96B83D" w14:textId="77777777" w:rsidR="004079C1" w:rsidRPr="00FB2F3D" w:rsidRDefault="00162E0C" w:rsidP="00755725">
            <w:pPr>
              <w:pStyle w:val="UK12Block"/>
              <w:numPr>
                <w:ilvl w:val="0"/>
                <w:numId w:val="80"/>
              </w:numPr>
              <w:jc w:val="left"/>
              <w:rPr>
                <w:rFonts w:ascii="Arial" w:hAnsi="Arial" w:cs="Arial"/>
                <w:sz w:val="22"/>
                <w:szCs w:val="22"/>
              </w:rPr>
            </w:pPr>
            <w:r w:rsidRPr="00FB2F3D">
              <w:rPr>
                <w:rFonts w:ascii="Arial" w:hAnsi="Arial" w:cs="Arial"/>
                <w:sz w:val="22"/>
                <w:szCs w:val="22"/>
              </w:rPr>
              <w:t>in the case of Structured Products, any change in the paying agent; and</w:t>
            </w:r>
          </w:p>
          <w:p w14:paraId="5426EAFA" w14:textId="77777777" w:rsidR="00162E0C" w:rsidRPr="00FB2F3D" w:rsidRDefault="00162E0C" w:rsidP="00755725">
            <w:pPr>
              <w:pStyle w:val="UK12Block"/>
              <w:numPr>
                <w:ilvl w:val="0"/>
                <w:numId w:val="80"/>
              </w:numPr>
              <w:jc w:val="left"/>
              <w:rPr>
                <w:rFonts w:ascii="Arial" w:hAnsi="Arial" w:cs="Arial"/>
                <w:sz w:val="22"/>
                <w:szCs w:val="22"/>
              </w:rPr>
            </w:pPr>
            <w:r w:rsidRPr="00FB2F3D">
              <w:rPr>
                <w:rFonts w:ascii="Arial" w:hAnsi="Arial" w:cs="Arial"/>
                <w:sz w:val="22"/>
                <w:szCs w:val="22"/>
              </w:rPr>
              <w:t>in the case of depositary receipts, any change in the depositary.</w:t>
            </w:r>
          </w:p>
        </w:tc>
        <w:tc>
          <w:tcPr>
            <w:tcW w:w="2802" w:type="dxa"/>
          </w:tcPr>
          <w:p w14:paraId="74116B88"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lastRenderedPageBreak/>
              <w:t xml:space="preserve">Notify the </w:t>
            </w:r>
            <w:r w:rsidR="0035335F" w:rsidRPr="00FB2F3D">
              <w:rPr>
                <w:rFonts w:ascii="Arial" w:hAnsi="Arial" w:cs="Arial"/>
                <w:sz w:val="22"/>
                <w:szCs w:val="22"/>
              </w:rPr>
              <w:t>Regulator</w:t>
            </w:r>
            <w:r w:rsidRPr="00FB2F3D">
              <w:rPr>
                <w:rFonts w:ascii="Arial" w:hAnsi="Arial" w:cs="Arial"/>
                <w:sz w:val="22"/>
                <w:szCs w:val="22"/>
              </w:rPr>
              <w:t>.</w:t>
            </w:r>
          </w:p>
        </w:tc>
        <w:tc>
          <w:tcPr>
            <w:tcW w:w="2610" w:type="dxa"/>
          </w:tcPr>
          <w:p w14:paraId="5B574421"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In advance.</w:t>
            </w:r>
          </w:p>
        </w:tc>
        <w:tc>
          <w:tcPr>
            <w:tcW w:w="630" w:type="dxa"/>
          </w:tcPr>
          <w:p w14:paraId="3DDD8C6A"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7760A3F5"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517EEBF5"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0D2EFCE2"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5EA82CA3"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74C54E71"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505F2E19"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472" w:type="dxa"/>
          </w:tcPr>
          <w:p w14:paraId="6E786865"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r>
      <w:tr w:rsidR="00162E0C" w:rsidRPr="00FB2F3D" w14:paraId="1EB90F36" w14:textId="77777777" w:rsidTr="005B71DD">
        <w:tc>
          <w:tcPr>
            <w:tcW w:w="558" w:type="dxa"/>
          </w:tcPr>
          <w:p w14:paraId="58276325" w14:textId="77777777" w:rsidR="00162E0C" w:rsidRPr="00FB2F3D" w:rsidRDefault="00162E0C" w:rsidP="00755725">
            <w:pPr>
              <w:pStyle w:val="UK12Block"/>
              <w:numPr>
                <w:ilvl w:val="0"/>
                <w:numId w:val="76"/>
              </w:numPr>
              <w:jc w:val="left"/>
              <w:rPr>
                <w:rFonts w:ascii="Arial" w:hAnsi="Arial" w:cs="Arial"/>
                <w:b/>
                <w:bCs/>
                <w:sz w:val="22"/>
                <w:szCs w:val="22"/>
              </w:rPr>
            </w:pPr>
          </w:p>
        </w:tc>
        <w:tc>
          <w:tcPr>
            <w:tcW w:w="3408" w:type="dxa"/>
          </w:tcPr>
          <w:p w14:paraId="7A136AE3"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t xml:space="preserve">In respect of </w:t>
            </w:r>
            <w:r w:rsidR="004B46BD" w:rsidRPr="00FB2F3D">
              <w:rPr>
                <w:rFonts w:ascii="Arial" w:hAnsi="Arial" w:cs="Arial"/>
                <w:sz w:val="22"/>
                <w:szCs w:val="22"/>
              </w:rPr>
              <w:t>Securities</w:t>
            </w:r>
            <w:r w:rsidRPr="00FB2F3D">
              <w:rPr>
                <w:rFonts w:ascii="Arial" w:hAnsi="Arial" w:cs="Arial"/>
                <w:sz w:val="22"/>
                <w:szCs w:val="22"/>
              </w:rPr>
              <w:t xml:space="preserve"> which carry rights of conversion or exchange into or subscription for the </w:t>
            </w:r>
            <w:r w:rsidR="004B46BD" w:rsidRPr="00FB2F3D">
              <w:rPr>
                <w:rFonts w:ascii="Arial" w:hAnsi="Arial" w:cs="Arial"/>
                <w:sz w:val="22"/>
                <w:szCs w:val="22"/>
              </w:rPr>
              <w:t>Securities</w:t>
            </w:r>
            <w:r w:rsidRPr="00FB2F3D">
              <w:rPr>
                <w:rFonts w:ascii="Arial" w:hAnsi="Arial" w:cs="Arial"/>
                <w:sz w:val="22"/>
                <w:szCs w:val="22"/>
              </w:rPr>
              <w:t xml:space="preserve"> of another </w:t>
            </w:r>
            <w:r w:rsidR="00EE4C51" w:rsidRPr="00FB2F3D">
              <w:rPr>
                <w:rFonts w:ascii="Arial" w:hAnsi="Arial" w:cs="Arial"/>
                <w:sz w:val="22"/>
                <w:szCs w:val="22"/>
              </w:rPr>
              <w:lastRenderedPageBreak/>
              <w:t>Company</w:t>
            </w:r>
            <w:r w:rsidRPr="00FB2F3D">
              <w:rPr>
                <w:rFonts w:ascii="Arial" w:hAnsi="Arial" w:cs="Arial"/>
                <w:sz w:val="22"/>
                <w:szCs w:val="22"/>
              </w:rPr>
              <w:t xml:space="preserve">, or are guaranteed by another </w:t>
            </w:r>
            <w:r w:rsidR="00EE4C51" w:rsidRPr="00FB2F3D">
              <w:rPr>
                <w:rFonts w:ascii="Arial" w:hAnsi="Arial" w:cs="Arial"/>
                <w:sz w:val="22"/>
                <w:szCs w:val="22"/>
              </w:rPr>
              <w:t>Company</w:t>
            </w:r>
            <w:r w:rsidRPr="00FB2F3D">
              <w:rPr>
                <w:rFonts w:ascii="Arial" w:hAnsi="Arial" w:cs="Arial"/>
                <w:sz w:val="22"/>
                <w:szCs w:val="22"/>
              </w:rPr>
              <w:t>.</w:t>
            </w:r>
          </w:p>
        </w:tc>
        <w:tc>
          <w:tcPr>
            <w:tcW w:w="2802" w:type="dxa"/>
          </w:tcPr>
          <w:p w14:paraId="55F88E9C"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lastRenderedPageBreak/>
              <w:t xml:space="preserve">The Listed Entity must ensure that adequate information is at all times available about the other </w:t>
            </w:r>
            <w:r w:rsidR="00EE4C51" w:rsidRPr="00FB2F3D">
              <w:rPr>
                <w:rFonts w:ascii="Arial" w:hAnsi="Arial" w:cs="Arial"/>
                <w:sz w:val="22"/>
                <w:szCs w:val="22"/>
              </w:rPr>
              <w:t>Company</w:t>
            </w:r>
            <w:r w:rsidRPr="00FB2F3D">
              <w:rPr>
                <w:rFonts w:ascii="Arial" w:hAnsi="Arial" w:cs="Arial"/>
                <w:sz w:val="22"/>
                <w:szCs w:val="22"/>
              </w:rPr>
              <w:t xml:space="preserve"> and about any changes in the rights </w:t>
            </w:r>
            <w:r w:rsidRPr="00FB2F3D">
              <w:rPr>
                <w:rFonts w:ascii="Arial" w:hAnsi="Arial" w:cs="Arial"/>
                <w:sz w:val="22"/>
                <w:szCs w:val="22"/>
              </w:rPr>
              <w:lastRenderedPageBreak/>
              <w:t xml:space="preserve">attaching to the </w:t>
            </w:r>
            <w:r w:rsidR="004B46BD" w:rsidRPr="00FB2F3D">
              <w:rPr>
                <w:rFonts w:ascii="Arial" w:hAnsi="Arial" w:cs="Arial"/>
                <w:sz w:val="22"/>
                <w:szCs w:val="22"/>
              </w:rPr>
              <w:t>Securities</w:t>
            </w:r>
            <w:r w:rsidRPr="00FB2F3D">
              <w:rPr>
                <w:rFonts w:ascii="Arial" w:hAnsi="Arial" w:cs="Arial"/>
                <w:sz w:val="22"/>
                <w:szCs w:val="22"/>
              </w:rPr>
              <w:t xml:space="preserve"> to which such rights of conversion, exchange or subscription relate. This must include the availability of the audited annual accounts of the other </w:t>
            </w:r>
            <w:r w:rsidR="00EE4C51" w:rsidRPr="00FB2F3D">
              <w:rPr>
                <w:rFonts w:ascii="Arial" w:hAnsi="Arial" w:cs="Arial"/>
                <w:sz w:val="22"/>
                <w:szCs w:val="22"/>
              </w:rPr>
              <w:t>Company</w:t>
            </w:r>
            <w:r w:rsidRPr="00FB2F3D">
              <w:rPr>
                <w:rFonts w:ascii="Arial" w:hAnsi="Arial" w:cs="Arial"/>
                <w:sz w:val="22"/>
                <w:szCs w:val="22"/>
              </w:rPr>
              <w:t xml:space="preserve"> together with any interim financial statements and any other information necessary for a realistic valuation of such </w:t>
            </w:r>
            <w:r w:rsidR="004B46BD" w:rsidRPr="00FB2F3D">
              <w:rPr>
                <w:rFonts w:ascii="Arial" w:hAnsi="Arial" w:cs="Arial"/>
                <w:sz w:val="22"/>
                <w:szCs w:val="22"/>
              </w:rPr>
              <w:t>Securities</w:t>
            </w:r>
            <w:r w:rsidRPr="00FB2F3D">
              <w:rPr>
                <w:rFonts w:ascii="Arial" w:hAnsi="Arial" w:cs="Arial"/>
                <w:sz w:val="22"/>
                <w:szCs w:val="22"/>
              </w:rPr>
              <w:t xml:space="preserve"> to be made.</w:t>
            </w:r>
          </w:p>
        </w:tc>
        <w:tc>
          <w:tcPr>
            <w:tcW w:w="2610" w:type="dxa"/>
          </w:tcPr>
          <w:p w14:paraId="3B83D229"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lastRenderedPageBreak/>
              <w:t>As soon as possible.</w:t>
            </w:r>
          </w:p>
        </w:tc>
        <w:tc>
          <w:tcPr>
            <w:tcW w:w="630" w:type="dxa"/>
          </w:tcPr>
          <w:p w14:paraId="4B22406B" w14:textId="77777777" w:rsidR="00162E0C" w:rsidRPr="00FB2F3D" w:rsidRDefault="00162E0C" w:rsidP="00FC2763">
            <w:pPr>
              <w:pStyle w:val="UK12Block"/>
              <w:jc w:val="left"/>
              <w:rPr>
                <w:rFonts w:ascii="Arial" w:hAnsi="Arial" w:cs="Arial"/>
                <w:sz w:val="22"/>
                <w:szCs w:val="22"/>
              </w:rPr>
            </w:pPr>
          </w:p>
        </w:tc>
        <w:tc>
          <w:tcPr>
            <w:tcW w:w="540" w:type="dxa"/>
          </w:tcPr>
          <w:p w14:paraId="7C0E1452"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432E8A9F"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6B88C0EA"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540" w:type="dxa"/>
          </w:tcPr>
          <w:p w14:paraId="785DB1F6"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720" w:type="dxa"/>
          </w:tcPr>
          <w:p w14:paraId="3D812C5E"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630" w:type="dxa"/>
          </w:tcPr>
          <w:p w14:paraId="1F8FF1AF" w14:textId="77777777" w:rsidR="00162E0C" w:rsidRPr="00FB2F3D" w:rsidRDefault="00162E0C" w:rsidP="00FC2763">
            <w:pPr>
              <w:pStyle w:val="UK12Block"/>
              <w:jc w:val="left"/>
              <w:rPr>
                <w:rFonts w:ascii="Arial" w:hAnsi="Arial" w:cs="Arial"/>
                <w:sz w:val="22"/>
                <w:szCs w:val="22"/>
              </w:rPr>
            </w:pPr>
            <w:r w:rsidRPr="00FB2F3D">
              <w:rPr>
                <w:rFonts w:ascii="Arial" w:hAnsi="Arial" w:cs="Arial"/>
                <w:sz w:val="22"/>
                <w:szCs w:val="22"/>
              </w:rPr>
              <w:sym w:font="Wingdings" w:char="F0FC"/>
            </w:r>
          </w:p>
        </w:tc>
        <w:tc>
          <w:tcPr>
            <w:tcW w:w="472" w:type="dxa"/>
          </w:tcPr>
          <w:p w14:paraId="703790C0" w14:textId="77777777" w:rsidR="00162E0C" w:rsidRPr="00FB2F3D" w:rsidRDefault="00162E0C" w:rsidP="00FC2763">
            <w:pPr>
              <w:pStyle w:val="UK12Block"/>
              <w:jc w:val="left"/>
              <w:rPr>
                <w:rFonts w:ascii="Arial" w:hAnsi="Arial" w:cs="Arial"/>
                <w:sz w:val="22"/>
                <w:szCs w:val="22"/>
              </w:rPr>
            </w:pPr>
          </w:p>
        </w:tc>
      </w:tr>
    </w:tbl>
    <w:p w14:paraId="3C894F07" w14:textId="77777777" w:rsidR="0052068F" w:rsidRDefault="0052068F" w:rsidP="00FC2763">
      <w:pPr>
        <w:pStyle w:val="UK12Block"/>
        <w:rPr>
          <w:rFonts w:ascii="Arial" w:hAnsi="Arial" w:cs="Arial"/>
          <w:sz w:val="22"/>
          <w:szCs w:val="22"/>
        </w:rPr>
        <w:sectPr w:rsidR="0052068F" w:rsidSect="00FD2C3F">
          <w:headerReference w:type="default" r:id="rId18"/>
          <w:footerReference w:type="default" r:id="rId19"/>
          <w:pgSz w:w="16834" w:h="11909" w:orient="landscape" w:code="9"/>
          <w:pgMar w:top="1440" w:right="1440" w:bottom="1440" w:left="1440" w:header="720" w:footer="720" w:gutter="0"/>
          <w:cols w:space="720"/>
          <w:docGrid w:linePitch="360"/>
        </w:sectPr>
      </w:pPr>
    </w:p>
    <w:p w14:paraId="7AA99329" w14:textId="77777777" w:rsidR="0052068F" w:rsidRPr="0052068F" w:rsidRDefault="0052068F" w:rsidP="0052068F">
      <w:pPr>
        <w:pStyle w:val="S2Heading1"/>
        <w:rPr>
          <w:rFonts w:ascii="Arial" w:hAnsi="Arial" w:cs="Arial"/>
          <w:sz w:val="22"/>
          <w:szCs w:val="22"/>
        </w:rPr>
      </w:pPr>
      <w:bookmarkStart w:id="1003" w:name="_Toc138325753"/>
      <w:r w:rsidRPr="0052068F">
        <w:rPr>
          <w:rFonts w:ascii="Arial" w:hAnsi="Arial" w:cs="Arial"/>
          <w:sz w:val="22"/>
          <w:szCs w:val="22"/>
        </w:rPr>
        <w:lastRenderedPageBreak/>
        <w:t>PRODUCT SUMMARY NOTE</w:t>
      </w:r>
      <w:bookmarkEnd w:id="1003"/>
    </w:p>
    <w:p w14:paraId="567F8102" w14:textId="77777777" w:rsidR="0052068F" w:rsidRPr="0052068F" w:rsidRDefault="0052068F" w:rsidP="0052068F">
      <w:pPr>
        <w:pStyle w:val="S2Heading2"/>
        <w:rPr>
          <w:rFonts w:ascii="Arial" w:hAnsi="Arial" w:cs="Arial"/>
          <w:sz w:val="22"/>
          <w:szCs w:val="22"/>
        </w:rPr>
      </w:pPr>
      <w:bookmarkStart w:id="1004" w:name="_Toc138325754"/>
      <w:r w:rsidRPr="0052068F">
        <w:rPr>
          <w:rFonts w:ascii="Arial" w:hAnsi="Arial" w:cs="Arial"/>
          <w:sz w:val="22"/>
          <w:szCs w:val="22"/>
        </w:rPr>
        <w:t>General</w:t>
      </w:r>
      <w:bookmarkEnd w:id="1004"/>
    </w:p>
    <w:p w14:paraId="7484FFF7" w14:textId="77777777" w:rsidR="0052068F" w:rsidRPr="0049652D" w:rsidRDefault="0052068F" w:rsidP="0049652D">
      <w:pPr>
        <w:pStyle w:val="S2Heading3"/>
        <w:rPr>
          <w:rFonts w:ascii="Arial" w:hAnsi="Arial" w:cs="Arial"/>
          <w:sz w:val="22"/>
          <w:szCs w:val="22"/>
        </w:rPr>
      </w:pPr>
      <w:r w:rsidRPr="0049652D">
        <w:rPr>
          <w:rFonts w:ascii="Arial" w:hAnsi="Arial" w:cs="Arial"/>
          <w:sz w:val="22"/>
          <w:szCs w:val="22"/>
        </w:rPr>
        <w:t>This appendix sets out the template for the Product Summary Note for Exempt Offers of Securities pursuant to Rule 4.3.5.</w:t>
      </w:r>
    </w:p>
    <w:p w14:paraId="2D5CA98F" w14:textId="77777777" w:rsidR="0052068F" w:rsidRPr="0049652D" w:rsidRDefault="0052068F" w:rsidP="0049652D">
      <w:pPr>
        <w:pStyle w:val="S2Heading3"/>
        <w:rPr>
          <w:rFonts w:ascii="Arial" w:hAnsi="Arial" w:cs="Arial"/>
          <w:sz w:val="22"/>
          <w:szCs w:val="22"/>
        </w:rPr>
      </w:pPr>
      <w:r w:rsidRPr="0049652D">
        <w:rPr>
          <w:rFonts w:ascii="Arial" w:hAnsi="Arial" w:cs="Arial"/>
          <w:sz w:val="22"/>
          <w:szCs w:val="22"/>
        </w:rPr>
        <w:t>The template serves as a minimum standard. Issuers shall adhere to the format (including the tabular structure), headings and sub-headings set out in the templates for their respective Securities.  Additional sub-headings may be added if these are useful to enumerate points in a long section. Issuers shall include any additional key information that is important for investors to understand the Exempt Offer.</w:t>
      </w:r>
    </w:p>
    <w:p w14:paraId="56E18C1E" w14:textId="77777777" w:rsidR="0052068F" w:rsidRPr="0049652D" w:rsidRDefault="0052068F" w:rsidP="0049652D">
      <w:pPr>
        <w:pStyle w:val="S2Heading3"/>
        <w:rPr>
          <w:rFonts w:ascii="Arial" w:hAnsi="Arial" w:cs="Arial"/>
          <w:sz w:val="22"/>
          <w:szCs w:val="22"/>
        </w:rPr>
      </w:pPr>
      <w:r w:rsidRPr="0049652D">
        <w:rPr>
          <w:rFonts w:ascii="Arial" w:hAnsi="Arial" w:cs="Arial"/>
          <w:sz w:val="22"/>
          <w:szCs w:val="22"/>
        </w:rPr>
        <w:t xml:space="preserve">Information in the Product Summary Note (including footnotes and references) shall be clearly legible and in a font size of at least 10-points. </w:t>
      </w:r>
    </w:p>
    <w:p w14:paraId="25C94B71" w14:textId="77777777" w:rsidR="0052068F" w:rsidRPr="0049652D" w:rsidRDefault="0052068F" w:rsidP="0049652D">
      <w:pPr>
        <w:pStyle w:val="S2Heading3"/>
        <w:rPr>
          <w:rFonts w:ascii="Arial" w:hAnsi="Arial" w:cs="Arial"/>
          <w:sz w:val="22"/>
          <w:szCs w:val="22"/>
        </w:rPr>
      </w:pPr>
      <w:r w:rsidRPr="0049652D">
        <w:rPr>
          <w:rFonts w:ascii="Arial" w:hAnsi="Arial" w:cs="Arial"/>
          <w:sz w:val="22"/>
          <w:szCs w:val="22"/>
        </w:rPr>
        <w:t xml:space="preserve">Subject to Rule 4.3.5, Issuers shall refrain from including disclaimers in relation to information disclosed in the Product Summary Note or in respect of the Product Summary Note. </w:t>
      </w:r>
    </w:p>
    <w:p w14:paraId="36600126" w14:textId="77777777" w:rsidR="0052068F" w:rsidRPr="0049652D" w:rsidRDefault="0052068F" w:rsidP="0049652D">
      <w:pPr>
        <w:pStyle w:val="S2Heading3"/>
        <w:rPr>
          <w:rFonts w:ascii="Arial" w:hAnsi="Arial" w:cs="Arial"/>
          <w:sz w:val="22"/>
          <w:szCs w:val="22"/>
        </w:rPr>
      </w:pPr>
      <w:r w:rsidRPr="0049652D">
        <w:rPr>
          <w:rFonts w:ascii="Arial" w:hAnsi="Arial" w:cs="Arial"/>
          <w:sz w:val="22"/>
          <w:szCs w:val="22"/>
        </w:rPr>
        <w:t>Issuers shall avoid producing marketing material which resembles or may otherwise be confused with a Product Summary Note.</w:t>
      </w:r>
    </w:p>
    <w:p w14:paraId="1C18D324" w14:textId="77777777" w:rsidR="0052068F" w:rsidRPr="0049652D" w:rsidRDefault="0052068F" w:rsidP="0049652D">
      <w:pPr>
        <w:pStyle w:val="TitleL"/>
        <w:rPr>
          <w:rFonts w:ascii="Arial" w:hAnsi="Arial" w:cs="Arial"/>
          <w:sz w:val="22"/>
          <w:szCs w:val="22"/>
        </w:rPr>
      </w:pPr>
      <w:r w:rsidRPr="0049652D">
        <w:rPr>
          <w:rFonts w:ascii="Arial" w:hAnsi="Arial" w:cs="Arial"/>
          <w:sz w:val="22"/>
          <w:szCs w:val="22"/>
        </w:rPr>
        <w:t>Guidance</w:t>
      </w:r>
    </w:p>
    <w:p w14:paraId="7F68D8BA" w14:textId="77777777" w:rsidR="0052068F" w:rsidRPr="0049652D" w:rsidRDefault="0052068F" w:rsidP="00755725">
      <w:pPr>
        <w:pStyle w:val="GuidanceNotesnumbering"/>
        <w:numPr>
          <w:ilvl w:val="0"/>
          <w:numId w:val="100"/>
        </w:numPr>
        <w:rPr>
          <w:rFonts w:ascii="Arial" w:hAnsi="Arial" w:cs="Arial"/>
          <w:sz w:val="22"/>
          <w:szCs w:val="22"/>
        </w:rPr>
      </w:pPr>
      <w:r w:rsidRPr="0049652D">
        <w:rPr>
          <w:rFonts w:ascii="Arial" w:hAnsi="Arial" w:cs="Arial"/>
          <w:sz w:val="22"/>
          <w:szCs w:val="22"/>
        </w:rPr>
        <w:t xml:space="preserve">The Product Summary Note should ideally not exceed 12 pages in length based upon an A4 paper size format, including diagrams and illustrations.  </w:t>
      </w:r>
    </w:p>
    <w:p w14:paraId="744F50CD" w14:textId="77777777" w:rsidR="0052068F" w:rsidRPr="0049652D" w:rsidRDefault="0052068F" w:rsidP="0049652D">
      <w:pPr>
        <w:pStyle w:val="GuidanceNotesnumbering"/>
        <w:numPr>
          <w:ilvl w:val="0"/>
          <w:numId w:val="41"/>
        </w:numPr>
        <w:rPr>
          <w:rFonts w:ascii="Arial" w:hAnsi="Arial" w:cs="Arial"/>
          <w:sz w:val="22"/>
          <w:szCs w:val="22"/>
        </w:rPr>
      </w:pPr>
      <w:r w:rsidRPr="0049652D">
        <w:rPr>
          <w:rFonts w:ascii="Arial" w:hAnsi="Arial" w:cs="Arial"/>
          <w:sz w:val="22"/>
          <w:szCs w:val="22"/>
        </w:rPr>
        <w:t>Notes to guide Issuers in preparing their Product Summary Notes are presented as italicised statements in square brackets in the template. Some examples are presented for illustration. These notes and examples are not meant to be prescriptive or exhaustive.  Issuers should consider and decide on the information to be disclosed in the Product Summary Note so as to highlight key information of their Exempt Offer to investors.</w:t>
      </w:r>
    </w:p>
    <w:p w14:paraId="21DBC4C8" w14:textId="77777777" w:rsidR="0052068F" w:rsidRPr="0049652D" w:rsidRDefault="0052068F" w:rsidP="0049652D">
      <w:pPr>
        <w:pStyle w:val="GuidanceNotesnumbering"/>
        <w:numPr>
          <w:ilvl w:val="0"/>
          <w:numId w:val="41"/>
        </w:numPr>
        <w:rPr>
          <w:rFonts w:ascii="Arial" w:hAnsi="Arial" w:cs="Arial"/>
          <w:sz w:val="22"/>
          <w:szCs w:val="22"/>
        </w:rPr>
      </w:pPr>
      <w:r w:rsidRPr="0049652D">
        <w:rPr>
          <w:rFonts w:ascii="Arial" w:hAnsi="Arial" w:cs="Arial"/>
          <w:sz w:val="22"/>
          <w:szCs w:val="22"/>
        </w:rPr>
        <w:t>The use of diagrams and illustrations such as graphs, charts, flowcharts and tables to present information in the Product Summary Note is encouraged.</w:t>
      </w:r>
    </w:p>
    <w:p w14:paraId="0718ED53" w14:textId="77777777" w:rsidR="0052068F" w:rsidRPr="0049652D" w:rsidRDefault="0052068F" w:rsidP="0049652D">
      <w:pPr>
        <w:pStyle w:val="GuidanceNotesnumbering"/>
        <w:numPr>
          <w:ilvl w:val="0"/>
          <w:numId w:val="41"/>
        </w:numPr>
        <w:rPr>
          <w:rFonts w:ascii="Arial" w:hAnsi="Arial" w:cs="Arial"/>
          <w:sz w:val="22"/>
          <w:szCs w:val="22"/>
        </w:rPr>
      </w:pPr>
      <w:r w:rsidRPr="0049652D">
        <w:rPr>
          <w:rFonts w:ascii="Arial" w:hAnsi="Arial" w:cs="Arial"/>
          <w:sz w:val="22"/>
          <w:szCs w:val="22"/>
        </w:rPr>
        <w:t xml:space="preserve">Issuers should set out </w:t>
      </w:r>
      <w:r w:rsidR="00866E2F">
        <w:rPr>
          <w:rFonts w:ascii="Arial" w:hAnsi="Arial" w:cs="Arial"/>
          <w:sz w:val="22"/>
          <w:szCs w:val="22"/>
        </w:rPr>
        <w:t>information in the template in</w:t>
      </w:r>
      <w:r w:rsidRPr="0049652D">
        <w:rPr>
          <w:rFonts w:ascii="Arial" w:hAnsi="Arial" w:cs="Arial"/>
          <w:sz w:val="22"/>
          <w:szCs w:val="22"/>
        </w:rPr>
        <w:t xml:space="preserve"> clear and simple language that investors can easily understand (i.e. in plain English) and should avoid using technical terms or acronyms in the Product Summary Note. Where technical terms or acronyms are unavoidable, Issuers should explain these technical terms in the “Definitions” section of the template. </w:t>
      </w:r>
    </w:p>
    <w:p w14:paraId="62553343" w14:textId="77777777" w:rsidR="0049652D" w:rsidRDefault="0052068F" w:rsidP="0049652D">
      <w:pPr>
        <w:pStyle w:val="GuidanceNotesnumbering"/>
        <w:numPr>
          <w:ilvl w:val="0"/>
          <w:numId w:val="41"/>
        </w:numPr>
        <w:rPr>
          <w:rFonts w:ascii="Arial" w:hAnsi="Arial" w:cs="Arial"/>
          <w:sz w:val="22"/>
          <w:szCs w:val="22"/>
        </w:rPr>
      </w:pPr>
      <w:r w:rsidRPr="0049652D">
        <w:rPr>
          <w:rFonts w:ascii="Arial" w:hAnsi="Arial" w:cs="Arial"/>
          <w:sz w:val="22"/>
          <w:szCs w:val="22"/>
        </w:rPr>
        <w:t>Issuers should include references to corresponding sections of the Exempt Offer document which set out additional information for investors in the right-hand column of the Product Summary Note.  Issuers are encouraged to include links to online copies of the Exempt Offer document. However, key information should be clearly disclosed in the Product Summary Note and issuers should not merely make reference to information in other sources, such as the Offer document.</w:t>
      </w:r>
    </w:p>
    <w:p w14:paraId="799C6E53" w14:textId="77777777" w:rsidR="0049652D" w:rsidRDefault="0049652D">
      <w:pPr>
        <w:rPr>
          <w:rFonts w:ascii="Arial" w:eastAsiaTheme="majorEastAsia" w:hAnsi="Arial" w:cs="Arial"/>
          <w:bCs/>
          <w:sz w:val="22"/>
          <w:szCs w:val="22"/>
        </w:rPr>
      </w:pPr>
      <w:r>
        <w:rPr>
          <w:rFonts w:ascii="Arial" w:hAnsi="Arial" w:cs="Arial"/>
          <w:sz w:val="22"/>
          <w:szCs w:val="22"/>
        </w:rPr>
        <w:br w:type="page"/>
      </w:r>
    </w:p>
    <w:p w14:paraId="01414FF5" w14:textId="77777777" w:rsidR="0052068F" w:rsidRPr="0049652D" w:rsidRDefault="0052068F" w:rsidP="0049652D">
      <w:pPr>
        <w:pStyle w:val="S2Heading2"/>
        <w:rPr>
          <w:rFonts w:ascii="Arial" w:hAnsi="Arial" w:cs="Arial"/>
          <w:sz w:val="22"/>
          <w:szCs w:val="22"/>
        </w:rPr>
      </w:pPr>
      <w:bookmarkStart w:id="1005" w:name="_Toc138325755"/>
      <w:r w:rsidRPr="0049652D">
        <w:rPr>
          <w:rFonts w:ascii="Arial" w:hAnsi="Arial" w:cs="Arial"/>
          <w:sz w:val="22"/>
          <w:szCs w:val="22"/>
        </w:rPr>
        <w:lastRenderedPageBreak/>
        <w:t>Template</w:t>
      </w:r>
      <w:bookmarkEnd w:id="1005"/>
    </w:p>
    <w:p w14:paraId="41A50966" w14:textId="77777777" w:rsidR="0052068F" w:rsidRPr="00B06B12" w:rsidRDefault="0052068F" w:rsidP="0052068F">
      <w:pPr>
        <w:autoSpaceDE w:val="0"/>
        <w:autoSpaceDN w:val="0"/>
        <w:adjustRightInd w:val="0"/>
        <w:rPr>
          <w:rFonts w:ascii="Arial" w:hAnsi="Arial" w:cs="Arial"/>
          <w:color w:val="000000"/>
          <w:sz w:val="22"/>
          <w:szCs w:val="22"/>
        </w:rPr>
      </w:pPr>
      <w:r w:rsidRPr="00B06B12">
        <w:rPr>
          <w:rFonts w:ascii="Arial" w:hAnsi="Arial" w:cs="Arial"/>
          <w:color w:val="000000"/>
          <w:sz w:val="22"/>
          <w:szCs w:val="22"/>
        </w:rPr>
        <w:t xml:space="preserve">Prepared on: </w:t>
      </w:r>
      <w:r w:rsidRPr="00B06B12">
        <w:rPr>
          <w:rFonts w:ascii="Arial" w:hAnsi="Arial" w:cs="Arial"/>
          <w:i/>
          <w:iCs/>
          <w:color w:val="000000"/>
          <w:sz w:val="22"/>
          <w:szCs w:val="22"/>
        </w:rPr>
        <w:t>[</w:t>
      </w:r>
      <w:r w:rsidRPr="00B06B12">
        <w:rPr>
          <w:rFonts w:ascii="Arial" w:hAnsi="Arial" w:cs="Arial"/>
          <w:color w:val="000000"/>
          <w:sz w:val="22"/>
          <w:szCs w:val="22"/>
        </w:rPr>
        <w:t>DD/MM/YY</w:t>
      </w:r>
      <w:r w:rsidRPr="00B06B12">
        <w:rPr>
          <w:rFonts w:ascii="Arial" w:hAnsi="Arial" w:cs="Arial"/>
          <w:i/>
          <w:iCs/>
          <w:color w:val="000000"/>
          <w:sz w:val="22"/>
          <w:szCs w:val="22"/>
        </w:rPr>
        <w:t>]</w:t>
      </w:r>
      <w:r w:rsidRPr="00B06B12">
        <w:rPr>
          <w:rFonts w:ascii="Arial" w:hAnsi="Arial" w:cs="Arial"/>
          <w:color w:val="000000"/>
          <w:sz w:val="22"/>
          <w:szCs w:val="22"/>
        </w:rPr>
        <w:t xml:space="preserve"> </w:t>
      </w:r>
    </w:p>
    <w:p w14:paraId="73666C03" w14:textId="77777777" w:rsidR="0052068F" w:rsidRPr="00B06B12" w:rsidRDefault="0052068F" w:rsidP="0052068F">
      <w:pPr>
        <w:autoSpaceDE w:val="0"/>
        <w:autoSpaceDN w:val="0"/>
        <w:adjustRightInd w:val="0"/>
        <w:rPr>
          <w:rFonts w:ascii="Arial" w:hAnsi="Arial" w:cs="Arial"/>
          <w:b/>
          <w:bCs/>
          <w:color w:val="000000"/>
          <w:sz w:val="22"/>
          <w:szCs w:val="22"/>
        </w:rPr>
      </w:pPr>
    </w:p>
    <w:p w14:paraId="3B4AB237" w14:textId="77777777" w:rsidR="0052068F" w:rsidRPr="00B06B12" w:rsidRDefault="0052068F" w:rsidP="0052068F">
      <w:pPr>
        <w:autoSpaceDE w:val="0"/>
        <w:autoSpaceDN w:val="0"/>
        <w:adjustRightInd w:val="0"/>
        <w:jc w:val="center"/>
        <w:rPr>
          <w:rFonts w:ascii="Arial" w:hAnsi="Arial" w:cs="Arial"/>
          <w:color w:val="000000"/>
          <w:sz w:val="22"/>
          <w:szCs w:val="22"/>
        </w:rPr>
      </w:pPr>
      <w:r w:rsidRPr="00B06B12">
        <w:rPr>
          <w:rFonts w:ascii="Arial" w:hAnsi="Arial" w:cs="Arial"/>
          <w:b/>
          <w:bCs/>
          <w:color w:val="000000"/>
          <w:sz w:val="22"/>
          <w:szCs w:val="22"/>
        </w:rPr>
        <w:t>NAME OF OFFER</w:t>
      </w:r>
    </w:p>
    <w:p w14:paraId="3BA3BD06" w14:textId="77777777" w:rsidR="0052068F" w:rsidRPr="00B06B12" w:rsidRDefault="0052068F" w:rsidP="0052068F">
      <w:pPr>
        <w:autoSpaceDE w:val="0"/>
        <w:autoSpaceDN w:val="0"/>
        <w:adjustRightInd w:val="0"/>
        <w:jc w:val="center"/>
        <w:rPr>
          <w:rFonts w:ascii="Arial" w:hAnsi="Arial" w:cs="Arial"/>
          <w:color w:val="000000"/>
          <w:sz w:val="22"/>
          <w:szCs w:val="22"/>
        </w:rPr>
      </w:pPr>
      <w:r w:rsidRPr="00B06B12">
        <w:rPr>
          <w:rFonts w:ascii="Arial" w:hAnsi="Arial" w:cs="Arial"/>
          <w:b/>
          <w:bCs/>
          <w:color w:val="000000"/>
          <w:sz w:val="22"/>
          <w:szCs w:val="22"/>
        </w:rPr>
        <w:t>(the “Securities”)</w:t>
      </w:r>
    </w:p>
    <w:p w14:paraId="13976F3E" w14:textId="77777777" w:rsidR="0052068F" w:rsidRPr="00B06B12" w:rsidRDefault="0052068F" w:rsidP="0052068F">
      <w:pPr>
        <w:autoSpaceDE w:val="0"/>
        <w:autoSpaceDN w:val="0"/>
        <w:adjustRightInd w:val="0"/>
        <w:rPr>
          <w:rFonts w:ascii="Arial" w:hAnsi="Arial" w:cs="Arial"/>
          <w:b/>
          <w:bCs/>
          <w:color w:val="000000"/>
          <w:sz w:val="22"/>
          <w:szCs w:val="22"/>
        </w:rPr>
      </w:pPr>
    </w:p>
    <w:p w14:paraId="33934BC1" w14:textId="77777777" w:rsidR="0052068F" w:rsidRPr="00B06B12" w:rsidRDefault="0052068F" w:rsidP="0052068F">
      <w:pPr>
        <w:autoSpaceDE w:val="0"/>
        <w:autoSpaceDN w:val="0"/>
        <w:adjustRightInd w:val="0"/>
        <w:rPr>
          <w:rFonts w:ascii="Arial" w:hAnsi="Arial" w:cs="Arial"/>
          <w:color w:val="000000"/>
          <w:sz w:val="22"/>
          <w:szCs w:val="22"/>
        </w:rPr>
      </w:pPr>
      <w:r w:rsidRPr="00B06B12">
        <w:rPr>
          <w:rFonts w:ascii="Arial" w:hAnsi="Arial" w:cs="Arial"/>
          <w:b/>
          <w:bCs/>
          <w:color w:val="000000"/>
          <w:sz w:val="22"/>
          <w:szCs w:val="22"/>
        </w:rPr>
        <w:t xml:space="preserve">EXAMPLE: </w:t>
      </w:r>
      <w:r w:rsidRPr="00B06B12">
        <w:rPr>
          <w:rFonts w:ascii="Arial" w:hAnsi="Arial" w:cs="Arial"/>
          <w:color w:val="000000"/>
          <w:sz w:val="22"/>
          <w:szCs w:val="22"/>
        </w:rPr>
        <w:t xml:space="preserve">OFFER OF </w:t>
      </w:r>
      <w:r w:rsidRPr="00B06B12">
        <w:rPr>
          <w:rFonts w:ascii="Arial" w:hAnsi="Arial" w:cs="Arial"/>
          <w:i/>
          <w:iCs/>
          <w:color w:val="000000"/>
          <w:sz w:val="22"/>
          <w:szCs w:val="22"/>
        </w:rPr>
        <w:t>[ORDINARY SHARES]</w:t>
      </w:r>
      <w:r w:rsidRPr="00B06B12">
        <w:rPr>
          <w:rFonts w:ascii="Arial" w:hAnsi="Arial" w:cs="Arial"/>
          <w:color w:val="000000"/>
          <w:sz w:val="22"/>
          <w:szCs w:val="22"/>
        </w:rPr>
        <w:t xml:space="preserve"> IN </w:t>
      </w:r>
      <w:r w:rsidRPr="00B06B12">
        <w:rPr>
          <w:rFonts w:ascii="Arial" w:hAnsi="Arial" w:cs="Arial"/>
          <w:i/>
          <w:iCs/>
          <w:color w:val="000000"/>
          <w:sz w:val="22"/>
          <w:szCs w:val="22"/>
        </w:rPr>
        <w:t>[NAME OF ISSUER]</w:t>
      </w:r>
      <w:r w:rsidRPr="00B06B12">
        <w:rPr>
          <w:rFonts w:ascii="Arial" w:hAnsi="Arial" w:cs="Arial"/>
          <w:color w:val="000000"/>
          <w:sz w:val="22"/>
          <w:szCs w:val="22"/>
        </w:rPr>
        <w:t xml:space="preserve"> (“the “Securities”)</w:t>
      </w:r>
    </w:p>
    <w:p w14:paraId="34CE07BA" w14:textId="77777777" w:rsidR="0052068F" w:rsidRPr="00B06B12" w:rsidRDefault="0052068F" w:rsidP="0052068F">
      <w:pPr>
        <w:autoSpaceDE w:val="0"/>
        <w:autoSpaceDN w:val="0"/>
        <w:adjustRightInd w:val="0"/>
        <w:rPr>
          <w:rFonts w:ascii="Arial" w:hAnsi="Arial" w:cs="Arial"/>
          <w:color w:val="000000"/>
          <w:sz w:val="22"/>
          <w:szCs w:val="22"/>
        </w:rPr>
      </w:pPr>
    </w:p>
    <w:p w14:paraId="5F0B3187" w14:textId="77777777" w:rsidR="0052068F" w:rsidRPr="00B06B12" w:rsidRDefault="0052068F" w:rsidP="0052068F">
      <w:pPr>
        <w:autoSpaceDE w:val="0"/>
        <w:autoSpaceDN w:val="0"/>
        <w:adjustRightInd w:val="0"/>
        <w:jc w:val="both"/>
        <w:rPr>
          <w:rFonts w:ascii="Arial" w:hAnsi="Arial" w:cs="Arial"/>
          <w:b/>
          <w:bCs/>
          <w:color w:val="000000"/>
          <w:sz w:val="22"/>
          <w:szCs w:val="22"/>
        </w:rPr>
      </w:pPr>
      <w:r w:rsidRPr="00B06B12">
        <w:rPr>
          <w:rFonts w:ascii="Arial" w:hAnsi="Arial" w:cs="Arial"/>
          <w:b/>
          <w:bCs/>
          <w:color w:val="000000"/>
          <w:sz w:val="22"/>
          <w:szCs w:val="22"/>
        </w:rPr>
        <w:t xml:space="preserve">Prior to making a decision to purchase the Securities, you should consider all the information contained in the Offer document carefully and whether you understand what is described in the Offer document. This Product Summary Note should be read in conjunction with the Offer document. You will be subject to various risks and uncertainties, including the potential loss of your entire principal amount invested. You should also consider whether an investment in the Securities is suitable for you taking into account your investment objectives and risk appetite. If you are in any doubt as to the action you should take, you should consult your legal, financial, tax or other professional adviser. You are responsible for your own investment choices. </w:t>
      </w:r>
    </w:p>
    <w:p w14:paraId="4B77E268" w14:textId="77777777" w:rsidR="0052068F" w:rsidRPr="00B06B12" w:rsidRDefault="0052068F" w:rsidP="0052068F">
      <w:pPr>
        <w:autoSpaceDE w:val="0"/>
        <w:autoSpaceDN w:val="0"/>
        <w:adjustRightInd w:val="0"/>
        <w:jc w:val="both"/>
        <w:rPr>
          <w:rFonts w:ascii="Arial" w:hAnsi="Arial" w:cs="Arial"/>
          <w:color w:val="000000"/>
          <w:sz w:val="22"/>
          <w:szCs w:val="22"/>
        </w:rPr>
      </w:pPr>
    </w:p>
    <w:p w14:paraId="51358BDE" w14:textId="77777777" w:rsidR="0052068F" w:rsidRPr="00B06B12" w:rsidRDefault="0052068F" w:rsidP="0052068F">
      <w:pPr>
        <w:autoSpaceDE w:val="0"/>
        <w:autoSpaceDN w:val="0"/>
        <w:adjustRightInd w:val="0"/>
        <w:jc w:val="both"/>
        <w:rPr>
          <w:rFonts w:ascii="Arial" w:hAnsi="Arial" w:cs="Arial"/>
          <w:sz w:val="22"/>
          <w:szCs w:val="22"/>
        </w:rPr>
      </w:pPr>
      <w:r w:rsidRPr="00B06B12">
        <w:rPr>
          <w:rFonts w:ascii="Arial" w:hAnsi="Arial" w:cs="Arial"/>
          <w:sz w:val="22"/>
          <w:szCs w:val="22"/>
        </w:rPr>
        <w:t>This offer document is an Exempt Offer in accordance with the Market Rules of the ADGM Financial Services Regulatory Authority. This Exempt Offer document is intended for distribution only to Persons of a type specified in the Market Rules. It must not be delivered to, or relied on by, any other Person. The ADGM Financial Services Regulatory Authority has no responsibility for reviewing or verifying any documents in connection with Exempt Offers. The ADGM Financial Services Regulatory Authority has not approved this Exempt Offer document nor taken steps to verify the information set out in it, and has no responsibility for it. The Securities to which this Exempt Offer relates may be illiquid and/or subject to restrictions on their resale. Prospective purchasers of the Securities offered should conduct their own due diligence on the Securities. If you do not understand the contents of this Exempt Offer document you should consult an authorised financial advisor.</w:t>
      </w:r>
    </w:p>
    <w:p w14:paraId="0E43A68F" w14:textId="77777777" w:rsidR="0052068F" w:rsidRPr="00B06B12" w:rsidRDefault="0052068F" w:rsidP="0052068F">
      <w:pPr>
        <w:autoSpaceDE w:val="0"/>
        <w:autoSpaceDN w:val="0"/>
        <w:adjustRightInd w:val="0"/>
        <w:jc w:val="both"/>
        <w:rPr>
          <w:rFonts w:ascii="Arial" w:hAnsi="Arial" w:cs="Arial"/>
          <w:b/>
          <w:bCs/>
          <w:color w:val="000000"/>
          <w:sz w:val="22"/>
          <w:szCs w:val="22"/>
        </w:rPr>
      </w:pPr>
    </w:p>
    <w:p w14:paraId="5459666F" w14:textId="77777777" w:rsidR="0052068F" w:rsidRPr="00B06B12" w:rsidRDefault="0052068F" w:rsidP="0052068F">
      <w:pPr>
        <w:autoSpaceDE w:val="0"/>
        <w:autoSpaceDN w:val="0"/>
        <w:adjustRightInd w:val="0"/>
        <w:spacing w:after="240" w:line="246" w:lineRule="atLeast"/>
        <w:jc w:val="both"/>
        <w:rPr>
          <w:rFonts w:ascii="Arial" w:hAnsi="Arial" w:cs="Arial"/>
          <w:color w:val="000000"/>
          <w:sz w:val="22"/>
          <w:szCs w:val="22"/>
        </w:rPr>
      </w:pPr>
      <w:r w:rsidRPr="00B06B12">
        <w:rPr>
          <w:rFonts w:ascii="Arial" w:hAnsi="Arial" w:cs="Arial"/>
          <w:b/>
          <w:bCs/>
          <w:color w:val="000000"/>
          <w:sz w:val="22"/>
          <w:szCs w:val="22"/>
        </w:rPr>
        <w:t xml:space="preserve">This Product Summary Note is an important document. </w:t>
      </w:r>
    </w:p>
    <w:p w14:paraId="04BB89CB" w14:textId="77777777" w:rsidR="0052068F" w:rsidRPr="00B06B12" w:rsidRDefault="0052068F" w:rsidP="00755725">
      <w:pPr>
        <w:numPr>
          <w:ilvl w:val="0"/>
          <w:numId w:val="93"/>
        </w:numPr>
        <w:autoSpaceDE w:val="0"/>
        <w:autoSpaceDN w:val="0"/>
        <w:adjustRightInd w:val="0"/>
        <w:spacing w:after="240" w:line="246" w:lineRule="atLeast"/>
        <w:jc w:val="both"/>
        <w:rPr>
          <w:rFonts w:ascii="Arial" w:hAnsi="Arial" w:cs="Arial"/>
          <w:color w:val="000000"/>
          <w:sz w:val="22"/>
          <w:szCs w:val="22"/>
        </w:rPr>
      </w:pPr>
      <w:r w:rsidRPr="00B06B12">
        <w:rPr>
          <w:rFonts w:ascii="Arial" w:hAnsi="Arial" w:cs="Arial"/>
          <w:b/>
          <w:bCs/>
          <w:color w:val="000000"/>
          <w:sz w:val="22"/>
          <w:szCs w:val="22"/>
        </w:rPr>
        <w:t>It highlights the key information and risks relating to the offer of the Securities contained in the Exempt Offer document. It complements the Offer document.</w:t>
      </w:r>
    </w:p>
    <w:p w14:paraId="29A1DF94" w14:textId="77777777" w:rsidR="0052068F" w:rsidRPr="00B06B12" w:rsidRDefault="0052068F" w:rsidP="00755725">
      <w:pPr>
        <w:numPr>
          <w:ilvl w:val="0"/>
          <w:numId w:val="93"/>
        </w:numPr>
        <w:autoSpaceDE w:val="0"/>
        <w:autoSpaceDN w:val="0"/>
        <w:adjustRightInd w:val="0"/>
        <w:spacing w:after="240" w:line="246" w:lineRule="atLeast"/>
        <w:jc w:val="both"/>
        <w:rPr>
          <w:rFonts w:ascii="Arial" w:hAnsi="Arial" w:cs="Arial"/>
          <w:color w:val="000000"/>
          <w:sz w:val="22"/>
          <w:szCs w:val="22"/>
        </w:rPr>
      </w:pPr>
      <w:r w:rsidRPr="00B06B12">
        <w:rPr>
          <w:rFonts w:ascii="Arial" w:hAnsi="Arial" w:cs="Arial"/>
          <w:b/>
          <w:bCs/>
          <w:color w:val="000000"/>
          <w:sz w:val="22"/>
          <w:szCs w:val="22"/>
        </w:rPr>
        <w:t xml:space="preserve">You should not purchase the Securities if you do not understand the nature of an investment in </w:t>
      </w:r>
      <w:r w:rsidRPr="00B06B12">
        <w:rPr>
          <w:rFonts w:ascii="Arial" w:hAnsi="Arial" w:cs="Arial"/>
          <w:b/>
          <w:bCs/>
          <w:i/>
          <w:iCs/>
          <w:color w:val="000000"/>
          <w:sz w:val="22"/>
          <w:szCs w:val="22"/>
        </w:rPr>
        <w:t>[type of securities]</w:t>
      </w:r>
      <w:r w:rsidRPr="00B06B12">
        <w:rPr>
          <w:rFonts w:ascii="Arial" w:hAnsi="Arial" w:cs="Arial"/>
          <w:b/>
          <w:bCs/>
          <w:color w:val="000000"/>
          <w:sz w:val="22"/>
          <w:szCs w:val="22"/>
        </w:rPr>
        <w:t>, our business or are not comfortable with the accompanying risks.</w:t>
      </w:r>
    </w:p>
    <w:p w14:paraId="420AF866" w14:textId="77777777" w:rsidR="0052068F" w:rsidRPr="00B06B12" w:rsidRDefault="0052068F" w:rsidP="00755725">
      <w:pPr>
        <w:numPr>
          <w:ilvl w:val="0"/>
          <w:numId w:val="93"/>
        </w:numPr>
        <w:autoSpaceDE w:val="0"/>
        <w:autoSpaceDN w:val="0"/>
        <w:adjustRightInd w:val="0"/>
        <w:spacing w:after="240" w:line="246" w:lineRule="atLeast"/>
        <w:jc w:val="both"/>
        <w:rPr>
          <w:rFonts w:ascii="Arial" w:hAnsi="Arial" w:cs="Arial"/>
          <w:color w:val="000000"/>
          <w:sz w:val="22"/>
          <w:szCs w:val="22"/>
        </w:rPr>
      </w:pPr>
      <w:r w:rsidRPr="00B06B12">
        <w:rPr>
          <w:rFonts w:ascii="Arial" w:hAnsi="Arial" w:cs="Arial"/>
          <w:b/>
          <w:bCs/>
          <w:color w:val="000000"/>
          <w:sz w:val="22"/>
          <w:szCs w:val="22"/>
        </w:rPr>
        <w:t xml:space="preserve">If you wish to purchase the Securities, you will need to make an application in the manner set out in the Offer document. If you do not have a copy of the Offer document, please contact us to ask for one. </w:t>
      </w:r>
    </w:p>
    <w:p w14:paraId="39E82D68" w14:textId="77777777" w:rsidR="00B06B12" w:rsidRDefault="0052068F" w:rsidP="0052068F">
      <w:pPr>
        <w:spacing w:after="160" w:line="259" w:lineRule="auto"/>
        <w:rPr>
          <w:rFonts w:ascii="Arial" w:hAnsi="Arial" w:cs="Arial"/>
          <w:color w:val="000000"/>
          <w:sz w:val="22"/>
          <w:szCs w:val="22"/>
        </w:rPr>
      </w:pPr>
      <w:r>
        <w:rPr>
          <w:rFonts w:ascii="Arial" w:hAnsi="Arial" w:cs="Arial"/>
          <w:color w:val="000000"/>
          <w:sz w:val="22"/>
          <w:szCs w:val="22"/>
        </w:rPr>
        <w:br w:type="page"/>
      </w:r>
    </w:p>
    <w:tbl>
      <w:tblPr>
        <w:tblW w:w="1071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3780"/>
        <w:gridCol w:w="1620"/>
        <w:gridCol w:w="1710"/>
        <w:gridCol w:w="2070"/>
      </w:tblGrid>
      <w:tr w:rsidR="00B06B12" w:rsidRPr="00B06B12" w14:paraId="1CA9D6C7" w14:textId="77777777" w:rsidTr="00B06B12">
        <w:trPr>
          <w:trHeight w:val="1088"/>
        </w:trPr>
        <w:tc>
          <w:tcPr>
            <w:tcW w:w="1530" w:type="dxa"/>
            <w:tcBorders>
              <w:bottom w:val="single" w:sz="4" w:space="0" w:color="F1F1EF"/>
            </w:tcBorders>
            <w:shd w:val="clear" w:color="auto" w:fill="004966"/>
          </w:tcPr>
          <w:p w14:paraId="1B22CC25" w14:textId="77777777" w:rsidR="00B06B12" w:rsidRPr="00B06B12" w:rsidRDefault="00B06B12" w:rsidP="00B06B12">
            <w:pPr>
              <w:autoSpaceDE w:val="0"/>
              <w:autoSpaceDN w:val="0"/>
              <w:adjustRightInd w:val="0"/>
              <w:rPr>
                <w:rFonts w:ascii="Arial" w:eastAsia="Arial" w:hAnsi="Arial" w:cs="Arial"/>
                <w:b/>
                <w:bCs/>
                <w:sz w:val="20"/>
                <w:szCs w:val="20"/>
              </w:rPr>
            </w:pPr>
            <w:r w:rsidRPr="00B06B12">
              <w:rPr>
                <w:rFonts w:ascii="Arial" w:eastAsia="Arial" w:hAnsi="Arial" w:cs="Arial"/>
                <w:b/>
                <w:bCs/>
                <w:sz w:val="20"/>
                <w:szCs w:val="20"/>
              </w:rPr>
              <w:lastRenderedPageBreak/>
              <w:t>Issuer /</w:t>
            </w:r>
          </w:p>
          <w:p w14:paraId="20FE675C" w14:textId="77777777" w:rsidR="00B06B12" w:rsidRPr="00B06B12" w:rsidRDefault="00B06B12" w:rsidP="00B06B12">
            <w:pPr>
              <w:autoSpaceDE w:val="0"/>
              <w:autoSpaceDN w:val="0"/>
              <w:adjustRightInd w:val="0"/>
              <w:rPr>
                <w:rFonts w:ascii="Arial" w:eastAsia="Arial" w:hAnsi="Arial" w:cs="Arial"/>
                <w:sz w:val="20"/>
                <w:szCs w:val="20"/>
              </w:rPr>
            </w:pPr>
            <w:r w:rsidRPr="00B06B12">
              <w:rPr>
                <w:rFonts w:ascii="Arial" w:eastAsia="Arial" w:hAnsi="Arial" w:cs="Arial"/>
                <w:b/>
                <w:bCs/>
                <w:sz w:val="20"/>
                <w:szCs w:val="20"/>
              </w:rPr>
              <w:t>Sponsor (where applicable</w:t>
            </w:r>
          </w:p>
        </w:tc>
        <w:tc>
          <w:tcPr>
            <w:tcW w:w="3780" w:type="dxa"/>
          </w:tcPr>
          <w:p w14:paraId="5ACFE593" w14:textId="77777777" w:rsidR="00B06B12" w:rsidRPr="00B06B12" w:rsidRDefault="00B06B12" w:rsidP="00B06B12">
            <w:pPr>
              <w:autoSpaceDE w:val="0"/>
              <w:autoSpaceDN w:val="0"/>
              <w:adjustRightInd w:val="0"/>
              <w:rPr>
                <w:rFonts w:ascii="Arial" w:eastAsia="Arial" w:hAnsi="Arial" w:cs="Arial"/>
                <w:sz w:val="20"/>
                <w:szCs w:val="20"/>
              </w:rPr>
            </w:pPr>
            <w:r w:rsidRPr="00B06B12">
              <w:rPr>
                <w:rFonts w:ascii="Arial" w:eastAsia="Arial" w:hAnsi="Arial" w:cs="Arial"/>
                <w:i/>
                <w:iCs/>
                <w:sz w:val="20"/>
                <w:szCs w:val="20"/>
              </w:rPr>
              <w:t>[●]</w:t>
            </w:r>
            <w:r w:rsidRPr="00B06B12">
              <w:rPr>
                <w:rFonts w:ascii="Arial" w:eastAsia="Arial" w:hAnsi="Arial" w:cs="Arial"/>
                <w:sz w:val="20"/>
                <w:szCs w:val="20"/>
              </w:rPr>
              <w:t xml:space="preserve"> </w:t>
            </w:r>
          </w:p>
          <w:p w14:paraId="74A7183C" w14:textId="77777777" w:rsidR="00B06B12" w:rsidRPr="00B06B12" w:rsidRDefault="00B06B12" w:rsidP="00B06B12">
            <w:pPr>
              <w:autoSpaceDE w:val="0"/>
              <w:autoSpaceDN w:val="0"/>
              <w:adjustRightInd w:val="0"/>
              <w:rPr>
                <w:rFonts w:ascii="Arial" w:eastAsia="Arial" w:hAnsi="Arial" w:cs="Arial"/>
                <w:sz w:val="20"/>
                <w:szCs w:val="20"/>
              </w:rPr>
            </w:pPr>
            <w:r w:rsidRPr="00B06B12">
              <w:rPr>
                <w:rFonts w:ascii="Arial" w:eastAsia="Arial" w:hAnsi="Arial" w:cs="Arial"/>
                <w:i/>
                <w:iCs/>
                <w:sz w:val="20"/>
                <w:szCs w:val="20"/>
              </w:rPr>
              <w:t>[●]</w:t>
            </w:r>
          </w:p>
        </w:tc>
        <w:tc>
          <w:tcPr>
            <w:tcW w:w="1620" w:type="dxa"/>
            <w:tcBorders>
              <w:bottom w:val="single" w:sz="4" w:space="0" w:color="F1F1EF"/>
            </w:tcBorders>
            <w:shd w:val="clear" w:color="auto" w:fill="004966"/>
          </w:tcPr>
          <w:p w14:paraId="49599BD9" w14:textId="77777777" w:rsidR="00B06B12" w:rsidRPr="00B06B12" w:rsidRDefault="00B06B12" w:rsidP="00B06B12">
            <w:pPr>
              <w:autoSpaceDE w:val="0"/>
              <w:autoSpaceDN w:val="0"/>
              <w:adjustRightInd w:val="0"/>
              <w:rPr>
                <w:rFonts w:ascii="Arial" w:eastAsia="Arial" w:hAnsi="Arial" w:cs="Arial"/>
                <w:sz w:val="20"/>
                <w:szCs w:val="20"/>
              </w:rPr>
            </w:pPr>
            <w:r w:rsidRPr="00B06B12">
              <w:rPr>
                <w:rFonts w:ascii="Arial" w:eastAsia="Arial" w:hAnsi="Arial" w:cs="Arial"/>
                <w:b/>
                <w:bCs/>
                <w:sz w:val="20"/>
                <w:szCs w:val="20"/>
              </w:rPr>
              <w:t xml:space="preserve">Place of incorporation </w:t>
            </w:r>
          </w:p>
        </w:tc>
        <w:tc>
          <w:tcPr>
            <w:tcW w:w="3780" w:type="dxa"/>
            <w:gridSpan w:val="2"/>
          </w:tcPr>
          <w:p w14:paraId="0DBCBCF6" w14:textId="77777777" w:rsidR="00B06B12" w:rsidRPr="00B06B12" w:rsidRDefault="00B06B12" w:rsidP="00B06B12">
            <w:pPr>
              <w:autoSpaceDE w:val="0"/>
              <w:autoSpaceDN w:val="0"/>
              <w:adjustRightInd w:val="0"/>
              <w:rPr>
                <w:rFonts w:ascii="Arial" w:eastAsia="Arial" w:hAnsi="Arial" w:cs="Arial"/>
                <w:sz w:val="20"/>
                <w:szCs w:val="20"/>
              </w:rPr>
            </w:pPr>
            <w:r w:rsidRPr="00B06B12">
              <w:rPr>
                <w:rFonts w:ascii="Arial" w:eastAsia="Arial" w:hAnsi="Arial" w:cs="Arial"/>
                <w:i/>
                <w:iCs/>
                <w:sz w:val="20"/>
                <w:szCs w:val="20"/>
              </w:rPr>
              <w:t>[●]</w:t>
            </w:r>
            <w:r w:rsidRPr="00B06B12">
              <w:rPr>
                <w:rFonts w:ascii="Arial" w:eastAsia="Arial" w:hAnsi="Arial" w:cs="Arial"/>
                <w:sz w:val="20"/>
                <w:szCs w:val="20"/>
              </w:rPr>
              <w:t xml:space="preserve"> </w:t>
            </w:r>
          </w:p>
        </w:tc>
      </w:tr>
      <w:tr w:rsidR="00B06B12" w:rsidRPr="00B06B12" w14:paraId="52C407DB" w14:textId="77777777" w:rsidTr="00B06B12">
        <w:trPr>
          <w:trHeight w:val="1155"/>
        </w:trPr>
        <w:tc>
          <w:tcPr>
            <w:tcW w:w="1530" w:type="dxa"/>
            <w:tcBorders>
              <w:top w:val="single" w:sz="4" w:space="0" w:color="F1F1EF"/>
            </w:tcBorders>
            <w:shd w:val="clear" w:color="auto" w:fill="004966"/>
          </w:tcPr>
          <w:p w14:paraId="3AA1469E" w14:textId="77777777" w:rsidR="00B06B12" w:rsidRPr="00B06B12" w:rsidRDefault="00B06B12" w:rsidP="00B06B12">
            <w:pPr>
              <w:autoSpaceDE w:val="0"/>
              <w:autoSpaceDN w:val="0"/>
              <w:adjustRightInd w:val="0"/>
              <w:rPr>
                <w:rFonts w:ascii="Arial" w:eastAsia="Arial" w:hAnsi="Arial" w:cs="Arial"/>
                <w:sz w:val="20"/>
                <w:szCs w:val="20"/>
              </w:rPr>
            </w:pPr>
            <w:r w:rsidRPr="00B06B12">
              <w:rPr>
                <w:rFonts w:ascii="Arial" w:eastAsia="Arial" w:hAnsi="Arial" w:cs="Arial"/>
                <w:b/>
                <w:bCs/>
                <w:sz w:val="20"/>
                <w:szCs w:val="20"/>
              </w:rPr>
              <w:t xml:space="preserve">Details of this offer </w:t>
            </w:r>
          </w:p>
        </w:tc>
        <w:tc>
          <w:tcPr>
            <w:tcW w:w="3780" w:type="dxa"/>
          </w:tcPr>
          <w:p w14:paraId="581EE953" w14:textId="77777777" w:rsidR="00B06B12" w:rsidRPr="00B06B12" w:rsidRDefault="00B06B12" w:rsidP="00B06B12">
            <w:pPr>
              <w:autoSpaceDE w:val="0"/>
              <w:autoSpaceDN w:val="0"/>
              <w:adjustRightInd w:val="0"/>
              <w:rPr>
                <w:rFonts w:ascii="Arial" w:eastAsia="Arial" w:hAnsi="Arial" w:cs="Arial"/>
                <w:sz w:val="20"/>
                <w:szCs w:val="20"/>
              </w:rPr>
            </w:pPr>
            <w:r w:rsidRPr="00B06B12">
              <w:rPr>
                <w:rFonts w:ascii="Arial" w:eastAsia="Arial" w:hAnsi="Arial" w:cs="Arial"/>
                <w:i/>
                <w:iCs/>
                <w:sz w:val="20"/>
                <w:szCs w:val="20"/>
              </w:rPr>
              <w:t>[●]</w:t>
            </w:r>
            <w:r w:rsidRPr="00B06B12">
              <w:rPr>
                <w:rFonts w:ascii="Arial" w:eastAsia="Arial" w:hAnsi="Arial" w:cs="Arial"/>
                <w:sz w:val="20"/>
                <w:szCs w:val="20"/>
              </w:rPr>
              <w:t xml:space="preserve"> </w:t>
            </w:r>
          </w:p>
          <w:p w14:paraId="34E9EB65" w14:textId="77777777" w:rsidR="00B06B12" w:rsidRPr="00B06B12" w:rsidRDefault="00B06B12" w:rsidP="00B06B12">
            <w:pPr>
              <w:autoSpaceDE w:val="0"/>
              <w:autoSpaceDN w:val="0"/>
              <w:adjustRightInd w:val="0"/>
              <w:rPr>
                <w:rFonts w:ascii="Arial" w:eastAsia="Arial" w:hAnsi="Arial" w:cs="Arial"/>
                <w:b/>
                <w:bCs/>
                <w:sz w:val="20"/>
                <w:szCs w:val="20"/>
              </w:rPr>
            </w:pPr>
          </w:p>
          <w:p w14:paraId="0CF85E28" w14:textId="77777777" w:rsidR="00B06B12" w:rsidRPr="00B06B12" w:rsidRDefault="00B06B12" w:rsidP="00B06B12">
            <w:pPr>
              <w:autoSpaceDE w:val="0"/>
              <w:autoSpaceDN w:val="0"/>
              <w:adjustRightInd w:val="0"/>
              <w:rPr>
                <w:rFonts w:ascii="Arial" w:eastAsia="Arial" w:hAnsi="Arial" w:cs="Arial"/>
                <w:sz w:val="20"/>
                <w:szCs w:val="20"/>
              </w:rPr>
            </w:pPr>
            <w:r w:rsidRPr="00B06B12">
              <w:rPr>
                <w:rFonts w:ascii="Arial" w:eastAsia="Arial" w:hAnsi="Arial" w:cs="Arial"/>
                <w:b/>
                <w:bCs/>
                <w:sz w:val="20"/>
                <w:szCs w:val="20"/>
              </w:rPr>
              <w:t xml:space="preserve">Example: </w:t>
            </w:r>
          </w:p>
          <w:p w14:paraId="2F40DD8E" w14:textId="77777777" w:rsidR="00B06B12" w:rsidRPr="00B06B12" w:rsidRDefault="00B06B12" w:rsidP="00B06B12">
            <w:pPr>
              <w:autoSpaceDE w:val="0"/>
              <w:autoSpaceDN w:val="0"/>
              <w:adjustRightInd w:val="0"/>
              <w:rPr>
                <w:rFonts w:ascii="Arial" w:eastAsia="Arial" w:hAnsi="Arial" w:cs="Arial"/>
                <w:sz w:val="20"/>
                <w:szCs w:val="20"/>
              </w:rPr>
            </w:pPr>
          </w:p>
          <w:p w14:paraId="66804CD4" w14:textId="77777777" w:rsidR="00B06B12" w:rsidRPr="00B06B12" w:rsidRDefault="00B06B12" w:rsidP="00B06B12">
            <w:pPr>
              <w:autoSpaceDE w:val="0"/>
              <w:autoSpaceDN w:val="0"/>
              <w:adjustRightInd w:val="0"/>
              <w:rPr>
                <w:rFonts w:ascii="Calibri" w:eastAsia="Arial" w:hAnsi="Calibri" w:cs="Calibri"/>
                <w:sz w:val="20"/>
                <w:szCs w:val="20"/>
              </w:rPr>
            </w:pPr>
            <w:r w:rsidRPr="00B06B12">
              <w:rPr>
                <w:rFonts w:ascii="Arial" w:eastAsia="Arial" w:hAnsi="Arial" w:cs="Arial"/>
                <w:sz w:val="20"/>
                <w:szCs w:val="20"/>
              </w:rPr>
              <w:t xml:space="preserve">Total number of shares to be offered – </w:t>
            </w:r>
            <w:r w:rsidRPr="00B06B12">
              <w:rPr>
                <w:rFonts w:ascii="Arial" w:eastAsia="Arial" w:hAnsi="Arial" w:cs="Arial"/>
                <w:i/>
                <w:iCs/>
                <w:sz w:val="20"/>
                <w:szCs w:val="20"/>
              </w:rPr>
              <w:t>[●]</w:t>
            </w:r>
            <w:r w:rsidRPr="00B06B12">
              <w:rPr>
                <w:rFonts w:ascii="Arial" w:eastAsia="Arial" w:hAnsi="Arial" w:cs="Arial"/>
                <w:sz w:val="20"/>
                <w:szCs w:val="20"/>
              </w:rPr>
              <w:t xml:space="preserve"> </w:t>
            </w:r>
          </w:p>
        </w:tc>
        <w:tc>
          <w:tcPr>
            <w:tcW w:w="1620" w:type="dxa"/>
            <w:tcBorders>
              <w:top w:val="single" w:sz="4" w:space="0" w:color="F1F1EF"/>
            </w:tcBorders>
            <w:shd w:val="clear" w:color="auto" w:fill="004966"/>
          </w:tcPr>
          <w:p w14:paraId="63103C5A" w14:textId="77777777" w:rsidR="00B06B12" w:rsidRPr="00B06B12" w:rsidRDefault="00B06B12" w:rsidP="00B06B12">
            <w:pPr>
              <w:autoSpaceDE w:val="0"/>
              <w:autoSpaceDN w:val="0"/>
              <w:adjustRightInd w:val="0"/>
              <w:rPr>
                <w:rFonts w:ascii="Arial" w:eastAsia="Arial" w:hAnsi="Arial" w:cs="Arial"/>
                <w:sz w:val="20"/>
                <w:szCs w:val="20"/>
              </w:rPr>
            </w:pPr>
            <w:r w:rsidRPr="00B06B12">
              <w:rPr>
                <w:rFonts w:ascii="Arial" w:eastAsia="Arial" w:hAnsi="Arial" w:cs="Arial"/>
                <w:b/>
                <w:bCs/>
                <w:sz w:val="20"/>
                <w:szCs w:val="20"/>
              </w:rPr>
              <w:t xml:space="preserve">Total amount to be raised in this offer </w:t>
            </w:r>
          </w:p>
        </w:tc>
        <w:tc>
          <w:tcPr>
            <w:tcW w:w="3780" w:type="dxa"/>
            <w:gridSpan w:val="2"/>
          </w:tcPr>
          <w:p w14:paraId="00E832A6" w14:textId="77777777" w:rsidR="00B06B12" w:rsidRPr="00B06B12" w:rsidRDefault="00B06B12" w:rsidP="00B06B12">
            <w:pPr>
              <w:autoSpaceDE w:val="0"/>
              <w:autoSpaceDN w:val="0"/>
              <w:adjustRightInd w:val="0"/>
              <w:rPr>
                <w:rFonts w:ascii="Arial" w:eastAsia="Arial" w:hAnsi="Arial" w:cs="Arial"/>
                <w:sz w:val="20"/>
                <w:szCs w:val="20"/>
              </w:rPr>
            </w:pPr>
            <w:r w:rsidRPr="00B06B12">
              <w:rPr>
                <w:rFonts w:ascii="Arial" w:eastAsia="Arial" w:hAnsi="Arial" w:cs="Arial"/>
                <w:i/>
                <w:iCs/>
                <w:sz w:val="20"/>
                <w:szCs w:val="20"/>
              </w:rPr>
              <w:t>[●]</w:t>
            </w:r>
            <w:r w:rsidRPr="00B06B12">
              <w:rPr>
                <w:rFonts w:ascii="Arial" w:eastAsia="Arial" w:hAnsi="Arial" w:cs="Arial"/>
                <w:sz w:val="20"/>
                <w:szCs w:val="20"/>
              </w:rPr>
              <w:t xml:space="preserve"> </w:t>
            </w:r>
          </w:p>
          <w:p w14:paraId="66EBB7A2" w14:textId="77777777" w:rsidR="00B06B12" w:rsidRPr="00B06B12" w:rsidRDefault="00B06B12" w:rsidP="00B06B12">
            <w:pPr>
              <w:autoSpaceDE w:val="0"/>
              <w:autoSpaceDN w:val="0"/>
              <w:adjustRightInd w:val="0"/>
              <w:rPr>
                <w:rFonts w:ascii="Arial" w:eastAsia="Arial" w:hAnsi="Arial" w:cs="Arial"/>
                <w:b/>
                <w:bCs/>
                <w:sz w:val="20"/>
                <w:szCs w:val="20"/>
              </w:rPr>
            </w:pPr>
          </w:p>
          <w:p w14:paraId="7BF0BDEE" w14:textId="77777777" w:rsidR="00B06B12" w:rsidRPr="00B06B12" w:rsidRDefault="00B06B12" w:rsidP="00B06B12">
            <w:pPr>
              <w:autoSpaceDE w:val="0"/>
              <w:autoSpaceDN w:val="0"/>
              <w:adjustRightInd w:val="0"/>
              <w:rPr>
                <w:rFonts w:ascii="Arial" w:eastAsia="Arial" w:hAnsi="Arial" w:cs="Arial"/>
                <w:sz w:val="20"/>
                <w:szCs w:val="20"/>
              </w:rPr>
            </w:pPr>
            <w:r w:rsidRPr="00B06B12">
              <w:rPr>
                <w:rFonts w:ascii="Arial" w:eastAsia="Arial" w:hAnsi="Arial" w:cs="Arial"/>
                <w:b/>
                <w:bCs/>
                <w:sz w:val="20"/>
                <w:szCs w:val="20"/>
              </w:rPr>
              <w:t xml:space="preserve">Example: </w:t>
            </w:r>
          </w:p>
          <w:p w14:paraId="5DB35755" w14:textId="77777777" w:rsidR="00B06B12" w:rsidRPr="00B06B12" w:rsidRDefault="00B06B12" w:rsidP="00755725">
            <w:pPr>
              <w:numPr>
                <w:ilvl w:val="0"/>
                <w:numId w:val="97"/>
              </w:numPr>
              <w:autoSpaceDE w:val="0"/>
              <w:autoSpaceDN w:val="0"/>
              <w:adjustRightInd w:val="0"/>
              <w:ind w:left="342"/>
              <w:contextualSpacing/>
              <w:rPr>
                <w:rFonts w:ascii="Calibri" w:eastAsia="Arial" w:hAnsi="Calibri" w:cs="Calibri"/>
                <w:sz w:val="20"/>
                <w:szCs w:val="20"/>
              </w:rPr>
            </w:pPr>
            <w:r w:rsidRPr="00B06B12">
              <w:rPr>
                <w:rFonts w:ascii="Arial" w:eastAsia="Arial" w:hAnsi="Arial" w:cs="Arial"/>
                <w:sz w:val="20"/>
                <w:szCs w:val="20"/>
              </w:rPr>
              <w:t>Gross proceeds – $</w:t>
            </w:r>
            <w:r w:rsidRPr="00B06B12">
              <w:rPr>
                <w:rFonts w:ascii="Arial" w:eastAsia="Arial" w:hAnsi="Arial" w:cs="Arial"/>
                <w:i/>
                <w:iCs/>
                <w:sz w:val="20"/>
                <w:szCs w:val="20"/>
              </w:rPr>
              <w:t>[●]</w:t>
            </w:r>
            <w:r w:rsidRPr="00B06B12">
              <w:rPr>
                <w:rFonts w:ascii="Arial" w:eastAsia="Arial" w:hAnsi="Arial" w:cs="Arial"/>
                <w:sz w:val="20"/>
                <w:szCs w:val="20"/>
              </w:rPr>
              <w:t xml:space="preserve"> to $</w:t>
            </w:r>
            <w:r w:rsidRPr="00B06B12">
              <w:rPr>
                <w:rFonts w:ascii="Arial" w:eastAsia="Arial" w:hAnsi="Arial" w:cs="Arial"/>
                <w:i/>
                <w:iCs/>
                <w:sz w:val="20"/>
                <w:szCs w:val="20"/>
              </w:rPr>
              <w:t>[●]</w:t>
            </w:r>
            <w:r w:rsidRPr="00B06B12">
              <w:rPr>
                <w:rFonts w:ascii="Arial" w:eastAsia="Arial" w:hAnsi="Arial" w:cs="Arial"/>
                <w:sz w:val="20"/>
                <w:szCs w:val="20"/>
              </w:rPr>
              <w:t xml:space="preserve"> </w:t>
            </w:r>
          </w:p>
          <w:p w14:paraId="442A4C18" w14:textId="77777777" w:rsidR="00B06B12" w:rsidRPr="00B06B12" w:rsidRDefault="00B06B12" w:rsidP="00755725">
            <w:pPr>
              <w:numPr>
                <w:ilvl w:val="0"/>
                <w:numId w:val="97"/>
              </w:numPr>
              <w:autoSpaceDE w:val="0"/>
              <w:autoSpaceDN w:val="0"/>
              <w:adjustRightInd w:val="0"/>
              <w:ind w:left="342"/>
              <w:contextualSpacing/>
              <w:rPr>
                <w:rFonts w:ascii="Calibri" w:eastAsia="Arial" w:hAnsi="Calibri" w:cs="Calibri"/>
                <w:sz w:val="20"/>
                <w:szCs w:val="20"/>
              </w:rPr>
            </w:pPr>
            <w:r w:rsidRPr="00B06B12">
              <w:rPr>
                <w:rFonts w:ascii="Arial" w:eastAsia="Arial" w:hAnsi="Arial" w:cs="Arial"/>
                <w:sz w:val="20"/>
                <w:szCs w:val="20"/>
              </w:rPr>
              <w:t>Net proceeds – $</w:t>
            </w:r>
            <w:r w:rsidRPr="00B06B12">
              <w:rPr>
                <w:rFonts w:ascii="Arial" w:eastAsia="Arial" w:hAnsi="Arial" w:cs="Arial"/>
                <w:i/>
                <w:iCs/>
                <w:sz w:val="20"/>
                <w:szCs w:val="20"/>
              </w:rPr>
              <w:t>[●]</w:t>
            </w:r>
            <w:r w:rsidRPr="00B06B12">
              <w:rPr>
                <w:rFonts w:ascii="Arial" w:eastAsia="Arial" w:hAnsi="Arial" w:cs="Arial"/>
                <w:sz w:val="20"/>
                <w:szCs w:val="20"/>
              </w:rPr>
              <w:t xml:space="preserve"> to $</w:t>
            </w:r>
            <w:r w:rsidRPr="00B06B12">
              <w:rPr>
                <w:rFonts w:ascii="Arial" w:eastAsia="Arial" w:hAnsi="Arial" w:cs="Arial"/>
                <w:i/>
                <w:iCs/>
                <w:sz w:val="20"/>
                <w:szCs w:val="20"/>
              </w:rPr>
              <w:t>[●]</w:t>
            </w:r>
            <w:r w:rsidRPr="00B06B12">
              <w:rPr>
                <w:rFonts w:ascii="Arial" w:eastAsia="Arial" w:hAnsi="Arial" w:cs="Arial"/>
                <w:sz w:val="20"/>
                <w:szCs w:val="20"/>
              </w:rPr>
              <w:t xml:space="preserve"> </w:t>
            </w:r>
          </w:p>
          <w:p w14:paraId="25B603FF" w14:textId="77777777" w:rsidR="00B06B12" w:rsidRPr="00B06B12" w:rsidRDefault="00B06B12" w:rsidP="00B06B12">
            <w:pPr>
              <w:autoSpaceDE w:val="0"/>
              <w:autoSpaceDN w:val="0"/>
              <w:adjustRightInd w:val="0"/>
              <w:rPr>
                <w:rFonts w:ascii="Calibri" w:eastAsia="Arial" w:hAnsi="Calibri" w:cs="Calibri"/>
                <w:sz w:val="20"/>
                <w:szCs w:val="20"/>
              </w:rPr>
            </w:pPr>
          </w:p>
        </w:tc>
      </w:tr>
      <w:tr w:rsidR="00B06B12" w:rsidRPr="00B06B12" w14:paraId="4A5473B4" w14:textId="77777777" w:rsidTr="00B06B12">
        <w:trPr>
          <w:trHeight w:val="1331"/>
        </w:trPr>
        <w:tc>
          <w:tcPr>
            <w:tcW w:w="1530" w:type="dxa"/>
            <w:tcBorders>
              <w:top w:val="single" w:sz="4" w:space="0" w:color="auto"/>
              <w:left w:val="single" w:sz="4" w:space="0" w:color="auto"/>
              <w:bottom w:val="single" w:sz="4" w:space="0" w:color="auto"/>
              <w:right w:val="single" w:sz="4" w:space="0" w:color="auto"/>
            </w:tcBorders>
            <w:shd w:val="clear" w:color="auto" w:fill="004966"/>
          </w:tcPr>
          <w:p w14:paraId="456E3B91" w14:textId="77777777" w:rsidR="00B06B12" w:rsidRPr="00B06B12" w:rsidRDefault="00B06B12" w:rsidP="00B06B12">
            <w:pPr>
              <w:autoSpaceDE w:val="0"/>
              <w:autoSpaceDN w:val="0"/>
              <w:adjustRightInd w:val="0"/>
              <w:rPr>
                <w:rFonts w:ascii="Arial" w:eastAsia="Arial" w:hAnsi="Arial" w:cs="Arial"/>
                <w:b/>
                <w:bCs/>
                <w:sz w:val="20"/>
                <w:szCs w:val="20"/>
              </w:rPr>
            </w:pPr>
            <w:r w:rsidRPr="00B06B12">
              <w:rPr>
                <w:rFonts w:ascii="Arial" w:eastAsia="Arial" w:hAnsi="Arial" w:cs="Arial"/>
                <w:b/>
                <w:bCs/>
                <w:sz w:val="20"/>
                <w:szCs w:val="20"/>
              </w:rPr>
              <w:t xml:space="preserve">Issue Price </w:t>
            </w:r>
          </w:p>
        </w:tc>
        <w:tc>
          <w:tcPr>
            <w:tcW w:w="3780" w:type="dxa"/>
            <w:tcBorders>
              <w:top w:val="single" w:sz="4" w:space="0" w:color="auto"/>
              <w:left w:val="single" w:sz="4" w:space="0" w:color="auto"/>
              <w:bottom w:val="single" w:sz="4" w:space="0" w:color="auto"/>
              <w:right w:val="single" w:sz="4" w:space="0" w:color="auto"/>
            </w:tcBorders>
          </w:tcPr>
          <w:p w14:paraId="30F00FCE" w14:textId="77777777" w:rsidR="00B06B12" w:rsidRPr="00B06B12" w:rsidRDefault="00B06B12" w:rsidP="00B06B12">
            <w:pPr>
              <w:autoSpaceDE w:val="0"/>
              <w:autoSpaceDN w:val="0"/>
              <w:adjustRightInd w:val="0"/>
              <w:rPr>
                <w:rFonts w:ascii="Arial" w:eastAsia="Arial" w:hAnsi="Arial" w:cs="Arial"/>
                <w:sz w:val="20"/>
                <w:szCs w:val="20"/>
              </w:rPr>
            </w:pPr>
            <w:r w:rsidRPr="00B06B12">
              <w:rPr>
                <w:rFonts w:ascii="Arial" w:eastAsia="Arial" w:hAnsi="Arial" w:cs="Arial"/>
                <w:i/>
                <w:iCs/>
                <w:sz w:val="20"/>
                <w:szCs w:val="20"/>
              </w:rPr>
              <w:t>[●]</w:t>
            </w:r>
            <w:r w:rsidRPr="00B06B12">
              <w:rPr>
                <w:rFonts w:ascii="Arial" w:eastAsia="Arial" w:hAnsi="Arial" w:cs="Arial"/>
                <w:sz w:val="20"/>
                <w:szCs w:val="20"/>
              </w:rPr>
              <w:t xml:space="preserve"> </w:t>
            </w:r>
          </w:p>
          <w:p w14:paraId="049B1B6B" w14:textId="77777777" w:rsidR="00B06B12" w:rsidRPr="00B06B12" w:rsidRDefault="00B06B12" w:rsidP="00B06B12">
            <w:pPr>
              <w:autoSpaceDE w:val="0"/>
              <w:autoSpaceDN w:val="0"/>
              <w:adjustRightInd w:val="0"/>
              <w:rPr>
                <w:rFonts w:ascii="Arial" w:eastAsia="Arial" w:hAnsi="Arial" w:cs="Arial"/>
                <w:sz w:val="20"/>
                <w:szCs w:val="20"/>
              </w:rPr>
            </w:pPr>
          </w:p>
          <w:p w14:paraId="4D779995" w14:textId="77777777" w:rsidR="00B06B12" w:rsidRPr="00B06B12" w:rsidRDefault="00B06B12" w:rsidP="00B06B12">
            <w:pPr>
              <w:autoSpaceDE w:val="0"/>
              <w:autoSpaceDN w:val="0"/>
              <w:adjustRightInd w:val="0"/>
              <w:rPr>
                <w:rFonts w:ascii="Arial" w:eastAsia="Arial" w:hAnsi="Arial" w:cs="Arial"/>
                <w:b/>
                <w:bCs/>
                <w:sz w:val="20"/>
                <w:szCs w:val="20"/>
              </w:rPr>
            </w:pPr>
            <w:r w:rsidRPr="00B06B12">
              <w:rPr>
                <w:rFonts w:ascii="Arial" w:eastAsia="Arial" w:hAnsi="Arial" w:cs="Arial"/>
                <w:b/>
                <w:bCs/>
                <w:sz w:val="20"/>
                <w:szCs w:val="20"/>
              </w:rPr>
              <w:t xml:space="preserve">Example: </w:t>
            </w:r>
          </w:p>
          <w:p w14:paraId="004BCE70" w14:textId="77777777" w:rsidR="00B06B12" w:rsidRPr="00B06B12" w:rsidRDefault="00B06B12" w:rsidP="00B06B12">
            <w:pPr>
              <w:autoSpaceDE w:val="0"/>
              <w:autoSpaceDN w:val="0"/>
              <w:adjustRightInd w:val="0"/>
              <w:rPr>
                <w:rFonts w:ascii="Arial" w:eastAsia="Arial" w:hAnsi="Arial" w:cs="Arial"/>
                <w:sz w:val="20"/>
                <w:szCs w:val="20"/>
              </w:rPr>
            </w:pPr>
          </w:p>
          <w:p w14:paraId="773B41FA" w14:textId="77777777" w:rsidR="00B06B12" w:rsidRPr="00B06B12" w:rsidRDefault="00B06B12" w:rsidP="00B06B12">
            <w:pPr>
              <w:autoSpaceDE w:val="0"/>
              <w:autoSpaceDN w:val="0"/>
              <w:adjustRightInd w:val="0"/>
              <w:rPr>
                <w:rFonts w:ascii="Arial" w:eastAsia="Arial" w:hAnsi="Arial" w:cs="Arial"/>
                <w:sz w:val="20"/>
                <w:szCs w:val="20"/>
              </w:rPr>
            </w:pPr>
            <w:r w:rsidRPr="00B06B12">
              <w:rPr>
                <w:rFonts w:ascii="Arial" w:eastAsia="Arial" w:hAnsi="Arial" w:cs="Arial"/>
                <w:sz w:val="20"/>
                <w:szCs w:val="20"/>
              </w:rPr>
              <w:t>$</w:t>
            </w:r>
            <w:r w:rsidRPr="00B06B12">
              <w:rPr>
                <w:rFonts w:ascii="Arial" w:eastAsia="Arial" w:hAnsi="Arial" w:cs="Arial"/>
                <w:i/>
                <w:iCs/>
                <w:sz w:val="20"/>
                <w:szCs w:val="20"/>
              </w:rPr>
              <w:t>[●]</w:t>
            </w:r>
            <w:r w:rsidRPr="00B06B12">
              <w:rPr>
                <w:rFonts w:ascii="Arial" w:eastAsia="Arial" w:hAnsi="Arial" w:cs="Arial"/>
                <w:sz w:val="20"/>
                <w:szCs w:val="20"/>
              </w:rPr>
              <w:t xml:space="preserve"> for each share </w:t>
            </w:r>
          </w:p>
        </w:tc>
        <w:tc>
          <w:tcPr>
            <w:tcW w:w="1620" w:type="dxa"/>
            <w:tcBorders>
              <w:top w:val="single" w:sz="4" w:space="0" w:color="auto"/>
              <w:left w:val="single" w:sz="4" w:space="0" w:color="auto"/>
              <w:bottom w:val="single" w:sz="4" w:space="0" w:color="auto"/>
              <w:right w:val="single" w:sz="4" w:space="0" w:color="auto"/>
            </w:tcBorders>
            <w:shd w:val="clear" w:color="auto" w:fill="004966"/>
          </w:tcPr>
          <w:p w14:paraId="375F02DE" w14:textId="77777777" w:rsidR="00B06B12" w:rsidRPr="00B06B12" w:rsidRDefault="00B06B12" w:rsidP="00B06B12">
            <w:pPr>
              <w:autoSpaceDE w:val="0"/>
              <w:autoSpaceDN w:val="0"/>
              <w:adjustRightInd w:val="0"/>
              <w:rPr>
                <w:rFonts w:ascii="Arial" w:eastAsia="Arial" w:hAnsi="Arial" w:cs="Arial"/>
                <w:b/>
                <w:bCs/>
                <w:sz w:val="20"/>
                <w:szCs w:val="20"/>
              </w:rPr>
            </w:pPr>
            <w:r w:rsidRPr="00B06B12">
              <w:rPr>
                <w:rFonts w:ascii="Arial" w:eastAsia="Arial" w:hAnsi="Arial" w:cs="Arial"/>
                <w:b/>
                <w:bCs/>
                <w:sz w:val="20"/>
                <w:szCs w:val="20"/>
              </w:rPr>
              <w:t>Issue Manager(s)</w:t>
            </w:r>
          </w:p>
          <w:p w14:paraId="52FDC7DA" w14:textId="77777777" w:rsidR="00B06B12" w:rsidRPr="00B06B12" w:rsidRDefault="00B06B12" w:rsidP="00B06B12">
            <w:pPr>
              <w:autoSpaceDE w:val="0"/>
              <w:autoSpaceDN w:val="0"/>
              <w:adjustRightInd w:val="0"/>
              <w:rPr>
                <w:rFonts w:ascii="Arial" w:eastAsia="Arial" w:hAnsi="Arial" w:cs="Arial"/>
                <w:b/>
                <w:bCs/>
                <w:sz w:val="20"/>
                <w:szCs w:val="20"/>
              </w:rPr>
            </w:pPr>
            <w:r w:rsidRPr="00B06B12">
              <w:rPr>
                <w:rFonts w:ascii="Arial" w:eastAsia="Arial" w:hAnsi="Arial" w:cs="Arial"/>
                <w:b/>
                <w:bCs/>
                <w:sz w:val="20"/>
                <w:szCs w:val="20"/>
              </w:rPr>
              <w:t>Underwriter(s)</w:t>
            </w:r>
          </w:p>
          <w:p w14:paraId="6CE8E1CA" w14:textId="77777777" w:rsidR="00B06B12" w:rsidRPr="00B06B12" w:rsidRDefault="00B06B12" w:rsidP="00B06B12">
            <w:pPr>
              <w:autoSpaceDE w:val="0"/>
              <w:autoSpaceDN w:val="0"/>
              <w:adjustRightInd w:val="0"/>
              <w:rPr>
                <w:rFonts w:ascii="Arial" w:eastAsia="Arial" w:hAnsi="Arial" w:cs="Arial"/>
                <w:b/>
                <w:bCs/>
                <w:sz w:val="20"/>
                <w:szCs w:val="20"/>
              </w:rPr>
            </w:pPr>
            <w:r w:rsidRPr="00B06B12">
              <w:rPr>
                <w:rFonts w:ascii="Arial" w:eastAsia="Arial" w:hAnsi="Arial" w:cs="Arial"/>
                <w:b/>
                <w:bCs/>
                <w:sz w:val="20"/>
                <w:szCs w:val="20"/>
              </w:rPr>
              <w:t>(where applicable)</w:t>
            </w:r>
          </w:p>
        </w:tc>
        <w:tc>
          <w:tcPr>
            <w:tcW w:w="3780" w:type="dxa"/>
            <w:gridSpan w:val="2"/>
            <w:tcBorders>
              <w:top w:val="single" w:sz="4" w:space="0" w:color="auto"/>
              <w:left w:val="single" w:sz="4" w:space="0" w:color="auto"/>
              <w:bottom w:val="single" w:sz="4" w:space="0" w:color="auto"/>
              <w:right w:val="single" w:sz="4" w:space="0" w:color="auto"/>
            </w:tcBorders>
          </w:tcPr>
          <w:p w14:paraId="3D2AFC4B" w14:textId="77777777" w:rsidR="00B06B12" w:rsidRPr="00B06B12" w:rsidRDefault="00B06B12" w:rsidP="00B06B12">
            <w:pPr>
              <w:autoSpaceDE w:val="0"/>
              <w:autoSpaceDN w:val="0"/>
              <w:adjustRightInd w:val="0"/>
              <w:rPr>
                <w:rFonts w:ascii="Arial" w:eastAsia="Arial" w:hAnsi="Arial" w:cs="Arial"/>
                <w:i/>
                <w:iCs/>
                <w:sz w:val="20"/>
                <w:szCs w:val="20"/>
              </w:rPr>
            </w:pPr>
            <w:r w:rsidRPr="00B06B12">
              <w:rPr>
                <w:rFonts w:ascii="Arial" w:eastAsia="Arial" w:hAnsi="Arial" w:cs="Arial"/>
                <w:i/>
                <w:iCs/>
                <w:sz w:val="20"/>
                <w:szCs w:val="20"/>
              </w:rPr>
              <w:t>[●]</w:t>
            </w:r>
          </w:p>
          <w:p w14:paraId="351D911A" w14:textId="77777777" w:rsidR="00B06B12" w:rsidRPr="00B06B12" w:rsidRDefault="00B06B12" w:rsidP="00B06B12">
            <w:pPr>
              <w:autoSpaceDE w:val="0"/>
              <w:autoSpaceDN w:val="0"/>
              <w:adjustRightInd w:val="0"/>
              <w:rPr>
                <w:rFonts w:ascii="Arial" w:eastAsia="Arial" w:hAnsi="Arial" w:cs="Arial"/>
                <w:sz w:val="20"/>
                <w:szCs w:val="20"/>
              </w:rPr>
            </w:pPr>
            <w:r w:rsidRPr="00B06B12">
              <w:rPr>
                <w:rFonts w:ascii="Arial" w:eastAsia="Arial" w:hAnsi="Arial" w:cs="Arial"/>
                <w:i/>
                <w:iCs/>
                <w:sz w:val="20"/>
                <w:szCs w:val="20"/>
              </w:rPr>
              <w:t>[●]</w:t>
            </w:r>
          </w:p>
        </w:tc>
      </w:tr>
      <w:tr w:rsidR="00B06B12" w:rsidRPr="00B06B12" w14:paraId="62C16A5D" w14:textId="77777777" w:rsidTr="00B06B12">
        <w:trPr>
          <w:trHeight w:val="530"/>
        </w:trPr>
        <w:tc>
          <w:tcPr>
            <w:tcW w:w="10710" w:type="dxa"/>
            <w:gridSpan w:val="5"/>
            <w:tcBorders>
              <w:top w:val="single" w:sz="4" w:space="0" w:color="auto"/>
              <w:left w:val="single" w:sz="4" w:space="0" w:color="auto"/>
              <w:bottom w:val="single" w:sz="4" w:space="0" w:color="auto"/>
              <w:right w:val="single" w:sz="4" w:space="0" w:color="auto"/>
            </w:tcBorders>
            <w:shd w:val="clear" w:color="auto" w:fill="8E9080"/>
            <w:vAlign w:val="center"/>
          </w:tcPr>
          <w:p w14:paraId="24E79164" w14:textId="77777777" w:rsidR="00B06B12" w:rsidRPr="00B06B12" w:rsidRDefault="00B06B12" w:rsidP="00B06B12">
            <w:pPr>
              <w:autoSpaceDE w:val="0"/>
              <w:autoSpaceDN w:val="0"/>
              <w:adjustRightInd w:val="0"/>
              <w:jc w:val="center"/>
              <w:rPr>
                <w:rFonts w:ascii="Arial" w:eastAsia="Arial" w:hAnsi="Arial" w:cs="Arial"/>
                <w:color w:val="000000"/>
              </w:rPr>
            </w:pPr>
            <w:r w:rsidRPr="00B06B12">
              <w:rPr>
                <w:rFonts w:ascii="Arial" w:eastAsia="Arial" w:hAnsi="Arial" w:cs="Arial"/>
                <w:sz w:val="22"/>
                <w:szCs w:val="22"/>
              </w:rPr>
              <w:br w:type="page"/>
            </w:r>
            <w:r w:rsidRPr="00B06B12">
              <w:rPr>
                <w:rFonts w:ascii="Arial" w:eastAsia="Arial" w:hAnsi="Arial" w:cs="Arial"/>
                <w:b/>
                <w:bCs/>
                <w:color w:val="000000"/>
                <w:sz w:val="22"/>
                <w:szCs w:val="22"/>
              </w:rPr>
              <w:t>OVERVIEW</w:t>
            </w:r>
          </w:p>
        </w:tc>
      </w:tr>
      <w:tr w:rsidR="00B06B12" w:rsidRPr="00B06B12" w14:paraId="5CA55ED3" w14:textId="77777777" w:rsidTr="00B06B12">
        <w:trPr>
          <w:trHeight w:val="530"/>
        </w:trPr>
        <w:tc>
          <w:tcPr>
            <w:tcW w:w="10710" w:type="dxa"/>
            <w:gridSpan w:val="5"/>
            <w:tcBorders>
              <w:top w:val="single" w:sz="4" w:space="0" w:color="auto"/>
              <w:left w:val="single" w:sz="4" w:space="0" w:color="auto"/>
              <w:bottom w:val="single" w:sz="4" w:space="0" w:color="auto"/>
              <w:right w:val="single" w:sz="4" w:space="0" w:color="auto"/>
            </w:tcBorders>
            <w:shd w:val="clear" w:color="auto" w:fill="004966"/>
            <w:vAlign w:val="center"/>
          </w:tcPr>
          <w:p w14:paraId="311A651A" w14:textId="77777777" w:rsidR="00B06B12" w:rsidRPr="00B06B12" w:rsidRDefault="00B06B12" w:rsidP="00B06B12">
            <w:pPr>
              <w:autoSpaceDE w:val="0"/>
              <w:autoSpaceDN w:val="0"/>
              <w:adjustRightInd w:val="0"/>
              <w:jc w:val="center"/>
              <w:rPr>
                <w:rFonts w:ascii="Arial" w:eastAsia="Arial" w:hAnsi="Arial" w:cs="Arial"/>
                <w:color w:val="000000"/>
              </w:rPr>
            </w:pPr>
            <w:r w:rsidRPr="00B06B12">
              <w:rPr>
                <w:rFonts w:ascii="Arial" w:eastAsia="Arial" w:hAnsi="Arial" w:cs="Arial"/>
                <w:b/>
                <w:bCs/>
                <w:sz w:val="22"/>
                <w:szCs w:val="22"/>
              </w:rPr>
              <w:t xml:space="preserve">WHO ARE WE AND WHAT DO WE DO? </w:t>
            </w:r>
          </w:p>
        </w:tc>
      </w:tr>
      <w:tr w:rsidR="00B06B12" w:rsidRPr="00B06B12" w14:paraId="1CE19028" w14:textId="77777777" w:rsidTr="00DC276A">
        <w:trPr>
          <w:trHeight w:val="1155"/>
        </w:trPr>
        <w:tc>
          <w:tcPr>
            <w:tcW w:w="8640" w:type="dxa"/>
            <w:gridSpan w:val="4"/>
            <w:tcBorders>
              <w:top w:val="single" w:sz="4" w:space="0" w:color="auto"/>
              <w:left w:val="single" w:sz="4" w:space="0" w:color="auto"/>
              <w:bottom w:val="single" w:sz="4" w:space="0" w:color="auto"/>
              <w:right w:val="single" w:sz="4" w:space="0" w:color="auto"/>
            </w:tcBorders>
          </w:tcPr>
          <w:p w14:paraId="4F33B053"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i/>
                <w:iCs/>
                <w:color w:val="000000"/>
                <w:sz w:val="20"/>
                <w:szCs w:val="20"/>
              </w:rPr>
              <w:t xml:space="preserve">[Provide an overview of the Issuer and its subsidiaries (the “Group”), including the Group’s nature of operations and principal activities, principal markets the Group competes in, principal place of operations and operational history. Information should be presented using diagrams (e.g. tables, graphs and charts) where appropriate.] </w:t>
            </w:r>
          </w:p>
          <w:p w14:paraId="0D003AAB" w14:textId="77777777" w:rsidR="00B06B12" w:rsidRPr="00B06B12" w:rsidRDefault="00B06B12" w:rsidP="00B06B12">
            <w:pPr>
              <w:autoSpaceDE w:val="0"/>
              <w:autoSpaceDN w:val="0"/>
              <w:adjustRightInd w:val="0"/>
              <w:jc w:val="both"/>
              <w:rPr>
                <w:rFonts w:ascii="Arial" w:eastAsia="Arial" w:hAnsi="Arial" w:cs="Arial"/>
                <w:b/>
                <w:bCs/>
                <w:color w:val="000000"/>
                <w:sz w:val="20"/>
                <w:szCs w:val="20"/>
              </w:rPr>
            </w:pPr>
          </w:p>
          <w:p w14:paraId="5CD775C8"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b/>
                <w:bCs/>
                <w:color w:val="000000"/>
                <w:sz w:val="20"/>
                <w:szCs w:val="20"/>
              </w:rPr>
              <w:t xml:space="preserve">Example: </w:t>
            </w:r>
          </w:p>
          <w:p w14:paraId="50CE5452"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p>
          <w:p w14:paraId="16859F64"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 xml:space="preserve">We are engaged in the business of </w:t>
            </w:r>
            <w:r w:rsidRPr="00B06B12">
              <w:rPr>
                <w:rFonts w:ascii="Arial" w:eastAsia="Arial" w:hAnsi="Arial" w:cs="Arial"/>
                <w:i/>
                <w:iCs/>
                <w:color w:val="000000"/>
                <w:sz w:val="20"/>
                <w:szCs w:val="20"/>
              </w:rPr>
              <w:t>[principal business]</w:t>
            </w:r>
            <w:r w:rsidRPr="00B06B12">
              <w:rPr>
                <w:rFonts w:ascii="Arial" w:eastAsia="Arial" w:hAnsi="Arial" w:cs="Arial"/>
                <w:color w:val="000000"/>
                <w:sz w:val="20"/>
                <w:szCs w:val="20"/>
              </w:rPr>
              <w:t xml:space="preserve"> in </w:t>
            </w:r>
            <w:r w:rsidRPr="00B06B12">
              <w:rPr>
                <w:rFonts w:ascii="Arial" w:eastAsia="Arial" w:hAnsi="Arial" w:cs="Arial"/>
                <w:i/>
                <w:iCs/>
                <w:color w:val="000000"/>
                <w:sz w:val="20"/>
                <w:szCs w:val="20"/>
              </w:rPr>
              <w:t>[country]</w:t>
            </w:r>
            <w:r w:rsidRPr="00B06B12">
              <w:rPr>
                <w:rFonts w:ascii="Arial" w:eastAsia="Arial" w:hAnsi="Arial" w:cs="Arial"/>
                <w:color w:val="000000"/>
                <w:sz w:val="20"/>
                <w:szCs w:val="20"/>
              </w:rPr>
              <w:t xml:space="preserve">. We were incorporated in </w:t>
            </w:r>
            <w:r w:rsidRPr="00B06B12">
              <w:rPr>
                <w:rFonts w:ascii="Arial" w:eastAsia="Arial" w:hAnsi="Arial" w:cs="Arial"/>
                <w:i/>
                <w:iCs/>
                <w:color w:val="000000"/>
                <w:sz w:val="20"/>
                <w:szCs w:val="20"/>
              </w:rPr>
              <w:t>[country]</w:t>
            </w:r>
            <w:r w:rsidRPr="00B06B12">
              <w:rPr>
                <w:rFonts w:ascii="Arial" w:eastAsia="Arial" w:hAnsi="Arial" w:cs="Arial"/>
                <w:color w:val="000000"/>
                <w:sz w:val="20"/>
                <w:szCs w:val="20"/>
              </w:rPr>
              <w:t xml:space="preserve"> on </w:t>
            </w:r>
            <w:r w:rsidRPr="00B06B12">
              <w:rPr>
                <w:rFonts w:ascii="Arial" w:eastAsia="Arial" w:hAnsi="Arial" w:cs="Arial"/>
                <w:i/>
                <w:iCs/>
                <w:color w:val="000000"/>
                <w:sz w:val="20"/>
                <w:szCs w:val="20"/>
              </w:rPr>
              <w:t>[date]</w:t>
            </w:r>
            <w:r w:rsidRPr="00B06B12">
              <w:rPr>
                <w:rFonts w:ascii="Arial" w:eastAsia="Arial" w:hAnsi="Arial" w:cs="Arial"/>
                <w:color w:val="000000"/>
                <w:sz w:val="20"/>
                <w:szCs w:val="20"/>
              </w:rPr>
              <w:t xml:space="preserve"> under the name of </w:t>
            </w:r>
            <w:r w:rsidRPr="00B06B12">
              <w:rPr>
                <w:rFonts w:ascii="Arial" w:eastAsia="Arial" w:hAnsi="Arial" w:cs="Arial"/>
                <w:i/>
                <w:iCs/>
                <w:color w:val="000000"/>
                <w:sz w:val="20"/>
                <w:szCs w:val="20"/>
              </w:rPr>
              <w:t>[name of company]</w:t>
            </w:r>
            <w:r w:rsidRPr="00B06B12">
              <w:rPr>
                <w:rFonts w:ascii="Arial" w:eastAsia="Arial" w:hAnsi="Arial" w:cs="Arial"/>
                <w:color w:val="000000"/>
                <w:sz w:val="20"/>
                <w:szCs w:val="20"/>
              </w:rPr>
              <w:t xml:space="preserve"> (and together with our subsidiaries, referred to as the “Group”). On </w:t>
            </w:r>
            <w:r w:rsidRPr="00B06B12">
              <w:rPr>
                <w:rFonts w:ascii="Arial" w:eastAsia="Arial" w:hAnsi="Arial" w:cs="Arial"/>
                <w:i/>
                <w:iCs/>
                <w:color w:val="000000"/>
                <w:sz w:val="20"/>
                <w:szCs w:val="20"/>
              </w:rPr>
              <w:t>[date]</w:t>
            </w:r>
            <w:r w:rsidRPr="00B06B12">
              <w:rPr>
                <w:rFonts w:ascii="Arial" w:eastAsia="Arial" w:hAnsi="Arial" w:cs="Arial"/>
                <w:color w:val="000000"/>
                <w:sz w:val="20"/>
                <w:szCs w:val="20"/>
              </w:rPr>
              <w:t xml:space="preserve">, we acquired all of the ordinary share capital of </w:t>
            </w:r>
            <w:r w:rsidRPr="00B06B12">
              <w:rPr>
                <w:rFonts w:ascii="Arial" w:eastAsia="Arial" w:hAnsi="Arial" w:cs="Arial"/>
                <w:i/>
                <w:iCs/>
                <w:color w:val="000000"/>
                <w:sz w:val="20"/>
                <w:szCs w:val="20"/>
              </w:rPr>
              <w:t>[name of subsidiaries]</w:t>
            </w:r>
            <w:r w:rsidRPr="00B06B12">
              <w:rPr>
                <w:rFonts w:ascii="Arial" w:eastAsia="Arial" w:hAnsi="Arial" w:cs="Arial"/>
                <w:color w:val="000000"/>
                <w:sz w:val="20"/>
                <w:szCs w:val="20"/>
              </w:rPr>
              <w:t xml:space="preserve">. Since our acquisition of </w:t>
            </w:r>
            <w:r w:rsidRPr="00B06B12">
              <w:rPr>
                <w:rFonts w:ascii="Arial" w:eastAsia="Arial" w:hAnsi="Arial" w:cs="Arial"/>
                <w:i/>
                <w:iCs/>
                <w:color w:val="000000"/>
                <w:sz w:val="20"/>
                <w:szCs w:val="20"/>
              </w:rPr>
              <w:t>[name of subsidiaries]</w:t>
            </w:r>
            <w:r w:rsidRPr="00B06B12">
              <w:rPr>
                <w:rFonts w:ascii="Arial" w:eastAsia="Arial" w:hAnsi="Arial" w:cs="Arial"/>
                <w:color w:val="000000"/>
                <w:sz w:val="20"/>
                <w:szCs w:val="20"/>
              </w:rPr>
              <w:t xml:space="preserve">, we have been a major supplier of </w:t>
            </w:r>
            <w:r w:rsidRPr="00B06B12">
              <w:rPr>
                <w:rFonts w:ascii="Arial" w:eastAsia="Arial" w:hAnsi="Arial" w:cs="Arial"/>
                <w:i/>
                <w:iCs/>
                <w:color w:val="000000"/>
                <w:sz w:val="20"/>
                <w:szCs w:val="20"/>
              </w:rPr>
              <w:t>[principal business]</w:t>
            </w:r>
            <w:r w:rsidRPr="00B06B12">
              <w:rPr>
                <w:rFonts w:ascii="Arial" w:eastAsia="Arial" w:hAnsi="Arial" w:cs="Arial"/>
                <w:color w:val="000000"/>
                <w:sz w:val="20"/>
                <w:szCs w:val="20"/>
              </w:rPr>
              <w:t xml:space="preserve"> in </w:t>
            </w:r>
            <w:r w:rsidRPr="00B06B12">
              <w:rPr>
                <w:rFonts w:ascii="Arial" w:eastAsia="Arial" w:hAnsi="Arial" w:cs="Arial"/>
                <w:i/>
                <w:iCs/>
                <w:color w:val="000000"/>
                <w:sz w:val="20"/>
                <w:szCs w:val="20"/>
              </w:rPr>
              <w:t>[country]</w:t>
            </w:r>
            <w:r w:rsidRPr="00B06B12">
              <w:rPr>
                <w:rFonts w:ascii="Arial" w:eastAsia="Arial" w:hAnsi="Arial" w:cs="Arial"/>
                <w:color w:val="000000"/>
                <w:sz w:val="20"/>
                <w:szCs w:val="20"/>
              </w:rPr>
              <w:t xml:space="preserve">. Our subsidiaries, </w:t>
            </w:r>
            <w:r w:rsidRPr="00B06B12">
              <w:rPr>
                <w:rFonts w:ascii="Arial" w:eastAsia="Arial" w:hAnsi="Arial" w:cs="Arial"/>
                <w:i/>
                <w:iCs/>
                <w:color w:val="000000"/>
                <w:sz w:val="20"/>
                <w:szCs w:val="20"/>
              </w:rPr>
              <w:t>[subsidiary X]</w:t>
            </w:r>
            <w:r w:rsidRPr="00B06B12">
              <w:rPr>
                <w:rFonts w:ascii="Arial" w:eastAsia="Arial" w:hAnsi="Arial" w:cs="Arial"/>
                <w:color w:val="000000"/>
                <w:sz w:val="20"/>
                <w:szCs w:val="20"/>
              </w:rPr>
              <w:t xml:space="preserve">, </w:t>
            </w:r>
            <w:r w:rsidRPr="00B06B12">
              <w:rPr>
                <w:rFonts w:ascii="Arial" w:eastAsia="Arial" w:hAnsi="Arial" w:cs="Arial"/>
                <w:i/>
                <w:iCs/>
                <w:color w:val="000000"/>
                <w:sz w:val="20"/>
                <w:szCs w:val="20"/>
              </w:rPr>
              <w:t>[subsidiary Y]</w:t>
            </w:r>
            <w:r w:rsidRPr="00B06B12">
              <w:rPr>
                <w:rFonts w:ascii="Arial" w:eastAsia="Arial" w:hAnsi="Arial" w:cs="Arial"/>
                <w:color w:val="000000"/>
                <w:sz w:val="20"/>
                <w:szCs w:val="20"/>
              </w:rPr>
              <w:t xml:space="preserve"> and </w:t>
            </w:r>
            <w:r w:rsidRPr="00B06B12">
              <w:rPr>
                <w:rFonts w:ascii="Arial" w:eastAsia="Arial" w:hAnsi="Arial" w:cs="Arial"/>
                <w:i/>
                <w:iCs/>
                <w:color w:val="000000"/>
                <w:sz w:val="20"/>
                <w:szCs w:val="20"/>
              </w:rPr>
              <w:t>[subsidiary Z]</w:t>
            </w:r>
            <w:r w:rsidRPr="00B06B12">
              <w:rPr>
                <w:rFonts w:ascii="Arial" w:eastAsia="Arial" w:hAnsi="Arial" w:cs="Arial"/>
                <w:color w:val="000000"/>
                <w:sz w:val="20"/>
                <w:szCs w:val="20"/>
              </w:rPr>
              <w:t xml:space="preserve"> are responsible for design and manufacturing of our products in </w:t>
            </w:r>
            <w:r w:rsidRPr="00B06B12">
              <w:rPr>
                <w:rFonts w:ascii="Arial" w:eastAsia="Arial" w:hAnsi="Arial" w:cs="Arial"/>
                <w:i/>
                <w:iCs/>
                <w:color w:val="000000"/>
                <w:sz w:val="20"/>
                <w:szCs w:val="20"/>
              </w:rPr>
              <w:t>[country X]</w:t>
            </w:r>
            <w:r w:rsidRPr="00B06B12">
              <w:rPr>
                <w:rFonts w:ascii="Arial" w:eastAsia="Arial" w:hAnsi="Arial" w:cs="Arial"/>
                <w:color w:val="000000"/>
                <w:sz w:val="20"/>
                <w:szCs w:val="20"/>
              </w:rPr>
              <w:t xml:space="preserve">, </w:t>
            </w:r>
            <w:r w:rsidRPr="00B06B12">
              <w:rPr>
                <w:rFonts w:ascii="Arial" w:eastAsia="Arial" w:hAnsi="Arial" w:cs="Arial"/>
                <w:i/>
                <w:iCs/>
                <w:color w:val="000000"/>
                <w:sz w:val="20"/>
                <w:szCs w:val="20"/>
              </w:rPr>
              <w:t>[country Y]</w:t>
            </w:r>
            <w:r w:rsidRPr="00B06B12">
              <w:rPr>
                <w:rFonts w:ascii="Arial" w:eastAsia="Arial" w:hAnsi="Arial" w:cs="Arial"/>
                <w:color w:val="000000"/>
                <w:sz w:val="20"/>
                <w:szCs w:val="20"/>
              </w:rPr>
              <w:t xml:space="preserve"> and </w:t>
            </w:r>
            <w:r w:rsidRPr="00B06B12">
              <w:rPr>
                <w:rFonts w:ascii="Arial" w:eastAsia="Arial" w:hAnsi="Arial" w:cs="Arial"/>
                <w:i/>
                <w:iCs/>
                <w:color w:val="000000"/>
                <w:sz w:val="20"/>
                <w:szCs w:val="20"/>
              </w:rPr>
              <w:t>[country Z]</w:t>
            </w:r>
            <w:r w:rsidRPr="00B06B12">
              <w:rPr>
                <w:rFonts w:ascii="Arial" w:eastAsia="Arial" w:hAnsi="Arial" w:cs="Arial"/>
                <w:color w:val="000000"/>
                <w:sz w:val="20"/>
                <w:szCs w:val="20"/>
              </w:rPr>
              <w:t xml:space="preserve"> respectively. </w:t>
            </w:r>
          </w:p>
          <w:p w14:paraId="1F406B63"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p>
          <w:p w14:paraId="05648751"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The structure of our Group as at the date of this Offer document is as follows:</w:t>
            </w:r>
          </w:p>
          <w:p w14:paraId="7CA7D370" w14:textId="77777777" w:rsidR="00B06B12" w:rsidRPr="00B06B12" w:rsidRDefault="00B06B12" w:rsidP="00B06B12">
            <w:pPr>
              <w:autoSpaceDE w:val="0"/>
              <w:autoSpaceDN w:val="0"/>
              <w:adjustRightInd w:val="0"/>
              <w:rPr>
                <w:rFonts w:ascii="Arial" w:eastAsia="Arial" w:hAnsi="Arial" w:cs="Arial"/>
                <w:b/>
                <w:bCs/>
                <w:color w:val="000000"/>
                <w:sz w:val="20"/>
                <w:szCs w:val="20"/>
              </w:rPr>
            </w:pPr>
          </w:p>
          <w:p w14:paraId="4D67658D" w14:textId="77777777" w:rsidR="00B06B12" w:rsidRPr="00B06B12" w:rsidRDefault="00B06B12" w:rsidP="00B06B12">
            <w:pPr>
              <w:autoSpaceDE w:val="0"/>
              <w:autoSpaceDN w:val="0"/>
              <w:adjustRightInd w:val="0"/>
              <w:rPr>
                <w:rFonts w:ascii="Arial" w:eastAsia="Arial" w:hAnsi="Arial" w:cs="Arial"/>
                <w:b/>
                <w:bCs/>
                <w:color w:val="000000"/>
                <w:sz w:val="20"/>
                <w:szCs w:val="20"/>
              </w:rPr>
            </w:pPr>
            <w:r w:rsidRPr="00B06B12">
              <w:rPr>
                <w:rFonts w:ascii="Arial" w:eastAsia="Arial" w:hAnsi="Arial" w:cs="Arial"/>
                <w:b/>
                <w:bCs/>
                <w:noProof/>
                <w:color w:val="000000"/>
                <w:sz w:val="20"/>
                <w:szCs w:val="20"/>
                <w:lang w:eastAsia="en-GB"/>
              </w:rPr>
              <mc:AlternateContent>
                <mc:Choice Requires="wps">
                  <w:drawing>
                    <wp:anchor distT="45720" distB="45720" distL="114300" distR="114300" simplePos="0" relativeHeight="251659264" behindDoc="0" locked="0" layoutInCell="1" allowOverlap="1" wp14:anchorId="4C0008C2" wp14:editId="385CD3B8">
                      <wp:simplePos x="0" y="0"/>
                      <wp:positionH relativeFrom="column">
                        <wp:posOffset>1342390</wp:posOffset>
                      </wp:positionH>
                      <wp:positionV relativeFrom="paragraph">
                        <wp:posOffset>22860</wp:posOffset>
                      </wp:positionV>
                      <wp:extent cx="2360930" cy="1404620"/>
                      <wp:effectExtent l="0" t="0" r="1270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391D3E6" w14:textId="77777777" w:rsidR="00B06B12" w:rsidRPr="00B94921" w:rsidRDefault="00B06B12" w:rsidP="00B06B12">
                                  <w:pPr>
                                    <w:jc w:val="center"/>
                                    <w:rPr>
                                      <w:rFonts w:ascii="Arial" w:hAnsi="Arial" w:cs="Arial"/>
                                      <w:sz w:val="20"/>
                                      <w:szCs w:val="20"/>
                                      <w:lang w:val="en-US"/>
                                    </w:rPr>
                                  </w:pPr>
                                  <w:r w:rsidRPr="00B94921">
                                    <w:rPr>
                                      <w:rFonts w:ascii="Arial" w:hAnsi="Arial" w:cs="Arial"/>
                                      <w:i/>
                                      <w:iCs/>
                                      <w:sz w:val="20"/>
                                      <w:szCs w:val="20"/>
                                      <w:lang w:val="en-US"/>
                                    </w:rPr>
                                    <w:t>[structure chart]</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C0008C2" id="_x0000_t202" coordsize="21600,21600" o:spt="202" path="m,l,21600r21600,l21600,xe">
                      <v:stroke joinstyle="miter"/>
                      <v:path gradientshapeok="t" o:connecttype="rect"/>
                    </v:shapetype>
                    <v:shape id="Text Box 2" o:spid="_x0000_s1026" type="#_x0000_t202" style="position:absolute;margin-left:105.7pt;margin-top:1.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">
                      <v:textbox style="mso-fit-shape-to-text:t">
                        <w:txbxContent>
                          <w:p w14:paraId="2391D3E6" w14:textId="77777777" w:rsidR="00B06B12" w:rsidRPr="00B94921" w:rsidRDefault="00B06B12" w:rsidP="00B06B12">
                            <w:pPr>
                              <w:jc w:val="center"/>
                              <w:rPr>
                                <w:rFonts w:ascii="Arial" w:hAnsi="Arial" w:cs="Arial"/>
                                <w:sz w:val="20"/>
                                <w:szCs w:val="20"/>
                                <w:lang w:val="en-US"/>
                              </w:rPr>
                            </w:pPr>
                            <w:r w:rsidRPr="00B94921">
                              <w:rPr>
                                <w:rFonts w:ascii="Arial" w:hAnsi="Arial" w:cs="Arial"/>
                                <w:i/>
                                <w:iCs/>
                                <w:sz w:val="20"/>
                                <w:szCs w:val="20"/>
                                <w:lang w:val="en-US"/>
                              </w:rPr>
                              <w:t>[structure chart]</w:t>
                            </w:r>
                          </w:p>
                        </w:txbxContent>
                      </v:textbox>
                      <w10:wrap type="square"/>
                    </v:shape>
                  </w:pict>
                </mc:Fallback>
              </mc:AlternateContent>
            </w:r>
          </w:p>
          <w:p w14:paraId="12AFA16D" w14:textId="77777777" w:rsidR="00B06B12" w:rsidRPr="00B06B12" w:rsidRDefault="00B06B12" w:rsidP="00B06B12">
            <w:pPr>
              <w:autoSpaceDE w:val="0"/>
              <w:autoSpaceDN w:val="0"/>
              <w:adjustRightInd w:val="0"/>
              <w:rPr>
                <w:rFonts w:ascii="Arial" w:eastAsia="Arial" w:hAnsi="Arial" w:cs="Arial"/>
                <w:b/>
                <w:bCs/>
                <w:color w:val="000000"/>
                <w:sz w:val="20"/>
                <w:szCs w:val="20"/>
              </w:rPr>
            </w:pPr>
          </w:p>
          <w:p w14:paraId="76D085D8" w14:textId="77777777" w:rsidR="00B06B12" w:rsidRPr="00B06B12" w:rsidRDefault="00B06B12" w:rsidP="00B06B12">
            <w:pPr>
              <w:autoSpaceDE w:val="0"/>
              <w:autoSpaceDN w:val="0"/>
              <w:adjustRightInd w:val="0"/>
              <w:rPr>
                <w:rFonts w:ascii="Arial" w:eastAsia="Arial" w:hAnsi="Arial" w:cs="Arial"/>
                <w:b/>
                <w:bCs/>
                <w:color w:val="000000"/>
                <w:sz w:val="20"/>
                <w:szCs w:val="20"/>
              </w:rPr>
            </w:pPr>
          </w:p>
          <w:p w14:paraId="38ABB8F7" w14:textId="77777777" w:rsidR="00B06B12" w:rsidRPr="00B06B12" w:rsidRDefault="00B06B12" w:rsidP="00B06B12">
            <w:pPr>
              <w:autoSpaceDE w:val="0"/>
              <w:autoSpaceDN w:val="0"/>
              <w:adjustRightInd w:val="0"/>
              <w:rPr>
                <w:rFonts w:ascii="Arial" w:eastAsia="Arial" w:hAnsi="Arial" w:cs="Arial"/>
                <w:b/>
                <w:bCs/>
                <w:color w:val="000000"/>
                <w:sz w:val="20"/>
                <w:szCs w:val="20"/>
              </w:rPr>
            </w:pPr>
          </w:p>
        </w:tc>
        <w:tc>
          <w:tcPr>
            <w:tcW w:w="2070" w:type="dxa"/>
            <w:tcBorders>
              <w:top w:val="single" w:sz="4" w:space="0" w:color="auto"/>
              <w:left w:val="single" w:sz="4" w:space="0" w:color="auto"/>
              <w:bottom w:val="single" w:sz="4" w:space="0" w:color="auto"/>
              <w:right w:val="single" w:sz="4" w:space="0" w:color="auto"/>
            </w:tcBorders>
          </w:tcPr>
          <w:p w14:paraId="2EE39B32" w14:textId="77777777" w:rsidR="00B06B12" w:rsidRPr="00B06B12" w:rsidRDefault="00B06B12" w:rsidP="00B06B12">
            <w:pPr>
              <w:autoSpaceDE w:val="0"/>
              <w:autoSpaceDN w:val="0"/>
              <w:adjustRightInd w:val="0"/>
              <w:rPr>
                <w:rFonts w:ascii="Arial" w:eastAsia="Arial" w:hAnsi="Arial" w:cs="Arial"/>
                <w:color w:val="000000"/>
                <w:sz w:val="20"/>
                <w:szCs w:val="20"/>
                <w:u w:val="single"/>
              </w:rPr>
            </w:pPr>
            <w:r w:rsidRPr="00B06B12">
              <w:rPr>
                <w:rFonts w:ascii="Arial" w:eastAsia="Arial" w:hAnsi="Arial" w:cs="Arial"/>
                <w:color w:val="000000"/>
                <w:sz w:val="20"/>
                <w:szCs w:val="20"/>
                <w:u w:val="single"/>
              </w:rPr>
              <w:t xml:space="preserve">Further Information </w:t>
            </w:r>
          </w:p>
          <w:p w14:paraId="6CC5A13B" w14:textId="77777777" w:rsidR="00B06B12" w:rsidRPr="00B06B12" w:rsidRDefault="00B06B12" w:rsidP="00B06B12">
            <w:pPr>
              <w:autoSpaceDE w:val="0"/>
              <w:autoSpaceDN w:val="0"/>
              <w:adjustRightInd w:val="0"/>
              <w:rPr>
                <w:rFonts w:ascii="Arial" w:eastAsia="Arial" w:hAnsi="Arial" w:cs="Arial"/>
                <w:sz w:val="20"/>
                <w:szCs w:val="20"/>
              </w:rPr>
            </w:pPr>
          </w:p>
          <w:p w14:paraId="74C74CFE" w14:textId="77777777" w:rsidR="00B06B12" w:rsidRPr="00B06B12" w:rsidRDefault="00B06B12" w:rsidP="00B06B12">
            <w:pPr>
              <w:autoSpaceDE w:val="0"/>
              <w:autoSpaceDN w:val="0"/>
              <w:adjustRightInd w:val="0"/>
              <w:rPr>
                <w:rFonts w:ascii="Arial" w:eastAsia="Arial" w:hAnsi="Arial" w:cs="Arial"/>
                <w:color w:val="000000"/>
                <w:sz w:val="20"/>
                <w:szCs w:val="20"/>
              </w:rPr>
            </w:pPr>
            <w:r w:rsidRPr="00B06B12">
              <w:rPr>
                <w:rFonts w:ascii="Arial" w:eastAsia="Arial" w:hAnsi="Arial" w:cs="Arial"/>
                <w:sz w:val="20"/>
                <w:szCs w:val="20"/>
              </w:rPr>
              <w:t>Refer to the “</w:t>
            </w:r>
            <w:r w:rsidRPr="00B06B12">
              <w:rPr>
                <w:rFonts w:ascii="Arial" w:eastAsia="Arial" w:hAnsi="Arial" w:cs="Arial"/>
                <w:i/>
                <w:iCs/>
                <w:sz w:val="20"/>
                <w:szCs w:val="20"/>
              </w:rPr>
              <w:t>[relevant section]</w:t>
            </w:r>
            <w:r w:rsidRPr="00B06B12">
              <w:rPr>
                <w:rFonts w:ascii="Arial" w:eastAsia="Arial" w:hAnsi="Arial" w:cs="Arial"/>
                <w:sz w:val="20"/>
                <w:szCs w:val="20"/>
              </w:rPr>
              <w:t xml:space="preserve">” on page(s) </w:t>
            </w:r>
            <w:r w:rsidRPr="00B06B12">
              <w:rPr>
                <w:rFonts w:ascii="Arial" w:eastAsia="Arial" w:hAnsi="Arial" w:cs="Arial"/>
                <w:i/>
                <w:iCs/>
                <w:sz w:val="20"/>
                <w:szCs w:val="20"/>
              </w:rPr>
              <w:t>[●]</w:t>
            </w:r>
            <w:r w:rsidRPr="00B06B12">
              <w:rPr>
                <w:rFonts w:ascii="Arial" w:eastAsia="Arial" w:hAnsi="Arial" w:cs="Arial"/>
                <w:sz w:val="20"/>
                <w:szCs w:val="20"/>
              </w:rPr>
              <w:t xml:space="preserve"> of the Offer document for more information on our background and business. </w:t>
            </w:r>
          </w:p>
        </w:tc>
      </w:tr>
      <w:tr w:rsidR="00B06B12" w:rsidRPr="00B06B12" w14:paraId="5C6B8FDD" w14:textId="77777777" w:rsidTr="00B06B12">
        <w:trPr>
          <w:trHeight w:val="530"/>
        </w:trPr>
        <w:tc>
          <w:tcPr>
            <w:tcW w:w="10710" w:type="dxa"/>
            <w:gridSpan w:val="5"/>
            <w:tcBorders>
              <w:top w:val="single" w:sz="4" w:space="0" w:color="auto"/>
              <w:left w:val="single" w:sz="4" w:space="0" w:color="auto"/>
              <w:bottom w:val="single" w:sz="4" w:space="0" w:color="auto"/>
              <w:right w:val="single" w:sz="4" w:space="0" w:color="auto"/>
            </w:tcBorders>
            <w:shd w:val="clear" w:color="auto" w:fill="004966"/>
            <w:vAlign w:val="center"/>
          </w:tcPr>
          <w:p w14:paraId="146406F5" w14:textId="77777777" w:rsidR="00B06B12" w:rsidRPr="00B06B12" w:rsidRDefault="00B06B12" w:rsidP="00B06B12">
            <w:pPr>
              <w:autoSpaceDE w:val="0"/>
              <w:autoSpaceDN w:val="0"/>
              <w:adjustRightInd w:val="0"/>
              <w:jc w:val="center"/>
              <w:rPr>
                <w:rFonts w:ascii="Arial" w:eastAsia="Arial" w:hAnsi="Arial" w:cs="Arial"/>
                <w:color w:val="000000"/>
              </w:rPr>
            </w:pPr>
            <w:r w:rsidRPr="00B06B12">
              <w:rPr>
                <w:rFonts w:ascii="Arial" w:eastAsia="Arial" w:hAnsi="Arial" w:cs="Arial"/>
                <w:b/>
                <w:bCs/>
                <w:sz w:val="22"/>
                <w:szCs w:val="22"/>
              </w:rPr>
              <w:t>WHO ARE OUR DIRECTORS AND KEY EXECUTIVES?</w:t>
            </w:r>
          </w:p>
        </w:tc>
      </w:tr>
      <w:tr w:rsidR="00B06B12" w:rsidRPr="00B06B12" w14:paraId="31244332" w14:textId="77777777" w:rsidTr="00DC276A">
        <w:trPr>
          <w:trHeight w:val="1155"/>
        </w:trPr>
        <w:tc>
          <w:tcPr>
            <w:tcW w:w="8640" w:type="dxa"/>
            <w:gridSpan w:val="4"/>
            <w:tcBorders>
              <w:top w:val="single" w:sz="4" w:space="0" w:color="auto"/>
              <w:left w:val="single" w:sz="4" w:space="0" w:color="auto"/>
              <w:bottom w:val="single" w:sz="4" w:space="0" w:color="auto"/>
              <w:right w:val="single" w:sz="4" w:space="0" w:color="auto"/>
            </w:tcBorders>
          </w:tcPr>
          <w:p w14:paraId="257AE73B"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i/>
                <w:iCs/>
                <w:color w:val="000000"/>
                <w:sz w:val="20"/>
                <w:szCs w:val="20"/>
              </w:rPr>
              <w:t xml:space="preserve">[Provide brief information on the Issuer’s board of directors and key executives (i.e. CEO, CFO, COO).] </w:t>
            </w:r>
          </w:p>
          <w:p w14:paraId="77058305" w14:textId="77777777" w:rsidR="00B06B12" w:rsidRPr="00B06B12" w:rsidRDefault="00B06B12" w:rsidP="00B06B12">
            <w:pPr>
              <w:autoSpaceDE w:val="0"/>
              <w:autoSpaceDN w:val="0"/>
              <w:adjustRightInd w:val="0"/>
              <w:jc w:val="both"/>
              <w:rPr>
                <w:rFonts w:ascii="Arial" w:eastAsia="Arial" w:hAnsi="Arial" w:cs="Arial"/>
                <w:i/>
                <w:iCs/>
                <w:color w:val="000000"/>
                <w:sz w:val="20"/>
                <w:szCs w:val="20"/>
              </w:rPr>
            </w:pPr>
          </w:p>
          <w:p w14:paraId="298046B0" w14:textId="77777777" w:rsidR="00B06B12" w:rsidRPr="00B06B12" w:rsidRDefault="00B06B12" w:rsidP="00B06B12">
            <w:pPr>
              <w:autoSpaceDE w:val="0"/>
              <w:autoSpaceDN w:val="0"/>
              <w:adjustRightInd w:val="0"/>
              <w:jc w:val="both"/>
              <w:rPr>
                <w:rFonts w:ascii="Arial" w:eastAsia="Arial" w:hAnsi="Arial" w:cs="Arial"/>
                <w:b/>
                <w:bCs/>
                <w:color w:val="000000"/>
                <w:sz w:val="20"/>
                <w:szCs w:val="20"/>
              </w:rPr>
            </w:pPr>
            <w:r w:rsidRPr="00B06B12">
              <w:rPr>
                <w:rFonts w:ascii="Arial" w:eastAsia="Arial" w:hAnsi="Arial" w:cs="Arial"/>
                <w:b/>
                <w:bCs/>
                <w:color w:val="000000"/>
                <w:sz w:val="20"/>
                <w:szCs w:val="20"/>
              </w:rPr>
              <w:t xml:space="preserve">Example: </w:t>
            </w:r>
          </w:p>
          <w:p w14:paraId="392488C2"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p>
          <w:p w14:paraId="499F4481"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 xml:space="preserve">Our board of directors comprise the following directors: </w:t>
            </w:r>
          </w:p>
          <w:p w14:paraId="7E13F462"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 xml:space="preserve">(a) Director A (executive, non-independent) </w:t>
            </w:r>
          </w:p>
          <w:p w14:paraId="5E93468A"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 xml:space="preserve">(b) Director B (executive, non-independent) </w:t>
            </w:r>
          </w:p>
          <w:p w14:paraId="53060E8C"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 xml:space="preserve">(c) Director C (non-executive, independent) </w:t>
            </w:r>
          </w:p>
          <w:p w14:paraId="2A68F8B6"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 xml:space="preserve">(d) Director D (non-executive, independent) </w:t>
            </w:r>
          </w:p>
          <w:p w14:paraId="181A2E85"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 xml:space="preserve">(e) Director E (non-executive, independent) </w:t>
            </w:r>
          </w:p>
          <w:p w14:paraId="3F7753F9"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p>
          <w:p w14:paraId="5FDD3F03"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 xml:space="preserve">Our key executives are </w:t>
            </w:r>
            <w:r w:rsidRPr="00B06B12">
              <w:rPr>
                <w:rFonts w:ascii="Arial" w:eastAsia="Arial" w:hAnsi="Arial" w:cs="Arial"/>
                <w:i/>
                <w:iCs/>
                <w:color w:val="000000"/>
                <w:sz w:val="20"/>
                <w:szCs w:val="20"/>
              </w:rPr>
              <w:t>[names and designations of executive officers]</w:t>
            </w:r>
            <w:r w:rsidRPr="00B06B12">
              <w:rPr>
                <w:rFonts w:ascii="Arial" w:eastAsia="Arial" w:hAnsi="Arial" w:cs="Arial"/>
                <w:color w:val="000000"/>
                <w:sz w:val="20"/>
                <w:szCs w:val="20"/>
              </w:rPr>
              <w:t xml:space="preserve">. </w:t>
            </w:r>
          </w:p>
          <w:p w14:paraId="45C741D6" w14:textId="77777777" w:rsidR="00B06B12" w:rsidRPr="00B06B12" w:rsidRDefault="00B06B12" w:rsidP="00B06B12">
            <w:pPr>
              <w:autoSpaceDE w:val="0"/>
              <w:autoSpaceDN w:val="0"/>
              <w:adjustRightInd w:val="0"/>
              <w:jc w:val="both"/>
              <w:rPr>
                <w:rFonts w:ascii="Arial" w:eastAsia="Arial" w:hAnsi="Arial" w:cs="Arial"/>
                <w:sz w:val="20"/>
                <w:szCs w:val="20"/>
              </w:rPr>
            </w:pPr>
            <w:r w:rsidRPr="00B06B12">
              <w:rPr>
                <w:rFonts w:ascii="Arial" w:eastAsia="Arial" w:hAnsi="Arial" w:cs="Arial"/>
                <w:i/>
                <w:iCs/>
                <w:sz w:val="20"/>
                <w:szCs w:val="20"/>
              </w:rPr>
              <w:t>[Name of chairman]</w:t>
            </w:r>
            <w:r w:rsidRPr="00B06B12">
              <w:rPr>
                <w:rFonts w:ascii="Arial" w:eastAsia="Arial" w:hAnsi="Arial" w:cs="Arial"/>
                <w:sz w:val="20"/>
                <w:szCs w:val="20"/>
              </w:rPr>
              <w:t xml:space="preserve"> has been our Company’s chairman since </w:t>
            </w:r>
            <w:r w:rsidRPr="00B06B12">
              <w:rPr>
                <w:rFonts w:ascii="Arial" w:eastAsia="Arial" w:hAnsi="Arial" w:cs="Arial"/>
                <w:i/>
                <w:iCs/>
                <w:sz w:val="20"/>
                <w:szCs w:val="20"/>
              </w:rPr>
              <w:t>[date]</w:t>
            </w:r>
            <w:r w:rsidRPr="00B06B12">
              <w:rPr>
                <w:rFonts w:ascii="Arial" w:eastAsia="Arial" w:hAnsi="Arial" w:cs="Arial"/>
                <w:sz w:val="20"/>
                <w:szCs w:val="20"/>
              </w:rPr>
              <w:t xml:space="preserve">. </w:t>
            </w:r>
          </w:p>
          <w:p w14:paraId="0835903A" w14:textId="77777777" w:rsidR="00B06B12" w:rsidRPr="00B06B12" w:rsidRDefault="00B06B12" w:rsidP="00B06B12">
            <w:pPr>
              <w:autoSpaceDE w:val="0"/>
              <w:autoSpaceDN w:val="0"/>
              <w:adjustRightInd w:val="0"/>
              <w:jc w:val="both"/>
              <w:rPr>
                <w:rFonts w:ascii="Arial" w:eastAsia="Arial" w:hAnsi="Arial" w:cs="Arial"/>
                <w:i/>
                <w:iCs/>
                <w:color w:val="000000"/>
                <w:sz w:val="20"/>
                <w:szCs w:val="20"/>
              </w:rPr>
            </w:pPr>
          </w:p>
        </w:tc>
        <w:tc>
          <w:tcPr>
            <w:tcW w:w="2070" w:type="dxa"/>
            <w:tcBorders>
              <w:top w:val="single" w:sz="4" w:space="0" w:color="auto"/>
              <w:left w:val="single" w:sz="4" w:space="0" w:color="auto"/>
              <w:bottom w:val="single" w:sz="4" w:space="0" w:color="auto"/>
              <w:right w:val="single" w:sz="4" w:space="0" w:color="auto"/>
            </w:tcBorders>
          </w:tcPr>
          <w:p w14:paraId="09EAC09D" w14:textId="77777777" w:rsidR="00B06B12" w:rsidRPr="00B06B12" w:rsidRDefault="00B06B12" w:rsidP="00B06B12">
            <w:pPr>
              <w:autoSpaceDE w:val="0"/>
              <w:autoSpaceDN w:val="0"/>
              <w:adjustRightInd w:val="0"/>
              <w:rPr>
                <w:rFonts w:ascii="Arial" w:eastAsia="Arial" w:hAnsi="Arial" w:cs="Arial"/>
                <w:color w:val="000000"/>
                <w:sz w:val="20"/>
                <w:szCs w:val="20"/>
              </w:rPr>
            </w:pPr>
            <w:r w:rsidRPr="00B06B12">
              <w:rPr>
                <w:rFonts w:ascii="Arial" w:eastAsia="Arial" w:hAnsi="Arial" w:cs="Arial"/>
                <w:color w:val="000000"/>
                <w:sz w:val="20"/>
                <w:szCs w:val="20"/>
              </w:rPr>
              <w:t>Refer to the “</w:t>
            </w:r>
            <w:r w:rsidRPr="00B06B12">
              <w:rPr>
                <w:rFonts w:ascii="Arial" w:eastAsia="Arial" w:hAnsi="Arial" w:cs="Arial"/>
                <w:i/>
                <w:iCs/>
                <w:color w:val="000000"/>
                <w:sz w:val="20"/>
                <w:szCs w:val="20"/>
              </w:rPr>
              <w:t>[relevant section]</w:t>
            </w:r>
            <w:r w:rsidRPr="00B06B12">
              <w:rPr>
                <w:rFonts w:ascii="Arial" w:eastAsia="Arial" w:hAnsi="Arial" w:cs="Arial"/>
                <w:color w:val="000000"/>
                <w:sz w:val="20"/>
                <w:szCs w:val="20"/>
              </w:rPr>
              <w:t xml:space="preserve">” on page(s)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of the Offer document for more information on our directors and management. </w:t>
            </w:r>
          </w:p>
          <w:p w14:paraId="0DEBFBB7" w14:textId="77777777" w:rsidR="00B06B12" w:rsidRPr="00B06B12" w:rsidRDefault="00B06B12" w:rsidP="00B06B12">
            <w:pPr>
              <w:autoSpaceDE w:val="0"/>
              <w:autoSpaceDN w:val="0"/>
              <w:adjustRightInd w:val="0"/>
              <w:rPr>
                <w:rFonts w:ascii="Arial" w:eastAsia="Arial" w:hAnsi="Arial" w:cs="Arial"/>
                <w:color w:val="000000"/>
                <w:sz w:val="20"/>
                <w:szCs w:val="20"/>
                <w:u w:val="single"/>
              </w:rPr>
            </w:pPr>
          </w:p>
        </w:tc>
      </w:tr>
      <w:tr w:rsidR="00B06B12" w:rsidRPr="00B06B12" w14:paraId="4A3D7B67" w14:textId="77777777" w:rsidTr="00B06B12">
        <w:trPr>
          <w:trHeight w:val="800"/>
        </w:trPr>
        <w:tc>
          <w:tcPr>
            <w:tcW w:w="10710" w:type="dxa"/>
            <w:gridSpan w:val="5"/>
            <w:tcBorders>
              <w:top w:val="single" w:sz="4" w:space="0" w:color="auto"/>
              <w:left w:val="single" w:sz="4" w:space="0" w:color="auto"/>
              <w:bottom w:val="single" w:sz="4" w:space="0" w:color="auto"/>
              <w:right w:val="single" w:sz="4" w:space="0" w:color="auto"/>
            </w:tcBorders>
            <w:shd w:val="clear" w:color="auto" w:fill="004966"/>
            <w:vAlign w:val="center"/>
          </w:tcPr>
          <w:p w14:paraId="573292FB" w14:textId="77777777" w:rsidR="00B06B12" w:rsidRPr="00B06B12" w:rsidRDefault="00B06B12" w:rsidP="00B06B12">
            <w:pPr>
              <w:autoSpaceDE w:val="0"/>
              <w:autoSpaceDN w:val="0"/>
              <w:adjustRightInd w:val="0"/>
              <w:jc w:val="center"/>
              <w:rPr>
                <w:rFonts w:ascii="Arial" w:eastAsia="Arial" w:hAnsi="Arial" w:cs="Arial"/>
              </w:rPr>
            </w:pPr>
            <w:r w:rsidRPr="00B06B12">
              <w:rPr>
                <w:rFonts w:ascii="Arial" w:eastAsia="Arial" w:hAnsi="Arial" w:cs="Arial"/>
                <w:b/>
                <w:bCs/>
                <w:sz w:val="22"/>
                <w:szCs w:val="22"/>
              </w:rPr>
              <w:lastRenderedPageBreak/>
              <w:t xml:space="preserve">WHO ARE OUR CONTROLLING </w:t>
            </w:r>
            <w:r w:rsidRPr="00B06B12">
              <w:rPr>
                <w:rFonts w:ascii="Arial" w:eastAsia="Arial" w:hAnsi="Arial" w:cs="Arial"/>
                <w:b/>
                <w:bCs/>
                <w:i/>
                <w:iCs/>
                <w:sz w:val="22"/>
                <w:szCs w:val="22"/>
              </w:rPr>
              <w:t>[SHAREHOLDERS/UNITHOLDERS]</w:t>
            </w:r>
            <w:r w:rsidRPr="00B06B12">
              <w:rPr>
                <w:rFonts w:ascii="Arial" w:eastAsia="Arial" w:hAnsi="Arial" w:cs="Arial"/>
                <w:b/>
                <w:bCs/>
                <w:sz w:val="22"/>
                <w:szCs w:val="22"/>
              </w:rPr>
              <w:t xml:space="preserve"> AND </w:t>
            </w:r>
            <w:r w:rsidRPr="00B06B12">
              <w:rPr>
                <w:rFonts w:ascii="Arial" w:eastAsia="Arial" w:hAnsi="Arial" w:cs="Arial"/>
                <w:b/>
                <w:bCs/>
                <w:i/>
                <w:iCs/>
                <w:sz w:val="22"/>
                <w:szCs w:val="22"/>
              </w:rPr>
              <w:t>[SPONSORS (IF RELEVANT)]</w:t>
            </w:r>
            <w:r w:rsidRPr="00B06B12">
              <w:rPr>
                <w:rFonts w:ascii="Arial" w:eastAsia="Arial" w:hAnsi="Arial" w:cs="Arial"/>
                <w:b/>
                <w:bCs/>
                <w:sz w:val="22"/>
                <w:szCs w:val="22"/>
              </w:rPr>
              <w:t>?</w:t>
            </w:r>
          </w:p>
        </w:tc>
      </w:tr>
      <w:tr w:rsidR="00B06B12" w:rsidRPr="00B06B12" w14:paraId="7574A65C" w14:textId="77777777" w:rsidTr="00DC276A">
        <w:trPr>
          <w:trHeight w:val="980"/>
        </w:trPr>
        <w:tc>
          <w:tcPr>
            <w:tcW w:w="8640" w:type="dxa"/>
            <w:gridSpan w:val="4"/>
            <w:tcBorders>
              <w:top w:val="single" w:sz="4" w:space="0" w:color="auto"/>
              <w:left w:val="single" w:sz="4" w:space="0" w:color="auto"/>
              <w:bottom w:val="single" w:sz="4" w:space="0" w:color="auto"/>
              <w:right w:val="single" w:sz="4" w:space="0" w:color="auto"/>
            </w:tcBorders>
          </w:tcPr>
          <w:p w14:paraId="33B3FE8D" w14:textId="77777777" w:rsidR="00B06B12" w:rsidRPr="00B06B12" w:rsidRDefault="00B06B12" w:rsidP="00B06B12">
            <w:pPr>
              <w:autoSpaceDE w:val="0"/>
              <w:autoSpaceDN w:val="0"/>
              <w:adjustRightInd w:val="0"/>
              <w:jc w:val="lowKashida"/>
              <w:rPr>
                <w:rFonts w:ascii="Arial" w:eastAsia="Arial" w:hAnsi="Arial" w:cs="Arial"/>
                <w:color w:val="000000"/>
                <w:sz w:val="20"/>
                <w:szCs w:val="20"/>
              </w:rPr>
            </w:pPr>
            <w:r w:rsidRPr="00B06B12">
              <w:rPr>
                <w:rFonts w:ascii="Arial" w:eastAsia="Arial" w:hAnsi="Arial" w:cs="Arial"/>
                <w:i/>
                <w:iCs/>
                <w:color w:val="000000"/>
                <w:sz w:val="20"/>
                <w:szCs w:val="20"/>
              </w:rPr>
              <w:t xml:space="preserve">[Identify the controlling shareholder(s)/controlling unitholder(s) and sponsors (if relevant) of the Issuer, and state the percentage of shares/units of each class in which each controlling shareholder/controlling unitholder and sponsors (if relevant) has an interest, whether direct or deemed, as of the latest practicable date and immediately after the offer.] </w:t>
            </w:r>
          </w:p>
          <w:p w14:paraId="1B3942CA" w14:textId="77777777" w:rsidR="00B06B12" w:rsidRPr="00B06B12" w:rsidRDefault="00B06B12" w:rsidP="00B06B12">
            <w:pPr>
              <w:autoSpaceDE w:val="0"/>
              <w:autoSpaceDN w:val="0"/>
              <w:adjustRightInd w:val="0"/>
              <w:rPr>
                <w:rFonts w:ascii="Arial" w:eastAsia="Arial" w:hAnsi="Arial" w:cs="Arial"/>
                <w:b/>
                <w:bCs/>
                <w:color w:val="000000"/>
                <w:sz w:val="20"/>
                <w:szCs w:val="20"/>
              </w:rPr>
            </w:pPr>
          </w:p>
          <w:p w14:paraId="7EC3F182" w14:textId="77777777" w:rsidR="00B06B12" w:rsidRPr="00B06B12" w:rsidRDefault="00B06B12" w:rsidP="00B06B12">
            <w:pPr>
              <w:autoSpaceDE w:val="0"/>
              <w:autoSpaceDN w:val="0"/>
              <w:adjustRightInd w:val="0"/>
              <w:rPr>
                <w:rFonts w:ascii="Arial" w:eastAsia="Arial" w:hAnsi="Arial" w:cs="Arial"/>
                <w:b/>
                <w:bCs/>
                <w:color w:val="000000"/>
                <w:sz w:val="20"/>
                <w:szCs w:val="20"/>
              </w:rPr>
            </w:pPr>
            <w:r w:rsidRPr="00B06B12">
              <w:rPr>
                <w:rFonts w:ascii="Arial" w:eastAsia="Arial" w:hAnsi="Arial" w:cs="Arial"/>
                <w:b/>
                <w:bCs/>
                <w:color w:val="000000"/>
                <w:sz w:val="20"/>
                <w:szCs w:val="20"/>
              </w:rPr>
              <w:t xml:space="preserve">Example: </w:t>
            </w:r>
          </w:p>
          <w:p w14:paraId="3E14F5EC" w14:textId="77777777" w:rsidR="00B06B12" w:rsidRPr="00B06B12" w:rsidRDefault="00B06B12" w:rsidP="00B06B12">
            <w:pPr>
              <w:autoSpaceDE w:val="0"/>
              <w:autoSpaceDN w:val="0"/>
              <w:adjustRightInd w:val="0"/>
              <w:rPr>
                <w:rFonts w:ascii="Arial" w:eastAsia="Arial" w:hAnsi="Arial" w:cs="Arial"/>
                <w:color w:val="000000"/>
                <w:sz w:val="20"/>
                <w:szCs w:val="20"/>
              </w:rPr>
            </w:pPr>
          </w:p>
          <w:p w14:paraId="452B3594" w14:textId="77777777" w:rsidR="00B06B12" w:rsidRPr="00B06B12" w:rsidRDefault="00B06B12" w:rsidP="00B06B12">
            <w:pPr>
              <w:autoSpaceDE w:val="0"/>
              <w:autoSpaceDN w:val="0"/>
              <w:adjustRightInd w:val="0"/>
              <w:jc w:val="both"/>
              <w:rPr>
                <w:rFonts w:ascii="Arial" w:eastAsia="Arial" w:hAnsi="Arial" w:cs="Arial"/>
                <w:sz w:val="20"/>
                <w:szCs w:val="20"/>
              </w:rPr>
            </w:pPr>
            <w:r w:rsidRPr="00B06B12">
              <w:rPr>
                <w:rFonts w:ascii="Arial" w:eastAsia="Arial" w:hAnsi="Arial" w:cs="Arial"/>
                <w:sz w:val="20"/>
                <w:szCs w:val="20"/>
              </w:rPr>
              <w:t xml:space="preserve">Prior to the offer, </w:t>
            </w:r>
            <w:r w:rsidRPr="00B06B12">
              <w:rPr>
                <w:rFonts w:ascii="Arial" w:eastAsia="Arial" w:hAnsi="Arial" w:cs="Arial"/>
                <w:i/>
                <w:iCs/>
                <w:sz w:val="20"/>
                <w:szCs w:val="20"/>
              </w:rPr>
              <w:t>[controlling shareholder]</w:t>
            </w:r>
            <w:r w:rsidRPr="00B06B12">
              <w:rPr>
                <w:rFonts w:ascii="Arial" w:eastAsia="Arial" w:hAnsi="Arial" w:cs="Arial"/>
                <w:sz w:val="20"/>
                <w:szCs w:val="20"/>
              </w:rPr>
              <w:t xml:space="preserve"> holds </w:t>
            </w:r>
            <w:r w:rsidRPr="00B06B12">
              <w:rPr>
                <w:rFonts w:ascii="Arial" w:eastAsia="Arial" w:hAnsi="Arial" w:cs="Arial"/>
                <w:i/>
                <w:iCs/>
                <w:sz w:val="20"/>
                <w:szCs w:val="20"/>
              </w:rPr>
              <w:t>[●]</w:t>
            </w:r>
            <w:r w:rsidRPr="00B06B12">
              <w:rPr>
                <w:rFonts w:ascii="Arial" w:eastAsia="Arial" w:hAnsi="Arial" w:cs="Arial"/>
                <w:sz w:val="20"/>
                <w:szCs w:val="20"/>
              </w:rPr>
              <w:t xml:space="preserve">% of our Company’s total issued share capital. He is expected to hold at least </w:t>
            </w:r>
            <w:r w:rsidRPr="00B06B12">
              <w:rPr>
                <w:rFonts w:ascii="Arial" w:eastAsia="Arial" w:hAnsi="Arial" w:cs="Arial"/>
                <w:i/>
                <w:iCs/>
                <w:sz w:val="20"/>
                <w:szCs w:val="20"/>
              </w:rPr>
              <w:t>[●]</w:t>
            </w:r>
            <w:r w:rsidRPr="00B06B12">
              <w:rPr>
                <w:rFonts w:ascii="Arial" w:eastAsia="Arial" w:hAnsi="Arial" w:cs="Arial"/>
                <w:sz w:val="20"/>
                <w:szCs w:val="20"/>
              </w:rPr>
              <w:t>% of our Company post-offer and to remain as a controlling shareholder.</w:t>
            </w:r>
          </w:p>
          <w:p w14:paraId="25B33640" w14:textId="77777777" w:rsidR="00B06B12" w:rsidRPr="00B06B12" w:rsidRDefault="00B06B12" w:rsidP="00B06B12">
            <w:pPr>
              <w:autoSpaceDE w:val="0"/>
              <w:autoSpaceDN w:val="0"/>
              <w:adjustRightInd w:val="0"/>
              <w:rPr>
                <w:rFonts w:ascii="Arial" w:eastAsia="Arial" w:hAnsi="Arial" w:cs="Arial"/>
                <w:b/>
                <w:bCs/>
                <w:color w:val="000000"/>
                <w:sz w:val="20"/>
                <w:szCs w:val="20"/>
              </w:rPr>
            </w:pPr>
          </w:p>
        </w:tc>
        <w:tc>
          <w:tcPr>
            <w:tcW w:w="2070" w:type="dxa"/>
            <w:tcBorders>
              <w:top w:val="single" w:sz="4" w:space="0" w:color="auto"/>
              <w:left w:val="single" w:sz="4" w:space="0" w:color="auto"/>
              <w:bottom w:val="single" w:sz="4" w:space="0" w:color="auto"/>
              <w:right w:val="single" w:sz="4" w:space="0" w:color="auto"/>
            </w:tcBorders>
          </w:tcPr>
          <w:p w14:paraId="6734F3AA" w14:textId="77777777" w:rsidR="00B06B12" w:rsidRPr="00B06B12" w:rsidRDefault="00B06B12" w:rsidP="00B06B12">
            <w:pPr>
              <w:autoSpaceDE w:val="0"/>
              <w:autoSpaceDN w:val="0"/>
              <w:adjustRightInd w:val="0"/>
              <w:rPr>
                <w:rFonts w:ascii="Arial" w:eastAsia="Arial" w:hAnsi="Arial" w:cs="Arial"/>
                <w:color w:val="000000"/>
                <w:sz w:val="20"/>
                <w:szCs w:val="20"/>
              </w:rPr>
            </w:pPr>
            <w:r w:rsidRPr="00B06B12">
              <w:rPr>
                <w:rFonts w:ascii="Arial" w:eastAsia="Arial" w:hAnsi="Arial" w:cs="Arial"/>
                <w:color w:val="000000"/>
                <w:sz w:val="20"/>
                <w:szCs w:val="20"/>
              </w:rPr>
              <w:t>Refer to the “</w:t>
            </w:r>
            <w:r w:rsidRPr="00B06B12">
              <w:rPr>
                <w:rFonts w:ascii="Arial" w:eastAsia="Arial" w:hAnsi="Arial" w:cs="Arial"/>
                <w:i/>
                <w:iCs/>
                <w:color w:val="000000"/>
                <w:sz w:val="20"/>
                <w:szCs w:val="20"/>
              </w:rPr>
              <w:t>[relevant section]</w:t>
            </w:r>
            <w:r w:rsidRPr="00B06B12">
              <w:rPr>
                <w:rFonts w:ascii="Arial" w:eastAsia="Arial" w:hAnsi="Arial" w:cs="Arial"/>
                <w:color w:val="000000"/>
                <w:sz w:val="20"/>
                <w:szCs w:val="20"/>
              </w:rPr>
              <w:t xml:space="preserve">” on page(s)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of the Offer document for more information on our controlling </w:t>
            </w:r>
            <w:r w:rsidRPr="00B06B12">
              <w:rPr>
                <w:rFonts w:ascii="Arial" w:eastAsia="Arial" w:hAnsi="Arial" w:cs="Arial"/>
                <w:i/>
                <w:iCs/>
                <w:color w:val="000000"/>
                <w:sz w:val="20"/>
                <w:szCs w:val="20"/>
              </w:rPr>
              <w:t>[shareholders/ unitholders]</w:t>
            </w:r>
            <w:r w:rsidRPr="00B06B12">
              <w:rPr>
                <w:rFonts w:ascii="Arial" w:eastAsia="Arial" w:hAnsi="Arial" w:cs="Arial"/>
                <w:color w:val="000000"/>
                <w:sz w:val="20"/>
                <w:szCs w:val="20"/>
              </w:rPr>
              <w:t xml:space="preserve">. </w:t>
            </w:r>
          </w:p>
        </w:tc>
      </w:tr>
      <w:tr w:rsidR="00B06B12" w:rsidRPr="00B06B12" w14:paraId="1ADAD4EA" w14:textId="77777777" w:rsidTr="00B06B12">
        <w:trPr>
          <w:trHeight w:val="800"/>
        </w:trPr>
        <w:tc>
          <w:tcPr>
            <w:tcW w:w="10710" w:type="dxa"/>
            <w:gridSpan w:val="5"/>
            <w:tcBorders>
              <w:top w:val="single" w:sz="4" w:space="0" w:color="auto"/>
              <w:left w:val="single" w:sz="4" w:space="0" w:color="auto"/>
              <w:bottom w:val="single" w:sz="4" w:space="0" w:color="auto"/>
              <w:right w:val="single" w:sz="4" w:space="0" w:color="auto"/>
            </w:tcBorders>
            <w:shd w:val="clear" w:color="auto" w:fill="004966"/>
            <w:vAlign w:val="center"/>
          </w:tcPr>
          <w:p w14:paraId="171EFCF4" w14:textId="77777777" w:rsidR="00B06B12" w:rsidRPr="00B06B12" w:rsidRDefault="00B06B12" w:rsidP="00B06B12">
            <w:pPr>
              <w:autoSpaceDE w:val="0"/>
              <w:autoSpaceDN w:val="0"/>
              <w:adjustRightInd w:val="0"/>
              <w:jc w:val="center"/>
              <w:rPr>
                <w:rFonts w:ascii="Merriweather Light" w:eastAsia="Arial" w:hAnsi="Merriweather Light" w:cs="Merriweather Light"/>
                <w:color w:val="000000"/>
              </w:rPr>
            </w:pPr>
            <w:r w:rsidRPr="00B06B12">
              <w:rPr>
                <w:rFonts w:ascii="Arial" w:eastAsia="Arial" w:hAnsi="Arial" w:cs="Arial"/>
                <w:b/>
                <w:bCs/>
                <w:sz w:val="22"/>
                <w:szCs w:val="22"/>
              </w:rPr>
              <w:t>HOW WAS OUR HISTORICAL FINANCIAL PERFORMANCE AND WHAT IS OUR CURRENT FINANCIAL POSITION?</w:t>
            </w:r>
          </w:p>
        </w:tc>
      </w:tr>
      <w:tr w:rsidR="00B06B12" w:rsidRPr="00B06B12" w14:paraId="438EDA5A" w14:textId="77777777" w:rsidTr="00DC276A">
        <w:trPr>
          <w:trHeight w:val="1155"/>
        </w:trPr>
        <w:tc>
          <w:tcPr>
            <w:tcW w:w="8640" w:type="dxa"/>
            <w:gridSpan w:val="4"/>
            <w:tcBorders>
              <w:top w:val="single" w:sz="4" w:space="0" w:color="auto"/>
              <w:left w:val="single" w:sz="4" w:space="0" w:color="auto"/>
              <w:bottom w:val="single" w:sz="4" w:space="0" w:color="auto"/>
              <w:right w:val="single" w:sz="4" w:space="0" w:color="auto"/>
            </w:tcBorders>
          </w:tcPr>
          <w:p w14:paraId="5826D84B" w14:textId="77777777" w:rsidR="00B06B12" w:rsidRPr="00B06B12" w:rsidRDefault="00B06B12" w:rsidP="00B06B12">
            <w:pPr>
              <w:autoSpaceDE w:val="0"/>
              <w:autoSpaceDN w:val="0"/>
              <w:adjustRightInd w:val="0"/>
              <w:jc w:val="both"/>
              <w:rPr>
                <w:rFonts w:ascii="Arial" w:eastAsia="Arial" w:hAnsi="Arial" w:cs="Arial"/>
                <w:i/>
                <w:iCs/>
                <w:color w:val="000000"/>
                <w:sz w:val="20"/>
                <w:szCs w:val="20"/>
              </w:rPr>
            </w:pPr>
            <w:r w:rsidRPr="00B06B12">
              <w:rPr>
                <w:rFonts w:ascii="Arial" w:eastAsia="Arial" w:hAnsi="Arial" w:cs="Arial"/>
                <w:i/>
                <w:iCs/>
                <w:color w:val="000000"/>
                <w:sz w:val="20"/>
                <w:szCs w:val="20"/>
              </w:rPr>
              <w:t>[Provide key profit and loss data (including net sales or revenue, profit or loss before tax, net profit or loss, and earnings or loss per share before and after the offer) and cash flows data (cash flows from operating, financing and investing activities) of the Issuer in respect of each of the relevant number of most recent completed financial year(s) and any subsequent interim period for which financial information has been included in the Offer document. Briefly discuss the most significant factors, events or new developments which materially affected the Issuer’s sales or revenue, expenses and profit or loss before tax for each financial period.</w:t>
            </w:r>
          </w:p>
          <w:p w14:paraId="6544936E" w14:textId="77777777" w:rsidR="00B06B12" w:rsidRPr="00B06B12" w:rsidRDefault="00B06B12" w:rsidP="00B06B12">
            <w:pPr>
              <w:autoSpaceDE w:val="0"/>
              <w:autoSpaceDN w:val="0"/>
              <w:adjustRightInd w:val="0"/>
              <w:rPr>
                <w:rFonts w:ascii="Arial" w:eastAsia="Arial" w:hAnsi="Arial" w:cs="Arial"/>
                <w:color w:val="000000"/>
                <w:sz w:val="20"/>
                <w:szCs w:val="20"/>
              </w:rPr>
            </w:pPr>
            <w:r w:rsidRPr="00B06B12">
              <w:rPr>
                <w:rFonts w:ascii="Arial" w:eastAsia="Arial" w:hAnsi="Arial" w:cs="Arial"/>
                <w:i/>
                <w:iCs/>
                <w:color w:val="000000"/>
                <w:sz w:val="20"/>
                <w:szCs w:val="20"/>
              </w:rPr>
              <w:t xml:space="preserve"> </w:t>
            </w:r>
          </w:p>
          <w:p w14:paraId="12D8C92B" w14:textId="77777777" w:rsidR="00B06B12" w:rsidRPr="00B06B12" w:rsidRDefault="00B06B12" w:rsidP="00B06B12">
            <w:pPr>
              <w:autoSpaceDE w:val="0"/>
              <w:autoSpaceDN w:val="0"/>
              <w:adjustRightInd w:val="0"/>
              <w:jc w:val="both"/>
              <w:rPr>
                <w:rFonts w:ascii="Arial" w:eastAsia="Arial" w:hAnsi="Arial" w:cs="Arial"/>
                <w:i/>
                <w:iCs/>
                <w:sz w:val="20"/>
                <w:szCs w:val="20"/>
              </w:rPr>
            </w:pPr>
            <w:r w:rsidRPr="00B06B12">
              <w:rPr>
                <w:rFonts w:ascii="Arial" w:eastAsia="Arial" w:hAnsi="Arial" w:cs="Arial"/>
                <w:i/>
                <w:iCs/>
                <w:sz w:val="20"/>
                <w:szCs w:val="20"/>
              </w:rPr>
              <w:t xml:space="preserve">Provide also key balance sheet data (including total assets, total liabilities, net assets or liabilities and issued capital and reserves) as at the end of the most recent completed financial year or any subsequent interim period for which financial information has been included. In addition, include the profit forecast or profit estimate information if a profit forecast or profit estimate is disclosed in the Offer document. Key financial information should be presented using diagrams (e.g. tables, graphs and charts) where appropriate.] </w:t>
            </w:r>
          </w:p>
          <w:p w14:paraId="21AA20CF" w14:textId="77777777" w:rsidR="00B06B12" w:rsidRPr="00B06B12" w:rsidRDefault="00B06B12" w:rsidP="00B06B12">
            <w:pPr>
              <w:autoSpaceDE w:val="0"/>
              <w:autoSpaceDN w:val="0"/>
              <w:adjustRightInd w:val="0"/>
              <w:rPr>
                <w:rFonts w:ascii="Arial" w:eastAsia="Arial" w:hAnsi="Arial" w:cs="Arial"/>
                <w:b/>
                <w:bCs/>
                <w:color w:val="000000"/>
                <w:sz w:val="20"/>
                <w:szCs w:val="20"/>
              </w:rPr>
            </w:pPr>
          </w:p>
          <w:p w14:paraId="16B962CB" w14:textId="77777777" w:rsidR="00B06B12" w:rsidRPr="00B06B12" w:rsidRDefault="00B06B12" w:rsidP="00B06B12">
            <w:pPr>
              <w:autoSpaceDE w:val="0"/>
              <w:autoSpaceDN w:val="0"/>
              <w:adjustRightInd w:val="0"/>
              <w:rPr>
                <w:rFonts w:ascii="Arial" w:eastAsia="Arial" w:hAnsi="Arial" w:cs="Arial"/>
                <w:b/>
                <w:bCs/>
                <w:color w:val="000000"/>
                <w:sz w:val="20"/>
                <w:szCs w:val="20"/>
              </w:rPr>
            </w:pPr>
            <w:r w:rsidRPr="00B06B12">
              <w:rPr>
                <w:rFonts w:ascii="Arial" w:eastAsia="Arial" w:hAnsi="Arial" w:cs="Arial"/>
                <w:b/>
                <w:bCs/>
                <w:color w:val="000000"/>
                <w:sz w:val="20"/>
                <w:szCs w:val="20"/>
              </w:rPr>
              <w:t xml:space="preserve">Example: </w:t>
            </w:r>
          </w:p>
          <w:p w14:paraId="610FC50F" w14:textId="77777777" w:rsidR="00B06B12" w:rsidRPr="00B06B12" w:rsidRDefault="00B06B12" w:rsidP="00B06B12">
            <w:pPr>
              <w:autoSpaceDE w:val="0"/>
              <w:autoSpaceDN w:val="0"/>
              <w:adjustRightInd w:val="0"/>
              <w:rPr>
                <w:rFonts w:ascii="Arial" w:eastAsia="Arial" w:hAnsi="Arial" w:cs="Arial"/>
                <w:color w:val="000000"/>
                <w:sz w:val="20"/>
                <w:szCs w:val="20"/>
              </w:rPr>
            </w:pPr>
          </w:p>
          <w:p w14:paraId="3507BCF2" w14:textId="77777777" w:rsidR="00B06B12" w:rsidRPr="00B06B12" w:rsidRDefault="00B06B12" w:rsidP="00B06B12">
            <w:pPr>
              <w:autoSpaceDE w:val="0"/>
              <w:autoSpaceDN w:val="0"/>
              <w:adjustRightInd w:val="0"/>
              <w:rPr>
                <w:rFonts w:ascii="Arial" w:eastAsia="Arial" w:hAnsi="Arial" w:cs="Arial"/>
                <w:b/>
                <w:bCs/>
                <w:sz w:val="20"/>
                <w:szCs w:val="20"/>
              </w:rPr>
            </w:pPr>
            <w:r w:rsidRPr="00B06B12">
              <w:rPr>
                <w:rFonts w:ascii="Arial" w:eastAsia="Arial" w:hAnsi="Arial" w:cs="Arial"/>
                <w:b/>
                <w:bCs/>
                <w:sz w:val="20"/>
                <w:szCs w:val="20"/>
              </w:rPr>
              <w:t xml:space="preserve">Key profit and loss information </w:t>
            </w:r>
          </w:p>
          <w:p w14:paraId="04E86A5B" w14:textId="77777777" w:rsidR="00B06B12" w:rsidRPr="00B06B12" w:rsidRDefault="00B06B12" w:rsidP="00B06B12">
            <w:pPr>
              <w:autoSpaceDE w:val="0"/>
              <w:autoSpaceDN w:val="0"/>
              <w:adjustRightInd w:val="0"/>
              <w:rPr>
                <w:rFonts w:ascii="Arial" w:eastAsia="Arial" w:hAnsi="Arial" w:cs="Arial"/>
                <w:sz w:val="20"/>
                <w:szCs w:val="20"/>
              </w:rPr>
            </w:pPr>
          </w:p>
          <w:tbl>
            <w:tblPr>
              <w:tblStyle w:val="TableGrid1"/>
              <w:tblW w:w="0" w:type="auto"/>
              <w:tblLayout w:type="fixed"/>
              <w:tblLook w:val="04A0" w:firstRow="1" w:lastRow="0" w:firstColumn="1" w:lastColumn="0" w:noHBand="0" w:noVBand="1"/>
            </w:tblPr>
            <w:tblGrid>
              <w:gridCol w:w="1693"/>
              <w:gridCol w:w="1530"/>
              <w:gridCol w:w="1620"/>
              <w:gridCol w:w="1620"/>
              <w:gridCol w:w="1890"/>
            </w:tblGrid>
            <w:tr w:rsidR="00B06B12" w:rsidRPr="00B06B12" w14:paraId="0A460738" w14:textId="77777777" w:rsidTr="00DC276A">
              <w:tc>
                <w:tcPr>
                  <w:tcW w:w="1693" w:type="dxa"/>
                  <w:vMerge w:val="restart"/>
                </w:tcPr>
                <w:p w14:paraId="6344E1C0" w14:textId="77777777" w:rsidR="00B06B12" w:rsidRPr="00B06B12" w:rsidRDefault="00B06B12" w:rsidP="00B06B12">
                  <w:pPr>
                    <w:autoSpaceDE w:val="0"/>
                    <w:autoSpaceDN w:val="0"/>
                    <w:adjustRightInd w:val="0"/>
                    <w:rPr>
                      <w:rFonts w:eastAsia="Arial" w:cs="Arial"/>
                      <w:sz w:val="20"/>
                      <w:szCs w:val="20"/>
                    </w:rPr>
                  </w:pPr>
                </w:p>
              </w:tc>
              <w:tc>
                <w:tcPr>
                  <w:tcW w:w="4770" w:type="dxa"/>
                  <w:gridSpan w:val="3"/>
                </w:tcPr>
                <w:p w14:paraId="64956188" w14:textId="77777777" w:rsidR="00B06B12" w:rsidRPr="00B06B12" w:rsidRDefault="00B06B12" w:rsidP="00B06B12">
                  <w:pPr>
                    <w:autoSpaceDE w:val="0"/>
                    <w:autoSpaceDN w:val="0"/>
                    <w:adjustRightInd w:val="0"/>
                    <w:jc w:val="center"/>
                    <w:rPr>
                      <w:rFonts w:eastAsia="Arial" w:cs="Arial"/>
                      <w:b/>
                      <w:bCs/>
                      <w:sz w:val="20"/>
                      <w:szCs w:val="20"/>
                    </w:rPr>
                  </w:pPr>
                  <w:r w:rsidRPr="00B06B12">
                    <w:rPr>
                      <w:rFonts w:eastAsia="Arial" w:cs="Arial"/>
                      <w:b/>
                      <w:bCs/>
                      <w:sz w:val="20"/>
                      <w:szCs w:val="20"/>
                    </w:rPr>
                    <w:t>Year ended 31 December</w:t>
                  </w:r>
                </w:p>
              </w:tc>
              <w:tc>
                <w:tcPr>
                  <w:tcW w:w="1890" w:type="dxa"/>
                </w:tcPr>
                <w:p w14:paraId="51CB95FE" w14:textId="77777777" w:rsidR="00B06B12" w:rsidRPr="00B06B12" w:rsidRDefault="00B06B12" w:rsidP="00B06B12">
                  <w:pPr>
                    <w:autoSpaceDE w:val="0"/>
                    <w:autoSpaceDN w:val="0"/>
                    <w:adjustRightInd w:val="0"/>
                    <w:jc w:val="center"/>
                    <w:rPr>
                      <w:rFonts w:eastAsia="Arial" w:cs="Arial"/>
                      <w:b/>
                      <w:bCs/>
                      <w:sz w:val="20"/>
                      <w:szCs w:val="20"/>
                    </w:rPr>
                  </w:pPr>
                  <w:r w:rsidRPr="00B06B12">
                    <w:rPr>
                      <w:rFonts w:eastAsia="Arial" w:cs="Arial"/>
                      <w:b/>
                      <w:bCs/>
                      <w:sz w:val="20"/>
                      <w:szCs w:val="20"/>
                    </w:rPr>
                    <w:t>Forecasted profit</w:t>
                  </w:r>
                </w:p>
              </w:tc>
            </w:tr>
            <w:tr w:rsidR="00B06B12" w:rsidRPr="00B06B12" w14:paraId="778BA60B" w14:textId="77777777" w:rsidTr="00DC276A">
              <w:tc>
                <w:tcPr>
                  <w:tcW w:w="1693" w:type="dxa"/>
                  <w:vMerge/>
                </w:tcPr>
                <w:p w14:paraId="3B8FAFEF" w14:textId="77777777" w:rsidR="00B06B12" w:rsidRPr="00B06B12" w:rsidRDefault="00B06B12" w:rsidP="00B06B12">
                  <w:pPr>
                    <w:autoSpaceDE w:val="0"/>
                    <w:autoSpaceDN w:val="0"/>
                    <w:adjustRightInd w:val="0"/>
                    <w:rPr>
                      <w:rFonts w:eastAsia="Arial" w:cs="Arial"/>
                      <w:sz w:val="20"/>
                      <w:szCs w:val="20"/>
                    </w:rPr>
                  </w:pPr>
                </w:p>
              </w:tc>
              <w:tc>
                <w:tcPr>
                  <w:tcW w:w="1530" w:type="dxa"/>
                </w:tcPr>
                <w:p w14:paraId="125D2D55" w14:textId="77777777" w:rsidR="00B06B12" w:rsidRPr="00B06B12" w:rsidRDefault="00B06B12" w:rsidP="00B06B12">
                  <w:pPr>
                    <w:autoSpaceDE w:val="0"/>
                    <w:autoSpaceDN w:val="0"/>
                    <w:adjustRightInd w:val="0"/>
                    <w:jc w:val="center"/>
                    <w:rPr>
                      <w:rFonts w:eastAsia="Arial" w:cs="Arial"/>
                      <w:b/>
                      <w:bCs/>
                      <w:i/>
                      <w:iCs/>
                      <w:sz w:val="20"/>
                      <w:szCs w:val="20"/>
                    </w:rPr>
                  </w:pPr>
                  <w:r w:rsidRPr="00B06B12">
                    <w:rPr>
                      <w:rFonts w:eastAsia="Arial" w:cs="Arial"/>
                      <w:b/>
                      <w:bCs/>
                      <w:i/>
                      <w:iCs/>
                      <w:sz w:val="20"/>
                      <w:szCs w:val="20"/>
                    </w:rPr>
                    <w:t>[Year]</w:t>
                  </w:r>
                </w:p>
              </w:tc>
              <w:tc>
                <w:tcPr>
                  <w:tcW w:w="1620" w:type="dxa"/>
                </w:tcPr>
                <w:p w14:paraId="1BA0D0A0" w14:textId="77777777" w:rsidR="00B06B12" w:rsidRPr="00B06B12" w:rsidRDefault="00B06B12" w:rsidP="00B06B12">
                  <w:pPr>
                    <w:autoSpaceDE w:val="0"/>
                    <w:autoSpaceDN w:val="0"/>
                    <w:adjustRightInd w:val="0"/>
                    <w:jc w:val="center"/>
                    <w:rPr>
                      <w:rFonts w:eastAsia="Arial" w:cs="Arial"/>
                      <w:b/>
                      <w:bCs/>
                      <w:sz w:val="20"/>
                      <w:szCs w:val="20"/>
                    </w:rPr>
                  </w:pPr>
                  <w:r w:rsidRPr="00B06B12">
                    <w:rPr>
                      <w:rFonts w:eastAsia="Arial" w:cs="Arial"/>
                      <w:b/>
                      <w:bCs/>
                      <w:i/>
                      <w:iCs/>
                      <w:sz w:val="20"/>
                      <w:szCs w:val="20"/>
                    </w:rPr>
                    <w:t>[Year]</w:t>
                  </w:r>
                </w:p>
              </w:tc>
              <w:tc>
                <w:tcPr>
                  <w:tcW w:w="1620" w:type="dxa"/>
                </w:tcPr>
                <w:p w14:paraId="03704D31" w14:textId="77777777" w:rsidR="00B06B12" w:rsidRPr="00B06B12" w:rsidRDefault="00B06B12" w:rsidP="00B06B12">
                  <w:pPr>
                    <w:autoSpaceDE w:val="0"/>
                    <w:autoSpaceDN w:val="0"/>
                    <w:adjustRightInd w:val="0"/>
                    <w:jc w:val="center"/>
                    <w:rPr>
                      <w:rFonts w:eastAsia="Arial" w:cs="Arial"/>
                      <w:b/>
                      <w:bCs/>
                      <w:sz w:val="20"/>
                      <w:szCs w:val="20"/>
                    </w:rPr>
                  </w:pPr>
                  <w:r w:rsidRPr="00B06B12">
                    <w:rPr>
                      <w:rFonts w:eastAsia="Arial" w:cs="Arial"/>
                      <w:b/>
                      <w:bCs/>
                      <w:i/>
                      <w:iCs/>
                      <w:sz w:val="20"/>
                      <w:szCs w:val="20"/>
                    </w:rPr>
                    <w:t>[Year]</w:t>
                  </w:r>
                </w:p>
              </w:tc>
              <w:tc>
                <w:tcPr>
                  <w:tcW w:w="1890" w:type="dxa"/>
                </w:tcPr>
                <w:p w14:paraId="064DF3B9" w14:textId="77777777" w:rsidR="00B06B12" w:rsidRPr="00B06B12" w:rsidRDefault="00B06B12" w:rsidP="00B06B12">
                  <w:pPr>
                    <w:autoSpaceDE w:val="0"/>
                    <w:autoSpaceDN w:val="0"/>
                    <w:adjustRightInd w:val="0"/>
                    <w:jc w:val="center"/>
                    <w:rPr>
                      <w:rFonts w:eastAsia="Arial" w:cs="Arial"/>
                      <w:b/>
                      <w:bCs/>
                      <w:i/>
                      <w:iCs/>
                      <w:sz w:val="20"/>
                      <w:szCs w:val="20"/>
                    </w:rPr>
                  </w:pPr>
                  <w:r w:rsidRPr="00B06B12">
                    <w:rPr>
                      <w:rFonts w:eastAsia="Arial" w:cs="Arial"/>
                      <w:b/>
                      <w:bCs/>
                      <w:i/>
                      <w:iCs/>
                      <w:sz w:val="20"/>
                      <w:szCs w:val="20"/>
                    </w:rPr>
                    <w:t>[Year]</w:t>
                  </w:r>
                </w:p>
              </w:tc>
            </w:tr>
            <w:tr w:rsidR="00B06B12" w:rsidRPr="00B06B12" w14:paraId="27A0283A" w14:textId="77777777" w:rsidTr="00DC276A">
              <w:tc>
                <w:tcPr>
                  <w:tcW w:w="1693" w:type="dxa"/>
                  <w:vMerge/>
                </w:tcPr>
                <w:p w14:paraId="436DE9C9" w14:textId="77777777" w:rsidR="00B06B12" w:rsidRPr="00B06B12" w:rsidRDefault="00B06B12" w:rsidP="00B06B12">
                  <w:pPr>
                    <w:autoSpaceDE w:val="0"/>
                    <w:autoSpaceDN w:val="0"/>
                    <w:adjustRightInd w:val="0"/>
                    <w:rPr>
                      <w:rFonts w:eastAsia="Arial" w:cs="Arial"/>
                      <w:sz w:val="20"/>
                      <w:szCs w:val="20"/>
                    </w:rPr>
                  </w:pPr>
                </w:p>
              </w:tc>
              <w:tc>
                <w:tcPr>
                  <w:tcW w:w="1530" w:type="dxa"/>
                </w:tcPr>
                <w:p w14:paraId="6AAE8C2C" w14:textId="77777777" w:rsidR="00B06B12" w:rsidRPr="00B06B12" w:rsidRDefault="00B06B12" w:rsidP="00B06B12">
                  <w:pPr>
                    <w:autoSpaceDE w:val="0"/>
                    <w:autoSpaceDN w:val="0"/>
                    <w:adjustRightInd w:val="0"/>
                    <w:jc w:val="center"/>
                    <w:rPr>
                      <w:rFonts w:eastAsia="Arial" w:cs="Arial"/>
                      <w:b/>
                      <w:bCs/>
                      <w:sz w:val="20"/>
                      <w:szCs w:val="20"/>
                    </w:rPr>
                  </w:pPr>
                  <w:r w:rsidRPr="00B06B12">
                    <w:rPr>
                      <w:rFonts w:eastAsia="Arial" w:cs="Arial"/>
                      <w:b/>
                      <w:bCs/>
                      <w:sz w:val="20"/>
                      <w:szCs w:val="20"/>
                    </w:rPr>
                    <w:t>$(‘000)</w:t>
                  </w:r>
                </w:p>
              </w:tc>
              <w:tc>
                <w:tcPr>
                  <w:tcW w:w="1620" w:type="dxa"/>
                </w:tcPr>
                <w:p w14:paraId="4544711D" w14:textId="77777777" w:rsidR="00B06B12" w:rsidRPr="00B06B12" w:rsidRDefault="00B06B12" w:rsidP="00B06B12">
                  <w:pPr>
                    <w:autoSpaceDE w:val="0"/>
                    <w:autoSpaceDN w:val="0"/>
                    <w:adjustRightInd w:val="0"/>
                    <w:jc w:val="center"/>
                    <w:rPr>
                      <w:rFonts w:eastAsia="Arial" w:cs="Arial"/>
                      <w:b/>
                      <w:bCs/>
                      <w:sz w:val="20"/>
                      <w:szCs w:val="20"/>
                    </w:rPr>
                  </w:pPr>
                  <w:r w:rsidRPr="00B06B12">
                    <w:rPr>
                      <w:rFonts w:eastAsia="Arial" w:cs="Arial"/>
                      <w:b/>
                      <w:bCs/>
                      <w:sz w:val="20"/>
                      <w:szCs w:val="20"/>
                    </w:rPr>
                    <w:t>$(‘000)</w:t>
                  </w:r>
                </w:p>
              </w:tc>
              <w:tc>
                <w:tcPr>
                  <w:tcW w:w="1620" w:type="dxa"/>
                </w:tcPr>
                <w:p w14:paraId="6DB44C69" w14:textId="77777777" w:rsidR="00B06B12" w:rsidRPr="00B06B12" w:rsidRDefault="00B06B12" w:rsidP="00B06B12">
                  <w:pPr>
                    <w:autoSpaceDE w:val="0"/>
                    <w:autoSpaceDN w:val="0"/>
                    <w:adjustRightInd w:val="0"/>
                    <w:jc w:val="center"/>
                    <w:rPr>
                      <w:rFonts w:eastAsia="Arial" w:cs="Arial"/>
                      <w:b/>
                      <w:bCs/>
                      <w:sz w:val="20"/>
                      <w:szCs w:val="20"/>
                    </w:rPr>
                  </w:pPr>
                  <w:r w:rsidRPr="00B06B12">
                    <w:rPr>
                      <w:rFonts w:eastAsia="Arial" w:cs="Arial"/>
                      <w:b/>
                      <w:bCs/>
                      <w:sz w:val="20"/>
                      <w:szCs w:val="20"/>
                    </w:rPr>
                    <w:t>$(‘000)</w:t>
                  </w:r>
                </w:p>
              </w:tc>
              <w:tc>
                <w:tcPr>
                  <w:tcW w:w="1890" w:type="dxa"/>
                </w:tcPr>
                <w:p w14:paraId="38E4410B" w14:textId="77777777" w:rsidR="00B06B12" w:rsidRPr="00B06B12" w:rsidRDefault="00B06B12" w:rsidP="00B06B12">
                  <w:pPr>
                    <w:autoSpaceDE w:val="0"/>
                    <w:autoSpaceDN w:val="0"/>
                    <w:adjustRightInd w:val="0"/>
                    <w:jc w:val="center"/>
                    <w:rPr>
                      <w:rFonts w:eastAsia="Arial" w:cs="Arial"/>
                      <w:b/>
                      <w:bCs/>
                      <w:sz w:val="20"/>
                      <w:szCs w:val="20"/>
                    </w:rPr>
                  </w:pPr>
                  <w:r w:rsidRPr="00B06B12">
                    <w:rPr>
                      <w:rFonts w:eastAsia="Arial" w:cs="Arial"/>
                      <w:b/>
                      <w:bCs/>
                      <w:sz w:val="20"/>
                      <w:szCs w:val="20"/>
                    </w:rPr>
                    <w:t>$(‘000)</w:t>
                  </w:r>
                </w:p>
              </w:tc>
            </w:tr>
            <w:tr w:rsidR="00B06B12" w:rsidRPr="00B06B12" w14:paraId="3966B091" w14:textId="77777777" w:rsidTr="00DC276A">
              <w:trPr>
                <w:trHeight w:val="395"/>
              </w:trPr>
              <w:tc>
                <w:tcPr>
                  <w:tcW w:w="1693" w:type="dxa"/>
                </w:tcPr>
                <w:p w14:paraId="4633FBC2"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sz w:val="20"/>
                      <w:szCs w:val="20"/>
                    </w:rPr>
                    <w:t>Net revenue</w:t>
                  </w:r>
                </w:p>
              </w:tc>
              <w:tc>
                <w:tcPr>
                  <w:tcW w:w="1530" w:type="dxa"/>
                </w:tcPr>
                <w:p w14:paraId="534E0E47"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1620" w:type="dxa"/>
                </w:tcPr>
                <w:p w14:paraId="74869A99"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1620" w:type="dxa"/>
                </w:tcPr>
                <w:p w14:paraId="6AE5D37E"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1890" w:type="dxa"/>
                </w:tcPr>
                <w:p w14:paraId="0DEF88FB"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r>
            <w:tr w:rsidR="00B06B12" w:rsidRPr="00B06B12" w14:paraId="6BF32FF0" w14:textId="77777777" w:rsidTr="00DC276A">
              <w:tc>
                <w:tcPr>
                  <w:tcW w:w="1693" w:type="dxa"/>
                </w:tcPr>
                <w:p w14:paraId="33908B09"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sz w:val="20"/>
                      <w:szCs w:val="20"/>
                    </w:rPr>
                    <w:t>Profit / (loss) before tax</w:t>
                  </w:r>
                </w:p>
              </w:tc>
              <w:tc>
                <w:tcPr>
                  <w:tcW w:w="1530" w:type="dxa"/>
                </w:tcPr>
                <w:p w14:paraId="4B32A260"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1620" w:type="dxa"/>
                </w:tcPr>
                <w:p w14:paraId="708C0900"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1620" w:type="dxa"/>
                </w:tcPr>
                <w:p w14:paraId="474233D2"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1890" w:type="dxa"/>
                </w:tcPr>
                <w:p w14:paraId="51CACBA4"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r>
            <w:tr w:rsidR="00B06B12" w:rsidRPr="00B06B12" w14:paraId="44FCBD87" w14:textId="77777777" w:rsidTr="00DC276A">
              <w:tc>
                <w:tcPr>
                  <w:tcW w:w="1693" w:type="dxa"/>
                </w:tcPr>
                <w:p w14:paraId="6B82F076"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sz w:val="20"/>
                      <w:szCs w:val="20"/>
                    </w:rPr>
                    <w:t>Profit / (loss) after tax</w:t>
                  </w:r>
                </w:p>
              </w:tc>
              <w:tc>
                <w:tcPr>
                  <w:tcW w:w="1530" w:type="dxa"/>
                </w:tcPr>
                <w:p w14:paraId="194FDCD3"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1620" w:type="dxa"/>
                </w:tcPr>
                <w:p w14:paraId="27D74B2B"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1620" w:type="dxa"/>
                </w:tcPr>
                <w:p w14:paraId="096B7329"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1890" w:type="dxa"/>
                </w:tcPr>
                <w:p w14:paraId="7A2DAAC2"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r>
            <w:tr w:rsidR="00B06B12" w:rsidRPr="00B06B12" w14:paraId="7C77C365" w14:textId="77777777" w:rsidTr="00DC276A">
              <w:tc>
                <w:tcPr>
                  <w:tcW w:w="1693" w:type="dxa"/>
                </w:tcPr>
                <w:p w14:paraId="2EFFB0FF"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sz w:val="20"/>
                      <w:szCs w:val="20"/>
                    </w:rPr>
                    <w:t>Earnings / (loss) per share - Basic</w:t>
                  </w:r>
                </w:p>
              </w:tc>
              <w:tc>
                <w:tcPr>
                  <w:tcW w:w="1530" w:type="dxa"/>
                </w:tcPr>
                <w:p w14:paraId="2235EF05"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1620" w:type="dxa"/>
                </w:tcPr>
                <w:p w14:paraId="0A1F5821"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1620" w:type="dxa"/>
                </w:tcPr>
                <w:p w14:paraId="6F849E23"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1890" w:type="dxa"/>
                </w:tcPr>
                <w:p w14:paraId="4DB38EBD"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r>
            <w:tr w:rsidR="00B06B12" w:rsidRPr="00B06B12" w14:paraId="0047B757" w14:textId="77777777" w:rsidTr="00DC276A">
              <w:tc>
                <w:tcPr>
                  <w:tcW w:w="1693" w:type="dxa"/>
                </w:tcPr>
                <w:p w14:paraId="198FF89F"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sz w:val="20"/>
                      <w:szCs w:val="20"/>
                    </w:rPr>
                    <w:t>Earnings / (loss) per share - Diluted</w:t>
                  </w:r>
                </w:p>
              </w:tc>
              <w:tc>
                <w:tcPr>
                  <w:tcW w:w="1530" w:type="dxa"/>
                </w:tcPr>
                <w:p w14:paraId="4341BA36"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1620" w:type="dxa"/>
                </w:tcPr>
                <w:p w14:paraId="4B918A46"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1620" w:type="dxa"/>
                </w:tcPr>
                <w:p w14:paraId="29728569"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1890" w:type="dxa"/>
                </w:tcPr>
                <w:p w14:paraId="2974C8CA"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r>
          </w:tbl>
          <w:p w14:paraId="5A5142CB" w14:textId="77777777" w:rsidR="00B06B12" w:rsidRPr="00B06B12" w:rsidRDefault="00B06B12" w:rsidP="00B06B12">
            <w:pPr>
              <w:autoSpaceDE w:val="0"/>
              <w:autoSpaceDN w:val="0"/>
              <w:adjustRightInd w:val="0"/>
              <w:rPr>
                <w:rFonts w:ascii="Arial" w:eastAsia="Arial" w:hAnsi="Arial" w:cs="Arial"/>
                <w:sz w:val="20"/>
                <w:szCs w:val="20"/>
              </w:rPr>
            </w:pPr>
          </w:p>
          <w:p w14:paraId="7A7C5CCE" w14:textId="77777777" w:rsidR="00B06B12" w:rsidRPr="00B06B12" w:rsidRDefault="00B06B12" w:rsidP="00B06B12">
            <w:pPr>
              <w:autoSpaceDE w:val="0"/>
              <w:autoSpaceDN w:val="0"/>
              <w:adjustRightInd w:val="0"/>
              <w:rPr>
                <w:rFonts w:ascii="Arial" w:eastAsia="Arial" w:hAnsi="Arial" w:cs="Arial"/>
                <w:color w:val="000000"/>
                <w:sz w:val="20"/>
                <w:szCs w:val="20"/>
              </w:rPr>
            </w:pPr>
            <w:r w:rsidRPr="00B06B12">
              <w:rPr>
                <w:rFonts w:ascii="Arial" w:eastAsia="Arial" w:hAnsi="Arial" w:cs="Arial"/>
                <w:b/>
                <w:bCs/>
                <w:color w:val="000000"/>
                <w:sz w:val="20"/>
                <w:szCs w:val="20"/>
              </w:rPr>
              <w:t xml:space="preserve">Key cash flows information </w:t>
            </w:r>
          </w:p>
          <w:p w14:paraId="10014B1E" w14:textId="77777777" w:rsidR="00B06B12" w:rsidRPr="00B06B12" w:rsidRDefault="00B06B12" w:rsidP="00B06B12">
            <w:pPr>
              <w:autoSpaceDE w:val="0"/>
              <w:autoSpaceDN w:val="0"/>
              <w:adjustRightInd w:val="0"/>
              <w:rPr>
                <w:rFonts w:ascii="Arial" w:eastAsia="Arial" w:hAnsi="Arial" w:cs="Arial"/>
                <w:sz w:val="20"/>
                <w:szCs w:val="20"/>
              </w:rPr>
            </w:pPr>
          </w:p>
          <w:tbl>
            <w:tblPr>
              <w:tblStyle w:val="TableGrid1"/>
              <w:tblW w:w="0" w:type="auto"/>
              <w:tblLayout w:type="fixed"/>
              <w:tblLook w:val="04A0" w:firstRow="1" w:lastRow="0" w:firstColumn="1" w:lastColumn="0" w:noHBand="0" w:noVBand="1"/>
            </w:tblPr>
            <w:tblGrid>
              <w:gridCol w:w="3223"/>
              <w:gridCol w:w="2520"/>
              <w:gridCol w:w="2610"/>
            </w:tblGrid>
            <w:tr w:rsidR="00B06B12" w:rsidRPr="00B06B12" w14:paraId="7D5DD2FF" w14:textId="77777777" w:rsidTr="00DC276A">
              <w:tc>
                <w:tcPr>
                  <w:tcW w:w="3223" w:type="dxa"/>
                  <w:vMerge w:val="restart"/>
                </w:tcPr>
                <w:p w14:paraId="1CAB702E" w14:textId="77777777" w:rsidR="00B06B12" w:rsidRPr="00B06B12" w:rsidRDefault="00B06B12" w:rsidP="00B06B12">
                  <w:pPr>
                    <w:autoSpaceDE w:val="0"/>
                    <w:autoSpaceDN w:val="0"/>
                    <w:adjustRightInd w:val="0"/>
                    <w:rPr>
                      <w:rFonts w:eastAsia="Arial" w:cs="Arial"/>
                      <w:sz w:val="20"/>
                      <w:szCs w:val="20"/>
                    </w:rPr>
                  </w:pPr>
                </w:p>
              </w:tc>
              <w:tc>
                <w:tcPr>
                  <w:tcW w:w="5130" w:type="dxa"/>
                  <w:gridSpan w:val="2"/>
                </w:tcPr>
                <w:p w14:paraId="77FB439D" w14:textId="77777777" w:rsidR="00B06B12" w:rsidRPr="00B06B12" w:rsidRDefault="00B06B12" w:rsidP="00B06B12">
                  <w:pPr>
                    <w:autoSpaceDE w:val="0"/>
                    <w:autoSpaceDN w:val="0"/>
                    <w:adjustRightInd w:val="0"/>
                    <w:jc w:val="center"/>
                    <w:rPr>
                      <w:rFonts w:eastAsia="Arial" w:cs="Arial"/>
                      <w:b/>
                      <w:bCs/>
                      <w:sz w:val="20"/>
                      <w:szCs w:val="20"/>
                    </w:rPr>
                  </w:pPr>
                  <w:r w:rsidRPr="00B06B12">
                    <w:rPr>
                      <w:rFonts w:eastAsia="Arial" w:cs="Arial"/>
                      <w:b/>
                      <w:bCs/>
                      <w:sz w:val="20"/>
                      <w:szCs w:val="20"/>
                    </w:rPr>
                    <w:t>Year end 31 December</w:t>
                  </w:r>
                </w:p>
              </w:tc>
            </w:tr>
            <w:tr w:rsidR="00B06B12" w:rsidRPr="00B06B12" w14:paraId="6BD5D23E" w14:textId="77777777" w:rsidTr="00DC276A">
              <w:tc>
                <w:tcPr>
                  <w:tcW w:w="3223" w:type="dxa"/>
                  <w:vMerge/>
                </w:tcPr>
                <w:p w14:paraId="13746F4F" w14:textId="77777777" w:rsidR="00B06B12" w:rsidRPr="00B06B12" w:rsidRDefault="00B06B12" w:rsidP="00B06B12">
                  <w:pPr>
                    <w:autoSpaceDE w:val="0"/>
                    <w:autoSpaceDN w:val="0"/>
                    <w:adjustRightInd w:val="0"/>
                    <w:rPr>
                      <w:rFonts w:eastAsia="Arial" w:cs="Arial"/>
                      <w:sz w:val="20"/>
                      <w:szCs w:val="20"/>
                    </w:rPr>
                  </w:pPr>
                </w:p>
              </w:tc>
              <w:tc>
                <w:tcPr>
                  <w:tcW w:w="2520" w:type="dxa"/>
                </w:tcPr>
                <w:p w14:paraId="74DEE81D" w14:textId="77777777" w:rsidR="00B06B12" w:rsidRPr="00B06B12" w:rsidRDefault="00B06B12" w:rsidP="00B06B12">
                  <w:pPr>
                    <w:autoSpaceDE w:val="0"/>
                    <w:autoSpaceDN w:val="0"/>
                    <w:adjustRightInd w:val="0"/>
                    <w:jc w:val="center"/>
                    <w:rPr>
                      <w:rFonts w:eastAsia="Arial" w:cs="Arial"/>
                      <w:b/>
                      <w:bCs/>
                      <w:i/>
                      <w:iCs/>
                      <w:sz w:val="20"/>
                      <w:szCs w:val="20"/>
                    </w:rPr>
                  </w:pPr>
                  <w:r w:rsidRPr="00B06B12">
                    <w:rPr>
                      <w:rFonts w:eastAsia="Arial" w:cs="Arial"/>
                      <w:b/>
                      <w:bCs/>
                      <w:i/>
                      <w:iCs/>
                      <w:sz w:val="20"/>
                      <w:szCs w:val="20"/>
                    </w:rPr>
                    <w:t>[Year]</w:t>
                  </w:r>
                </w:p>
              </w:tc>
              <w:tc>
                <w:tcPr>
                  <w:tcW w:w="2610" w:type="dxa"/>
                </w:tcPr>
                <w:p w14:paraId="267B8624" w14:textId="77777777" w:rsidR="00B06B12" w:rsidRPr="00B06B12" w:rsidRDefault="00B06B12" w:rsidP="00B06B12">
                  <w:pPr>
                    <w:autoSpaceDE w:val="0"/>
                    <w:autoSpaceDN w:val="0"/>
                    <w:adjustRightInd w:val="0"/>
                    <w:jc w:val="center"/>
                    <w:rPr>
                      <w:rFonts w:eastAsia="Arial" w:cs="Arial"/>
                      <w:b/>
                      <w:bCs/>
                      <w:i/>
                      <w:iCs/>
                      <w:sz w:val="20"/>
                      <w:szCs w:val="20"/>
                    </w:rPr>
                  </w:pPr>
                  <w:r w:rsidRPr="00B06B12">
                    <w:rPr>
                      <w:rFonts w:eastAsia="Arial" w:cs="Arial"/>
                      <w:b/>
                      <w:bCs/>
                      <w:i/>
                      <w:iCs/>
                      <w:sz w:val="20"/>
                      <w:szCs w:val="20"/>
                    </w:rPr>
                    <w:t>[Year]</w:t>
                  </w:r>
                </w:p>
              </w:tc>
            </w:tr>
            <w:tr w:rsidR="00B06B12" w:rsidRPr="00B06B12" w14:paraId="7C0E9C1E" w14:textId="77777777" w:rsidTr="00DC276A">
              <w:tc>
                <w:tcPr>
                  <w:tcW w:w="3223" w:type="dxa"/>
                  <w:vMerge/>
                </w:tcPr>
                <w:p w14:paraId="04EF7316" w14:textId="77777777" w:rsidR="00B06B12" w:rsidRPr="00B06B12" w:rsidRDefault="00B06B12" w:rsidP="00B06B12">
                  <w:pPr>
                    <w:autoSpaceDE w:val="0"/>
                    <w:autoSpaceDN w:val="0"/>
                    <w:adjustRightInd w:val="0"/>
                    <w:rPr>
                      <w:rFonts w:eastAsia="Arial" w:cs="Arial"/>
                      <w:sz w:val="20"/>
                      <w:szCs w:val="20"/>
                    </w:rPr>
                  </w:pPr>
                </w:p>
              </w:tc>
              <w:tc>
                <w:tcPr>
                  <w:tcW w:w="2520" w:type="dxa"/>
                </w:tcPr>
                <w:p w14:paraId="711ECF75" w14:textId="77777777" w:rsidR="00B06B12" w:rsidRPr="00B06B12" w:rsidRDefault="00B06B12" w:rsidP="00B06B12">
                  <w:pPr>
                    <w:autoSpaceDE w:val="0"/>
                    <w:autoSpaceDN w:val="0"/>
                    <w:adjustRightInd w:val="0"/>
                    <w:jc w:val="center"/>
                    <w:rPr>
                      <w:rFonts w:eastAsia="Arial" w:cs="Arial"/>
                      <w:b/>
                      <w:bCs/>
                      <w:sz w:val="20"/>
                      <w:szCs w:val="20"/>
                    </w:rPr>
                  </w:pPr>
                  <w:r w:rsidRPr="00B06B12">
                    <w:rPr>
                      <w:rFonts w:eastAsia="Arial" w:cs="Arial"/>
                      <w:b/>
                      <w:bCs/>
                      <w:sz w:val="20"/>
                      <w:szCs w:val="20"/>
                    </w:rPr>
                    <w:t>$(‘000)</w:t>
                  </w:r>
                </w:p>
              </w:tc>
              <w:tc>
                <w:tcPr>
                  <w:tcW w:w="2610" w:type="dxa"/>
                </w:tcPr>
                <w:p w14:paraId="4609ABBF" w14:textId="77777777" w:rsidR="00B06B12" w:rsidRPr="00B06B12" w:rsidRDefault="00B06B12" w:rsidP="00B06B12">
                  <w:pPr>
                    <w:autoSpaceDE w:val="0"/>
                    <w:autoSpaceDN w:val="0"/>
                    <w:adjustRightInd w:val="0"/>
                    <w:jc w:val="center"/>
                    <w:rPr>
                      <w:rFonts w:eastAsia="Arial" w:cs="Arial"/>
                      <w:b/>
                      <w:bCs/>
                      <w:sz w:val="20"/>
                      <w:szCs w:val="20"/>
                    </w:rPr>
                  </w:pPr>
                  <w:r w:rsidRPr="00B06B12">
                    <w:rPr>
                      <w:rFonts w:eastAsia="Arial" w:cs="Arial"/>
                      <w:b/>
                      <w:bCs/>
                      <w:sz w:val="20"/>
                      <w:szCs w:val="20"/>
                    </w:rPr>
                    <w:t>$(‘000)</w:t>
                  </w:r>
                </w:p>
              </w:tc>
            </w:tr>
            <w:tr w:rsidR="00B06B12" w:rsidRPr="00B06B12" w14:paraId="10F67F06" w14:textId="77777777" w:rsidTr="00DC276A">
              <w:tc>
                <w:tcPr>
                  <w:tcW w:w="3223" w:type="dxa"/>
                </w:tcPr>
                <w:p w14:paraId="57883404"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sz w:val="20"/>
                      <w:szCs w:val="20"/>
                    </w:rPr>
                    <w:t>Net cash generated from operating activities</w:t>
                  </w:r>
                </w:p>
              </w:tc>
              <w:tc>
                <w:tcPr>
                  <w:tcW w:w="2520" w:type="dxa"/>
                </w:tcPr>
                <w:p w14:paraId="1F4066E1"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2610" w:type="dxa"/>
                </w:tcPr>
                <w:p w14:paraId="04B78F06"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r>
            <w:tr w:rsidR="00B06B12" w:rsidRPr="00B06B12" w14:paraId="1EDB9EB3" w14:textId="77777777" w:rsidTr="00DC276A">
              <w:tc>
                <w:tcPr>
                  <w:tcW w:w="3223" w:type="dxa"/>
                </w:tcPr>
                <w:p w14:paraId="5B73B23D"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sz w:val="20"/>
                      <w:szCs w:val="20"/>
                    </w:rPr>
                    <w:lastRenderedPageBreak/>
                    <w:t>Net cash used in investing activities</w:t>
                  </w:r>
                </w:p>
              </w:tc>
              <w:tc>
                <w:tcPr>
                  <w:tcW w:w="2520" w:type="dxa"/>
                </w:tcPr>
                <w:p w14:paraId="0089BCAF"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2610" w:type="dxa"/>
                </w:tcPr>
                <w:p w14:paraId="3F1835FA"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r>
            <w:tr w:rsidR="00B06B12" w:rsidRPr="00B06B12" w14:paraId="04BF89E7" w14:textId="77777777" w:rsidTr="00DC276A">
              <w:tc>
                <w:tcPr>
                  <w:tcW w:w="3223" w:type="dxa"/>
                </w:tcPr>
                <w:p w14:paraId="6A640707"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sz w:val="20"/>
                      <w:szCs w:val="20"/>
                    </w:rPr>
                    <w:t>Net cash generated from financing activities</w:t>
                  </w:r>
                </w:p>
              </w:tc>
              <w:tc>
                <w:tcPr>
                  <w:tcW w:w="2520" w:type="dxa"/>
                </w:tcPr>
                <w:p w14:paraId="1A6E74C2"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2610" w:type="dxa"/>
                </w:tcPr>
                <w:p w14:paraId="1A81E875"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r>
            <w:tr w:rsidR="00B06B12" w:rsidRPr="00B06B12" w14:paraId="1F4B81C5" w14:textId="77777777" w:rsidTr="00DC276A">
              <w:tc>
                <w:tcPr>
                  <w:tcW w:w="3223" w:type="dxa"/>
                </w:tcPr>
                <w:p w14:paraId="431A1BA4"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sz w:val="20"/>
                      <w:szCs w:val="20"/>
                    </w:rPr>
                    <w:t>Net increase / (decrease) in cash and cash equivalents</w:t>
                  </w:r>
                </w:p>
              </w:tc>
              <w:tc>
                <w:tcPr>
                  <w:tcW w:w="2520" w:type="dxa"/>
                </w:tcPr>
                <w:p w14:paraId="5BA3294F"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2610" w:type="dxa"/>
                </w:tcPr>
                <w:p w14:paraId="1D74A786"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r>
            <w:tr w:rsidR="00B06B12" w:rsidRPr="00B06B12" w14:paraId="4DC6774F" w14:textId="77777777" w:rsidTr="00DC276A">
              <w:tc>
                <w:tcPr>
                  <w:tcW w:w="3223" w:type="dxa"/>
                </w:tcPr>
                <w:p w14:paraId="2EBE1DFC"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sz w:val="20"/>
                      <w:szCs w:val="20"/>
                    </w:rPr>
                    <w:t>Cash and cash equivalents at end of year / period</w:t>
                  </w:r>
                </w:p>
              </w:tc>
              <w:tc>
                <w:tcPr>
                  <w:tcW w:w="2520" w:type="dxa"/>
                </w:tcPr>
                <w:p w14:paraId="4E9127F5"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2610" w:type="dxa"/>
                </w:tcPr>
                <w:p w14:paraId="31B6D2EC"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r>
          </w:tbl>
          <w:p w14:paraId="51DBE7CB" w14:textId="77777777" w:rsidR="00B06B12" w:rsidRPr="00B06B12" w:rsidRDefault="00B06B12" w:rsidP="00B06B12">
            <w:pPr>
              <w:autoSpaceDE w:val="0"/>
              <w:autoSpaceDN w:val="0"/>
              <w:adjustRightInd w:val="0"/>
              <w:rPr>
                <w:rFonts w:ascii="Arial" w:eastAsia="Arial" w:hAnsi="Arial" w:cs="Arial"/>
                <w:sz w:val="20"/>
                <w:szCs w:val="20"/>
              </w:rPr>
            </w:pPr>
          </w:p>
          <w:p w14:paraId="7C582545" w14:textId="77777777" w:rsidR="00B06B12" w:rsidRPr="00B06B12" w:rsidRDefault="00B06B12" w:rsidP="00B06B12">
            <w:pPr>
              <w:autoSpaceDE w:val="0"/>
              <w:autoSpaceDN w:val="0"/>
              <w:adjustRightInd w:val="0"/>
              <w:rPr>
                <w:rFonts w:ascii="Arial" w:eastAsia="Arial" w:hAnsi="Arial" w:cs="Arial"/>
                <w:color w:val="000000"/>
                <w:sz w:val="20"/>
                <w:szCs w:val="20"/>
              </w:rPr>
            </w:pPr>
            <w:r w:rsidRPr="00B06B12">
              <w:rPr>
                <w:rFonts w:ascii="Arial" w:eastAsia="Arial" w:hAnsi="Arial" w:cs="Arial"/>
                <w:b/>
                <w:bCs/>
                <w:color w:val="000000"/>
                <w:sz w:val="20"/>
                <w:szCs w:val="20"/>
              </w:rPr>
              <w:t xml:space="preserve">Key balance sheet information </w:t>
            </w:r>
          </w:p>
          <w:p w14:paraId="5C9AAFB1" w14:textId="77777777" w:rsidR="00B06B12" w:rsidRPr="00B06B12" w:rsidRDefault="00B06B12" w:rsidP="00B06B12">
            <w:pPr>
              <w:autoSpaceDE w:val="0"/>
              <w:autoSpaceDN w:val="0"/>
              <w:adjustRightInd w:val="0"/>
              <w:rPr>
                <w:rFonts w:ascii="Arial" w:eastAsia="Arial" w:hAnsi="Arial" w:cs="Arial"/>
                <w:sz w:val="20"/>
                <w:szCs w:val="20"/>
              </w:rPr>
            </w:pPr>
          </w:p>
          <w:tbl>
            <w:tblPr>
              <w:tblStyle w:val="TableGrid1"/>
              <w:tblW w:w="0" w:type="auto"/>
              <w:tblLayout w:type="fixed"/>
              <w:tblLook w:val="04A0" w:firstRow="1" w:lastRow="0" w:firstColumn="1" w:lastColumn="0" w:noHBand="0" w:noVBand="1"/>
            </w:tblPr>
            <w:tblGrid>
              <w:gridCol w:w="3223"/>
              <w:gridCol w:w="2520"/>
              <w:gridCol w:w="2610"/>
            </w:tblGrid>
            <w:tr w:rsidR="00B06B12" w:rsidRPr="00B06B12" w14:paraId="1307B456" w14:textId="77777777" w:rsidTr="00DC276A">
              <w:tc>
                <w:tcPr>
                  <w:tcW w:w="3223" w:type="dxa"/>
                  <w:vMerge w:val="restart"/>
                </w:tcPr>
                <w:p w14:paraId="3552FB3C" w14:textId="77777777" w:rsidR="00B06B12" w:rsidRPr="00B06B12" w:rsidRDefault="00B06B12" w:rsidP="00B06B12">
                  <w:pPr>
                    <w:autoSpaceDE w:val="0"/>
                    <w:autoSpaceDN w:val="0"/>
                    <w:adjustRightInd w:val="0"/>
                    <w:rPr>
                      <w:rFonts w:eastAsia="Arial" w:cs="Arial"/>
                      <w:sz w:val="20"/>
                      <w:szCs w:val="20"/>
                    </w:rPr>
                  </w:pPr>
                </w:p>
              </w:tc>
              <w:tc>
                <w:tcPr>
                  <w:tcW w:w="5130" w:type="dxa"/>
                  <w:gridSpan w:val="2"/>
                </w:tcPr>
                <w:p w14:paraId="4B7CEFC8" w14:textId="77777777" w:rsidR="00B06B12" w:rsidRPr="00B06B12" w:rsidRDefault="00B06B12" w:rsidP="00B06B12">
                  <w:pPr>
                    <w:autoSpaceDE w:val="0"/>
                    <w:autoSpaceDN w:val="0"/>
                    <w:adjustRightInd w:val="0"/>
                    <w:jc w:val="center"/>
                    <w:rPr>
                      <w:rFonts w:eastAsia="Arial" w:cs="Arial"/>
                      <w:sz w:val="20"/>
                      <w:szCs w:val="20"/>
                    </w:rPr>
                  </w:pPr>
                  <w:r w:rsidRPr="00B06B12">
                    <w:rPr>
                      <w:rFonts w:eastAsia="Arial" w:cs="Arial"/>
                      <w:b/>
                      <w:bCs/>
                      <w:sz w:val="20"/>
                      <w:szCs w:val="20"/>
                    </w:rPr>
                    <w:t>Year end 31 December</w:t>
                  </w:r>
                </w:p>
              </w:tc>
            </w:tr>
            <w:tr w:rsidR="00B06B12" w:rsidRPr="00B06B12" w14:paraId="34EF1772" w14:textId="77777777" w:rsidTr="00DC276A">
              <w:tc>
                <w:tcPr>
                  <w:tcW w:w="3223" w:type="dxa"/>
                  <w:vMerge/>
                </w:tcPr>
                <w:p w14:paraId="299DF134" w14:textId="77777777" w:rsidR="00B06B12" w:rsidRPr="00B06B12" w:rsidRDefault="00B06B12" w:rsidP="00B06B12">
                  <w:pPr>
                    <w:autoSpaceDE w:val="0"/>
                    <w:autoSpaceDN w:val="0"/>
                    <w:adjustRightInd w:val="0"/>
                    <w:rPr>
                      <w:rFonts w:eastAsia="Arial" w:cs="Arial"/>
                      <w:sz w:val="20"/>
                      <w:szCs w:val="20"/>
                    </w:rPr>
                  </w:pPr>
                </w:p>
              </w:tc>
              <w:tc>
                <w:tcPr>
                  <w:tcW w:w="2520" w:type="dxa"/>
                </w:tcPr>
                <w:p w14:paraId="2B3B26F1" w14:textId="77777777" w:rsidR="00B06B12" w:rsidRPr="00B06B12" w:rsidRDefault="00B06B12" w:rsidP="00B06B12">
                  <w:pPr>
                    <w:autoSpaceDE w:val="0"/>
                    <w:autoSpaceDN w:val="0"/>
                    <w:adjustRightInd w:val="0"/>
                    <w:jc w:val="center"/>
                    <w:rPr>
                      <w:rFonts w:eastAsia="Arial" w:cs="Arial"/>
                      <w:b/>
                      <w:bCs/>
                      <w:i/>
                      <w:iCs/>
                      <w:sz w:val="20"/>
                      <w:szCs w:val="20"/>
                    </w:rPr>
                  </w:pPr>
                  <w:r w:rsidRPr="00B06B12">
                    <w:rPr>
                      <w:rFonts w:eastAsia="Arial" w:cs="Arial"/>
                      <w:b/>
                      <w:bCs/>
                      <w:i/>
                      <w:iCs/>
                      <w:sz w:val="20"/>
                      <w:szCs w:val="20"/>
                    </w:rPr>
                    <w:t>[Year]</w:t>
                  </w:r>
                </w:p>
              </w:tc>
              <w:tc>
                <w:tcPr>
                  <w:tcW w:w="2610" w:type="dxa"/>
                </w:tcPr>
                <w:p w14:paraId="1751B73B" w14:textId="77777777" w:rsidR="00B06B12" w:rsidRPr="00B06B12" w:rsidRDefault="00B06B12" w:rsidP="00B06B12">
                  <w:pPr>
                    <w:autoSpaceDE w:val="0"/>
                    <w:autoSpaceDN w:val="0"/>
                    <w:adjustRightInd w:val="0"/>
                    <w:jc w:val="center"/>
                    <w:rPr>
                      <w:rFonts w:eastAsia="Arial" w:cs="Arial"/>
                      <w:b/>
                      <w:bCs/>
                      <w:i/>
                      <w:iCs/>
                      <w:sz w:val="20"/>
                      <w:szCs w:val="20"/>
                    </w:rPr>
                  </w:pPr>
                  <w:r w:rsidRPr="00B06B12">
                    <w:rPr>
                      <w:rFonts w:eastAsia="Arial" w:cs="Arial"/>
                      <w:b/>
                      <w:bCs/>
                      <w:i/>
                      <w:iCs/>
                      <w:sz w:val="20"/>
                      <w:szCs w:val="20"/>
                    </w:rPr>
                    <w:t>[Year]</w:t>
                  </w:r>
                </w:p>
              </w:tc>
            </w:tr>
            <w:tr w:rsidR="00B06B12" w:rsidRPr="00B06B12" w14:paraId="1B7DBD45" w14:textId="77777777" w:rsidTr="00DC276A">
              <w:tc>
                <w:tcPr>
                  <w:tcW w:w="3223" w:type="dxa"/>
                  <w:vMerge/>
                </w:tcPr>
                <w:p w14:paraId="53632F0E" w14:textId="77777777" w:rsidR="00B06B12" w:rsidRPr="00B06B12" w:rsidRDefault="00B06B12" w:rsidP="00B06B12">
                  <w:pPr>
                    <w:autoSpaceDE w:val="0"/>
                    <w:autoSpaceDN w:val="0"/>
                    <w:adjustRightInd w:val="0"/>
                    <w:rPr>
                      <w:rFonts w:eastAsia="Arial" w:cs="Arial"/>
                      <w:sz w:val="20"/>
                      <w:szCs w:val="20"/>
                    </w:rPr>
                  </w:pPr>
                </w:p>
              </w:tc>
              <w:tc>
                <w:tcPr>
                  <w:tcW w:w="2520" w:type="dxa"/>
                </w:tcPr>
                <w:p w14:paraId="1F11003C" w14:textId="77777777" w:rsidR="00B06B12" w:rsidRPr="00B06B12" w:rsidRDefault="00B06B12" w:rsidP="00B06B12">
                  <w:pPr>
                    <w:autoSpaceDE w:val="0"/>
                    <w:autoSpaceDN w:val="0"/>
                    <w:adjustRightInd w:val="0"/>
                    <w:jc w:val="center"/>
                    <w:rPr>
                      <w:rFonts w:eastAsia="Arial" w:cs="Arial"/>
                      <w:sz w:val="20"/>
                      <w:szCs w:val="20"/>
                    </w:rPr>
                  </w:pPr>
                  <w:r w:rsidRPr="00B06B12">
                    <w:rPr>
                      <w:rFonts w:eastAsia="Arial" w:cs="Arial"/>
                      <w:b/>
                      <w:bCs/>
                      <w:sz w:val="20"/>
                      <w:szCs w:val="20"/>
                    </w:rPr>
                    <w:t>$(‘000)</w:t>
                  </w:r>
                </w:p>
              </w:tc>
              <w:tc>
                <w:tcPr>
                  <w:tcW w:w="2610" w:type="dxa"/>
                </w:tcPr>
                <w:p w14:paraId="6A42B099" w14:textId="77777777" w:rsidR="00B06B12" w:rsidRPr="00B06B12" w:rsidRDefault="00B06B12" w:rsidP="00B06B12">
                  <w:pPr>
                    <w:autoSpaceDE w:val="0"/>
                    <w:autoSpaceDN w:val="0"/>
                    <w:adjustRightInd w:val="0"/>
                    <w:jc w:val="center"/>
                    <w:rPr>
                      <w:rFonts w:eastAsia="Arial" w:cs="Arial"/>
                      <w:sz w:val="20"/>
                      <w:szCs w:val="20"/>
                    </w:rPr>
                  </w:pPr>
                  <w:r w:rsidRPr="00B06B12">
                    <w:rPr>
                      <w:rFonts w:eastAsia="Arial" w:cs="Arial"/>
                      <w:b/>
                      <w:bCs/>
                      <w:sz w:val="20"/>
                      <w:szCs w:val="20"/>
                    </w:rPr>
                    <w:t>$(‘000)</w:t>
                  </w:r>
                </w:p>
              </w:tc>
            </w:tr>
            <w:tr w:rsidR="00B06B12" w:rsidRPr="00B06B12" w14:paraId="6F4520A6" w14:textId="77777777" w:rsidTr="00DC276A">
              <w:tc>
                <w:tcPr>
                  <w:tcW w:w="3223" w:type="dxa"/>
                </w:tcPr>
                <w:p w14:paraId="41D2B1D2"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sz w:val="20"/>
                      <w:szCs w:val="20"/>
                    </w:rPr>
                    <w:t>Total assets</w:t>
                  </w:r>
                </w:p>
              </w:tc>
              <w:tc>
                <w:tcPr>
                  <w:tcW w:w="2520" w:type="dxa"/>
                </w:tcPr>
                <w:p w14:paraId="4AFC9024"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2610" w:type="dxa"/>
                </w:tcPr>
                <w:p w14:paraId="5632A086"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r>
            <w:tr w:rsidR="00B06B12" w:rsidRPr="00B06B12" w14:paraId="0FB84394" w14:textId="77777777" w:rsidTr="00DC276A">
              <w:tc>
                <w:tcPr>
                  <w:tcW w:w="3223" w:type="dxa"/>
                </w:tcPr>
                <w:p w14:paraId="4A0276B1"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sz w:val="20"/>
                      <w:szCs w:val="20"/>
                    </w:rPr>
                    <w:t>Total liabilities</w:t>
                  </w:r>
                </w:p>
              </w:tc>
              <w:tc>
                <w:tcPr>
                  <w:tcW w:w="2520" w:type="dxa"/>
                </w:tcPr>
                <w:p w14:paraId="5B903DD7"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2610" w:type="dxa"/>
                </w:tcPr>
                <w:p w14:paraId="47A13D44"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r>
            <w:tr w:rsidR="00B06B12" w:rsidRPr="00B06B12" w14:paraId="5BC75924" w14:textId="77777777" w:rsidTr="00DC276A">
              <w:tc>
                <w:tcPr>
                  <w:tcW w:w="3223" w:type="dxa"/>
                </w:tcPr>
                <w:p w14:paraId="2B05517E"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sz w:val="20"/>
                      <w:szCs w:val="20"/>
                    </w:rPr>
                    <w:t>Net assets / (liabilities)</w:t>
                  </w:r>
                </w:p>
              </w:tc>
              <w:tc>
                <w:tcPr>
                  <w:tcW w:w="2520" w:type="dxa"/>
                </w:tcPr>
                <w:p w14:paraId="0614289E"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c>
                <w:tcPr>
                  <w:tcW w:w="2610" w:type="dxa"/>
                </w:tcPr>
                <w:p w14:paraId="4E66E0B5" w14:textId="77777777" w:rsidR="00B06B12" w:rsidRPr="00B06B12" w:rsidRDefault="00B06B12" w:rsidP="00B06B12">
                  <w:pPr>
                    <w:autoSpaceDE w:val="0"/>
                    <w:autoSpaceDN w:val="0"/>
                    <w:adjustRightInd w:val="0"/>
                    <w:rPr>
                      <w:rFonts w:eastAsia="Arial" w:cs="Arial"/>
                      <w:sz w:val="20"/>
                      <w:szCs w:val="20"/>
                    </w:rPr>
                  </w:pPr>
                  <w:r w:rsidRPr="00B06B12">
                    <w:rPr>
                      <w:rFonts w:eastAsia="Arial" w:cs="Arial"/>
                      <w:i/>
                      <w:iCs/>
                      <w:color w:val="000000"/>
                      <w:sz w:val="20"/>
                      <w:szCs w:val="20"/>
                    </w:rPr>
                    <w:t>[●]</w:t>
                  </w:r>
                </w:p>
              </w:tc>
            </w:tr>
          </w:tbl>
          <w:p w14:paraId="09B3AEAC" w14:textId="77777777" w:rsidR="00B06B12" w:rsidRPr="00B06B12" w:rsidRDefault="00B06B12" w:rsidP="00B06B12">
            <w:pPr>
              <w:autoSpaceDE w:val="0"/>
              <w:autoSpaceDN w:val="0"/>
              <w:adjustRightInd w:val="0"/>
              <w:rPr>
                <w:rFonts w:ascii="Arial" w:eastAsia="Arial" w:hAnsi="Arial" w:cs="Arial"/>
                <w:sz w:val="20"/>
                <w:szCs w:val="20"/>
              </w:rPr>
            </w:pPr>
          </w:p>
        </w:tc>
        <w:tc>
          <w:tcPr>
            <w:tcW w:w="2070" w:type="dxa"/>
            <w:tcBorders>
              <w:top w:val="single" w:sz="4" w:space="0" w:color="auto"/>
              <w:left w:val="single" w:sz="4" w:space="0" w:color="auto"/>
              <w:bottom w:val="single" w:sz="4" w:space="0" w:color="auto"/>
              <w:right w:val="single" w:sz="4" w:space="0" w:color="auto"/>
            </w:tcBorders>
          </w:tcPr>
          <w:p w14:paraId="4D40A1E0" w14:textId="77777777" w:rsidR="00B06B12" w:rsidRPr="00B06B12" w:rsidRDefault="00B06B12" w:rsidP="00B06B12">
            <w:pPr>
              <w:autoSpaceDE w:val="0"/>
              <w:autoSpaceDN w:val="0"/>
              <w:adjustRightInd w:val="0"/>
              <w:rPr>
                <w:rFonts w:ascii="Arial" w:eastAsia="Arial" w:hAnsi="Arial" w:cs="Arial"/>
                <w:color w:val="000000"/>
                <w:sz w:val="20"/>
                <w:szCs w:val="20"/>
              </w:rPr>
            </w:pPr>
            <w:r w:rsidRPr="00B06B12">
              <w:rPr>
                <w:rFonts w:ascii="Arial" w:eastAsia="Arial" w:hAnsi="Arial" w:cs="Arial"/>
                <w:color w:val="000000"/>
                <w:sz w:val="20"/>
                <w:szCs w:val="20"/>
              </w:rPr>
              <w:lastRenderedPageBreak/>
              <w:t>Refer to the “</w:t>
            </w:r>
            <w:r w:rsidRPr="00B06B12">
              <w:rPr>
                <w:rFonts w:ascii="Arial" w:eastAsia="Arial" w:hAnsi="Arial" w:cs="Arial"/>
                <w:i/>
                <w:iCs/>
                <w:color w:val="000000"/>
                <w:sz w:val="20"/>
                <w:szCs w:val="20"/>
              </w:rPr>
              <w:t>[relevant section]</w:t>
            </w:r>
            <w:r w:rsidRPr="00B06B12">
              <w:rPr>
                <w:rFonts w:ascii="Arial" w:eastAsia="Arial" w:hAnsi="Arial" w:cs="Arial"/>
                <w:color w:val="000000"/>
                <w:sz w:val="20"/>
                <w:szCs w:val="20"/>
              </w:rPr>
              <w:t xml:space="preserve">” on page(s)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of the Offer document for more information on our financial performance and position. </w:t>
            </w:r>
          </w:p>
        </w:tc>
      </w:tr>
      <w:tr w:rsidR="00B06B12" w:rsidRPr="00B06B12" w14:paraId="16396C43" w14:textId="77777777" w:rsidTr="00DC276A">
        <w:trPr>
          <w:trHeight w:val="1155"/>
        </w:trPr>
        <w:tc>
          <w:tcPr>
            <w:tcW w:w="8640" w:type="dxa"/>
            <w:gridSpan w:val="4"/>
            <w:tcBorders>
              <w:top w:val="single" w:sz="4" w:space="0" w:color="auto"/>
              <w:left w:val="single" w:sz="4" w:space="0" w:color="auto"/>
              <w:bottom w:val="single" w:sz="4" w:space="0" w:color="auto"/>
              <w:right w:val="single" w:sz="4" w:space="0" w:color="auto"/>
            </w:tcBorders>
          </w:tcPr>
          <w:p w14:paraId="5A5B8F94"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 xml:space="preserve">The most significant factors contributing to our financial performance over the last two completed financial years are as follows: </w:t>
            </w:r>
          </w:p>
          <w:p w14:paraId="059FF54A" w14:textId="77777777" w:rsidR="00B06B12" w:rsidRPr="00B06B12" w:rsidRDefault="00B06B12" w:rsidP="00755725">
            <w:pPr>
              <w:numPr>
                <w:ilvl w:val="0"/>
                <w:numId w:val="94"/>
              </w:numPr>
              <w:autoSpaceDE w:val="0"/>
              <w:autoSpaceDN w:val="0"/>
              <w:adjustRightInd w:val="0"/>
              <w:rPr>
                <w:rFonts w:ascii="Arial" w:eastAsia="Arial" w:hAnsi="Arial" w:cs="Arial"/>
                <w:color w:val="000000"/>
                <w:sz w:val="20"/>
                <w:szCs w:val="20"/>
              </w:rPr>
            </w:pPr>
            <w:r w:rsidRPr="00B06B12">
              <w:rPr>
                <w:rFonts w:ascii="Arial" w:eastAsia="Arial" w:hAnsi="Arial" w:cs="Arial"/>
                <w:color w:val="000000"/>
                <w:sz w:val="20"/>
                <w:szCs w:val="20"/>
              </w:rPr>
              <w:t xml:space="preserve">Our revenue for </w:t>
            </w:r>
            <w:r w:rsidRPr="00B06B12">
              <w:rPr>
                <w:rFonts w:ascii="Arial" w:eastAsia="Arial" w:hAnsi="Arial" w:cs="Arial"/>
                <w:i/>
                <w:iCs/>
                <w:color w:val="000000"/>
                <w:sz w:val="20"/>
                <w:szCs w:val="20"/>
              </w:rPr>
              <w:t>[year]</w:t>
            </w:r>
            <w:r w:rsidRPr="00B06B12">
              <w:rPr>
                <w:rFonts w:ascii="Arial" w:eastAsia="Arial" w:hAnsi="Arial" w:cs="Arial"/>
                <w:color w:val="000000"/>
                <w:sz w:val="20"/>
                <w:szCs w:val="20"/>
              </w:rPr>
              <w:t xml:space="preserve"> increased by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million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due to an increase in sales volume contributed by our introduction of our new product in </w:t>
            </w:r>
            <w:r w:rsidRPr="00B06B12">
              <w:rPr>
                <w:rFonts w:ascii="Arial" w:eastAsia="Arial" w:hAnsi="Arial" w:cs="Arial"/>
                <w:i/>
                <w:iCs/>
                <w:color w:val="000000"/>
                <w:sz w:val="20"/>
                <w:szCs w:val="20"/>
              </w:rPr>
              <w:t>[year]</w:t>
            </w:r>
            <w:r w:rsidRPr="00B06B12">
              <w:rPr>
                <w:rFonts w:ascii="Arial" w:eastAsia="Arial" w:hAnsi="Arial" w:cs="Arial"/>
                <w:color w:val="000000"/>
                <w:sz w:val="20"/>
                <w:szCs w:val="20"/>
              </w:rPr>
              <w:t xml:space="preserve">. </w:t>
            </w:r>
          </w:p>
          <w:p w14:paraId="6491C729" w14:textId="77777777" w:rsidR="00B06B12" w:rsidRPr="00B06B12" w:rsidRDefault="00B06B12" w:rsidP="00755725">
            <w:pPr>
              <w:numPr>
                <w:ilvl w:val="0"/>
                <w:numId w:val="94"/>
              </w:numPr>
              <w:autoSpaceDE w:val="0"/>
              <w:autoSpaceDN w:val="0"/>
              <w:adjustRightInd w:val="0"/>
              <w:rPr>
                <w:rFonts w:ascii="Arial" w:eastAsia="Arial" w:hAnsi="Arial" w:cs="Arial"/>
                <w:color w:val="000000"/>
                <w:sz w:val="20"/>
                <w:szCs w:val="20"/>
              </w:rPr>
            </w:pPr>
            <w:r w:rsidRPr="00B06B12">
              <w:rPr>
                <w:rFonts w:ascii="Arial" w:eastAsia="Arial" w:hAnsi="Arial" w:cs="Arial"/>
                <w:color w:val="000000"/>
                <w:sz w:val="20"/>
                <w:szCs w:val="20"/>
              </w:rPr>
              <w:t xml:space="preserve">Our net profit from operations in </w:t>
            </w:r>
            <w:r w:rsidRPr="00B06B12">
              <w:rPr>
                <w:rFonts w:ascii="Arial" w:eastAsia="Arial" w:hAnsi="Arial" w:cs="Arial"/>
                <w:i/>
                <w:iCs/>
                <w:color w:val="000000"/>
                <w:sz w:val="20"/>
                <w:szCs w:val="20"/>
              </w:rPr>
              <w:t>[year]</w:t>
            </w:r>
            <w:r w:rsidRPr="00B06B12">
              <w:rPr>
                <w:rFonts w:ascii="Arial" w:eastAsia="Arial" w:hAnsi="Arial" w:cs="Arial"/>
                <w:color w:val="000000"/>
                <w:sz w:val="20"/>
                <w:szCs w:val="20"/>
              </w:rPr>
              <w:t xml:space="preserve"> was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million, which is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higher than our net profit from operations of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million in </w:t>
            </w:r>
            <w:r w:rsidRPr="00B06B12">
              <w:rPr>
                <w:rFonts w:ascii="Arial" w:eastAsia="Arial" w:hAnsi="Arial" w:cs="Arial"/>
                <w:i/>
                <w:iCs/>
                <w:color w:val="000000"/>
                <w:sz w:val="20"/>
                <w:szCs w:val="20"/>
              </w:rPr>
              <w:t>[year]</w:t>
            </w:r>
            <w:r w:rsidRPr="00B06B12">
              <w:rPr>
                <w:rFonts w:ascii="Arial" w:eastAsia="Arial" w:hAnsi="Arial" w:cs="Arial"/>
                <w:color w:val="000000"/>
                <w:sz w:val="20"/>
                <w:szCs w:val="20"/>
              </w:rPr>
              <w:t>. This was mainly attributable to lower finance costs of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million due to lower interest rates and lower loan principals. </w:t>
            </w:r>
          </w:p>
          <w:p w14:paraId="47926156" w14:textId="77777777" w:rsidR="00B06B12" w:rsidRPr="00B06B12" w:rsidRDefault="00B06B12" w:rsidP="00755725">
            <w:pPr>
              <w:numPr>
                <w:ilvl w:val="0"/>
                <w:numId w:val="94"/>
              </w:numPr>
              <w:autoSpaceDE w:val="0"/>
              <w:autoSpaceDN w:val="0"/>
              <w:adjustRightInd w:val="0"/>
              <w:rPr>
                <w:rFonts w:ascii="Arial" w:eastAsia="Arial" w:hAnsi="Arial" w:cs="Arial"/>
                <w:color w:val="000000"/>
                <w:sz w:val="20"/>
                <w:szCs w:val="20"/>
              </w:rPr>
            </w:pPr>
            <w:r w:rsidRPr="00B06B12">
              <w:rPr>
                <w:rFonts w:ascii="Arial" w:eastAsia="Arial" w:hAnsi="Arial" w:cs="Arial"/>
                <w:color w:val="000000"/>
                <w:sz w:val="20"/>
                <w:szCs w:val="20"/>
              </w:rPr>
              <w:t>Our net cash generated from operating activities decreased by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million from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million in </w:t>
            </w:r>
            <w:r w:rsidRPr="00B06B12">
              <w:rPr>
                <w:rFonts w:ascii="Arial" w:eastAsia="Arial" w:hAnsi="Arial" w:cs="Arial"/>
                <w:i/>
                <w:iCs/>
                <w:color w:val="000000"/>
                <w:sz w:val="20"/>
                <w:szCs w:val="20"/>
              </w:rPr>
              <w:t>[year]</w:t>
            </w:r>
            <w:r w:rsidRPr="00B06B12">
              <w:rPr>
                <w:rFonts w:ascii="Arial" w:eastAsia="Arial" w:hAnsi="Arial" w:cs="Arial"/>
                <w:color w:val="000000"/>
                <w:sz w:val="20"/>
                <w:szCs w:val="20"/>
              </w:rPr>
              <w:t xml:space="preserve"> to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million in </w:t>
            </w:r>
            <w:r w:rsidRPr="00B06B12">
              <w:rPr>
                <w:rFonts w:ascii="Arial" w:eastAsia="Arial" w:hAnsi="Arial" w:cs="Arial"/>
                <w:i/>
                <w:iCs/>
                <w:color w:val="000000"/>
                <w:sz w:val="20"/>
                <w:szCs w:val="20"/>
              </w:rPr>
              <w:t>[year]</w:t>
            </w:r>
            <w:r w:rsidRPr="00B06B12">
              <w:rPr>
                <w:rFonts w:ascii="Arial" w:eastAsia="Arial" w:hAnsi="Arial" w:cs="Arial"/>
                <w:color w:val="000000"/>
                <w:sz w:val="20"/>
                <w:szCs w:val="20"/>
              </w:rPr>
              <w:t xml:space="preserve"> due to an increase in credit sales that contributed to an increase in trade receivables of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million from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million in </w:t>
            </w:r>
            <w:r w:rsidRPr="00B06B12">
              <w:rPr>
                <w:rFonts w:ascii="Arial" w:eastAsia="Arial" w:hAnsi="Arial" w:cs="Arial"/>
                <w:i/>
                <w:iCs/>
                <w:color w:val="000000"/>
                <w:sz w:val="20"/>
                <w:szCs w:val="20"/>
              </w:rPr>
              <w:t>[year]</w:t>
            </w:r>
            <w:r w:rsidRPr="00B06B12">
              <w:rPr>
                <w:rFonts w:ascii="Arial" w:eastAsia="Arial" w:hAnsi="Arial" w:cs="Arial"/>
                <w:color w:val="000000"/>
                <w:sz w:val="20"/>
                <w:szCs w:val="20"/>
              </w:rPr>
              <w:t xml:space="preserve"> to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million in </w:t>
            </w:r>
            <w:r w:rsidRPr="00B06B12">
              <w:rPr>
                <w:rFonts w:ascii="Arial" w:eastAsia="Arial" w:hAnsi="Arial" w:cs="Arial"/>
                <w:i/>
                <w:iCs/>
                <w:color w:val="000000"/>
                <w:sz w:val="20"/>
                <w:szCs w:val="20"/>
              </w:rPr>
              <w:t>[year]</w:t>
            </w:r>
            <w:r w:rsidRPr="00B06B12">
              <w:rPr>
                <w:rFonts w:ascii="Arial" w:eastAsia="Arial" w:hAnsi="Arial" w:cs="Arial"/>
                <w:color w:val="000000"/>
                <w:sz w:val="20"/>
                <w:szCs w:val="20"/>
              </w:rPr>
              <w:t xml:space="preserve">. </w:t>
            </w:r>
          </w:p>
          <w:p w14:paraId="55ACFA3B" w14:textId="77777777" w:rsidR="00B06B12" w:rsidRPr="00B06B12" w:rsidRDefault="00B06B12" w:rsidP="00755725">
            <w:pPr>
              <w:numPr>
                <w:ilvl w:val="0"/>
                <w:numId w:val="94"/>
              </w:numPr>
              <w:autoSpaceDE w:val="0"/>
              <w:autoSpaceDN w:val="0"/>
              <w:adjustRightInd w:val="0"/>
              <w:rPr>
                <w:rFonts w:ascii="Arial" w:eastAsia="Arial" w:hAnsi="Arial" w:cs="Arial"/>
                <w:color w:val="000000"/>
                <w:sz w:val="20"/>
                <w:szCs w:val="20"/>
              </w:rPr>
            </w:pPr>
            <w:r w:rsidRPr="00B06B12">
              <w:rPr>
                <w:rFonts w:ascii="Arial" w:eastAsia="Arial" w:hAnsi="Arial" w:cs="Arial"/>
                <w:color w:val="000000"/>
                <w:sz w:val="20"/>
                <w:szCs w:val="20"/>
              </w:rPr>
              <w:t>Our net assets increased by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million from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million in </w:t>
            </w:r>
            <w:r w:rsidRPr="00B06B12">
              <w:rPr>
                <w:rFonts w:ascii="Arial" w:eastAsia="Arial" w:hAnsi="Arial" w:cs="Arial"/>
                <w:i/>
                <w:iCs/>
                <w:color w:val="000000"/>
                <w:sz w:val="20"/>
                <w:szCs w:val="20"/>
              </w:rPr>
              <w:t>[year]</w:t>
            </w:r>
            <w:r w:rsidRPr="00B06B12">
              <w:rPr>
                <w:rFonts w:ascii="Arial" w:eastAsia="Arial" w:hAnsi="Arial" w:cs="Arial"/>
                <w:color w:val="000000"/>
                <w:sz w:val="20"/>
                <w:szCs w:val="20"/>
              </w:rPr>
              <w:t xml:space="preserve"> to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million in </w:t>
            </w:r>
            <w:r w:rsidRPr="00B06B12">
              <w:rPr>
                <w:rFonts w:ascii="Arial" w:eastAsia="Arial" w:hAnsi="Arial" w:cs="Arial"/>
                <w:i/>
                <w:iCs/>
                <w:color w:val="000000"/>
                <w:sz w:val="20"/>
                <w:szCs w:val="20"/>
              </w:rPr>
              <w:t>[year]</w:t>
            </w:r>
            <w:r w:rsidRPr="00B06B12">
              <w:rPr>
                <w:rFonts w:ascii="Arial" w:eastAsia="Arial" w:hAnsi="Arial" w:cs="Arial"/>
                <w:color w:val="000000"/>
                <w:sz w:val="20"/>
                <w:szCs w:val="20"/>
              </w:rPr>
              <w:t xml:space="preserve"> mainly due to the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million increase in inventories for our new product introduced in </w:t>
            </w:r>
            <w:r w:rsidRPr="00B06B12">
              <w:rPr>
                <w:rFonts w:ascii="Arial" w:eastAsia="Arial" w:hAnsi="Arial" w:cs="Arial"/>
                <w:i/>
                <w:iCs/>
                <w:color w:val="000000"/>
                <w:sz w:val="20"/>
                <w:szCs w:val="20"/>
              </w:rPr>
              <w:t>[year]</w:t>
            </w:r>
            <w:r w:rsidRPr="00B06B12">
              <w:rPr>
                <w:rFonts w:ascii="Arial" w:eastAsia="Arial" w:hAnsi="Arial" w:cs="Arial"/>
                <w:color w:val="000000"/>
                <w:sz w:val="20"/>
                <w:szCs w:val="20"/>
              </w:rPr>
              <w:t xml:space="preserve">. </w:t>
            </w:r>
          </w:p>
          <w:p w14:paraId="6808890A" w14:textId="77777777" w:rsidR="00B06B12" w:rsidRPr="00B06B12" w:rsidRDefault="00B06B12" w:rsidP="00B06B12">
            <w:pPr>
              <w:autoSpaceDE w:val="0"/>
              <w:autoSpaceDN w:val="0"/>
              <w:adjustRightInd w:val="0"/>
              <w:rPr>
                <w:rFonts w:ascii="Arial" w:eastAsia="Arial" w:hAnsi="Arial" w:cs="Arial"/>
                <w:color w:val="000000"/>
                <w:sz w:val="20"/>
                <w:szCs w:val="20"/>
              </w:rPr>
            </w:pPr>
          </w:p>
          <w:p w14:paraId="2A7E3C25" w14:textId="77777777" w:rsidR="00B06B12" w:rsidRPr="00B06B12" w:rsidRDefault="00B06B12" w:rsidP="00B06B12">
            <w:pPr>
              <w:autoSpaceDE w:val="0"/>
              <w:autoSpaceDN w:val="0"/>
              <w:adjustRightInd w:val="0"/>
              <w:jc w:val="both"/>
              <w:rPr>
                <w:rFonts w:ascii="Arial" w:eastAsia="Arial" w:hAnsi="Arial" w:cs="Arial"/>
                <w:b/>
                <w:bCs/>
                <w:sz w:val="20"/>
                <w:szCs w:val="20"/>
              </w:rPr>
            </w:pPr>
            <w:r w:rsidRPr="00B06B12">
              <w:rPr>
                <w:rFonts w:ascii="Arial" w:eastAsia="Arial" w:hAnsi="Arial" w:cs="Arial"/>
                <w:b/>
                <w:bCs/>
                <w:sz w:val="20"/>
                <w:szCs w:val="20"/>
              </w:rPr>
              <w:t>The above factors are not the only factors contributing to our financial performance in FY</w:t>
            </w:r>
            <w:r w:rsidRPr="00B06B12">
              <w:rPr>
                <w:rFonts w:ascii="Arial" w:eastAsia="Arial" w:hAnsi="Arial" w:cs="Arial"/>
                <w:i/>
                <w:iCs/>
                <w:sz w:val="20"/>
                <w:szCs w:val="20"/>
              </w:rPr>
              <w:t>[●]</w:t>
            </w:r>
            <w:r w:rsidRPr="00B06B12">
              <w:rPr>
                <w:rFonts w:ascii="Arial" w:eastAsia="Arial" w:hAnsi="Arial" w:cs="Arial"/>
                <w:sz w:val="20"/>
                <w:szCs w:val="20"/>
              </w:rPr>
              <w:t xml:space="preserve"> </w:t>
            </w:r>
            <w:r w:rsidRPr="00B06B12">
              <w:rPr>
                <w:rFonts w:ascii="Arial" w:eastAsia="Arial" w:hAnsi="Arial" w:cs="Arial"/>
                <w:b/>
                <w:bCs/>
                <w:sz w:val="20"/>
                <w:szCs w:val="20"/>
              </w:rPr>
              <w:t>and FY</w:t>
            </w:r>
            <w:r w:rsidRPr="00B06B12">
              <w:rPr>
                <w:rFonts w:ascii="Arial" w:eastAsia="Arial" w:hAnsi="Arial" w:cs="Arial"/>
                <w:i/>
                <w:iCs/>
                <w:sz w:val="20"/>
                <w:szCs w:val="20"/>
              </w:rPr>
              <w:t>[●]</w:t>
            </w:r>
            <w:r w:rsidRPr="00B06B12">
              <w:rPr>
                <w:rFonts w:ascii="Arial" w:eastAsia="Arial" w:hAnsi="Arial" w:cs="Arial"/>
                <w:b/>
                <w:bCs/>
                <w:sz w:val="20"/>
                <w:szCs w:val="20"/>
              </w:rPr>
              <w:t xml:space="preserve">. Please refer to the other factors set out in pages </w:t>
            </w:r>
            <w:r w:rsidRPr="00B06B12">
              <w:rPr>
                <w:rFonts w:ascii="Arial" w:eastAsia="Arial" w:hAnsi="Arial" w:cs="Arial"/>
                <w:b/>
                <w:bCs/>
                <w:i/>
                <w:iCs/>
                <w:sz w:val="20"/>
                <w:szCs w:val="20"/>
              </w:rPr>
              <w:t>[●]</w:t>
            </w:r>
            <w:r w:rsidRPr="00B06B12">
              <w:rPr>
                <w:rFonts w:ascii="Arial" w:eastAsia="Arial" w:hAnsi="Arial" w:cs="Arial"/>
                <w:b/>
                <w:bCs/>
                <w:sz w:val="20"/>
                <w:szCs w:val="20"/>
              </w:rPr>
              <w:t xml:space="preserve"> to </w:t>
            </w:r>
            <w:r w:rsidRPr="00B06B12">
              <w:rPr>
                <w:rFonts w:ascii="Arial" w:eastAsia="Arial" w:hAnsi="Arial" w:cs="Arial"/>
                <w:b/>
                <w:bCs/>
                <w:i/>
                <w:iCs/>
                <w:sz w:val="20"/>
                <w:szCs w:val="20"/>
              </w:rPr>
              <w:t>[●]</w:t>
            </w:r>
            <w:r w:rsidRPr="00B06B12">
              <w:rPr>
                <w:rFonts w:ascii="Arial" w:eastAsia="Arial" w:hAnsi="Arial" w:cs="Arial"/>
                <w:b/>
                <w:bCs/>
                <w:sz w:val="20"/>
                <w:szCs w:val="20"/>
              </w:rPr>
              <w:t xml:space="preserve"> of the Offer document. </w:t>
            </w:r>
          </w:p>
          <w:p w14:paraId="47D6266A" w14:textId="77777777" w:rsidR="00B06B12" w:rsidRPr="00B06B12" w:rsidRDefault="00B06B12" w:rsidP="00B06B12">
            <w:pPr>
              <w:autoSpaceDE w:val="0"/>
              <w:autoSpaceDN w:val="0"/>
              <w:adjustRightInd w:val="0"/>
              <w:rPr>
                <w:rFonts w:ascii="Arial" w:eastAsia="Arial" w:hAnsi="Arial" w:cs="Arial"/>
                <w:sz w:val="20"/>
                <w:szCs w:val="20"/>
              </w:rPr>
            </w:pPr>
          </w:p>
        </w:tc>
        <w:tc>
          <w:tcPr>
            <w:tcW w:w="2070" w:type="dxa"/>
            <w:tcBorders>
              <w:top w:val="single" w:sz="4" w:space="0" w:color="auto"/>
              <w:left w:val="single" w:sz="4" w:space="0" w:color="auto"/>
              <w:bottom w:val="single" w:sz="4" w:space="0" w:color="auto"/>
              <w:right w:val="single" w:sz="4" w:space="0" w:color="auto"/>
            </w:tcBorders>
          </w:tcPr>
          <w:p w14:paraId="7D8C9B94" w14:textId="77777777" w:rsidR="00B06B12" w:rsidRPr="00B06B12" w:rsidRDefault="00B06B12" w:rsidP="00B06B12">
            <w:pPr>
              <w:autoSpaceDE w:val="0"/>
              <w:autoSpaceDN w:val="0"/>
              <w:adjustRightInd w:val="0"/>
              <w:rPr>
                <w:rFonts w:ascii="Arial" w:eastAsia="Arial" w:hAnsi="Arial" w:cs="Arial"/>
                <w:color w:val="000000"/>
                <w:sz w:val="20"/>
                <w:szCs w:val="20"/>
              </w:rPr>
            </w:pPr>
          </w:p>
        </w:tc>
      </w:tr>
      <w:tr w:rsidR="00B06B12" w:rsidRPr="00B06B12" w14:paraId="3FEC85FA" w14:textId="77777777" w:rsidTr="00B06B12">
        <w:trPr>
          <w:trHeight w:val="584"/>
        </w:trPr>
        <w:tc>
          <w:tcPr>
            <w:tcW w:w="10710" w:type="dxa"/>
            <w:gridSpan w:val="5"/>
            <w:tcBorders>
              <w:top w:val="single" w:sz="4" w:space="0" w:color="auto"/>
              <w:left w:val="single" w:sz="4" w:space="0" w:color="auto"/>
              <w:bottom w:val="single" w:sz="4" w:space="0" w:color="auto"/>
              <w:right w:val="single" w:sz="4" w:space="0" w:color="auto"/>
            </w:tcBorders>
            <w:shd w:val="clear" w:color="auto" w:fill="8E9080"/>
            <w:vAlign w:val="center"/>
          </w:tcPr>
          <w:p w14:paraId="33FB049B" w14:textId="77777777" w:rsidR="00B06B12" w:rsidRPr="00B06B12" w:rsidRDefault="00B06B12" w:rsidP="00B06B12">
            <w:pPr>
              <w:autoSpaceDE w:val="0"/>
              <w:autoSpaceDN w:val="0"/>
              <w:adjustRightInd w:val="0"/>
              <w:jc w:val="center"/>
              <w:rPr>
                <w:rFonts w:ascii="Arial" w:eastAsia="Arial" w:hAnsi="Arial" w:cs="Arial"/>
                <w:color w:val="000000"/>
              </w:rPr>
            </w:pPr>
            <w:r w:rsidRPr="00B06B12">
              <w:rPr>
                <w:rFonts w:ascii="Arial" w:eastAsia="Arial" w:hAnsi="Arial" w:cs="Arial"/>
                <w:b/>
                <w:bCs/>
                <w:color w:val="000000"/>
                <w:sz w:val="22"/>
                <w:szCs w:val="22"/>
              </w:rPr>
              <w:t>INVESTMENT HIGHLIGHTS</w:t>
            </w:r>
          </w:p>
        </w:tc>
      </w:tr>
      <w:tr w:rsidR="00B06B12" w:rsidRPr="00B06B12" w14:paraId="7B6F81E1" w14:textId="77777777" w:rsidTr="00B06B12">
        <w:trPr>
          <w:trHeight w:val="584"/>
        </w:trPr>
        <w:tc>
          <w:tcPr>
            <w:tcW w:w="10710" w:type="dxa"/>
            <w:gridSpan w:val="5"/>
            <w:tcBorders>
              <w:top w:val="single" w:sz="4" w:space="0" w:color="auto"/>
              <w:left w:val="single" w:sz="4" w:space="0" w:color="auto"/>
              <w:bottom w:val="single" w:sz="4" w:space="0" w:color="auto"/>
              <w:right w:val="single" w:sz="4" w:space="0" w:color="auto"/>
            </w:tcBorders>
            <w:shd w:val="clear" w:color="auto" w:fill="004966"/>
            <w:vAlign w:val="center"/>
          </w:tcPr>
          <w:p w14:paraId="6FDC8F39" w14:textId="77777777" w:rsidR="00B06B12" w:rsidRPr="00B06B12" w:rsidRDefault="00B06B12" w:rsidP="00B06B12">
            <w:pPr>
              <w:autoSpaceDE w:val="0"/>
              <w:autoSpaceDN w:val="0"/>
              <w:adjustRightInd w:val="0"/>
              <w:jc w:val="center"/>
              <w:rPr>
                <w:rFonts w:ascii="Arial" w:eastAsia="Arial" w:hAnsi="Arial" w:cs="Arial"/>
              </w:rPr>
            </w:pPr>
            <w:r w:rsidRPr="00B06B12">
              <w:rPr>
                <w:rFonts w:ascii="Arial" w:eastAsia="Arial" w:hAnsi="Arial" w:cs="Arial"/>
                <w:b/>
                <w:bCs/>
                <w:sz w:val="22"/>
                <w:szCs w:val="22"/>
              </w:rPr>
              <w:t xml:space="preserve">WHAT ARE OUR BUSINESS STRATEGIES AND FUTURE PLANS? </w:t>
            </w:r>
          </w:p>
        </w:tc>
      </w:tr>
      <w:tr w:rsidR="00B06B12" w:rsidRPr="00B06B12" w14:paraId="47C5D0E2" w14:textId="77777777" w:rsidTr="00DC276A">
        <w:trPr>
          <w:trHeight w:val="1155"/>
        </w:trPr>
        <w:tc>
          <w:tcPr>
            <w:tcW w:w="8640" w:type="dxa"/>
            <w:gridSpan w:val="4"/>
            <w:tcBorders>
              <w:top w:val="single" w:sz="4" w:space="0" w:color="auto"/>
              <w:left w:val="single" w:sz="4" w:space="0" w:color="auto"/>
              <w:bottom w:val="single" w:sz="4" w:space="0" w:color="auto"/>
              <w:right w:val="single" w:sz="4" w:space="0" w:color="auto"/>
            </w:tcBorders>
          </w:tcPr>
          <w:p w14:paraId="7FD67E75" w14:textId="77777777" w:rsidR="00B06B12" w:rsidRPr="00B06B12" w:rsidRDefault="00B06B12" w:rsidP="00B06B12">
            <w:pPr>
              <w:autoSpaceDE w:val="0"/>
              <w:autoSpaceDN w:val="0"/>
              <w:adjustRightInd w:val="0"/>
              <w:rPr>
                <w:rFonts w:ascii="Arial" w:eastAsia="Arial" w:hAnsi="Arial" w:cs="Arial"/>
                <w:i/>
                <w:iCs/>
                <w:color w:val="000000"/>
                <w:sz w:val="20"/>
                <w:szCs w:val="20"/>
              </w:rPr>
            </w:pPr>
            <w:r w:rsidRPr="00B06B12">
              <w:rPr>
                <w:rFonts w:ascii="Arial" w:eastAsia="Arial" w:hAnsi="Arial" w:cs="Arial"/>
                <w:i/>
                <w:iCs/>
                <w:color w:val="000000"/>
                <w:sz w:val="20"/>
                <w:szCs w:val="20"/>
              </w:rPr>
              <w:t xml:space="preserve">[Briefly describe the Issuer’s or the Group’s (as the case may be) key strategies and future plans for the development of its business] </w:t>
            </w:r>
          </w:p>
          <w:p w14:paraId="62BE5A18" w14:textId="77777777" w:rsidR="00B06B12" w:rsidRPr="00B06B12" w:rsidRDefault="00B06B12" w:rsidP="00B06B12">
            <w:pPr>
              <w:autoSpaceDE w:val="0"/>
              <w:autoSpaceDN w:val="0"/>
              <w:adjustRightInd w:val="0"/>
              <w:rPr>
                <w:rFonts w:ascii="Arial" w:eastAsia="Arial" w:hAnsi="Arial" w:cs="Arial"/>
                <w:color w:val="000000"/>
                <w:sz w:val="20"/>
                <w:szCs w:val="20"/>
              </w:rPr>
            </w:pPr>
          </w:p>
          <w:p w14:paraId="3B9333D8" w14:textId="77777777" w:rsidR="00B06B12" w:rsidRPr="00B06B12" w:rsidRDefault="00B06B12" w:rsidP="00B06B12">
            <w:pPr>
              <w:autoSpaceDE w:val="0"/>
              <w:autoSpaceDN w:val="0"/>
              <w:adjustRightInd w:val="0"/>
              <w:rPr>
                <w:rFonts w:ascii="Arial" w:eastAsia="Arial" w:hAnsi="Arial" w:cs="Arial"/>
                <w:b/>
                <w:bCs/>
                <w:color w:val="000000"/>
                <w:sz w:val="20"/>
                <w:szCs w:val="20"/>
              </w:rPr>
            </w:pPr>
            <w:r w:rsidRPr="00B06B12">
              <w:rPr>
                <w:rFonts w:ascii="Arial" w:eastAsia="Arial" w:hAnsi="Arial" w:cs="Arial"/>
                <w:b/>
                <w:bCs/>
                <w:color w:val="000000"/>
                <w:sz w:val="20"/>
                <w:szCs w:val="20"/>
              </w:rPr>
              <w:t xml:space="preserve">Example: </w:t>
            </w:r>
          </w:p>
          <w:p w14:paraId="1938B93E" w14:textId="77777777" w:rsidR="00B06B12" w:rsidRPr="00B06B12" w:rsidRDefault="00B06B12" w:rsidP="00B06B12">
            <w:pPr>
              <w:autoSpaceDE w:val="0"/>
              <w:autoSpaceDN w:val="0"/>
              <w:adjustRightInd w:val="0"/>
              <w:rPr>
                <w:rFonts w:ascii="Arial" w:eastAsia="Arial" w:hAnsi="Arial" w:cs="Arial"/>
                <w:color w:val="000000"/>
                <w:sz w:val="20"/>
                <w:szCs w:val="20"/>
              </w:rPr>
            </w:pPr>
          </w:p>
          <w:p w14:paraId="302735D9" w14:textId="77777777" w:rsidR="00B06B12" w:rsidRPr="00B06B12" w:rsidRDefault="00B06B12" w:rsidP="00B06B12">
            <w:pPr>
              <w:autoSpaceDE w:val="0"/>
              <w:autoSpaceDN w:val="0"/>
              <w:adjustRightInd w:val="0"/>
              <w:rPr>
                <w:rFonts w:ascii="Arial" w:eastAsia="Arial" w:hAnsi="Arial" w:cs="Arial"/>
                <w:color w:val="000000"/>
                <w:sz w:val="20"/>
                <w:szCs w:val="20"/>
              </w:rPr>
            </w:pPr>
            <w:r w:rsidRPr="00B06B12">
              <w:rPr>
                <w:rFonts w:ascii="Arial" w:eastAsia="Arial" w:hAnsi="Arial" w:cs="Arial"/>
                <w:b/>
                <w:bCs/>
                <w:color w:val="000000"/>
                <w:sz w:val="20"/>
                <w:szCs w:val="20"/>
              </w:rPr>
              <w:t xml:space="preserve">Key Strategies and Future Plans </w:t>
            </w:r>
          </w:p>
          <w:p w14:paraId="6B4993C1" w14:textId="77777777" w:rsidR="00B06B12" w:rsidRPr="00B06B12" w:rsidRDefault="00B06B12" w:rsidP="00B06B12">
            <w:pPr>
              <w:autoSpaceDE w:val="0"/>
              <w:autoSpaceDN w:val="0"/>
              <w:adjustRightInd w:val="0"/>
              <w:rPr>
                <w:rFonts w:ascii="Arial" w:eastAsia="Arial" w:hAnsi="Arial" w:cs="Arial"/>
                <w:color w:val="000000"/>
                <w:sz w:val="20"/>
                <w:szCs w:val="20"/>
              </w:rPr>
            </w:pPr>
          </w:p>
          <w:p w14:paraId="00B64FB9"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 xml:space="preserve">We have a well-established brand name in </w:t>
            </w:r>
            <w:r w:rsidRPr="00B06B12">
              <w:rPr>
                <w:rFonts w:ascii="Arial" w:eastAsia="Arial" w:hAnsi="Arial" w:cs="Arial"/>
                <w:i/>
                <w:iCs/>
                <w:color w:val="000000"/>
                <w:sz w:val="20"/>
                <w:szCs w:val="20"/>
              </w:rPr>
              <w:t>[country]</w:t>
            </w:r>
            <w:r w:rsidRPr="00B06B12">
              <w:rPr>
                <w:rFonts w:ascii="Arial" w:eastAsia="Arial" w:hAnsi="Arial" w:cs="Arial"/>
                <w:color w:val="000000"/>
                <w:sz w:val="20"/>
                <w:szCs w:val="20"/>
              </w:rPr>
              <w:t xml:space="preserve"> and we are recognised as the leading manufacturing company of </w:t>
            </w:r>
            <w:r w:rsidRPr="00B06B12">
              <w:rPr>
                <w:rFonts w:ascii="Arial" w:eastAsia="Arial" w:hAnsi="Arial" w:cs="Arial"/>
                <w:i/>
                <w:iCs/>
                <w:color w:val="000000"/>
                <w:sz w:val="20"/>
                <w:szCs w:val="20"/>
              </w:rPr>
              <w:t>[principal business]</w:t>
            </w:r>
            <w:r w:rsidRPr="00B06B12">
              <w:rPr>
                <w:rFonts w:ascii="Arial" w:eastAsia="Arial" w:hAnsi="Arial" w:cs="Arial"/>
                <w:color w:val="000000"/>
                <w:sz w:val="20"/>
                <w:szCs w:val="20"/>
              </w:rPr>
              <w:t xml:space="preserve"> in </w:t>
            </w:r>
            <w:r w:rsidRPr="00B06B12">
              <w:rPr>
                <w:rFonts w:ascii="Arial" w:eastAsia="Arial" w:hAnsi="Arial" w:cs="Arial"/>
                <w:i/>
                <w:iCs/>
                <w:color w:val="000000"/>
                <w:sz w:val="20"/>
                <w:szCs w:val="20"/>
              </w:rPr>
              <w:t>[country]</w:t>
            </w:r>
            <w:r w:rsidRPr="00B06B12">
              <w:rPr>
                <w:rFonts w:ascii="Arial" w:eastAsia="Arial" w:hAnsi="Arial" w:cs="Arial"/>
                <w:color w:val="000000"/>
                <w:sz w:val="20"/>
                <w:szCs w:val="20"/>
              </w:rPr>
              <w:t xml:space="preserve">. We have a strong management team with over 20 years of experience in the industry and the management team has contributed significantly to our Company’s growth and expansion since our incorporation in </w:t>
            </w:r>
            <w:r w:rsidRPr="00B06B12">
              <w:rPr>
                <w:rFonts w:ascii="Arial" w:eastAsia="Arial" w:hAnsi="Arial" w:cs="Arial"/>
                <w:i/>
                <w:iCs/>
                <w:color w:val="000000"/>
                <w:sz w:val="20"/>
                <w:szCs w:val="20"/>
              </w:rPr>
              <w:t>[year]</w:t>
            </w:r>
            <w:r w:rsidRPr="00B06B12">
              <w:rPr>
                <w:rFonts w:ascii="Arial" w:eastAsia="Arial" w:hAnsi="Arial" w:cs="Arial"/>
                <w:color w:val="000000"/>
                <w:sz w:val="20"/>
                <w:szCs w:val="20"/>
              </w:rPr>
              <w:t xml:space="preserve">. We aim to strengthen our position in this industry and region by expanding our operations to </w:t>
            </w:r>
            <w:r w:rsidRPr="00B06B12">
              <w:rPr>
                <w:rFonts w:ascii="Arial" w:eastAsia="Arial" w:hAnsi="Arial" w:cs="Arial"/>
                <w:i/>
                <w:iCs/>
                <w:color w:val="000000"/>
                <w:sz w:val="20"/>
                <w:szCs w:val="20"/>
              </w:rPr>
              <w:t>[names of countries]</w:t>
            </w:r>
            <w:r w:rsidRPr="00B06B12">
              <w:rPr>
                <w:rFonts w:ascii="Arial" w:eastAsia="Arial" w:hAnsi="Arial" w:cs="Arial"/>
                <w:color w:val="000000"/>
                <w:sz w:val="20"/>
                <w:szCs w:val="20"/>
              </w:rPr>
              <w:t xml:space="preserve"> in the next 3 years. </w:t>
            </w:r>
          </w:p>
          <w:p w14:paraId="6D1D2261" w14:textId="77777777" w:rsidR="00B06B12" w:rsidRPr="00B06B12" w:rsidRDefault="00B06B12" w:rsidP="00B06B12">
            <w:pPr>
              <w:autoSpaceDE w:val="0"/>
              <w:autoSpaceDN w:val="0"/>
              <w:adjustRightInd w:val="0"/>
              <w:rPr>
                <w:rFonts w:ascii="Arial" w:eastAsia="Arial" w:hAnsi="Arial" w:cs="Arial"/>
                <w:sz w:val="20"/>
                <w:szCs w:val="20"/>
              </w:rPr>
            </w:pPr>
          </w:p>
          <w:p w14:paraId="11BCC998" w14:textId="77777777" w:rsidR="00B06B12" w:rsidRPr="00B06B12" w:rsidRDefault="00B06B12" w:rsidP="00B06B12">
            <w:pPr>
              <w:autoSpaceDE w:val="0"/>
              <w:autoSpaceDN w:val="0"/>
              <w:adjustRightInd w:val="0"/>
              <w:jc w:val="both"/>
              <w:rPr>
                <w:rFonts w:ascii="Arial" w:eastAsia="Arial" w:hAnsi="Arial" w:cs="Arial"/>
                <w:i/>
                <w:iCs/>
                <w:sz w:val="20"/>
                <w:szCs w:val="20"/>
              </w:rPr>
            </w:pPr>
            <w:r w:rsidRPr="00B06B12">
              <w:rPr>
                <w:rFonts w:ascii="Arial" w:eastAsia="Arial" w:hAnsi="Arial" w:cs="Arial"/>
                <w:sz w:val="20"/>
                <w:szCs w:val="20"/>
              </w:rPr>
              <w:t xml:space="preserve">We have also recently started a joint venture with </w:t>
            </w:r>
            <w:r w:rsidRPr="00B06B12">
              <w:rPr>
                <w:rFonts w:ascii="Arial" w:eastAsia="Arial" w:hAnsi="Arial" w:cs="Arial"/>
                <w:i/>
                <w:iCs/>
                <w:sz w:val="20"/>
                <w:szCs w:val="20"/>
              </w:rPr>
              <w:t>[name of company]</w:t>
            </w:r>
            <w:r w:rsidRPr="00B06B12">
              <w:rPr>
                <w:rFonts w:ascii="Arial" w:eastAsia="Arial" w:hAnsi="Arial" w:cs="Arial"/>
                <w:sz w:val="20"/>
                <w:szCs w:val="20"/>
              </w:rPr>
              <w:t xml:space="preserve"> to enter into the </w:t>
            </w:r>
            <w:r w:rsidRPr="00B06B12">
              <w:rPr>
                <w:rFonts w:ascii="Arial" w:eastAsia="Arial" w:hAnsi="Arial" w:cs="Arial"/>
                <w:i/>
                <w:iCs/>
                <w:sz w:val="20"/>
                <w:szCs w:val="20"/>
              </w:rPr>
              <w:t>[secondary business]</w:t>
            </w:r>
            <w:r w:rsidRPr="00B06B12">
              <w:rPr>
                <w:rFonts w:ascii="Arial" w:eastAsia="Arial" w:hAnsi="Arial" w:cs="Arial"/>
                <w:sz w:val="20"/>
                <w:szCs w:val="20"/>
              </w:rPr>
              <w:t xml:space="preserve"> market. We believe that there is a growing market for </w:t>
            </w:r>
            <w:r w:rsidRPr="00B06B12">
              <w:rPr>
                <w:rFonts w:ascii="Arial" w:eastAsia="Arial" w:hAnsi="Arial" w:cs="Arial"/>
                <w:i/>
                <w:iCs/>
                <w:sz w:val="20"/>
                <w:szCs w:val="20"/>
              </w:rPr>
              <w:t>[secondary business]</w:t>
            </w:r>
            <w:r w:rsidRPr="00B06B12">
              <w:rPr>
                <w:rFonts w:ascii="Arial" w:eastAsia="Arial" w:hAnsi="Arial" w:cs="Arial"/>
                <w:sz w:val="20"/>
                <w:szCs w:val="20"/>
              </w:rPr>
              <w:t xml:space="preserve"> in </w:t>
            </w:r>
            <w:r w:rsidRPr="00B06B12">
              <w:rPr>
                <w:rFonts w:ascii="Arial" w:eastAsia="Arial" w:hAnsi="Arial" w:cs="Arial"/>
                <w:i/>
                <w:iCs/>
                <w:sz w:val="20"/>
                <w:szCs w:val="20"/>
              </w:rPr>
              <w:t>[country]</w:t>
            </w:r>
            <w:r w:rsidRPr="00B06B12">
              <w:rPr>
                <w:rFonts w:ascii="Arial" w:eastAsia="Arial" w:hAnsi="Arial" w:cs="Arial"/>
                <w:sz w:val="20"/>
                <w:szCs w:val="20"/>
              </w:rPr>
              <w:t xml:space="preserve"> given the changing lifestyles of consumers in </w:t>
            </w:r>
            <w:r w:rsidRPr="00B06B12">
              <w:rPr>
                <w:rFonts w:ascii="Arial" w:eastAsia="Arial" w:hAnsi="Arial" w:cs="Arial"/>
                <w:i/>
                <w:iCs/>
                <w:sz w:val="20"/>
                <w:szCs w:val="20"/>
              </w:rPr>
              <w:t xml:space="preserve">[country]. </w:t>
            </w:r>
          </w:p>
          <w:p w14:paraId="128E8FE2" w14:textId="77777777" w:rsidR="00B06B12" w:rsidRPr="00B06B12" w:rsidRDefault="00B06B12" w:rsidP="00B06B12">
            <w:pPr>
              <w:autoSpaceDE w:val="0"/>
              <w:autoSpaceDN w:val="0"/>
              <w:adjustRightInd w:val="0"/>
              <w:rPr>
                <w:rFonts w:ascii="Arial" w:eastAsia="Arial" w:hAnsi="Arial" w:cs="Arial"/>
                <w:sz w:val="20"/>
                <w:szCs w:val="20"/>
              </w:rPr>
            </w:pPr>
          </w:p>
          <w:p w14:paraId="02328568" w14:textId="77777777" w:rsidR="00B06B12" w:rsidRPr="00B06B12" w:rsidRDefault="00B06B12" w:rsidP="00B06B12">
            <w:pPr>
              <w:autoSpaceDE w:val="0"/>
              <w:autoSpaceDN w:val="0"/>
              <w:adjustRightInd w:val="0"/>
              <w:rPr>
                <w:rFonts w:ascii="Arial" w:eastAsia="Arial" w:hAnsi="Arial" w:cs="Arial"/>
                <w:sz w:val="20"/>
                <w:szCs w:val="20"/>
              </w:rPr>
            </w:pPr>
          </w:p>
          <w:p w14:paraId="67349203" w14:textId="77777777" w:rsidR="00B06B12" w:rsidRPr="00B06B12" w:rsidRDefault="00B06B12" w:rsidP="00B06B12">
            <w:pPr>
              <w:autoSpaceDE w:val="0"/>
              <w:autoSpaceDN w:val="0"/>
              <w:adjustRightInd w:val="0"/>
              <w:rPr>
                <w:rFonts w:ascii="Arial" w:eastAsia="Arial" w:hAnsi="Arial" w:cs="Arial"/>
                <w:sz w:val="20"/>
                <w:szCs w:val="20"/>
              </w:rPr>
            </w:pPr>
          </w:p>
        </w:tc>
        <w:tc>
          <w:tcPr>
            <w:tcW w:w="2070" w:type="dxa"/>
            <w:tcBorders>
              <w:top w:val="single" w:sz="4" w:space="0" w:color="auto"/>
              <w:left w:val="single" w:sz="4" w:space="0" w:color="auto"/>
              <w:bottom w:val="single" w:sz="4" w:space="0" w:color="auto"/>
              <w:right w:val="single" w:sz="4" w:space="0" w:color="auto"/>
            </w:tcBorders>
          </w:tcPr>
          <w:p w14:paraId="66D275E0" w14:textId="77777777" w:rsidR="00B06B12" w:rsidRPr="00B06B12" w:rsidRDefault="00B06B12" w:rsidP="00B06B12">
            <w:pPr>
              <w:autoSpaceDE w:val="0"/>
              <w:autoSpaceDN w:val="0"/>
              <w:adjustRightInd w:val="0"/>
              <w:rPr>
                <w:rFonts w:ascii="Arial" w:eastAsia="Arial" w:hAnsi="Arial" w:cs="Arial"/>
                <w:color w:val="000000"/>
                <w:sz w:val="20"/>
                <w:szCs w:val="20"/>
              </w:rPr>
            </w:pPr>
            <w:r w:rsidRPr="00B06B12">
              <w:rPr>
                <w:rFonts w:ascii="Arial" w:eastAsia="Arial" w:hAnsi="Arial" w:cs="Arial"/>
                <w:color w:val="000000"/>
                <w:sz w:val="20"/>
                <w:szCs w:val="20"/>
              </w:rPr>
              <w:lastRenderedPageBreak/>
              <w:t>Refer to the “</w:t>
            </w:r>
            <w:r w:rsidRPr="00B06B12">
              <w:rPr>
                <w:rFonts w:ascii="Arial" w:eastAsia="Arial" w:hAnsi="Arial" w:cs="Arial"/>
                <w:i/>
                <w:iCs/>
                <w:color w:val="000000"/>
                <w:sz w:val="20"/>
                <w:szCs w:val="20"/>
              </w:rPr>
              <w:t>[relevant section]</w:t>
            </w:r>
            <w:r w:rsidRPr="00B06B12">
              <w:rPr>
                <w:rFonts w:ascii="Arial" w:eastAsia="Arial" w:hAnsi="Arial" w:cs="Arial"/>
                <w:color w:val="000000"/>
                <w:sz w:val="20"/>
                <w:szCs w:val="20"/>
              </w:rPr>
              <w:t xml:space="preserve">” on page(s)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of the Offer document for more information on our strategies and future plans. </w:t>
            </w:r>
          </w:p>
          <w:p w14:paraId="3300FBBA" w14:textId="77777777" w:rsidR="00B06B12" w:rsidRPr="00B06B12" w:rsidRDefault="00B06B12" w:rsidP="00B06B12">
            <w:pPr>
              <w:autoSpaceDE w:val="0"/>
              <w:autoSpaceDN w:val="0"/>
              <w:adjustRightInd w:val="0"/>
              <w:rPr>
                <w:rFonts w:ascii="Arial" w:eastAsia="Arial" w:hAnsi="Arial" w:cs="Arial"/>
                <w:color w:val="000000"/>
                <w:sz w:val="20"/>
                <w:szCs w:val="20"/>
              </w:rPr>
            </w:pPr>
          </w:p>
        </w:tc>
      </w:tr>
      <w:tr w:rsidR="00B06B12" w:rsidRPr="00B06B12" w14:paraId="7DC6AAA5" w14:textId="77777777" w:rsidTr="00B06B12">
        <w:trPr>
          <w:trHeight w:val="755"/>
        </w:trPr>
        <w:tc>
          <w:tcPr>
            <w:tcW w:w="10710" w:type="dxa"/>
            <w:gridSpan w:val="5"/>
            <w:tcBorders>
              <w:top w:val="single" w:sz="4" w:space="0" w:color="auto"/>
              <w:left w:val="single" w:sz="4" w:space="0" w:color="auto"/>
              <w:bottom w:val="single" w:sz="4" w:space="0" w:color="auto"/>
              <w:right w:val="single" w:sz="4" w:space="0" w:color="auto"/>
            </w:tcBorders>
            <w:shd w:val="clear" w:color="auto" w:fill="004966"/>
            <w:vAlign w:val="center"/>
          </w:tcPr>
          <w:p w14:paraId="0AEB3E6E" w14:textId="77777777" w:rsidR="00B06B12" w:rsidRPr="00B06B12" w:rsidRDefault="00B06B12" w:rsidP="00B06B12">
            <w:pPr>
              <w:autoSpaceDE w:val="0"/>
              <w:autoSpaceDN w:val="0"/>
              <w:adjustRightInd w:val="0"/>
              <w:jc w:val="center"/>
              <w:rPr>
                <w:rFonts w:ascii="Arial" w:eastAsia="Arial" w:hAnsi="Arial" w:cs="Arial"/>
              </w:rPr>
            </w:pPr>
            <w:r w:rsidRPr="00B06B12">
              <w:rPr>
                <w:rFonts w:ascii="Arial" w:eastAsia="Arial" w:hAnsi="Arial" w:cs="Arial"/>
                <w:b/>
                <w:bCs/>
                <w:sz w:val="22"/>
                <w:szCs w:val="22"/>
              </w:rPr>
              <w:t>WHAT ARE THE KEY TRENDS, UNCERTANTIES, DEMANDS, COMMITMENTS OR EVENTS WHICH ARE REASONABLY LIKELY TO HAVE A MATERIAL EFFECT ON US?</w:t>
            </w:r>
          </w:p>
        </w:tc>
      </w:tr>
      <w:tr w:rsidR="00B06B12" w:rsidRPr="00B06B12" w14:paraId="246F0349" w14:textId="77777777" w:rsidTr="00DC276A">
        <w:trPr>
          <w:trHeight w:val="1155"/>
        </w:trPr>
        <w:tc>
          <w:tcPr>
            <w:tcW w:w="8640" w:type="dxa"/>
            <w:gridSpan w:val="4"/>
            <w:tcBorders>
              <w:top w:val="single" w:sz="4" w:space="0" w:color="auto"/>
              <w:left w:val="single" w:sz="4" w:space="0" w:color="auto"/>
              <w:bottom w:val="single" w:sz="4" w:space="0" w:color="auto"/>
              <w:right w:val="single" w:sz="4" w:space="0" w:color="auto"/>
            </w:tcBorders>
          </w:tcPr>
          <w:p w14:paraId="498D6DFB" w14:textId="77777777" w:rsidR="00B06B12" w:rsidRPr="00B06B12" w:rsidRDefault="00B06B12" w:rsidP="00B06B12">
            <w:pPr>
              <w:autoSpaceDE w:val="0"/>
              <w:autoSpaceDN w:val="0"/>
              <w:adjustRightInd w:val="0"/>
              <w:jc w:val="both"/>
              <w:rPr>
                <w:rFonts w:ascii="Arial" w:eastAsia="Arial" w:hAnsi="Arial" w:cs="Arial"/>
                <w:i/>
                <w:iCs/>
                <w:color w:val="000000"/>
                <w:sz w:val="20"/>
                <w:szCs w:val="20"/>
              </w:rPr>
            </w:pPr>
            <w:r w:rsidRPr="00B06B12">
              <w:rPr>
                <w:rFonts w:ascii="Arial" w:eastAsia="Arial" w:hAnsi="Arial" w:cs="Arial"/>
                <w:i/>
                <w:iCs/>
                <w:color w:val="000000"/>
                <w:sz w:val="20"/>
                <w:szCs w:val="20"/>
              </w:rPr>
              <w:t>[Where applicable, briefly discuss, for at least the current financial year, the Issuer’s or the Group’s (as the case may be) business and financial prospects, any significant recent trends in production, sales and inventory, and in the costs and selling prices of products and services, as well as any other known trends, uncertainties, demands, commitments or events that are reasonably likely to have a material effect on the net sales or revenues, profitability, liquidity or capital resources, or that would cause financial information disclosed in the Offer document to be not necessarily indicative of the future operating results or financial condition of the Issuer or the Group (as the case may be). If there are no such trends, uncertainties, demands, commitments or events, provide an appropriate statement to that effect.]</w:t>
            </w:r>
          </w:p>
          <w:p w14:paraId="51C121B4" w14:textId="77777777" w:rsidR="00B06B12" w:rsidRPr="00B06B12" w:rsidRDefault="00B06B12" w:rsidP="00B06B12">
            <w:pPr>
              <w:autoSpaceDE w:val="0"/>
              <w:autoSpaceDN w:val="0"/>
              <w:adjustRightInd w:val="0"/>
              <w:jc w:val="both"/>
              <w:rPr>
                <w:rFonts w:ascii="Arial" w:eastAsia="Arial" w:hAnsi="Arial" w:cs="Arial"/>
                <w:i/>
                <w:iCs/>
                <w:color w:val="000000"/>
                <w:sz w:val="20"/>
                <w:szCs w:val="20"/>
              </w:rPr>
            </w:pPr>
          </w:p>
          <w:p w14:paraId="7936E954" w14:textId="77777777" w:rsidR="00B06B12" w:rsidRPr="00B06B12" w:rsidRDefault="00B06B12" w:rsidP="00B06B12">
            <w:pPr>
              <w:autoSpaceDE w:val="0"/>
              <w:autoSpaceDN w:val="0"/>
              <w:adjustRightInd w:val="0"/>
              <w:jc w:val="both"/>
              <w:rPr>
                <w:rFonts w:ascii="Arial" w:eastAsia="Arial" w:hAnsi="Arial" w:cs="Arial"/>
                <w:b/>
                <w:bCs/>
                <w:color w:val="000000"/>
                <w:sz w:val="20"/>
                <w:szCs w:val="20"/>
              </w:rPr>
            </w:pPr>
            <w:r w:rsidRPr="00B06B12">
              <w:rPr>
                <w:rFonts w:ascii="Arial" w:eastAsia="Arial" w:hAnsi="Arial" w:cs="Arial"/>
                <w:b/>
                <w:bCs/>
                <w:color w:val="000000"/>
                <w:sz w:val="20"/>
                <w:szCs w:val="20"/>
              </w:rPr>
              <w:t xml:space="preserve">Example: </w:t>
            </w:r>
          </w:p>
          <w:p w14:paraId="4AA22DC8"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p>
          <w:p w14:paraId="4AC32BA5"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For the current financial year, our Directors have observed the following trends, uncertainties, demands, commitments or events that are reasonably likely to have a material effect on the net sales or revenues, profitability, liquidity or capital resources of the Group, or that would cause financial information disclosed in the Offer document to be not necessarily indicative of the future operating results or financial condition of the Group:</w:t>
            </w:r>
          </w:p>
          <w:p w14:paraId="3C6E388D"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 xml:space="preserve"> </w:t>
            </w:r>
          </w:p>
          <w:p w14:paraId="6B7C4A5E" w14:textId="77777777" w:rsidR="00B06B12" w:rsidRPr="00B06B12" w:rsidRDefault="00B06B12" w:rsidP="00755725">
            <w:pPr>
              <w:numPr>
                <w:ilvl w:val="0"/>
                <w:numId w:val="95"/>
              </w:num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 xml:space="preserve">the demand for </w:t>
            </w:r>
            <w:r w:rsidRPr="00B06B12">
              <w:rPr>
                <w:rFonts w:ascii="Arial" w:eastAsia="Arial" w:hAnsi="Arial" w:cs="Arial"/>
                <w:i/>
                <w:iCs/>
                <w:color w:val="000000"/>
                <w:sz w:val="20"/>
                <w:szCs w:val="20"/>
              </w:rPr>
              <w:t xml:space="preserve">[activity] </w:t>
            </w:r>
            <w:r w:rsidRPr="00B06B12">
              <w:rPr>
                <w:rFonts w:ascii="Arial" w:eastAsia="Arial" w:hAnsi="Arial" w:cs="Arial"/>
                <w:color w:val="000000"/>
                <w:sz w:val="20"/>
                <w:szCs w:val="20"/>
              </w:rPr>
              <w:t xml:space="preserve">has increased with the recent growth </w:t>
            </w:r>
            <w:r w:rsidRPr="00B06B12">
              <w:rPr>
                <w:rFonts w:ascii="Arial" w:eastAsia="Arial" w:hAnsi="Arial" w:cs="Arial"/>
                <w:i/>
                <w:iCs/>
                <w:color w:val="000000"/>
                <w:sz w:val="20"/>
                <w:szCs w:val="20"/>
              </w:rPr>
              <w:t>[country]</w:t>
            </w:r>
            <w:r w:rsidRPr="00B06B12">
              <w:rPr>
                <w:rFonts w:ascii="Arial" w:eastAsia="Arial" w:hAnsi="Arial" w:cs="Arial"/>
                <w:color w:val="000000"/>
                <w:sz w:val="20"/>
                <w:szCs w:val="20"/>
              </w:rPr>
              <w:t xml:space="preserve">’s economy. We expect our revenue from our </w:t>
            </w:r>
            <w:r w:rsidRPr="00B06B12">
              <w:rPr>
                <w:rFonts w:ascii="Arial" w:eastAsia="Arial" w:hAnsi="Arial" w:cs="Arial"/>
                <w:i/>
                <w:iCs/>
                <w:color w:val="000000"/>
                <w:sz w:val="20"/>
                <w:szCs w:val="20"/>
              </w:rPr>
              <w:t xml:space="preserve">[business segment] </w:t>
            </w:r>
            <w:r w:rsidRPr="00B06B12">
              <w:rPr>
                <w:rFonts w:ascii="Arial" w:eastAsia="Arial" w:hAnsi="Arial" w:cs="Arial"/>
                <w:color w:val="000000"/>
                <w:sz w:val="20"/>
                <w:szCs w:val="20"/>
              </w:rPr>
              <w:t xml:space="preserve">to increase in line with the increase in </w:t>
            </w:r>
            <w:r w:rsidRPr="00B06B12">
              <w:rPr>
                <w:rFonts w:ascii="Arial" w:eastAsia="Arial" w:hAnsi="Arial" w:cs="Arial"/>
                <w:i/>
                <w:iCs/>
                <w:color w:val="000000"/>
                <w:sz w:val="20"/>
                <w:szCs w:val="20"/>
              </w:rPr>
              <w:t>[activity]</w:t>
            </w:r>
            <w:r w:rsidRPr="00B06B12">
              <w:rPr>
                <w:rFonts w:ascii="Arial" w:eastAsia="Arial" w:hAnsi="Arial" w:cs="Arial"/>
                <w:color w:val="000000"/>
                <w:sz w:val="20"/>
                <w:szCs w:val="20"/>
              </w:rPr>
              <w:t>; and</w:t>
            </w:r>
          </w:p>
          <w:p w14:paraId="1A3DED7D" w14:textId="77777777" w:rsidR="00B06B12" w:rsidRPr="00B06B12" w:rsidRDefault="00B06B12" w:rsidP="00B06B12">
            <w:pPr>
              <w:autoSpaceDE w:val="0"/>
              <w:autoSpaceDN w:val="0"/>
              <w:adjustRightInd w:val="0"/>
              <w:ind w:left="720"/>
              <w:jc w:val="both"/>
              <w:rPr>
                <w:rFonts w:ascii="Arial" w:eastAsia="Arial" w:hAnsi="Arial" w:cs="Arial"/>
                <w:color w:val="000000"/>
                <w:sz w:val="20"/>
                <w:szCs w:val="20"/>
              </w:rPr>
            </w:pPr>
          </w:p>
          <w:p w14:paraId="54CC9945" w14:textId="77777777" w:rsidR="00B06B12" w:rsidRPr="00B06B12" w:rsidRDefault="00B06B12" w:rsidP="00755725">
            <w:pPr>
              <w:numPr>
                <w:ilvl w:val="0"/>
                <w:numId w:val="95"/>
              </w:num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 xml:space="preserve">we expect the upward trend in </w:t>
            </w:r>
            <w:r w:rsidRPr="00B06B12">
              <w:rPr>
                <w:rFonts w:ascii="Arial" w:eastAsia="Arial" w:hAnsi="Arial" w:cs="Arial"/>
                <w:i/>
                <w:iCs/>
                <w:color w:val="000000"/>
                <w:sz w:val="20"/>
                <w:szCs w:val="20"/>
              </w:rPr>
              <w:t xml:space="preserve">[activity] </w:t>
            </w:r>
            <w:r w:rsidRPr="00B06B12">
              <w:rPr>
                <w:rFonts w:ascii="Arial" w:eastAsia="Arial" w:hAnsi="Arial" w:cs="Arial"/>
                <w:color w:val="000000"/>
                <w:sz w:val="20"/>
                <w:szCs w:val="20"/>
              </w:rPr>
              <w:t xml:space="preserve">to have a positive impact on the demand for our </w:t>
            </w:r>
            <w:r w:rsidRPr="00B06B12">
              <w:rPr>
                <w:rFonts w:ascii="Arial" w:eastAsia="Arial" w:hAnsi="Arial" w:cs="Arial"/>
                <w:i/>
                <w:iCs/>
                <w:color w:val="000000"/>
                <w:sz w:val="20"/>
                <w:szCs w:val="20"/>
              </w:rPr>
              <w:t>[service]</w:t>
            </w:r>
            <w:r w:rsidRPr="00B06B12">
              <w:rPr>
                <w:rFonts w:ascii="Arial" w:eastAsia="Arial" w:hAnsi="Arial" w:cs="Arial"/>
                <w:color w:val="000000"/>
                <w:sz w:val="20"/>
                <w:szCs w:val="20"/>
              </w:rPr>
              <w:t xml:space="preserve">. </w:t>
            </w:r>
          </w:p>
          <w:p w14:paraId="4820C322"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p>
          <w:p w14:paraId="2BEACBBD"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 xml:space="preserve">Operating costs are also expected to increase together with the increase in the level of </w:t>
            </w:r>
            <w:r w:rsidRPr="00B06B12">
              <w:rPr>
                <w:rFonts w:ascii="Arial" w:eastAsia="Arial" w:hAnsi="Arial" w:cs="Arial"/>
                <w:i/>
                <w:iCs/>
                <w:color w:val="000000"/>
                <w:sz w:val="20"/>
                <w:szCs w:val="20"/>
              </w:rPr>
              <w:t>[activity]</w:t>
            </w:r>
            <w:r w:rsidRPr="00B06B12">
              <w:rPr>
                <w:rFonts w:ascii="Arial" w:eastAsia="Arial" w:hAnsi="Arial" w:cs="Arial"/>
                <w:color w:val="000000"/>
                <w:sz w:val="20"/>
                <w:szCs w:val="20"/>
              </w:rPr>
              <w:t xml:space="preserve">. </w:t>
            </w:r>
          </w:p>
          <w:p w14:paraId="6996EA13" w14:textId="77777777" w:rsidR="00B06B12" w:rsidRPr="00B06B12" w:rsidRDefault="00B06B12" w:rsidP="00B06B12">
            <w:pPr>
              <w:autoSpaceDE w:val="0"/>
              <w:autoSpaceDN w:val="0"/>
              <w:adjustRightInd w:val="0"/>
              <w:jc w:val="both"/>
              <w:rPr>
                <w:rFonts w:ascii="Arial" w:eastAsia="Arial" w:hAnsi="Arial" w:cs="Arial"/>
                <w:b/>
                <w:bCs/>
                <w:color w:val="000000"/>
                <w:sz w:val="20"/>
                <w:szCs w:val="20"/>
              </w:rPr>
            </w:pPr>
          </w:p>
          <w:p w14:paraId="5D9EC1A1"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b/>
                <w:bCs/>
                <w:color w:val="000000"/>
                <w:sz w:val="20"/>
                <w:szCs w:val="20"/>
              </w:rPr>
              <w:t xml:space="preserve">The above are not the only trends, uncertainties, demands, commitments or events that could affect us. Please refer to the other factors set out in pages </w:t>
            </w:r>
            <w:r w:rsidRPr="00B06B12">
              <w:rPr>
                <w:rFonts w:ascii="Arial" w:eastAsia="Arial" w:hAnsi="Arial" w:cs="Arial"/>
                <w:b/>
                <w:bCs/>
                <w:i/>
                <w:iCs/>
                <w:color w:val="000000"/>
                <w:sz w:val="20"/>
                <w:szCs w:val="20"/>
              </w:rPr>
              <w:t>[●]</w:t>
            </w:r>
            <w:r w:rsidRPr="00B06B12">
              <w:rPr>
                <w:rFonts w:ascii="Arial" w:eastAsia="Arial" w:hAnsi="Arial" w:cs="Arial"/>
                <w:b/>
                <w:bCs/>
                <w:color w:val="000000"/>
                <w:sz w:val="20"/>
                <w:szCs w:val="20"/>
              </w:rPr>
              <w:t xml:space="preserve"> to </w:t>
            </w:r>
            <w:r w:rsidRPr="00B06B12">
              <w:rPr>
                <w:rFonts w:ascii="Arial" w:eastAsia="Arial" w:hAnsi="Arial" w:cs="Arial"/>
                <w:b/>
                <w:bCs/>
                <w:i/>
                <w:iCs/>
                <w:color w:val="000000"/>
                <w:sz w:val="20"/>
                <w:szCs w:val="20"/>
              </w:rPr>
              <w:t>[●]</w:t>
            </w:r>
            <w:r w:rsidRPr="00B06B12">
              <w:rPr>
                <w:rFonts w:ascii="Arial" w:eastAsia="Arial" w:hAnsi="Arial" w:cs="Arial"/>
                <w:b/>
                <w:bCs/>
                <w:color w:val="000000"/>
                <w:sz w:val="20"/>
                <w:szCs w:val="20"/>
              </w:rPr>
              <w:t xml:space="preserve"> of the Offer document. </w:t>
            </w:r>
          </w:p>
          <w:p w14:paraId="2E771874" w14:textId="77777777" w:rsidR="00B06B12" w:rsidRPr="00B06B12" w:rsidRDefault="00B06B12" w:rsidP="00B06B12">
            <w:pPr>
              <w:autoSpaceDE w:val="0"/>
              <w:autoSpaceDN w:val="0"/>
              <w:adjustRightInd w:val="0"/>
              <w:rPr>
                <w:rFonts w:ascii="Arial" w:eastAsia="Arial" w:hAnsi="Arial" w:cs="Arial"/>
                <w:sz w:val="20"/>
                <w:szCs w:val="20"/>
              </w:rPr>
            </w:pPr>
          </w:p>
        </w:tc>
        <w:tc>
          <w:tcPr>
            <w:tcW w:w="2070" w:type="dxa"/>
            <w:tcBorders>
              <w:top w:val="single" w:sz="4" w:space="0" w:color="auto"/>
              <w:left w:val="single" w:sz="4" w:space="0" w:color="auto"/>
              <w:bottom w:val="single" w:sz="4" w:space="0" w:color="auto"/>
              <w:right w:val="single" w:sz="4" w:space="0" w:color="auto"/>
            </w:tcBorders>
          </w:tcPr>
          <w:p w14:paraId="29F1E140" w14:textId="77777777" w:rsidR="00B06B12" w:rsidRPr="00B06B12" w:rsidRDefault="00B06B12" w:rsidP="00B06B12">
            <w:pPr>
              <w:autoSpaceDE w:val="0"/>
              <w:autoSpaceDN w:val="0"/>
              <w:adjustRightInd w:val="0"/>
              <w:rPr>
                <w:rFonts w:ascii="Arial" w:eastAsia="Arial" w:hAnsi="Arial" w:cs="Arial"/>
                <w:color w:val="000000"/>
                <w:sz w:val="20"/>
                <w:szCs w:val="20"/>
              </w:rPr>
            </w:pPr>
            <w:r w:rsidRPr="00B06B12">
              <w:rPr>
                <w:rFonts w:ascii="Arial" w:eastAsia="Arial" w:hAnsi="Arial" w:cs="Arial"/>
                <w:color w:val="000000"/>
                <w:sz w:val="20"/>
                <w:szCs w:val="20"/>
              </w:rPr>
              <w:t>Refer to the “</w:t>
            </w:r>
            <w:r w:rsidRPr="00B06B12">
              <w:rPr>
                <w:rFonts w:ascii="Arial" w:eastAsia="Arial" w:hAnsi="Arial" w:cs="Arial"/>
                <w:i/>
                <w:iCs/>
                <w:color w:val="000000"/>
                <w:sz w:val="20"/>
                <w:szCs w:val="20"/>
              </w:rPr>
              <w:t>[relevant section]</w:t>
            </w:r>
            <w:r w:rsidRPr="00B06B12">
              <w:rPr>
                <w:rFonts w:ascii="Arial" w:eastAsia="Arial" w:hAnsi="Arial" w:cs="Arial"/>
                <w:color w:val="000000"/>
                <w:sz w:val="20"/>
                <w:szCs w:val="20"/>
              </w:rPr>
              <w:t xml:space="preserve">” on page(s)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of the Offer document for more information on our business and financial prospects. </w:t>
            </w:r>
          </w:p>
          <w:p w14:paraId="3F5B1630" w14:textId="77777777" w:rsidR="00B06B12" w:rsidRPr="00B06B12" w:rsidRDefault="00B06B12" w:rsidP="00B06B12">
            <w:pPr>
              <w:autoSpaceDE w:val="0"/>
              <w:autoSpaceDN w:val="0"/>
              <w:adjustRightInd w:val="0"/>
              <w:rPr>
                <w:rFonts w:ascii="Arial" w:eastAsia="Arial" w:hAnsi="Arial" w:cs="Arial"/>
                <w:color w:val="000000"/>
                <w:sz w:val="20"/>
                <w:szCs w:val="20"/>
              </w:rPr>
            </w:pPr>
          </w:p>
        </w:tc>
      </w:tr>
      <w:tr w:rsidR="00B06B12" w:rsidRPr="00B06B12" w14:paraId="43D4295E" w14:textId="77777777" w:rsidTr="00B06B12">
        <w:trPr>
          <w:trHeight w:val="1155"/>
        </w:trPr>
        <w:tc>
          <w:tcPr>
            <w:tcW w:w="10710" w:type="dxa"/>
            <w:gridSpan w:val="5"/>
            <w:tcBorders>
              <w:top w:val="single" w:sz="4" w:space="0" w:color="auto"/>
              <w:left w:val="single" w:sz="4" w:space="0" w:color="auto"/>
              <w:bottom w:val="single" w:sz="4" w:space="0" w:color="auto"/>
              <w:right w:val="single" w:sz="4" w:space="0" w:color="auto"/>
            </w:tcBorders>
            <w:shd w:val="clear" w:color="auto" w:fill="004966"/>
            <w:vAlign w:val="center"/>
          </w:tcPr>
          <w:p w14:paraId="51DDC4CF" w14:textId="77777777" w:rsidR="00B06B12" w:rsidRPr="00B06B12" w:rsidRDefault="00B06B12" w:rsidP="00B06B12">
            <w:pPr>
              <w:autoSpaceDE w:val="0"/>
              <w:autoSpaceDN w:val="0"/>
              <w:adjustRightInd w:val="0"/>
              <w:jc w:val="center"/>
              <w:rPr>
                <w:rFonts w:ascii="Arial" w:eastAsia="Arial" w:hAnsi="Arial" w:cs="Arial"/>
                <w:color w:val="000000"/>
              </w:rPr>
            </w:pPr>
            <w:r w:rsidRPr="00B06B12">
              <w:rPr>
                <w:rFonts w:ascii="Arial" w:eastAsia="Arial" w:hAnsi="Arial" w:cs="Arial"/>
                <w:b/>
                <w:bCs/>
                <w:sz w:val="22"/>
                <w:szCs w:val="22"/>
              </w:rPr>
              <w:t>WHAT ARE THE KEY RISKS WHICH HAD MATERIALLY AFFECTED OR COULD MATERIALLY AFFECT US AND YOUR INVESTMENT IN OUR SECURITIES?</w:t>
            </w:r>
          </w:p>
        </w:tc>
      </w:tr>
      <w:tr w:rsidR="00B06B12" w:rsidRPr="00B06B12" w14:paraId="6798A8A5" w14:textId="77777777" w:rsidTr="00DC276A">
        <w:trPr>
          <w:trHeight w:val="1610"/>
        </w:trPr>
        <w:tc>
          <w:tcPr>
            <w:tcW w:w="8640" w:type="dxa"/>
            <w:gridSpan w:val="4"/>
            <w:tcBorders>
              <w:top w:val="single" w:sz="4" w:space="0" w:color="auto"/>
              <w:left w:val="single" w:sz="4" w:space="0" w:color="auto"/>
              <w:bottom w:val="single" w:sz="4" w:space="0" w:color="auto"/>
              <w:right w:val="single" w:sz="4" w:space="0" w:color="auto"/>
            </w:tcBorders>
          </w:tcPr>
          <w:p w14:paraId="3D43D1C4"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i/>
                <w:iCs/>
                <w:color w:val="000000"/>
                <w:sz w:val="20"/>
                <w:szCs w:val="20"/>
              </w:rPr>
              <w:t xml:space="preserve">[Discuss the key risks which the Issuer considers to be the </w:t>
            </w:r>
            <w:r w:rsidRPr="00B06B12">
              <w:rPr>
                <w:rFonts w:ascii="Arial" w:eastAsia="Arial" w:hAnsi="Arial" w:cs="Arial"/>
                <w:b/>
                <w:bCs/>
                <w:i/>
                <w:iCs/>
                <w:color w:val="000000"/>
                <w:sz w:val="20"/>
                <w:szCs w:val="20"/>
              </w:rPr>
              <w:t xml:space="preserve">most important </w:t>
            </w:r>
            <w:r w:rsidRPr="00B06B12">
              <w:rPr>
                <w:rFonts w:ascii="Arial" w:eastAsia="Arial" w:hAnsi="Arial" w:cs="Arial"/>
                <w:i/>
                <w:iCs/>
                <w:color w:val="000000"/>
                <w:sz w:val="20"/>
                <w:szCs w:val="20"/>
              </w:rPr>
              <w:t xml:space="preserve">for the investor when deciding whether or not he should invest in the shares/units being offered, taking into account the possibility of the risk occurring and/or whether the event will have a material adverse impact on the Issuer’s or the Group’s business operations, financial position and results, and the investor’s investment in the shares/units. The Issuer </w:t>
            </w:r>
            <w:r w:rsidRPr="00B06B12">
              <w:rPr>
                <w:rFonts w:ascii="Arial" w:eastAsia="Arial" w:hAnsi="Arial" w:cs="Arial"/>
                <w:b/>
                <w:bCs/>
                <w:i/>
                <w:iCs/>
                <w:color w:val="000000"/>
                <w:sz w:val="20"/>
                <w:szCs w:val="20"/>
              </w:rPr>
              <w:t xml:space="preserve">should not </w:t>
            </w:r>
            <w:r w:rsidRPr="00B06B12">
              <w:rPr>
                <w:rFonts w:ascii="Arial" w:eastAsia="Arial" w:hAnsi="Arial" w:cs="Arial"/>
                <w:i/>
                <w:iCs/>
                <w:color w:val="000000"/>
                <w:sz w:val="20"/>
                <w:szCs w:val="20"/>
              </w:rPr>
              <w:t xml:space="preserve">set out the entire list of risk factors found in the “Risk Factors” section of the Offer document.] </w:t>
            </w:r>
          </w:p>
          <w:p w14:paraId="6DD32524" w14:textId="77777777" w:rsidR="00B06B12" w:rsidRPr="00B06B12" w:rsidRDefault="00B06B12" w:rsidP="00B06B12">
            <w:pPr>
              <w:autoSpaceDE w:val="0"/>
              <w:autoSpaceDN w:val="0"/>
              <w:adjustRightInd w:val="0"/>
              <w:rPr>
                <w:rFonts w:ascii="Arial" w:eastAsia="Arial" w:hAnsi="Arial" w:cs="Arial"/>
                <w:b/>
                <w:bCs/>
                <w:color w:val="000000"/>
                <w:sz w:val="20"/>
                <w:szCs w:val="20"/>
              </w:rPr>
            </w:pPr>
          </w:p>
          <w:p w14:paraId="5844C738" w14:textId="77777777" w:rsidR="00B06B12" w:rsidRPr="00B06B12" w:rsidRDefault="00B06B12" w:rsidP="00B06B12">
            <w:pPr>
              <w:autoSpaceDE w:val="0"/>
              <w:autoSpaceDN w:val="0"/>
              <w:adjustRightInd w:val="0"/>
              <w:rPr>
                <w:rFonts w:ascii="Arial" w:eastAsia="Arial" w:hAnsi="Arial" w:cs="Arial"/>
                <w:b/>
                <w:bCs/>
                <w:color w:val="000000"/>
                <w:sz w:val="20"/>
                <w:szCs w:val="20"/>
              </w:rPr>
            </w:pPr>
            <w:r w:rsidRPr="00B06B12">
              <w:rPr>
                <w:rFonts w:ascii="Arial" w:eastAsia="Arial" w:hAnsi="Arial" w:cs="Arial"/>
                <w:b/>
                <w:bCs/>
                <w:color w:val="000000"/>
                <w:sz w:val="20"/>
                <w:szCs w:val="20"/>
              </w:rPr>
              <w:t xml:space="preserve">Example: </w:t>
            </w:r>
          </w:p>
          <w:p w14:paraId="619B93F9" w14:textId="77777777" w:rsidR="00B06B12" w:rsidRPr="00B06B12" w:rsidRDefault="00B06B12" w:rsidP="00B06B12">
            <w:pPr>
              <w:autoSpaceDE w:val="0"/>
              <w:autoSpaceDN w:val="0"/>
              <w:adjustRightInd w:val="0"/>
              <w:rPr>
                <w:rFonts w:ascii="Arial" w:eastAsia="Arial" w:hAnsi="Arial" w:cs="Arial"/>
                <w:b/>
                <w:bCs/>
                <w:color w:val="000000"/>
                <w:sz w:val="20"/>
                <w:szCs w:val="20"/>
              </w:rPr>
            </w:pPr>
          </w:p>
          <w:p w14:paraId="28888F20" w14:textId="77777777" w:rsidR="00B06B12" w:rsidRPr="00B06B12" w:rsidRDefault="00B06B12" w:rsidP="00B06B12">
            <w:pPr>
              <w:autoSpaceDE w:val="0"/>
              <w:autoSpaceDN w:val="0"/>
              <w:adjustRightInd w:val="0"/>
              <w:rPr>
                <w:rFonts w:ascii="Arial" w:eastAsia="Arial" w:hAnsi="Arial" w:cs="Arial"/>
                <w:b/>
                <w:bCs/>
                <w:color w:val="000000"/>
                <w:sz w:val="20"/>
                <w:szCs w:val="20"/>
              </w:rPr>
            </w:pPr>
            <w:r w:rsidRPr="00B06B12">
              <w:rPr>
                <w:rFonts w:ascii="Arial" w:eastAsia="Arial" w:hAnsi="Arial" w:cs="Arial"/>
                <w:b/>
                <w:bCs/>
                <w:color w:val="000000"/>
                <w:sz w:val="20"/>
                <w:szCs w:val="20"/>
              </w:rPr>
              <w:t xml:space="preserve">KEY RISKS </w:t>
            </w:r>
          </w:p>
          <w:p w14:paraId="19E78609" w14:textId="77777777" w:rsidR="00B06B12" w:rsidRPr="00B06B12" w:rsidRDefault="00B06B12" w:rsidP="00B06B12">
            <w:pPr>
              <w:autoSpaceDE w:val="0"/>
              <w:autoSpaceDN w:val="0"/>
              <w:adjustRightInd w:val="0"/>
              <w:rPr>
                <w:rFonts w:ascii="Arial" w:eastAsia="Arial" w:hAnsi="Arial" w:cs="Arial"/>
                <w:color w:val="000000"/>
                <w:sz w:val="20"/>
                <w:szCs w:val="20"/>
              </w:rPr>
            </w:pPr>
          </w:p>
          <w:p w14:paraId="620DBEB7"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We consider the following to be the most important key risks which had materially affected or could materially affect our business operations, financial position and results, and your investment in our shares.</w:t>
            </w:r>
          </w:p>
          <w:p w14:paraId="445A5C34" w14:textId="77777777" w:rsidR="00B06B12" w:rsidRPr="00B06B12" w:rsidRDefault="00B06B12" w:rsidP="00B06B12">
            <w:pPr>
              <w:autoSpaceDE w:val="0"/>
              <w:autoSpaceDN w:val="0"/>
              <w:adjustRightInd w:val="0"/>
              <w:rPr>
                <w:rFonts w:ascii="Arial" w:eastAsia="Arial" w:hAnsi="Arial" w:cs="Arial"/>
                <w:color w:val="000000"/>
                <w:sz w:val="20"/>
                <w:szCs w:val="20"/>
              </w:rPr>
            </w:pPr>
            <w:r w:rsidRPr="00B06B12">
              <w:rPr>
                <w:rFonts w:ascii="Arial" w:eastAsia="Arial" w:hAnsi="Arial" w:cs="Arial"/>
                <w:color w:val="000000"/>
                <w:sz w:val="20"/>
                <w:szCs w:val="20"/>
              </w:rPr>
              <w:t xml:space="preserve"> </w:t>
            </w:r>
          </w:p>
          <w:p w14:paraId="59901C0B" w14:textId="77777777" w:rsidR="00B06B12" w:rsidRPr="00B06B12" w:rsidRDefault="00B06B12" w:rsidP="00755725">
            <w:pPr>
              <w:numPr>
                <w:ilvl w:val="0"/>
                <w:numId w:val="96"/>
              </w:numPr>
              <w:autoSpaceDE w:val="0"/>
              <w:autoSpaceDN w:val="0"/>
              <w:adjustRightInd w:val="0"/>
              <w:ind w:left="360"/>
              <w:jc w:val="both"/>
              <w:rPr>
                <w:rFonts w:ascii="Arial" w:eastAsia="Arial" w:hAnsi="Arial" w:cs="Arial"/>
                <w:color w:val="000000"/>
                <w:sz w:val="20"/>
                <w:szCs w:val="20"/>
              </w:rPr>
            </w:pPr>
            <w:r w:rsidRPr="00B06B12">
              <w:rPr>
                <w:rFonts w:ascii="Arial" w:eastAsia="Arial" w:hAnsi="Arial" w:cs="Arial"/>
                <w:b/>
                <w:bCs/>
                <w:color w:val="000000"/>
                <w:sz w:val="20"/>
                <w:szCs w:val="20"/>
              </w:rPr>
              <w:lastRenderedPageBreak/>
              <w:t xml:space="preserve">An economic downturn could negatively affect our profitability: </w:t>
            </w:r>
            <w:r w:rsidRPr="00B06B12">
              <w:rPr>
                <w:rFonts w:ascii="Arial" w:eastAsia="Arial" w:hAnsi="Arial" w:cs="Arial"/>
                <w:color w:val="000000"/>
                <w:sz w:val="20"/>
                <w:szCs w:val="20"/>
              </w:rPr>
              <w:t xml:space="preserve">Our industry is exposed to cyclical variations in the general economy and to uncertainty of future economic prospects. Economic downturns could have an adverse impact on overall demand. This would result in a decrease in our sales and earnings. </w:t>
            </w:r>
          </w:p>
          <w:p w14:paraId="0890B415" w14:textId="77777777" w:rsidR="00B06B12" w:rsidRPr="00B06B12" w:rsidRDefault="00B06B12" w:rsidP="00B06B12">
            <w:pPr>
              <w:autoSpaceDE w:val="0"/>
              <w:autoSpaceDN w:val="0"/>
              <w:adjustRightInd w:val="0"/>
              <w:ind w:left="360"/>
              <w:rPr>
                <w:rFonts w:ascii="Arial" w:eastAsia="Arial" w:hAnsi="Arial" w:cs="Arial"/>
                <w:color w:val="000000"/>
                <w:sz w:val="20"/>
                <w:szCs w:val="20"/>
              </w:rPr>
            </w:pPr>
          </w:p>
          <w:p w14:paraId="32593430" w14:textId="77777777" w:rsidR="00B06B12" w:rsidRPr="00B06B12" w:rsidRDefault="00B06B12" w:rsidP="00755725">
            <w:pPr>
              <w:numPr>
                <w:ilvl w:val="0"/>
                <w:numId w:val="96"/>
              </w:numPr>
              <w:autoSpaceDE w:val="0"/>
              <w:autoSpaceDN w:val="0"/>
              <w:adjustRightInd w:val="0"/>
              <w:ind w:left="360"/>
              <w:jc w:val="both"/>
              <w:rPr>
                <w:rFonts w:ascii="Arial" w:eastAsia="Arial" w:hAnsi="Arial" w:cs="Arial"/>
                <w:color w:val="000000"/>
                <w:sz w:val="20"/>
                <w:szCs w:val="20"/>
              </w:rPr>
            </w:pPr>
            <w:r w:rsidRPr="00B06B12">
              <w:rPr>
                <w:rFonts w:ascii="Arial" w:eastAsia="Arial" w:hAnsi="Arial" w:cs="Arial"/>
                <w:b/>
                <w:bCs/>
                <w:color w:val="000000"/>
                <w:sz w:val="20"/>
                <w:szCs w:val="20"/>
              </w:rPr>
              <w:t xml:space="preserve">Our industry is highly competitive: </w:t>
            </w:r>
            <w:r w:rsidRPr="00B06B12">
              <w:rPr>
                <w:rFonts w:ascii="Arial" w:eastAsia="Arial" w:hAnsi="Arial" w:cs="Arial"/>
                <w:color w:val="000000"/>
                <w:sz w:val="20"/>
                <w:szCs w:val="20"/>
              </w:rPr>
              <w:t xml:space="preserve">We compete against numerous businesses and our competitors may be larger and have greater financial resources. We compete for customers, financing, employees and other resources. This creates both strong price and quality competition, which leads to increased costs in the form of marketing and customer services, in addition to price reductions. Our ability to compete effectively depends on several factors, including our market presence, our reputation, our competitors, and general trends in the industry and economy. There is no assurance that we can compete successfully. </w:t>
            </w:r>
          </w:p>
          <w:p w14:paraId="2333F5DF" w14:textId="77777777" w:rsidR="00B06B12" w:rsidRPr="00B06B12" w:rsidRDefault="00B06B12" w:rsidP="00B06B12">
            <w:pPr>
              <w:autoSpaceDE w:val="0"/>
              <w:autoSpaceDN w:val="0"/>
              <w:adjustRightInd w:val="0"/>
              <w:ind w:left="360"/>
              <w:jc w:val="both"/>
              <w:rPr>
                <w:rFonts w:ascii="Arial" w:eastAsia="Arial" w:hAnsi="Arial" w:cs="Arial"/>
                <w:color w:val="000000"/>
                <w:sz w:val="20"/>
                <w:szCs w:val="20"/>
              </w:rPr>
            </w:pPr>
          </w:p>
          <w:p w14:paraId="1B6C3D16" w14:textId="77777777" w:rsidR="00B06B12" w:rsidRPr="00B06B12" w:rsidRDefault="00B06B12" w:rsidP="00755725">
            <w:pPr>
              <w:numPr>
                <w:ilvl w:val="0"/>
                <w:numId w:val="96"/>
              </w:numPr>
              <w:autoSpaceDE w:val="0"/>
              <w:autoSpaceDN w:val="0"/>
              <w:adjustRightInd w:val="0"/>
              <w:ind w:left="360"/>
              <w:jc w:val="both"/>
              <w:rPr>
                <w:rFonts w:ascii="Arial" w:eastAsia="Arial" w:hAnsi="Arial" w:cs="Arial"/>
                <w:color w:val="000000"/>
                <w:sz w:val="20"/>
                <w:szCs w:val="20"/>
              </w:rPr>
            </w:pPr>
            <w:r w:rsidRPr="00B06B12">
              <w:rPr>
                <w:rFonts w:ascii="Arial" w:eastAsia="Arial" w:hAnsi="Arial" w:cs="Arial"/>
                <w:b/>
                <w:bCs/>
                <w:color w:val="000000"/>
                <w:sz w:val="20"/>
                <w:szCs w:val="20"/>
              </w:rPr>
              <w:t xml:space="preserve">A substantial proportion of our revenues is derived from several major customers and loss of their business may seriously impact our financial results: </w:t>
            </w:r>
            <w:r w:rsidRPr="00B06B12">
              <w:rPr>
                <w:rFonts w:ascii="Arial" w:eastAsia="Arial" w:hAnsi="Arial" w:cs="Arial"/>
                <w:color w:val="000000"/>
                <w:sz w:val="20"/>
                <w:szCs w:val="20"/>
              </w:rPr>
              <w:t xml:space="preserve">Our five largest customers accounted for approximately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of our revenues for the year ended </w:t>
            </w:r>
            <w:r w:rsidRPr="00B06B12">
              <w:rPr>
                <w:rFonts w:ascii="Arial" w:eastAsia="Arial" w:hAnsi="Arial" w:cs="Arial"/>
                <w:i/>
                <w:iCs/>
                <w:color w:val="000000"/>
                <w:sz w:val="20"/>
                <w:szCs w:val="20"/>
              </w:rPr>
              <w:t>[year]</w:t>
            </w:r>
            <w:r w:rsidRPr="00B06B12">
              <w:rPr>
                <w:rFonts w:ascii="Arial" w:eastAsia="Arial" w:hAnsi="Arial" w:cs="Arial"/>
                <w:color w:val="000000"/>
                <w:sz w:val="20"/>
                <w:szCs w:val="20"/>
              </w:rPr>
              <w:t xml:space="preserve">, and our ten largest customers accounted for approximately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of our revenues for the year ended </w:t>
            </w:r>
            <w:r w:rsidRPr="00B06B12">
              <w:rPr>
                <w:rFonts w:ascii="Arial" w:eastAsia="Arial" w:hAnsi="Arial" w:cs="Arial"/>
                <w:i/>
                <w:iCs/>
                <w:color w:val="000000"/>
                <w:sz w:val="20"/>
                <w:szCs w:val="20"/>
              </w:rPr>
              <w:t>[year]</w:t>
            </w:r>
            <w:r w:rsidRPr="00B06B12">
              <w:rPr>
                <w:rFonts w:ascii="Arial" w:eastAsia="Arial" w:hAnsi="Arial" w:cs="Arial"/>
                <w:color w:val="000000"/>
                <w:sz w:val="20"/>
                <w:szCs w:val="20"/>
              </w:rPr>
              <w:t xml:space="preserve">. Our revenues may significantly decrease if we lose any of these customers or if our customers reduce their volume of business with us. </w:t>
            </w:r>
          </w:p>
          <w:p w14:paraId="22703D00" w14:textId="77777777" w:rsidR="00B06B12" w:rsidRPr="00B06B12" w:rsidRDefault="00B06B12" w:rsidP="00B06B12">
            <w:pPr>
              <w:autoSpaceDE w:val="0"/>
              <w:autoSpaceDN w:val="0"/>
              <w:adjustRightInd w:val="0"/>
              <w:ind w:left="360"/>
              <w:jc w:val="both"/>
              <w:rPr>
                <w:rFonts w:ascii="Arial" w:eastAsia="Arial" w:hAnsi="Arial" w:cs="Arial"/>
                <w:color w:val="000000"/>
                <w:sz w:val="20"/>
                <w:szCs w:val="20"/>
              </w:rPr>
            </w:pPr>
          </w:p>
          <w:p w14:paraId="46E0F1D5" w14:textId="77777777" w:rsidR="00B06B12" w:rsidRPr="00B06B12" w:rsidRDefault="00B06B12" w:rsidP="00755725">
            <w:pPr>
              <w:numPr>
                <w:ilvl w:val="0"/>
                <w:numId w:val="96"/>
              </w:numPr>
              <w:autoSpaceDE w:val="0"/>
              <w:autoSpaceDN w:val="0"/>
              <w:adjustRightInd w:val="0"/>
              <w:ind w:left="360"/>
              <w:jc w:val="both"/>
              <w:rPr>
                <w:rFonts w:ascii="Arial" w:eastAsia="Arial" w:hAnsi="Arial" w:cs="Arial"/>
                <w:color w:val="000000"/>
                <w:sz w:val="20"/>
                <w:szCs w:val="20"/>
              </w:rPr>
            </w:pPr>
            <w:r w:rsidRPr="00B06B12">
              <w:rPr>
                <w:rFonts w:ascii="Arial" w:eastAsia="Arial" w:hAnsi="Arial" w:cs="Arial"/>
                <w:b/>
                <w:bCs/>
                <w:color w:val="000000"/>
                <w:sz w:val="20"/>
                <w:szCs w:val="20"/>
              </w:rPr>
              <w:t xml:space="preserve">We face risks associated with our business being conducted in </w:t>
            </w:r>
            <w:r w:rsidRPr="00B06B12">
              <w:rPr>
                <w:rFonts w:ascii="Arial" w:eastAsia="Arial" w:hAnsi="Arial" w:cs="Arial"/>
                <w:b/>
                <w:bCs/>
                <w:i/>
                <w:iCs/>
                <w:color w:val="000000"/>
                <w:sz w:val="20"/>
                <w:szCs w:val="20"/>
              </w:rPr>
              <w:t>[country]</w:t>
            </w:r>
            <w:r w:rsidRPr="00B06B12">
              <w:rPr>
                <w:rFonts w:ascii="Arial" w:eastAsia="Arial" w:hAnsi="Arial" w:cs="Arial"/>
                <w:b/>
                <w:bCs/>
                <w:color w:val="000000"/>
                <w:sz w:val="20"/>
                <w:szCs w:val="20"/>
              </w:rPr>
              <w:t xml:space="preserve">: </w:t>
            </w:r>
            <w:r w:rsidRPr="00B06B12">
              <w:rPr>
                <w:rFonts w:ascii="Arial" w:eastAsia="Arial" w:hAnsi="Arial" w:cs="Arial"/>
                <w:color w:val="000000"/>
                <w:sz w:val="20"/>
                <w:szCs w:val="20"/>
              </w:rPr>
              <w:t xml:space="preserve">As most of our operations are conducted in </w:t>
            </w:r>
            <w:r w:rsidRPr="00B06B12">
              <w:rPr>
                <w:rFonts w:ascii="Arial" w:eastAsia="Arial" w:hAnsi="Arial" w:cs="Arial"/>
                <w:i/>
                <w:iCs/>
                <w:color w:val="000000"/>
                <w:sz w:val="20"/>
                <w:szCs w:val="20"/>
              </w:rPr>
              <w:t>[country]</w:t>
            </w:r>
            <w:r w:rsidRPr="00B06B12">
              <w:rPr>
                <w:rFonts w:ascii="Arial" w:eastAsia="Arial" w:hAnsi="Arial" w:cs="Arial"/>
                <w:color w:val="000000"/>
                <w:sz w:val="20"/>
                <w:szCs w:val="20"/>
              </w:rPr>
              <w:t xml:space="preserve">, our business may be adversely affected if we cannot successfully manage inherent risks including: unexpected political or economic developments; fluctuations in foreign currency exchange rates; unfavourable tax consequences; adverse legal or regulatory changes; insufficient protection for intellectual property rights; and complexities relating to currency and capital transfers. </w:t>
            </w:r>
          </w:p>
          <w:p w14:paraId="3EAA4122" w14:textId="77777777" w:rsidR="00B06B12" w:rsidRPr="00B06B12" w:rsidRDefault="00B06B12" w:rsidP="00B06B12">
            <w:pPr>
              <w:autoSpaceDE w:val="0"/>
              <w:autoSpaceDN w:val="0"/>
              <w:adjustRightInd w:val="0"/>
              <w:ind w:left="360"/>
              <w:jc w:val="both"/>
              <w:rPr>
                <w:rFonts w:ascii="Arial" w:eastAsia="Arial" w:hAnsi="Arial" w:cs="Arial"/>
                <w:color w:val="000000"/>
                <w:sz w:val="20"/>
                <w:szCs w:val="20"/>
              </w:rPr>
            </w:pPr>
          </w:p>
          <w:p w14:paraId="24919D81" w14:textId="77777777" w:rsidR="00B06B12" w:rsidRPr="00B06B12" w:rsidRDefault="00B06B12" w:rsidP="00755725">
            <w:pPr>
              <w:numPr>
                <w:ilvl w:val="0"/>
                <w:numId w:val="96"/>
              </w:numPr>
              <w:autoSpaceDE w:val="0"/>
              <w:autoSpaceDN w:val="0"/>
              <w:adjustRightInd w:val="0"/>
              <w:ind w:left="360"/>
              <w:jc w:val="both"/>
              <w:rPr>
                <w:rFonts w:ascii="Arial" w:eastAsia="Arial" w:hAnsi="Arial" w:cs="Arial"/>
                <w:color w:val="000000"/>
                <w:sz w:val="20"/>
                <w:szCs w:val="20"/>
              </w:rPr>
            </w:pPr>
            <w:r w:rsidRPr="00B06B12">
              <w:rPr>
                <w:rFonts w:ascii="Arial" w:eastAsia="Arial" w:hAnsi="Arial" w:cs="Arial"/>
                <w:b/>
                <w:bCs/>
                <w:color w:val="000000"/>
                <w:sz w:val="20"/>
                <w:szCs w:val="20"/>
              </w:rPr>
              <w:t xml:space="preserve">The restrictions on our operating subsidiary’s ability to make payments to us could have a material adverse effect on our ability to fund and operate our business: </w:t>
            </w:r>
            <w:r w:rsidRPr="00B06B12">
              <w:rPr>
                <w:rFonts w:ascii="Arial" w:eastAsia="Arial" w:hAnsi="Arial" w:cs="Arial"/>
                <w:color w:val="000000"/>
                <w:sz w:val="20"/>
                <w:szCs w:val="20"/>
              </w:rPr>
              <w:t xml:space="preserve">We are a holding company and conduct substantially all of our business through our operating subsidiaries in </w:t>
            </w:r>
            <w:r w:rsidRPr="00B06B12">
              <w:rPr>
                <w:rFonts w:ascii="Arial" w:eastAsia="Arial" w:hAnsi="Arial" w:cs="Arial"/>
                <w:i/>
                <w:iCs/>
                <w:color w:val="000000"/>
                <w:sz w:val="20"/>
                <w:szCs w:val="20"/>
              </w:rPr>
              <w:t>[country]</w:t>
            </w:r>
            <w:r w:rsidRPr="00B06B12">
              <w:rPr>
                <w:rFonts w:ascii="Arial" w:eastAsia="Arial" w:hAnsi="Arial" w:cs="Arial"/>
                <w:color w:val="000000"/>
                <w:sz w:val="20"/>
                <w:szCs w:val="20"/>
              </w:rPr>
              <w:t xml:space="preserve">. Accordingly, we will rely on dividends paid by our subsidiaries for our cash needs, including the necessary funds to pay our operating expenses, service any debt we may incur, and pay any dividends that may be declared. The payment of dividends by </w:t>
            </w:r>
            <w:r w:rsidRPr="00B06B12">
              <w:rPr>
                <w:rFonts w:ascii="Arial" w:eastAsia="Arial" w:hAnsi="Arial" w:cs="Arial"/>
                <w:i/>
                <w:iCs/>
                <w:color w:val="000000"/>
                <w:sz w:val="20"/>
                <w:szCs w:val="20"/>
              </w:rPr>
              <w:t>[country]</w:t>
            </w:r>
            <w:r w:rsidRPr="00B06B12">
              <w:rPr>
                <w:rFonts w:ascii="Arial" w:eastAsia="Arial" w:hAnsi="Arial" w:cs="Arial"/>
                <w:color w:val="000000"/>
                <w:sz w:val="20"/>
                <w:szCs w:val="20"/>
              </w:rPr>
              <w:t xml:space="preserve"> entities such as our subsidiaries is subject to limitations in accordance with the rules and regulations of </w:t>
            </w:r>
            <w:r w:rsidRPr="00B06B12">
              <w:rPr>
                <w:rFonts w:ascii="Arial" w:eastAsia="Arial" w:hAnsi="Arial" w:cs="Arial"/>
                <w:i/>
                <w:iCs/>
                <w:color w:val="000000"/>
                <w:sz w:val="20"/>
                <w:szCs w:val="20"/>
              </w:rPr>
              <w:t>[country]</w:t>
            </w:r>
            <w:r w:rsidRPr="00B06B12">
              <w:rPr>
                <w:rFonts w:ascii="Arial" w:eastAsia="Arial" w:hAnsi="Arial" w:cs="Arial"/>
                <w:color w:val="000000"/>
                <w:sz w:val="20"/>
                <w:szCs w:val="20"/>
              </w:rPr>
              <w:t xml:space="preserve">, which may negatively affect our operations and profitability. </w:t>
            </w:r>
          </w:p>
          <w:p w14:paraId="015423C7" w14:textId="77777777" w:rsidR="00B06B12" w:rsidRPr="00B06B12" w:rsidRDefault="00B06B12" w:rsidP="00B06B12">
            <w:pPr>
              <w:autoSpaceDE w:val="0"/>
              <w:autoSpaceDN w:val="0"/>
              <w:adjustRightInd w:val="0"/>
              <w:ind w:left="360"/>
              <w:jc w:val="both"/>
              <w:rPr>
                <w:rFonts w:ascii="Arial" w:eastAsia="Arial" w:hAnsi="Arial" w:cs="Arial"/>
                <w:color w:val="000000"/>
                <w:sz w:val="20"/>
                <w:szCs w:val="20"/>
              </w:rPr>
            </w:pPr>
          </w:p>
          <w:p w14:paraId="13ED2877" w14:textId="77777777" w:rsidR="00B06B12" w:rsidRPr="00B06B12" w:rsidRDefault="00B06B12" w:rsidP="00B06B12">
            <w:pPr>
              <w:jc w:val="both"/>
              <w:rPr>
                <w:rFonts w:ascii="Arial" w:eastAsia="Arial" w:hAnsi="Arial" w:cs="Arial"/>
                <w:b/>
                <w:bCs/>
                <w:sz w:val="20"/>
                <w:szCs w:val="20"/>
              </w:rPr>
            </w:pPr>
            <w:r w:rsidRPr="00B06B12">
              <w:rPr>
                <w:rFonts w:ascii="Arial" w:eastAsia="Arial" w:hAnsi="Arial" w:cs="Arial"/>
                <w:b/>
                <w:bCs/>
                <w:sz w:val="20"/>
                <w:szCs w:val="20"/>
              </w:rPr>
              <w:t>The above are not the only risk factors that had a material effect or could have a material effect on our business operations, financial position and results, and your shares. Refer to “</w:t>
            </w:r>
            <w:r w:rsidRPr="00B06B12">
              <w:rPr>
                <w:rFonts w:ascii="Arial" w:eastAsia="Arial" w:hAnsi="Arial" w:cs="Arial"/>
                <w:b/>
                <w:bCs/>
                <w:i/>
                <w:iCs/>
                <w:sz w:val="20"/>
                <w:szCs w:val="20"/>
              </w:rPr>
              <w:t>[relevant section]</w:t>
            </w:r>
            <w:r w:rsidRPr="00B06B12">
              <w:rPr>
                <w:rFonts w:ascii="Arial" w:eastAsia="Arial" w:hAnsi="Arial" w:cs="Arial"/>
                <w:b/>
                <w:bCs/>
                <w:sz w:val="20"/>
                <w:szCs w:val="20"/>
              </w:rPr>
              <w:t xml:space="preserve">” on page(s) </w:t>
            </w:r>
            <w:r w:rsidRPr="00B06B12">
              <w:rPr>
                <w:rFonts w:ascii="Arial" w:eastAsia="Arial" w:hAnsi="Arial" w:cs="Arial"/>
                <w:b/>
                <w:bCs/>
                <w:i/>
                <w:iCs/>
                <w:sz w:val="20"/>
                <w:szCs w:val="20"/>
              </w:rPr>
              <w:t>[●]</w:t>
            </w:r>
            <w:r w:rsidRPr="00B06B12">
              <w:rPr>
                <w:rFonts w:ascii="Arial" w:eastAsia="Arial" w:hAnsi="Arial" w:cs="Arial"/>
                <w:b/>
                <w:bCs/>
                <w:sz w:val="20"/>
                <w:szCs w:val="20"/>
              </w:rPr>
              <w:t xml:space="preserve"> of the Offer document for a discussion on other risk factors and for more information on the above risk factors. Prior to making a decision to invest in our </w:t>
            </w:r>
            <w:r w:rsidRPr="00B06B12">
              <w:rPr>
                <w:rFonts w:ascii="Arial" w:eastAsia="Arial" w:hAnsi="Arial" w:cs="Arial"/>
                <w:b/>
                <w:bCs/>
                <w:i/>
                <w:iCs/>
                <w:sz w:val="20"/>
                <w:szCs w:val="20"/>
              </w:rPr>
              <w:t>[</w:t>
            </w:r>
            <w:r w:rsidRPr="00B06B12">
              <w:rPr>
                <w:rFonts w:ascii="Arial" w:eastAsia="Arial" w:hAnsi="Arial" w:cs="Arial"/>
                <w:b/>
                <w:bCs/>
                <w:sz w:val="20"/>
                <w:szCs w:val="20"/>
              </w:rPr>
              <w:t>shares/units</w:t>
            </w:r>
            <w:r w:rsidRPr="00B06B12">
              <w:rPr>
                <w:rFonts w:ascii="Arial" w:eastAsia="Arial" w:hAnsi="Arial" w:cs="Arial"/>
                <w:b/>
                <w:bCs/>
                <w:i/>
                <w:iCs/>
                <w:sz w:val="20"/>
                <w:szCs w:val="20"/>
              </w:rPr>
              <w:t>]</w:t>
            </w:r>
            <w:r w:rsidRPr="00B06B12">
              <w:rPr>
                <w:rFonts w:ascii="Arial" w:eastAsia="Arial" w:hAnsi="Arial" w:cs="Arial"/>
                <w:b/>
                <w:bCs/>
                <w:sz w:val="20"/>
                <w:szCs w:val="20"/>
              </w:rPr>
              <w:t xml:space="preserve">, you should consider all the information contained in the Offer document. </w:t>
            </w:r>
          </w:p>
          <w:p w14:paraId="0C36264A" w14:textId="77777777" w:rsidR="00B06B12" w:rsidRPr="00B06B12" w:rsidRDefault="00B06B12" w:rsidP="00B06B12">
            <w:pPr>
              <w:jc w:val="both"/>
              <w:rPr>
                <w:rFonts w:ascii="Arial" w:eastAsia="Arial" w:hAnsi="Arial"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14:paraId="1467A7AF" w14:textId="77777777" w:rsidR="00B06B12" w:rsidRPr="00B06B12" w:rsidRDefault="00B06B12" w:rsidP="00B06B12">
            <w:pPr>
              <w:autoSpaceDE w:val="0"/>
              <w:autoSpaceDN w:val="0"/>
              <w:adjustRightInd w:val="0"/>
              <w:rPr>
                <w:rFonts w:ascii="Arial" w:eastAsia="Arial" w:hAnsi="Arial" w:cs="Arial"/>
                <w:color w:val="000000"/>
                <w:sz w:val="20"/>
                <w:szCs w:val="20"/>
              </w:rPr>
            </w:pPr>
            <w:r w:rsidRPr="00B06B12">
              <w:rPr>
                <w:rFonts w:ascii="Arial" w:eastAsia="Arial" w:hAnsi="Arial" w:cs="Arial"/>
                <w:color w:val="000000"/>
                <w:sz w:val="20"/>
                <w:szCs w:val="20"/>
              </w:rPr>
              <w:lastRenderedPageBreak/>
              <w:t>Refer to the “</w:t>
            </w:r>
            <w:r w:rsidRPr="00B06B12">
              <w:rPr>
                <w:rFonts w:ascii="Arial" w:eastAsia="Arial" w:hAnsi="Arial" w:cs="Arial"/>
                <w:i/>
                <w:iCs/>
                <w:color w:val="000000"/>
                <w:sz w:val="20"/>
                <w:szCs w:val="20"/>
              </w:rPr>
              <w:t>[relevant section]</w:t>
            </w:r>
            <w:r w:rsidRPr="00B06B12">
              <w:rPr>
                <w:rFonts w:ascii="Arial" w:eastAsia="Arial" w:hAnsi="Arial" w:cs="Arial"/>
                <w:color w:val="000000"/>
                <w:sz w:val="20"/>
                <w:szCs w:val="20"/>
              </w:rPr>
              <w:t xml:space="preserve">” on page(s)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of the Offer document for more information on risk factors.</w:t>
            </w:r>
          </w:p>
        </w:tc>
      </w:tr>
      <w:tr w:rsidR="00B06B12" w:rsidRPr="00B06B12" w14:paraId="718526D3" w14:textId="77777777" w:rsidTr="00B06B12">
        <w:trPr>
          <w:trHeight w:val="557"/>
        </w:trPr>
        <w:tc>
          <w:tcPr>
            <w:tcW w:w="10710" w:type="dxa"/>
            <w:gridSpan w:val="5"/>
            <w:tcBorders>
              <w:top w:val="single" w:sz="4" w:space="0" w:color="auto"/>
              <w:left w:val="single" w:sz="4" w:space="0" w:color="auto"/>
              <w:bottom w:val="single" w:sz="4" w:space="0" w:color="auto"/>
              <w:right w:val="single" w:sz="4" w:space="0" w:color="auto"/>
            </w:tcBorders>
            <w:shd w:val="clear" w:color="auto" w:fill="004966"/>
            <w:vAlign w:val="center"/>
          </w:tcPr>
          <w:p w14:paraId="668AAFBF" w14:textId="77777777" w:rsidR="00B06B12" w:rsidRPr="00B06B12" w:rsidRDefault="00B06B12" w:rsidP="00B06B12">
            <w:pPr>
              <w:autoSpaceDE w:val="0"/>
              <w:autoSpaceDN w:val="0"/>
              <w:adjustRightInd w:val="0"/>
              <w:jc w:val="center"/>
              <w:rPr>
                <w:rFonts w:ascii="Arial" w:eastAsia="Arial" w:hAnsi="Arial" w:cs="Arial"/>
                <w:color w:val="000000"/>
              </w:rPr>
            </w:pPr>
            <w:r w:rsidRPr="00B06B12">
              <w:rPr>
                <w:rFonts w:ascii="Arial" w:eastAsia="Arial" w:hAnsi="Arial" w:cs="Arial"/>
                <w:b/>
                <w:bCs/>
                <w:sz w:val="22"/>
                <w:szCs w:val="22"/>
              </w:rPr>
              <w:t>WHAT ARE THE RIGHTS ATTACHED TO THE SECURITIES OFFERED?</w:t>
            </w:r>
          </w:p>
        </w:tc>
      </w:tr>
      <w:tr w:rsidR="00B06B12" w:rsidRPr="00B06B12" w14:paraId="3FA1CAA7" w14:textId="77777777" w:rsidTr="00DC276A">
        <w:trPr>
          <w:trHeight w:val="1155"/>
        </w:trPr>
        <w:tc>
          <w:tcPr>
            <w:tcW w:w="8640" w:type="dxa"/>
            <w:gridSpan w:val="4"/>
            <w:tcBorders>
              <w:top w:val="single" w:sz="4" w:space="0" w:color="auto"/>
              <w:left w:val="single" w:sz="4" w:space="0" w:color="auto"/>
              <w:bottom w:val="single" w:sz="4" w:space="0" w:color="auto"/>
              <w:right w:val="single" w:sz="4" w:space="0" w:color="auto"/>
            </w:tcBorders>
          </w:tcPr>
          <w:p w14:paraId="1C2F50D6" w14:textId="77777777" w:rsidR="00B06B12" w:rsidRPr="00B06B12" w:rsidRDefault="00B06B12" w:rsidP="00B06B12">
            <w:pPr>
              <w:autoSpaceDE w:val="0"/>
              <w:autoSpaceDN w:val="0"/>
              <w:adjustRightInd w:val="0"/>
              <w:jc w:val="both"/>
              <w:rPr>
                <w:rFonts w:ascii="Arial" w:eastAsia="Arial" w:hAnsi="Arial" w:cs="Arial"/>
                <w:i/>
                <w:iCs/>
                <w:color w:val="000000"/>
                <w:sz w:val="20"/>
                <w:szCs w:val="20"/>
              </w:rPr>
            </w:pPr>
            <w:r w:rsidRPr="00B06B12">
              <w:rPr>
                <w:rFonts w:ascii="Arial" w:eastAsia="Arial" w:hAnsi="Arial" w:cs="Arial"/>
                <w:i/>
                <w:iCs/>
                <w:color w:val="000000"/>
                <w:sz w:val="20"/>
                <w:szCs w:val="20"/>
              </w:rPr>
              <w:t xml:space="preserve">[Describe the type and class of shares/units being offered, including the rights attached to the shares/units and any restrictions on the free transferability of shares/units.] </w:t>
            </w:r>
          </w:p>
          <w:p w14:paraId="5E3CCFAC" w14:textId="77777777" w:rsidR="00B06B12" w:rsidRPr="00B06B12" w:rsidRDefault="00B06B12" w:rsidP="00B06B12">
            <w:pPr>
              <w:autoSpaceDE w:val="0"/>
              <w:autoSpaceDN w:val="0"/>
              <w:adjustRightInd w:val="0"/>
              <w:rPr>
                <w:rFonts w:ascii="Arial" w:eastAsia="Arial" w:hAnsi="Arial" w:cs="Arial"/>
                <w:color w:val="000000"/>
                <w:sz w:val="20"/>
                <w:szCs w:val="20"/>
              </w:rPr>
            </w:pPr>
          </w:p>
          <w:p w14:paraId="5DF7E096" w14:textId="77777777" w:rsidR="00B06B12" w:rsidRPr="00B06B12" w:rsidRDefault="00B06B12" w:rsidP="00B06B12">
            <w:pPr>
              <w:autoSpaceDE w:val="0"/>
              <w:autoSpaceDN w:val="0"/>
              <w:adjustRightInd w:val="0"/>
              <w:rPr>
                <w:rFonts w:ascii="Arial" w:eastAsia="Arial" w:hAnsi="Arial" w:cs="Arial"/>
                <w:b/>
                <w:bCs/>
                <w:color w:val="000000"/>
                <w:sz w:val="20"/>
                <w:szCs w:val="20"/>
              </w:rPr>
            </w:pPr>
            <w:r w:rsidRPr="00B06B12">
              <w:rPr>
                <w:rFonts w:ascii="Arial" w:eastAsia="Arial" w:hAnsi="Arial" w:cs="Arial"/>
                <w:b/>
                <w:bCs/>
                <w:color w:val="000000"/>
                <w:sz w:val="20"/>
                <w:szCs w:val="20"/>
              </w:rPr>
              <w:t xml:space="preserve">Example: </w:t>
            </w:r>
          </w:p>
          <w:p w14:paraId="096FB1F0" w14:textId="77777777" w:rsidR="00B06B12" w:rsidRPr="00B06B12" w:rsidRDefault="00B06B12" w:rsidP="00B06B12">
            <w:pPr>
              <w:autoSpaceDE w:val="0"/>
              <w:autoSpaceDN w:val="0"/>
              <w:adjustRightInd w:val="0"/>
              <w:rPr>
                <w:rFonts w:ascii="Arial" w:eastAsia="Arial" w:hAnsi="Arial" w:cs="Arial"/>
                <w:color w:val="000000"/>
                <w:sz w:val="20"/>
                <w:szCs w:val="20"/>
              </w:rPr>
            </w:pPr>
          </w:p>
          <w:p w14:paraId="1D09F6B1" w14:textId="77777777" w:rsidR="00B06B12" w:rsidRPr="00B06B12" w:rsidRDefault="00B06B12" w:rsidP="00B06B12">
            <w:pPr>
              <w:autoSpaceDE w:val="0"/>
              <w:autoSpaceDN w:val="0"/>
              <w:adjustRightInd w:val="0"/>
              <w:rPr>
                <w:rFonts w:ascii="Arial" w:eastAsia="Arial" w:hAnsi="Arial" w:cs="Arial"/>
                <w:b/>
                <w:bCs/>
                <w:color w:val="000000"/>
                <w:sz w:val="20"/>
                <w:szCs w:val="20"/>
              </w:rPr>
            </w:pPr>
            <w:r w:rsidRPr="00B06B12">
              <w:rPr>
                <w:rFonts w:ascii="Arial" w:eastAsia="Arial" w:hAnsi="Arial" w:cs="Arial"/>
                <w:b/>
                <w:bCs/>
                <w:color w:val="000000"/>
                <w:sz w:val="20"/>
                <w:szCs w:val="20"/>
              </w:rPr>
              <w:t xml:space="preserve">Key Information on Shares Offered </w:t>
            </w:r>
          </w:p>
          <w:p w14:paraId="2249A81D" w14:textId="77777777" w:rsidR="00B06B12" w:rsidRPr="00B06B12" w:rsidRDefault="00B06B12" w:rsidP="00B06B12">
            <w:pPr>
              <w:autoSpaceDE w:val="0"/>
              <w:autoSpaceDN w:val="0"/>
              <w:adjustRightInd w:val="0"/>
              <w:rPr>
                <w:rFonts w:ascii="Arial" w:eastAsia="Arial" w:hAnsi="Arial" w:cs="Arial"/>
                <w:color w:val="000000"/>
                <w:sz w:val="20"/>
                <w:szCs w:val="20"/>
              </w:rPr>
            </w:pPr>
          </w:p>
          <w:p w14:paraId="7EC322C5"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As of the date of this Offer document, our issued and paid up share capital was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consisting of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shares. </w:t>
            </w:r>
          </w:p>
          <w:p w14:paraId="1F19CF49" w14:textId="77777777" w:rsidR="00B06B12" w:rsidRPr="00B06B12" w:rsidRDefault="00B06B12" w:rsidP="00B06B12">
            <w:pPr>
              <w:autoSpaceDE w:val="0"/>
              <w:autoSpaceDN w:val="0"/>
              <w:adjustRightInd w:val="0"/>
              <w:rPr>
                <w:rFonts w:ascii="Arial" w:eastAsia="Arial" w:hAnsi="Arial" w:cs="Arial"/>
                <w:sz w:val="20"/>
                <w:szCs w:val="20"/>
              </w:rPr>
            </w:pPr>
          </w:p>
          <w:p w14:paraId="3C31F6C4" w14:textId="77777777" w:rsidR="00B06B12" w:rsidRPr="00B06B12" w:rsidRDefault="00B06B12" w:rsidP="00B06B12">
            <w:pPr>
              <w:autoSpaceDE w:val="0"/>
              <w:autoSpaceDN w:val="0"/>
              <w:adjustRightInd w:val="0"/>
              <w:jc w:val="both"/>
              <w:rPr>
                <w:rFonts w:ascii="Arial" w:eastAsia="Arial" w:hAnsi="Arial" w:cs="Arial"/>
                <w:sz w:val="20"/>
                <w:szCs w:val="20"/>
              </w:rPr>
            </w:pPr>
            <w:r w:rsidRPr="00B06B12">
              <w:rPr>
                <w:rFonts w:ascii="Arial" w:eastAsia="Arial" w:hAnsi="Arial" w:cs="Arial"/>
                <w:sz w:val="20"/>
                <w:szCs w:val="20"/>
              </w:rPr>
              <w:t xml:space="preserve">We have only one class of shares, and the shares offered will have the same rights as our other existing issued and paid-up shares, including voting rights. Shareholders will be entitled to all rights attached to their shares in proportion to their shareholding, such as any cash dividends </w:t>
            </w:r>
            <w:r w:rsidRPr="00B06B12">
              <w:rPr>
                <w:rFonts w:ascii="Arial" w:eastAsia="Arial" w:hAnsi="Arial" w:cs="Arial"/>
                <w:sz w:val="20"/>
                <w:szCs w:val="20"/>
              </w:rPr>
              <w:lastRenderedPageBreak/>
              <w:t xml:space="preserve">declared by the Company and any distribution of assets upon liquidation of the Company. There are no restrictions on the transferability of our shares. </w:t>
            </w:r>
          </w:p>
          <w:p w14:paraId="63D48F79" w14:textId="77777777" w:rsidR="00B06B12" w:rsidRPr="00B06B12" w:rsidRDefault="00B06B12" w:rsidP="00B06B12">
            <w:pPr>
              <w:autoSpaceDE w:val="0"/>
              <w:autoSpaceDN w:val="0"/>
              <w:adjustRightInd w:val="0"/>
              <w:rPr>
                <w:rFonts w:ascii="Arial" w:eastAsia="Arial" w:hAnsi="Arial" w:cs="Arial"/>
                <w:b/>
                <w:bCs/>
                <w:color w:val="000000"/>
                <w:sz w:val="20"/>
                <w:szCs w:val="20"/>
              </w:rPr>
            </w:pPr>
          </w:p>
          <w:p w14:paraId="6C90FFBA" w14:textId="77777777" w:rsidR="00B06B12" w:rsidRPr="00B06B12" w:rsidRDefault="00B06B12" w:rsidP="00B06B12">
            <w:pPr>
              <w:autoSpaceDE w:val="0"/>
              <w:autoSpaceDN w:val="0"/>
              <w:adjustRightInd w:val="0"/>
              <w:rPr>
                <w:rFonts w:ascii="Arial" w:eastAsia="Arial" w:hAnsi="Arial" w:cs="Arial"/>
                <w:b/>
                <w:bCs/>
                <w:color w:val="000000"/>
                <w:sz w:val="20"/>
                <w:szCs w:val="20"/>
              </w:rPr>
            </w:pPr>
          </w:p>
          <w:p w14:paraId="11AF7C8F" w14:textId="77777777" w:rsidR="00B06B12" w:rsidRPr="00B06B12" w:rsidRDefault="00B06B12" w:rsidP="00B06B12">
            <w:pPr>
              <w:autoSpaceDE w:val="0"/>
              <w:autoSpaceDN w:val="0"/>
              <w:adjustRightInd w:val="0"/>
              <w:rPr>
                <w:rFonts w:ascii="Arial" w:eastAsia="Arial" w:hAnsi="Arial" w:cs="Arial"/>
                <w:b/>
                <w:bCs/>
                <w:color w:val="000000"/>
                <w:sz w:val="20"/>
                <w:szCs w:val="20"/>
              </w:rPr>
            </w:pPr>
          </w:p>
          <w:p w14:paraId="144A2257" w14:textId="77777777" w:rsidR="00B06B12" w:rsidRPr="00B06B12" w:rsidRDefault="00B06B12" w:rsidP="00B06B12">
            <w:pPr>
              <w:autoSpaceDE w:val="0"/>
              <w:autoSpaceDN w:val="0"/>
              <w:adjustRightInd w:val="0"/>
              <w:rPr>
                <w:rFonts w:ascii="Arial" w:eastAsia="Arial" w:hAnsi="Arial" w:cs="Arial"/>
                <w:b/>
                <w:bCs/>
                <w:color w:val="000000"/>
                <w:sz w:val="20"/>
                <w:szCs w:val="20"/>
              </w:rPr>
            </w:pPr>
          </w:p>
          <w:p w14:paraId="7B141368" w14:textId="77777777" w:rsidR="00B06B12" w:rsidRPr="00B06B12" w:rsidRDefault="00B06B12" w:rsidP="00B06B12">
            <w:pPr>
              <w:autoSpaceDE w:val="0"/>
              <w:autoSpaceDN w:val="0"/>
              <w:adjustRightInd w:val="0"/>
              <w:rPr>
                <w:rFonts w:ascii="Arial" w:eastAsia="Arial" w:hAnsi="Arial" w:cs="Arial"/>
                <w:b/>
                <w:bCs/>
                <w:color w:val="000000"/>
                <w:sz w:val="20"/>
                <w:szCs w:val="20"/>
              </w:rPr>
            </w:pPr>
          </w:p>
          <w:p w14:paraId="4C3978A3" w14:textId="77777777" w:rsidR="00B06B12" w:rsidRPr="00B06B12" w:rsidRDefault="00B06B12" w:rsidP="00B06B12">
            <w:pPr>
              <w:autoSpaceDE w:val="0"/>
              <w:autoSpaceDN w:val="0"/>
              <w:adjustRightInd w:val="0"/>
              <w:rPr>
                <w:rFonts w:ascii="Arial" w:eastAsia="Arial" w:hAnsi="Arial" w:cs="Arial"/>
                <w:b/>
                <w:bCs/>
                <w:color w:val="000000"/>
                <w:sz w:val="20"/>
                <w:szCs w:val="20"/>
              </w:rPr>
            </w:pPr>
          </w:p>
        </w:tc>
        <w:tc>
          <w:tcPr>
            <w:tcW w:w="2070" w:type="dxa"/>
            <w:tcBorders>
              <w:top w:val="single" w:sz="4" w:space="0" w:color="auto"/>
              <w:left w:val="single" w:sz="4" w:space="0" w:color="auto"/>
              <w:bottom w:val="single" w:sz="4" w:space="0" w:color="auto"/>
              <w:right w:val="single" w:sz="4" w:space="0" w:color="auto"/>
            </w:tcBorders>
          </w:tcPr>
          <w:p w14:paraId="53D5E8CB" w14:textId="77777777" w:rsidR="00B06B12" w:rsidRPr="00B06B12" w:rsidRDefault="00B06B12" w:rsidP="00B06B12">
            <w:pPr>
              <w:autoSpaceDE w:val="0"/>
              <w:autoSpaceDN w:val="0"/>
              <w:adjustRightInd w:val="0"/>
              <w:rPr>
                <w:rFonts w:ascii="Arial" w:eastAsia="Arial" w:hAnsi="Arial" w:cs="Arial"/>
                <w:color w:val="000000"/>
                <w:sz w:val="20"/>
                <w:szCs w:val="20"/>
              </w:rPr>
            </w:pPr>
            <w:r w:rsidRPr="00B06B12">
              <w:rPr>
                <w:rFonts w:ascii="Arial" w:eastAsia="Arial" w:hAnsi="Arial" w:cs="Arial"/>
                <w:color w:val="000000"/>
                <w:sz w:val="20"/>
                <w:szCs w:val="20"/>
              </w:rPr>
              <w:lastRenderedPageBreak/>
              <w:t>Refer to the “</w:t>
            </w:r>
            <w:r w:rsidRPr="00B06B12">
              <w:rPr>
                <w:rFonts w:ascii="Arial" w:eastAsia="Arial" w:hAnsi="Arial" w:cs="Arial"/>
                <w:i/>
                <w:iCs/>
                <w:color w:val="000000"/>
                <w:sz w:val="20"/>
                <w:szCs w:val="20"/>
              </w:rPr>
              <w:t>[relevant section]</w:t>
            </w:r>
            <w:r w:rsidRPr="00B06B12">
              <w:rPr>
                <w:rFonts w:ascii="Arial" w:eastAsia="Arial" w:hAnsi="Arial" w:cs="Arial"/>
                <w:color w:val="000000"/>
                <w:sz w:val="20"/>
                <w:szCs w:val="20"/>
              </w:rPr>
              <w:t xml:space="preserve">” on page(s)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of the Offer document for more information. </w:t>
            </w:r>
          </w:p>
          <w:p w14:paraId="50509CF2" w14:textId="77777777" w:rsidR="00B06B12" w:rsidRPr="00B06B12" w:rsidRDefault="00B06B12" w:rsidP="00B06B12">
            <w:pPr>
              <w:autoSpaceDE w:val="0"/>
              <w:autoSpaceDN w:val="0"/>
              <w:adjustRightInd w:val="0"/>
              <w:rPr>
                <w:rFonts w:ascii="Arial" w:eastAsia="Arial" w:hAnsi="Arial" w:cs="Arial"/>
                <w:color w:val="000000"/>
                <w:sz w:val="20"/>
                <w:szCs w:val="20"/>
              </w:rPr>
            </w:pPr>
          </w:p>
        </w:tc>
      </w:tr>
      <w:tr w:rsidR="00B06B12" w:rsidRPr="00B06B12" w14:paraId="351B6919" w14:textId="77777777" w:rsidTr="00B06B12">
        <w:trPr>
          <w:trHeight w:val="566"/>
        </w:trPr>
        <w:tc>
          <w:tcPr>
            <w:tcW w:w="10710" w:type="dxa"/>
            <w:gridSpan w:val="5"/>
            <w:tcBorders>
              <w:top w:val="single" w:sz="4" w:space="0" w:color="auto"/>
              <w:left w:val="single" w:sz="4" w:space="0" w:color="auto"/>
              <w:bottom w:val="single" w:sz="4" w:space="0" w:color="auto"/>
              <w:right w:val="single" w:sz="4" w:space="0" w:color="auto"/>
            </w:tcBorders>
            <w:shd w:val="clear" w:color="auto" w:fill="004966"/>
            <w:vAlign w:val="center"/>
          </w:tcPr>
          <w:p w14:paraId="3CE8413C" w14:textId="77777777" w:rsidR="00B06B12" w:rsidRPr="00B06B12" w:rsidRDefault="00B06B12" w:rsidP="00B06B12">
            <w:pPr>
              <w:autoSpaceDE w:val="0"/>
              <w:autoSpaceDN w:val="0"/>
              <w:adjustRightInd w:val="0"/>
              <w:jc w:val="center"/>
              <w:rPr>
                <w:rFonts w:ascii="Arial" w:eastAsia="Arial" w:hAnsi="Arial" w:cs="Arial"/>
              </w:rPr>
            </w:pPr>
            <w:r w:rsidRPr="00B06B12">
              <w:rPr>
                <w:rFonts w:ascii="Arial" w:eastAsia="Arial" w:hAnsi="Arial" w:cs="Arial"/>
                <w:b/>
                <w:bCs/>
                <w:sz w:val="22"/>
                <w:szCs w:val="22"/>
              </w:rPr>
              <w:t>HOW WILL THE PROCEEDS OF THE OFFER BE USED?</w:t>
            </w:r>
          </w:p>
        </w:tc>
      </w:tr>
      <w:tr w:rsidR="00B06B12" w:rsidRPr="00B06B12" w14:paraId="1205917E" w14:textId="77777777" w:rsidTr="00DC276A">
        <w:trPr>
          <w:trHeight w:val="6380"/>
        </w:trPr>
        <w:tc>
          <w:tcPr>
            <w:tcW w:w="8640" w:type="dxa"/>
            <w:gridSpan w:val="4"/>
            <w:tcBorders>
              <w:top w:val="single" w:sz="4" w:space="0" w:color="auto"/>
              <w:left w:val="single" w:sz="4" w:space="0" w:color="auto"/>
              <w:bottom w:val="single" w:sz="4" w:space="0" w:color="auto"/>
              <w:right w:val="single" w:sz="4" w:space="0" w:color="auto"/>
            </w:tcBorders>
          </w:tcPr>
          <w:p w14:paraId="779BB6CD"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i/>
                <w:iCs/>
                <w:color w:val="000000"/>
                <w:sz w:val="20"/>
                <w:szCs w:val="20"/>
              </w:rPr>
              <w:t xml:space="preserve">[Provide information on the amount of proceeds raised from the offer will be allocated to each principal intended use. Information on the use of proceeds should be presented using diagrams (e.g. tables, graphs and charts) where appropriate.] </w:t>
            </w:r>
          </w:p>
          <w:p w14:paraId="2BC0C4B2" w14:textId="77777777" w:rsidR="00B06B12" w:rsidRPr="00B06B12" w:rsidRDefault="00B06B12" w:rsidP="00B06B12">
            <w:pPr>
              <w:autoSpaceDE w:val="0"/>
              <w:autoSpaceDN w:val="0"/>
              <w:adjustRightInd w:val="0"/>
              <w:rPr>
                <w:rFonts w:ascii="Arial" w:eastAsia="Arial" w:hAnsi="Arial" w:cs="Arial"/>
                <w:b/>
                <w:bCs/>
                <w:color w:val="000000"/>
                <w:sz w:val="20"/>
                <w:szCs w:val="20"/>
              </w:rPr>
            </w:pPr>
          </w:p>
          <w:p w14:paraId="1D469BA3" w14:textId="77777777" w:rsidR="00B06B12" w:rsidRPr="00B06B12" w:rsidRDefault="00B06B12" w:rsidP="00B06B12">
            <w:pPr>
              <w:autoSpaceDE w:val="0"/>
              <w:autoSpaceDN w:val="0"/>
              <w:adjustRightInd w:val="0"/>
              <w:rPr>
                <w:rFonts w:ascii="Arial" w:eastAsia="Arial" w:hAnsi="Arial" w:cs="Arial"/>
                <w:b/>
                <w:bCs/>
                <w:color w:val="000000"/>
                <w:sz w:val="20"/>
                <w:szCs w:val="20"/>
              </w:rPr>
            </w:pPr>
            <w:r w:rsidRPr="00B06B12">
              <w:rPr>
                <w:rFonts w:ascii="Arial" w:eastAsia="Arial" w:hAnsi="Arial" w:cs="Arial"/>
                <w:b/>
                <w:bCs/>
                <w:color w:val="000000"/>
                <w:sz w:val="20"/>
                <w:szCs w:val="20"/>
              </w:rPr>
              <w:t xml:space="preserve">Example: </w:t>
            </w:r>
          </w:p>
          <w:p w14:paraId="38CD6DD1" w14:textId="77777777" w:rsidR="00B06B12" w:rsidRPr="00B06B12" w:rsidRDefault="00B06B12" w:rsidP="00B06B12">
            <w:pPr>
              <w:autoSpaceDE w:val="0"/>
              <w:autoSpaceDN w:val="0"/>
              <w:adjustRightInd w:val="0"/>
              <w:rPr>
                <w:rFonts w:ascii="Arial" w:eastAsia="Arial" w:hAnsi="Arial" w:cs="Arial"/>
                <w:b/>
                <w:bCs/>
                <w:color w:val="000000"/>
                <w:sz w:val="20"/>
                <w:szCs w:val="20"/>
              </w:rPr>
            </w:pPr>
          </w:p>
          <w:p w14:paraId="3BFACE35" w14:textId="77777777" w:rsidR="00B06B12" w:rsidRPr="00B06B12" w:rsidRDefault="00B06B12" w:rsidP="00B06B12">
            <w:pPr>
              <w:autoSpaceDE w:val="0"/>
              <w:autoSpaceDN w:val="0"/>
              <w:adjustRightInd w:val="0"/>
              <w:rPr>
                <w:rFonts w:ascii="Arial" w:eastAsia="Arial" w:hAnsi="Arial" w:cs="Arial"/>
                <w:b/>
                <w:bCs/>
                <w:color w:val="000000"/>
                <w:sz w:val="20"/>
                <w:szCs w:val="20"/>
              </w:rPr>
            </w:pPr>
            <w:r w:rsidRPr="00B06B12">
              <w:rPr>
                <w:rFonts w:ascii="Arial" w:eastAsia="Arial" w:hAnsi="Arial" w:cs="Arial"/>
                <w:b/>
                <w:bCs/>
                <w:color w:val="000000"/>
                <w:sz w:val="20"/>
                <w:szCs w:val="20"/>
              </w:rPr>
              <w:t xml:space="preserve">Use of Proceeds </w:t>
            </w:r>
          </w:p>
          <w:p w14:paraId="1FC59495"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p>
          <w:p w14:paraId="79E1DCFC"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The net proceeds to be raised in the offer (after deducting estimated expenses to be borne by us) is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The following represents our estimate of the allocation of the gross proceeds expected to be raised from the offer, assuming the over-allotment option is not exercised. We will not receive any proceeds from the sale of shares by vendors. </w:t>
            </w:r>
          </w:p>
          <w:p w14:paraId="68E7ACFA" w14:textId="77777777" w:rsidR="00B06B12" w:rsidRPr="00B06B12" w:rsidRDefault="00B06B12" w:rsidP="00B06B12">
            <w:pPr>
              <w:autoSpaceDE w:val="0"/>
              <w:autoSpaceDN w:val="0"/>
              <w:adjustRightInd w:val="0"/>
              <w:rPr>
                <w:rFonts w:ascii="Arial" w:eastAsia="Arial" w:hAnsi="Arial" w:cs="Arial"/>
                <w:b/>
                <w:bCs/>
                <w:color w:val="000000"/>
                <w:sz w:val="20"/>
                <w:szCs w:val="20"/>
              </w:rPr>
            </w:pPr>
          </w:p>
          <w:tbl>
            <w:tblPr>
              <w:tblStyle w:val="TableGrid1"/>
              <w:tblW w:w="0" w:type="auto"/>
              <w:tblLayout w:type="fixed"/>
              <w:tblLook w:val="04A0" w:firstRow="1" w:lastRow="0" w:firstColumn="1" w:lastColumn="0" w:noHBand="0" w:noVBand="1"/>
            </w:tblPr>
            <w:tblGrid>
              <w:gridCol w:w="3673"/>
              <w:gridCol w:w="2250"/>
              <w:gridCol w:w="2430"/>
            </w:tblGrid>
            <w:tr w:rsidR="00B06B12" w:rsidRPr="00B06B12" w14:paraId="668A8A33" w14:textId="77777777" w:rsidTr="00DC276A">
              <w:tc>
                <w:tcPr>
                  <w:tcW w:w="3673" w:type="dxa"/>
                  <w:vAlign w:val="center"/>
                </w:tcPr>
                <w:p w14:paraId="1AE3CF5C" w14:textId="77777777" w:rsidR="00B06B12" w:rsidRPr="00B06B12" w:rsidRDefault="00B06B12" w:rsidP="00B06B12">
                  <w:pPr>
                    <w:autoSpaceDE w:val="0"/>
                    <w:autoSpaceDN w:val="0"/>
                    <w:adjustRightInd w:val="0"/>
                    <w:rPr>
                      <w:rFonts w:eastAsia="Arial" w:cs="Arial"/>
                      <w:b/>
                      <w:bCs/>
                      <w:color w:val="000000"/>
                      <w:sz w:val="20"/>
                      <w:szCs w:val="20"/>
                    </w:rPr>
                  </w:pPr>
                  <w:r w:rsidRPr="00B06B12">
                    <w:rPr>
                      <w:rFonts w:eastAsia="Arial" w:cs="Arial"/>
                      <w:b/>
                      <w:bCs/>
                      <w:color w:val="000000"/>
                      <w:sz w:val="20"/>
                      <w:szCs w:val="20"/>
                    </w:rPr>
                    <w:t>Details of utilisation</w:t>
                  </w:r>
                </w:p>
              </w:tc>
              <w:tc>
                <w:tcPr>
                  <w:tcW w:w="2250" w:type="dxa"/>
                  <w:vAlign w:val="center"/>
                </w:tcPr>
                <w:p w14:paraId="3096BC69" w14:textId="77777777" w:rsidR="00B06B12" w:rsidRPr="00B06B12" w:rsidRDefault="00B06B12" w:rsidP="00B06B12">
                  <w:pPr>
                    <w:autoSpaceDE w:val="0"/>
                    <w:autoSpaceDN w:val="0"/>
                    <w:adjustRightInd w:val="0"/>
                    <w:rPr>
                      <w:rFonts w:eastAsia="Arial" w:cs="Arial"/>
                      <w:b/>
                      <w:bCs/>
                      <w:color w:val="000000"/>
                      <w:sz w:val="20"/>
                      <w:szCs w:val="20"/>
                    </w:rPr>
                  </w:pPr>
                  <w:r w:rsidRPr="00B06B12">
                    <w:rPr>
                      <w:rFonts w:eastAsia="Arial" w:cs="Arial"/>
                      <w:b/>
                      <w:bCs/>
                      <w:color w:val="000000"/>
                      <w:sz w:val="20"/>
                      <w:szCs w:val="20"/>
                    </w:rPr>
                    <w:t>$ (million)</w:t>
                  </w:r>
                </w:p>
              </w:tc>
              <w:tc>
                <w:tcPr>
                  <w:tcW w:w="2430" w:type="dxa"/>
                  <w:vAlign w:val="center"/>
                </w:tcPr>
                <w:p w14:paraId="21C6E6A2" w14:textId="77777777" w:rsidR="00B06B12" w:rsidRPr="00B06B12" w:rsidRDefault="00B06B12" w:rsidP="00B06B12">
                  <w:pPr>
                    <w:autoSpaceDE w:val="0"/>
                    <w:autoSpaceDN w:val="0"/>
                    <w:adjustRightInd w:val="0"/>
                    <w:rPr>
                      <w:rFonts w:eastAsia="Arial" w:cs="Arial"/>
                      <w:b/>
                      <w:bCs/>
                      <w:color w:val="000000"/>
                      <w:sz w:val="20"/>
                      <w:szCs w:val="20"/>
                    </w:rPr>
                  </w:pPr>
                  <w:r w:rsidRPr="00B06B12">
                    <w:rPr>
                      <w:rFonts w:eastAsia="Arial" w:cs="Arial"/>
                      <w:b/>
                      <w:bCs/>
                      <w:color w:val="000000"/>
                      <w:sz w:val="20"/>
                      <w:szCs w:val="20"/>
                    </w:rPr>
                    <w:t>Allocation for each $1.00 gross proceeds raised</w:t>
                  </w:r>
                </w:p>
              </w:tc>
            </w:tr>
            <w:tr w:rsidR="00B06B12" w:rsidRPr="00B06B12" w14:paraId="3ECBF218" w14:textId="77777777" w:rsidTr="00DC276A">
              <w:trPr>
                <w:trHeight w:val="332"/>
              </w:trPr>
              <w:tc>
                <w:tcPr>
                  <w:tcW w:w="8353" w:type="dxa"/>
                  <w:gridSpan w:val="3"/>
                </w:tcPr>
                <w:p w14:paraId="6BE4ACF4" w14:textId="77777777" w:rsidR="00B06B12" w:rsidRPr="00B06B12" w:rsidRDefault="00B06B12" w:rsidP="00755725">
                  <w:pPr>
                    <w:numPr>
                      <w:ilvl w:val="0"/>
                      <w:numId w:val="99"/>
                    </w:numPr>
                    <w:autoSpaceDE w:val="0"/>
                    <w:autoSpaceDN w:val="0"/>
                    <w:adjustRightInd w:val="0"/>
                    <w:ind w:left="341"/>
                    <w:rPr>
                      <w:rFonts w:eastAsia="Arial" w:cs="Arial"/>
                      <w:b/>
                      <w:bCs/>
                      <w:color w:val="000000"/>
                      <w:sz w:val="20"/>
                      <w:szCs w:val="20"/>
                    </w:rPr>
                  </w:pPr>
                  <w:r w:rsidRPr="00B06B12">
                    <w:rPr>
                      <w:rFonts w:eastAsia="Arial" w:cs="Arial"/>
                      <w:color w:val="000000"/>
                      <w:sz w:val="20"/>
                      <w:szCs w:val="20"/>
                    </w:rPr>
                    <w:t>Net proceeds:</w:t>
                  </w:r>
                </w:p>
              </w:tc>
            </w:tr>
            <w:tr w:rsidR="00B06B12" w:rsidRPr="00B06B12" w14:paraId="32530DA0" w14:textId="77777777" w:rsidTr="00DC276A">
              <w:trPr>
                <w:trHeight w:val="1358"/>
              </w:trPr>
              <w:tc>
                <w:tcPr>
                  <w:tcW w:w="3673" w:type="dxa"/>
                </w:tcPr>
                <w:p w14:paraId="31135A76" w14:textId="77777777" w:rsidR="00B06B12" w:rsidRPr="00B06B12" w:rsidRDefault="00B06B12" w:rsidP="00755725">
                  <w:pPr>
                    <w:numPr>
                      <w:ilvl w:val="0"/>
                      <w:numId w:val="98"/>
                    </w:numPr>
                    <w:autoSpaceDE w:val="0"/>
                    <w:autoSpaceDN w:val="0"/>
                    <w:adjustRightInd w:val="0"/>
                    <w:rPr>
                      <w:rFonts w:eastAsia="Arial" w:cs="Arial"/>
                      <w:color w:val="000000"/>
                      <w:sz w:val="20"/>
                      <w:szCs w:val="20"/>
                    </w:rPr>
                  </w:pPr>
                  <w:r w:rsidRPr="00B06B12">
                    <w:rPr>
                      <w:rFonts w:eastAsia="Arial" w:cs="Arial"/>
                      <w:color w:val="000000"/>
                      <w:sz w:val="20"/>
                      <w:szCs w:val="20"/>
                    </w:rPr>
                    <w:t>Expansion of business</w:t>
                  </w:r>
                </w:p>
                <w:p w14:paraId="4E822F3E" w14:textId="77777777" w:rsidR="00B06B12" w:rsidRPr="00B06B12" w:rsidRDefault="00B06B12" w:rsidP="00B06B12">
                  <w:pPr>
                    <w:autoSpaceDE w:val="0"/>
                    <w:autoSpaceDN w:val="0"/>
                    <w:adjustRightInd w:val="0"/>
                    <w:ind w:left="720"/>
                    <w:rPr>
                      <w:rFonts w:eastAsia="Arial" w:cs="Arial"/>
                      <w:color w:val="000000"/>
                      <w:sz w:val="20"/>
                      <w:szCs w:val="20"/>
                    </w:rPr>
                  </w:pPr>
                </w:p>
                <w:p w14:paraId="735B3736" w14:textId="77777777" w:rsidR="00B06B12" w:rsidRPr="00B06B12" w:rsidRDefault="00B06B12" w:rsidP="00755725">
                  <w:pPr>
                    <w:numPr>
                      <w:ilvl w:val="0"/>
                      <w:numId w:val="98"/>
                    </w:numPr>
                    <w:autoSpaceDE w:val="0"/>
                    <w:autoSpaceDN w:val="0"/>
                    <w:adjustRightInd w:val="0"/>
                    <w:rPr>
                      <w:rFonts w:eastAsia="Arial" w:cs="Arial"/>
                      <w:color w:val="000000"/>
                      <w:sz w:val="20"/>
                      <w:szCs w:val="20"/>
                    </w:rPr>
                  </w:pPr>
                  <w:r w:rsidRPr="00B06B12">
                    <w:rPr>
                      <w:rFonts w:eastAsia="Arial" w:cs="Arial"/>
                      <w:color w:val="000000"/>
                      <w:sz w:val="20"/>
                      <w:szCs w:val="20"/>
                    </w:rPr>
                    <w:t>Working capital and general corporate purposes</w:t>
                  </w:r>
                </w:p>
              </w:tc>
              <w:tc>
                <w:tcPr>
                  <w:tcW w:w="2250" w:type="dxa"/>
                </w:tcPr>
                <w:p w14:paraId="0D61FCB8" w14:textId="77777777" w:rsidR="00B06B12" w:rsidRPr="00B06B12" w:rsidRDefault="00B06B12" w:rsidP="00B06B12">
                  <w:pPr>
                    <w:autoSpaceDE w:val="0"/>
                    <w:autoSpaceDN w:val="0"/>
                    <w:adjustRightInd w:val="0"/>
                    <w:rPr>
                      <w:rFonts w:eastAsia="Arial" w:cs="Arial"/>
                      <w:i/>
                      <w:iCs/>
                      <w:color w:val="000000"/>
                      <w:sz w:val="20"/>
                      <w:szCs w:val="20"/>
                    </w:rPr>
                  </w:pPr>
                  <w:r w:rsidRPr="00B06B12">
                    <w:rPr>
                      <w:rFonts w:eastAsia="Arial" w:cs="Arial"/>
                      <w:i/>
                      <w:iCs/>
                      <w:color w:val="000000"/>
                      <w:sz w:val="20"/>
                      <w:szCs w:val="20"/>
                    </w:rPr>
                    <w:t>[●]</w:t>
                  </w:r>
                </w:p>
                <w:p w14:paraId="0328DA1E" w14:textId="77777777" w:rsidR="00B06B12" w:rsidRPr="00B06B12" w:rsidRDefault="00B06B12" w:rsidP="00B06B12">
                  <w:pPr>
                    <w:autoSpaceDE w:val="0"/>
                    <w:autoSpaceDN w:val="0"/>
                    <w:adjustRightInd w:val="0"/>
                    <w:rPr>
                      <w:rFonts w:eastAsia="Arial" w:cs="Arial"/>
                      <w:i/>
                      <w:iCs/>
                      <w:color w:val="000000"/>
                      <w:sz w:val="20"/>
                      <w:szCs w:val="20"/>
                    </w:rPr>
                  </w:pPr>
                </w:p>
                <w:p w14:paraId="51445803" w14:textId="77777777" w:rsidR="00B06B12" w:rsidRPr="00B06B12" w:rsidRDefault="00B06B12" w:rsidP="00B06B12">
                  <w:pPr>
                    <w:autoSpaceDE w:val="0"/>
                    <w:autoSpaceDN w:val="0"/>
                    <w:adjustRightInd w:val="0"/>
                    <w:rPr>
                      <w:rFonts w:eastAsia="Arial" w:cs="Arial"/>
                      <w:b/>
                      <w:bCs/>
                      <w:i/>
                      <w:iCs/>
                      <w:color w:val="000000"/>
                      <w:sz w:val="20"/>
                      <w:szCs w:val="20"/>
                    </w:rPr>
                  </w:pPr>
                  <w:r w:rsidRPr="00B06B12">
                    <w:rPr>
                      <w:rFonts w:eastAsia="Arial" w:cs="Arial"/>
                      <w:i/>
                      <w:iCs/>
                      <w:color w:val="000000"/>
                      <w:sz w:val="20"/>
                      <w:szCs w:val="20"/>
                    </w:rPr>
                    <w:t>[●]</w:t>
                  </w:r>
                </w:p>
              </w:tc>
              <w:tc>
                <w:tcPr>
                  <w:tcW w:w="2430" w:type="dxa"/>
                </w:tcPr>
                <w:p w14:paraId="45F13DE3" w14:textId="77777777" w:rsidR="00B06B12" w:rsidRPr="00B06B12" w:rsidRDefault="00B06B12" w:rsidP="00B06B12">
                  <w:pPr>
                    <w:autoSpaceDE w:val="0"/>
                    <w:autoSpaceDN w:val="0"/>
                    <w:adjustRightInd w:val="0"/>
                    <w:rPr>
                      <w:rFonts w:eastAsia="Arial" w:cs="Arial"/>
                      <w:i/>
                      <w:iCs/>
                      <w:color w:val="000000"/>
                      <w:sz w:val="20"/>
                      <w:szCs w:val="20"/>
                    </w:rPr>
                  </w:pPr>
                  <w:r w:rsidRPr="00B06B12">
                    <w:rPr>
                      <w:rFonts w:eastAsia="Arial" w:cs="Arial"/>
                      <w:i/>
                      <w:iCs/>
                      <w:color w:val="000000"/>
                      <w:sz w:val="20"/>
                      <w:szCs w:val="20"/>
                    </w:rPr>
                    <w:t>[●]</w:t>
                  </w:r>
                </w:p>
                <w:p w14:paraId="52E0134B" w14:textId="77777777" w:rsidR="00B06B12" w:rsidRPr="00B06B12" w:rsidRDefault="00B06B12" w:rsidP="00B06B12">
                  <w:pPr>
                    <w:autoSpaceDE w:val="0"/>
                    <w:autoSpaceDN w:val="0"/>
                    <w:adjustRightInd w:val="0"/>
                    <w:rPr>
                      <w:rFonts w:eastAsia="Arial" w:cs="Arial"/>
                      <w:i/>
                      <w:iCs/>
                      <w:color w:val="000000"/>
                      <w:sz w:val="20"/>
                      <w:szCs w:val="20"/>
                    </w:rPr>
                  </w:pPr>
                </w:p>
                <w:p w14:paraId="7950F850" w14:textId="77777777" w:rsidR="00B06B12" w:rsidRPr="00B06B12" w:rsidRDefault="00B06B12" w:rsidP="00B06B12">
                  <w:pPr>
                    <w:autoSpaceDE w:val="0"/>
                    <w:autoSpaceDN w:val="0"/>
                    <w:adjustRightInd w:val="0"/>
                    <w:rPr>
                      <w:rFonts w:eastAsia="Arial" w:cs="Arial"/>
                      <w:b/>
                      <w:bCs/>
                      <w:color w:val="000000"/>
                      <w:sz w:val="20"/>
                      <w:szCs w:val="20"/>
                    </w:rPr>
                  </w:pPr>
                  <w:r w:rsidRPr="00B06B12">
                    <w:rPr>
                      <w:rFonts w:eastAsia="Arial" w:cs="Arial"/>
                      <w:i/>
                      <w:iCs/>
                      <w:color w:val="000000"/>
                      <w:sz w:val="20"/>
                      <w:szCs w:val="20"/>
                    </w:rPr>
                    <w:t>[●]</w:t>
                  </w:r>
                </w:p>
              </w:tc>
            </w:tr>
            <w:tr w:rsidR="00B06B12" w:rsidRPr="00B06B12" w14:paraId="2D6D87DB" w14:textId="77777777" w:rsidTr="00DC276A">
              <w:trPr>
                <w:trHeight w:val="341"/>
              </w:trPr>
              <w:tc>
                <w:tcPr>
                  <w:tcW w:w="3673" w:type="dxa"/>
                </w:tcPr>
                <w:p w14:paraId="373E70A4" w14:textId="77777777" w:rsidR="00B06B12" w:rsidRPr="00B06B12" w:rsidRDefault="00B06B12" w:rsidP="00755725">
                  <w:pPr>
                    <w:numPr>
                      <w:ilvl w:val="0"/>
                      <w:numId w:val="99"/>
                    </w:numPr>
                    <w:autoSpaceDE w:val="0"/>
                    <w:autoSpaceDN w:val="0"/>
                    <w:adjustRightInd w:val="0"/>
                    <w:ind w:left="341"/>
                    <w:rPr>
                      <w:rFonts w:eastAsia="Arial" w:cs="Arial"/>
                      <w:color w:val="000000"/>
                      <w:sz w:val="20"/>
                      <w:szCs w:val="20"/>
                    </w:rPr>
                  </w:pPr>
                  <w:r w:rsidRPr="00B06B12">
                    <w:rPr>
                      <w:rFonts w:eastAsia="Arial" w:cs="Arial"/>
                      <w:color w:val="000000"/>
                      <w:sz w:val="20"/>
                      <w:szCs w:val="20"/>
                    </w:rPr>
                    <w:t>Other estimated expenses</w:t>
                  </w:r>
                </w:p>
              </w:tc>
              <w:tc>
                <w:tcPr>
                  <w:tcW w:w="2250" w:type="dxa"/>
                </w:tcPr>
                <w:p w14:paraId="71742249" w14:textId="77777777" w:rsidR="00B06B12" w:rsidRPr="00B06B12" w:rsidRDefault="00B06B12" w:rsidP="00B06B12">
                  <w:pPr>
                    <w:autoSpaceDE w:val="0"/>
                    <w:autoSpaceDN w:val="0"/>
                    <w:adjustRightInd w:val="0"/>
                    <w:rPr>
                      <w:rFonts w:eastAsia="Arial" w:cs="Arial"/>
                      <w:b/>
                      <w:bCs/>
                      <w:color w:val="000000"/>
                      <w:sz w:val="20"/>
                      <w:szCs w:val="20"/>
                    </w:rPr>
                  </w:pPr>
                  <w:r w:rsidRPr="00B06B12">
                    <w:rPr>
                      <w:rFonts w:eastAsia="Arial" w:cs="Arial"/>
                      <w:i/>
                      <w:iCs/>
                      <w:color w:val="000000"/>
                      <w:sz w:val="20"/>
                      <w:szCs w:val="20"/>
                    </w:rPr>
                    <w:t>[●]</w:t>
                  </w:r>
                </w:p>
              </w:tc>
              <w:tc>
                <w:tcPr>
                  <w:tcW w:w="2430" w:type="dxa"/>
                </w:tcPr>
                <w:p w14:paraId="0F543B24" w14:textId="77777777" w:rsidR="00B06B12" w:rsidRPr="00B06B12" w:rsidRDefault="00B06B12" w:rsidP="00B06B12">
                  <w:pPr>
                    <w:autoSpaceDE w:val="0"/>
                    <w:autoSpaceDN w:val="0"/>
                    <w:adjustRightInd w:val="0"/>
                    <w:rPr>
                      <w:rFonts w:eastAsia="Arial" w:cs="Arial"/>
                      <w:b/>
                      <w:bCs/>
                      <w:color w:val="000000"/>
                      <w:sz w:val="20"/>
                      <w:szCs w:val="20"/>
                    </w:rPr>
                  </w:pPr>
                  <w:r w:rsidRPr="00B06B12">
                    <w:rPr>
                      <w:rFonts w:eastAsia="Arial" w:cs="Arial"/>
                      <w:i/>
                      <w:iCs/>
                      <w:color w:val="000000"/>
                      <w:sz w:val="20"/>
                      <w:szCs w:val="20"/>
                    </w:rPr>
                    <w:t>[●]</w:t>
                  </w:r>
                </w:p>
              </w:tc>
            </w:tr>
            <w:tr w:rsidR="00B06B12" w:rsidRPr="00B06B12" w14:paraId="6B8D791A" w14:textId="77777777" w:rsidTr="00DC276A">
              <w:trPr>
                <w:trHeight w:val="359"/>
              </w:trPr>
              <w:tc>
                <w:tcPr>
                  <w:tcW w:w="3673" w:type="dxa"/>
                </w:tcPr>
                <w:p w14:paraId="5E01A3BD" w14:textId="77777777" w:rsidR="00B06B12" w:rsidRPr="00B06B12" w:rsidRDefault="00B06B12" w:rsidP="00B06B12">
                  <w:pPr>
                    <w:autoSpaceDE w:val="0"/>
                    <w:autoSpaceDN w:val="0"/>
                    <w:adjustRightInd w:val="0"/>
                    <w:rPr>
                      <w:rFonts w:eastAsia="Arial" w:cs="Arial"/>
                      <w:b/>
                      <w:bCs/>
                      <w:color w:val="000000"/>
                      <w:sz w:val="20"/>
                      <w:szCs w:val="20"/>
                    </w:rPr>
                  </w:pPr>
                  <w:r w:rsidRPr="00B06B12">
                    <w:rPr>
                      <w:rFonts w:eastAsia="Arial" w:cs="Arial"/>
                      <w:b/>
                      <w:bCs/>
                      <w:color w:val="000000"/>
                      <w:sz w:val="20"/>
                      <w:szCs w:val="20"/>
                    </w:rPr>
                    <w:t>Total</w:t>
                  </w:r>
                </w:p>
              </w:tc>
              <w:tc>
                <w:tcPr>
                  <w:tcW w:w="2250" w:type="dxa"/>
                </w:tcPr>
                <w:p w14:paraId="7FF378ED" w14:textId="77777777" w:rsidR="00B06B12" w:rsidRPr="00B06B12" w:rsidRDefault="00B06B12" w:rsidP="00B06B12">
                  <w:pPr>
                    <w:autoSpaceDE w:val="0"/>
                    <w:autoSpaceDN w:val="0"/>
                    <w:adjustRightInd w:val="0"/>
                    <w:rPr>
                      <w:rFonts w:eastAsia="Arial" w:cs="Arial"/>
                      <w:b/>
                      <w:bCs/>
                      <w:color w:val="000000"/>
                      <w:sz w:val="20"/>
                      <w:szCs w:val="20"/>
                    </w:rPr>
                  </w:pPr>
                  <w:r w:rsidRPr="00B06B12">
                    <w:rPr>
                      <w:rFonts w:eastAsia="Arial" w:cs="Arial"/>
                      <w:i/>
                      <w:iCs/>
                      <w:color w:val="000000"/>
                      <w:sz w:val="20"/>
                      <w:szCs w:val="20"/>
                    </w:rPr>
                    <w:t>[●]</w:t>
                  </w:r>
                </w:p>
              </w:tc>
              <w:tc>
                <w:tcPr>
                  <w:tcW w:w="2430" w:type="dxa"/>
                </w:tcPr>
                <w:p w14:paraId="3A73122F" w14:textId="77777777" w:rsidR="00B06B12" w:rsidRPr="00B06B12" w:rsidRDefault="00B06B12" w:rsidP="00B06B12">
                  <w:pPr>
                    <w:autoSpaceDE w:val="0"/>
                    <w:autoSpaceDN w:val="0"/>
                    <w:adjustRightInd w:val="0"/>
                    <w:rPr>
                      <w:rFonts w:eastAsia="Arial" w:cs="Arial"/>
                      <w:color w:val="000000"/>
                      <w:sz w:val="20"/>
                      <w:szCs w:val="20"/>
                    </w:rPr>
                  </w:pPr>
                  <w:r w:rsidRPr="00B06B12">
                    <w:rPr>
                      <w:rFonts w:eastAsia="Arial" w:cs="Arial"/>
                      <w:color w:val="000000"/>
                      <w:sz w:val="20"/>
                      <w:szCs w:val="20"/>
                    </w:rPr>
                    <w:t>1.00</w:t>
                  </w:r>
                </w:p>
              </w:tc>
            </w:tr>
          </w:tbl>
          <w:p w14:paraId="2D6BC718" w14:textId="77777777" w:rsidR="00B06B12" w:rsidRPr="00B06B12" w:rsidRDefault="00B06B12" w:rsidP="00B06B12">
            <w:pPr>
              <w:autoSpaceDE w:val="0"/>
              <w:autoSpaceDN w:val="0"/>
              <w:adjustRightInd w:val="0"/>
              <w:rPr>
                <w:rFonts w:ascii="Arial" w:eastAsia="Arial" w:hAnsi="Arial" w:cs="Arial"/>
                <w:i/>
                <w:iCs/>
                <w:color w:val="000000"/>
                <w:sz w:val="20"/>
                <w:szCs w:val="20"/>
              </w:rPr>
            </w:pPr>
          </w:p>
        </w:tc>
        <w:tc>
          <w:tcPr>
            <w:tcW w:w="2070" w:type="dxa"/>
            <w:tcBorders>
              <w:top w:val="single" w:sz="4" w:space="0" w:color="auto"/>
              <w:left w:val="single" w:sz="4" w:space="0" w:color="auto"/>
              <w:bottom w:val="single" w:sz="4" w:space="0" w:color="auto"/>
              <w:right w:val="single" w:sz="4" w:space="0" w:color="auto"/>
            </w:tcBorders>
          </w:tcPr>
          <w:p w14:paraId="1AC1A5E2" w14:textId="77777777" w:rsidR="00B06B12" w:rsidRPr="00B06B12" w:rsidRDefault="00B06B12" w:rsidP="00B06B12">
            <w:pPr>
              <w:autoSpaceDE w:val="0"/>
              <w:autoSpaceDN w:val="0"/>
              <w:adjustRightInd w:val="0"/>
              <w:rPr>
                <w:rFonts w:ascii="Arial" w:eastAsia="Arial" w:hAnsi="Arial" w:cs="Arial"/>
                <w:color w:val="000000"/>
                <w:sz w:val="20"/>
                <w:szCs w:val="20"/>
              </w:rPr>
            </w:pPr>
            <w:r w:rsidRPr="00B06B12">
              <w:rPr>
                <w:rFonts w:ascii="Arial" w:eastAsia="Arial" w:hAnsi="Arial" w:cs="Arial"/>
                <w:color w:val="000000"/>
                <w:sz w:val="20"/>
                <w:szCs w:val="20"/>
              </w:rPr>
              <w:t>Refer to the “</w:t>
            </w:r>
            <w:r w:rsidRPr="00B06B12">
              <w:rPr>
                <w:rFonts w:ascii="Arial" w:eastAsia="Arial" w:hAnsi="Arial" w:cs="Arial"/>
                <w:i/>
                <w:iCs/>
                <w:color w:val="000000"/>
                <w:sz w:val="20"/>
                <w:szCs w:val="20"/>
              </w:rPr>
              <w:t>[relevant section]</w:t>
            </w:r>
            <w:r w:rsidRPr="00B06B12">
              <w:rPr>
                <w:rFonts w:ascii="Arial" w:eastAsia="Arial" w:hAnsi="Arial" w:cs="Arial"/>
                <w:color w:val="000000"/>
                <w:sz w:val="20"/>
                <w:szCs w:val="20"/>
              </w:rPr>
              <w:t xml:space="preserve">” on page(s)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of the Offer document for more information on our use of proceeds. </w:t>
            </w:r>
          </w:p>
        </w:tc>
      </w:tr>
      <w:tr w:rsidR="00B06B12" w:rsidRPr="00B06B12" w14:paraId="16B7A752" w14:textId="77777777" w:rsidTr="00B06B12">
        <w:trPr>
          <w:trHeight w:val="530"/>
        </w:trPr>
        <w:tc>
          <w:tcPr>
            <w:tcW w:w="10710" w:type="dxa"/>
            <w:gridSpan w:val="5"/>
            <w:tcBorders>
              <w:top w:val="single" w:sz="4" w:space="0" w:color="auto"/>
              <w:left w:val="single" w:sz="4" w:space="0" w:color="auto"/>
              <w:bottom w:val="single" w:sz="4" w:space="0" w:color="auto"/>
              <w:right w:val="single" w:sz="4" w:space="0" w:color="auto"/>
            </w:tcBorders>
            <w:shd w:val="clear" w:color="auto" w:fill="004966"/>
            <w:vAlign w:val="center"/>
          </w:tcPr>
          <w:p w14:paraId="7AAB3FB3" w14:textId="77777777" w:rsidR="00B06B12" w:rsidRPr="00B06B12" w:rsidRDefault="00B06B12" w:rsidP="00B06B12">
            <w:pPr>
              <w:autoSpaceDE w:val="0"/>
              <w:autoSpaceDN w:val="0"/>
              <w:adjustRightInd w:val="0"/>
              <w:jc w:val="center"/>
              <w:rPr>
                <w:rFonts w:ascii="Arial" w:eastAsia="Arial" w:hAnsi="Arial" w:cs="Arial"/>
              </w:rPr>
            </w:pPr>
            <w:r w:rsidRPr="00B06B12">
              <w:rPr>
                <w:rFonts w:ascii="Arial" w:eastAsia="Arial" w:hAnsi="Arial" w:cs="Arial"/>
                <w:b/>
                <w:bCs/>
                <w:sz w:val="22"/>
                <w:szCs w:val="22"/>
              </w:rPr>
              <w:t xml:space="preserve">WILL WE BE PAYING </w:t>
            </w:r>
            <w:r w:rsidRPr="00B06B12">
              <w:rPr>
                <w:rFonts w:ascii="Arial" w:eastAsia="Arial" w:hAnsi="Arial" w:cs="Arial"/>
                <w:b/>
                <w:bCs/>
                <w:i/>
                <w:iCs/>
                <w:sz w:val="22"/>
                <w:szCs w:val="22"/>
              </w:rPr>
              <w:t>[DIVIDENDS/DISTRIBUTIONS]</w:t>
            </w:r>
            <w:r w:rsidRPr="00B06B12">
              <w:rPr>
                <w:rFonts w:ascii="Arial" w:eastAsia="Arial" w:hAnsi="Arial" w:cs="Arial"/>
                <w:b/>
                <w:bCs/>
                <w:sz w:val="22"/>
                <w:szCs w:val="22"/>
              </w:rPr>
              <w:t xml:space="preserve"> AFTER THE OFFER?</w:t>
            </w:r>
          </w:p>
        </w:tc>
      </w:tr>
      <w:tr w:rsidR="00B06B12" w:rsidRPr="00B06B12" w14:paraId="48A285C3" w14:textId="77777777" w:rsidTr="00DC276A">
        <w:trPr>
          <w:trHeight w:val="1155"/>
        </w:trPr>
        <w:tc>
          <w:tcPr>
            <w:tcW w:w="8640" w:type="dxa"/>
            <w:gridSpan w:val="4"/>
            <w:tcBorders>
              <w:top w:val="single" w:sz="4" w:space="0" w:color="auto"/>
              <w:left w:val="single" w:sz="4" w:space="0" w:color="auto"/>
              <w:bottom w:val="single" w:sz="4" w:space="0" w:color="auto"/>
              <w:right w:val="single" w:sz="4" w:space="0" w:color="auto"/>
            </w:tcBorders>
          </w:tcPr>
          <w:p w14:paraId="1E9AC0D8" w14:textId="77777777" w:rsidR="00B06B12" w:rsidRPr="00B06B12" w:rsidRDefault="00B06B12" w:rsidP="00B06B12">
            <w:pPr>
              <w:autoSpaceDE w:val="0"/>
              <w:autoSpaceDN w:val="0"/>
              <w:adjustRightInd w:val="0"/>
              <w:jc w:val="both"/>
              <w:rPr>
                <w:rFonts w:ascii="Arial" w:eastAsia="Arial" w:hAnsi="Arial" w:cs="Arial"/>
                <w:i/>
                <w:iCs/>
                <w:color w:val="000000"/>
                <w:sz w:val="20"/>
                <w:szCs w:val="20"/>
              </w:rPr>
            </w:pPr>
            <w:r w:rsidRPr="00B06B12">
              <w:rPr>
                <w:rFonts w:ascii="Arial" w:eastAsia="Arial" w:hAnsi="Arial" w:cs="Arial"/>
                <w:i/>
                <w:iCs/>
                <w:color w:val="000000"/>
                <w:sz w:val="20"/>
                <w:szCs w:val="20"/>
              </w:rPr>
              <w:t xml:space="preserve">[Describe (i) the dividends/distributions per share/unit, if any, paid by the Issuer for each of the 3 most recent completed financial years, and (ii) the Issuer’s dividend/distribution policy, or if it does not have a fixed policy, to state so. Provide clear and prominent disclosure of any existing or proposed arrangement that materially enhances short-term yields while potentially diluting long-term yields. The disclosure should include a computation of the forecast distribution yield assuming that the arrangements are not in place.] </w:t>
            </w:r>
          </w:p>
          <w:p w14:paraId="31E4DFF5" w14:textId="77777777" w:rsidR="00B06B12" w:rsidRPr="00B06B12" w:rsidRDefault="00B06B12" w:rsidP="00B06B12">
            <w:pPr>
              <w:autoSpaceDE w:val="0"/>
              <w:autoSpaceDN w:val="0"/>
              <w:adjustRightInd w:val="0"/>
              <w:rPr>
                <w:rFonts w:ascii="Arial" w:eastAsia="Arial" w:hAnsi="Arial" w:cs="Arial"/>
                <w:color w:val="000000"/>
                <w:sz w:val="20"/>
                <w:szCs w:val="20"/>
              </w:rPr>
            </w:pPr>
          </w:p>
          <w:p w14:paraId="34708A67" w14:textId="77777777" w:rsidR="00B06B12" w:rsidRPr="00B06B12" w:rsidRDefault="00B06B12" w:rsidP="00B06B12">
            <w:pPr>
              <w:autoSpaceDE w:val="0"/>
              <w:autoSpaceDN w:val="0"/>
              <w:adjustRightInd w:val="0"/>
              <w:rPr>
                <w:rFonts w:ascii="Arial" w:eastAsia="Arial" w:hAnsi="Arial" w:cs="Arial"/>
                <w:b/>
                <w:bCs/>
                <w:color w:val="000000"/>
                <w:sz w:val="20"/>
                <w:szCs w:val="20"/>
              </w:rPr>
            </w:pPr>
            <w:r w:rsidRPr="00B06B12">
              <w:rPr>
                <w:rFonts w:ascii="Arial" w:eastAsia="Arial" w:hAnsi="Arial" w:cs="Arial"/>
                <w:b/>
                <w:bCs/>
                <w:color w:val="000000"/>
                <w:sz w:val="20"/>
                <w:szCs w:val="20"/>
              </w:rPr>
              <w:t xml:space="preserve">Example: </w:t>
            </w:r>
          </w:p>
          <w:p w14:paraId="5C7A676F" w14:textId="77777777" w:rsidR="00B06B12" w:rsidRPr="00B06B12" w:rsidRDefault="00B06B12" w:rsidP="00B06B12">
            <w:pPr>
              <w:autoSpaceDE w:val="0"/>
              <w:autoSpaceDN w:val="0"/>
              <w:adjustRightInd w:val="0"/>
              <w:rPr>
                <w:rFonts w:ascii="Arial" w:eastAsia="Arial" w:hAnsi="Arial" w:cs="Arial"/>
                <w:color w:val="000000"/>
                <w:sz w:val="20"/>
                <w:szCs w:val="20"/>
              </w:rPr>
            </w:pPr>
          </w:p>
          <w:p w14:paraId="5EDEFB3E"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color w:val="000000"/>
                <w:sz w:val="20"/>
                <w:szCs w:val="20"/>
              </w:rPr>
              <w:t xml:space="preserve">Over the last three financial years ended 31 December </w:t>
            </w:r>
            <w:r w:rsidRPr="00B06B12">
              <w:rPr>
                <w:rFonts w:ascii="Arial" w:eastAsia="Arial" w:hAnsi="Arial" w:cs="Arial"/>
                <w:i/>
                <w:iCs/>
                <w:color w:val="000000"/>
                <w:sz w:val="20"/>
                <w:szCs w:val="20"/>
              </w:rPr>
              <w:t>[year]</w:t>
            </w:r>
            <w:r w:rsidRPr="00B06B12">
              <w:rPr>
                <w:rFonts w:ascii="Arial" w:eastAsia="Arial" w:hAnsi="Arial" w:cs="Arial"/>
                <w:color w:val="000000"/>
                <w:sz w:val="20"/>
                <w:szCs w:val="20"/>
              </w:rPr>
              <w:t xml:space="preserve">, </w:t>
            </w:r>
            <w:r w:rsidRPr="00B06B12">
              <w:rPr>
                <w:rFonts w:ascii="Arial" w:eastAsia="Arial" w:hAnsi="Arial" w:cs="Arial"/>
                <w:i/>
                <w:iCs/>
                <w:color w:val="000000"/>
                <w:sz w:val="20"/>
                <w:szCs w:val="20"/>
              </w:rPr>
              <w:t>[year]</w:t>
            </w:r>
            <w:r w:rsidRPr="00B06B12">
              <w:rPr>
                <w:rFonts w:ascii="Arial" w:eastAsia="Arial" w:hAnsi="Arial" w:cs="Arial"/>
                <w:color w:val="000000"/>
                <w:sz w:val="20"/>
                <w:szCs w:val="20"/>
              </w:rPr>
              <w:t xml:space="preserve"> and </w:t>
            </w:r>
            <w:r w:rsidRPr="00B06B12">
              <w:rPr>
                <w:rFonts w:ascii="Arial" w:eastAsia="Arial" w:hAnsi="Arial" w:cs="Arial"/>
                <w:i/>
                <w:iCs/>
                <w:color w:val="000000"/>
                <w:sz w:val="20"/>
                <w:szCs w:val="20"/>
              </w:rPr>
              <w:t>[year]</w:t>
            </w:r>
            <w:r w:rsidRPr="00B06B12">
              <w:rPr>
                <w:rFonts w:ascii="Arial" w:eastAsia="Arial" w:hAnsi="Arial" w:cs="Arial"/>
                <w:color w:val="000000"/>
                <w:sz w:val="20"/>
                <w:szCs w:val="20"/>
              </w:rPr>
              <w:t xml:space="preserve">, we have not declared and distributed dividends. We currently do not have a fixed dividend policy. Any future payment of dividends by us would depend on our earnings, financial condition and other business and economic factors. If we do not pay any dividends, any return on investment may be limited to the value of our shares, and our shares may be less valuable because return on investment will depend entirely on capital appreciation. </w:t>
            </w:r>
          </w:p>
          <w:p w14:paraId="2B596546" w14:textId="77777777" w:rsidR="00B06B12" w:rsidRPr="00B06B12" w:rsidRDefault="00B06B12" w:rsidP="00B06B12">
            <w:pPr>
              <w:autoSpaceDE w:val="0"/>
              <w:autoSpaceDN w:val="0"/>
              <w:adjustRightInd w:val="0"/>
              <w:rPr>
                <w:rFonts w:ascii="Arial" w:eastAsia="Arial" w:hAnsi="Arial" w:cs="Arial"/>
                <w:i/>
                <w:iCs/>
                <w:color w:val="000000"/>
                <w:sz w:val="20"/>
                <w:szCs w:val="20"/>
              </w:rPr>
            </w:pPr>
          </w:p>
        </w:tc>
        <w:tc>
          <w:tcPr>
            <w:tcW w:w="2070" w:type="dxa"/>
            <w:tcBorders>
              <w:top w:val="single" w:sz="4" w:space="0" w:color="auto"/>
              <w:left w:val="single" w:sz="4" w:space="0" w:color="auto"/>
              <w:bottom w:val="single" w:sz="4" w:space="0" w:color="auto"/>
              <w:right w:val="single" w:sz="4" w:space="0" w:color="auto"/>
            </w:tcBorders>
          </w:tcPr>
          <w:p w14:paraId="1F8EE98D" w14:textId="77777777" w:rsidR="00B06B12" w:rsidRPr="00B06B12" w:rsidRDefault="00B06B12" w:rsidP="00B06B12">
            <w:pPr>
              <w:autoSpaceDE w:val="0"/>
              <w:autoSpaceDN w:val="0"/>
              <w:adjustRightInd w:val="0"/>
              <w:rPr>
                <w:rFonts w:ascii="Arial" w:eastAsia="Arial" w:hAnsi="Arial" w:cs="Arial"/>
                <w:color w:val="000000"/>
                <w:sz w:val="20"/>
                <w:szCs w:val="20"/>
              </w:rPr>
            </w:pPr>
            <w:r w:rsidRPr="00B06B12">
              <w:rPr>
                <w:rFonts w:ascii="Arial" w:eastAsia="Arial" w:hAnsi="Arial" w:cs="Arial"/>
                <w:color w:val="000000"/>
                <w:sz w:val="20"/>
                <w:szCs w:val="20"/>
              </w:rPr>
              <w:t>Refer to the “</w:t>
            </w:r>
            <w:r w:rsidRPr="00B06B12">
              <w:rPr>
                <w:rFonts w:ascii="Arial" w:eastAsia="Arial" w:hAnsi="Arial" w:cs="Arial"/>
                <w:i/>
                <w:iCs/>
                <w:color w:val="000000"/>
                <w:sz w:val="20"/>
                <w:szCs w:val="20"/>
              </w:rPr>
              <w:t>[relevant section]</w:t>
            </w:r>
            <w:r w:rsidRPr="00B06B12">
              <w:rPr>
                <w:rFonts w:ascii="Arial" w:eastAsia="Arial" w:hAnsi="Arial" w:cs="Arial"/>
                <w:color w:val="000000"/>
                <w:sz w:val="20"/>
                <w:szCs w:val="20"/>
              </w:rPr>
              <w:t xml:space="preserve">” on page(s) </w:t>
            </w:r>
            <w:r w:rsidRPr="00B06B12">
              <w:rPr>
                <w:rFonts w:ascii="Arial" w:eastAsia="Arial" w:hAnsi="Arial" w:cs="Arial"/>
                <w:i/>
                <w:iCs/>
                <w:color w:val="000000"/>
                <w:sz w:val="20"/>
                <w:szCs w:val="20"/>
              </w:rPr>
              <w:t>[●]</w:t>
            </w:r>
            <w:r w:rsidRPr="00B06B12">
              <w:rPr>
                <w:rFonts w:ascii="Arial" w:eastAsia="Arial" w:hAnsi="Arial" w:cs="Arial"/>
                <w:color w:val="000000"/>
                <w:sz w:val="20"/>
                <w:szCs w:val="20"/>
              </w:rPr>
              <w:t xml:space="preserve"> of the Offer document for more information on our </w:t>
            </w:r>
            <w:r w:rsidRPr="00B06B12">
              <w:rPr>
                <w:rFonts w:ascii="Arial" w:eastAsia="Arial" w:hAnsi="Arial" w:cs="Arial"/>
                <w:i/>
                <w:iCs/>
                <w:color w:val="000000"/>
                <w:sz w:val="20"/>
                <w:szCs w:val="20"/>
              </w:rPr>
              <w:t>[dividend / distribution]</w:t>
            </w:r>
            <w:r w:rsidRPr="00B06B12">
              <w:rPr>
                <w:rFonts w:ascii="Arial" w:eastAsia="Arial" w:hAnsi="Arial" w:cs="Arial"/>
                <w:color w:val="000000"/>
                <w:sz w:val="20"/>
                <w:szCs w:val="20"/>
              </w:rPr>
              <w:t xml:space="preserve"> policy. </w:t>
            </w:r>
          </w:p>
        </w:tc>
      </w:tr>
      <w:tr w:rsidR="00B06B12" w:rsidRPr="00B06B12" w14:paraId="7714D9CF" w14:textId="77777777" w:rsidTr="00B06B12">
        <w:trPr>
          <w:trHeight w:val="512"/>
        </w:trPr>
        <w:tc>
          <w:tcPr>
            <w:tcW w:w="10710" w:type="dxa"/>
            <w:gridSpan w:val="5"/>
            <w:tcBorders>
              <w:top w:val="single" w:sz="4" w:space="0" w:color="auto"/>
              <w:left w:val="single" w:sz="4" w:space="0" w:color="auto"/>
              <w:bottom w:val="single" w:sz="4" w:space="0" w:color="auto"/>
              <w:right w:val="single" w:sz="4" w:space="0" w:color="auto"/>
            </w:tcBorders>
            <w:shd w:val="clear" w:color="auto" w:fill="8E9080"/>
            <w:vAlign w:val="center"/>
          </w:tcPr>
          <w:p w14:paraId="1DF264E1" w14:textId="77777777" w:rsidR="00B06B12" w:rsidRPr="00B06B12" w:rsidRDefault="00B06B12" w:rsidP="00B06B12">
            <w:pPr>
              <w:autoSpaceDE w:val="0"/>
              <w:autoSpaceDN w:val="0"/>
              <w:adjustRightInd w:val="0"/>
              <w:jc w:val="center"/>
              <w:rPr>
                <w:rFonts w:ascii="Arial" w:eastAsia="Arial" w:hAnsi="Arial" w:cs="Arial"/>
                <w:color w:val="000000"/>
              </w:rPr>
            </w:pPr>
            <w:r w:rsidRPr="00B06B12">
              <w:rPr>
                <w:rFonts w:ascii="Arial" w:eastAsia="Arial" w:hAnsi="Arial" w:cs="Arial"/>
                <w:b/>
                <w:bCs/>
                <w:sz w:val="22"/>
                <w:szCs w:val="22"/>
              </w:rPr>
              <w:t>DEFINITIONS</w:t>
            </w:r>
          </w:p>
        </w:tc>
      </w:tr>
      <w:tr w:rsidR="00B06B12" w:rsidRPr="00B06B12" w14:paraId="1DD5941D" w14:textId="77777777" w:rsidTr="00DC276A">
        <w:trPr>
          <w:trHeight w:val="611"/>
        </w:trPr>
        <w:tc>
          <w:tcPr>
            <w:tcW w:w="10710" w:type="dxa"/>
            <w:gridSpan w:val="5"/>
            <w:tcBorders>
              <w:top w:val="single" w:sz="4" w:space="0" w:color="auto"/>
              <w:left w:val="single" w:sz="4" w:space="0" w:color="auto"/>
              <w:bottom w:val="single" w:sz="4" w:space="0" w:color="auto"/>
              <w:right w:val="single" w:sz="4" w:space="0" w:color="auto"/>
            </w:tcBorders>
          </w:tcPr>
          <w:p w14:paraId="75F4E4BD" w14:textId="77777777" w:rsidR="00B06B12" w:rsidRPr="00B06B12" w:rsidRDefault="00B06B12" w:rsidP="00B06B12">
            <w:pPr>
              <w:autoSpaceDE w:val="0"/>
              <w:autoSpaceDN w:val="0"/>
              <w:adjustRightInd w:val="0"/>
              <w:rPr>
                <w:rFonts w:ascii="Arial" w:eastAsia="Arial" w:hAnsi="Arial" w:cs="Arial"/>
                <w:i/>
                <w:iCs/>
                <w:color w:val="000000"/>
                <w:sz w:val="20"/>
                <w:szCs w:val="20"/>
              </w:rPr>
            </w:pPr>
            <w:r w:rsidRPr="00B06B12">
              <w:rPr>
                <w:rFonts w:ascii="Arial" w:eastAsia="Arial" w:hAnsi="Arial" w:cs="Arial"/>
                <w:i/>
                <w:iCs/>
                <w:color w:val="000000"/>
                <w:sz w:val="20"/>
                <w:szCs w:val="20"/>
              </w:rPr>
              <w:lastRenderedPageBreak/>
              <w:t xml:space="preserve">[Provide definitions if necessary.] </w:t>
            </w:r>
          </w:p>
          <w:p w14:paraId="4EF82151" w14:textId="77777777" w:rsidR="00B06B12" w:rsidRPr="00B06B12" w:rsidRDefault="00B06B12" w:rsidP="00B06B12">
            <w:pPr>
              <w:autoSpaceDE w:val="0"/>
              <w:autoSpaceDN w:val="0"/>
              <w:adjustRightInd w:val="0"/>
              <w:rPr>
                <w:rFonts w:ascii="Arial" w:eastAsia="Arial" w:hAnsi="Arial" w:cs="Arial"/>
                <w:i/>
                <w:iCs/>
                <w:color w:val="000000"/>
                <w:sz w:val="20"/>
                <w:szCs w:val="20"/>
              </w:rPr>
            </w:pPr>
          </w:p>
          <w:p w14:paraId="2023079B" w14:textId="77777777" w:rsidR="00B06B12" w:rsidRPr="00B06B12" w:rsidRDefault="00B06B12" w:rsidP="00B06B12">
            <w:pPr>
              <w:autoSpaceDE w:val="0"/>
              <w:autoSpaceDN w:val="0"/>
              <w:adjustRightInd w:val="0"/>
              <w:rPr>
                <w:rFonts w:ascii="Arial" w:eastAsia="Arial" w:hAnsi="Arial" w:cs="Arial"/>
                <w:i/>
                <w:iCs/>
                <w:color w:val="000000"/>
                <w:sz w:val="20"/>
                <w:szCs w:val="20"/>
              </w:rPr>
            </w:pPr>
          </w:p>
          <w:p w14:paraId="7AE77D5A" w14:textId="77777777" w:rsidR="00B06B12" w:rsidRPr="00B06B12" w:rsidRDefault="00B06B12" w:rsidP="00B06B12">
            <w:pPr>
              <w:autoSpaceDE w:val="0"/>
              <w:autoSpaceDN w:val="0"/>
              <w:adjustRightInd w:val="0"/>
              <w:rPr>
                <w:rFonts w:ascii="Arial" w:eastAsia="Arial" w:hAnsi="Arial" w:cs="Arial"/>
                <w:i/>
                <w:iCs/>
                <w:color w:val="000000"/>
                <w:sz w:val="20"/>
                <w:szCs w:val="20"/>
              </w:rPr>
            </w:pPr>
          </w:p>
          <w:p w14:paraId="1DC0E0CE" w14:textId="77777777" w:rsidR="00B06B12" w:rsidRPr="00B06B12" w:rsidRDefault="00B06B12" w:rsidP="00B06B12">
            <w:pPr>
              <w:autoSpaceDE w:val="0"/>
              <w:autoSpaceDN w:val="0"/>
              <w:adjustRightInd w:val="0"/>
              <w:rPr>
                <w:rFonts w:ascii="Arial" w:eastAsia="Arial" w:hAnsi="Arial" w:cs="Arial"/>
                <w:i/>
                <w:iCs/>
                <w:color w:val="000000"/>
                <w:sz w:val="20"/>
                <w:szCs w:val="20"/>
              </w:rPr>
            </w:pPr>
          </w:p>
          <w:p w14:paraId="0B7D0319" w14:textId="77777777" w:rsidR="00B06B12" w:rsidRPr="00B06B12" w:rsidRDefault="00B06B12" w:rsidP="00B06B12">
            <w:pPr>
              <w:autoSpaceDE w:val="0"/>
              <w:autoSpaceDN w:val="0"/>
              <w:adjustRightInd w:val="0"/>
              <w:rPr>
                <w:rFonts w:ascii="Arial" w:eastAsia="Arial" w:hAnsi="Arial" w:cs="Arial"/>
                <w:i/>
                <w:iCs/>
                <w:color w:val="000000"/>
                <w:sz w:val="20"/>
                <w:szCs w:val="20"/>
              </w:rPr>
            </w:pPr>
          </w:p>
          <w:p w14:paraId="55EC9BC4" w14:textId="77777777" w:rsidR="00B06B12" w:rsidRPr="00B06B12" w:rsidRDefault="00B06B12" w:rsidP="00B06B12">
            <w:pPr>
              <w:autoSpaceDE w:val="0"/>
              <w:autoSpaceDN w:val="0"/>
              <w:adjustRightInd w:val="0"/>
              <w:rPr>
                <w:rFonts w:ascii="Arial" w:eastAsia="Arial" w:hAnsi="Arial" w:cs="Arial"/>
                <w:i/>
                <w:iCs/>
                <w:color w:val="000000"/>
                <w:sz w:val="20"/>
                <w:szCs w:val="20"/>
              </w:rPr>
            </w:pPr>
          </w:p>
          <w:p w14:paraId="71208531" w14:textId="77777777" w:rsidR="00B06B12" w:rsidRPr="00B06B12" w:rsidRDefault="00B06B12" w:rsidP="00B06B12">
            <w:pPr>
              <w:autoSpaceDE w:val="0"/>
              <w:autoSpaceDN w:val="0"/>
              <w:adjustRightInd w:val="0"/>
              <w:rPr>
                <w:rFonts w:ascii="Arial" w:eastAsia="Arial" w:hAnsi="Arial" w:cs="Arial"/>
                <w:i/>
                <w:iCs/>
                <w:color w:val="000000"/>
                <w:sz w:val="20"/>
                <w:szCs w:val="20"/>
              </w:rPr>
            </w:pPr>
          </w:p>
          <w:p w14:paraId="07A2A496" w14:textId="77777777" w:rsidR="00B06B12" w:rsidRPr="00B06B12" w:rsidRDefault="00B06B12" w:rsidP="00B06B12">
            <w:pPr>
              <w:autoSpaceDE w:val="0"/>
              <w:autoSpaceDN w:val="0"/>
              <w:adjustRightInd w:val="0"/>
              <w:rPr>
                <w:rFonts w:ascii="Arial" w:eastAsia="Arial" w:hAnsi="Arial" w:cs="Arial"/>
                <w:i/>
                <w:iCs/>
                <w:color w:val="000000"/>
                <w:sz w:val="20"/>
                <w:szCs w:val="20"/>
              </w:rPr>
            </w:pPr>
          </w:p>
          <w:p w14:paraId="0590C4AB" w14:textId="77777777" w:rsidR="00B06B12" w:rsidRPr="00B06B12" w:rsidRDefault="00B06B12" w:rsidP="00B06B12">
            <w:pPr>
              <w:autoSpaceDE w:val="0"/>
              <w:autoSpaceDN w:val="0"/>
              <w:adjustRightInd w:val="0"/>
              <w:rPr>
                <w:rFonts w:ascii="Arial" w:eastAsia="Arial" w:hAnsi="Arial" w:cs="Arial"/>
                <w:color w:val="000000"/>
                <w:sz w:val="20"/>
                <w:szCs w:val="20"/>
              </w:rPr>
            </w:pPr>
          </w:p>
        </w:tc>
      </w:tr>
      <w:tr w:rsidR="00B06B12" w:rsidRPr="00B06B12" w14:paraId="7FAE0CBD" w14:textId="77777777" w:rsidTr="00B06B12">
        <w:trPr>
          <w:trHeight w:val="530"/>
        </w:trPr>
        <w:tc>
          <w:tcPr>
            <w:tcW w:w="10710" w:type="dxa"/>
            <w:gridSpan w:val="5"/>
            <w:tcBorders>
              <w:top w:val="single" w:sz="4" w:space="0" w:color="auto"/>
              <w:left w:val="single" w:sz="4" w:space="0" w:color="auto"/>
              <w:bottom w:val="single" w:sz="4" w:space="0" w:color="auto"/>
              <w:right w:val="single" w:sz="4" w:space="0" w:color="auto"/>
            </w:tcBorders>
            <w:shd w:val="clear" w:color="auto" w:fill="8E9080"/>
            <w:vAlign w:val="center"/>
          </w:tcPr>
          <w:p w14:paraId="259FD4A9" w14:textId="77777777" w:rsidR="00B06B12" w:rsidRPr="00B06B12" w:rsidRDefault="00B06B12" w:rsidP="00B06B12">
            <w:pPr>
              <w:autoSpaceDE w:val="0"/>
              <w:autoSpaceDN w:val="0"/>
              <w:adjustRightInd w:val="0"/>
              <w:jc w:val="center"/>
              <w:rPr>
                <w:rFonts w:ascii="Arial" w:eastAsia="Arial" w:hAnsi="Arial" w:cs="Arial"/>
              </w:rPr>
            </w:pPr>
            <w:r w:rsidRPr="00B06B12">
              <w:rPr>
                <w:rFonts w:ascii="Arial" w:eastAsia="Arial" w:hAnsi="Arial" w:cs="Arial"/>
                <w:b/>
                <w:bCs/>
                <w:sz w:val="22"/>
                <w:szCs w:val="22"/>
              </w:rPr>
              <w:t>CONTACT INFORMATION</w:t>
            </w:r>
          </w:p>
        </w:tc>
      </w:tr>
      <w:tr w:rsidR="00B06B12" w:rsidRPr="00B06B12" w14:paraId="4FC3104E" w14:textId="77777777" w:rsidTr="00B06B12">
        <w:trPr>
          <w:trHeight w:val="539"/>
        </w:trPr>
        <w:tc>
          <w:tcPr>
            <w:tcW w:w="10710" w:type="dxa"/>
            <w:gridSpan w:val="5"/>
            <w:tcBorders>
              <w:top w:val="single" w:sz="4" w:space="0" w:color="auto"/>
              <w:left w:val="single" w:sz="4" w:space="0" w:color="auto"/>
              <w:bottom w:val="single" w:sz="4" w:space="0" w:color="auto"/>
              <w:right w:val="single" w:sz="4" w:space="0" w:color="auto"/>
            </w:tcBorders>
            <w:shd w:val="clear" w:color="auto" w:fill="004966"/>
            <w:vAlign w:val="center"/>
          </w:tcPr>
          <w:p w14:paraId="532BBB73" w14:textId="77777777" w:rsidR="00B06B12" w:rsidRPr="00B06B12" w:rsidRDefault="00B06B12" w:rsidP="00B06B12">
            <w:pPr>
              <w:autoSpaceDE w:val="0"/>
              <w:autoSpaceDN w:val="0"/>
              <w:adjustRightInd w:val="0"/>
              <w:jc w:val="center"/>
              <w:rPr>
                <w:rFonts w:ascii="Arial" w:eastAsia="Arial" w:hAnsi="Arial" w:cs="Arial"/>
              </w:rPr>
            </w:pPr>
            <w:r w:rsidRPr="00B06B12">
              <w:rPr>
                <w:rFonts w:ascii="Arial" w:eastAsia="Arial" w:hAnsi="Arial" w:cs="Arial"/>
                <w:b/>
                <w:bCs/>
                <w:sz w:val="22"/>
                <w:szCs w:val="22"/>
              </w:rPr>
              <w:t>WHO CAN YOU CONTACT IF YOU HAVE ENQUIRIES RELATING TO OUR OFFER?</w:t>
            </w:r>
          </w:p>
        </w:tc>
      </w:tr>
      <w:tr w:rsidR="00B06B12" w:rsidRPr="00B06B12" w14:paraId="7952A251" w14:textId="77777777" w:rsidTr="00DC276A">
        <w:trPr>
          <w:trHeight w:val="980"/>
        </w:trPr>
        <w:tc>
          <w:tcPr>
            <w:tcW w:w="10710" w:type="dxa"/>
            <w:gridSpan w:val="5"/>
            <w:tcBorders>
              <w:top w:val="single" w:sz="4" w:space="0" w:color="auto"/>
              <w:left w:val="single" w:sz="4" w:space="0" w:color="auto"/>
              <w:bottom w:val="single" w:sz="4" w:space="0" w:color="auto"/>
              <w:right w:val="single" w:sz="4" w:space="0" w:color="auto"/>
            </w:tcBorders>
          </w:tcPr>
          <w:p w14:paraId="09555EE6" w14:textId="77777777" w:rsidR="00B06B12" w:rsidRPr="00B06B12" w:rsidRDefault="00B06B12" w:rsidP="00B06B12">
            <w:pPr>
              <w:autoSpaceDE w:val="0"/>
              <w:autoSpaceDN w:val="0"/>
              <w:adjustRightInd w:val="0"/>
              <w:rPr>
                <w:rFonts w:ascii="Arial" w:eastAsia="Arial" w:hAnsi="Arial" w:cs="Arial"/>
                <w:color w:val="000000"/>
                <w:sz w:val="22"/>
                <w:szCs w:val="22"/>
              </w:rPr>
            </w:pPr>
            <w:r w:rsidRPr="00B06B12">
              <w:rPr>
                <w:rFonts w:ascii="Arial" w:eastAsia="Arial" w:hAnsi="Arial" w:cs="Arial"/>
                <w:b/>
                <w:bCs/>
                <w:color w:val="000000"/>
                <w:sz w:val="22"/>
                <w:szCs w:val="22"/>
              </w:rPr>
              <w:t xml:space="preserve">HOW DO YOU CONTACT US? </w:t>
            </w:r>
          </w:p>
          <w:p w14:paraId="2B2659E0" w14:textId="77777777" w:rsidR="00B06B12" w:rsidRPr="00B06B12" w:rsidRDefault="00B06B12" w:rsidP="00B06B12">
            <w:pPr>
              <w:autoSpaceDE w:val="0"/>
              <w:autoSpaceDN w:val="0"/>
              <w:adjustRightInd w:val="0"/>
              <w:jc w:val="both"/>
              <w:rPr>
                <w:rFonts w:ascii="Arial" w:eastAsia="Arial" w:hAnsi="Arial" w:cs="Arial"/>
                <w:color w:val="000000"/>
                <w:sz w:val="20"/>
                <w:szCs w:val="20"/>
              </w:rPr>
            </w:pPr>
            <w:r w:rsidRPr="00B06B12">
              <w:rPr>
                <w:rFonts w:ascii="Arial" w:eastAsia="Arial" w:hAnsi="Arial" w:cs="Arial"/>
                <w:i/>
                <w:iCs/>
                <w:sz w:val="20"/>
                <w:szCs w:val="20"/>
              </w:rPr>
              <w:t xml:space="preserve">[Provide contact details of Issuer, distributor(s)/underwriter(s) and/or issue manager(s) whom investors can contact if they have enquiries. Include a website address and email address, if appropriate.] </w:t>
            </w:r>
          </w:p>
        </w:tc>
      </w:tr>
    </w:tbl>
    <w:p w14:paraId="7229E340" w14:textId="7348DE11" w:rsidR="005B71DD" w:rsidRDefault="005B71DD" w:rsidP="0052068F">
      <w:pPr>
        <w:spacing w:after="160" w:line="259" w:lineRule="auto"/>
        <w:rPr>
          <w:rFonts w:ascii="Arial" w:hAnsi="Arial" w:cs="Arial"/>
          <w:color w:val="000000"/>
          <w:sz w:val="22"/>
          <w:szCs w:val="22"/>
        </w:rPr>
      </w:pPr>
    </w:p>
    <w:p w14:paraId="2E3B80B7" w14:textId="77777777" w:rsidR="005B71DD" w:rsidRDefault="005B71DD">
      <w:pPr>
        <w:rPr>
          <w:rFonts w:ascii="Arial" w:hAnsi="Arial" w:cs="Arial"/>
          <w:color w:val="000000"/>
          <w:sz w:val="22"/>
          <w:szCs w:val="22"/>
        </w:rPr>
        <w:sectPr w:rsidR="005B71DD" w:rsidSect="005B71DD">
          <w:headerReference w:type="default" r:id="rId20"/>
          <w:pgSz w:w="11909" w:h="16834" w:code="9"/>
          <w:pgMar w:top="1440" w:right="1440" w:bottom="1440" w:left="1440" w:header="720" w:footer="720" w:gutter="0"/>
          <w:cols w:space="720"/>
          <w:docGrid w:linePitch="360"/>
        </w:sectPr>
      </w:pPr>
    </w:p>
    <w:p w14:paraId="0790B28E" w14:textId="4FE01157" w:rsidR="005B71DD" w:rsidRPr="005B71DD" w:rsidRDefault="005B71DD" w:rsidP="005B71DD">
      <w:pPr>
        <w:pStyle w:val="S2Heading1"/>
        <w:rPr>
          <w:rFonts w:ascii="Arial" w:hAnsi="Arial" w:cs="Arial"/>
          <w:sz w:val="22"/>
          <w:szCs w:val="22"/>
        </w:rPr>
      </w:pPr>
      <w:bookmarkStart w:id="1006" w:name="_Toc60412639"/>
      <w:bookmarkStart w:id="1007" w:name="_Toc138325756"/>
      <w:r w:rsidRPr="005B71DD">
        <w:rPr>
          <w:rFonts w:ascii="Arial" w:hAnsi="Arial" w:cs="Arial"/>
          <w:sz w:val="22"/>
          <w:szCs w:val="22"/>
        </w:rPr>
        <w:lastRenderedPageBreak/>
        <w:t>RESTRICTED SECURITIES</w:t>
      </w:r>
      <w:bookmarkEnd w:id="1006"/>
      <w:bookmarkEnd w:id="1007"/>
    </w:p>
    <w:p w14:paraId="551E9AF2" w14:textId="77777777" w:rsidR="005B71DD" w:rsidRPr="005B71DD" w:rsidRDefault="005B71DD" w:rsidP="005B71DD">
      <w:pPr>
        <w:pStyle w:val="S2Heading2"/>
        <w:numPr>
          <w:ilvl w:val="0"/>
          <w:numId w:val="0"/>
        </w:numPr>
        <w:ind w:left="864" w:hanging="864"/>
        <w:rPr>
          <w:rFonts w:ascii="Arial" w:hAnsi="Arial" w:cs="Arial"/>
          <w:b/>
          <w:bCs w:val="0"/>
          <w:sz w:val="22"/>
          <w:szCs w:val="22"/>
        </w:rPr>
      </w:pPr>
      <w:bookmarkStart w:id="1008" w:name="_Toc60412640"/>
      <w:bookmarkStart w:id="1009" w:name="_Toc138325757"/>
      <w:r w:rsidRPr="005B71DD">
        <w:rPr>
          <w:rFonts w:ascii="Arial" w:hAnsi="Arial" w:cs="Arial"/>
          <w:b/>
          <w:bCs w:val="0"/>
          <w:sz w:val="22"/>
          <w:szCs w:val="22"/>
        </w:rPr>
        <w:t>A8.1</w:t>
      </w:r>
      <w:r w:rsidRPr="005B71DD">
        <w:rPr>
          <w:rFonts w:ascii="Arial" w:hAnsi="Arial" w:cs="Arial"/>
          <w:b/>
          <w:bCs w:val="0"/>
          <w:sz w:val="22"/>
          <w:szCs w:val="22"/>
        </w:rPr>
        <w:tab/>
        <w:t>Determination of Restricted Securities</w:t>
      </w:r>
      <w:bookmarkEnd w:id="1008"/>
      <w:bookmarkEnd w:id="1009"/>
      <w:r w:rsidRPr="005B71DD">
        <w:rPr>
          <w:rFonts w:ascii="Arial" w:hAnsi="Arial" w:cs="Arial"/>
          <w:b/>
          <w:bCs w:val="0"/>
          <w:sz w:val="22"/>
          <w:szCs w:val="22"/>
        </w:rPr>
        <w:t xml:space="preserve"> </w:t>
      </w:r>
    </w:p>
    <w:p w14:paraId="122B19F2" w14:textId="77777777" w:rsidR="005B71DD" w:rsidRPr="005B71DD" w:rsidRDefault="005B71DD" w:rsidP="005B71DD">
      <w:pPr>
        <w:pStyle w:val="S2Heading3"/>
        <w:numPr>
          <w:ilvl w:val="0"/>
          <w:numId w:val="0"/>
        </w:numPr>
        <w:ind w:left="864" w:hanging="864"/>
        <w:rPr>
          <w:rFonts w:ascii="Arial" w:hAnsi="Arial" w:cs="Arial"/>
          <w:sz w:val="22"/>
          <w:szCs w:val="22"/>
        </w:rPr>
      </w:pPr>
      <w:r w:rsidRPr="005B71DD">
        <w:rPr>
          <w:rFonts w:ascii="Arial" w:hAnsi="Arial" w:cs="Arial"/>
          <w:sz w:val="22"/>
          <w:szCs w:val="22"/>
        </w:rPr>
        <w:t>A8.1.1</w:t>
      </w:r>
      <w:r w:rsidRPr="005B71DD">
        <w:rPr>
          <w:rFonts w:ascii="Arial" w:hAnsi="Arial" w:cs="Arial"/>
          <w:sz w:val="22"/>
          <w:szCs w:val="22"/>
        </w:rPr>
        <w:tab/>
        <w:t>This table forms part of Rule 9.6.5.</w:t>
      </w:r>
    </w:p>
    <w:p w14:paraId="1A8F1F33" w14:textId="77777777" w:rsidR="005B71DD" w:rsidRPr="005B71DD" w:rsidRDefault="005B71DD" w:rsidP="005B71DD">
      <w:pPr>
        <w:pStyle w:val="S2Heading3"/>
        <w:numPr>
          <w:ilvl w:val="0"/>
          <w:numId w:val="0"/>
        </w:numPr>
        <w:rPr>
          <w:rFonts w:ascii="Arial" w:hAnsi="Arial" w:cs="Arial"/>
          <w:sz w:val="22"/>
          <w:szCs w:val="22"/>
        </w:rPr>
      </w:pPr>
      <w:r w:rsidRPr="005B71DD">
        <w:rPr>
          <w:rFonts w:ascii="Arial" w:hAnsi="Arial" w:cs="Arial"/>
          <w:sz w:val="22"/>
          <w:szCs w:val="22"/>
        </w:rPr>
        <w:t>Terms used in this APP 8, and not otherwise defined in GLO, shall mean the following:</w:t>
      </w:r>
    </w:p>
    <w:tbl>
      <w:tblPr>
        <w:tblStyle w:val="TableGrid"/>
        <w:tblW w:w="0" w:type="auto"/>
        <w:tblLook w:val="04A0" w:firstRow="1" w:lastRow="0" w:firstColumn="1" w:lastColumn="0" w:noHBand="0" w:noVBand="1"/>
      </w:tblPr>
      <w:tblGrid>
        <w:gridCol w:w="2830"/>
        <w:gridCol w:w="3119"/>
        <w:gridCol w:w="7995"/>
      </w:tblGrid>
      <w:tr w:rsidR="005B71DD" w:rsidRPr="005B71DD" w14:paraId="3EE53C73" w14:textId="77777777" w:rsidTr="00CE5B08">
        <w:tc>
          <w:tcPr>
            <w:tcW w:w="2830" w:type="dxa"/>
          </w:tcPr>
          <w:p w14:paraId="7FACA989" w14:textId="77777777" w:rsidR="005B71DD" w:rsidRPr="005B71DD" w:rsidRDefault="005B71DD" w:rsidP="00CE5B08">
            <w:pPr>
              <w:pStyle w:val="S2Heading3"/>
              <w:numPr>
                <w:ilvl w:val="0"/>
                <w:numId w:val="0"/>
              </w:numPr>
              <w:rPr>
                <w:rFonts w:ascii="Arial" w:hAnsi="Arial" w:cs="Arial"/>
                <w:b/>
                <w:bCs w:val="0"/>
                <w:sz w:val="22"/>
                <w:szCs w:val="22"/>
              </w:rPr>
            </w:pPr>
            <w:r w:rsidRPr="005B71DD">
              <w:rPr>
                <w:rFonts w:ascii="Arial" w:hAnsi="Arial" w:cs="Arial"/>
                <w:b/>
                <w:bCs w:val="0"/>
                <w:sz w:val="22"/>
                <w:szCs w:val="22"/>
              </w:rPr>
              <w:t>Relevant Service Provider</w:t>
            </w:r>
          </w:p>
        </w:tc>
        <w:tc>
          <w:tcPr>
            <w:tcW w:w="11114" w:type="dxa"/>
            <w:gridSpan w:val="2"/>
          </w:tcPr>
          <w:p w14:paraId="1DF0EDF3" w14:textId="77777777" w:rsidR="005B71DD" w:rsidRPr="005B71DD" w:rsidRDefault="005B71DD" w:rsidP="00CE5B08">
            <w:pPr>
              <w:pStyle w:val="S2Heading3"/>
              <w:numPr>
                <w:ilvl w:val="0"/>
                <w:numId w:val="0"/>
              </w:numPr>
              <w:rPr>
                <w:rFonts w:ascii="Arial" w:hAnsi="Arial" w:cs="Arial"/>
                <w:sz w:val="22"/>
                <w:szCs w:val="22"/>
              </w:rPr>
            </w:pPr>
            <w:r w:rsidRPr="005B71DD">
              <w:rPr>
                <w:rFonts w:ascii="Arial" w:hAnsi="Arial" w:cs="Arial"/>
                <w:sz w:val="22"/>
                <w:szCs w:val="22"/>
              </w:rPr>
              <w:t>A Person (or an associate of a Person) who provides a service to the Applicant (or a Related Party of the Applicant) in connection with the Application’s application for admission to the Official List, or in connection with the offer of Securities by the Issuer/Listed Entity.</w:t>
            </w:r>
          </w:p>
        </w:tc>
      </w:tr>
      <w:tr w:rsidR="005B71DD" w:rsidRPr="005B71DD" w14:paraId="7AE0792D" w14:textId="77777777" w:rsidTr="00CE5B08">
        <w:tc>
          <w:tcPr>
            <w:tcW w:w="2830" w:type="dxa"/>
            <w:vMerge w:val="restart"/>
          </w:tcPr>
          <w:p w14:paraId="7B4CD1F4" w14:textId="77777777" w:rsidR="005B71DD" w:rsidRPr="005B71DD" w:rsidRDefault="005B71DD" w:rsidP="00CE5B08">
            <w:pPr>
              <w:pStyle w:val="S2Heading3"/>
              <w:numPr>
                <w:ilvl w:val="0"/>
                <w:numId w:val="0"/>
              </w:numPr>
              <w:rPr>
                <w:rFonts w:ascii="Arial" w:hAnsi="Arial" w:cs="Arial"/>
                <w:b/>
                <w:bCs w:val="0"/>
                <w:sz w:val="22"/>
                <w:szCs w:val="22"/>
              </w:rPr>
            </w:pPr>
            <w:r w:rsidRPr="005B71DD">
              <w:rPr>
                <w:rFonts w:ascii="Arial" w:hAnsi="Arial" w:cs="Arial"/>
                <w:b/>
                <w:bCs w:val="0"/>
                <w:sz w:val="22"/>
                <w:szCs w:val="22"/>
              </w:rPr>
              <w:t>Restriction Formula</w:t>
            </w:r>
          </w:p>
        </w:tc>
        <w:tc>
          <w:tcPr>
            <w:tcW w:w="3119" w:type="dxa"/>
            <w:vMerge w:val="restart"/>
          </w:tcPr>
          <w:p w14:paraId="4D1F7719" w14:textId="77777777" w:rsidR="005B71DD" w:rsidRPr="005B71DD" w:rsidRDefault="005B71DD" w:rsidP="00CE5B08">
            <w:pPr>
              <w:pStyle w:val="S2Heading3"/>
              <w:numPr>
                <w:ilvl w:val="0"/>
                <w:numId w:val="0"/>
              </w:numPr>
              <w:rPr>
                <w:rFonts w:ascii="Arial" w:hAnsi="Arial" w:cs="Arial"/>
                <w:sz w:val="22"/>
                <w:szCs w:val="22"/>
              </w:rPr>
            </w:pPr>
            <w:r w:rsidRPr="005B71DD">
              <w:rPr>
                <w:rFonts w:ascii="Arial" w:hAnsi="Arial" w:cs="Arial"/>
                <w:sz w:val="22"/>
                <w:szCs w:val="22"/>
              </w:rPr>
              <w:t xml:space="preserve">for </w:t>
            </w:r>
            <w:r w:rsidRPr="005B71DD">
              <w:rPr>
                <w:rFonts w:ascii="Arial" w:hAnsi="Arial" w:cs="Arial"/>
                <w:b/>
                <w:bCs w:val="0"/>
                <w:sz w:val="22"/>
                <w:szCs w:val="22"/>
              </w:rPr>
              <w:t>Securities</w:t>
            </w:r>
            <w:r w:rsidRPr="005B71DD">
              <w:rPr>
                <w:rFonts w:ascii="Arial" w:hAnsi="Arial" w:cs="Arial"/>
                <w:sz w:val="22"/>
                <w:szCs w:val="22"/>
              </w:rPr>
              <w:t xml:space="preserve"> (non-Warrants)</w:t>
            </w:r>
          </w:p>
        </w:tc>
        <w:tc>
          <w:tcPr>
            <w:tcW w:w="7995" w:type="dxa"/>
            <w:tcBorders>
              <w:bottom w:val="dotted" w:sz="4" w:space="0" w:color="auto"/>
            </w:tcBorders>
          </w:tcPr>
          <w:p w14:paraId="4B28E4DB" w14:textId="77777777" w:rsidR="005B71DD" w:rsidRPr="005B71DD" w:rsidRDefault="005B71DD" w:rsidP="00CE5B08">
            <w:pPr>
              <w:pStyle w:val="S2Heading3"/>
              <w:numPr>
                <w:ilvl w:val="0"/>
                <w:numId w:val="0"/>
              </w:numPr>
              <w:rPr>
                <w:rFonts w:ascii="Arial" w:hAnsi="Arial" w:cs="Arial"/>
                <w:sz w:val="22"/>
                <w:szCs w:val="22"/>
              </w:rPr>
            </w:pPr>
            <w:r w:rsidRPr="005B71DD">
              <w:rPr>
                <w:rFonts w:ascii="Arial" w:hAnsi="Arial" w:cs="Arial"/>
                <w:sz w:val="22"/>
                <w:szCs w:val="22"/>
              </w:rPr>
              <w:t xml:space="preserve">The number of Securities not subject to a Restriction Period is calculated as </w:t>
            </w:r>
            <w:r w:rsidRPr="005B71DD">
              <w:rPr>
                <w:rFonts w:ascii="Arial" w:hAnsi="Arial" w:cs="Arial"/>
                <w:b/>
                <w:bCs w:val="0"/>
                <w:sz w:val="22"/>
                <w:szCs w:val="22"/>
              </w:rPr>
              <w:t>(A / B) x C</w:t>
            </w:r>
            <w:r w:rsidRPr="005B71DD">
              <w:rPr>
                <w:rFonts w:ascii="Arial" w:hAnsi="Arial" w:cs="Arial"/>
                <w:sz w:val="22"/>
                <w:szCs w:val="22"/>
              </w:rPr>
              <w:t>, where:</w:t>
            </w:r>
          </w:p>
        </w:tc>
      </w:tr>
      <w:tr w:rsidR="005B71DD" w:rsidRPr="005B71DD" w14:paraId="3CBEF13C" w14:textId="77777777" w:rsidTr="00CE5B08">
        <w:tc>
          <w:tcPr>
            <w:tcW w:w="2830" w:type="dxa"/>
            <w:vMerge/>
          </w:tcPr>
          <w:p w14:paraId="1095A877" w14:textId="77777777" w:rsidR="005B71DD" w:rsidRPr="005B71DD" w:rsidRDefault="005B71DD" w:rsidP="00CE5B08">
            <w:pPr>
              <w:pStyle w:val="S2Heading3"/>
              <w:numPr>
                <w:ilvl w:val="0"/>
                <w:numId w:val="0"/>
              </w:numPr>
              <w:rPr>
                <w:rFonts w:ascii="Arial" w:hAnsi="Arial" w:cs="Arial"/>
                <w:b/>
                <w:bCs w:val="0"/>
                <w:sz w:val="22"/>
                <w:szCs w:val="22"/>
              </w:rPr>
            </w:pPr>
          </w:p>
        </w:tc>
        <w:tc>
          <w:tcPr>
            <w:tcW w:w="3119" w:type="dxa"/>
            <w:vMerge/>
          </w:tcPr>
          <w:p w14:paraId="586C8D1C" w14:textId="77777777" w:rsidR="005B71DD" w:rsidRPr="005B71DD" w:rsidRDefault="005B71DD" w:rsidP="00CE5B08">
            <w:pPr>
              <w:pStyle w:val="S2Heading3"/>
              <w:numPr>
                <w:ilvl w:val="0"/>
                <w:numId w:val="0"/>
              </w:numPr>
              <w:rPr>
                <w:rFonts w:ascii="Arial" w:hAnsi="Arial" w:cs="Arial"/>
                <w:sz w:val="22"/>
                <w:szCs w:val="22"/>
              </w:rPr>
            </w:pPr>
          </w:p>
        </w:tc>
        <w:tc>
          <w:tcPr>
            <w:tcW w:w="7995" w:type="dxa"/>
            <w:tcBorders>
              <w:top w:val="dotted" w:sz="4" w:space="0" w:color="auto"/>
              <w:bottom w:val="dotted" w:sz="4" w:space="0" w:color="auto"/>
            </w:tcBorders>
          </w:tcPr>
          <w:p w14:paraId="576E47A2" w14:textId="77777777" w:rsidR="005B71DD" w:rsidRPr="005B71DD" w:rsidRDefault="005B71DD" w:rsidP="00CE5B08">
            <w:pPr>
              <w:pStyle w:val="S2Heading3"/>
              <w:numPr>
                <w:ilvl w:val="0"/>
                <w:numId w:val="0"/>
              </w:numPr>
              <w:rPr>
                <w:rFonts w:ascii="Arial" w:hAnsi="Arial" w:cs="Arial"/>
                <w:sz w:val="22"/>
                <w:szCs w:val="22"/>
              </w:rPr>
            </w:pPr>
            <w:r w:rsidRPr="005B71DD">
              <w:rPr>
                <w:rFonts w:ascii="Arial" w:hAnsi="Arial" w:cs="Arial"/>
                <w:b/>
                <w:bCs w:val="0"/>
                <w:sz w:val="22"/>
                <w:szCs w:val="22"/>
              </w:rPr>
              <w:t>A</w:t>
            </w:r>
            <w:r w:rsidRPr="005B71DD">
              <w:rPr>
                <w:rFonts w:ascii="Arial" w:hAnsi="Arial" w:cs="Arial"/>
                <w:sz w:val="22"/>
                <w:szCs w:val="22"/>
              </w:rPr>
              <w:t xml:space="preserve"> = cash paid for the Securities that could be subject to a Restriction Period.</w:t>
            </w:r>
          </w:p>
        </w:tc>
      </w:tr>
      <w:tr w:rsidR="005B71DD" w:rsidRPr="005B71DD" w14:paraId="5A253282" w14:textId="77777777" w:rsidTr="00CE5B08">
        <w:tc>
          <w:tcPr>
            <w:tcW w:w="2830" w:type="dxa"/>
            <w:vMerge/>
          </w:tcPr>
          <w:p w14:paraId="04396D68" w14:textId="77777777" w:rsidR="005B71DD" w:rsidRPr="005B71DD" w:rsidRDefault="005B71DD" w:rsidP="00CE5B08">
            <w:pPr>
              <w:pStyle w:val="S2Heading3"/>
              <w:numPr>
                <w:ilvl w:val="0"/>
                <w:numId w:val="0"/>
              </w:numPr>
              <w:rPr>
                <w:rFonts w:ascii="Arial" w:hAnsi="Arial" w:cs="Arial"/>
                <w:b/>
                <w:bCs w:val="0"/>
                <w:sz w:val="22"/>
                <w:szCs w:val="22"/>
              </w:rPr>
            </w:pPr>
          </w:p>
        </w:tc>
        <w:tc>
          <w:tcPr>
            <w:tcW w:w="3119" w:type="dxa"/>
            <w:vMerge/>
          </w:tcPr>
          <w:p w14:paraId="2A26E3C2" w14:textId="77777777" w:rsidR="005B71DD" w:rsidRPr="005B71DD" w:rsidRDefault="005B71DD" w:rsidP="00CE5B08">
            <w:pPr>
              <w:pStyle w:val="S2Heading3"/>
              <w:numPr>
                <w:ilvl w:val="0"/>
                <w:numId w:val="0"/>
              </w:numPr>
              <w:rPr>
                <w:rFonts w:ascii="Arial" w:hAnsi="Arial" w:cs="Arial"/>
                <w:sz w:val="22"/>
                <w:szCs w:val="22"/>
              </w:rPr>
            </w:pPr>
          </w:p>
        </w:tc>
        <w:tc>
          <w:tcPr>
            <w:tcW w:w="7995" w:type="dxa"/>
            <w:tcBorders>
              <w:top w:val="dotted" w:sz="4" w:space="0" w:color="auto"/>
              <w:bottom w:val="dotted" w:sz="4" w:space="0" w:color="auto"/>
            </w:tcBorders>
          </w:tcPr>
          <w:p w14:paraId="30FC4D10" w14:textId="77777777" w:rsidR="005B71DD" w:rsidRPr="005B71DD" w:rsidRDefault="005B71DD" w:rsidP="00CE5B08">
            <w:pPr>
              <w:pStyle w:val="S2Heading3"/>
              <w:numPr>
                <w:ilvl w:val="0"/>
                <w:numId w:val="0"/>
              </w:numPr>
              <w:rPr>
                <w:rFonts w:ascii="Arial" w:hAnsi="Arial" w:cs="Arial"/>
                <w:sz w:val="22"/>
                <w:szCs w:val="22"/>
              </w:rPr>
            </w:pPr>
            <w:r w:rsidRPr="005B71DD">
              <w:rPr>
                <w:rFonts w:ascii="Arial" w:hAnsi="Arial" w:cs="Arial"/>
                <w:b/>
                <w:bCs w:val="0"/>
                <w:sz w:val="22"/>
                <w:szCs w:val="22"/>
              </w:rPr>
              <w:t>B</w:t>
            </w:r>
            <w:r w:rsidRPr="005B71DD">
              <w:rPr>
                <w:rFonts w:ascii="Arial" w:hAnsi="Arial" w:cs="Arial"/>
                <w:sz w:val="22"/>
                <w:szCs w:val="22"/>
              </w:rPr>
              <w:t xml:space="preserve"> = price set for the Securities in the Applicant at the time of admission to the Official List, or as otherwise determined by the Regulator.</w:t>
            </w:r>
          </w:p>
        </w:tc>
      </w:tr>
      <w:tr w:rsidR="005B71DD" w:rsidRPr="005B71DD" w14:paraId="235DC3C8" w14:textId="77777777" w:rsidTr="00CE5B08">
        <w:tc>
          <w:tcPr>
            <w:tcW w:w="2830" w:type="dxa"/>
            <w:vMerge/>
          </w:tcPr>
          <w:p w14:paraId="600F7AF1" w14:textId="77777777" w:rsidR="005B71DD" w:rsidRPr="005B71DD" w:rsidRDefault="005B71DD" w:rsidP="00CE5B08">
            <w:pPr>
              <w:pStyle w:val="S2Heading3"/>
              <w:numPr>
                <w:ilvl w:val="0"/>
                <w:numId w:val="0"/>
              </w:numPr>
              <w:rPr>
                <w:rFonts w:ascii="Arial" w:hAnsi="Arial" w:cs="Arial"/>
                <w:b/>
                <w:bCs w:val="0"/>
                <w:sz w:val="22"/>
                <w:szCs w:val="22"/>
              </w:rPr>
            </w:pPr>
          </w:p>
        </w:tc>
        <w:tc>
          <w:tcPr>
            <w:tcW w:w="3119" w:type="dxa"/>
            <w:vMerge/>
          </w:tcPr>
          <w:p w14:paraId="4CEC67F6" w14:textId="77777777" w:rsidR="005B71DD" w:rsidRPr="005B71DD" w:rsidRDefault="005B71DD" w:rsidP="00CE5B08">
            <w:pPr>
              <w:pStyle w:val="S2Heading3"/>
              <w:numPr>
                <w:ilvl w:val="0"/>
                <w:numId w:val="0"/>
              </w:numPr>
              <w:rPr>
                <w:rFonts w:ascii="Arial" w:hAnsi="Arial" w:cs="Arial"/>
                <w:sz w:val="22"/>
                <w:szCs w:val="22"/>
              </w:rPr>
            </w:pPr>
          </w:p>
        </w:tc>
        <w:tc>
          <w:tcPr>
            <w:tcW w:w="7995" w:type="dxa"/>
            <w:tcBorders>
              <w:top w:val="dotted" w:sz="4" w:space="0" w:color="auto"/>
              <w:bottom w:val="single" w:sz="4" w:space="0" w:color="auto"/>
            </w:tcBorders>
          </w:tcPr>
          <w:p w14:paraId="245D1E3D" w14:textId="77777777" w:rsidR="005B71DD" w:rsidRPr="005B71DD" w:rsidRDefault="005B71DD" w:rsidP="00CE5B08">
            <w:pPr>
              <w:pStyle w:val="S2Heading3"/>
              <w:numPr>
                <w:ilvl w:val="0"/>
                <w:numId w:val="0"/>
              </w:numPr>
              <w:rPr>
                <w:rFonts w:ascii="Arial" w:hAnsi="Arial" w:cs="Arial"/>
                <w:sz w:val="22"/>
                <w:szCs w:val="22"/>
              </w:rPr>
            </w:pPr>
            <w:r w:rsidRPr="005B71DD">
              <w:rPr>
                <w:rFonts w:ascii="Arial" w:hAnsi="Arial" w:cs="Arial"/>
                <w:b/>
                <w:bCs w:val="0"/>
                <w:sz w:val="22"/>
                <w:szCs w:val="22"/>
              </w:rPr>
              <w:t>C</w:t>
            </w:r>
            <w:r w:rsidRPr="005B71DD">
              <w:rPr>
                <w:rFonts w:ascii="Arial" w:hAnsi="Arial" w:cs="Arial"/>
                <w:sz w:val="22"/>
                <w:szCs w:val="22"/>
              </w:rPr>
              <w:t xml:space="preserve"> = the total number of Securities issued to the Person that could be subject to a Restriction Period.</w:t>
            </w:r>
          </w:p>
        </w:tc>
      </w:tr>
      <w:tr w:rsidR="005B71DD" w:rsidRPr="005B71DD" w14:paraId="248DB208" w14:textId="77777777" w:rsidTr="00CE5B08">
        <w:tc>
          <w:tcPr>
            <w:tcW w:w="2830" w:type="dxa"/>
            <w:vMerge/>
          </w:tcPr>
          <w:p w14:paraId="5F2C9D48" w14:textId="77777777" w:rsidR="005B71DD" w:rsidRPr="005B71DD" w:rsidRDefault="005B71DD" w:rsidP="00CE5B08">
            <w:pPr>
              <w:pStyle w:val="S2Heading3"/>
              <w:numPr>
                <w:ilvl w:val="0"/>
                <w:numId w:val="0"/>
              </w:numPr>
              <w:rPr>
                <w:rFonts w:ascii="Arial" w:hAnsi="Arial" w:cs="Arial"/>
                <w:b/>
                <w:bCs w:val="0"/>
                <w:sz w:val="22"/>
                <w:szCs w:val="22"/>
              </w:rPr>
            </w:pPr>
          </w:p>
        </w:tc>
        <w:tc>
          <w:tcPr>
            <w:tcW w:w="3119" w:type="dxa"/>
            <w:vMerge w:val="restart"/>
          </w:tcPr>
          <w:p w14:paraId="4D9AB3E3" w14:textId="77777777" w:rsidR="005B71DD" w:rsidRPr="005B71DD" w:rsidRDefault="005B71DD" w:rsidP="00CE5B08">
            <w:pPr>
              <w:pStyle w:val="S2Heading3"/>
              <w:numPr>
                <w:ilvl w:val="0"/>
                <w:numId w:val="0"/>
              </w:numPr>
              <w:rPr>
                <w:rFonts w:ascii="Arial" w:hAnsi="Arial" w:cs="Arial"/>
                <w:sz w:val="22"/>
                <w:szCs w:val="22"/>
              </w:rPr>
            </w:pPr>
            <w:r w:rsidRPr="005B71DD">
              <w:rPr>
                <w:rFonts w:ascii="Arial" w:hAnsi="Arial" w:cs="Arial"/>
                <w:sz w:val="22"/>
                <w:szCs w:val="22"/>
              </w:rPr>
              <w:t xml:space="preserve">for </w:t>
            </w:r>
            <w:r w:rsidRPr="005B71DD">
              <w:rPr>
                <w:rFonts w:ascii="Arial" w:hAnsi="Arial" w:cs="Arial"/>
                <w:b/>
                <w:bCs w:val="0"/>
                <w:sz w:val="22"/>
                <w:szCs w:val="22"/>
              </w:rPr>
              <w:t>Warrants</w:t>
            </w:r>
            <w:r w:rsidRPr="005B71DD">
              <w:rPr>
                <w:rFonts w:ascii="Arial" w:hAnsi="Arial" w:cs="Arial"/>
                <w:sz w:val="22"/>
                <w:szCs w:val="22"/>
              </w:rPr>
              <w:t xml:space="preserve"> (which has the same terms as Warrants offered along with ordinary Securities), as part of an offering linked to an application for admission to the Official List.  </w:t>
            </w:r>
          </w:p>
        </w:tc>
        <w:tc>
          <w:tcPr>
            <w:tcW w:w="7995" w:type="dxa"/>
            <w:tcBorders>
              <w:bottom w:val="dotted" w:sz="4" w:space="0" w:color="auto"/>
            </w:tcBorders>
          </w:tcPr>
          <w:p w14:paraId="42F3F869" w14:textId="77777777" w:rsidR="005B71DD" w:rsidRPr="005B71DD" w:rsidRDefault="005B71DD" w:rsidP="00CE5B08">
            <w:pPr>
              <w:pStyle w:val="S2Heading3"/>
              <w:numPr>
                <w:ilvl w:val="0"/>
                <w:numId w:val="0"/>
              </w:numPr>
              <w:rPr>
                <w:rFonts w:ascii="Arial" w:hAnsi="Arial" w:cs="Arial"/>
                <w:sz w:val="22"/>
                <w:szCs w:val="22"/>
              </w:rPr>
            </w:pPr>
            <w:r w:rsidRPr="005B71DD">
              <w:rPr>
                <w:rFonts w:ascii="Arial" w:hAnsi="Arial" w:cs="Arial"/>
                <w:sz w:val="22"/>
                <w:szCs w:val="22"/>
              </w:rPr>
              <w:t xml:space="preserve">The number of Securities not subject to a Restriction Period is calculated as </w:t>
            </w:r>
            <w:r w:rsidRPr="005B71DD">
              <w:rPr>
                <w:rFonts w:ascii="Arial" w:hAnsi="Arial" w:cs="Arial"/>
                <w:b/>
                <w:bCs w:val="0"/>
                <w:sz w:val="22"/>
                <w:szCs w:val="22"/>
              </w:rPr>
              <w:t>D x E</w:t>
            </w:r>
            <w:r w:rsidRPr="005B71DD">
              <w:rPr>
                <w:rFonts w:ascii="Arial" w:hAnsi="Arial" w:cs="Arial"/>
                <w:sz w:val="22"/>
                <w:szCs w:val="22"/>
              </w:rPr>
              <w:t>, where</w:t>
            </w:r>
          </w:p>
        </w:tc>
      </w:tr>
      <w:tr w:rsidR="005B71DD" w:rsidRPr="005B71DD" w14:paraId="3C700B3B" w14:textId="77777777" w:rsidTr="00CE5B08">
        <w:tc>
          <w:tcPr>
            <w:tcW w:w="2830" w:type="dxa"/>
            <w:vMerge/>
          </w:tcPr>
          <w:p w14:paraId="6AF3A73C" w14:textId="77777777" w:rsidR="005B71DD" w:rsidRPr="005B71DD" w:rsidRDefault="005B71DD" w:rsidP="00CE5B08">
            <w:pPr>
              <w:pStyle w:val="S2Heading3"/>
              <w:numPr>
                <w:ilvl w:val="0"/>
                <w:numId w:val="0"/>
              </w:numPr>
              <w:rPr>
                <w:rFonts w:ascii="Arial" w:hAnsi="Arial" w:cs="Arial"/>
                <w:b/>
                <w:bCs w:val="0"/>
                <w:sz w:val="22"/>
                <w:szCs w:val="22"/>
              </w:rPr>
            </w:pPr>
          </w:p>
        </w:tc>
        <w:tc>
          <w:tcPr>
            <w:tcW w:w="3119" w:type="dxa"/>
            <w:vMerge/>
          </w:tcPr>
          <w:p w14:paraId="206389D5" w14:textId="77777777" w:rsidR="005B71DD" w:rsidRPr="005B71DD" w:rsidRDefault="005B71DD" w:rsidP="00CE5B08">
            <w:pPr>
              <w:pStyle w:val="S2Heading3"/>
              <w:numPr>
                <w:ilvl w:val="0"/>
                <w:numId w:val="0"/>
              </w:numPr>
              <w:rPr>
                <w:rFonts w:ascii="Arial" w:hAnsi="Arial" w:cs="Arial"/>
                <w:sz w:val="22"/>
                <w:szCs w:val="22"/>
              </w:rPr>
            </w:pPr>
          </w:p>
        </w:tc>
        <w:tc>
          <w:tcPr>
            <w:tcW w:w="7995" w:type="dxa"/>
            <w:tcBorders>
              <w:top w:val="dotted" w:sz="4" w:space="0" w:color="auto"/>
              <w:bottom w:val="dotted" w:sz="4" w:space="0" w:color="auto"/>
            </w:tcBorders>
          </w:tcPr>
          <w:p w14:paraId="25AB6C8C" w14:textId="77777777" w:rsidR="005B71DD" w:rsidRPr="005B71DD" w:rsidRDefault="005B71DD" w:rsidP="00CE5B08">
            <w:pPr>
              <w:pStyle w:val="S2Heading3"/>
              <w:numPr>
                <w:ilvl w:val="0"/>
                <w:numId w:val="0"/>
              </w:numPr>
              <w:rPr>
                <w:rFonts w:ascii="Arial" w:hAnsi="Arial" w:cs="Arial"/>
                <w:sz w:val="22"/>
                <w:szCs w:val="22"/>
              </w:rPr>
            </w:pPr>
            <w:r w:rsidRPr="005B71DD">
              <w:rPr>
                <w:rFonts w:ascii="Arial" w:hAnsi="Arial" w:cs="Arial"/>
                <w:b/>
                <w:bCs w:val="0"/>
                <w:sz w:val="22"/>
                <w:szCs w:val="22"/>
              </w:rPr>
              <w:t>D</w:t>
            </w:r>
            <w:r w:rsidRPr="005B71DD">
              <w:rPr>
                <w:rFonts w:ascii="Arial" w:hAnsi="Arial" w:cs="Arial"/>
                <w:sz w:val="22"/>
                <w:szCs w:val="22"/>
              </w:rPr>
              <w:t xml:space="preserve"> = the number of shares not subject to a Restriction Period.</w:t>
            </w:r>
          </w:p>
        </w:tc>
      </w:tr>
      <w:tr w:rsidR="005B71DD" w:rsidRPr="005B71DD" w14:paraId="628C8BE5" w14:textId="77777777" w:rsidTr="00CE5B08">
        <w:tc>
          <w:tcPr>
            <w:tcW w:w="2830" w:type="dxa"/>
            <w:vMerge/>
          </w:tcPr>
          <w:p w14:paraId="316B9E24" w14:textId="77777777" w:rsidR="005B71DD" w:rsidRPr="005B71DD" w:rsidRDefault="005B71DD" w:rsidP="00CE5B08">
            <w:pPr>
              <w:pStyle w:val="S2Heading3"/>
              <w:numPr>
                <w:ilvl w:val="0"/>
                <w:numId w:val="0"/>
              </w:numPr>
              <w:rPr>
                <w:rFonts w:ascii="Arial" w:hAnsi="Arial" w:cs="Arial"/>
                <w:b/>
                <w:bCs w:val="0"/>
                <w:sz w:val="22"/>
                <w:szCs w:val="22"/>
              </w:rPr>
            </w:pPr>
          </w:p>
        </w:tc>
        <w:tc>
          <w:tcPr>
            <w:tcW w:w="3119" w:type="dxa"/>
            <w:vMerge/>
          </w:tcPr>
          <w:p w14:paraId="089E9E67" w14:textId="77777777" w:rsidR="005B71DD" w:rsidRPr="005B71DD" w:rsidRDefault="005B71DD" w:rsidP="00CE5B08">
            <w:pPr>
              <w:pStyle w:val="S2Heading3"/>
              <w:numPr>
                <w:ilvl w:val="0"/>
                <w:numId w:val="0"/>
              </w:numPr>
              <w:rPr>
                <w:rFonts w:ascii="Arial" w:hAnsi="Arial" w:cs="Arial"/>
                <w:sz w:val="22"/>
                <w:szCs w:val="22"/>
              </w:rPr>
            </w:pPr>
          </w:p>
        </w:tc>
        <w:tc>
          <w:tcPr>
            <w:tcW w:w="7995" w:type="dxa"/>
            <w:tcBorders>
              <w:top w:val="dotted" w:sz="4" w:space="0" w:color="auto"/>
            </w:tcBorders>
          </w:tcPr>
          <w:p w14:paraId="482F884B" w14:textId="77777777" w:rsidR="005B71DD" w:rsidRPr="005B71DD" w:rsidRDefault="005B71DD" w:rsidP="00CE5B08">
            <w:pPr>
              <w:pStyle w:val="S2Heading3"/>
              <w:numPr>
                <w:ilvl w:val="0"/>
                <w:numId w:val="0"/>
              </w:numPr>
              <w:rPr>
                <w:rFonts w:ascii="Arial" w:hAnsi="Arial" w:cs="Arial"/>
                <w:sz w:val="22"/>
                <w:szCs w:val="22"/>
              </w:rPr>
            </w:pPr>
            <w:r w:rsidRPr="005B71DD">
              <w:rPr>
                <w:rFonts w:ascii="Arial" w:hAnsi="Arial" w:cs="Arial"/>
                <w:b/>
                <w:bCs w:val="0"/>
                <w:sz w:val="22"/>
                <w:szCs w:val="22"/>
              </w:rPr>
              <w:t>E</w:t>
            </w:r>
            <w:r w:rsidRPr="005B71DD">
              <w:rPr>
                <w:rFonts w:ascii="Arial" w:hAnsi="Arial" w:cs="Arial"/>
                <w:sz w:val="22"/>
                <w:szCs w:val="22"/>
              </w:rPr>
              <w:t xml:space="preserve"> = the number of Warrants for each ordinary Security offered under the offering, linked to an application for admission to the Official List. </w:t>
            </w:r>
          </w:p>
        </w:tc>
      </w:tr>
      <w:tr w:rsidR="005B71DD" w:rsidRPr="005B71DD" w14:paraId="015079B5" w14:textId="77777777" w:rsidTr="00CE5B08">
        <w:tc>
          <w:tcPr>
            <w:tcW w:w="2830" w:type="dxa"/>
          </w:tcPr>
          <w:p w14:paraId="44DFCA8D" w14:textId="77777777" w:rsidR="005B71DD" w:rsidRPr="005B71DD" w:rsidRDefault="005B71DD" w:rsidP="00CE5B08">
            <w:pPr>
              <w:pStyle w:val="S2Heading3"/>
              <w:numPr>
                <w:ilvl w:val="0"/>
                <w:numId w:val="0"/>
              </w:numPr>
              <w:rPr>
                <w:rFonts w:ascii="Arial" w:hAnsi="Arial" w:cs="Arial"/>
                <w:b/>
                <w:bCs w:val="0"/>
                <w:sz w:val="22"/>
                <w:szCs w:val="22"/>
              </w:rPr>
            </w:pPr>
            <w:r w:rsidRPr="005B71DD">
              <w:rPr>
                <w:rFonts w:ascii="Arial" w:hAnsi="Arial" w:cs="Arial"/>
                <w:b/>
                <w:bCs w:val="0"/>
                <w:sz w:val="22"/>
                <w:szCs w:val="22"/>
              </w:rPr>
              <w:t>Vendor</w:t>
            </w:r>
          </w:p>
        </w:tc>
        <w:tc>
          <w:tcPr>
            <w:tcW w:w="11114" w:type="dxa"/>
            <w:gridSpan w:val="2"/>
          </w:tcPr>
          <w:p w14:paraId="586A4E73" w14:textId="77777777" w:rsidR="005B71DD" w:rsidRPr="005B71DD" w:rsidRDefault="005B71DD" w:rsidP="00CE5B08">
            <w:pPr>
              <w:pStyle w:val="S2Heading3"/>
              <w:numPr>
                <w:ilvl w:val="0"/>
                <w:numId w:val="0"/>
              </w:numPr>
              <w:rPr>
                <w:rFonts w:ascii="Arial" w:hAnsi="Arial" w:cs="Arial"/>
                <w:sz w:val="22"/>
                <w:szCs w:val="22"/>
              </w:rPr>
            </w:pPr>
            <w:r w:rsidRPr="005B71DD">
              <w:rPr>
                <w:rFonts w:ascii="Arial" w:hAnsi="Arial" w:cs="Arial"/>
                <w:sz w:val="22"/>
                <w:szCs w:val="22"/>
              </w:rPr>
              <w:t>A Person who disposes of an Unproven Asset to an Applicant (or a Related Party of an Applicant).</w:t>
            </w:r>
          </w:p>
        </w:tc>
      </w:tr>
    </w:tbl>
    <w:p w14:paraId="0759C5C3" w14:textId="77777777" w:rsidR="005B71DD" w:rsidRPr="005B71DD" w:rsidRDefault="005B71DD" w:rsidP="005B71DD">
      <w:pPr>
        <w:pStyle w:val="S2Heading3"/>
        <w:numPr>
          <w:ilvl w:val="0"/>
          <w:numId w:val="0"/>
        </w:numPr>
        <w:rPr>
          <w:rFonts w:ascii="Arial" w:hAnsi="Arial" w:cs="Arial"/>
          <w:b/>
          <w:bCs w:val="0"/>
          <w:sz w:val="22"/>
          <w:szCs w:val="22"/>
        </w:rPr>
      </w:pPr>
    </w:p>
    <w:p w14:paraId="1A047561" w14:textId="77777777" w:rsidR="005B71DD" w:rsidRPr="005B71DD" w:rsidRDefault="005B71DD" w:rsidP="005B71DD">
      <w:pPr>
        <w:pStyle w:val="S2Heading3"/>
        <w:numPr>
          <w:ilvl w:val="0"/>
          <w:numId w:val="0"/>
        </w:numPr>
        <w:rPr>
          <w:rFonts w:ascii="Arial" w:hAnsi="Arial" w:cs="Arial"/>
          <w:sz w:val="22"/>
          <w:szCs w:val="22"/>
        </w:rPr>
      </w:pPr>
    </w:p>
    <w:tbl>
      <w:tblPr>
        <w:tblStyle w:val="TableGrid"/>
        <w:tblW w:w="0" w:type="auto"/>
        <w:tblLook w:val="04A0" w:firstRow="1" w:lastRow="0" w:firstColumn="1" w:lastColumn="0" w:noHBand="0" w:noVBand="1"/>
      </w:tblPr>
      <w:tblGrid>
        <w:gridCol w:w="2012"/>
        <w:gridCol w:w="4377"/>
        <w:gridCol w:w="4686"/>
        <w:gridCol w:w="2869"/>
      </w:tblGrid>
      <w:tr w:rsidR="005B71DD" w:rsidRPr="005B71DD" w14:paraId="33D62480" w14:textId="77777777" w:rsidTr="00CE5B08">
        <w:tc>
          <w:tcPr>
            <w:tcW w:w="0" w:type="auto"/>
            <w:shd w:val="clear" w:color="auto" w:fill="D9D9D9" w:themeFill="background1" w:themeFillShade="D9"/>
          </w:tcPr>
          <w:p w14:paraId="3817B74F" w14:textId="77777777" w:rsidR="005B71DD" w:rsidRPr="005B71DD" w:rsidRDefault="005B71DD" w:rsidP="00CE5B08">
            <w:pPr>
              <w:pStyle w:val="S2Heading3"/>
              <w:numPr>
                <w:ilvl w:val="0"/>
                <w:numId w:val="0"/>
              </w:numPr>
              <w:jc w:val="center"/>
              <w:rPr>
                <w:rFonts w:ascii="Arial" w:hAnsi="Arial" w:cs="Arial"/>
                <w:b/>
                <w:bCs w:val="0"/>
                <w:sz w:val="22"/>
                <w:szCs w:val="22"/>
              </w:rPr>
            </w:pPr>
            <w:r w:rsidRPr="005B71DD">
              <w:rPr>
                <w:rFonts w:ascii="Arial" w:hAnsi="Arial" w:cs="Arial"/>
                <w:b/>
                <w:bCs w:val="0"/>
                <w:sz w:val="22"/>
                <w:szCs w:val="22"/>
              </w:rPr>
              <w:t>Category</w:t>
            </w:r>
          </w:p>
        </w:tc>
        <w:tc>
          <w:tcPr>
            <w:tcW w:w="0" w:type="auto"/>
            <w:shd w:val="clear" w:color="auto" w:fill="D9D9D9" w:themeFill="background1" w:themeFillShade="D9"/>
          </w:tcPr>
          <w:p w14:paraId="00E02237" w14:textId="77777777" w:rsidR="005B71DD" w:rsidRPr="005B71DD" w:rsidRDefault="005B71DD" w:rsidP="00CE5B08">
            <w:pPr>
              <w:pStyle w:val="S2Heading3"/>
              <w:numPr>
                <w:ilvl w:val="0"/>
                <w:numId w:val="0"/>
              </w:numPr>
              <w:jc w:val="center"/>
              <w:rPr>
                <w:rFonts w:ascii="Arial" w:hAnsi="Arial" w:cs="Arial"/>
                <w:b/>
                <w:bCs w:val="0"/>
                <w:sz w:val="22"/>
                <w:szCs w:val="22"/>
              </w:rPr>
            </w:pPr>
            <w:r w:rsidRPr="005B71DD">
              <w:rPr>
                <w:rFonts w:ascii="Arial" w:hAnsi="Arial" w:cs="Arial"/>
                <w:b/>
                <w:bCs w:val="0"/>
                <w:sz w:val="22"/>
                <w:szCs w:val="22"/>
              </w:rPr>
              <w:t>Circumstances for the acquisition of the Securities</w:t>
            </w:r>
          </w:p>
        </w:tc>
        <w:tc>
          <w:tcPr>
            <w:tcW w:w="0" w:type="auto"/>
            <w:shd w:val="clear" w:color="auto" w:fill="D9D9D9" w:themeFill="background1" w:themeFillShade="D9"/>
          </w:tcPr>
          <w:p w14:paraId="318D3EF2" w14:textId="77777777" w:rsidR="005B71DD" w:rsidRPr="005B71DD" w:rsidRDefault="005B71DD" w:rsidP="00CE5B08">
            <w:pPr>
              <w:pStyle w:val="S2Heading3"/>
              <w:numPr>
                <w:ilvl w:val="0"/>
                <w:numId w:val="0"/>
              </w:numPr>
              <w:jc w:val="center"/>
              <w:rPr>
                <w:rFonts w:ascii="Arial" w:hAnsi="Arial" w:cs="Arial"/>
                <w:b/>
                <w:bCs w:val="0"/>
                <w:sz w:val="22"/>
                <w:szCs w:val="22"/>
              </w:rPr>
            </w:pPr>
            <w:r w:rsidRPr="005B71DD">
              <w:rPr>
                <w:rFonts w:ascii="Arial" w:hAnsi="Arial" w:cs="Arial"/>
                <w:b/>
                <w:bCs w:val="0"/>
                <w:sz w:val="22"/>
                <w:szCs w:val="22"/>
              </w:rPr>
              <w:t>Number of Securities subject to a Restriction Period</w:t>
            </w:r>
          </w:p>
        </w:tc>
        <w:tc>
          <w:tcPr>
            <w:tcW w:w="0" w:type="auto"/>
            <w:shd w:val="clear" w:color="auto" w:fill="D9D9D9" w:themeFill="background1" w:themeFillShade="D9"/>
          </w:tcPr>
          <w:p w14:paraId="12B48EC7" w14:textId="77777777" w:rsidR="005B71DD" w:rsidRPr="005B71DD" w:rsidRDefault="005B71DD" w:rsidP="00CE5B08">
            <w:pPr>
              <w:pStyle w:val="S2Heading3"/>
              <w:numPr>
                <w:ilvl w:val="0"/>
                <w:numId w:val="0"/>
              </w:numPr>
              <w:jc w:val="center"/>
              <w:rPr>
                <w:rFonts w:ascii="Arial" w:hAnsi="Arial" w:cs="Arial"/>
                <w:b/>
                <w:bCs w:val="0"/>
                <w:sz w:val="22"/>
                <w:szCs w:val="22"/>
              </w:rPr>
            </w:pPr>
            <w:r w:rsidRPr="005B71DD">
              <w:rPr>
                <w:rFonts w:ascii="Arial" w:hAnsi="Arial" w:cs="Arial"/>
                <w:b/>
                <w:bCs w:val="0"/>
                <w:sz w:val="22"/>
                <w:szCs w:val="22"/>
              </w:rPr>
              <w:t>Restriction Period</w:t>
            </w:r>
          </w:p>
        </w:tc>
      </w:tr>
      <w:tr w:rsidR="005B71DD" w:rsidRPr="005B71DD" w14:paraId="7521C156" w14:textId="77777777" w:rsidTr="00CE5B08">
        <w:trPr>
          <w:trHeight w:val="3156"/>
        </w:trPr>
        <w:tc>
          <w:tcPr>
            <w:tcW w:w="0" w:type="auto"/>
          </w:tcPr>
          <w:p w14:paraId="3943072C" w14:textId="77777777" w:rsidR="005B71DD" w:rsidRPr="005B71DD" w:rsidRDefault="005B71DD" w:rsidP="00CE5B08">
            <w:pPr>
              <w:pStyle w:val="S2Heading3"/>
              <w:numPr>
                <w:ilvl w:val="0"/>
                <w:numId w:val="0"/>
              </w:numPr>
              <w:jc w:val="left"/>
              <w:rPr>
                <w:rFonts w:ascii="Arial" w:hAnsi="Arial" w:cs="Arial"/>
                <w:b/>
                <w:bCs w:val="0"/>
                <w:sz w:val="22"/>
                <w:szCs w:val="22"/>
              </w:rPr>
            </w:pPr>
            <w:r w:rsidRPr="005B71DD">
              <w:rPr>
                <w:rFonts w:ascii="Arial" w:hAnsi="Arial" w:cs="Arial"/>
                <w:b/>
                <w:bCs w:val="0"/>
                <w:sz w:val="22"/>
                <w:szCs w:val="22"/>
              </w:rPr>
              <w:t>Category 1</w:t>
            </w:r>
          </w:p>
          <w:p w14:paraId="5B76FBCF" w14:textId="77777777" w:rsidR="005B71DD" w:rsidRPr="005B71DD" w:rsidRDefault="005B71DD" w:rsidP="00CE5B08">
            <w:pPr>
              <w:pStyle w:val="S2Heading3"/>
              <w:numPr>
                <w:ilvl w:val="0"/>
                <w:numId w:val="0"/>
              </w:numPr>
              <w:jc w:val="left"/>
              <w:rPr>
                <w:rFonts w:ascii="Arial" w:hAnsi="Arial" w:cs="Arial"/>
                <w:i/>
                <w:iCs w:val="0"/>
                <w:sz w:val="22"/>
                <w:szCs w:val="22"/>
              </w:rPr>
            </w:pPr>
            <w:r w:rsidRPr="005B71DD">
              <w:rPr>
                <w:rFonts w:ascii="Arial" w:hAnsi="Arial" w:cs="Arial"/>
                <w:i/>
                <w:iCs w:val="0"/>
                <w:sz w:val="22"/>
                <w:szCs w:val="22"/>
              </w:rPr>
              <w:t>(“Founders / Related Parties / Relevant Service Providers”)</w:t>
            </w:r>
          </w:p>
          <w:p w14:paraId="7EA72E07" w14:textId="77777777" w:rsidR="005B71DD" w:rsidRPr="005B71DD" w:rsidRDefault="005B71DD" w:rsidP="00CE5B08">
            <w:pPr>
              <w:pStyle w:val="S2Heading3"/>
              <w:numPr>
                <w:ilvl w:val="0"/>
                <w:numId w:val="0"/>
              </w:numPr>
              <w:jc w:val="left"/>
              <w:rPr>
                <w:rFonts w:ascii="Arial" w:hAnsi="Arial" w:cs="Arial"/>
                <w:b/>
                <w:bCs w:val="0"/>
                <w:sz w:val="22"/>
                <w:szCs w:val="22"/>
              </w:rPr>
            </w:pPr>
          </w:p>
        </w:tc>
        <w:tc>
          <w:tcPr>
            <w:tcW w:w="0" w:type="auto"/>
          </w:tcPr>
          <w:p w14:paraId="6E9DD014"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A Person who provided capital to the Applicant and who, at the time of the application for admission is a:</w:t>
            </w:r>
          </w:p>
          <w:p w14:paraId="3744941D" w14:textId="77777777" w:rsidR="005B71DD" w:rsidRPr="005B71DD" w:rsidRDefault="005B71DD" w:rsidP="00CE5B08">
            <w:pPr>
              <w:pStyle w:val="S2Heading5"/>
              <w:numPr>
                <w:ilvl w:val="0"/>
                <w:numId w:val="0"/>
              </w:numPr>
              <w:ind w:left="511" w:hanging="511"/>
              <w:jc w:val="left"/>
              <w:rPr>
                <w:rFonts w:ascii="Arial" w:hAnsi="Arial" w:cs="Arial"/>
                <w:sz w:val="22"/>
                <w:szCs w:val="22"/>
              </w:rPr>
            </w:pPr>
            <w:r w:rsidRPr="005B71DD">
              <w:rPr>
                <w:rFonts w:ascii="Arial" w:hAnsi="Arial" w:cs="Arial"/>
                <w:sz w:val="22"/>
                <w:szCs w:val="22"/>
              </w:rPr>
              <w:t xml:space="preserve">(a) </w:t>
            </w:r>
            <w:r w:rsidRPr="005B71DD">
              <w:rPr>
                <w:rFonts w:ascii="Arial" w:hAnsi="Arial" w:cs="Arial"/>
                <w:sz w:val="22"/>
                <w:szCs w:val="22"/>
              </w:rPr>
              <w:tab/>
              <w:t>Related Party of the Applicant; or</w:t>
            </w:r>
          </w:p>
          <w:p w14:paraId="5CF2F852" w14:textId="77777777" w:rsidR="005B71DD" w:rsidRPr="005B71DD" w:rsidRDefault="005B71DD" w:rsidP="00CE5B08">
            <w:pPr>
              <w:pStyle w:val="S2Heading5"/>
              <w:numPr>
                <w:ilvl w:val="0"/>
                <w:numId w:val="0"/>
              </w:numPr>
              <w:ind w:left="511" w:hanging="511"/>
              <w:jc w:val="left"/>
              <w:rPr>
                <w:rFonts w:ascii="Arial" w:hAnsi="Arial" w:cs="Arial"/>
                <w:sz w:val="22"/>
                <w:szCs w:val="22"/>
              </w:rPr>
            </w:pPr>
            <w:r w:rsidRPr="005B71DD">
              <w:rPr>
                <w:rFonts w:ascii="Arial" w:hAnsi="Arial" w:cs="Arial"/>
                <w:sz w:val="22"/>
                <w:szCs w:val="22"/>
              </w:rPr>
              <w:t xml:space="preserve">(b) </w:t>
            </w:r>
            <w:r w:rsidRPr="005B71DD">
              <w:rPr>
                <w:rFonts w:ascii="Arial" w:hAnsi="Arial" w:cs="Arial"/>
                <w:sz w:val="22"/>
                <w:szCs w:val="22"/>
              </w:rPr>
              <w:tab/>
              <w:t>Relevant Service Provider of the Applicant,</w:t>
            </w:r>
          </w:p>
          <w:p w14:paraId="702D4F2F" w14:textId="77777777" w:rsidR="005B71DD" w:rsidRPr="005B71DD" w:rsidRDefault="005B71DD" w:rsidP="00CE5B08">
            <w:pPr>
              <w:pStyle w:val="S2Heading5"/>
              <w:numPr>
                <w:ilvl w:val="0"/>
                <w:numId w:val="0"/>
              </w:numPr>
              <w:jc w:val="left"/>
              <w:rPr>
                <w:rFonts w:ascii="Arial" w:hAnsi="Arial" w:cs="Arial"/>
                <w:sz w:val="22"/>
                <w:szCs w:val="22"/>
              </w:rPr>
            </w:pPr>
            <w:r w:rsidRPr="005B71DD">
              <w:rPr>
                <w:rFonts w:ascii="Arial" w:hAnsi="Arial" w:cs="Arial"/>
                <w:sz w:val="22"/>
                <w:szCs w:val="22"/>
              </w:rPr>
              <w:t>and the Person acquired the Securities for cash or in consideration for the repayment of debt.</w:t>
            </w:r>
          </w:p>
        </w:tc>
        <w:tc>
          <w:tcPr>
            <w:tcW w:w="0" w:type="auto"/>
          </w:tcPr>
          <w:p w14:paraId="15439F69" w14:textId="77777777" w:rsidR="005B71DD" w:rsidRPr="005B71DD" w:rsidRDefault="005B71DD" w:rsidP="00CE5B08">
            <w:pPr>
              <w:pStyle w:val="S2Heading3"/>
              <w:numPr>
                <w:ilvl w:val="0"/>
                <w:numId w:val="0"/>
              </w:numPr>
              <w:ind w:left="423" w:hanging="423"/>
              <w:jc w:val="left"/>
              <w:rPr>
                <w:rFonts w:ascii="Arial" w:hAnsi="Arial" w:cs="Arial"/>
                <w:sz w:val="22"/>
                <w:szCs w:val="22"/>
              </w:rPr>
            </w:pPr>
            <w:r w:rsidRPr="005B71DD">
              <w:rPr>
                <w:rFonts w:ascii="Arial" w:hAnsi="Arial" w:cs="Arial"/>
                <w:sz w:val="22"/>
                <w:szCs w:val="22"/>
              </w:rPr>
              <w:t xml:space="preserve">(a) </w:t>
            </w:r>
            <w:r w:rsidRPr="005B71DD">
              <w:rPr>
                <w:rFonts w:ascii="Arial" w:hAnsi="Arial" w:cs="Arial"/>
                <w:sz w:val="22"/>
                <w:szCs w:val="22"/>
              </w:rPr>
              <w:tab/>
              <w:t>For Shares or Warrants, the number as determined by the Restriction Formula.</w:t>
            </w:r>
          </w:p>
          <w:p w14:paraId="5E4730D2" w14:textId="77777777" w:rsidR="005B71DD" w:rsidRPr="005B71DD" w:rsidRDefault="005B71DD" w:rsidP="00CE5B08">
            <w:pPr>
              <w:pStyle w:val="S2Heading3"/>
              <w:numPr>
                <w:ilvl w:val="0"/>
                <w:numId w:val="0"/>
              </w:numPr>
              <w:ind w:left="361" w:hanging="361"/>
              <w:jc w:val="left"/>
              <w:rPr>
                <w:rFonts w:ascii="Arial" w:hAnsi="Arial" w:cs="Arial"/>
                <w:sz w:val="22"/>
                <w:szCs w:val="22"/>
              </w:rPr>
            </w:pPr>
            <w:r w:rsidRPr="005B71DD">
              <w:rPr>
                <w:rFonts w:ascii="Arial" w:hAnsi="Arial" w:cs="Arial"/>
                <w:sz w:val="22"/>
                <w:szCs w:val="22"/>
              </w:rPr>
              <w:t xml:space="preserve">(b) </w:t>
            </w:r>
            <w:r w:rsidRPr="005B71DD">
              <w:rPr>
                <w:rFonts w:ascii="Arial" w:hAnsi="Arial" w:cs="Arial"/>
                <w:sz w:val="22"/>
                <w:szCs w:val="22"/>
              </w:rPr>
              <w:tab/>
              <w:t>All other Securities.</w:t>
            </w:r>
          </w:p>
        </w:tc>
        <w:tc>
          <w:tcPr>
            <w:tcW w:w="0" w:type="auto"/>
          </w:tcPr>
          <w:p w14:paraId="6C28D289" w14:textId="702070EF" w:rsidR="005B71DD" w:rsidRPr="005B71DD" w:rsidRDefault="00BF389F" w:rsidP="00CE5B08">
            <w:pPr>
              <w:pStyle w:val="S2Heading3"/>
              <w:numPr>
                <w:ilvl w:val="0"/>
                <w:numId w:val="0"/>
              </w:numPr>
              <w:jc w:val="left"/>
              <w:rPr>
                <w:rFonts w:ascii="Arial" w:hAnsi="Arial" w:cs="Arial"/>
                <w:sz w:val="22"/>
                <w:szCs w:val="22"/>
              </w:rPr>
            </w:pPr>
            <w:r>
              <w:rPr>
                <w:rFonts w:ascii="Arial" w:hAnsi="Arial" w:cs="Arial"/>
                <w:sz w:val="22"/>
                <w:szCs w:val="22"/>
              </w:rPr>
              <w:t>Two</w:t>
            </w:r>
            <w:r w:rsidR="005B71DD" w:rsidRPr="005B71DD">
              <w:rPr>
                <w:rFonts w:ascii="Arial" w:hAnsi="Arial" w:cs="Arial"/>
                <w:sz w:val="22"/>
                <w:szCs w:val="22"/>
              </w:rPr>
              <w:t xml:space="preserve"> years from the time the Applicant’s Securities are first admitted to trading on a Recognised Investment Exchange.</w:t>
            </w:r>
          </w:p>
        </w:tc>
      </w:tr>
      <w:tr w:rsidR="005B71DD" w:rsidRPr="005B71DD" w14:paraId="2ECFC3FF" w14:textId="77777777" w:rsidTr="00CE5B08">
        <w:tc>
          <w:tcPr>
            <w:tcW w:w="0" w:type="auto"/>
          </w:tcPr>
          <w:p w14:paraId="2B02EBEA" w14:textId="77777777" w:rsidR="005B71DD" w:rsidRPr="005B71DD" w:rsidRDefault="005B71DD" w:rsidP="00CE5B08">
            <w:pPr>
              <w:pStyle w:val="S2Heading3"/>
              <w:numPr>
                <w:ilvl w:val="0"/>
                <w:numId w:val="0"/>
              </w:numPr>
              <w:jc w:val="left"/>
              <w:rPr>
                <w:rFonts w:ascii="Arial" w:hAnsi="Arial" w:cs="Arial"/>
                <w:b/>
                <w:bCs w:val="0"/>
                <w:sz w:val="22"/>
                <w:szCs w:val="22"/>
              </w:rPr>
            </w:pPr>
            <w:r w:rsidRPr="005B71DD">
              <w:rPr>
                <w:rFonts w:ascii="Arial" w:hAnsi="Arial" w:cs="Arial"/>
                <w:b/>
                <w:bCs w:val="0"/>
                <w:sz w:val="22"/>
                <w:szCs w:val="22"/>
              </w:rPr>
              <w:t xml:space="preserve">Category 2 </w:t>
            </w:r>
          </w:p>
          <w:p w14:paraId="2A214A99" w14:textId="77777777" w:rsidR="005B71DD" w:rsidRPr="005B71DD" w:rsidRDefault="005B71DD" w:rsidP="00CE5B08">
            <w:pPr>
              <w:pStyle w:val="S2Heading3"/>
              <w:numPr>
                <w:ilvl w:val="0"/>
                <w:numId w:val="0"/>
              </w:numPr>
              <w:jc w:val="left"/>
              <w:rPr>
                <w:rFonts w:ascii="Arial" w:hAnsi="Arial" w:cs="Arial"/>
                <w:i/>
                <w:iCs w:val="0"/>
                <w:sz w:val="22"/>
                <w:szCs w:val="22"/>
              </w:rPr>
            </w:pPr>
            <w:r w:rsidRPr="005B71DD">
              <w:rPr>
                <w:rFonts w:ascii="Arial" w:hAnsi="Arial" w:cs="Arial"/>
                <w:i/>
                <w:iCs w:val="0"/>
                <w:sz w:val="22"/>
                <w:szCs w:val="22"/>
              </w:rPr>
              <w:t>(“Non-related investors”)</w:t>
            </w:r>
          </w:p>
          <w:p w14:paraId="5A379A36" w14:textId="77777777" w:rsidR="005B71DD" w:rsidRPr="005B71DD" w:rsidRDefault="005B71DD" w:rsidP="00CE5B08">
            <w:pPr>
              <w:pStyle w:val="S2Heading3"/>
              <w:numPr>
                <w:ilvl w:val="0"/>
                <w:numId w:val="0"/>
              </w:numPr>
              <w:jc w:val="left"/>
              <w:rPr>
                <w:rFonts w:ascii="Arial" w:hAnsi="Arial" w:cs="Arial"/>
                <w:b/>
                <w:bCs w:val="0"/>
                <w:sz w:val="22"/>
                <w:szCs w:val="22"/>
              </w:rPr>
            </w:pPr>
          </w:p>
        </w:tc>
        <w:tc>
          <w:tcPr>
            <w:tcW w:w="0" w:type="auto"/>
          </w:tcPr>
          <w:p w14:paraId="2223E029"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A Person who provided capital to the Applicant and who, at the time of the application for admission is not a:</w:t>
            </w:r>
          </w:p>
          <w:p w14:paraId="555B56DD" w14:textId="77777777" w:rsidR="005B71DD" w:rsidRPr="005B71DD" w:rsidRDefault="005B71DD" w:rsidP="00CE5B08">
            <w:pPr>
              <w:pStyle w:val="S2Heading5"/>
              <w:numPr>
                <w:ilvl w:val="0"/>
                <w:numId w:val="0"/>
              </w:numPr>
              <w:ind w:left="432" w:hanging="432"/>
              <w:jc w:val="left"/>
              <w:rPr>
                <w:rFonts w:ascii="Arial" w:hAnsi="Arial" w:cs="Arial"/>
                <w:sz w:val="22"/>
                <w:szCs w:val="22"/>
              </w:rPr>
            </w:pPr>
            <w:r w:rsidRPr="005B71DD">
              <w:rPr>
                <w:rFonts w:ascii="Arial" w:hAnsi="Arial" w:cs="Arial"/>
                <w:sz w:val="22"/>
                <w:szCs w:val="22"/>
              </w:rPr>
              <w:t xml:space="preserve">(a) </w:t>
            </w:r>
            <w:r w:rsidRPr="005B71DD">
              <w:rPr>
                <w:rFonts w:ascii="Arial" w:hAnsi="Arial" w:cs="Arial"/>
                <w:sz w:val="22"/>
                <w:szCs w:val="22"/>
              </w:rPr>
              <w:tab/>
              <w:t>Related Party of the Applicant; or</w:t>
            </w:r>
          </w:p>
          <w:p w14:paraId="2C20518D" w14:textId="77777777" w:rsidR="005B71DD" w:rsidRPr="005B71DD" w:rsidRDefault="005B71DD" w:rsidP="00CE5B08">
            <w:pPr>
              <w:pStyle w:val="S2Heading5"/>
              <w:numPr>
                <w:ilvl w:val="0"/>
                <w:numId w:val="0"/>
              </w:numPr>
              <w:ind w:left="430" w:hanging="425"/>
              <w:jc w:val="left"/>
              <w:rPr>
                <w:rFonts w:ascii="Arial" w:hAnsi="Arial" w:cs="Arial"/>
                <w:sz w:val="22"/>
                <w:szCs w:val="22"/>
              </w:rPr>
            </w:pPr>
            <w:r w:rsidRPr="005B71DD">
              <w:rPr>
                <w:rFonts w:ascii="Arial" w:hAnsi="Arial" w:cs="Arial"/>
                <w:sz w:val="22"/>
                <w:szCs w:val="22"/>
              </w:rPr>
              <w:t xml:space="preserve">(b) </w:t>
            </w:r>
            <w:r w:rsidRPr="005B71DD">
              <w:rPr>
                <w:rFonts w:ascii="Arial" w:hAnsi="Arial" w:cs="Arial"/>
                <w:sz w:val="22"/>
                <w:szCs w:val="22"/>
              </w:rPr>
              <w:tab/>
              <w:t>Relevant Service Provider to the Applicant,</w:t>
            </w:r>
          </w:p>
          <w:p w14:paraId="6EE54BF6"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and the Person acquired the Securities for cash or in consideration for the repayment of debt.</w:t>
            </w:r>
          </w:p>
        </w:tc>
        <w:tc>
          <w:tcPr>
            <w:tcW w:w="0" w:type="auto"/>
          </w:tcPr>
          <w:p w14:paraId="6DA00FFB" w14:textId="77777777" w:rsidR="005B71DD" w:rsidRPr="005B71DD" w:rsidRDefault="005B71DD" w:rsidP="00CE5B08">
            <w:pPr>
              <w:pStyle w:val="S2Heading3"/>
              <w:numPr>
                <w:ilvl w:val="0"/>
                <w:numId w:val="0"/>
              </w:numPr>
              <w:ind w:left="423" w:hanging="423"/>
              <w:jc w:val="left"/>
              <w:rPr>
                <w:rFonts w:ascii="Arial" w:hAnsi="Arial" w:cs="Arial"/>
                <w:sz w:val="22"/>
                <w:szCs w:val="22"/>
              </w:rPr>
            </w:pPr>
            <w:r w:rsidRPr="005B71DD">
              <w:rPr>
                <w:rFonts w:ascii="Arial" w:hAnsi="Arial" w:cs="Arial"/>
                <w:sz w:val="22"/>
                <w:szCs w:val="22"/>
              </w:rPr>
              <w:t xml:space="preserve">(a) </w:t>
            </w:r>
            <w:r w:rsidRPr="005B71DD">
              <w:rPr>
                <w:rFonts w:ascii="Arial" w:hAnsi="Arial" w:cs="Arial"/>
                <w:sz w:val="22"/>
                <w:szCs w:val="22"/>
              </w:rPr>
              <w:tab/>
              <w:t>Securities which are fully paid Shares, for which consideration per Security was at least 80% of the price paid in any public offering of the Applicant’s securities at the time of Applicant’s application for admission to the Official List – Not subject to a Restriction Period</w:t>
            </w:r>
          </w:p>
          <w:p w14:paraId="3091F484" w14:textId="77777777" w:rsidR="005B71DD" w:rsidRPr="005B71DD" w:rsidRDefault="005B71DD" w:rsidP="00CE5B08">
            <w:pPr>
              <w:pStyle w:val="S2Heading3"/>
              <w:numPr>
                <w:ilvl w:val="0"/>
                <w:numId w:val="0"/>
              </w:numPr>
              <w:ind w:left="423" w:hanging="423"/>
              <w:jc w:val="left"/>
              <w:rPr>
                <w:rFonts w:ascii="Arial" w:hAnsi="Arial" w:cs="Arial"/>
                <w:sz w:val="22"/>
                <w:szCs w:val="22"/>
              </w:rPr>
            </w:pPr>
            <w:r w:rsidRPr="005B71DD">
              <w:rPr>
                <w:rFonts w:ascii="Arial" w:hAnsi="Arial" w:cs="Arial"/>
                <w:sz w:val="22"/>
                <w:szCs w:val="22"/>
              </w:rPr>
              <w:t xml:space="preserve">(b) </w:t>
            </w:r>
            <w:r w:rsidRPr="005B71DD">
              <w:rPr>
                <w:rFonts w:ascii="Arial" w:hAnsi="Arial" w:cs="Arial"/>
                <w:sz w:val="22"/>
                <w:szCs w:val="22"/>
              </w:rPr>
              <w:tab/>
              <w:t>Subject to (a), where the consideration for the Securities or Options was less than 80%, the number as determined by the Restriction Formula.</w:t>
            </w:r>
          </w:p>
          <w:p w14:paraId="6A5E27D2" w14:textId="77777777" w:rsidR="005B71DD" w:rsidRPr="005B71DD" w:rsidRDefault="005B71DD" w:rsidP="00CE5B08">
            <w:pPr>
              <w:pStyle w:val="S2Heading3"/>
              <w:numPr>
                <w:ilvl w:val="0"/>
                <w:numId w:val="0"/>
              </w:numPr>
              <w:ind w:left="423" w:hanging="487"/>
              <w:jc w:val="left"/>
              <w:rPr>
                <w:rFonts w:ascii="Arial" w:hAnsi="Arial" w:cs="Arial"/>
                <w:sz w:val="22"/>
                <w:szCs w:val="22"/>
              </w:rPr>
            </w:pPr>
            <w:r w:rsidRPr="005B71DD">
              <w:rPr>
                <w:rFonts w:ascii="Arial" w:hAnsi="Arial" w:cs="Arial"/>
                <w:sz w:val="22"/>
                <w:szCs w:val="22"/>
              </w:rPr>
              <w:t xml:space="preserve">(c) </w:t>
            </w:r>
            <w:r w:rsidRPr="005B71DD">
              <w:rPr>
                <w:rFonts w:ascii="Arial" w:hAnsi="Arial" w:cs="Arial"/>
                <w:sz w:val="22"/>
                <w:szCs w:val="22"/>
              </w:rPr>
              <w:tab/>
              <w:t xml:space="preserve">All other Securities.  </w:t>
            </w:r>
          </w:p>
        </w:tc>
        <w:tc>
          <w:tcPr>
            <w:tcW w:w="0" w:type="auto"/>
          </w:tcPr>
          <w:p w14:paraId="392A8226" w14:textId="7F493126" w:rsidR="005B71DD" w:rsidRPr="005B71DD" w:rsidRDefault="00BF389F" w:rsidP="00CE5B08">
            <w:pPr>
              <w:pStyle w:val="S2Heading3"/>
              <w:numPr>
                <w:ilvl w:val="0"/>
                <w:numId w:val="0"/>
              </w:numPr>
              <w:jc w:val="left"/>
              <w:rPr>
                <w:rFonts w:ascii="Arial" w:hAnsi="Arial" w:cs="Arial"/>
                <w:sz w:val="22"/>
                <w:szCs w:val="22"/>
              </w:rPr>
            </w:pPr>
            <w:r>
              <w:rPr>
                <w:rFonts w:ascii="Arial" w:hAnsi="Arial" w:cs="Arial"/>
                <w:sz w:val="22"/>
                <w:szCs w:val="22"/>
              </w:rPr>
              <w:t>One</w:t>
            </w:r>
            <w:r w:rsidR="005B71DD" w:rsidRPr="005B71DD">
              <w:rPr>
                <w:rFonts w:ascii="Arial" w:hAnsi="Arial" w:cs="Arial"/>
                <w:sz w:val="22"/>
                <w:szCs w:val="22"/>
              </w:rPr>
              <w:t xml:space="preserve"> year from the time the Applicant’s Securities are first admitted to trading on a Recognised Investment Exchange.</w:t>
            </w:r>
          </w:p>
        </w:tc>
      </w:tr>
      <w:tr w:rsidR="005B71DD" w:rsidRPr="005B71DD" w14:paraId="71093C53" w14:textId="77777777" w:rsidTr="00CE5B08">
        <w:tc>
          <w:tcPr>
            <w:tcW w:w="0" w:type="auto"/>
          </w:tcPr>
          <w:p w14:paraId="739EDF75" w14:textId="77777777" w:rsidR="005B71DD" w:rsidRPr="005B71DD" w:rsidRDefault="005B71DD" w:rsidP="00CE5B08">
            <w:pPr>
              <w:pStyle w:val="S2Heading3"/>
              <w:numPr>
                <w:ilvl w:val="0"/>
                <w:numId w:val="0"/>
              </w:numPr>
              <w:jc w:val="left"/>
              <w:rPr>
                <w:rFonts w:ascii="Arial" w:hAnsi="Arial" w:cs="Arial"/>
                <w:b/>
                <w:bCs w:val="0"/>
                <w:sz w:val="22"/>
                <w:szCs w:val="22"/>
              </w:rPr>
            </w:pPr>
            <w:r w:rsidRPr="005B71DD">
              <w:rPr>
                <w:rFonts w:ascii="Arial" w:hAnsi="Arial" w:cs="Arial"/>
                <w:b/>
                <w:bCs w:val="0"/>
                <w:sz w:val="22"/>
                <w:szCs w:val="22"/>
              </w:rPr>
              <w:lastRenderedPageBreak/>
              <w:t>Category 3</w:t>
            </w:r>
          </w:p>
          <w:p w14:paraId="30EF72D5" w14:textId="77777777" w:rsidR="005B71DD" w:rsidRPr="005B71DD" w:rsidRDefault="005B71DD" w:rsidP="00CE5B08">
            <w:pPr>
              <w:pStyle w:val="S2Heading3"/>
              <w:numPr>
                <w:ilvl w:val="0"/>
                <w:numId w:val="0"/>
              </w:numPr>
              <w:jc w:val="left"/>
              <w:rPr>
                <w:rFonts w:ascii="Arial" w:hAnsi="Arial" w:cs="Arial"/>
                <w:i/>
                <w:iCs w:val="0"/>
                <w:sz w:val="22"/>
                <w:szCs w:val="22"/>
              </w:rPr>
            </w:pPr>
            <w:r w:rsidRPr="005B71DD">
              <w:rPr>
                <w:rFonts w:ascii="Arial" w:hAnsi="Arial" w:cs="Arial"/>
                <w:i/>
                <w:iCs w:val="0"/>
                <w:sz w:val="22"/>
                <w:szCs w:val="22"/>
              </w:rPr>
              <w:t>(“Related Vendors of Unproven Assets”)</w:t>
            </w:r>
          </w:p>
          <w:p w14:paraId="6D151B6F" w14:textId="77777777" w:rsidR="005B71DD" w:rsidRPr="005B71DD" w:rsidRDefault="005B71DD" w:rsidP="00CE5B08">
            <w:pPr>
              <w:pStyle w:val="S2Heading3"/>
              <w:numPr>
                <w:ilvl w:val="0"/>
                <w:numId w:val="0"/>
              </w:numPr>
              <w:jc w:val="left"/>
              <w:rPr>
                <w:rFonts w:ascii="Arial" w:hAnsi="Arial" w:cs="Arial"/>
                <w:sz w:val="22"/>
                <w:szCs w:val="22"/>
              </w:rPr>
            </w:pPr>
          </w:p>
          <w:p w14:paraId="5DCA6B28" w14:textId="77777777" w:rsidR="005B71DD" w:rsidRPr="005B71DD" w:rsidRDefault="005B71DD" w:rsidP="00CE5B08">
            <w:pPr>
              <w:pStyle w:val="S2Heading3"/>
              <w:numPr>
                <w:ilvl w:val="0"/>
                <w:numId w:val="0"/>
              </w:numPr>
              <w:jc w:val="left"/>
              <w:rPr>
                <w:rFonts w:ascii="Arial" w:hAnsi="Arial" w:cs="Arial"/>
                <w:sz w:val="22"/>
                <w:szCs w:val="22"/>
              </w:rPr>
            </w:pPr>
          </w:p>
        </w:tc>
        <w:tc>
          <w:tcPr>
            <w:tcW w:w="0" w:type="auto"/>
          </w:tcPr>
          <w:p w14:paraId="397DC4DC"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A Vendor who immediately before the time of the acquisition of the Unproven Asset is a:</w:t>
            </w:r>
          </w:p>
          <w:p w14:paraId="28F5F1E8" w14:textId="77777777" w:rsidR="005B71DD" w:rsidRPr="005B71DD" w:rsidRDefault="005B71DD" w:rsidP="00CE5B08">
            <w:pPr>
              <w:pStyle w:val="S2Heading5"/>
              <w:numPr>
                <w:ilvl w:val="0"/>
                <w:numId w:val="0"/>
              </w:numPr>
              <w:ind w:left="430" w:hanging="425"/>
              <w:jc w:val="left"/>
              <w:rPr>
                <w:rFonts w:ascii="Arial" w:hAnsi="Arial" w:cs="Arial"/>
                <w:sz w:val="22"/>
                <w:szCs w:val="22"/>
              </w:rPr>
            </w:pPr>
            <w:r w:rsidRPr="005B71DD">
              <w:rPr>
                <w:rFonts w:ascii="Arial" w:hAnsi="Arial" w:cs="Arial"/>
                <w:sz w:val="22"/>
                <w:szCs w:val="22"/>
              </w:rPr>
              <w:t xml:space="preserve">(a) </w:t>
            </w:r>
            <w:r w:rsidRPr="005B71DD">
              <w:rPr>
                <w:rFonts w:ascii="Arial" w:hAnsi="Arial" w:cs="Arial"/>
                <w:sz w:val="22"/>
                <w:szCs w:val="22"/>
              </w:rPr>
              <w:tab/>
              <w:t>Related Party of the Applicant; or</w:t>
            </w:r>
          </w:p>
          <w:p w14:paraId="7E4E1DC8" w14:textId="77777777" w:rsidR="005B71DD" w:rsidRPr="005B71DD" w:rsidRDefault="005B71DD" w:rsidP="00CE5B08">
            <w:pPr>
              <w:pStyle w:val="S2Heading5"/>
              <w:numPr>
                <w:ilvl w:val="0"/>
                <w:numId w:val="0"/>
              </w:numPr>
              <w:ind w:left="511" w:hanging="506"/>
              <w:jc w:val="left"/>
              <w:rPr>
                <w:rFonts w:ascii="Arial" w:hAnsi="Arial" w:cs="Arial"/>
                <w:sz w:val="22"/>
                <w:szCs w:val="22"/>
              </w:rPr>
            </w:pPr>
            <w:r w:rsidRPr="005B71DD">
              <w:rPr>
                <w:rFonts w:ascii="Arial" w:hAnsi="Arial" w:cs="Arial"/>
                <w:sz w:val="22"/>
                <w:szCs w:val="22"/>
              </w:rPr>
              <w:t xml:space="preserve">(b) </w:t>
            </w:r>
            <w:r w:rsidRPr="005B71DD">
              <w:rPr>
                <w:rFonts w:ascii="Arial" w:hAnsi="Arial" w:cs="Arial"/>
                <w:sz w:val="22"/>
                <w:szCs w:val="22"/>
              </w:rPr>
              <w:tab/>
              <w:t>Relevant Service Provider to the Applicant,</w:t>
            </w:r>
          </w:p>
          <w:p w14:paraId="15D96CF5"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and the Vendor acquired the Securities in consideration for the Unproven Asset before the Applicant’s Securities were admitted to the Official List.</w:t>
            </w:r>
          </w:p>
        </w:tc>
        <w:tc>
          <w:tcPr>
            <w:tcW w:w="0" w:type="auto"/>
          </w:tcPr>
          <w:p w14:paraId="5135AAAD"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 xml:space="preserve">All Securities. </w:t>
            </w:r>
          </w:p>
        </w:tc>
        <w:tc>
          <w:tcPr>
            <w:tcW w:w="0" w:type="auto"/>
          </w:tcPr>
          <w:p w14:paraId="12E1871E" w14:textId="0AFCDAE7" w:rsidR="005B71DD" w:rsidRPr="005B71DD" w:rsidRDefault="00BF389F" w:rsidP="00CE5B08">
            <w:pPr>
              <w:pStyle w:val="S2Heading3"/>
              <w:numPr>
                <w:ilvl w:val="0"/>
                <w:numId w:val="0"/>
              </w:numPr>
              <w:jc w:val="left"/>
              <w:rPr>
                <w:rFonts w:ascii="Arial" w:hAnsi="Arial" w:cs="Arial"/>
                <w:sz w:val="22"/>
                <w:szCs w:val="22"/>
              </w:rPr>
            </w:pPr>
            <w:r>
              <w:rPr>
                <w:rFonts w:ascii="Arial" w:hAnsi="Arial" w:cs="Arial"/>
                <w:sz w:val="22"/>
                <w:szCs w:val="22"/>
              </w:rPr>
              <w:t>Two</w:t>
            </w:r>
            <w:r w:rsidR="005B71DD" w:rsidRPr="005B71DD">
              <w:rPr>
                <w:rFonts w:ascii="Arial" w:hAnsi="Arial" w:cs="Arial"/>
                <w:sz w:val="22"/>
                <w:szCs w:val="22"/>
              </w:rPr>
              <w:t xml:space="preserve"> years from the time the Applicant’s Securities are first admitted to trading on a Recognised Investment Exchange.</w:t>
            </w:r>
          </w:p>
        </w:tc>
      </w:tr>
      <w:tr w:rsidR="005B71DD" w:rsidRPr="005B71DD" w14:paraId="27BCCC62" w14:textId="77777777" w:rsidTr="00CE5B08">
        <w:tc>
          <w:tcPr>
            <w:tcW w:w="0" w:type="auto"/>
          </w:tcPr>
          <w:p w14:paraId="0A5C1F5C" w14:textId="77777777" w:rsidR="005B71DD" w:rsidRPr="005B71DD" w:rsidRDefault="005B71DD" w:rsidP="00CE5B08">
            <w:pPr>
              <w:pStyle w:val="S2Heading3"/>
              <w:numPr>
                <w:ilvl w:val="0"/>
                <w:numId w:val="0"/>
              </w:numPr>
              <w:jc w:val="left"/>
              <w:rPr>
                <w:rFonts w:ascii="Arial" w:hAnsi="Arial" w:cs="Arial"/>
                <w:b/>
                <w:bCs w:val="0"/>
                <w:sz w:val="22"/>
                <w:szCs w:val="22"/>
              </w:rPr>
            </w:pPr>
            <w:r w:rsidRPr="005B71DD">
              <w:rPr>
                <w:rFonts w:ascii="Arial" w:hAnsi="Arial" w:cs="Arial"/>
                <w:b/>
                <w:bCs w:val="0"/>
                <w:sz w:val="22"/>
                <w:szCs w:val="22"/>
              </w:rPr>
              <w:t>Category 4</w:t>
            </w:r>
          </w:p>
          <w:p w14:paraId="0B2BD2C8" w14:textId="77777777" w:rsidR="005B71DD" w:rsidRPr="005B71DD" w:rsidRDefault="005B71DD" w:rsidP="00CE5B08">
            <w:pPr>
              <w:pStyle w:val="S2Heading3"/>
              <w:numPr>
                <w:ilvl w:val="0"/>
                <w:numId w:val="0"/>
              </w:numPr>
              <w:jc w:val="left"/>
              <w:rPr>
                <w:rFonts w:ascii="Arial" w:hAnsi="Arial" w:cs="Arial"/>
                <w:i/>
                <w:iCs w:val="0"/>
                <w:sz w:val="22"/>
                <w:szCs w:val="22"/>
              </w:rPr>
            </w:pPr>
            <w:r w:rsidRPr="005B71DD">
              <w:rPr>
                <w:rFonts w:ascii="Arial" w:hAnsi="Arial" w:cs="Arial"/>
                <w:i/>
                <w:iCs w:val="0"/>
                <w:sz w:val="22"/>
                <w:szCs w:val="22"/>
              </w:rPr>
              <w:t>(“Unrelated Vendors of Unproven Assets”)</w:t>
            </w:r>
          </w:p>
          <w:p w14:paraId="2B420BA3" w14:textId="77777777" w:rsidR="005B71DD" w:rsidRPr="005B71DD" w:rsidRDefault="005B71DD" w:rsidP="00CE5B08">
            <w:pPr>
              <w:pStyle w:val="S2Heading3"/>
              <w:numPr>
                <w:ilvl w:val="0"/>
                <w:numId w:val="0"/>
              </w:numPr>
              <w:jc w:val="left"/>
              <w:rPr>
                <w:rFonts w:ascii="Arial" w:hAnsi="Arial" w:cs="Arial"/>
                <w:sz w:val="22"/>
                <w:szCs w:val="22"/>
              </w:rPr>
            </w:pPr>
          </w:p>
        </w:tc>
        <w:tc>
          <w:tcPr>
            <w:tcW w:w="0" w:type="auto"/>
          </w:tcPr>
          <w:p w14:paraId="1FC542E9"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A Vendor who immediately before the time of the acquisition of the Unproven Asset is not a:</w:t>
            </w:r>
          </w:p>
          <w:p w14:paraId="6DA49E30" w14:textId="77777777" w:rsidR="005B71DD" w:rsidRPr="005B71DD" w:rsidRDefault="005B71DD" w:rsidP="00CE5B08">
            <w:pPr>
              <w:pStyle w:val="S2Heading5"/>
              <w:numPr>
                <w:ilvl w:val="0"/>
                <w:numId w:val="0"/>
              </w:numPr>
              <w:ind w:left="574" w:hanging="574"/>
              <w:jc w:val="left"/>
              <w:rPr>
                <w:rFonts w:ascii="Arial" w:hAnsi="Arial" w:cs="Arial"/>
                <w:sz w:val="22"/>
                <w:szCs w:val="22"/>
              </w:rPr>
            </w:pPr>
            <w:r w:rsidRPr="005B71DD">
              <w:rPr>
                <w:rFonts w:ascii="Arial" w:hAnsi="Arial" w:cs="Arial"/>
                <w:sz w:val="22"/>
                <w:szCs w:val="22"/>
              </w:rPr>
              <w:t xml:space="preserve">(a) </w:t>
            </w:r>
            <w:r w:rsidRPr="005B71DD">
              <w:rPr>
                <w:rFonts w:ascii="Arial" w:hAnsi="Arial" w:cs="Arial"/>
                <w:sz w:val="22"/>
                <w:szCs w:val="22"/>
              </w:rPr>
              <w:tab/>
              <w:t>Related Party of the Applicant; or</w:t>
            </w:r>
          </w:p>
          <w:p w14:paraId="5F558475" w14:textId="77777777" w:rsidR="005B71DD" w:rsidRPr="005B71DD" w:rsidRDefault="005B71DD" w:rsidP="00CE5B08">
            <w:pPr>
              <w:pStyle w:val="S2Heading5"/>
              <w:numPr>
                <w:ilvl w:val="0"/>
                <w:numId w:val="0"/>
              </w:numPr>
              <w:ind w:left="511" w:hanging="511"/>
              <w:jc w:val="left"/>
              <w:rPr>
                <w:rFonts w:ascii="Arial" w:hAnsi="Arial" w:cs="Arial"/>
                <w:sz w:val="22"/>
                <w:szCs w:val="22"/>
              </w:rPr>
            </w:pPr>
            <w:r w:rsidRPr="005B71DD">
              <w:rPr>
                <w:rFonts w:ascii="Arial" w:hAnsi="Arial" w:cs="Arial"/>
                <w:sz w:val="22"/>
                <w:szCs w:val="22"/>
              </w:rPr>
              <w:t xml:space="preserve">(b) </w:t>
            </w:r>
            <w:r w:rsidRPr="005B71DD">
              <w:rPr>
                <w:rFonts w:ascii="Arial" w:hAnsi="Arial" w:cs="Arial"/>
                <w:sz w:val="22"/>
                <w:szCs w:val="22"/>
              </w:rPr>
              <w:tab/>
              <w:t>Relevant Service Provider of the Applicant,</w:t>
            </w:r>
          </w:p>
          <w:p w14:paraId="6EC7616E"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and the Vendor acquired the Securities in:</w:t>
            </w:r>
          </w:p>
          <w:p w14:paraId="71F1AC7F" w14:textId="77777777" w:rsidR="005B71DD" w:rsidRPr="005B71DD" w:rsidRDefault="005B71DD" w:rsidP="00CE5B08">
            <w:pPr>
              <w:pStyle w:val="S2Heading6"/>
              <w:numPr>
                <w:ilvl w:val="0"/>
                <w:numId w:val="0"/>
              </w:numPr>
              <w:ind w:left="1027" w:hanging="435"/>
              <w:jc w:val="left"/>
              <w:rPr>
                <w:rFonts w:ascii="Arial" w:hAnsi="Arial" w:cs="Arial"/>
                <w:sz w:val="22"/>
                <w:szCs w:val="22"/>
              </w:rPr>
            </w:pPr>
            <w:r w:rsidRPr="005B71DD">
              <w:rPr>
                <w:rFonts w:ascii="Arial" w:hAnsi="Arial" w:cs="Arial"/>
                <w:sz w:val="22"/>
                <w:szCs w:val="22"/>
              </w:rPr>
              <w:t xml:space="preserve">(i) </w:t>
            </w:r>
            <w:r w:rsidRPr="005B71DD">
              <w:rPr>
                <w:rFonts w:ascii="Arial" w:hAnsi="Arial" w:cs="Arial"/>
                <w:sz w:val="22"/>
                <w:szCs w:val="22"/>
              </w:rPr>
              <w:tab/>
              <w:t>consideration for the Unproven Asset, or</w:t>
            </w:r>
          </w:p>
          <w:p w14:paraId="5F7387EF" w14:textId="77777777" w:rsidR="005B71DD" w:rsidRPr="005B71DD" w:rsidRDefault="005B71DD" w:rsidP="00CE5B08">
            <w:pPr>
              <w:pStyle w:val="S2Heading6"/>
              <w:numPr>
                <w:ilvl w:val="0"/>
                <w:numId w:val="0"/>
              </w:numPr>
              <w:ind w:left="1027" w:hanging="415"/>
              <w:jc w:val="left"/>
              <w:rPr>
                <w:rFonts w:ascii="Arial" w:hAnsi="Arial" w:cs="Arial"/>
                <w:sz w:val="22"/>
                <w:szCs w:val="22"/>
              </w:rPr>
            </w:pPr>
            <w:r w:rsidRPr="005B71DD">
              <w:rPr>
                <w:rFonts w:ascii="Arial" w:hAnsi="Arial" w:cs="Arial"/>
                <w:sz w:val="22"/>
                <w:szCs w:val="22"/>
              </w:rPr>
              <w:t xml:space="preserve">(ii) </w:t>
            </w:r>
            <w:r w:rsidRPr="005B71DD">
              <w:rPr>
                <w:rFonts w:ascii="Arial" w:hAnsi="Arial" w:cs="Arial"/>
                <w:sz w:val="22"/>
                <w:szCs w:val="22"/>
              </w:rPr>
              <w:tab/>
              <w:t>circumstances that included subscriptions of securities under a relevant agreement, where the cash subscription amounts were used to pay for the Unproven Asset,</w:t>
            </w:r>
          </w:p>
          <w:p w14:paraId="6E32C924" w14:textId="77777777" w:rsidR="005B71DD" w:rsidRPr="005B71DD" w:rsidRDefault="005B71DD" w:rsidP="00CE5B08">
            <w:pPr>
              <w:pStyle w:val="S2Heading6"/>
              <w:numPr>
                <w:ilvl w:val="0"/>
                <w:numId w:val="0"/>
              </w:numPr>
              <w:jc w:val="left"/>
              <w:rPr>
                <w:rFonts w:ascii="Arial" w:hAnsi="Arial" w:cs="Arial"/>
                <w:sz w:val="22"/>
                <w:szCs w:val="22"/>
              </w:rPr>
            </w:pPr>
            <w:r w:rsidRPr="005B71DD">
              <w:rPr>
                <w:rFonts w:ascii="Arial" w:hAnsi="Arial" w:cs="Arial"/>
                <w:sz w:val="22"/>
                <w:szCs w:val="22"/>
              </w:rPr>
              <w:lastRenderedPageBreak/>
              <w:t>before the Applicant’s Securities were admitted to the Official List.</w:t>
            </w:r>
          </w:p>
        </w:tc>
        <w:tc>
          <w:tcPr>
            <w:tcW w:w="0" w:type="auto"/>
          </w:tcPr>
          <w:p w14:paraId="2D5B6ACE"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lastRenderedPageBreak/>
              <w:t>All Securities.</w:t>
            </w:r>
          </w:p>
        </w:tc>
        <w:tc>
          <w:tcPr>
            <w:tcW w:w="0" w:type="auto"/>
          </w:tcPr>
          <w:p w14:paraId="271D3D13" w14:textId="2A10661B" w:rsidR="005B71DD" w:rsidRPr="005B71DD" w:rsidRDefault="00BF389F" w:rsidP="00CE5B08">
            <w:pPr>
              <w:pStyle w:val="S2Heading3"/>
              <w:numPr>
                <w:ilvl w:val="0"/>
                <w:numId w:val="0"/>
              </w:numPr>
              <w:jc w:val="left"/>
              <w:rPr>
                <w:rFonts w:ascii="Arial" w:hAnsi="Arial" w:cs="Arial"/>
                <w:sz w:val="22"/>
                <w:szCs w:val="22"/>
              </w:rPr>
            </w:pPr>
            <w:r>
              <w:rPr>
                <w:rFonts w:ascii="Arial" w:hAnsi="Arial" w:cs="Arial"/>
                <w:sz w:val="22"/>
                <w:szCs w:val="22"/>
              </w:rPr>
              <w:t>One</w:t>
            </w:r>
            <w:r w:rsidR="005B71DD" w:rsidRPr="005B71DD">
              <w:rPr>
                <w:rFonts w:ascii="Arial" w:hAnsi="Arial" w:cs="Arial"/>
                <w:sz w:val="22"/>
                <w:szCs w:val="22"/>
              </w:rPr>
              <w:t xml:space="preserve"> year from the time the Applicant’s Securities are first admitted to trading on a Recognised Investment Exchange.</w:t>
            </w:r>
          </w:p>
        </w:tc>
      </w:tr>
      <w:tr w:rsidR="005B71DD" w:rsidRPr="005B71DD" w14:paraId="7485AEF5" w14:textId="77777777" w:rsidTr="00CE5B08">
        <w:tc>
          <w:tcPr>
            <w:tcW w:w="0" w:type="auto"/>
          </w:tcPr>
          <w:p w14:paraId="10F99436" w14:textId="77777777" w:rsidR="005B71DD" w:rsidRPr="005B71DD" w:rsidRDefault="005B71DD" w:rsidP="00CE5B08">
            <w:pPr>
              <w:pStyle w:val="S2Heading3"/>
              <w:numPr>
                <w:ilvl w:val="0"/>
                <w:numId w:val="0"/>
              </w:numPr>
              <w:jc w:val="left"/>
              <w:rPr>
                <w:rFonts w:ascii="Arial" w:hAnsi="Arial" w:cs="Arial"/>
                <w:b/>
                <w:bCs w:val="0"/>
                <w:sz w:val="22"/>
                <w:szCs w:val="22"/>
              </w:rPr>
            </w:pPr>
            <w:r w:rsidRPr="005B71DD">
              <w:rPr>
                <w:rFonts w:ascii="Arial" w:hAnsi="Arial" w:cs="Arial"/>
                <w:b/>
                <w:bCs w:val="0"/>
                <w:sz w:val="22"/>
                <w:szCs w:val="22"/>
              </w:rPr>
              <w:t>Category 5</w:t>
            </w:r>
          </w:p>
          <w:p w14:paraId="51B78F78" w14:textId="77777777" w:rsidR="005B71DD" w:rsidRPr="005B71DD" w:rsidRDefault="005B71DD" w:rsidP="00CE5B08">
            <w:pPr>
              <w:pStyle w:val="S2Heading3"/>
              <w:numPr>
                <w:ilvl w:val="0"/>
                <w:numId w:val="0"/>
              </w:numPr>
              <w:jc w:val="left"/>
              <w:rPr>
                <w:rFonts w:ascii="Arial" w:hAnsi="Arial" w:cs="Arial"/>
                <w:i/>
                <w:iCs w:val="0"/>
                <w:sz w:val="22"/>
                <w:szCs w:val="22"/>
              </w:rPr>
            </w:pPr>
            <w:r w:rsidRPr="005B71DD">
              <w:rPr>
                <w:rFonts w:ascii="Arial" w:hAnsi="Arial" w:cs="Arial"/>
                <w:i/>
                <w:iCs w:val="0"/>
                <w:sz w:val="22"/>
                <w:szCs w:val="22"/>
              </w:rPr>
              <w:t>(“Related Party Transaction”)</w:t>
            </w:r>
          </w:p>
          <w:p w14:paraId="0A07BCBF" w14:textId="77777777" w:rsidR="005B71DD" w:rsidRPr="005B71DD" w:rsidRDefault="005B71DD" w:rsidP="00CE5B08">
            <w:pPr>
              <w:pStyle w:val="S2Heading3"/>
              <w:numPr>
                <w:ilvl w:val="0"/>
                <w:numId w:val="0"/>
              </w:numPr>
              <w:jc w:val="left"/>
              <w:rPr>
                <w:rFonts w:ascii="Arial" w:hAnsi="Arial" w:cs="Arial"/>
                <w:sz w:val="22"/>
                <w:szCs w:val="22"/>
              </w:rPr>
            </w:pPr>
          </w:p>
        </w:tc>
        <w:tc>
          <w:tcPr>
            <w:tcW w:w="0" w:type="auto"/>
          </w:tcPr>
          <w:p w14:paraId="65E0B02B" w14:textId="77777777" w:rsidR="005B71DD" w:rsidRPr="005B71DD" w:rsidRDefault="005B71DD" w:rsidP="00CE5B08">
            <w:pPr>
              <w:pStyle w:val="S2Heading5"/>
              <w:numPr>
                <w:ilvl w:val="0"/>
                <w:numId w:val="0"/>
              </w:numPr>
              <w:jc w:val="left"/>
              <w:rPr>
                <w:rFonts w:ascii="Arial" w:hAnsi="Arial" w:cs="Arial"/>
                <w:sz w:val="22"/>
                <w:szCs w:val="22"/>
              </w:rPr>
            </w:pPr>
            <w:r w:rsidRPr="005B71DD">
              <w:rPr>
                <w:rFonts w:ascii="Arial" w:hAnsi="Arial" w:cs="Arial"/>
                <w:sz w:val="22"/>
                <w:szCs w:val="22"/>
              </w:rPr>
              <w:t>A Vendor who immediately before the time of the acquisition of the Unproven Asset is a Person referred to in Rule 9.5.3, and the Person acquired the Securities in:</w:t>
            </w:r>
          </w:p>
          <w:p w14:paraId="77D35814" w14:textId="77777777" w:rsidR="005B71DD" w:rsidRPr="005B71DD" w:rsidRDefault="005B71DD" w:rsidP="00CE5B08">
            <w:pPr>
              <w:pStyle w:val="S2Heading5"/>
              <w:numPr>
                <w:ilvl w:val="0"/>
                <w:numId w:val="0"/>
              </w:numPr>
              <w:ind w:left="624" w:hanging="579"/>
              <w:jc w:val="left"/>
              <w:rPr>
                <w:rFonts w:ascii="Arial" w:hAnsi="Arial" w:cs="Arial"/>
                <w:sz w:val="22"/>
                <w:szCs w:val="22"/>
              </w:rPr>
            </w:pPr>
            <w:r w:rsidRPr="005B71DD">
              <w:rPr>
                <w:rFonts w:ascii="Arial" w:hAnsi="Arial" w:cs="Arial"/>
                <w:sz w:val="22"/>
                <w:szCs w:val="22"/>
              </w:rPr>
              <w:t xml:space="preserve">(a) </w:t>
            </w:r>
            <w:r w:rsidRPr="005B71DD">
              <w:rPr>
                <w:rFonts w:ascii="Arial" w:hAnsi="Arial" w:cs="Arial"/>
                <w:sz w:val="22"/>
                <w:szCs w:val="22"/>
              </w:rPr>
              <w:tab/>
              <w:t>consideration for the Unproven Asset, or</w:t>
            </w:r>
          </w:p>
          <w:p w14:paraId="01E6FE24" w14:textId="77777777" w:rsidR="005B71DD" w:rsidRPr="005B71DD" w:rsidRDefault="005B71DD" w:rsidP="00CE5B08">
            <w:pPr>
              <w:pStyle w:val="S2Heading5"/>
              <w:numPr>
                <w:ilvl w:val="0"/>
                <w:numId w:val="0"/>
              </w:numPr>
              <w:ind w:left="653" w:hanging="608"/>
              <w:jc w:val="left"/>
              <w:rPr>
                <w:rFonts w:ascii="Arial" w:hAnsi="Arial" w:cs="Arial"/>
                <w:sz w:val="22"/>
                <w:szCs w:val="22"/>
              </w:rPr>
            </w:pPr>
            <w:r w:rsidRPr="005B71DD">
              <w:rPr>
                <w:rFonts w:ascii="Arial" w:hAnsi="Arial" w:cs="Arial"/>
                <w:sz w:val="22"/>
                <w:szCs w:val="22"/>
              </w:rPr>
              <w:t xml:space="preserve">(b) </w:t>
            </w:r>
            <w:r w:rsidRPr="005B71DD">
              <w:rPr>
                <w:rFonts w:ascii="Arial" w:hAnsi="Arial" w:cs="Arial"/>
                <w:sz w:val="22"/>
                <w:szCs w:val="22"/>
              </w:rPr>
              <w:tab/>
              <w:t>circumstances that included subscriptions of securities under a relevant agreement, where the cash subscription amounts were used to pay for the Unproven Asset,</w:t>
            </w:r>
          </w:p>
          <w:p w14:paraId="15B05CC2" w14:textId="77777777" w:rsidR="005B71DD" w:rsidRPr="005B71DD" w:rsidRDefault="005B71DD" w:rsidP="00CE5B08">
            <w:pPr>
              <w:pStyle w:val="S2Heading5"/>
              <w:numPr>
                <w:ilvl w:val="0"/>
                <w:numId w:val="0"/>
              </w:numPr>
              <w:ind w:left="77"/>
              <w:jc w:val="left"/>
              <w:rPr>
                <w:rFonts w:ascii="Arial" w:hAnsi="Arial" w:cs="Arial"/>
                <w:sz w:val="22"/>
                <w:szCs w:val="22"/>
              </w:rPr>
            </w:pPr>
            <w:r w:rsidRPr="005B71DD">
              <w:rPr>
                <w:rFonts w:ascii="Arial" w:hAnsi="Arial" w:cs="Arial"/>
                <w:sz w:val="22"/>
                <w:szCs w:val="22"/>
              </w:rPr>
              <w:t>after the Listed Entity was admitted to the Official List.</w:t>
            </w:r>
          </w:p>
        </w:tc>
        <w:tc>
          <w:tcPr>
            <w:tcW w:w="0" w:type="auto"/>
          </w:tcPr>
          <w:p w14:paraId="29E3425E"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 xml:space="preserve">All Securities. </w:t>
            </w:r>
          </w:p>
        </w:tc>
        <w:tc>
          <w:tcPr>
            <w:tcW w:w="0" w:type="auto"/>
          </w:tcPr>
          <w:p w14:paraId="0E75C9FF" w14:textId="6067CF0A" w:rsidR="005B71DD" w:rsidRPr="005B71DD" w:rsidRDefault="00BF389F" w:rsidP="00CE5B08">
            <w:pPr>
              <w:pStyle w:val="S2Heading3"/>
              <w:numPr>
                <w:ilvl w:val="0"/>
                <w:numId w:val="0"/>
              </w:numPr>
              <w:jc w:val="left"/>
              <w:rPr>
                <w:rFonts w:ascii="Arial" w:hAnsi="Arial" w:cs="Arial"/>
                <w:sz w:val="22"/>
                <w:szCs w:val="22"/>
              </w:rPr>
            </w:pPr>
            <w:r>
              <w:rPr>
                <w:rFonts w:ascii="Arial" w:hAnsi="Arial" w:cs="Arial"/>
                <w:sz w:val="22"/>
                <w:szCs w:val="22"/>
              </w:rPr>
              <w:t>One</w:t>
            </w:r>
            <w:r w:rsidR="005B71DD" w:rsidRPr="005B71DD">
              <w:rPr>
                <w:rFonts w:ascii="Arial" w:hAnsi="Arial" w:cs="Arial"/>
                <w:sz w:val="22"/>
                <w:szCs w:val="22"/>
              </w:rPr>
              <w:t xml:space="preserve"> year after the later of the following dates:</w:t>
            </w:r>
          </w:p>
          <w:p w14:paraId="57D2F7CE" w14:textId="77777777" w:rsidR="005B71DD" w:rsidRPr="005B71DD" w:rsidRDefault="005B71DD" w:rsidP="00CE5B08">
            <w:pPr>
              <w:pStyle w:val="S2Heading3"/>
              <w:numPr>
                <w:ilvl w:val="0"/>
                <w:numId w:val="0"/>
              </w:numPr>
              <w:ind w:left="345" w:hanging="345"/>
              <w:jc w:val="left"/>
              <w:rPr>
                <w:rFonts w:ascii="Arial" w:hAnsi="Arial" w:cs="Arial"/>
                <w:sz w:val="22"/>
                <w:szCs w:val="22"/>
              </w:rPr>
            </w:pPr>
            <w:r w:rsidRPr="005B71DD">
              <w:rPr>
                <w:rFonts w:ascii="Arial" w:hAnsi="Arial" w:cs="Arial"/>
                <w:sz w:val="22"/>
                <w:szCs w:val="22"/>
              </w:rPr>
              <w:t xml:space="preserve">(a) </w:t>
            </w:r>
            <w:r w:rsidRPr="005B71DD">
              <w:rPr>
                <w:rFonts w:ascii="Arial" w:hAnsi="Arial" w:cs="Arial"/>
                <w:sz w:val="22"/>
                <w:szCs w:val="22"/>
              </w:rPr>
              <w:tab/>
              <w:t>the Restricted Securities are issued; or</w:t>
            </w:r>
          </w:p>
          <w:p w14:paraId="53796E34" w14:textId="77777777" w:rsidR="005B71DD" w:rsidRPr="005B71DD" w:rsidRDefault="005B71DD" w:rsidP="00CE5B08">
            <w:pPr>
              <w:pStyle w:val="S2Heading3"/>
              <w:numPr>
                <w:ilvl w:val="0"/>
                <w:numId w:val="0"/>
              </w:numPr>
              <w:ind w:left="345" w:hanging="345"/>
              <w:jc w:val="left"/>
              <w:rPr>
                <w:rFonts w:ascii="Arial" w:hAnsi="Arial" w:cs="Arial"/>
                <w:sz w:val="22"/>
                <w:szCs w:val="22"/>
              </w:rPr>
            </w:pPr>
            <w:r w:rsidRPr="005B71DD">
              <w:rPr>
                <w:rFonts w:ascii="Arial" w:hAnsi="Arial" w:cs="Arial"/>
                <w:sz w:val="22"/>
                <w:szCs w:val="22"/>
              </w:rPr>
              <w:t xml:space="preserve">(b) </w:t>
            </w:r>
            <w:r w:rsidRPr="005B71DD">
              <w:rPr>
                <w:rFonts w:ascii="Arial" w:hAnsi="Arial" w:cs="Arial"/>
                <w:sz w:val="22"/>
                <w:szCs w:val="22"/>
              </w:rPr>
              <w:tab/>
              <w:t>all Restriction Agreements are submitted to the Regulator.</w:t>
            </w:r>
          </w:p>
        </w:tc>
      </w:tr>
      <w:tr w:rsidR="005B71DD" w:rsidRPr="005B71DD" w14:paraId="71FB7DA5" w14:textId="77777777" w:rsidTr="00CE5B08">
        <w:tc>
          <w:tcPr>
            <w:tcW w:w="0" w:type="auto"/>
          </w:tcPr>
          <w:p w14:paraId="4795E6B0" w14:textId="77777777" w:rsidR="005B71DD" w:rsidRPr="005B71DD" w:rsidRDefault="005B71DD" w:rsidP="00CE5B08">
            <w:pPr>
              <w:pStyle w:val="S2Heading3"/>
              <w:numPr>
                <w:ilvl w:val="0"/>
                <w:numId w:val="0"/>
              </w:numPr>
              <w:jc w:val="left"/>
              <w:rPr>
                <w:rFonts w:ascii="Arial" w:hAnsi="Arial" w:cs="Arial"/>
                <w:b/>
                <w:bCs w:val="0"/>
                <w:sz w:val="22"/>
                <w:szCs w:val="22"/>
              </w:rPr>
            </w:pPr>
            <w:r w:rsidRPr="005B71DD">
              <w:rPr>
                <w:rFonts w:ascii="Arial" w:hAnsi="Arial" w:cs="Arial"/>
                <w:b/>
                <w:bCs w:val="0"/>
                <w:sz w:val="22"/>
                <w:szCs w:val="22"/>
              </w:rPr>
              <w:t xml:space="preserve">Category 6 </w:t>
            </w:r>
          </w:p>
          <w:p w14:paraId="5CBFC72D" w14:textId="77777777" w:rsidR="005B71DD" w:rsidRPr="005B71DD" w:rsidRDefault="005B71DD" w:rsidP="00CE5B08">
            <w:pPr>
              <w:pStyle w:val="S2Heading3"/>
              <w:numPr>
                <w:ilvl w:val="0"/>
                <w:numId w:val="0"/>
              </w:numPr>
              <w:jc w:val="left"/>
              <w:rPr>
                <w:rFonts w:ascii="Arial" w:hAnsi="Arial" w:cs="Arial"/>
                <w:i/>
                <w:iCs w:val="0"/>
                <w:sz w:val="22"/>
                <w:szCs w:val="22"/>
              </w:rPr>
            </w:pPr>
            <w:r w:rsidRPr="005B71DD">
              <w:rPr>
                <w:rFonts w:ascii="Arial" w:hAnsi="Arial" w:cs="Arial"/>
                <w:i/>
                <w:iCs w:val="0"/>
                <w:sz w:val="22"/>
                <w:szCs w:val="22"/>
              </w:rPr>
              <w:t>(“Unrelated Vendor Transaction”)</w:t>
            </w:r>
          </w:p>
          <w:p w14:paraId="4448F000" w14:textId="77777777" w:rsidR="005B71DD" w:rsidRPr="005B71DD" w:rsidRDefault="005B71DD" w:rsidP="00CE5B08">
            <w:pPr>
              <w:pStyle w:val="S2Heading3"/>
              <w:numPr>
                <w:ilvl w:val="0"/>
                <w:numId w:val="0"/>
              </w:numPr>
              <w:jc w:val="left"/>
              <w:rPr>
                <w:rFonts w:ascii="Arial" w:hAnsi="Arial" w:cs="Arial"/>
                <w:sz w:val="22"/>
                <w:szCs w:val="22"/>
              </w:rPr>
            </w:pPr>
          </w:p>
        </w:tc>
        <w:tc>
          <w:tcPr>
            <w:tcW w:w="0" w:type="auto"/>
          </w:tcPr>
          <w:p w14:paraId="3D2C03FF" w14:textId="77777777" w:rsidR="005B71DD" w:rsidRPr="005B71DD" w:rsidRDefault="005B71DD" w:rsidP="00CE5B08">
            <w:pPr>
              <w:pStyle w:val="S2Heading5"/>
              <w:numPr>
                <w:ilvl w:val="0"/>
                <w:numId w:val="0"/>
              </w:numPr>
              <w:jc w:val="left"/>
              <w:rPr>
                <w:rFonts w:ascii="Arial" w:hAnsi="Arial" w:cs="Arial"/>
                <w:sz w:val="22"/>
                <w:szCs w:val="22"/>
              </w:rPr>
            </w:pPr>
            <w:r w:rsidRPr="005B71DD">
              <w:rPr>
                <w:rFonts w:ascii="Arial" w:hAnsi="Arial" w:cs="Arial"/>
                <w:sz w:val="22"/>
                <w:szCs w:val="22"/>
              </w:rPr>
              <w:t>A Vendor who immediately before the time of the acquisition of the Unproven Asset is NOT a Person referred to in Rule 9.5.3, and the Person acquired the Securities in:</w:t>
            </w:r>
          </w:p>
          <w:p w14:paraId="5CA218DD" w14:textId="77777777" w:rsidR="005B71DD" w:rsidRPr="005B71DD" w:rsidRDefault="005B71DD" w:rsidP="00CE5B08">
            <w:pPr>
              <w:pStyle w:val="S2Heading5"/>
              <w:numPr>
                <w:ilvl w:val="0"/>
                <w:numId w:val="0"/>
              </w:numPr>
              <w:ind w:left="653" w:hanging="608"/>
              <w:jc w:val="left"/>
              <w:rPr>
                <w:rFonts w:ascii="Arial" w:hAnsi="Arial" w:cs="Arial"/>
                <w:sz w:val="22"/>
                <w:szCs w:val="22"/>
              </w:rPr>
            </w:pPr>
            <w:r w:rsidRPr="005B71DD">
              <w:rPr>
                <w:rFonts w:ascii="Arial" w:hAnsi="Arial" w:cs="Arial"/>
                <w:sz w:val="22"/>
                <w:szCs w:val="22"/>
              </w:rPr>
              <w:t xml:space="preserve">(a) </w:t>
            </w:r>
            <w:r w:rsidRPr="005B71DD">
              <w:rPr>
                <w:rFonts w:ascii="Arial" w:hAnsi="Arial" w:cs="Arial"/>
                <w:sz w:val="22"/>
                <w:szCs w:val="22"/>
              </w:rPr>
              <w:tab/>
              <w:t>consideration for the Unproven Asset, or</w:t>
            </w:r>
          </w:p>
          <w:p w14:paraId="51A0BE36" w14:textId="77777777" w:rsidR="005B71DD" w:rsidRPr="005B71DD" w:rsidRDefault="005B71DD" w:rsidP="00CE5B08">
            <w:pPr>
              <w:pStyle w:val="S2Heading5"/>
              <w:numPr>
                <w:ilvl w:val="0"/>
                <w:numId w:val="0"/>
              </w:numPr>
              <w:ind w:left="653" w:hanging="608"/>
              <w:jc w:val="left"/>
              <w:rPr>
                <w:rFonts w:ascii="Arial" w:hAnsi="Arial" w:cs="Arial"/>
                <w:sz w:val="22"/>
                <w:szCs w:val="22"/>
              </w:rPr>
            </w:pPr>
            <w:r w:rsidRPr="005B71DD">
              <w:rPr>
                <w:rFonts w:ascii="Arial" w:hAnsi="Arial" w:cs="Arial"/>
                <w:sz w:val="22"/>
                <w:szCs w:val="22"/>
              </w:rPr>
              <w:t xml:space="preserve">(b) </w:t>
            </w:r>
            <w:r w:rsidRPr="005B71DD">
              <w:rPr>
                <w:rFonts w:ascii="Arial" w:hAnsi="Arial" w:cs="Arial"/>
                <w:sz w:val="22"/>
                <w:szCs w:val="22"/>
              </w:rPr>
              <w:tab/>
              <w:t xml:space="preserve">circumstances that included subscriptions of securities under a relevant agreement, where the cash subscription amounts were </w:t>
            </w:r>
            <w:r w:rsidRPr="005B71DD">
              <w:rPr>
                <w:rFonts w:ascii="Arial" w:hAnsi="Arial" w:cs="Arial"/>
                <w:sz w:val="22"/>
                <w:szCs w:val="22"/>
              </w:rPr>
              <w:lastRenderedPageBreak/>
              <w:t>used to pay for the Unproven Asset,</w:t>
            </w:r>
          </w:p>
          <w:p w14:paraId="1EADF4FC"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after the Listed Entity was admitted to the Official List.</w:t>
            </w:r>
          </w:p>
        </w:tc>
        <w:tc>
          <w:tcPr>
            <w:tcW w:w="0" w:type="auto"/>
          </w:tcPr>
          <w:p w14:paraId="129C3972" w14:textId="77777777" w:rsidR="005B71DD" w:rsidRPr="005B71DD" w:rsidRDefault="005B71DD" w:rsidP="00CE5B08">
            <w:pPr>
              <w:pStyle w:val="S2Heading3"/>
              <w:numPr>
                <w:ilvl w:val="0"/>
                <w:numId w:val="0"/>
              </w:numPr>
              <w:ind w:left="421" w:hanging="421"/>
              <w:jc w:val="left"/>
              <w:rPr>
                <w:rFonts w:ascii="Arial" w:hAnsi="Arial" w:cs="Arial"/>
                <w:sz w:val="22"/>
                <w:szCs w:val="22"/>
              </w:rPr>
            </w:pPr>
            <w:r w:rsidRPr="005B71DD">
              <w:rPr>
                <w:rFonts w:ascii="Arial" w:hAnsi="Arial" w:cs="Arial"/>
                <w:sz w:val="22"/>
                <w:szCs w:val="22"/>
              </w:rPr>
              <w:lastRenderedPageBreak/>
              <w:t xml:space="preserve">(a) </w:t>
            </w:r>
            <w:r w:rsidRPr="005B71DD">
              <w:rPr>
                <w:rFonts w:ascii="Arial" w:hAnsi="Arial" w:cs="Arial"/>
                <w:sz w:val="22"/>
                <w:szCs w:val="22"/>
              </w:rPr>
              <w:tab/>
              <w:t>If the Vendor will have a relevant interest in at least 20% of the Listed Entity’s issued capital, including if the Regulator determines to aggregate separate transactions – all of the Securities.</w:t>
            </w:r>
          </w:p>
          <w:p w14:paraId="0E549259" w14:textId="77777777" w:rsidR="005B71DD" w:rsidRPr="005B71DD" w:rsidRDefault="005B71DD" w:rsidP="00CE5B08">
            <w:pPr>
              <w:pStyle w:val="S2Heading3"/>
              <w:numPr>
                <w:ilvl w:val="0"/>
                <w:numId w:val="0"/>
              </w:numPr>
              <w:ind w:left="421" w:hanging="380"/>
              <w:jc w:val="left"/>
              <w:rPr>
                <w:rFonts w:ascii="Arial" w:hAnsi="Arial" w:cs="Arial"/>
                <w:sz w:val="22"/>
                <w:szCs w:val="22"/>
              </w:rPr>
            </w:pPr>
            <w:r w:rsidRPr="005B71DD">
              <w:rPr>
                <w:rFonts w:ascii="Arial" w:hAnsi="Arial" w:cs="Arial"/>
                <w:sz w:val="22"/>
                <w:szCs w:val="22"/>
              </w:rPr>
              <w:t xml:space="preserve">(b) </w:t>
            </w:r>
            <w:r w:rsidRPr="005B71DD">
              <w:rPr>
                <w:rFonts w:ascii="Arial" w:hAnsi="Arial" w:cs="Arial"/>
                <w:sz w:val="22"/>
                <w:szCs w:val="22"/>
              </w:rPr>
              <w:tab/>
              <w:t>In any other case – Not subject to a Restriction Period.</w:t>
            </w:r>
          </w:p>
        </w:tc>
        <w:tc>
          <w:tcPr>
            <w:tcW w:w="0" w:type="auto"/>
          </w:tcPr>
          <w:p w14:paraId="5D7F2231" w14:textId="0B1914A4" w:rsidR="005B71DD" w:rsidRPr="005B71DD" w:rsidRDefault="00BF389F" w:rsidP="00CE5B08">
            <w:pPr>
              <w:pStyle w:val="S2Heading3"/>
              <w:numPr>
                <w:ilvl w:val="0"/>
                <w:numId w:val="0"/>
              </w:numPr>
              <w:jc w:val="left"/>
              <w:rPr>
                <w:rFonts w:ascii="Arial" w:hAnsi="Arial" w:cs="Arial"/>
                <w:sz w:val="22"/>
                <w:szCs w:val="22"/>
              </w:rPr>
            </w:pPr>
            <w:r>
              <w:rPr>
                <w:rFonts w:ascii="Arial" w:hAnsi="Arial" w:cs="Arial"/>
                <w:sz w:val="22"/>
                <w:szCs w:val="22"/>
              </w:rPr>
              <w:t>One</w:t>
            </w:r>
            <w:r w:rsidR="005B71DD" w:rsidRPr="005B71DD">
              <w:rPr>
                <w:rFonts w:ascii="Arial" w:hAnsi="Arial" w:cs="Arial"/>
                <w:sz w:val="22"/>
                <w:szCs w:val="22"/>
              </w:rPr>
              <w:t xml:space="preserve"> year after the later of the following dates:</w:t>
            </w:r>
          </w:p>
          <w:p w14:paraId="714FA50A" w14:textId="77777777" w:rsidR="005B71DD" w:rsidRPr="005B71DD" w:rsidRDefault="005B71DD" w:rsidP="00CE5B08">
            <w:pPr>
              <w:pStyle w:val="S2Heading3"/>
              <w:numPr>
                <w:ilvl w:val="0"/>
                <w:numId w:val="0"/>
              </w:numPr>
              <w:ind w:left="345" w:hanging="345"/>
              <w:jc w:val="left"/>
              <w:rPr>
                <w:rFonts w:ascii="Arial" w:hAnsi="Arial" w:cs="Arial"/>
                <w:sz w:val="22"/>
                <w:szCs w:val="22"/>
              </w:rPr>
            </w:pPr>
            <w:r w:rsidRPr="005B71DD">
              <w:rPr>
                <w:rFonts w:ascii="Arial" w:hAnsi="Arial" w:cs="Arial"/>
                <w:sz w:val="22"/>
                <w:szCs w:val="22"/>
              </w:rPr>
              <w:t xml:space="preserve">(a) </w:t>
            </w:r>
            <w:r w:rsidRPr="005B71DD">
              <w:rPr>
                <w:rFonts w:ascii="Arial" w:hAnsi="Arial" w:cs="Arial"/>
                <w:sz w:val="22"/>
                <w:szCs w:val="22"/>
              </w:rPr>
              <w:tab/>
              <w:t>the Restricted Securities are issued; or</w:t>
            </w:r>
          </w:p>
          <w:p w14:paraId="177B5869" w14:textId="77777777" w:rsidR="005B71DD" w:rsidRPr="005B71DD" w:rsidRDefault="005B71DD" w:rsidP="00CE5B08">
            <w:pPr>
              <w:pStyle w:val="S2Heading3"/>
              <w:numPr>
                <w:ilvl w:val="0"/>
                <w:numId w:val="0"/>
              </w:numPr>
              <w:ind w:left="345" w:hanging="345"/>
              <w:jc w:val="left"/>
              <w:rPr>
                <w:rFonts w:ascii="Arial" w:hAnsi="Arial" w:cs="Arial"/>
                <w:sz w:val="22"/>
                <w:szCs w:val="22"/>
              </w:rPr>
            </w:pPr>
            <w:r w:rsidRPr="005B71DD">
              <w:rPr>
                <w:rFonts w:ascii="Arial" w:hAnsi="Arial" w:cs="Arial"/>
                <w:sz w:val="22"/>
                <w:szCs w:val="22"/>
              </w:rPr>
              <w:t xml:space="preserve">(b) </w:t>
            </w:r>
            <w:r w:rsidRPr="005B71DD">
              <w:rPr>
                <w:rFonts w:ascii="Arial" w:hAnsi="Arial" w:cs="Arial"/>
                <w:sz w:val="22"/>
                <w:szCs w:val="22"/>
              </w:rPr>
              <w:tab/>
              <w:t>all Restriction Agreements are submitted to the Regulator.</w:t>
            </w:r>
          </w:p>
        </w:tc>
      </w:tr>
      <w:tr w:rsidR="005B71DD" w:rsidRPr="005B71DD" w14:paraId="6DF2C05E" w14:textId="77777777" w:rsidTr="00CE5B08">
        <w:tc>
          <w:tcPr>
            <w:tcW w:w="0" w:type="auto"/>
          </w:tcPr>
          <w:p w14:paraId="58102A69" w14:textId="77777777" w:rsidR="005B71DD" w:rsidRPr="005B71DD" w:rsidRDefault="005B71DD" w:rsidP="00CE5B08">
            <w:pPr>
              <w:pStyle w:val="S2Heading3"/>
              <w:numPr>
                <w:ilvl w:val="0"/>
                <w:numId w:val="0"/>
              </w:numPr>
              <w:jc w:val="left"/>
              <w:rPr>
                <w:rFonts w:ascii="Arial" w:hAnsi="Arial" w:cs="Arial"/>
                <w:b/>
                <w:bCs w:val="0"/>
                <w:sz w:val="22"/>
                <w:szCs w:val="22"/>
              </w:rPr>
            </w:pPr>
            <w:r w:rsidRPr="005B71DD">
              <w:rPr>
                <w:rFonts w:ascii="Arial" w:hAnsi="Arial" w:cs="Arial"/>
                <w:b/>
                <w:bCs w:val="0"/>
                <w:sz w:val="22"/>
                <w:szCs w:val="22"/>
              </w:rPr>
              <w:t>Category 7</w:t>
            </w:r>
          </w:p>
          <w:p w14:paraId="7F37E791" w14:textId="77777777" w:rsidR="005B71DD" w:rsidRPr="005B71DD" w:rsidRDefault="005B71DD" w:rsidP="00CE5B08">
            <w:pPr>
              <w:pStyle w:val="S2Heading3"/>
              <w:numPr>
                <w:ilvl w:val="0"/>
                <w:numId w:val="0"/>
              </w:numPr>
              <w:jc w:val="left"/>
              <w:rPr>
                <w:rFonts w:ascii="Arial" w:hAnsi="Arial" w:cs="Arial"/>
                <w:i/>
                <w:iCs w:val="0"/>
                <w:sz w:val="22"/>
                <w:szCs w:val="22"/>
              </w:rPr>
            </w:pPr>
            <w:r w:rsidRPr="005B71DD">
              <w:rPr>
                <w:rFonts w:ascii="Arial" w:hAnsi="Arial" w:cs="Arial"/>
                <w:i/>
                <w:iCs w:val="0"/>
                <w:sz w:val="22"/>
                <w:szCs w:val="22"/>
              </w:rPr>
              <w:t>(“Relevant Service Providers”)</w:t>
            </w:r>
          </w:p>
          <w:p w14:paraId="1EBB9552" w14:textId="77777777" w:rsidR="005B71DD" w:rsidRPr="005B71DD" w:rsidRDefault="005B71DD" w:rsidP="00CE5B08">
            <w:pPr>
              <w:pStyle w:val="S2Heading3"/>
              <w:numPr>
                <w:ilvl w:val="0"/>
                <w:numId w:val="0"/>
              </w:numPr>
              <w:jc w:val="left"/>
              <w:rPr>
                <w:rFonts w:ascii="Arial" w:hAnsi="Arial" w:cs="Arial"/>
                <w:sz w:val="22"/>
                <w:szCs w:val="22"/>
              </w:rPr>
            </w:pPr>
          </w:p>
        </w:tc>
        <w:tc>
          <w:tcPr>
            <w:tcW w:w="0" w:type="auto"/>
          </w:tcPr>
          <w:p w14:paraId="1D5C3725"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A Person who, at the time of the application for admission, is a Relevant Service Provider of the Applicant, and the Person acquired the Securities in:</w:t>
            </w:r>
          </w:p>
          <w:p w14:paraId="75BC3D70" w14:textId="77777777" w:rsidR="005B71DD" w:rsidRPr="005B71DD" w:rsidRDefault="005B71DD" w:rsidP="00CE5B08">
            <w:pPr>
              <w:pStyle w:val="S2Heading5"/>
              <w:numPr>
                <w:ilvl w:val="0"/>
                <w:numId w:val="0"/>
              </w:numPr>
              <w:ind w:left="470" w:hanging="425"/>
              <w:jc w:val="left"/>
              <w:rPr>
                <w:rFonts w:ascii="Arial" w:hAnsi="Arial" w:cs="Arial"/>
                <w:sz w:val="22"/>
                <w:szCs w:val="22"/>
              </w:rPr>
            </w:pPr>
            <w:r w:rsidRPr="005B71DD">
              <w:rPr>
                <w:rFonts w:ascii="Arial" w:hAnsi="Arial" w:cs="Arial"/>
                <w:sz w:val="22"/>
                <w:szCs w:val="22"/>
              </w:rPr>
              <w:t xml:space="preserve">(a) </w:t>
            </w:r>
            <w:r w:rsidRPr="005B71DD">
              <w:rPr>
                <w:rFonts w:ascii="Arial" w:hAnsi="Arial" w:cs="Arial"/>
                <w:sz w:val="22"/>
                <w:szCs w:val="22"/>
              </w:rPr>
              <w:tab/>
              <w:t>consideration for services, or</w:t>
            </w:r>
          </w:p>
          <w:p w14:paraId="518DD7F7" w14:textId="77777777" w:rsidR="005B71DD" w:rsidRPr="005B71DD" w:rsidRDefault="005B71DD" w:rsidP="00CE5B08">
            <w:pPr>
              <w:pStyle w:val="S2Heading5"/>
              <w:numPr>
                <w:ilvl w:val="0"/>
                <w:numId w:val="0"/>
              </w:numPr>
              <w:ind w:left="470" w:hanging="425"/>
              <w:jc w:val="left"/>
              <w:rPr>
                <w:rFonts w:ascii="Arial" w:hAnsi="Arial" w:cs="Arial"/>
                <w:sz w:val="22"/>
                <w:szCs w:val="22"/>
              </w:rPr>
            </w:pPr>
            <w:r w:rsidRPr="005B71DD">
              <w:rPr>
                <w:rFonts w:ascii="Arial" w:hAnsi="Arial" w:cs="Arial"/>
                <w:sz w:val="22"/>
                <w:szCs w:val="22"/>
              </w:rPr>
              <w:t xml:space="preserve">(b) </w:t>
            </w:r>
            <w:r w:rsidRPr="005B71DD">
              <w:rPr>
                <w:rFonts w:ascii="Arial" w:hAnsi="Arial" w:cs="Arial"/>
                <w:sz w:val="22"/>
                <w:szCs w:val="22"/>
              </w:rPr>
              <w:tab/>
              <w:t>circumstances that included subscriptions of securities under a relevant agreement, where the cash subscription amounts were used to pay for the services,</w:t>
            </w:r>
          </w:p>
          <w:p w14:paraId="49A2F652"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before the Applicant’s Securities were admitted to the Official List.</w:t>
            </w:r>
          </w:p>
        </w:tc>
        <w:tc>
          <w:tcPr>
            <w:tcW w:w="0" w:type="auto"/>
          </w:tcPr>
          <w:p w14:paraId="0BD08E98"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 xml:space="preserve">All Securities. </w:t>
            </w:r>
          </w:p>
        </w:tc>
        <w:tc>
          <w:tcPr>
            <w:tcW w:w="0" w:type="auto"/>
          </w:tcPr>
          <w:p w14:paraId="5AFB18C9" w14:textId="6FA38C2E" w:rsidR="005B71DD" w:rsidRPr="005B71DD" w:rsidRDefault="00BF389F" w:rsidP="00CE5B08">
            <w:pPr>
              <w:pStyle w:val="S2Heading3"/>
              <w:numPr>
                <w:ilvl w:val="0"/>
                <w:numId w:val="0"/>
              </w:numPr>
              <w:jc w:val="left"/>
              <w:rPr>
                <w:rFonts w:ascii="Arial" w:hAnsi="Arial" w:cs="Arial"/>
                <w:sz w:val="22"/>
                <w:szCs w:val="22"/>
              </w:rPr>
            </w:pPr>
            <w:r>
              <w:rPr>
                <w:rFonts w:ascii="Arial" w:hAnsi="Arial" w:cs="Arial"/>
                <w:sz w:val="22"/>
                <w:szCs w:val="22"/>
              </w:rPr>
              <w:t>Two</w:t>
            </w:r>
            <w:r w:rsidR="005B71DD" w:rsidRPr="005B71DD">
              <w:rPr>
                <w:rFonts w:ascii="Arial" w:hAnsi="Arial" w:cs="Arial"/>
                <w:sz w:val="22"/>
                <w:szCs w:val="22"/>
              </w:rPr>
              <w:t xml:space="preserve"> years from the time the Applicant’s Securities are first admitted to trading on a Recognised Investment Exchange.</w:t>
            </w:r>
          </w:p>
        </w:tc>
      </w:tr>
      <w:tr w:rsidR="005B71DD" w:rsidRPr="005B71DD" w14:paraId="59E77F26" w14:textId="77777777" w:rsidTr="00CE5B08">
        <w:tc>
          <w:tcPr>
            <w:tcW w:w="0" w:type="auto"/>
          </w:tcPr>
          <w:p w14:paraId="14CABED4" w14:textId="77777777" w:rsidR="005B71DD" w:rsidRPr="005B71DD" w:rsidRDefault="005B71DD" w:rsidP="00CE5B08">
            <w:pPr>
              <w:pStyle w:val="S2Heading3"/>
              <w:numPr>
                <w:ilvl w:val="0"/>
                <w:numId w:val="0"/>
              </w:numPr>
              <w:jc w:val="left"/>
              <w:rPr>
                <w:rFonts w:ascii="Arial" w:hAnsi="Arial" w:cs="Arial"/>
                <w:b/>
                <w:bCs w:val="0"/>
                <w:sz w:val="22"/>
                <w:szCs w:val="22"/>
              </w:rPr>
            </w:pPr>
            <w:r w:rsidRPr="005B71DD">
              <w:rPr>
                <w:rFonts w:ascii="Arial" w:hAnsi="Arial" w:cs="Arial"/>
                <w:b/>
                <w:bCs w:val="0"/>
                <w:sz w:val="22"/>
                <w:szCs w:val="22"/>
              </w:rPr>
              <w:t>Category 8</w:t>
            </w:r>
          </w:p>
          <w:p w14:paraId="4107750D" w14:textId="77777777" w:rsidR="005B71DD" w:rsidRPr="005B71DD" w:rsidRDefault="005B71DD" w:rsidP="00CE5B08">
            <w:pPr>
              <w:pStyle w:val="S2Heading3"/>
              <w:numPr>
                <w:ilvl w:val="0"/>
                <w:numId w:val="0"/>
              </w:numPr>
              <w:jc w:val="left"/>
              <w:rPr>
                <w:rFonts w:ascii="Arial" w:hAnsi="Arial" w:cs="Arial"/>
                <w:i/>
                <w:iCs w:val="0"/>
                <w:sz w:val="22"/>
                <w:szCs w:val="22"/>
              </w:rPr>
            </w:pPr>
            <w:r w:rsidRPr="005B71DD">
              <w:rPr>
                <w:rFonts w:ascii="Arial" w:hAnsi="Arial" w:cs="Arial"/>
                <w:i/>
                <w:iCs w:val="0"/>
                <w:sz w:val="22"/>
                <w:szCs w:val="22"/>
              </w:rPr>
              <w:t>(“Service Providers”)</w:t>
            </w:r>
          </w:p>
          <w:p w14:paraId="562249BD" w14:textId="77777777" w:rsidR="005B71DD" w:rsidRPr="005B71DD" w:rsidRDefault="005B71DD" w:rsidP="00CE5B08">
            <w:pPr>
              <w:pStyle w:val="S2Heading3"/>
              <w:numPr>
                <w:ilvl w:val="0"/>
                <w:numId w:val="0"/>
              </w:numPr>
              <w:jc w:val="left"/>
              <w:rPr>
                <w:rFonts w:ascii="Arial" w:hAnsi="Arial" w:cs="Arial"/>
                <w:sz w:val="22"/>
                <w:szCs w:val="22"/>
              </w:rPr>
            </w:pPr>
          </w:p>
        </w:tc>
        <w:tc>
          <w:tcPr>
            <w:tcW w:w="0" w:type="auto"/>
          </w:tcPr>
          <w:p w14:paraId="7C73C594"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A Person who is engaged by the Applicant (or a Related Party) to provide professional services, and the Person acquired the Securities in:</w:t>
            </w:r>
          </w:p>
          <w:p w14:paraId="006FAA84" w14:textId="77777777" w:rsidR="005B71DD" w:rsidRPr="005B71DD" w:rsidRDefault="005B71DD" w:rsidP="00CE5B08">
            <w:pPr>
              <w:pStyle w:val="S2Heading5"/>
              <w:numPr>
                <w:ilvl w:val="0"/>
                <w:numId w:val="0"/>
              </w:numPr>
              <w:ind w:left="470" w:hanging="425"/>
              <w:jc w:val="left"/>
              <w:rPr>
                <w:rFonts w:ascii="Arial" w:hAnsi="Arial" w:cs="Arial"/>
                <w:sz w:val="22"/>
                <w:szCs w:val="22"/>
              </w:rPr>
            </w:pPr>
            <w:r w:rsidRPr="005B71DD">
              <w:rPr>
                <w:rFonts w:ascii="Arial" w:hAnsi="Arial" w:cs="Arial"/>
                <w:sz w:val="22"/>
                <w:szCs w:val="22"/>
              </w:rPr>
              <w:t xml:space="preserve">(a) </w:t>
            </w:r>
            <w:r w:rsidRPr="005B71DD">
              <w:rPr>
                <w:rFonts w:ascii="Arial" w:hAnsi="Arial" w:cs="Arial"/>
                <w:sz w:val="22"/>
                <w:szCs w:val="22"/>
              </w:rPr>
              <w:tab/>
              <w:t>consideration for services, or</w:t>
            </w:r>
          </w:p>
          <w:p w14:paraId="56ED4538" w14:textId="77777777" w:rsidR="005B71DD" w:rsidRPr="005B71DD" w:rsidRDefault="005B71DD" w:rsidP="00CE5B08">
            <w:pPr>
              <w:pStyle w:val="S2Heading5"/>
              <w:numPr>
                <w:ilvl w:val="0"/>
                <w:numId w:val="0"/>
              </w:numPr>
              <w:ind w:left="470" w:hanging="425"/>
              <w:jc w:val="left"/>
              <w:rPr>
                <w:rFonts w:ascii="Arial" w:hAnsi="Arial" w:cs="Arial"/>
                <w:sz w:val="22"/>
                <w:szCs w:val="22"/>
              </w:rPr>
            </w:pPr>
            <w:r w:rsidRPr="005B71DD">
              <w:rPr>
                <w:rFonts w:ascii="Arial" w:hAnsi="Arial" w:cs="Arial"/>
                <w:sz w:val="22"/>
                <w:szCs w:val="22"/>
              </w:rPr>
              <w:t xml:space="preserve">(b) </w:t>
            </w:r>
            <w:r w:rsidRPr="005B71DD">
              <w:rPr>
                <w:rFonts w:ascii="Arial" w:hAnsi="Arial" w:cs="Arial"/>
                <w:sz w:val="22"/>
                <w:szCs w:val="22"/>
              </w:rPr>
              <w:tab/>
              <w:t>circumstances that included subscriptions of securities under a relevant agreement, where the cash subscription amounts were used to pay for the services,</w:t>
            </w:r>
          </w:p>
          <w:p w14:paraId="6785692F"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lastRenderedPageBreak/>
              <w:t>before the Applicant’s Securities were admitted to the Official List.</w:t>
            </w:r>
          </w:p>
        </w:tc>
        <w:tc>
          <w:tcPr>
            <w:tcW w:w="0" w:type="auto"/>
          </w:tcPr>
          <w:p w14:paraId="04210E57"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lastRenderedPageBreak/>
              <w:t xml:space="preserve">All Securities. </w:t>
            </w:r>
          </w:p>
        </w:tc>
        <w:tc>
          <w:tcPr>
            <w:tcW w:w="0" w:type="auto"/>
          </w:tcPr>
          <w:p w14:paraId="032FC00E" w14:textId="211C50BF" w:rsidR="005B71DD" w:rsidRPr="005B71DD" w:rsidRDefault="00BF389F" w:rsidP="00CE5B08">
            <w:pPr>
              <w:pStyle w:val="S2Heading3"/>
              <w:numPr>
                <w:ilvl w:val="0"/>
                <w:numId w:val="0"/>
              </w:numPr>
              <w:jc w:val="left"/>
              <w:rPr>
                <w:rFonts w:ascii="Arial" w:hAnsi="Arial" w:cs="Arial"/>
                <w:sz w:val="22"/>
                <w:szCs w:val="22"/>
              </w:rPr>
            </w:pPr>
            <w:r>
              <w:rPr>
                <w:rFonts w:ascii="Arial" w:hAnsi="Arial" w:cs="Arial"/>
                <w:sz w:val="22"/>
                <w:szCs w:val="22"/>
              </w:rPr>
              <w:t>Two</w:t>
            </w:r>
            <w:r w:rsidR="005B71DD" w:rsidRPr="005B71DD">
              <w:rPr>
                <w:rFonts w:ascii="Arial" w:hAnsi="Arial" w:cs="Arial"/>
                <w:sz w:val="22"/>
                <w:szCs w:val="22"/>
              </w:rPr>
              <w:t xml:space="preserve"> years from the time the Applicant’s Securities are first admitted to trading on a Recognised Investment Exchange.</w:t>
            </w:r>
          </w:p>
        </w:tc>
      </w:tr>
      <w:tr w:rsidR="005B71DD" w:rsidRPr="005B71DD" w14:paraId="62616E52" w14:textId="77777777" w:rsidTr="00CE5B08">
        <w:tc>
          <w:tcPr>
            <w:tcW w:w="0" w:type="auto"/>
          </w:tcPr>
          <w:p w14:paraId="2105B923" w14:textId="77777777" w:rsidR="005B71DD" w:rsidRPr="005B71DD" w:rsidRDefault="005B71DD" w:rsidP="00CE5B08">
            <w:pPr>
              <w:pStyle w:val="S2Heading3"/>
              <w:numPr>
                <w:ilvl w:val="0"/>
                <w:numId w:val="0"/>
              </w:numPr>
              <w:jc w:val="left"/>
              <w:rPr>
                <w:rFonts w:ascii="Arial" w:hAnsi="Arial" w:cs="Arial"/>
                <w:b/>
                <w:bCs w:val="0"/>
                <w:sz w:val="22"/>
                <w:szCs w:val="22"/>
              </w:rPr>
            </w:pPr>
            <w:r w:rsidRPr="005B71DD">
              <w:rPr>
                <w:rFonts w:ascii="Arial" w:hAnsi="Arial" w:cs="Arial"/>
                <w:b/>
                <w:bCs w:val="0"/>
                <w:sz w:val="22"/>
                <w:szCs w:val="22"/>
              </w:rPr>
              <w:t>Category 9</w:t>
            </w:r>
          </w:p>
          <w:p w14:paraId="739C4682" w14:textId="77777777" w:rsidR="005B71DD" w:rsidRPr="005B71DD" w:rsidRDefault="005B71DD" w:rsidP="00CE5B08">
            <w:pPr>
              <w:pStyle w:val="S2Heading3"/>
              <w:numPr>
                <w:ilvl w:val="0"/>
                <w:numId w:val="0"/>
              </w:numPr>
              <w:jc w:val="left"/>
              <w:rPr>
                <w:rFonts w:ascii="Arial" w:hAnsi="Arial" w:cs="Arial"/>
                <w:i/>
                <w:iCs w:val="0"/>
                <w:sz w:val="22"/>
                <w:szCs w:val="22"/>
              </w:rPr>
            </w:pPr>
            <w:r w:rsidRPr="005B71DD">
              <w:rPr>
                <w:rFonts w:ascii="Arial" w:hAnsi="Arial" w:cs="Arial"/>
                <w:i/>
                <w:iCs w:val="0"/>
                <w:sz w:val="22"/>
                <w:szCs w:val="22"/>
              </w:rPr>
              <w:t>(“Employee Incentive Schemes”)</w:t>
            </w:r>
          </w:p>
          <w:p w14:paraId="4D49DE6A" w14:textId="77777777" w:rsidR="005B71DD" w:rsidRPr="005B71DD" w:rsidRDefault="005B71DD" w:rsidP="00CE5B08">
            <w:pPr>
              <w:pStyle w:val="S2Heading3"/>
              <w:numPr>
                <w:ilvl w:val="0"/>
                <w:numId w:val="0"/>
              </w:numPr>
              <w:jc w:val="left"/>
              <w:rPr>
                <w:rFonts w:ascii="Arial" w:hAnsi="Arial" w:cs="Arial"/>
                <w:sz w:val="22"/>
                <w:szCs w:val="22"/>
              </w:rPr>
            </w:pPr>
          </w:p>
        </w:tc>
        <w:tc>
          <w:tcPr>
            <w:tcW w:w="0" w:type="auto"/>
          </w:tcPr>
          <w:p w14:paraId="25E665A5"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A Person who acquires Securities under an Employee Share scheme and who is a:</w:t>
            </w:r>
          </w:p>
          <w:p w14:paraId="12D63C51" w14:textId="77777777" w:rsidR="005B71DD" w:rsidRPr="005B71DD" w:rsidRDefault="005B71DD" w:rsidP="00CE5B08">
            <w:pPr>
              <w:pStyle w:val="S2Heading5"/>
              <w:numPr>
                <w:ilvl w:val="0"/>
                <w:numId w:val="0"/>
              </w:numPr>
              <w:ind w:left="470" w:hanging="425"/>
              <w:jc w:val="left"/>
              <w:rPr>
                <w:rFonts w:ascii="Arial" w:hAnsi="Arial" w:cs="Arial"/>
                <w:sz w:val="22"/>
                <w:szCs w:val="22"/>
              </w:rPr>
            </w:pPr>
            <w:r w:rsidRPr="005B71DD">
              <w:rPr>
                <w:rFonts w:ascii="Arial" w:hAnsi="Arial" w:cs="Arial"/>
                <w:sz w:val="22"/>
                <w:szCs w:val="22"/>
              </w:rPr>
              <w:t xml:space="preserve">(a) </w:t>
            </w:r>
            <w:r w:rsidRPr="005B71DD">
              <w:rPr>
                <w:rFonts w:ascii="Arial" w:hAnsi="Arial" w:cs="Arial"/>
                <w:sz w:val="22"/>
                <w:szCs w:val="22"/>
              </w:rPr>
              <w:tab/>
              <w:t>Related Party of the Applicant; or</w:t>
            </w:r>
          </w:p>
          <w:p w14:paraId="3FD4ACF1" w14:textId="77777777" w:rsidR="005B71DD" w:rsidRPr="005B71DD" w:rsidRDefault="005B71DD" w:rsidP="00CE5B08">
            <w:pPr>
              <w:pStyle w:val="S2Heading5"/>
              <w:numPr>
                <w:ilvl w:val="0"/>
                <w:numId w:val="0"/>
              </w:numPr>
              <w:ind w:left="511" w:hanging="466"/>
              <w:jc w:val="left"/>
              <w:rPr>
                <w:rFonts w:ascii="Arial" w:hAnsi="Arial" w:cs="Arial"/>
                <w:sz w:val="22"/>
                <w:szCs w:val="22"/>
              </w:rPr>
            </w:pPr>
            <w:r w:rsidRPr="005B71DD">
              <w:rPr>
                <w:rFonts w:ascii="Arial" w:hAnsi="Arial" w:cs="Arial"/>
                <w:sz w:val="22"/>
                <w:szCs w:val="22"/>
              </w:rPr>
              <w:t xml:space="preserve">(b) </w:t>
            </w:r>
            <w:r w:rsidRPr="005B71DD">
              <w:rPr>
                <w:rFonts w:ascii="Arial" w:hAnsi="Arial" w:cs="Arial"/>
                <w:sz w:val="22"/>
                <w:szCs w:val="22"/>
              </w:rPr>
              <w:tab/>
              <w:t>Relevant Service Provider of the Applicant,</w:t>
            </w:r>
          </w:p>
          <w:p w14:paraId="5CFB7842" w14:textId="77777777" w:rsidR="005B71DD" w:rsidRPr="005B71DD" w:rsidRDefault="005B71DD" w:rsidP="00CE5B08">
            <w:pPr>
              <w:pStyle w:val="S2Heading5"/>
              <w:numPr>
                <w:ilvl w:val="0"/>
                <w:numId w:val="0"/>
              </w:numPr>
              <w:jc w:val="left"/>
              <w:rPr>
                <w:rFonts w:ascii="Arial" w:hAnsi="Arial" w:cs="Arial"/>
                <w:sz w:val="22"/>
                <w:szCs w:val="22"/>
              </w:rPr>
            </w:pPr>
            <w:r w:rsidRPr="005B71DD">
              <w:rPr>
                <w:rFonts w:ascii="Arial" w:hAnsi="Arial" w:cs="Arial"/>
                <w:sz w:val="22"/>
                <w:szCs w:val="22"/>
              </w:rPr>
              <w:t>before the Applicant’s Securities were admitted to the Official List.</w:t>
            </w:r>
          </w:p>
        </w:tc>
        <w:tc>
          <w:tcPr>
            <w:tcW w:w="0" w:type="auto"/>
          </w:tcPr>
          <w:p w14:paraId="36416C98" w14:textId="77777777" w:rsidR="005B71DD" w:rsidRPr="005B71DD" w:rsidRDefault="005B71DD" w:rsidP="00CE5B08">
            <w:pPr>
              <w:pStyle w:val="S2Heading3"/>
              <w:numPr>
                <w:ilvl w:val="0"/>
                <w:numId w:val="0"/>
              </w:numPr>
              <w:ind w:left="466" w:hanging="466"/>
              <w:jc w:val="left"/>
              <w:rPr>
                <w:rFonts w:ascii="Arial" w:hAnsi="Arial" w:cs="Arial"/>
                <w:sz w:val="22"/>
                <w:szCs w:val="22"/>
              </w:rPr>
            </w:pPr>
            <w:r w:rsidRPr="005B71DD">
              <w:rPr>
                <w:rFonts w:ascii="Arial" w:hAnsi="Arial" w:cs="Arial"/>
                <w:sz w:val="22"/>
                <w:szCs w:val="22"/>
              </w:rPr>
              <w:t xml:space="preserve">(a) </w:t>
            </w:r>
            <w:r w:rsidRPr="005B71DD">
              <w:rPr>
                <w:rFonts w:ascii="Arial" w:hAnsi="Arial" w:cs="Arial"/>
                <w:sz w:val="22"/>
                <w:szCs w:val="22"/>
              </w:rPr>
              <w:tab/>
              <w:t>For Shares or Warrants, the number as determined by the Restriction Formula.</w:t>
            </w:r>
          </w:p>
          <w:p w14:paraId="06EFDD49" w14:textId="77777777" w:rsidR="005B71DD" w:rsidRPr="005B71DD" w:rsidRDefault="005B71DD" w:rsidP="00CE5B08">
            <w:pPr>
              <w:pStyle w:val="S2Heading3"/>
              <w:numPr>
                <w:ilvl w:val="0"/>
                <w:numId w:val="0"/>
              </w:numPr>
              <w:ind w:left="466" w:hanging="466"/>
              <w:jc w:val="left"/>
              <w:rPr>
                <w:rFonts w:ascii="Arial" w:hAnsi="Arial" w:cs="Arial"/>
                <w:sz w:val="22"/>
                <w:szCs w:val="22"/>
              </w:rPr>
            </w:pPr>
            <w:r w:rsidRPr="005B71DD">
              <w:rPr>
                <w:rFonts w:ascii="Arial" w:hAnsi="Arial" w:cs="Arial"/>
                <w:sz w:val="22"/>
                <w:szCs w:val="22"/>
              </w:rPr>
              <w:t xml:space="preserve">(b) </w:t>
            </w:r>
            <w:r w:rsidRPr="005B71DD">
              <w:rPr>
                <w:rFonts w:ascii="Arial" w:hAnsi="Arial" w:cs="Arial"/>
                <w:sz w:val="22"/>
                <w:szCs w:val="22"/>
              </w:rPr>
              <w:tab/>
              <w:t>All other Securities.</w:t>
            </w:r>
          </w:p>
        </w:tc>
        <w:tc>
          <w:tcPr>
            <w:tcW w:w="0" w:type="auto"/>
          </w:tcPr>
          <w:p w14:paraId="3B08F9BC" w14:textId="10C1BE87" w:rsidR="005B71DD" w:rsidRPr="005B71DD" w:rsidRDefault="00BF389F" w:rsidP="00CE5B08">
            <w:pPr>
              <w:pStyle w:val="S2Heading3"/>
              <w:numPr>
                <w:ilvl w:val="0"/>
                <w:numId w:val="0"/>
              </w:numPr>
              <w:jc w:val="left"/>
              <w:rPr>
                <w:rFonts w:ascii="Arial" w:hAnsi="Arial" w:cs="Arial"/>
                <w:sz w:val="22"/>
                <w:szCs w:val="22"/>
              </w:rPr>
            </w:pPr>
            <w:r>
              <w:rPr>
                <w:rFonts w:ascii="Arial" w:hAnsi="Arial" w:cs="Arial"/>
                <w:sz w:val="22"/>
                <w:szCs w:val="22"/>
              </w:rPr>
              <w:t>Two</w:t>
            </w:r>
            <w:r w:rsidR="005B71DD" w:rsidRPr="005B71DD">
              <w:rPr>
                <w:rFonts w:ascii="Arial" w:hAnsi="Arial" w:cs="Arial"/>
                <w:sz w:val="22"/>
                <w:szCs w:val="22"/>
              </w:rPr>
              <w:t xml:space="preserve"> years from the time the Applicant’s Securities are first admitted to trading on a Recognised Investment Exchange.</w:t>
            </w:r>
          </w:p>
        </w:tc>
      </w:tr>
      <w:tr w:rsidR="005B71DD" w:rsidRPr="005B71DD" w14:paraId="0D42E2A2" w14:textId="77777777" w:rsidTr="00CE5B08">
        <w:tc>
          <w:tcPr>
            <w:tcW w:w="0" w:type="auto"/>
          </w:tcPr>
          <w:p w14:paraId="4ED23580" w14:textId="77777777" w:rsidR="005B71DD" w:rsidRPr="005B71DD" w:rsidRDefault="005B71DD" w:rsidP="00CE5B08">
            <w:pPr>
              <w:pStyle w:val="S2Heading3"/>
              <w:numPr>
                <w:ilvl w:val="0"/>
                <w:numId w:val="0"/>
              </w:numPr>
              <w:jc w:val="left"/>
              <w:rPr>
                <w:rFonts w:ascii="Arial" w:hAnsi="Arial" w:cs="Arial"/>
                <w:b/>
                <w:bCs w:val="0"/>
                <w:sz w:val="22"/>
                <w:szCs w:val="22"/>
              </w:rPr>
            </w:pPr>
            <w:r w:rsidRPr="005B71DD">
              <w:rPr>
                <w:rFonts w:ascii="Arial" w:hAnsi="Arial" w:cs="Arial"/>
                <w:b/>
                <w:bCs w:val="0"/>
                <w:sz w:val="22"/>
                <w:szCs w:val="22"/>
              </w:rPr>
              <w:t>Category 10</w:t>
            </w:r>
          </w:p>
          <w:p w14:paraId="715B570C" w14:textId="77777777" w:rsidR="005B71DD" w:rsidRPr="005B71DD" w:rsidRDefault="005B71DD" w:rsidP="00CE5B08">
            <w:pPr>
              <w:pStyle w:val="S2Heading3"/>
              <w:numPr>
                <w:ilvl w:val="0"/>
                <w:numId w:val="0"/>
              </w:numPr>
              <w:jc w:val="left"/>
              <w:rPr>
                <w:rFonts w:ascii="Arial" w:hAnsi="Arial" w:cs="Arial"/>
                <w:i/>
                <w:iCs w:val="0"/>
                <w:sz w:val="22"/>
                <w:szCs w:val="22"/>
              </w:rPr>
            </w:pPr>
            <w:r w:rsidRPr="005B71DD">
              <w:rPr>
                <w:rFonts w:ascii="Arial" w:hAnsi="Arial" w:cs="Arial"/>
                <w:i/>
                <w:iCs w:val="0"/>
                <w:sz w:val="22"/>
                <w:szCs w:val="22"/>
              </w:rPr>
              <w:t>(“Transferred Restricted Securities”)</w:t>
            </w:r>
          </w:p>
          <w:p w14:paraId="5827689C" w14:textId="77777777" w:rsidR="005B71DD" w:rsidRPr="005B71DD" w:rsidRDefault="005B71DD" w:rsidP="00CE5B08">
            <w:pPr>
              <w:pStyle w:val="S2Heading3"/>
              <w:numPr>
                <w:ilvl w:val="0"/>
                <w:numId w:val="0"/>
              </w:numPr>
              <w:jc w:val="left"/>
              <w:rPr>
                <w:rFonts w:ascii="Arial" w:hAnsi="Arial" w:cs="Arial"/>
                <w:sz w:val="22"/>
                <w:szCs w:val="22"/>
              </w:rPr>
            </w:pPr>
          </w:p>
        </w:tc>
        <w:tc>
          <w:tcPr>
            <w:tcW w:w="0" w:type="auto"/>
          </w:tcPr>
          <w:p w14:paraId="7AE50F3F"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Any Person to whom Restricted Securities are transferred where the Restricted Securities were issued before the Applicant’s Securities were admitted to the Official List.</w:t>
            </w:r>
          </w:p>
        </w:tc>
        <w:tc>
          <w:tcPr>
            <w:tcW w:w="0" w:type="auto"/>
          </w:tcPr>
          <w:p w14:paraId="4086D747"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 xml:space="preserve">All Restricted Securities. </w:t>
            </w:r>
          </w:p>
        </w:tc>
        <w:tc>
          <w:tcPr>
            <w:tcW w:w="0" w:type="auto"/>
          </w:tcPr>
          <w:p w14:paraId="0FFD8E25"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 xml:space="preserve">For the balance of the Restriction Period applying to those Restricted Securities. </w:t>
            </w:r>
          </w:p>
        </w:tc>
      </w:tr>
      <w:tr w:rsidR="005B71DD" w:rsidRPr="005B71DD" w14:paraId="55A3F26B" w14:textId="77777777" w:rsidTr="00CE5B08">
        <w:tc>
          <w:tcPr>
            <w:tcW w:w="0" w:type="auto"/>
          </w:tcPr>
          <w:p w14:paraId="59FD1560" w14:textId="77777777" w:rsidR="005B71DD" w:rsidRPr="005B71DD" w:rsidRDefault="005B71DD" w:rsidP="00CE5B08">
            <w:pPr>
              <w:pStyle w:val="S2Heading3"/>
              <w:numPr>
                <w:ilvl w:val="0"/>
                <w:numId w:val="0"/>
              </w:numPr>
              <w:jc w:val="left"/>
              <w:rPr>
                <w:rFonts w:ascii="Arial" w:hAnsi="Arial" w:cs="Arial"/>
                <w:b/>
                <w:bCs w:val="0"/>
                <w:sz w:val="22"/>
                <w:szCs w:val="22"/>
              </w:rPr>
            </w:pPr>
            <w:r w:rsidRPr="005B71DD">
              <w:rPr>
                <w:rFonts w:ascii="Arial" w:hAnsi="Arial" w:cs="Arial"/>
                <w:b/>
                <w:bCs w:val="0"/>
                <w:sz w:val="22"/>
                <w:szCs w:val="22"/>
              </w:rPr>
              <w:t>Category 11</w:t>
            </w:r>
          </w:p>
          <w:p w14:paraId="5D29EA60" w14:textId="77777777" w:rsidR="005B71DD" w:rsidRPr="005B71DD" w:rsidRDefault="005B71DD" w:rsidP="00CE5B08">
            <w:pPr>
              <w:pStyle w:val="S2Heading3"/>
              <w:numPr>
                <w:ilvl w:val="0"/>
                <w:numId w:val="0"/>
              </w:numPr>
              <w:jc w:val="left"/>
              <w:rPr>
                <w:rFonts w:ascii="Arial" w:hAnsi="Arial" w:cs="Arial"/>
                <w:i/>
                <w:iCs w:val="0"/>
                <w:sz w:val="22"/>
                <w:szCs w:val="22"/>
              </w:rPr>
            </w:pPr>
            <w:r w:rsidRPr="005B71DD">
              <w:rPr>
                <w:rFonts w:ascii="Arial" w:hAnsi="Arial" w:cs="Arial"/>
                <w:i/>
                <w:iCs w:val="0"/>
                <w:sz w:val="22"/>
                <w:szCs w:val="22"/>
              </w:rPr>
              <w:t>(“Specific Restricted Securities-related activities”)</w:t>
            </w:r>
          </w:p>
          <w:p w14:paraId="2C11514C" w14:textId="77777777" w:rsidR="005B71DD" w:rsidRPr="005B71DD" w:rsidRDefault="005B71DD" w:rsidP="00CE5B08">
            <w:pPr>
              <w:pStyle w:val="S2Heading3"/>
              <w:numPr>
                <w:ilvl w:val="0"/>
                <w:numId w:val="0"/>
              </w:numPr>
              <w:jc w:val="left"/>
              <w:rPr>
                <w:rFonts w:ascii="Arial" w:hAnsi="Arial" w:cs="Arial"/>
                <w:b/>
                <w:bCs w:val="0"/>
                <w:sz w:val="22"/>
                <w:szCs w:val="22"/>
              </w:rPr>
            </w:pPr>
          </w:p>
          <w:p w14:paraId="2F68A415" w14:textId="77777777" w:rsidR="005B71DD" w:rsidRPr="005B71DD" w:rsidRDefault="005B71DD" w:rsidP="00CE5B08">
            <w:pPr>
              <w:pStyle w:val="S2Heading3"/>
              <w:numPr>
                <w:ilvl w:val="0"/>
                <w:numId w:val="0"/>
              </w:numPr>
              <w:jc w:val="left"/>
              <w:rPr>
                <w:rFonts w:ascii="Arial" w:hAnsi="Arial" w:cs="Arial"/>
                <w:sz w:val="22"/>
                <w:szCs w:val="22"/>
              </w:rPr>
            </w:pPr>
          </w:p>
        </w:tc>
        <w:tc>
          <w:tcPr>
            <w:tcW w:w="0" w:type="auto"/>
          </w:tcPr>
          <w:p w14:paraId="5C6B7A71"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Any Person to whom Securities were issued in the following circumstances:</w:t>
            </w:r>
          </w:p>
          <w:p w14:paraId="22451F76" w14:textId="77777777" w:rsidR="005B71DD" w:rsidRPr="005B71DD" w:rsidRDefault="005B71DD" w:rsidP="00CE5B08">
            <w:pPr>
              <w:pStyle w:val="S2Heading3"/>
              <w:numPr>
                <w:ilvl w:val="0"/>
                <w:numId w:val="0"/>
              </w:numPr>
              <w:ind w:left="369" w:hanging="369"/>
              <w:jc w:val="left"/>
              <w:rPr>
                <w:rFonts w:ascii="Arial" w:hAnsi="Arial" w:cs="Arial"/>
                <w:sz w:val="22"/>
                <w:szCs w:val="22"/>
              </w:rPr>
            </w:pPr>
            <w:r w:rsidRPr="005B71DD">
              <w:rPr>
                <w:rFonts w:ascii="Arial" w:hAnsi="Arial" w:cs="Arial"/>
                <w:sz w:val="22"/>
                <w:szCs w:val="22"/>
              </w:rPr>
              <w:t xml:space="preserve">(a) </w:t>
            </w:r>
            <w:r w:rsidRPr="005B71DD">
              <w:rPr>
                <w:rFonts w:ascii="Arial" w:hAnsi="Arial" w:cs="Arial"/>
                <w:sz w:val="22"/>
                <w:szCs w:val="22"/>
              </w:rPr>
              <w:tab/>
              <w:t>In substitution for Restricted Securities on a reorganisation;</w:t>
            </w:r>
          </w:p>
          <w:p w14:paraId="50D4C69C" w14:textId="77777777" w:rsidR="005B71DD" w:rsidRPr="005B71DD" w:rsidRDefault="005B71DD" w:rsidP="00CE5B08">
            <w:pPr>
              <w:pStyle w:val="S2Heading3"/>
              <w:numPr>
                <w:ilvl w:val="0"/>
                <w:numId w:val="0"/>
              </w:numPr>
              <w:ind w:left="369" w:hanging="369"/>
              <w:jc w:val="left"/>
              <w:rPr>
                <w:rFonts w:ascii="Arial" w:hAnsi="Arial" w:cs="Arial"/>
                <w:sz w:val="22"/>
                <w:szCs w:val="22"/>
              </w:rPr>
            </w:pPr>
            <w:r w:rsidRPr="005B71DD">
              <w:rPr>
                <w:rFonts w:ascii="Arial" w:hAnsi="Arial" w:cs="Arial"/>
                <w:sz w:val="22"/>
                <w:szCs w:val="22"/>
              </w:rPr>
              <w:t xml:space="preserve">(b) </w:t>
            </w:r>
            <w:r w:rsidRPr="005B71DD">
              <w:rPr>
                <w:rFonts w:ascii="Arial" w:hAnsi="Arial" w:cs="Arial"/>
                <w:sz w:val="22"/>
                <w:szCs w:val="22"/>
              </w:rPr>
              <w:tab/>
              <w:t>In a bonus issue relating to Restricted Securities;</w:t>
            </w:r>
          </w:p>
          <w:p w14:paraId="0DD43939" w14:textId="77777777" w:rsidR="005B71DD" w:rsidRPr="005B71DD" w:rsidRDefault="005B71DD" w:rsidP="00CE5B08">
            <w:pPr>
              <w:pStyle w:val="S2Heading3"/>
              <w:numPr>
                <w:ilvl w:val="0"/>
                <w:numId w:val="0"/>
              </w:numPr>
              <w:ind w:left="369" w:hanging="369"/>
              <w:jc w:val="left"/>
              <w:rPr>
                <w:rFonts w:ascii="Arial" w:hAnsi="Arial" w:cs="Arial"/>
                <w:sz w:val="22"/>
                <w:szCs w:val="22"/>
              </w:rPr>
            </w:pPr>
            <w:r w:rsidRPr="005B71DD">
              <w:rPr>
                <w:rFonts w:ascii="Arial" w:hAnsi="Arial" w:cs="Arial"/>
                <w:sz w:val="22"/>
                <w:szCs w:val="22"/>
              </w:rPr>
              <w:t>(c)</w:t>
            </w:r>
            <w:r w:rsidRPr="005B71DD">
              <w:rPr>
                <w:rFonts w:ascii="Arial" w:hAnsi="Arial" w:cs="Arial"/>
                <w:sz w:val="22"/>
                <w:szCs w:val="22"/>
              </w:rPr>
              <w:tab/>
              <w:t>Where there is a conversion of Restricted Securities; or</w:t>
            </w:r>
          </w:p>
          <w:p w14:paraId="21A3FE6D" w14:textId="77777777" w:rsidR="005B71DD" w:rsidRPr="005B71DD" w:rsidRDefault="005B71DD" w:rsidP="00CE5B08">
            <w:pPr>
              <w:pStyle w:val="S2Heading3"/>
              <w:numPr>
                <w:ilvl w:val="0"/>
                <w:numId w:val="0"/>
              </w:numPr>
              <w:ind w:left="369" w:hanging="369"/>
              <w:jc w:val="left"/>
              <w:rPr>
                <w:rFonts w:ascii="Arial" w:hAnsi="Arial" w:cs="Arial"/>
                <w:sz w:val="22"/>
                <w:szCs w:val="22"/>
              </w:rPr>
            </w:pPr>
            <w:r w:rsidRPr="005B71DD">
              <w:rPr>
                <w:rFonts w:ascii="Arial" w:hAnsi="Arial" w:cs="Arial"/>
                <w:sz w:val="22"/>
                <w:szCs w:val="22"/>
              </w:rPr>
              <w:lastRenderedPageBreak/>
              <w:t xml:space="preserve">(d) </w:t>
            </w:r>
            <w:r w:rsidRPr="005B71DD">
              <w:rPr>
                <w:rFonts w:ascii="Arial" w:hAnsi="Arial" w:cs="Arial"/>
                <w:sz w:val="22"/>
                <w:szCs w:val="22"/>
              </w:rPr>
              <w:tab/>
              <w:t xml:space="preserve">Where the consideration is payment of any amount outstanding on a partly paid Restricted Security, </w:t>
            </w:r>
          </w:p>
          <w:p w14:paraId="2B645059"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and the Restricted Securities were issued either before or after the Listed Entity’s Securities were admitted to the Official List.</w:t>
            </w:r>
          </w:p>
        </w:tc>
        <w:tc>
          <w:tcPr>
            <w:tcW w:w="0" w:type="auto"/>
          </w:tcPr>
          <w:p w14:paraId="426B3B60"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lastRenderedPageBreak/>
              <w:t xml:space="preserve">All Restricted Securities. </w:t>
            </w:r>
          </w:p>
        </w:tc>
        <w:tc>
          <w:tcPr>
            <w:tcW w:w="0" w:type="auto"/>
          </w:tcPr>
          <w:p w14:paraId="26D1B1EF" w14:textId="77777777" w:rsidR="005B71DD" w:rsidRPr="005B71DD" w:rsidRDefault="005B71DD" w:rsidP="00CE5B08">
            <w:pPr>
              <w:pStyle w:val="S2Heading3"/>
              <w:numPr>
                <w:ilvl w:val="0"/>
                <w:numId w:val="0"/>
              </w:numPr>
              <w:jc w:val="left"/>
              <w:rPr>
                <w:rFonts w:ascii="Arial" w:hAnsi="Arial" w:cs="Arial"/>
                <w:sz w:val="22"/>
                <w:szCs w:val="22"/>
              </w:rPr>
            </w:pPr>
            <w:r w:rsidRPr="005B71DD">
              <w:rPr>
                <w:rFonts w:ascii="Arial" w:hAnsi="Arial" w:cs="Arial"/>
                <w:sz w:val="22"/>
                <w:szCs w:val="22"/>
              </w:rPr>
              <w:t xml:space="preserve">For the balance of the Restriction Period applying to those Restricted Securities. </w:t>
            </w:r>
          </w:p>
        </w:tc>
      </w:tr>
    </w:tbl>
    <w:p w14:paraId="0D97CF7C" w14:textId="77777777" w:rsidR="005B71DD" w:rsidRPr="00BB076C" w:rsidRDefault="005B71DD" w:rsidP="005B71DD">
      <w:pPr>
        <w:pStyle w:val="S2Heading3"/>
        <w:numPr>
          <w:ilvl w:val="0"/>
          <w:numId w:val="0"/>
        </w:numPr>
        <w:rPr>
          <w:rFonts w:ascii="Arial" w:hAnsi="Arial" w:cs="Arial"/>
          <w:sz w:val="22"/>
          <w:szCs w:val="22"/>
          <w:u w:val="single"/>
        </w:rPr>
      </w:pPr>
    </w:p>
    <w:sectPr w:rsidR="005B71DD" w:rsidRPr="00BB076C" w:rsidSect="005B71DD">
      <w:headerReference w:type="default" r:id="rId21"/>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D2354" w14:textId="77777777" w:rsidR="005404F2" w:rsidRDefault="005404F2" w:rsidP="00162E0C">
      <w:r>
        <w:separator/>
      </w:r>
    </w:p>
  </w:endnote>
  <w:endnote w:type="continuationSeparator" w:id="0">
    <w:p w14:paraId="32BE140A" w14:textId="77777777" w:rsidR="005404F2" w:rsidRDefault="005404F2" w:rsidP="00162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nstantia">
    <w:panose1 w:val="02030602050306030303"/>
    <w:charset w:val="00"/>
    <w:family w:val="roman"/>
    <w:pitch w:val="variable"/>
    <w:sig w:usb0="A00002EF" w:usb1="4000204B" w:usb2="00000000" w:usb3="00000000" w:csb0="0000019F" w:csb1="00000000"/>
  </w:font>
  <w:font w:name="SymbolMT">
    <w:altName w:val="Arial Unicode MS"/>
    <w:panose1 w:val="00000000000000000000"/>
    <w:charset w:val="00"/>
    <w:family w:val="auto"/>
    <w:notTrueType/>
    <w:pitch w:val="default"/>
    <w:sig w:usb0="00000003" w:usb1="00000000" w:usb2="00000000" w:usb3="00000000" w:csb0="00000001" w:csb1="00000000"/>
  </w:font>
  <w:font w:name="Merriweather Light">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7EB85" w14:textId="77777777" w:rsidR="0052068F" w:rsidRDefault="0052068F" w:rsidP="009D0CDD">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BBBD4" w14:textId="77777777" w:rsidR="0052068F" w:rsidRDefault="0052068F">
    <w:pPr>
      <w:pStyle w:val="Footer"/>
    </w:pPr>
    <w:r>
      <w:rPr>
        <w:noProof/>
        <w:lang w:eastAsia="en-GB"/>
      </w:rPr>
      <w:drawing>
        <wp:anchor distT="0" distB="0" distL="114300" distR="114300" simplePos="0" relativeHeight="251681792" behindDoc="1" locked="0" layoutInCell="1" allowOverlap="1" wp14:anchorId="1CB3E3E3" wp14:editId="3C3A31B7">
          <wp:simplePos x="0" y="0"/>
          <wp:positionH relativeFrom="page">
            <wp:posOffset>-635</wp:posOffset>
          </wp:positionH>
          <wp:positionV relativeFrom="paragraph">
            <wp:posOffset>-1409700</wp:posOffset>
          </wp:positionV>
          <wp:extent cx="7559040" cy="1874520"/>
          <wp:effectExtent l="0" t="0" r="3810" b="0"/>
          <wp:wrapNone/>
          <wp:docPr id="3"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D5BC5" w14:textId="77777777" w:rsidR="0052068F" w:rsidRDefault="0052068F" w:rsidP="003274F5">
    <w:pPr>
      <w:pStyle w:val="Footer"/>
    </w:pPr>
    <w:r>
      <w:rPr>
        <w:noProof/>
        <w:lang w:eastAsia="en-GB"/>
      </w:rPr>
      <w:drawing>
        <wp:anchor distT="0" distB="0" distL="114300" distR="114300" simplePos="0" relativeHeight="251685888" behindDoc="1" locked="0" layoutInCell="1" allowOverlap="1" wp14:anchorId="1F920071" wp14:editId="3F27A30D">
          <wp:simplePos x="0" y="0"/>
          <wp:positionH relativeFrom="page">
            <wp:align>right</wp:align>
          </wp:positionH>
          <wp:positionV relativeFrom="paragraph">
            <wp:posOffset>-730250</wp:posOffset>
          </wp:positionV>
          <wp:extent cx="7559040" cy="1874520"/>
          <wp:effectExtent l="0" t="0" r="3810" b="0"/>
          <wp:wrapNone/>
          <wp:docPr id="6" name="Picture 6"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32A66F61" w14:textId="77777777" w:rsidR="0052068F" w:rsidRDefault="0052068F" w:rsidP="005C0757">
    <w:pPr>
      <w:pStyle w:val="Footer"/>
      <w:jc w:val="right"/>
    </w:pPr>
    <w:r>
      <w:fldChar w:fldCharType="begin"/>
    </w:r>
    <w:r>
      <w:instrText xml:space="preserve"> PAGE   \* MERGEFORMAT </w:instrText>
    </w:r>
    <w:r>
      <w:fldChar w:fldCharType="separate"/>
    </w:r>
    <w:r w:rsidR="00F53EF7">
      <w:rPr>
        <w:noProof/>
      </w:rPr>
      <w:t>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F651B" w14:textId="77777777" w:rsidR="0052068F" w:rsidRPr="00DA0D00" w:rsidRDefault="0052068F" w:rsidP="003274F5">
    <w:pPr>
      <w:pStyle w:val="Footer"/>
      <w:rPr>
        <w:rFonts w:ascii="Calibri" w:hAnsi="Calibri" w:cs="Calibri"/>
        <w:sz w:val="20"/>
        <w:szCs w:val="20"/>
      </w:rPr>
    </w:pPr>
    <w:r>
      <w:rPr>
        <w:noProof/>
        <w:lang w:eastAsia="en-GB"/>
      </w:rPr>
      <w:drawing>
        <wp:anchor distT="0" distB="0" distL="114300" distR="114300" simplePos="0" relativeHeight="251687936" behindDoc="1" locked="0" layoutInCell="1" allowOverlap="1" wp14:anchorId="6EA705CF" wp14:editId="1896B91B">
          <wp:simplePos x="0" y="0"/>
          <wp:positionH relativeFrom="page">
            <wp:align>right</wp:align>
          </wp:positionH>
          <wp:positionV relativeFrom="paragraph">
            <wp:posOffset>-762635</wp:posOffset>
          </wp:positionV>
          <wp:extent cx="7559040" cy="1874520"/>
          <wp:effectExtent l="0" t="0" r="3810" b="0"/>
          <wp:wrapNone/>
          <wp:docPr id="9" name="Picture 9"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D00">
      <w:rPr>
        <w:rFonts w:ascii="Calibri" w:hAnsi="Calibri" w:cs="Calibri"/>
        <w:sz w:val="20"/>
        <w:szCs w:val="20"/>
      </w:rPr>
      <w:tab/>
    </w:r>
  </w:p>
  <w:p w14:paraId="6446B644" w14:textId="77777777" w:rsidR="0052068F" w:rsidRPr="003F12D7" w:rsidRDefault="0052068F" w:rsidP="005C0757">
    <w:pPr>
      <w:pStyle w:val="Footer"/>
      <w:jc w:val="right"/>
      <w:rPr>
        <w:rFonts w:ascii="Arial" w:hAnsi="Arial" w:cs="Arial"/>
        <w:sz w:val="20"/>
        <w:szCs w:val="20"/>
      </w:rPr>
    </w:pPr>
    <w:r w:rsidRPr="003F12D7">
      <w:rPr>
        <w:rFonts w:ascii="Arial" w:hAnsi="Arial" w:cs="Arial"/>
        <w:sz w:val="20"/>
        <w:szCs w:val="20"/>
      </w:rPr>
      <w:fldChar w:fldCharType="begin"/>
    </w:r>
    <w:r w:rsidRPr="003F12D7">
      <w:rPr>
        <w:rFonts w:ascii="Arial" w:hAnsi="Arial" w:cs="Arial"/>
        <w:sz w:val="20"/>
        <w:szCs w:val="20"/>
      </w:rPr>
      <w:instrText xml:space="preserve"> PAGE   \* MERGEFORMAT </w:instrText>
    </w:r>
    <w:r w:rsidRPr="003F12D7">
      <w:rPr>
        <w:rFonts w:ascii="Arial" w:hAnsi="Arial" w:cs="Arial"/>
        <w:sz w:val="20"/>
        <w:szCs w:val="20"/>
      </w:rPr>
      <w:fldChar w:fldCharType="separate"/>
    </w:r>
    <w:r w:rsidR="00F53EF7" w:rsidRPr="003F12D7">
      <w:rPr>
        <w:rFonts w:ascii="Arial" w:hAnsi="Arial" w:cs="Arial"/>
        <w:noProof/>
        <w:sz w:val="20"/>
        <w:szCs w:val="20"/>
      </w:rPr>
      <w:t>2</w:t>
    </w:r>
    <w:r w:rsidRPr="003F12D7">
      <w:rPr>
        <w:rFonts w:ascii="Arial" w:hAnsi="Arial" w:cs="Arial"/>
        <w:noProof/>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16C25" w14:textId="77777777" w:rsidR="0052068F" w:rsidRPr="00DA0D00" w:rsidRDefault="0052068F" w:rsidP="003274F5">
    <w:pPr>
      <w:pStyle w:val="Footer"/>
      <w:tabs>
        <w:tab w:val="clear" w:pos="4680"/>
        <w:tab w:val="clear" w:pos="9360"/>
        <w:tab w:val="center" w:pos="7020"/>
        <w:tab w:val="right" w:pos="13950"/>
      </w:tabs>
      <w:rPr>
        <w:sz w:val="20"/>
        <w:szCs w:val="20"/>
      </w:rPr>
    </w:pPr>
    <w:r>
      <w:rPr>
        <w:noProof/>
        <w:lang w:eastAsia="en-GB"/>
      </w:rPr>
      <w:drawing>
        <wp:anchor distT="0" distB="0" distL="114300" distR="114300" simplePos="0" relativeHeight="251692032" behindDoc="1" locked="0" layoutInCell="1" allowOverlap="1" wp14:anchorId="29F66455" wp14:editId="6C73D882">
          <wp:simplePos x="0" y="0"/>
          <wp:positionH relativeFrom="page">
            <wp:posOffset>-63500</wp:posOffset>
          </wp:positionH>
          <wp:positionV relativeFrom="paragraph">
            <wp:posOffset>-807085</wp:posOffset>
          </wp:positionV>
          <wp:extent cx="7559040" cy="1874520"/>
          <wp:effectExtent l="0" t="0" r="3810" b="0"/>
          <wp:wrapNone/>
          <wp:docPr id="11" name="Picture 1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5E7692" w14:textId="77777777" w:rsidR="0052068F" w:rsidRPr="00C77106" w:rsidRDefault="0052068F" w:rsidP="001C5151">
    <w:pPr>
      <w:pStyle w:val="Footer"/>
      <w:tabs>
        <w:tab w:val="clear" w:pos="4680"/>
        <w:tab w:val="clear" w:pos="9360"/>
        <w:tab w:val="center" w:pos="7020"/>
        <w:tab w:val="right" w:pos="13950"/>
      </w:tabs>
      <w:jc w:val="right"/>
      <w:rPr>
        <w:rFonts w:ascii="Arial" w:hAnsi="Arial" w:cs="Arial"/>
        <w:sz w:val="22"/>
        <w:szCs w:val="22"/>
      </w:rPr>
    </w:pPr>
    <w:r w:rsidRPr="00C77106">
      <w:rPr>
        <w:rFonts w:ascii="Arial" w:hAnsi="Arial" w:cs="Arial"/>
        <w:sz w:val="22"/>
        <w:szCs w:val="22"/>
      </w:rPr>
      <w:fldChar w:fldCharType="begin"/>
    </w:r>
    <w:r w:rsidRPr="00C77106">
      <w:rPr>
        <w:rFonts w:ascii="Arial" w:hAnsi="Arial" w:cs="Arial"/>
        <w:sz w:val="22"/>
        <w:szCs w:val="22"/>
      </w:rPr>
      <w:instrText xml:space="preserve"> PAGE   \* MERGEFORMAT </w:instrText>
    </w:r>
    <w:r w:rsidRPr="00C77106">
      <w:rPr>
        <w:rFonts w:ascii="Arial" w:hAnsi="Arial" w:cs="Arial"/>
        <w:sz w:val="22"/>
        <w:szCs w:val="22"/>
      </w:rPr>
      <w:fldChar w:fldCharType="separate"/>
    </w:r>
    <w:r w:rsidR="00F53EF7">
      <w:rPr>
        <w:rFonts w:ascii="Arial" w:hAnsi="Arial" w:cs="Arial"/>
        <w:noProof/>
        <w:sz w:val="22"/>
        <w:szCs w:val="22"/>
      </w:rPr>
      <w:t>128</w:t>
    </w:r>
    <w:r w:rsidRPr="00C77106">
      <w:rPr>
        <w:rFonts w:ascii="Arial" w:hAnsi="Arial" w:cs="Arial"/>
        <w:noProof/>
        <w:sz w:val="22"/>
        <w:szCs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A6A4E" w14:textId="77777777" w:rsidR="0052068F" w:rsidRPr="00452830" w:rsidRDefault="0052068F" w:rsidP="005C0757">
    <w:pPr>
      <w:pStyle w:val="Footer"/>
      <w:jc w:val="right"/>
      <w:rPr>
        <w:rFonts w:ascii="Arial" w:hAnsi="Arial" w:cs="Arial"/>
        <w:sz w:val="22"/>
        <w:szCs w:val="22"/>
      </w:rPr>
    </w:pPr>
    <w:r>
      <w:rPr>
        <w:noProof/>
        <w:lang w:eastAsia="en-GB"/>
      </w:rPr>
      <w:drawing>
        <wp:anchor distT="0" distB="0" distL="114300" distR="114300" simplePos="0" relativeHeight="251696128" behindDoc="1" locked="0" layoutInCell="1" allowOverlap="1" wp14:anchorId="780B4FCA" wp14:editId="6500F224">
          <wp:simplePos x="0" y="0"/>
          <wp:positionH relativeFrom="page">
            <wp:align>left</wp:align>
          </wp:positionH>
          <wp:positionV relativeFrom="paragraph">
            <wp:posOffset>-946785</wp:posOffset>
          </wp:positionV>
          <wp:extent cx="7559040" cy="1874520"/>
          <wp:effectExtent l="0" t="0" r="3810" b="0"/>
          <wp:wrapNone/>
          <wp:docPr id="13" name="Picture 13"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2830">
      <w:rPr>
        <w:rFonts w:ascii="Arial" w:hAnsi="Arial" w:cs="Arial"/>
        <w:sz w:val="22"/>
        <w:szCs w:val="22"/>
      </w:rPr>
      <w:fldChar w:fldCharType="begin"/>
    </w:r>
    <w:r w:rsidRPr="00452830">
      <w:rPr>
        <w:rFonts w:ascii="Arial" w:hAnsi="Arial" w:cs="Arial"/>
        <w:sz w:val="22"/>
        <w:szCs w:val="22"/>
      </w:rPr>
      <w:instrText xml:space="preserve"> PAGE   \* MERGEFORMAT </w:instrText>
    </w:r>
    <w:r w:rsidRPr="00452830">
      <w:rPr>
        <w:rFonts w:ascii="Arial" w:hAnsi="Arial" w:cs="Arial"/>
        <w:sz w:val="22"/>
        <w:szCs w:val="22"/>
      </w:rPr>
      <w:fldChar w:fldCharType="separate"/>
    </w:r>
    <w:r w:rsidR="00F53EF7">
      <w:rPr>
        <w:rFonts w:ascii="Arial" w:hAnsi="Arial" w:cs="Arial"/>
        <w:noProof/>
        <w:sz w:val="22"/>
        <w:szCs w:val="22"/>
      </w:rPr>
      <w:t>179</w:t>
    </w:r>
    <w:r w:rsidRPr="00452830">
      <w:rPr>
        <w:rFonts w:ascii="Arial" w:hAnsi="Arial" w:cs="Arial"/>
        <w:noProof/>
        <w:sz w:val="22"/>
        <w:szCs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148E2" w14:textId="77777777" w:rsidR="0052068F" w:rsidRPr="003E0714" w:rsidRDefault="0052068F" w:rsidP="005C0757">
    <w:pPr>
      <w:pStyle w:val="Footer"/>
      <w:tabs>
        <w:tab w:val="clear" w:pos="4680"/>
        <w:tab w:val="clear" w:pos="9360"/>
        <w:tab w:val="center" w:pos="7020"/>
        <w:tab w:val="right" w:pos="13950"/>
      </w:tabs>
      <w:jc w:val="right"/>
      <w:rPr>
        <w:rFonts w:ascii="Arial" w:hAnsi="Arial" w:cs="Arial"/>
        <w:sz w:val="22"/>
        <w:szCs w:val="22"/>
      </w:rPr>
    </w:pPr>
    <w:r w:rsidRPr="003E0714">
      <w:rPr>
        <w:rFonts w:ascii="Arial" w:hAnsi="Arial" w:cs="Arial"/>
        <w:noProof/>
        <w:sz w:val="22"/>
        <w:szCs w:val="22"/>
        <w:lang w:eastAsia="en-GB"/>
      </w:rPr>
      <w:drawing>
        <wp:anchor distT="0" distB="0" distL="114300" distR="114300" simplePos="0" relativeHeight="251700224" behindDoc="1" locked="0" layoutInCell="1" allowOverlap="1" wp14:anchorId="4FACBEFB" wp14:editId="312791A1">
          <wp:simplePos x="0" y="0"/>
          <wp:positionH relativeFrom="page">
            <wp:align>left</wp:align>
          </wp:positionH>
          <wp:positionV relativeFrom="paragraph">
            <wp:posOffset>-895985</wp:posOffset>
          </wp:positionV>
          <wp:extent cx="7559040" cy="1874520"/>
          <wp:effectExtent l="0" t="0" r="3810" b="0"/>
          <wp:wrapNone/>
          <wp:docPr id="15" name="Picture 15"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0714">
      <w:rPr>
        <w:rFonts w:ascii="Arial" w:hAnsi="Arial" w:cs="Arial"/>
        <w:sz w:val="22"/>
        <w:szCs w:val="22"/>
      </w:rPr>
      <w:fldChar w:fldCharType="begin"/>
    </w:r>
    <w:r w:rsidRPr="003E0714">
      <w:rPr>
        <w:rFonts w:ascii="Arial" w:hAnsi="Arial" w:cs="Arial"/>
        <w:sz w:val="22"/>
        <w:szCs w:val="22"/>
      </w:rPr>
      <w:instrText xml:space="preserve"> PAGE   \* MERGEFORMAT </w:instrText>
    </w:r>
    <w:r w:rsidRPr="003E0714">
      <w:rPr>
        <w:rFonts w:ascii="Arial" w:hAnsi="Arial" w:cs="Arial"/>
        <w:sz w:val="22"/>
        <w:szCs w:val="22"/>
      </w:rPr>
      <w:fldChar w:fldCharType="separate"/>
    </w:r>
    <w:r w:rsidR="00F53EF7">
      <w:rPr>
        <w:rFonts w:ascii="Arial" w:hAnsi="Arial" w:cs="Arial"/>
        <w:noProof/>
        <w:sz w:val="22"/>
        <w:szCs w:val="22"/>
      </w:rPr>
      <w:t>187</w:t>
    </w:r>
    <w:r w:rsidRPr="003E0714">
      <w:rPr>
        <w:rFonts w:ascii="Arial" w:hAnsi="Arial" w:cs="Arial"/>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90CC0" w14:textId="77777777" w:rsidR="005404F2" w:rsidRDefault="005404F2" w:rsidP="00162E0C">
      <w:r>
        <w:separator/>
      </w:r>
    </w:p>
  </w:footnote>
  <w:footnote w:type="continuationSeparator" w:id="0">
    <w:p w14:paraId="01A57B53" w14:textId="77777777" w:rsidR="005404F2" w:rsidRDefault="005404F2" w:rsidP="00162E0C">
      <w:r>
        <w:continuationSeparator/>
      </w:r>
    </w:p>
  </w:footnote>
  <w:footnote w:id="1">
    <w:p w14:paraId="048B847B" w14:textId="77777777" w:rsidR="0052068F" w:rsidRPr="002E195B" w:rsidRDefault="0052068F">
      <w:pPr>
        <w:pStyle w:val="FootnoteText"/>
        <w:rPr>
          <w:rFonts w:ascii="Arial" w:hAnsi="Arial" w:cs="Arial"/>
        </w:rPr>
      </w:pPr>
      <w:r w:rsidRPr="002E195B">
        <w:rPr>
          <w:rStyle w:val="FootnoteReference"/>
          <w:rFonts w:ascii="Arial" w:hAnsi="Arial" w:cs="Arial"/>
        </w:rPr>
        <w:footnoteRef/>
      </w:r>
      <w:r w:rsidRPr="002E195B">
        <w:rPr>
          <w:rFonts w:ascii="Arial" w:hAnsi="Arial" w:cs="Arial"/>
        </w:rPr>
        <w:t xml:space="preserve"> Applicable laws include any laws applicable to the Issuer in the jurisdiction of its domicile or incorporation.</w:t>
      </w:r>
    </w:p>
  </w:footnote>
  <w:footnote w:id="2">
    <w:p w14:paraId="77662524" w14:textId="77777777" w:rsidR="0052068F" w:rsidRDefault="0052068F">
      <w:pPr>
        <w:pStyle w:val="FootnoteText"/>
      </w:pPr>
      <w:r w:rsidRPr="002E195B">
        <w:rPr>
          <w:rStyle w:val="FootnoteReference"/>
          <w:rFonts w:ascii="Arial" w:hAnsi="Arial" w:cs="Arial"/>
        </w:rPr>
        <w:footnoteRef/>
      </w:r>
      <w:r w:rsidRPr="002E195B">
        <w:rPr>
          <w:rFonts w:ascii="Arial" w:hAnsi="Arial" w:cs="Arial"/>
        </w:rPr>
        <w:t xml:space="preserve"> Applicable laws include any laws applicable to the Issuer in the jurisdiction of its domicile or incorporation.</w:t>
      </w:r>
    </w:p>
  </w:footnote>
  <w:footnote w:id="3">
    <w:p w14:paraId="24ABDAB4" w14:textId="77777777" w:rsidR="0052068F" w:rsidRPr="002E195B" w:rsidRDefault="0052068F">
      <w:pPr>
        <w:pStyle w:val="FootnoteText"/>
        <w:rPr>
          <w:rFonts w:ascii="Arial" w:hAnsi="Arial" w:cs="Arial"/>
        </w:rPr>
      </w:pPr>
      <w:r w:rsidRPr="002E195B">
        <w:rPr>
          <w:rStyle w:val="FootnoteReference"/>
          <w:rFonts w:ascii="Arial" w:hAnsi="Arial" w:cs="Arial"/>
        </w:rPr>
        <w:footnoteRef/>
      </w:r>
      <w:r w:rsidRPr="002E195B">
        <w:rPr>
          <w:rFonts w:ascii="Arial" w:hAnsi="Arial" w:cs="Arial"/>
        </w:rPr>
        <w:t xml:space="preserve"> In the case of a Limited Partnership, a reference to a Director should be read as a reference to a General Partner of the Partnership.</w:t>
      </w:r>
    </w:p>
  </w:footnote>
  <w:footnote w:id="4">
    <w:p w14:paraId="6FF1F258" w14:textId="77777777" w:rsidR="0052068F" w:rsidRDefault="0052068F">
      <w:pPr>
        <w:pStyle w:val="FootnoteText"/>
      </w:pPr>
      <w:r>
        <w:rPr>
          <w:rStyle w:val="FootnoteReference"/>
        </w:rPr>
        <w:footnoteRef/>
      </w:r>
      <w:r>
        <w:t xml:space="preserve"> </w:t>
      </w:r>
      <w:r w:rsidRPr="002E195B">
        <w:rPr>
          <w:rFonts w:ascii="Arial" w:hAnsi="Arial" w:cs="Arial"/>
        </w:rPr>
        <w:t>A reference to a Director in the case of a Limited Partnership should be read as a reference to a General Partner of the Partnership.</w:t>
      </w:r>
    </w:p>
  </w:footnote>
  <w:footnote w:id="5">
    <w:p w14:paraId="2FEB1AB2" w14:textId="77777777" w:rsidR="0052068F" w:rsidRDefault="0052068F" w:rsidP="005A10A6">
      <w:pPr>
        <w:pStyle w:val="FootnoteText"/>
      </w:pPr>
      <w:r>
        <w:rPr>
          <w:rStyle w:val="FootnoteReference"/>
        </w:rPr>
        <w:footnoteRef/>
      </w:r>
      <w:r>
        <w:t xml:space="preserve"> </w:t>
      </w:r>
      <w:r w:rsidRPr="002E195B">
        <w:rPr>
          <w:rFonts w:ascii="Arial" w:hAnsi="Arial" w:cs="Arial"/>
        </w:rPr>
        <w:t>Reporting Entities in respect of Shares are subject to the Corporate Governance Principles in these Rules.</w:t>
      </w:r>
    </w:p>
  </w:footnote>
  <w:footnote w:id="6">
    <w:p w14:paraId="696BFAE6" w14:textId="77777777" w:rsidR="0052068F" w:rsidRPr="002E195B" w:rsidRDefault="0052068F">
      <w:pPr>
        <w:pStyle w:val="FootnoteText"/>
        <w:rPr>
          <w:rFonts w:ascii="Arial" w:hAnsi="Arial" w:cs="Arial"/>
        </w:rPr>
      </w:pPr>
      <w:r>
        <w:rPr>
          <w:rStyle w:val="FootnoteReference"/>
        </w:rPr>
        <w:footnoteRef/>
      </w:r>
      <w:r>
        <w:t xml:space="preserve"> </w:t>
      </w:r>
      <w:r w:rsidRPr="002E195B">
        <w:rPr>
          <w:rFonts w:ascii="Arial" w:hAnsi="Arial" w:cs="Arial"/>
        </w:rPr>
        <w:t>A breakdown of the Employees by main category of activity and geographic location to the extent practicable and material.</w:t>
      </w:r>
    </w:p>
  </w:footnote>
  <w:footnote w:id="7">
    <w:p w14:paraId="6E853A65" w14:textId="77777777" w:rsidR="0052068F" w:rsidRPr="002E195B" w:rsidRDefault="0052068F" w:rsidP="002E195B">
      <w:pPr>
        <w:pStyle w:val="FootnoteText"/>
        <w:ind w:left="0" w:firstLine="0"/>
        <w:jc w:val="both"/>
        <w:rPr>
          <w:rFonts w:ascii="Arial" w:hAnsi="Arial" w:cs="Arial"/>
        </w:rPr>
      </w:pPr>
      <w:r w:rsidRPr="002E195B">
        <w:rPr>
          <w:rStyle w:val="FootnoteReference"/>
          <w:rFonts w:ascii="Arial" w:hAnsi="Arial" w:cs="Arial"/>
        </w:rPr>
        <w:footnoteRef/>
      </w:r>
      <w:r w:rsidRPr="002E195B">
        <w:rPr>
          <w:rFonts w:ascii="Arial" w:hAnsi="Arial" w:cs="Arial"/>
        </w:rPr>
        <w:t xml:space="preserve"> With the last two years audited historical financial information being presented and prepared in a form consistent with that which will be adopted in the Issuer's next published annual financial statements having regard to accounting standards and policies and legislation applicable to such annual financial statements.</w:t>
      </w:r>
    </w:p>
  </w:footnote>
  <w:footnote w:id="8">
    <w:p w14:paraId="081E23AA" w14:textId="77777777" w:rsidR="0052068F" w:rsidRDefault="0052068F" w:rsidP="002E195B">
      <w:pPr>
        <w:pStyle w:val="FootnoteText"/>
        <w:ind w:left="0" w:firstLine="0"/>
        <w:jc w:val="both"/>
      </w:pPr>
      <w:r w:rsidRPr="002E195B">
        <w:rPr>
          <w:rStyle w:val="FootnoteReference"/>
          <w:rFonts w:ascii="Arial" w:hAnsi="Arial" w:cs="Arial"/>
        </w:rPr>
        <w:footnoteRef/>
      </w:r>
      <w:r w:rsidRPr="002E195B">
        <w:rPr>
          <w:rFonts w:ascii="Arial" w:hAnsi="Arial" w:cs="Arial"/>
        </w:rPr>
        <w:t xml:space="preserve"> With the last two years audited historical financial information being presented and prepared in a form consistent with that which will be adopted in the Issuer's next published annual financial statements having regard to accounting standards and policies and legislation applicable to such annual financial statements.</w:t>
      </w:r>
    </w:p>
  </w:footnote>
  <w:footnote w:id="9">
    <w:p w14:paraId="074AE4B0" w14:textId="77777777" w:rsidR="0052068F" w:rsidRDefault="0052068F">
      <w:pPr>
        <w:pStyle w:val="FootnoteText"/>
      </w:pPr>
      <w:r>
        <w:rPr>
          <w:rStyle w:val="FootnoteReference"/>
        </w:rPr>
        <w:footnoteRef/>
      </w:r>
      <w:r>
        <w:t xml:space="preserve"> </w:t>
      </w:r>
      <w:r w:rsidRPr="002E195B">
        <w:rPr>
          <w:rFonts w:ascii="Arial" w:hAnsi="Arial" w:cs="Arial"/>
        </w:rPr>
        <w:t>See Rule 7.3.2(2) for the definition of a Controller.</w:t>
      </w:r>
    </w:p>
  </w:footnote>
  <w:footnote w:id="10">
    <w:p w14:paraId="5F33E2B1" w14:textId="77777777" w:rsidR="0052068F" w:rsidRPr="002E195B" w:rsidRDefault="0052068F">
      <w:pPr>
        <w:pStyle w:val="FootnoteText"/>
        <w:rPr>
          <w:rFonts w:ascii="Arial" w:hAnsi="Arial" w:cs="Arial"/>
        </w:rPr>
      </w:pPr>
      <w:r w:rsidRPr="002E195B">
        <w:rPr>
          <w:rStyle w:val="FootnoteReference"/>
          <w:rFonts w:ascii="Arial" w:hAnsi="Arial" w:cs="Arial"/>
        </w:rPr>
        <w:footnoteRef/>
      </w:r>
      <w:r w:rsidRPr="002E195B">
        <w:rPr>
          <w:rFonts w:ascii="Arial" w:hAnsi="Arial" w:cs="Arial"/>
        </w:rPr>
        <w:t xml:space="preserve"> See Rule 9.5.2(2).</w:t>
      </w:r>
    </w:p>
  </w:footnote>
  <w:footnote w:id="11">
    <w:p w14:paraId="648C8753" w14:textId="77777777" w:rsidR="0052068F" w:rsidRDefault="0052068F">
      <w:pPr>
        <w:pStyle w:val="FootnoteText"/>
      </w:pPr>
      <w:r>
        <w:rPr>
          <w:rStyle w:val="FootnoteReference"/>
        </w:rPr>
        <w:footnoteRef/>
      </w:r>
      <w:r>
        <w:t xml:space="preserve"> </w:t>
      </w:r>
      <w:r w:rsidRPr="002E195B">
        <w:rPr>
          <w:rFonts w:ascii="Arial" w:hAnsi="Arial" w:cs="Arial"/>
        </w:rPr>
        <w:t>To the extent applicable to Debentures or, in the case of Certificates, the underlying Debentures.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EB46D" w14:textId="3A5BADCB" w:rsidR="0052068F" w:rsidRPr="00D85866" w:rsidRDefault="0052068F" w:rsidP="00F53EF7">
    <w:pPr>
      <w:pStyle w:val="Header"/>
      <w:rPr>
        <w:color w:val="1F4F69"/>
      </w:rPr>
    </w:pPr>
    <w:r>
      <w:rPr>
        <w:noProof/>
        <w:lang w:eastAsia="en-GB"/>
      </w:rPr>
      <w:drawing>
        <wp:anchor distT="0" distB="0" distL="114300" distR="114300" simplePos="0" relativeHeight="251683840" behindDoc="0" locked="0" layoutInCell="1" allowOverlap="1" wp14:anchorId="6F52EC43" wp14:editId="5B3EC8A4">
          <wp:simplePos x="0" y="0"/>
          <wp:positionH relativeFrom="margin">
            <wp:align>left</wp:align>
          </wp:positionH>
          <wp:positionV relativeFrom="paragraph">
            <wp:posOffset>-82550</wp:posOffset>
          </wp:positionV>
          <wp:extent cx="1899666" cy="539496"/>
          <wp:effectExtent l="0" t="0" r="5715" b="0"/>
          <wp:wrapNone/>
          <wp:docPr id="7"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D85866">
      <w:rPr>
        <w:rFonts w:ascii="Arial" w:eastAsia="Arial Unicode MS" w:hAnsi="Arial" w:cs="Arial"/>
        <w:b/>
        <w:color w:val="1F4F69"/>
        <w:sz w:val="20"/>
        <w:szCs w:val="20"/>
        <w:bdr w:val="nil"/>
        <w:lang w:val="en-US"/>
      </w:rPr>
      <w:t xml:space="preserve">MKT </w:t>
    </w:r>
    <w:r w:rsidR="00842565" w:rsidRPr="00D85866">
      <w:rPr>
        <w:rFonts w:ascii="Arial" w:eastAsia="Arial Unicode MS" w:hAnsi="Arial" w:cs="Arial"/>
        <w:b/>
        <w:color w:val="1F4F69"/>
        <w:sz w:val="20"/>
        <w:szCs w:val="20"/>
        <w:bdr w:val="nil"/>
        <w:lang w:val="en-US"/>
      </w:rPr>
      <w:t>VER0</w:t>
    </w:r>
    <w:r w:rsidR="002A216E">
      <w:rPr>
        <w:rFonts w:ascii="Arial" w:eastAsia="Arial Unicode MS" w:hAnsi="Arial" w:cs="Arial"/>
        <w:b/>
        <w:color w:val="1F4F69"/>
        <w:sz w:val="20"/>
        <w:szCs w:val="20"/>
        <w:bdr w:val="nil"/>
        <w:lang w:val="en-US"/>
      </w:rPr>
      <w:t>8</w:t>
    </w:r>
    <w:r w:rsidRPr="00D85866">
      <w:rPr>
        <w:rFonts w:ascii="Arial" w:eastAsia="Arial Unicode MS" w:hAnsi="Arial" w:cs="Arial"/>
        <w:b/>
        <w:color w:val="1F4F69"/>
        <w:sz w:val="20"/>
        <w:szCs w:val="20"/>
        <w:bdr w:val="nil"/>
        <w:lang w:val="en-US"/>
      </w:rPr>
      <w:t>.</w:t>
    </w:r>
    <w:r w:rsidR="00C6137C">
      <w:rPr>
        <w:rFonts w:ascii="Arial" w:eastAsia="Arial Unicode MS" w:hAnsi="Arial" w:cs="Arial"/>
        <w:b/>
        <w:color w:val="1F4F69"/>
        <w:sz w:val="20"/>
        <w:szCs w:val="20"/>
        <w:bdr w:val="nil"/>
        <w:lang w:val="en-US"/>
      </w:rPr>
      <w:t>181223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D7AAF" w14:textId="77777777" w:rsidR="0052068F" w:rsidRDefault="0052068F" w:rsidP="00013786">
    <w:pPr>
      <w:pStyle w:val="Body"/>
    </w:pPr>
  </w:p>
  <w:p w14:paraId="33C87AD8" w14:textId="77777777" w:rsidR="0052068F" w:rsidRDefault="0052068F">
    <w:r>
      <w:rPr>
        <w:noProof/>
        <w:lang w:eastAsia="en-GB"/>
      </w:rPr>
      <w:drawing>
        <wp:anchor distT="0" distB="0" distL="114300" distR="114300" simplePos="0" relativeHeight="251679744" behindDoc="0" locked="0" layoutInCell="1" allowOverlap="1" wp14:anchorId="12A410A0" wp14:editId="3B1E83D2">
          <wp:simplePos x="0" y="0"/>
          <wp:positionH relativeFrom="margin">
            <wp:posOffset>0</wp:posOffset>
          </wp:positionH>
          <wp:positionV relativeFrom="paragraph">
            <wp:posOffset>0</wp:posOffset>
          </wp:positionV>
          <wp:extent cx="1899666" cy="539496"/>
          <wp:effectExtent l="0" t="0" r="5715" b="0"/>
          <wp:wrapNone/>
          <wp:docPr id="5" name="Picture 5"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D0F1" w14:textId="527D14A5" w:rsidR="0052068F" w:rsidRDefault="0052068F" w:rsidP="00F53EF7">
    <w:pPr>
      <w:pStyle w:val="Header"/>
      <w:ind w:right="-363"/>
    </w:pPr>
    <w:r>
      <w:rPr>
        <w:noProof/>
        <w:lang w:eastAsia="en-GB"/>
      </w:rPr>
      <w:drawing>
        <wp:anchor distT="0" distB="0" distL="114300" distR="114300" simplePos="0" relativeHeight="251689984" behindDoc="0" locked="0" layoutInCell="1" allowOverlap="1" wp14:anchorId="694811A7" wp14:editId="0CDA3380">
          <wp:simplePos x="0" y="0"/>
          <wp:positionH relativeFrom="column">
            <wp:posOffset>-393700</wp:posOffset>
          </wp:positionH>
          <wp:positionV relativeFrom="paragraph">
            <wp:posOffset>-152400</wp:posOffset>
          </wp:positionV>
          <wp:extent cx="1899666" cy="539496"/>
          <wp:effectExtent l="0" t="0" r="5715" b="0"/>
          <wp:wrapNone/>
          <wp:docPr id="10"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r w:rsidR="006F7068" w:rsidRPr="00D85866">
      <w:rPr>
        <w:rFonts w:ascii="Arial" w:eastAsia="Arial Unicode MS" w:hAnsi="Arial" w:cs="Arial"/>
        <w:b/>
        <w:color w:val="1F4F69"/>
        <w:sz w:val="20"/>
        <w:szCs w:val="20"/>
        <w:bdr w:val="nil"/>
        <w:lang w:val="en-US"/>
      </w:rPr>
      <w:t>MKT VER0</w:t>
    </w:r>
    <w:r w:rsidR="002A216E">
      <w:rPr>
        <w:rFonts w:ascii="Arial" w:eastAsia="Arial Unicode MS" w:hAnsi="Arial" w:cs="Arial"/>
        <w:b/>
        <w:color w:val="1F4F69"/>
        <w:sz w:val="20"/>
        <w:szCs w:val="20"/>
        <w:bdr w:val="nil"/>
        <w:lang w:val="en-US"/>
      </w:rPr>
      <w:t>8</w:t>
    </w:r>
    <w:r w:rsidR="006F7068" w:rsidRPr="00D85866">
      <w:rPr>
        <w:rFonts w:ascii="Arial" w:eastAsia="Arial Unicode MS" w:hAnsi="Arial" w:cs="Arial"/>
        <w:b/>
        <w:color w:val="1F4F69"/>
        <w:sz w:val="20"/>
        <w:szCs w:val="20"/>
        <w:bdr w:val="nil"/>
        <w:lang w:val="en-US"/>
      </w:rPr>
      <w:t>.</w:t>
    </w:r>
    <w:r w:rsidR="00C6137C">
      <w:rPr>
        <w:rFonts w:ascii="Arial" w:eastAsia="Arial Unicode MS" w:hAnsi="Arial" w:cs="Arial"/>
        <w:b/>
        <w:color w:val="1F4F69"/>
        <w:sz w:val="20"/>
        <w:szCs w:val="20"/>
        <w:bdr w:val="nil"/>
        <w:lang w:val="en-US"/>
      </w:rPr>
      <w:t>181223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390B9" w14:textId="559AAF2A" w:rsidR="0052068F" w:rsidRDefault="0052068F" w:rsidP="00F53EF7">
    <w:pPr>
      <w:pStyle w:val="Footer"/>
    </w:pPr>
    <w:r>
      <w:rPr>
        <w:noProof/>
        <w:lang w:eastAsia="en-GB"/>
      </w:rPr>
      <w:drawing>
        <wp:anchor distT="0" distB="0" distL="114300" distR="114300" simplePos="0" relativeHeight="251694080" behindDoc="0" locked="0" layoutInCell="1" allowOverlap="1" wp14:anchorId="3345E5F1" wp14:editId="1B932BFD">
          <wp:simplePos x="0" y="0"/>
          <wp:positionH relativeFrom="column">
            <wp:posOffset>-228600</wp:posOffset>
          </wp:positionH>
          <wp:positionV relativeFrom="paragraph">
            <wp:posOffset>-184150</wp:posOffset>
          </wp:positionV>
          <wp:extent cx="1899666" cy="539496"/>
          <wp:effectExtent l="0" t="0" r="5715" b="0"/>
          <wp:wrapNone/>
          <wp:docPr id="12"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6F7068" w:rsidRPr="00D85866">
      <w:rPr>
        <w:rFonts w:ascii="Arial" w:eastAsia="Arial Unicode MS" w:hAnsi="Arial" w:cs="Arial"/>
        <w:b/>
        <w:color w:val="1F4F69"/>
        <w:sz w:val="20"/>
        <w:szCs w:val="20"/>
        <w:bdr w:val="nil"/>
        <w:lang w:val="en-US"/>
      </w:rPr>
      <w:t>MKT VER0</w:t>
    </w:r>
    <w:r w:rsidR="002A216E">
      <w:rPr>
        <w:rFonts w:ascii="Arial" w:eastAsia="Arial Unicode MS" w:hAnsi="Arial" w:cs="Arial"/>
        <w:b/>
        <w:color w:val="1F4F69"/>
        <w:sz w:val="20"/>
        <w:szCs w:val="20"/>
        <w:bdr w:val="nil"/>
        <w:lang w:val="en-US"/>
      </w:rPr>
      <w:t>8</w:t>
    </w:r>
    <w:r w:rsidR="006F7068" w:rsidRPr="00D85866">
      <w:rPr>
        <w:rFonts w:ascii="Arial" w:eastAsia="Arial Unicode MS" w:hAnsi="Arial" w:cs="Arial"/>
        <w:b/>
        <w:color w:val="1F4F69"/>
        <w:sz w:val="20"/>
        <w:szCs w:val="20"/>
        <w:bdr w:val="nil"/>
        <w:lang w:val="en-US"/>
      </w:rPr>
      <w:t>.</w:t>
    </w:r>
    <w:r w:rsidR="00C6137C">
      <w:rPr>
        <w:rFonts w:ascii="Arial" w:eastAsia="Arial Unicode MS" w:hAnsi="Arial" w:cs="Arial"/>
        <w:b/>
        <w:color w:val="1F4F69"/>
        <w:sz w:val="20"/>
        <w:szCs w:val="20"/>
        <w:bdr w:val="nil"/>
        <w:lang w:val="en-US"/>
      </w:rPr>
      <w:t>181223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F23E3" w14:textId="1CF22878" w:rsidR="0052068F" w:rsidRPr="00DA0D00" w:rsidRDefault="0052068F" w:rsidP="00F53EF7">
    <w:pPr>
      <w:pStyle w:val="Footer"/>
      <w:ind w:right="-363"/>
      <w:rPr>
        <w:sz w:val="20"/>
        <w:szCs w:val="20"/>
      </w:rPr>
    </w:pPr>
    <w:r>
      <w:rPr>
        <w:noProof/>
        <w:lang w:eastAsia="en-GB"/>
      </w:rPr>
      <w:drawing>
        <wp:anchor distT="0" distB="0" distL="114300" distR="114300" simplePos="0" relativeHeight="251698176" behindDoc="0" locked="0" layoutInCell="1" allowOverlap="1" wp14:anchorId="70562F5C" wp14:editId="3563C5EC">
          <wp:simplePos x="0" y="0"/>
          <wp:positionH relativeFrom="column">
            <wp:posOffset>-222250</wp:posOffset>
          </wp:positionH>
          <wp:positionV relativeFrom="paragraph">
            <wp:posOffset>-184150</wp:posOffset>
          </wp:positionV>
          <wp:extent cx="1899666" cy="539496"/>
          <wp:effectExtent l="0" t="0" r="5715" b="0"/>
          <wp:wrapNone/>
          <wp:docPr id="14"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6F7068" w:rsidRPr="00D85866">
      <w:rPr>
        <w:rFonts w:ascii="Arial" w:eastAsia="Arial Unicode MS" w:hAnsi="Arial" w:cs="Arial"/>
        <w:b/>
        <w:color w:val="1F4F69"/>
        <w:sz w:val="20"/>
        <w:szCs w:val="20"/>
        <w:bdr w:val="nil"/>
        <w:lang w:val="en-US"/>
      </w:rPr>
      <w:t>MKT VER0</w:t>
    </w:r>
    <w:r w:rsidR="002A216E">
      <w:rPr>
        <w:rFonts w:ascii="Arial" w:eastAsia="Arial Unicode MS" w:hAnsi="Arial" w:cs="Arial"/>
        <w:b/>
        <w:color w:val="1F4F69"/>
        <w:sz w:val="20"/>
        <w:szCs w:val="20"/>
        <w:bdr w:val="nil"/>
        <w:lang w:val="en-US"/>
      </w:rPr>
      <w:t>8</w:t>
    </w:r>
    <w:r w:rsidR="006F7068" w:rsidRPr="00D85866">
      <w:rPr>
        <w:rFonts w:ascii="Arial" w:eastAsia="Arial Unicode MS" w:hAnsi="Arial" w:cs="Arial"/>
        <w:b/>
        <w:color w:val="1F4F69"/>
        <w:sz w:val="20"/>
        <w:szCs w:val="20"/>
        <w:bdr w:val="nil"/>
        <w:lang w:val="en-US"/>
      </w:rPr>
      <w:t>.</w:t>
    </w:r>
    <w:r w:rsidR="00C6137C">
      <w:rPr>
        <w:rFonts w:ascii="Arial" w:eastAsia="Arial Unicode MS" w:hAnsi="Arial" w:cs="Arial"/>
        <w:b/>
        <w:color w:val="1F4F69"/>
        <w:sz w:val="20"/>
        <w:szCs w:val="20"/>
        <w:bdr w:val="nil"/>
        <w:lang w:val="en-US"/>
      </w:rPr>
      <w:t>181223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65F29" w14:textId="3AA27461" w:rsidR="0052068F" w:rsidRPr="00DA0D00" w:rsidRDefault="0052068F" w:rsidP="00F53EF7">
    <w:pPr>
      <w:pStyle w:val="Footer"/>
      <w:ind w:right="-363"/>
      <w:rPr>
        <w:sz w:val="20"/>
        <w:szCs w:val="20"/>
      </w:rPr>
    </w:pPr>
    <w:r>
      <w:rPr>
        <w:noProof/>
        <w:lang w:eastAsia="en-GB"/>
      </w:rPr>
      <w:drawing>
        <wp:anchor distT="0" distB="0" distL="114300" distR="114300" simplePos="0" relativeHeight="251702272" behindDoc="0" locked="0" layoutInCell="1" allowOverlap="1" wp14:anchorId="560A9D49" wp14:editId="7040E484">
          <wp:simplePos x="0" y="0"/>
          <wp:positionH relativeFrom="column">
            <wp:posOffset>-222250</wp:posOffset>
          </wp:positionH>
          <wp:positionV relativeFrom="paragraph">
            <wp:posOffset>-184150</wp:posOffset>
          </wp:positionV>
          <wp:extent cx="1899666" cy="539496"/>
          <wp:effectExtent l="0" t="0" r="5715" b="0"/>
          <wp:wrapNone/>
          <wp:docPr id="16"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Pr>
        <w:sz w:val="20"/>
        <w:szCs w:val="20"/>
      </w:rPr>
      <w:tab/>
    </w:r>
    <w:r w:rsidR="006F7068" w:rsidRPr="00D85866">
      <w:rPr>
        <w:rFonts w:ascii="Arial" w:eastAsia="Arial Unicode MS" w:hAnsi="Arial" w:cs="Arial"/>
        <w:b/>
        <w:color w:val="1F4F69"/>
        <w:sz w:val="20"/>
        <w:szCs w:val="20"/>
        <w:bdr w:val="nil"/>
        <w:lang w:val="en-US"/>
      </w:rPr>
      <w:t>MKT VER0</w:t>
    </w:r>
    <w:r w:rsidR="002A216E">
      <w:rPr>
        <w:rFonts w:ascii="Arial" w:eastAsia="Arial Unicode MS" w:hAnsi="Arial" w:cs="Arial"/>
        <w:b/>
        <w:color w:val="1F4F69"/>
        <w:sz w:val="20"/>
        <w:szCs w:val="20"/>
        <w:bdr w:val="nil"/>
        <w:lang w:val="en-US"/>
      </w:rPr>
      <w:t>8</w:t>
    </w:r>
    <w:r w:rsidR="006F7068" w:rsidRPr="00D85866">
      <w:rPr>
        <w:rFonts w:ascii="Arial" w:eastAsia="Arial Unicode MS" w:hAnsi="Arial" w:cs="Arial"/>
        <w:b/>
        <w:color w:val="1F4F69"/>
        <w:sz w:val="20"/>
        <w:szCs w:val="20"/>
        <w:bdr w:val="nil"/>
        <w:lang w:val="en-US"/>
      </w:rPr>
      <w:t>.</w:t>
    </w:r>
    <w:r w:rsidR="00C6137C">
      <w:rPr>
        <w:rFonts w:ascii="Arial" w:eastAsia="Arial Unicode MS" w:hAnsi="Arial" w:cs="Arial"/>
        <w:b/>
        <w:color w:val="1F4F69"/>
        <w:sz w:val="20"/>
        <w:szCs w:val="20"/>
        <w:bdr w:val="nil"/>
        <w:lang w:val="en-US"/>
      </w:rPr>
      <w:t>181223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3F700" w14:textId="364C36E2" w:rsidR="00633220" w:rsidRPr="00DA0D00" w:rsidRDefault="00633220" w:rsidP="00F53EF7">
    <w:pPr>
      <w:pStyle w:val="Footer"/>
      <w:ind w:right="-363"/>
      <w:rPr>
        <w:sz w:val="20"/>
        <w:szCs w:val="20"/>
      </w:rPr>
    </w:pPr>
    <w:r>
      <w:rPr>
        <w:noProof/>
        <w:lang w:eastAsia="en-GB"/>
      </w:rPr>
      <w:drawing>
        <wp:anchor distT="0" distB="0" distL="114300" distR="114300" simplePos="0" relativeHeight="251704320" behindDoc="0" locked="0" layoutInCell="1" allowOverlap="1" wp14:anchorId="3CF7BBCD" wp14:editId="06EC8A9B">
          <wp:simplePos x="0" y="0"/>
          <wp:positionH relativeFrom="column">
            <wp:posOffset>-222250</wp:posOffset>
          </wp:positionH>
          <wp:positionV relativeFrom="paragraph">
            <wp:posOffset>-184150</wp:posOffset>
          </wp:positionV>
          <wp:extent cx="1899666" cy="539496"/>
          <wp:effectExtent l="0" t="0" r="5715" b="0"/>
          <wp:wrapNone/>
          <wp:docPr id="1"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6F7068" w:rsidRPr="00D85866">
      <w:rPr>
        <w:rFonts w:ascii="Arial" w:eastAsia="Arial Unicode MS" w:hAnsi="Arial" w:cs="Arial"/>
        <w:b/>
        <w:color w:val="1F4F69"/>
        <w:sz w:val="20"/>
        <w:szCs w:val="20"/>
        <w:bdr w:val="nil"/>
        <w:lang w:val="en-US"/>
      </w:rPr>
      <w:t>MKT VER0</w:t>
    </w:r>
    <w:r w:rsidR="002A216E">
      <w:rPr>
        <w:rFonts w:ascii="Arial" w:eastAsia="Arial Unicode MS" w:hAnsi="Arial" w:cs="Arial"/>
        <w:b/>
        <w:color w:val="1F4F69"/>
        <w:sz w:val="20"/>
        <w:szCs w:val="20"/>
        <w:bdr w:val="nil"/>
        <w:lang w:val="en-US"/>
      </w:rPr>
      <w:t>8</w:t>
    </w:r>
    <w:r w:rsidR="006F7068" w:rsidRPr="00D85866">
      <w:rPr>
        <w:rFonts w:ascii="Arial" w:eastAsia="Arial Unicode MS" w:hAnsi="Arial" w:cs="Arial"/>
        <w:b/>
        <w:color w:val="1F4F69"/>
        <w:sz w:val="20"/>
        <w:szCs w:val="20"/>
        <w:bdr w:val="nil"/>
        <w:lang w:val="en-US"/>
      </w:rPr>
      <w:t>.</w:t>
    </w:r>
    <w:r w:rsidR="00C6137C">
      <w:rPr>
        <w:rFonts w:ascii="Arial" w:eastAsia="Arial Unicode MS" w:hAnsi="Arial" w:cs="Arial"/>
        <w:b/>
        <w:color w:val="1F4F69"/>
        <w:sz w:val="20"/>
        <w:szCs w:val="20"/>
        <w:bdr w:val="nil"/>
        <w:lang w:val="en-US"/>
      </w:rPr>
      <w:t>181223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2630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205D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5889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B029F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5A62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48A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CEFC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32CF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5270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026B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6605"/>
    <w:multiLevelType w:val="multilevel"/>
    <w:tmpl w:val="8C704346"/>
    <w:name w:val="Scheme 12(c) UK12 - Schedule"/>
    <w:lvl w:ilvl="0">
      <w:start w:val="1"/>
      <w:numFmt w:val="decimal"/>
      <w:pStyle w:val="S2Heading1"/>
      <w:lvlText w:val="APP %1"/>
      <w:lvlJc w:val="left"/>
      <w:pPr>
        <w:tabs>
          <w:tab w:val="num" w:pos="864"/>
        </w:tabs>
        <w:ind w:left="864" w:hanging="864"/>
      </w:pPr>
      <w:rPr>
        <w:rFonts w:ascii="Arial" w:hAnsi="Arial" w:cs="Arial" w:hint="default"/>
        <w:b/>
        <w:i w:val="0"/>
        <w:caps w:val="0"/>
        <w:color w:val="010000"/>
        <w:u w:val="none"/>
      </w:rPr>
    </w:lvl>
    <w:lvl w:ilvl="1">
      <w:start w:val="1"/>
      <w:numFmt w:val="decimal"/>
      <w:pStyle w:val="S2Heading2"/>
      <w:lvlText w:val="A%1.%2"/>
      <w:lvlJc w:val="left"/>
      <w:pPr>
        <w:tabs>
          <w:tab w:val="num" w:pos="864"/>
        </w:tabs>
        <w:ind w:left="864" w:hanging="864"/>
      </w:pPr>
      <w:rPr>
        <w:rFonts w:hint="default"/>
        <w:b/>
        <w:i w:val="0"/>
        <w:color w:val="010000"/>
        <w:u w:val="none"/>
      </w:rPr>
    </w:lvl>
    <w:lvl w:ilvl="2">
      <w:start w:val="1"/>
      <w:numFmt w:val="decimal"/>
      <w:pStyle w:val="S2Heading3"/>
      <w:lvlText w:val="A%1.%2.%3"/>
      <w:lvlJc w:val="left"/>
      <w:pPr>
        <w:tabs>
          <w:tab w:val="num" w:pos="864"/>
        </w:tabs>
        <w:ind w:left="864" w:hanging="864"/>
      </w:pPr>
      <w:rPr>
        <w:rFonts w:hint="default"/>
        <w:b/>
        <w:i w:val="0"/>
        <w:color w:val="010000"/>
        <w:u w:val="none"/>
      </w:rPr>
    </w:lvl>
    <w:lvl w:ilvl="3">
      <w:start w:val="1"/>
      <w:numFmt w:val="decimal"/>
      <w:pStyle w:val="S2Heading4"/>
      <w:lvlText w:val="(%4)"/>
      <w:lvlJc w:val="left"/>
      <w:pPr>
        <w:tabs>
          <w:tab w:val="num" w:pos="1440"/>
        </w:tabs>
        <w:ind w:left="1440" w:hanging="576"/>
      </w:pPr>
      <w:rPr>
        <w:rFonts w:hint="default"/>
        <w:color w:val="010000"/>
        <w:u w:val="none"/>
      </w:rPr>
    </w:lvl>
    <w:lvl w:ilvl="4">
      <w:start w:val="1"/>
      <w:numFmt w:val="lowerLetter"/>
      <w:pStyle w:val="S2Heading5"/>
      <w:lvlText w:val="(%5)"/>
      <w:lvlJc w:val="left"/>
      <w:pPr>
        <w:tabs>
          <w:tab w:val="num" w:pos="1440"/>
        </w:tabs>
        <w:ind w:left="1440" w:hanging="576"/>
      </w:pPr>
      <w:rPr>
        <w:rFonts w:hint="default"/>
        <w:color w:val="010000"/>
        <w:u w:val="none"/>
      </w:rPr>
    </w:lvl>
    <w:lvl w:ilvl="5">
      <w:start w:val="1"/>
      <w:numFmt w:val="lowerRoman"/>
      <w:pStyle w:val="S2Heading6"/>
      <w:lvlText w:val="(%6)"/>
      <w:lvlJc w:val="left"/>
      <w:pPr>
        <w:tabs>
          <w:tab w:val="num" w:pos="2160"/>
        </w:tabs>
        <w:ind w:left="2160" w:hanging="720"/>
      </w:pPr>
      <w:rPr>
        <w:rFonts w:hint="default"/>
        <w:color w:val="010000"/>
        <w:u w:val="none"/>
      </w:rPr>
    </w:lvl>
    <w:lvl w:ilvl="6">
      <w:start w:val="27"/>
      <w:numFmt w:val="none"/>
      <w:pStyle w:val="S2Heading7"/>
      <w:suff w:val="nothing"/>
      <w:lvlText w:val=""/>
      <w:lvlJc w:val="left"/>
      <w:pPr>
        <w:ind w:left="0" w:firstLine="0"/>
      </w:pPr>
      <w:rPr>
        <w:rFonts w:hint="default"/>
        <w:color w:val="010000"/>
        <w:u w:val="none"/>
      </w:rPr>
    </w:lvl>
    <w:lvl w:ilvl="7">
      <w:start w:val="1"/>
      <w:numFmt w:val="decimal"/>
      <w:pStyle w:val="S2Heading8"/>
      <w:lvlText w:val="%8."/>
      <w:lvlJc w:val="left"/>
      <w:pPr>
        <w:tabs>
          <w:tab w:val="num" w:pos="1440"/>
        </w:tabs>
        <w:ind w:left="1440" w:hanging="720"/>
      </w:pPr>
      <w:rPr>
        <w:rFonts w:hint="default"/>
        <w:color w:val="010000"/>
        <w:u w:val="none"/>
      </w:rPr>
    </w:lvl>
    <w:lvl w:ilvl="8">
      <w:start w:val="1"/>
      <w:numFmt w:val="lowerLetter"/>
      <w:pStyle w:val="S2Heading9"/>
      <w:lvlText w:val="%9."/>
      <w:lvlJc w:val="left"/>
      <w:pPr>
        <w:tabs>
          <w:tab w:val="num" w:pos="2160"/>
        </w:tabs>
        <w:ind w:left="2160" w:hanging="720"/>
      </w:pPr>
      <w:rPr>
        <w:rFonts w:hint="default"/>
        <w:color w:val="010000"/>
        <w:u w:val="none"/>
      </w:rPr>
    </w:lvl>
  </w:abstractNum>
  <w:abstractNum w:abstractNumId="11" w15:restartNumberingAfterBreak="0">
    <w:nsid w:val="0169386A"/>
    <w:multiLevelType w:val="multilevel"/>
    <w:tmpl w:val="D5A6B8B8"/>
    <w:name w:val="Scheme 12(c) UK1242222222222222223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33B0CE4"/>
    <w:multiLevelType w:val="hybridMultilevel"/>
    <w:tmpl w:val="6424110C"/>
    <w:name w:val="PA Roman List"/>
    <w:lvl w:ilvl="0" w:tplc="D116C05C">
      <w:start w:val="1"/>
      <w:numFmt w:val="lowerRoman"/>
      <w:pStyle w:val="PARoman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36B3C7E"/>
    <w:multiLevelType w:val="hybridMultilevel"/>
    <w:tmpl w:val="B9267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3766A70"/>
    <w:multiLevelType w:val="hybridMultilevel"/>
    <w:tmpl w:val="11DEC6B8"/>
    <w:name w:val="PA Num List indent 1"/>
    <w:lvl w:ilvl="0" w:tplc="A2F88D02">
      <w:start w:val="1"/>
      <w:numFmt w:val="decimal"/>
      <w:pStyle w:val="PANum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41F46BB"/>
    <w:multiLevelType w:val="hybridMultilevel"/>
    <w:tmpl w:val="4EDCA6E6"/>
    <w:name w:val="PA Bullet indent 2"/>
    <w:lvl w:ilvl="0" w:tplc="56A4358E">
      <w:start w:val="1"/>
      <w:numFmt w:val="bullet"/>
      <w:pStyle w:val="PABulletindent2"/>
      <w:lvlText w:val=""/>
      <w:lvlJc w:val="left"/>
      <w:pPr>
        <w:tabs>
          <w:tab w:val="num" w:pos="3600"/>
        </w:tabs>
        <w:ind w:left="360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4653567"/>
    <w:multiLevelType w:val="multilevel"/>
    <w:tmpl w:val="D5A6B8B8"/>
    <w:name w:val="Scheme 12(c) UK12422222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049E52D2"/>
    <w:multiLevelType w:val="hybridMultilevel"/>
    <w:tmpl w:val="294CB67C"/>
    <w:lvl w:ilvl="0" w:tplc="ACA6E07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55652EB"/>
    <w:multiLevelType w:val="hybridMultilevel"/>
    <w:tmpl w:val="70DC04B2"/>
    <w:name w:val="PA Dash List indent 1"/>
    <w:lvl w:ilvl="0" w:tplc="B09616EE">
      <w:start w:val="1"/>
      <w:numFmt w:val="bullet"/>
      <w:pStyle w:val="PADashListindent1"/>
      <w:lvlText w:val="-"/>
      <w:lvlJc w:val="left"/>
      <w:pPr>
        <w:tabs>
          <w:tab w:val="num" w:pos="2160"/>
        </w:tabs>
        <w:ind w:left="216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AC84CBC"/>
    <w:multiLevelType w:val="hybridMultilevel"/>
    <w:tmpl w:val="32F2E22C"/>
    <w:name w:val="PA Bullet indent 1.5"/>
    <w:lvl w:ilvl="0" w:tplc="3C141B14">
      <w:start w:val="1"/>
      <w:numFmt w:val="bullet"/>
      <w:pStyle w:val="PABulletindent15"/>
      <w:lvlText w:val=""/>
      <w:lvlJc w:val="left"/>
      <w:pPr>
        <w:tabs>
          <w:tab w:val="num" w:pos="2880"/>
        </w:tabs>
        <w:ind w:left="28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BC64CD3"/>
    <w:multiLevelType w:val="multilevel"/>
    <w:tmpl w:val="D5A6B8B8"/>
    <w:name w:val="Scheme 12(c) UK124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0DC1629A"/>
    <w:multiLevelType w:val="multilevel"/>
    <w:tmpl w:val="18DAA7AE"/>
    <w:name w:val="Scheme 12(c) UK124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00F4195"/>
    <w:multiLevelType w:val="hybridMultilevel"/>
    <w:tmpl w:val="145A3FC0"/>
    <w:lvl w:ilvl="0" w:tplc="BC0A83BC">
      <w:start w:val="1"/>
      <w:numFmt w:val="lowerLetter"/>
      <w:lvlText w:val="(%1)"/>
      <w:lvlJc w:val="left"/>
      <w:pPr>
        <w:ind w:left="72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5F0CA728">
      <w:start w:val="1"/>
      <w:numFmt w:val="lowerLetter"/>
      <w:lvlText w:val="(%5)"/>
      <w:lvlJc w:val="left"/>
      <w:pPr>
        <w:ind w:left="720" w:hanging="720"/>
      </w:pPr>
      <w:rPr>
        <w:rFonts w:hint="default"/>
        <w:sz w:val="24"/>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51688E"/>
    <w:multiLevelType w:val="multilevel"/>
    <w:tmpl w:val="D5A6B8B8"/>
    <w:name w:val="Scheme 12(c) UK124222222222222222322222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2D10222"/>
    <w:multiLevelType w:val="multilevel"/>
    <w:tmpl w:val="D5A6B8B8"/>
    <w:name w:val="Scheme 12(c) UK124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1338045D"/>
    <w:multiLevelType w:val="multilevel"/>
    <w:tmpl w:val="24263FB6"/>
    <w:name w:val="Scheme 12(c) UK124222222222222222322222222222222222222322222222"/>
    <w:lvl w:ilvl="0">
      <w:start w:val="1"/>
      <w:numFmt w:val="decimal"/>
      <w:lvlText w:val="%1."/>
      <w:lvlJc w:val="left"/>
      <w:pPr>
        <w:ind w:left="720" w:hanging="720"/>
      </w:pPr>
      <w:rPr>
        <w:rFonts w:hint="default"/>
        <w:b/>
        <w:i w:val="0"/>
        <w:sz w:val="22"/>
        <w:szCs w:val="22"/>
      </w:rPr>
    </w:lvl>
    <w:lvl w:ilvl="1">
      <w:start w:val="1"/>
      <w:numFmt w:val="decimal"/>
      <w:suff w:val="nothing"/>
      <w:lvlText w:val="%1.%2"/>
      <w:lvlJc w:val="left"/>
      <w:pPr>
        <w:ind w:left="0" w:firstLine="0"/>
      </w:pPr>
      <w:rPr>
        <w:rFonts w:hint="default"/>
        <w:b/>
        <w:i w:val="0"/>
        <w:sz w:val="22"/>
        <w:szCs w:val="22"/>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13497FAA"/>
    <w:multiLevelType w:val="multilevel"/>
    <w:tmpl w:val="D5A6B8B8"/>
    <w:name w:val="Scheme 12(c) UK12422222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135900FE"/>
    <w:multiLevelType w:val="hybridMultilevel"/>
    <w:tmpl w:val="77022C1C"/>
    <w:name w:val="PA Num List indent 0.5"/>
    <w:lvl w:ilvl="0" w:tplc="4AB8D3A6">
      <w:start w:val="1"/>
      <w:numFmt w:val="decimal"/>
      <w:pStyle w:val="PANum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150E7A32"/>
    <w:multiLevelType w:val="multilevel"/>
    <w:tmpl w:val="D5A6B8B8"/>
    <w:name w:val="Scheme 12(c) UK124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15824518"/>
    <w:multiLevelType w:val="multilevel"/>
    <w:tmpl w:val="D5A6B8B8"/>
    <w:name w:val="Scheme 12(c) UK1242222222222222223222222222222222222223"/>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17DC04E4"/>
    <w:multiLevelType w:val="multilevel"/>
    <w:tmpl w:val="D5A6B8B8"/>
    <w:name w:val="Scheme 12(c) UK1242222222222222223222222222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187617D2"/>
    <w:multiLevelType w:val="multilevel"/>
    <w:tmpl w:val="D5A6B8B8"/>
    <w:name w:val="Scheme 12(c) UK12422222222222222232222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193D7234"/>
    <w:multiLevelType w:val="multilevel"/>
    <w:tmpl w:val="5680D56A"/>
    <w:name w:val="Scheme 12(c) UK124222222222"/>
    <w:lvl w:ilvl="0">
      <w:start w:val="1"/>
      <w:numFmt w:val="decimal"/>
      <w:lvlText w:val="%1."/>
      <w:lvlJc w:val="left"/>
      <w:pPr>
        <w:ind w:left="720" w:hanging="720"/>
      </w:pPr>
      <w:rPr>
        <w:rFonts w:hint="default"/>
        <w:b/>
        <w:i w:val="0"/>
        <w:sz w:val="22"/>
        <w:szCs w:val="22"/>
      </w:rPr>
    </w:lvl>
    <w:lvl w:ilvl="1">
      <w:start w:val="1"/>
      <w:numFmt w:val="decimal"/>
      <w:suff w:val="nothing"/>
      <w:lvlText w:val="%1.%2"/>
      <w:lvlJc w:val="left"/>
      <w:pPr>
        <w:ind w:left="0" w:firstLine="0"/>
      </w:pPr>
      <w:rPr>
        <w:rFonts w:hint="default"/>
        <w:b/>
        <w:i w:val="0"/>
        <w:sz w:val="22"/>
        <w:szCs w:val="22"/>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1B6C28C8"/>
    <w:multiLevelType w:val="hybridMultilevel"/>
    <w:tmpl w:val="5C5A58FC"/>
    <w:name w:val="PA Dash List"/>
    <w:lvl w:ilvl="0" w:tplc="A424806C">
      <w:start w:val="1"/>
      <w:numFmt w:val="bullet"/>
      <w:pStyle w:val="PADashList"/>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1F437E99"/>
    <w:multiLevelType w:val="multilevel"/>
    <w:tmpl w:val="D5A6B8B8"/>
    <w:name w:val="Scheme 12(c) UK1242222222222222223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1F967920"/>
    <w:multiLevelType w:val="hybridMultilevel"/>
    <w:tmpl w:val="4BC420CE"/>
    <w:name w:val="PA Bullet indent 0.5"/>
    <w:lvl w:ilvl="0" w:tplc="484AD502">
      <w:start w:val="1"/>
      <w:numFmt w:val="bullet"/>
      <w:pStyle w:val="PABulletindent05"/>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0064D33"/>
    <w:multiLevelType w:val="multilevel"/>
    <w:tmpl w:val="D5A6B8B8"/>
    <w:name w:val="Scheme 12(c) UK1242222222222222223222222222222222222223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208839AA"/>
    <w:multiLevelType w:val="hybridMultilevel"/>
    <w:tmpl w:val="D194A3E8"/>
    <w:lvl w:ilvl="0" w:tplc="9078B3E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3215199"/>
    <w:multiLevelType w:val="hybridMultilevel"/>
    <w:tmpl w:val="145A3FC0"/>
    <w:lvl w:ilvl="0" w:tplc="BC0A83BC">
      <w:start w:val="1"/>
      <w:numFmt w:val="lowerLetter"/>
      <w:lvlText w:val="(%1)"/>
      <w:lvlJc w:val="left"/>
      <w:pPr>
        <w:ind w:left="72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5F0CA728">
      <w:start w:val="1"/>
      <w:numFmt w:val="lowerLetter"/>
      <w:lvlText w:val="(%5)"/>
      <w:lvlJc w:val="left"/>
      <w:pPr>
        <w:ind w:left="720" w:hanging="720"/>
      </w:pPr>
      <w:rPr>
        <w:rFonts w:hint="default"/>
        <w:sz w:val="24"/>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4A78D5"/>
    <w:multiLevelType w:val="hybridMultilevel"/>
    <w:tmpl w:val="3A6CB324"/>
    <w:name w:val="Body Text Numbered"/>
    <w:lvl w:ilvl="0" w:tplc="F5487446">
      <w:start w:val="1"/>
      <w:numFmt w:val="decimal"/>
      <w:lvlRestart w:val="0"/>
      <w:pStyle w:val="BodyTextNumbered"/>
      <w:lvlText w:val="%1."/>
      <w:lvlJc w:val="left"/>
      <w:pPr>
        <w:tabs>
          <w:tab w:val="num" w:pos="2160"/>
        </w:tabs>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94204B"/>
    <w:multiLevelType w:val="multilevel"/>
    <w:tmpl w:val="D5A6B8B8"/>
    <w:name w:val="Scheme 12(c) UK12422222222222222232222222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23E54554"/>
    <w:multiLevelType w:val="multilevel"/>
    <w:tmpl w:val="D5A6B8B8"/>
    <w:name w:val="Scheme 12(c) UK124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25EB6300"/>
    <w:multiLevelType w:val="hybridMultilevel"/>
    <w:tmpl w:val="62500554"/>
    <w:name w:val="PA Roman List indent 2"/>
    <w:lvl w:ilvl="0" w:tplc="7AFE0620">
      <w:start w:val="1"/>
      <w:numFmt w:val="lowerRoman"/>
      <w:pStyle w:val="PARoman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29043A37"/>
    <w:multiLevelType w:val="multilevel"/>
    <w:tmpl w:val="D5A6B8B8"/>
    <w:name w:val="Scheme 12(c) UK1242222222222222223"/>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29BE2B9B"/>
    <w:multiLevelType w:val="multilevel"/>
    <w:tmpl w:val="D5A6B8B8"/>
    <w:name w:val="Scheme 12(c) UK1242222222222222223222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2B464DF8"/>
    <w:multiLevelType w:val="hybridMultilevel"/>
    <w:tmpl w:val="D7F09E4A"/>
    <w:name w:val="PA Alpha List"/>
    <w:lvl w:ilvl="0" w:tplc="E77C06E8">
      <w:start w:val="1"/>
      <w:numFmt w:val="lowerLetter"/>
      <w:pStyle w:val="PAAlpha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2BBD1A26"/>
    <w:multiLevelType w:val="multilevel"/>
    <w:tmpl w:val="D5A6B8B8"/>
    <w:name w:val="Scheme 12(c) UK124222222222222222322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2D2F28CF"/>
    <w:multiLevelType w:val="hybridMultilevel"/>
    <w:tmpl w:val="95543ADC"/>
    <w:lvl w:ilvl="0" w:tplc="52C0E49A">
      <w:start w:val="1"/>
      <w:numFmt w:val="lowerLetter"/>
      <w:lvlText w:val="(%1)"/>
      <w:lvlJc w:val="left"/>
      <w:pPr>
        <w:ind w:left="720" w:hanging="72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5F0CA728">
      <w:start w:val="1"/>
      <w:numFmt w:val="lowerLetter"/>
      <w:lvlText w:val="(%5)"/>
      <w:lvlJc w:val="left"/>
      <w:pPr>
        <w:ind w:left="720" w:hanging="720"/>
      </w:pPr>
      <w:rPr>
        <w:rFonts w:hint="default"/>
        <w:sz w:val="24"/>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E3F61D3"/>
    <w:multiLevelType w:val="hybridMultilevel"/>
    <w:tmpl w:val="B3E61794"/>
    <w:lvl w:ilvl="0" w:tplc="813694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2E69221C"/>
    <w:multiLevelType w:val="hybridMultilevel"/>
    <w:tmpl w:val="92AE862C"/>
    <w:lvl w:ilvl="0" w:tplc="BC0A83BC">
      <w:start w:val="1"/>
      <w:numFmt w:val="lowerLetter"/>
      <w:lvlText w:val="(%1)"/>
      <w:lvlJc w:val="left"/>
      <w:pPr>
        <w:ind w:left="72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5F0CA728">
      <w:start w:val="1"/>
      <w:numFmt w:val="lowerLetter"/>
      <w:lvlText w:val="(%5)"/>
      <w:lvlJc w:val="left"/>
      <w:pPr>
        <w:ind w:left="720" w:hanging="720"/>
      </w:pPr>
      <w:rPr>
        <w:rFonts w:hint="default"/>
        <w:sz w:val="24"/>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E8C61E9"/>
    <w:multiLevelType w:val="multilevel"/>
    <w:tmpl w:val="5E16ED2A"/>
    <w:name w:val="Scheme 12(c) UK122"/>
    <w:lvl w:ilvl="0">
      <w:start w:val="1"/>
      <w:numFmt w:val="decimal"/>
      <w:lvlText w:val="%1."/>
      <w:lvlJc w:val="left"/>
      <w:pPr>
        <w:tabs>
          <w:tab w:val="num" w:pos="720"/>
        </w:tabs>
        <w:ind w:left="720" w:hanging="720"/>
      </w:pPr>
      <w:rPr>
        <w:rFonts w:hint="default"/>
        <w:b/>
        <w:i w:val="0"/>
        <w:caps/>
        <w:smallCaps w:val="0"/>
        <w:vanish w:val="0"/>
        <w:color w:val="010000"/>
        <w:u w:val="none"/>
      </w:rPr>
    </w:lvl>
    <w:lvl w:ilvl="1">
      <w:start w:val="1"/>
      <w:numFmt w:val="decimal"/>
      <w:lvlText w:val="%1.%2"/>
      <w:lvlJc w:val="left"/>
      <w:pPr>
        <w:tabs>
          <w:tab w:val="num" w:pos="720"/>
        </w:tabs>
        <w:ind w:left="720" w:hanging="720"/>
      </w:pPr>
      <w:rPr>
        <w:rFonts w:hint="default"/>
        <w:b/>
        <w:i w:val="0"/>
        <w:vanish w:val="0"/>
        <w:color w:val="010000"/>
        <w:u w:val="none"/>
      </w:rPr>
    </w:lvl>
    <w:lvl w:ilvl="2">
      <w:start w:val="1"/>
      <w:numFmt w:val="decimal"/>
      <w:lvlText w:val="%1.%2.%3"/>
      <w:lvlJc w:val="left"/>
      <w:pPr>
        <w:tabs>
          <w:tab w:val="num" w:pos="720"/>
        </w:tabs>
        <w:ind w:left="720" w:hanging="720"/>
      </w:pPr>
      <w:rPr>
        <w:rFonts w:hint="default"/>
        <w:b/>
        <w:i w:val="0"/>
        <w:vanish w:val="0"/>
        <w:color w:val="010000"/>
        <w:u w:val="none"/>
      </w:rPr>
    </w:lvl>
    <w:lvl w:ilvl="3">
      <w:start w:val="1"/>
      <w:numFmt w:val="decimal"/>
      <w:lvlText w:val="(%4)"/>
      <w:lvlJc w:val="left"/>
      <w:pPr>
        <w:tabs>
          <w:tab w:val="num" w:pos="1440"/>
        </w:tabs>
        <w:ind w:left="1440" w:hanging="720"/>
      </w:pPr>
      <w:rPr>
        <w:rFonts w:hint="default"/>
        <w:vanish w:val="0"/>
        <w:color w:val="010000"/>
        <w:u w:val="none"/>
      </w:rPr>
    </w:lvl>
    <w:lvl w:ilvl="4">
      <w:start w:val="1"/>
      <w:numFmt w:val="lowerLetter"/>
      <w:lvlText w:val="(%5)"/>
      <w:lvlJc w:val="left"/>
      <w:pPr>
        <w:tabs>
          <w:tab w:val="num" w:pos="2138"/>
        </w:tabs>
        <w:ind w:left="2138" w:hanging="720"/>
      </w:pPr>
      <w:rPr>
        <w:rFonts w:hint="default"/>
        <w:vanish w:val="0"/>
        <w:color w:val="010000"/>
        <w:u w:val="none"/>
      </w:rPr>
    </w:lvl>
    <w:lvl w:ilvl="5">
      <w:start w:val="1"/>
      <w:numFmt w:val="lowerRoman"/>
      <w:lvlText w:val="(%6)"/>
      <w:lvlJc w:val="left"/>
      <w:pPr>
        <w:tabs>
          <w:tab w:val="num" w:pos="2988"/>
        </w:tabs>
        <w:ind w:left="2988" w:hanging="720"/>
      </w:pPr>
      <w:rPr>
        <w:rFonts w:hint="default"/>
        <w:vanish w:val="0"/>
        <w:color w:val="010000"/>
        <w:u w:val="none"/>
      </w:rPr>
    </w:lvl>
    <w:lvl w:ilvl="6">
      <w:start w:val="27"/>
      <w:numFmt w:val="lowerLetter"/>
      <w:lvlText w:val="(%7)"/>
      <w:lvlJc w:val="left"/>
      <w:pPr>
        <w:tabs>
          <w:tab w:val="num" w:pos="4320"/>
        </w:tabs>
        <w:ind w:left="4320" w:hanging="720"/>
      </w:pPr>
      <w:rPr>
        <w:rFonts w:hint="default"/>
        <w:vanish w:val="0"/>
        <w:color w:val="010000"/>
        <w:u w:val="none"/>
      </w:rPr>
    </w:lvl>
    <w:lvl w:ilvl="7">
      <w:start w:val="1"/>
      <w:numFmt w:val="none"/>
      <w:suff w:val="nothing"/>
      <w:lvlText w:val=""/>
      <w:lvlJc w:val="left"/>
      <w:pPr>
        <w:ind w:left="0" w:firstLine="0"/>
      </w:pPr>
      <w:rPr>
        <w:rFonts w:hint="default"/>
        <w:vanish w:val="0"/>
        <w:color w:val="010000"/>
        <w:u w:val="none"/>
      </w:rPr>
    </w:lvl>
    <w:lvl w:ilvl="8">
      <w:start w:val="1"/>
      <w:numFmt w:val="none"/>
      <w:suff w:val="nothing"/>
      <w:lvlText w:val=""/>
      <w:lvlJc w:val="left"/>
      <w:pPr>
        <w:ind w:left="0" w:firstLine="0"/>
      </w:pPr>
      <w:rPr>
        <w:rFonts w:hint="default"/>
        <w:vanish w:val="0"/>
        <w:color w:val="010000"/>
        <w:u w:val="none"/>
      </w:rPr>
    </w:lvl>
  </w:abstractNum>
  <w:abstractNum w:abstractNumId="51" w15:restartNumberingAfterBreak="0">
    <w:nsid w:val="31E3164E"/>
    <w:multiLevelType w:val="hybridMultilevel"/>
    <w:tmpl w:val="89807884"/>
    <w:name w:val="(Unnamed Numbering Scheme)"/>
    <w:lvl w:ilvl="0" w:tplc="8974B9FC">
      <w:start w:val="1"/>
      <w:numFmt w:val="decimal"/>
      <w:lvlText w:val="%1."/>
      <w:lvlJc w:val="left"/>
      <w:pPr>
        <w:ind w:left="720" w:hanging="72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2AC4018"/>
    <w:multiLevelType w:val="hybridMultilevel"/>
    <w:tmpl w:val="09AAFA30"/>
    <w:lvl w:ilvl="0" w:tplc="5F0CA728">
      <w:start w:val="1"/>
      <w:numFmt w:val="lowerLetter"/>
      <w:lvlText w:val="(%1)"/>
      <w:lvlJc w:val="left"/>
      <w:pPr>
        <w:ind w:left="720" w:hanging="720"/>
      </w:pPr>
      <w:rPr>
        <w:rFonts w:hint="default"/>
        <w:sz w:val="24"/>
      </w:rPr>
    </w:lvl>
    <w:lvl w:ilvl="1" w:tplc="B1409092">
      <w:start w:val="1"/>
      <w:numFmt w:val="lowerRoman"/>
      <w:lvlText w:val="(%2)"/>
      <w:lvlJc w:val="left"/>
      <w:pPr>
        <w:ind w:left="1440" w:hanging="720"/>
      </w:pPr>
      <w:rPr>
        <w:rFonts w:hint="default"/>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5605BAA"/>
    <w:multiLevelType w:val="hybridMultilevel"/>
    <w:tmpl w:val="A73AF702"/>
    <w:name w:val="PA Num List"/>
    <w:lvl w:ilvl="0" w:tplc="E6FCFBDA">
      <w:start w:val="1"/>
      <w:numFmt w:val="decimal"/>
      <w:pStyle w:val="PANum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3AE92C2D"/>
    <w:multiLevelType w:val="hybridMultilevel"/>
    <w:tmpl w:val="F0A0C4C8"/>
    <w:name w:val="Bulleted List"/>
    <w:lvl w:ilvl="0" w:tplc="C730213A">
      <w:start w:val="1"/>
      <w:numFmt w:val="bullet"/>
      <w:pStyle w:val="BulletedLis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D843BBE"/>
    <w:multiLevelType w:val="hybridMultilevel"/>
    <w:tmpl w:val="4B709730"/>
    <w:name w:val="PA Roman List indent 1.5"/>
    <w:lvl w:ilvl="0" w:tplc="27FAFC30">
      <w:start w:val="1"/>
      <w:numFmt w:val="lowerRoman"/>
      <w:pStyle w:val="PARoman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3DA34A3C"/>
    <w:multiLevelType w:val="hybridMultilevel"/>
    <w:tmpl w:val="95543ADC"/>
    <w:lvl w:ilvl="0" w:tplc="52C0E49A">
      <w:start w:val="1"/>
      <w:numFmt w:val="lowerLetter"/>
      <w:lvlText w:val="(%1)"/>
      <w:lvlJc w:val="left"/>
      <w:pPr>
        <w:ind w:left="720" w:hanging="72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5F0CA728">
      <w:start w:val="1"/>
      <w:numFmt w:val="lowerLetter"/>
      <w:lvlText w:val="(%5)"/>
      <w:lvlJc w:val="left"/>
      <w:pPr>
        <w:ind w:left="720" w:hanging="720"/>
      </w:pPr>
      <w:rPr>
        <w:rFonts w:hint="default"/>
        <w:sz w:val="24"/>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E521495"/>
    <w:multiLevelType w:val="hybridMultilevel"/>
    <w:tmpl w:val="8280D7A8"/>
    <w:name w:val="PA Alpha List indent 1"/>
    <w:lvl w:ilvl="0" w:tplc="D138F598">
      <w:start w:val="1"/>
      <w:numFmt w:val="lowerLetter"/>
      <w:pStyle w:val="PAAlpha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3F277763"/>
    <w:multiLevelType w:val="hybridMultilevel"/>
    <w:tmpl w:val="0A70EDF8"/>
    <w:lvl w:ilvl="0" w:tplc="914A6368">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F81CD880">
      <w:start w:val="1"/>
      <w:numFmt w:val="lowerLetter"/>
      <w:lvlText w:val="(%5)"/>
      <w:lvlJc w:val="left"/>
      <w:pPr>
        <w:ind w:left="720" w:hanging="720"/>
      </w:pPr>
      <w:rPr>
        <w:rFonts w:hint="default"/>
        <w:sz w:val="22"/>
        <w:szCs w:val="22"/>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0541264"/>
    <w:multiLevelType w:val="multilevel"/>
    <w:tmpl w:val="D5A6B8B8"/>
    <w:name w:val="Scheme 12(c) UK1242222222222222223222222222222222222223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 w15:restartNumberingAfterBreak="0">
    <w:nsid w:val="412F5DA3"/>
    <w:multiLevelType w:val="hybridMultilevel"/>
    <w:tmpl w:val="139A56C0"/>
    <w:lvl w:ilvl="0" w:tplc="35A091D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1" w15:restartNumberingAfterBreak="0">
    <w:nsid w:val="41F76B95"/>
    <w:multiLevelType w:val="multilevel"/>
    <w:tmpl w:val="D5A6B8B8"/>
    <w:name w:val="Scheme 12(c) UK1242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45825EAB"/>
    <w:multiLevelType w:val="multilevel"/>
    <w:tmpl w:val="D5A6B8B8"/>
    <w:name w:val="Scheme 12(c) UK12422222222222"/>
    <w:lvl w:ilvl="0">
      <w:start w:val="1"/>
      <w:numFmt w:val="decimal"/>
      <w:lvlText w:val="%1."/>
      <w:lvlJc w:val="left"/>
      <w:pPr>
        <w:ind w:left="1440" w:hanging="720"/>
      </w:pPr>
      <w:rPr>
        <w:rFonts w:hint="default"/>
        <w:b/>
        <w:i w:val="0"/>
        <w:sz w:val="24"/>
      </w:rPr>
    </w:lvl>
    <w:lvl w:ilvl="1">
      <w:start w:val="1"/>
      <w:numFmt w:val="decimal"/>
      <w:suff w:val="nothing"/>
      <w:lvlText w:val="%1.%2"/>
      <w:lvlJc w:val="left"/>
      <w:pPr>
        <w:ind w:left="720" w:firstLine="0"/>
      </w:pPr>
      <w:rPr>
        <w:rFonts w:hint="default"/>
        <w:b/>
        <w:i w:val="0"/>
        <w:sz w:val="24"/>
      </w:rPr>
    </w:lvl>
    <w:lvl w:ilvl="2">
      <w:start w:val="1"/>
      <w:numFmt w:val="lowerLetter"/>
      <w:lvlText w:val="(%3)"/>
      <w:lvlJc w:val="left"/>
      <w:pPr>
        <w:ind w:left="1440" w:hanging="720"/>
      </w:pPr>
      <w:rPr>
        <w:rFonts w:hint="default"/>
      </w:rPr>
    </w:lvl>
    <w:lvl w:ilvl="3">
      <w:start w:val="1"/>
      <w:numFmt w:val="lowerRoman"/>
      <w:lvlText w:val="(%4)"/>
      <w:lvlJc w:val="left"/>
      <w:pPr>
        <w:ind w:left="2160" w:hanging="72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3" w15:restartNumberingAfterBreak="0">
    <w:nsid w:val="45F228D4"/>
    <w:multiLevelType w:val="hybridMultilevel"/>
    <w:tmpl w:val="33B05B22"/>
    <w:name w:val="PA Alpha List indent 0.5"/>
    <w:lvl w:ilvl="0" w:tplc="4E102AC8">
      <w:start w:val="1"/>
      <w:numFmt w:val="lowerLetter"/>
      <w:pStyle w:val="PAAlpha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466F6146"/>
    <w:multiLevelType w:val="multilevel"/>
    <w:tmpl w:val="736C67AA"/>
    <w:name w:val="Scheme 12(c) UK12422222222222222232222222222222222222"/>
    <w:lvl w:ilvl="0">
      <w:start w:val="1"/>
      <w:numFmt w:val="decimal"/>
      <w:lvlText w:val="%1."/>
      <w:lvlJc w:val="left"/>
      <w:pPr>
        <w:ind w:left="720" w:hanging="720"/>
      </w:pPr>
      <w:rPr>
        <w:rFonts w:hint="default"/>
        <w:b/>
        <w:i w:val="0"/>
        <w:sz w:val="22"/>
        <w:szCs w:val="22"/>
      </w:rPr>
    </w:lvl>
    <w:lvl w:ilvl="1">
      <w:start w:val="1"/>
      <w:numFmt w:val="decimal"/>
      <w:suff w:val="nothing"/>
      <w:lvlText w:val="%1.%2"/>
      <w:lvlJc w:val="left"/>
      <w:pPr>
        <w:ind w:left="0" w:firstLine="0"/>
      </w:pPr>
      <w:rPr>
        <w:rFonts w:hint="default"/>
        <w:b/>
        <w:i w:val="0"/>
        <w:sz w:val="22"/>
        <w:szCs w:val="22"/>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46880AE1"/>
    <w:multiLevelType w:val="multilevel"/>
    <w:tmpl w:val="D5A6B8B8"/>
    <w:name w:val="Scheme 12(c) UK124222222222222222322222222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 w15:restartNumberingAfterBreak="0">
    <w:nsid w:val="47850533"/>
    <w:multiLevelType w:val="hybridMultilevel"/>
    <w:tmpl w:val="33628298"/>
    <w:name w:val="PA Num List indent 1.5"/>
    <w:lvl w:ilvl="0" w:tplc="11AA0B44">
      <w:start w:val="1"/>
      <w:numFmt w:val="decimal"/>
      <w:pStyle w:val="PANum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47BD6534"/>
    <w:multiLevelType w:val="hybridMultilevel"/>
    <w:tmpl w:val="A0323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A527305"/>
    <w:multiLevelType w:val="multilevel"/>
    <w:tmpl w:val="D5A6B8B8"/>
    <w:name w:val="Scheme 12(c) UK1242222222222222223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15:restartNumberingAfterBreak="0">
    <w:nsid w:val="4B651996"/>
    <w:multiLevelType w:val="hybridMultilevel"/>
    <w:tmpl w:val="81A63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B6B1447"/>
    <w:multiLevelType w:val="hybridMultilevel"/>
    <w:tmpl w:val="145A3FC0"/>
    <w:lvl w:ilvl="0" w:tplc="BC0A83BC">
      <w:start w:val="1"/>
      <w:numFmt w:val="lowerLetter"/>
      <w:lvlText w:val="(%1)"/>
      <w:lvlJc w:val="left"/>
      <w:pPr>
        <w:ind w:left="72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5F0CA728">
      <w:start w:val="1"/>
      <w:numFmt w:val="lowerLetter"/>
      <w:lvlText w:val="(%5)"/>
      <w:lvlJc w:val="left"/>
      <w:pPr>
        <w:ind w:left="720" w:hanging="720"/>
      </w:pPr>
      <w:rPr>
        <w:rFonts w:hint="default"/>
        <w:sz w:val="24"/>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FCD2CB7"/>
    <w:multiLevelType w:val="multilevel"/>
    <w:tmpl w:val="D5A6B8B8"/>
    <w:name w:val="Scheme 12(c) UK1242222222222222223222222222222222222223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50982A2E"/>
    <w:multiLevelType w:val="multilevel"/>
    <w:tmpl w:val="D5A6B8B8"/>
    <w:name w:val="Scheme 12(c) UK124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15:restartNumberingAfterBreak="0">
    <w:nsid w:val="51486B65"/>
    <w:multiLevelType w:val="multilevel"/>
    <w:tmpl w:val="D5A6B8B8"/>
    <w:name w:val="Scheme 12(c) UK1242222222222222223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52C75DCA"/>
    <w:multiLevelType w:val="hybridMultilevel"/>
    <w:tmpl w:val="BD645F6C"/>
    <w:name w:val="PA Num List indent 2"/>
    <w:lvl w:ilvl="0" w:tplc="4552EC6C">
      <w:start w:val="1"/>
      <w:numFmt w:val="decimal"/>
      <w:pStyle w:val="PANum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53B05718"/>
    <w:multiLevelType w:val="multilevel"/>
    <w:tmpl w:val="D5A6B8B8"/>
    <w:name w:val="Scheme 12(c) UK1242222222222222223222222222222222222223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545B717A"/>
    <w:multiLevelType w:val="hybridMultilevel"/>
    <w:tmpl w:val="9C7248B0"/>
    <w:lvl w:ilvl="0" w:tplc="8DCE9B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7" w15:restartNumberingAfterBreak="0">
    <w:nsid w:val="560C5475"/>
    <w:multiLevelType w:val="hybridMultilevel"/>
    <w:tmpl w:val="8F2C1A02"/>
    <w:name w:val="PA Dash List indent 1.5"/>
    <w:lvl w:ilvl="0" w:tplc="1194AA8E">
      <w:start w:val="1"/>
      <w:numFmt w:val="bullet"/>
      <w:pStyle w:val="PADashListindent15"/>
      <w:lvlText w:val="-"/>
      <w:lvlJc w:val="left"/>
      <w:pPr>
        <w:tabs>
          <w:tab w:val="num" w:pos="2880"/>
        </w:tabs>
        <w:ind w:left="288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587132F4"/>
    <w:multiLevelType w:val="multilevel"/>
    <w:tmpl w:val="D5A6B8B8"/>
    <w:name w:val="Scheme 12(c) UK1242222222222222223222222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15:restartNumberingAfterBreak="0">
    <w:nsid w:val="58A50AE3"/>
    <w:multiLevelType w:val="hybridMultilevel"/>
    <w:tmpl w:val="92AE862C"/>
    <w:lvl w:ilvl="0" w:tplc="BC0A83BC">
      <w:start w:val="1"/>
      <w:numFmt w:val="lowerLetter"/>
      <w:lvlText w:val="(%1)"/>
      <w:lvlJc w:val="left"/>
      <w:pPr>
        <w:ind w:left="72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5F0CA728">
      <w:start w:val="1"/>
      <w:numFmt w:val="lowerLetter"/>
      <w:lvlText w:val="(%5)"/>
      <w:lvlJc w:val="left"/>
      <w:pPr>
        <w:ind w:left="720" w:hanging="720"/>
      </w:pPr>
      <w:rPr>
        <w:rFonts w:hint="default"/>
        <w:sz w:val="24"/>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8AA4B09"/>
    <w:multiLevelType w:val="hybridMultilevel"/>
    <w:tmpl w:val="CE400736"/>
    <w:name w:val="PA Dash List indent 0.5"/>
    <w:lvl w:ilvl="0" w:tplc="E898BB22">
      <w:start w:val="1"/>
      <w:numFmt w:val="bullet"/>
      <w:pStyle w:val="PADashListindent05"/>
      <w:lvlText w:val="-"/>
      <w:lvlJc w:val="left"/>
      <w:pPr>
        <w:tabs>
          <w:tab w:val="num" w:pos="1440"/>
        </w:tabs>
        <w:ind w:left="144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5AA65386"/>
    <w:multiLevelType w:val="multilevel"/>
    <w:tmpl w:val="D5A6B8B8"/>
    <w:name w:val="Scheme 12(c) UK1242222222222222223222222222222222222223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2" w15:restartNumberingAfterBreak="0">
    <w:nsid w:val="5ADA2E6D"/>
    <w:multiLevelType w:val="hybridMultilevel"/>
    <w:tmpl w:val="145A3FC0"/>
    <w:lvl w:ilvl="0" w:tplc="BC0A83BC">
      <w:start w:val="1"/>
      <w:numFmt w:val="lowerLetter"/>
      <w:lvlText w:val="(%1)"/>
      <w:lvlJc w:val="left"/>
      <w:pPr>
        <w:ind w:left="72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5F0CA728">
      <w:start w:val="1"/>
      <w:numFmt w:val="lowerLetter"/>
      <w:lvlText w:val="(%5)"/>
      <w:lvlJc w:val="left"/>
      <w:pPr>
        <w:ind w:left="720" w:hanging="720"/>
      </w:pPr>
      <w:rPr>
        <w:rFonts w:hint="default"/>
        <w:sz w:val="24"/>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E483453"/>
    <w:multiLevelType w:val="multilevel"/>
    <w:tmpl w:val="F6F01ACC"/>
    <w:name w:val="Scheme 12(c) UK12"/>
    <w:lvl w:ilvl="0">
      <w:start w:val="1"/>
      <w:numFmt w:val="decimal"/>
      <w:pStyle w:val="Heading1"/>
      <w:lvlText w:val="%1."/>
      <w:lvlJc w:val="left"/>
      <w:pPr>
        <w:tabs>
          <w:tab w:val="num" w:pos="720"/>
        </w:tabs>
        <w:ind w:left="720" w:hanging="720"/>
      </w:pPr>
      <w:rPr>
        <w:rFonts w:hint="default"/>
        <w:b/>
        <w:i w:val="0"/>
        <w:caps/>
        <w:smallCaps w:val="0"/>
        <w:vanish w:val="0"/>
        <w:color w:val="010000"/>
        <w:u w:val="none"/>
      </w:rPr>
    </w:lvl>
    <w:lvl w:ilvl="1">
      <w:start w:val="1"/>
      <w:numFmt w:val="decimal"/>
      <w:pStyle w:val="Heading2"/>
      <w:lvlText w:val="%1.%2"/>
      <w:lvlJc w:val="left"/>
      <w:pPr>
        <w:tabs>
          <w:tab w:val="num" w:pos="720"/>
        </w:tabs>
        <w:ind w:left="720" w:hanging="720"/>
      </w:pPr>
      <w:rPr>
        <w:rFonts w:hint="default"/>
        <w:b/>
        <w:i w:val="0"/>
        <w:vanish w:val="0"/>
        <w:color w:val="010000"/>
        <w:u w:val="none"/>
      </w:rPr>
    </w:lvl>
    <w:lvl w:ilvl="2">
      <w:start w:val="1"/>
      <w:numFmt w:val="decimal"/>
      <w:pStyle w:val="Heading3"/>
      <w:lvlText w:val="%1.%2.%3"/>
      <w:lvlJc w:val="left"/>
      <w:pPr>
        <w:tabs>
          <w:tab w:val="num" w:pos="1288"/>
        </w:tabs>
        <w:ind w:left="1288" w:hanging="720"/>
      </w:pPr>
      <w:rPr>
        <w:rFonts w:hint="default"/>
        <w:b/>
        <w:i w:val="0"/>
        <w:vanish w:val="0"/>
        <w:color w:val="010000"/>
        <w:u w:val="none"/>
      </w:rPr>
    </w:lvl>
    <w:lvl w:ilvl="3">
      <w:start w:val="1"/>
      <w:numFmt w:val="decimal"/>
      <w:pStyle w:val="Heading4"/>
      <w:lvlText w:val="(%4)"/>
      <w:lvlJc w:val="left"/>
      <w:pPr>
        <w:tabs>
          <w:tab w:val="num" w:pos="1440"/>
        </w:tabs>
        <w:ind w:left="1440" w:hanging="720"/>
      </w:pPr>
      <w:rPr>
        <w:rFonts w:hint="default"/>
        <w:vanish w:val="0"/>
        <w:color w:val="010000"/>
        <w:u w:val="none"/>
      </w:rPr>
    </w:lvl>
    <w:lvl w:ilvl="4">
      <w:start w:val="1"/>
      <w:numFmt w:val="lowerLetter"/>
      <w:pStyle w:val="Heading5"/>
      <w:lvlText w:val="(%5)"/>
      <w:lvlJc w:val="left"/>
      <w:pPr>
        <w:tabs>
          <w:tab w:val="num" w:pos="2160"/>
        </w:tabs>
        <w:ind w:left="2160" w:hanging="720"/>
      </w:pPr>
      <w:rPr>
        <w:rFonts w:hint="default"/>
        <w:vanish w:val="0"/>
        <w:color w:val="010000"/>
        <w:u w:val="none"/>
      </w:rPr>
    </w:lvl>
    <w:lvl w:ilvl="5">
      <w:start w:val="1"/>
      <w:numFmt w:val="lowerRoman"/>
      <w:pStyle w:val="Heading6"/>
      <w:lvlText w:val="(%6)"/>
      <w:lvlJc w:val="left"/>
      <w:pPr>
        <w:tabs>
          <w:tab w:val="num" w:pos="2880"/>
        </w:tabs>
        <w:ind w:left="2880" w:hanging="720"/>
      </w:pPr>
      <w:rPr>
        <w:rFonts w:hint="default"/>
        <w:vanish w:val="0"/>
        <w:color w:val="010000"/>
        <w:u w:val="none"/>
      </w:rPr>
    </w:lvl>
    <w:lvl w:ilvl="6">
      <w:start w:val="1"/>
      <w:numFmt w:val="upperLetter"/>
      <w:pStyle w:val="Heading7"/>
      <w:lvlText w:val="(%7)"/>
      <w:lvlJc w:val="left"/>
      <w:pPr>
        <w:tabs>
          <w:tab w:val="num" w:pos="3600"/>
        </w:tabs>
        <w:ind w:left="3600" w:hanging="720"/>
      </w:pPr>
      <w:rPr>
        <w:rFonts w:hint="default"/>
        <w:vanish w:val="0"/>
        <w:color w:val="010000"/>
        <w:u w:val="none"/>
      </w:rPr>
    </w:lvl>
    <w:lvl w:ilvl="7">
      <w:start w:val="1"/>
      <w:numFmt w:val="none"/>
      <w:pStyle w:val="Heading8"/>
      <w:suff w:val="nothing"/>
      <w:lvlText w:val=""/>
      <w:lvlJc w:val="left"/>
      <w:pPr>
        <w:ind w:left="0" w:firstLine="0"/>
      </w:pPr>
      <w:rPr>
        <w:rFonts w:hint="default"/>
        <w:vanish w:val="0"/>
        <w:color w:val="010000"/>
        <w:u w:val="none"/>
      </w:rPr>
    </w:lvl>
    <w:lvl w:ilvl="8">
      <w:start w:val="1"/>
      <w:numFmt w:val="none"/>
      <w:pStyle w:val="Heading9"/>
      <w:suff w:val="nothing"/>
      <w:lvlText w:val=""/>
      <w:lvlJc w:val="left"/>
      <w:pPr>
        <w:ind w:left="0" w:firstLine="0"/>
      </w:pPr>
      <w:rPr>
        <w:rFonts w:hint="default"/>
        <w:vanish w:val="0"/>
        <w:color w:val="010000"/>
        <w:u w:val="none"/>
      </w:rPr>
    </w:lvl>
  </w:abstractNum>
  <w:abstractNum w:abstractNumId="84" w15:restartNumberingAfterBreak="0">
    <w:nsid w:val="5F337E64"/>
    <w:multiLevelType w:val="hybridMultilevel"/>
    <w:tmpl w:val="095C505E"/>
    <w:name w:val="PA Roman List indent 1"/>
    <w:lvl w:ilvl="0" w:tplc="937220B2">
      <w:start w:val="1"/>
      <w:numFmt w:val="lowerRoman"/>
      <w:pStyle w:val="PARoman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61280F25"/>
    <w:multiLevelType w:val="multilevel"/>
    <w:tmpl w:val="D5A6B8B8"/>
    <w:name w:val="Scheme 12(c) UK124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617E5A38"/>
    <w:multiLevelType w:val="hybridMultilevel"/>
    <w:tmpl w:val="8FD2F296"/>
    <w:name w:val="Scheme 12(c) UK1232"/>
    <w:lvl w:ilvl="0" w:tplc="972E397A">
      <w:start w:val="1"/>
      <w:numFmt w:val="decimal"/>
      <w:pStyle w:val="GuidanceNotesnumbering"/>
      <w:lvlText w:val="%1."/>
      <w:lvlJc w:val="left"/>
      <w:pPr>
        <w:ind w:left="1440" w:hanging="720"/>
      </w:pPr>
      <w:rPr>
        <w:rFonts w:hint="default"/>
        <w:b w:val="0"/>
        <w:i w:val="0"/>
        <w:sz w:val="24"/>
      </w:rPr>
    </w:lvl>
    <w:lvl w:ilvl="1" w:tplc="283E2BE0">
      <w:start w:val="1"/>
      <w:numFmt w:val="lowerLetter"/>
      <w:lvlText w:val="%2."/>
      <w:lvlJc w:val="left"/>
      <w:pPr>
        <w:ind w:left="2160" w:hanging="720"/>
      </w:pPr>
      <w:rPr>
        <w:rFonts w:hint="default"/>
      </w:rPr>
    </w:lvl>
    <w:lvl w:ilvl="2" w:tplc="F998C898">
      <w:start w:val="1"/>
      <w:numFmt w:val="lowerRoman"/>
      <w:lvlText w:val="%3."/>
      <w:lvlJc w:val="left"/>
      <w:pPr>
        <w:ind w:left="288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23B38A8"/>
    <w:multiLevelType w:val="hybridMultilevel"/>
    <w:tmpl w:val="96024DAC"/>
    <w:name w:val="PA Bullet indent 1"/>
    <w:lvl w:ilvl="0" w:tplc="84C62F88">
      <w:start w:val="1"/>
      <w:numFmt w:val="bullet"/>
      <w:pStyle w:val="PABulletindent1"/>
      <w:lvlText w:val=""/>
      <w:lvlJc w:val="left"/>
      <w:pPr>
        <w:tabs>
          <w:tab w:val="num" w:pos="2160"/>
        </w:tabs>
        <w:ind w:left="21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64321098"/>
    <w:multiLevelType w:val="hybridMultilevel"/>
    <w:tmpl w:val="849CBEB0"/>
    <w:name w:val="PA / IA Continuous Numbering"/>
    <w:lvl w:ilvl="0" w:tplc="48569EC8">
      <w:start w:val="1"/>
      <w:numFmt w:val="decimal"/>
      <w:pStyle w:val="PAIAContinuousNumbering"/>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650C53B0"/>
    <w:multiLevelType w:val="hybridMultilevel"/>
    <w:tmpl w:val="883A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653208E9"/>
    <w:multiLevelType w:val="hybridMultilevel"/>
    <w:tmpl w:val="25F8F480"/>
    <w:name w:val="PA Bullet"/>
    <w:lvl w:ilvl="0" w:tplc="988EFF90">
      <w:start w:val="1"/>
      <w:numFmt w:val="bullet"/>
      <w:pStyle w:val="PA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65A53013"/>
    <w:multiLevelType w:val="hybridMultilevel"/>
    <w:tmpl w:val="1F7C50E6"/>
    <w:name w:val="PA Alpha List indent 2"/>
    <w:lvl w:ilvl="0" w:tplc="897618A4">
      <w:start w:val="1"/>
      <w:numFmt w:val="lowerLetter"/>
      <w:pStyle w:val="PAAlpha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65AF42DE"/>
    <w:multiLevelType w:val="multilevel"/>
    <w:tmpl w:val="AFB417A0"/>
    <w:name w:val="Scheme 12(c) UK124222222222222222322222222222222222222322222"/>
    <w:lvl w:ilvl="0">
      <w:start w:val="1"/>
      <w:numFmt w:val="decimal"/>
      <w:lvlText w:val="%1."/>
      <w:lvlJc w:val="left"/>
      <w:pPr>
        <w:ind w:left="720" w:hanging="720"/>
      </w:pPr>
      <w:rPr>
        <w:rFonts w:hint="default"/>
        <w:b/>
        <w:i w:val="0"/>
        <w:sz w:val="22"/>
        <w:szCs w:val="22"/>
      </w:rPr>
    </w:lvl>
    <w:lvl w:ilvl="1">
      <w:start w:val="1"/>
      <w:numFmt w:val="decimal"/>
      <w:suff w:val="nothing"/>
      <w:lvlText w:val="%1.%2"/>
      <w:lvlJc w:val="left"/>
      <w:pPr>
        <w:ind w:left="0" w:firstLine="0"/>
      </w:pPr>
      <w:rPr>
        <w:rFonts w:hint="default"/>
        <w:b/>
        <w:i w:val="0"/>
        <w:sz w:val="22"/>
        <w:szCs w:val="22"/>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65C33158"/>
    <w:multiLevelType w:val="hybridMultilevel"/>
    <w:tmpl w:val="BF720F3E"/>
    <w:lvl w:ilvl="0" w:tplc="8BE2D8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667B5A88"/>
    <w:multiLevelType w:val="multilevel"/>
    <w:tmpl w:val="D5A6B8B8"/>
    <w:name w:val="Scheme 12(c) UK1242222222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 w15:restartNumberingAfterBreak="0">
    <w:nsid w:val="66F05D19"/>
    <w:multiLevelType w:val="hybridMultilevel"/>
    <w:tmpl w:val="B66A8018"/>
    <w:lvl w:ilvl="0" w:tplc="5F0CA728">
      <w:start w:val="1"/>
      <w:numFmt w:val="lowerLetter"/>
      <w:lvlText w:val="(%1)"/>
      <w:lvlJc w:val="left"/>
      <w:pPr>
        <w:ind w:left="72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7545DF5"/>
    <w:multiLevelType w:val="multilevel"/>
    <w:tmpl w:val="EBCA6784"/>
    <w:styleLink w:val="OutlineList1"/>
    <w:lvl w:ilvl="0">
      <w:start w:val="1"/>
      <w:numFmt w:val="decimal"/>
      <w:pStyle w:val="Level1"/>
      <w:lvlText w:val="%1."/>
      <w:lvlJc w:val="left"/>
      <w:pPr>
        <w:ind w:left="720" w:hanging="720"/>
      </w:pPr>
      <w:rPr>
        <w:rFonts w:hint="default"/>
      </w:rPr>
    </w:lvl>
    <w:lvl w:ilvl="1">
      <w:start w:val="1"/>
      <w:numFmt w:val="decimal"/>
      <w:pStyle w:val="Level11"/>
      <w:lvlText w:val="%1.%2"/>
      <w:lvlJc w:val="left"/>
      <w:pPr>
        <w:ind w:left="720" w:hanging="720"/>
      </w:pPr>
      <w:rPr>
        <w:rFonts w:hint="default"/>
      </w:rPr>
    </w:lvl>
    <w:lvl w:ilvl="2">
      <w:start w:val="1"/>
      <w:numFmt w:val="lowerLetter"/>
      <w:pStyle w:val="Levela"/>
      <w:lvlText w:val="(%3)"/>
      <w:lvlJc w:val="left"/>
      <w:pPr>
        <w:ind w:left="1440" w:hanging="720"/>
      </w:pPr>
      <w:rPr>
        <w:rFonts w:hint="default"/>
      </w:rPr>
    </w:lvl>
    <w:lvl w:ilvl="3">
      <w:start w:val="1"/>
      <w:numFmt w:val="lowerRoman"/>
      <w:pStyle w:val="Leveli"/>
      <w:lvlText w:val="(%4)"/>
      <w:lvlJc w:val="left"/>
      <w:pPr>
        <w:ind w:left="2160" w:hanging="720"/>
      </w:pPr>
      <w:rPr>
        <w:rFonts w:hint="default"/>
      </w:rPr>
    </w:lvl>
    <w:lvl w:ilvl="4">
      <w:start w:val="1"/>
      <w:numFmt w:val="upperLetter"/>
      <w:pStyle w:val="LevelA0"/>
      <w:lvlText w:val="(%5)"/>
      <w:lvlJc w:val="left"/>
      <w:pPr>
        <w:ind w:left="2880" w:hanging="720"/>
      </w:pPr>
      <w:rPr>
        <w:rFonts w:hint="default"/>
      </w:rPr>
    </w:lvl>
    <w:lvl w:ilvl="5">
      <w:start w:val="1"/>
      <w:numFmt w:val="upperRoman"/>
      <w:pStyle w:val="LevelI0"/>
      <w:lvlText w:val="(%6)"/>
      <w:lvlJc w:val="left"/>
      <w:pPr>
        <w:ind w:left="3600" w:hanging="72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97" w15:restartNumberingAfterBreak="0">
    <w:nsid w:val="686244E5"/>
    <w:multiLevelType w:val="hybridMultilevel"/>
    <w:tmpl w:val="B19C6584"/>
    <w:name w:val="Scheme 12(c) UK123"/>
    <w:lvl w:ilvl="0" w:tplc="E8140AF6">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B710960"/>
    <w:multiLevelType w:val="multilevel"/>
    <w:tmpl w:val="D5A6B8B8"/>
    <w:name w:val="Scheme 12(c) UK1242222222222222223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 w15:restartNumberingAfterBreak="0">
    <w:nsid w:val="6BD50A0C"/>
    <w:multiLevelType w:val="multilevel"/>
    <w:tmpl w:val="D5A6B8B8"/>
    <w:name w:val="Scheme 12(c) UK12422222222222222232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6E2E3B68"/>
    <w:multiLevelType w:val="multilevel"/>
    <w:tmpl w:val="D5A6B8B8"/>
    <w:name w:val="Scheme 12(c) UK1242222222222222223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 w15:restartNumberingAfterBreak="0">
    <w:nsid w:val="70374E70"/>
    <w:multiLevelType w:val="hybridMultilevel"/>
    <w:tmpl w:val="92AE862C"/>
    <w:lvl w:ilvl="0" w:tplc="BC0A83BC">
      <w:start w:val="1"/>
      <w:numFmt w:val="lowerLetter"/>
      <w:lvlText w:val="(%1)"/>
      <w:lvlJc w:val="left"/>
      <w:pPr>
        <w:ind w:left="72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5F0CA728">
      <w:start w:val="1"/>
      <w:numFmt w:val="lowerLetter"/>
      <w:lvlText w:val="(%5)"/>
      <w:lvlJc w:val="left"/>
      <w:pPr>
        <w:ind w:left="720" w:hanging="720"/>
      </w:pPr>
      <w:rPr>
        <w:rFonts w:hint="default"/>
        <w:sz w:val="24"/>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05C53BD"/>
    <w:multiLevelType w:val="hybridMultilevel"/>
    <w:tmpl w:val="580C5C3E"/>
    <w:name w:val="PA Dash List indent 2"/>
    <w:lvl w:ilvl="0" w:tplc="69045DC2">
      <w:start w:val="1"/>
      <w:numFmt w:val="bullet"/>
      <w:pStyle w:val="PADashListindent2"/>
      <w:lvlText w:val="-"/>
      <w:lvlJc w:val="left"/>
      <w:pPr>
        <w:tabs>
          <w:tab w:val="num" w:pos="3600"/>
        </w:tabs>
        <w:ind w:left="360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73F95915"/>
    <w:multiLevelType w:val="hybridMultilevel"/>
    <w:tmpl w:val="35649DFA"/>
    <w:lvl w:ilvl="0" w:tplc="A6E888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4" w15:restartNumberingAfterBreak="0">
    <w:nsid w:val="749B29CD"/>
    <w:multiLevelType w:val="hybridMultilevel"/>
    <w:tmpl w:val="9FDA2064"/>
    <w:name w:val="PA Alpha List indent 1.5"/>
    <w:lvl w:ilvl="0" w:tplc="8EEA1466">
      <w:start w:val="1"/>
      <w:numFmt w:val="lowerLetter"/>
      <w:pStyle w:val="PAAlpha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754C3426"/>
    <w:multiLevelType w:val="hybridMultilevel"/>
    <w:tmpl w:val="CFB85B92"/>
    <w:name w:val="Scheme 12(c) UK1242222222222222223222222222222222222223222222222"/>
    <w:lvl w:ilvl="0" w:tplc="763AF564">
      <w:start w:val="1"/>
      <w:numFmt w:val="decimal"/>
      <w:lvlText w:val="%1."/>
      <w:lvlJc w:val="left"/>
      <w:pPr>
        <w:ind w:left="360" w:hanging="360"/>
      </w:pPr>
      <w:rPr>
        <w:rFonts w:ascii="Arial" w:hAnsi="Arial" w:cs="Arial"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584257D"/>
    <w:multiLevelType w:val="hybridMultilevel"/>
    <w:tmpl w:val="A8E277C4"/>
    <w:name w:val="PA Roman List indent 0.5"/>
    <w:lvl w:ilvl="0" w:tplc="A2BC9D52">
      <w:start w:val="1"/>
      <w:numFmt w:val="lowerRoman"/>
      <w:pStyle w:val="PARoman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76044BEB"/>
    <w:multiLevelType w:val="multilevel"/>
    <w:tmpl w:val="D5A6B8B8"/>
    <w:name w:val="Scheme 12(c) UK12422222222222222232222222222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8" w15:restartNumberingAfterBreak="0">
    <w:nsid w:val="76BB3CA6"/>
    <w:multiLevelType w:val="hybridMultilevel"/>
    <w:tmpl w:val="19B48032"/>
    <w:lvl w:ilvl="0" w:tplc="8C82E91E">
      <w:start w:val="1"/>
      <w:numFmt w:val="decimal"/>
      <w:lvlText w:val="%1."/>
      <w:lvlJc w:val="left"/>
      <w:pPr>
        <w:ind w:left="360" w:hanging="360"/>
      </w:pPr>
      <w:rPr>
        <w:rFonts w:ascii="Arial" w:hAnsi="Arial" w:cs="Arial" w:hint="default"/>
        <w:b/>
        <w:i w:val="0"/>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6F7226C"/>
    <w:multiLevelType w:val="multilevel"/>
    <w:tmpl w:val="D5A6B8B8"/>
    <w:name w:val="Scheme 12(c) UK1242222222222222223222222222222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0" w15:restartNumberingAfterBreak="0">
    <w:nsid w:val="785A75C3"/>
    <w:multiLevelType w:val="multilevel"/>
    <w:tmpl w:val="D5A6B8B8"/>
    <w:name w:val="Scheme 12(c) UK1242222222222222223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1" w15:restartNumberingAfterBreak="0">
    <w:nsid w:val="79866608"/>
    <w:multiLevelType w:val="multilevel"/>
    <w:tmpl w:val="D5A6B8B8"/>
    <w:name w:val="Scheme 12(c) UK124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 w15:restartNumberingAfterBreak="0">
    <w:nsid w:val="79BA2265"/>
    <w:multiLevelType w:val="multilevel"/>
    <w:tmpl w:val="D5A6B8B8"/>
    <w:name w:val="Scheme 12(c) UK124222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3" w15:restartNumberingAfterBreak="0">
    <w:nsid w:val="7C97109B"/>
    <w:multiLevelType w:val="hybridMultilevel"/>
    <w:tmpl w:val="9224D5AE"/>
    <w:name w:val="Scheme 12(c) UK12422222222222222232222222222222222222232222222222"/>
    <w:lvl w:ilvl="0" w:tplc="2064E650">
      <w:start w:val="1"/>
      <w:numFmt w:val="decimal"/>
      <w:lvlText w:val="%1."/>
      <w:lvlJc w:val="left"/>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E736865"/>
    <w:multiLevelType w:val="multilevel"/>
    <w:tmpl w:val="D5A6B8B8"/>
    <w:name w:val="Scheme 12(c) UK124222222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5" w15:restartNumberingAfterBreak="0">
    <w:nsid w:val="7F9961A1"/>
    <w:multiLevelType w:val="multilevel"/>
    <w:tmpl w:val="D5A6B8B8"/>
    <w:name w:val="Scheme 12(c) UK1242222222222222223222222222"/>
    <w:lvl w:ilvl="0">
      <w:start w:val="1"/>
      <w:numFmt w:val="decimal"/>
      <w:lvlText w:val="%1."/>
      <w:lvlJc w:val="left"/>
      <w:pPr>
        <w:ind w:left="720" w:hanging="720"/>
      </w:pPr>
      <w:rPr>
        <w:rFonts w:hint="default"/>
        <w:b/>
        <w:i w:val="0"/>
        <w:sz w:val="24"/>
      </w:rPr>
    </w:lvl>
    <w:lvl w:ilvl="1">
      <w:start w:val="1"/>
      <w:numFmt w:val="decimal"/>
      <w:suff w:val="nothing"/>
      <w:lvlText w:val="%1.%2"/>
      <w:lvlJc w:val="left"/>
      <w:pPr>
        <w:ind w:left="0" w:firstLine="0"/>
      </w:pPr>
      <w:rPr>
        <w:rFonts w:hint="default"/>
        <w:b/>
        <w:i w:val="0"/>
        <w:sz w:val="24"/>
      </w:rPr>
    </w:lvl>
    <w:lvl w:ilvl="2">
      <w:start w:val="1"/>
      <w:numFmt w:val="lowerLetter"/>
      <w:lvlText w:val="(%3)"/>
      <w:lvlJc w:val="left"/>
      <w:pPr>
        <w:ind w:left="720" w:hanging="720"/>
      </w:pPr>
      <w:rPr>
        <w:rFonts w:hint="default"/>
      </w:rPr>
    </w:lvl>
    <w:lvl w:ilvl="3">
      <w:start w:val="1"/>
      <w:numFmt w:val="lowerRoman"/>
      <w:lvlText w:val="(%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58947111">
    <w:abstractNumId w:val="39"/>
  </w:num>
  <w:num w:numId="2" w16cid:durableId="407927824">
    <w:abstractNumId w:val="54"/>
  </w:num>
  <w:num w:numId="3" w16cid:durableId="1187136930">
    <w:abstractNumId w:val="88"/>
  </w:num>
  <w:num w:numId="4" w16cid:durableId="643241815">
    <w:abstractNumId w:val="45"/>
  </w:num>
  <w:num w:numId="5" w16cid:durableId="650328090">
    <w:abstractNumId w:val="63"/>
  </w:num>
  <w:num w:numId="6" w16cid:durableId="1530796248">
    <w:abstractNumId w:val="57"/>
  </w:num>
  <w:num w:numId="7" w16cid:durableId="1208761543">
    <w:abstractNumId w:val="104"/>
  </w:num>
  <w:num w:numId="8" w16cid:durableId="1373967209">
    <w:abstractNumId w:val="91"/>
  </w:num>
  <w:num w:numId="9" w16cid:durableId="1075127323">
    <w:abstractNumId w:val="90"/>
  </w:num>
  <w:num w:numId="10" w16cid:durableId="833689247">
    <w:abstractNumId w:val="35"/>
  </w:num>
  <w:num w:numId="11" w16cid:durableId="2015958512">
    <w:abstractNumId w:val="87"/>
  </w:num>
  <w:num w:numId="12" w16cid:durableId="41250589">
    <w:abstractNumId w:val="19"/>
  </w:num>
  <w:num w:numId="13" w16cid:durableId="203833137">
    <w:abstractNumId w:val="15"/>
  </w:num>
  <w:num w:numId="14" w16cid:durableId="449129267">
    <w:abstractNumId w:val="33"/>
  </w:num>
  <w:num w:numId="15" w16cid:durableId="1905143216">
    <w:abstractNumId w:val="80"/>
  </w:num>
  <w:num w:numId="16" w16cid:durableId="1886061444">
    <w:abstractNumId w:val="18"/>
  </w:num>
  <w:num w:numId="17" w16cid:durableId="1904021156">
    <w:abstractNumId w:val="77"/>
  </w:num>
  <w:num w:numId="18" w16cid:durableId="14770171">
    <w:abstractNumId w:val="102"/>
  </w:num>
  <w:num w:numId="19" w16cid:durableId="1937517573">
    <w:abstractNumId w:val="53"/>
  </w:num>
  <w:num w:numId="20" w16cid:durableId="651519046">
    <w:abstractNumId w:val="27"/>
  </w:num>
  <w:num w:numId="21" w16cid:durableId="1445614787">
    <w:abstractNumId w:val="14"/>
  </w:num>
  <w:num w:numId="22" w16cid:durableId="1371145438">
    <w:abstractNumId w:val="66"/>
  </w:num>
  <w:num w:numId="23" w16cid:durableId="1428697799">
    <w:abstractNumId w:val="74"/>
  </w:num>
  <w:num w:numId="24" w16cid:durableId="288098046">
    <w:abstractNumId w:val="12"/>
  </w:num>
  <w:num w:numId="25" w16cid:durableId="843789755">
    <w:abstractNumId w:val="106"/>
  </w:num>
  <w:num w:numId="26" w16cid:durableId="1010640527">
    <w:abstractNumId w:val="84"/>
  </w:num>
  <w:num w:numId="27" w16cid:durableId="1018652535">
    <w:abstractNumId w:val="55"/>
  </w:num>
  <w:num w:numId="28" w16cid:durableId="173962147">
    <w:abstractNumId w:val="42"/>
  </w:num>
  <w:num w:numId="29" w16cid:durableId="522672342">
    <w:abstractNumId w:val="83"/>
  </w:num>
  <w:num w:numId="30" w16cid:durableId="1948810165">
    <w:abstractNumId w:val="86"/>
  </w:num>
  <w:num w:numId="31" w16cid:durableId="820930184">
    <w:abstractNumId w:val="86"/>
    <w:lvlOverride w:ilvl="0">
      <w:startOverride w:val="1"/>
    </w:lvlOverride>
  </w:num>
  <w:num w:numId="32" w16cid:durableId="1635721606">
    <w:abstractNumId w:val="86"/>
    <w:lvlOverride w:ilvl="0">
      <w:startOverride w:val="1"/>
    </w:lvlOverride>
  </w:num>
  <w:num w:numId="33" w16cid:durableId="860703927">
    <w:abstractNumId w:val="86"/>
    <w:lvlOverride w:ilvl="0">
      <w:startOverride w:val="1"/>
    </w:lvlOverride>
  </w:num>
  <w:num w:numId="34" w16cid:durableId="534928772">
    <w:abstractNumId w:val="86"/>
    <w:lvlOverride w:ilvl="0">
      <w:startOverride w:val="1"/>
    </w:lvlOverride>
  </w:num>
  <w:num w:numId="35" w16cid:durableId="1248466576">
    <w:abstractNumId w:val="86"/>
    <w:lvlOverride w:ilvl="0">
      <w:startOverride w:val="1"/>
    </w:lvlOverride>
  </w:num>
  <w:num w:numId="36" w16cid:durableId="1878276628">
    <w:abstractNumId w:val="86"/>
    <w:lvlOverride w:ilvl="0">
      <w:startOverride w:val="1"/>
    </w:lvlOverride>
  </w:num>
  <w:num w:numId="37" w16cid:durableId="963534429">
    <w:abstractNumId w:val="86"/>
    <w:lvlOverride w:ilvl="0">
      <w:startOverride w:val="1"/>
    </w:lvlOverride>
  </w:num>
  <w:num w:numId="38" w16cid:durableId="323121520">
    <w:abstractNumId w:val="86"/>
    <w:lvlOverride w:ilvl="0">
      <w:startOverride w:val="1"/>
    </w:lvlOverride>
  </w:num>
  <w:num w:numId="39" w16cid:durableId="37320068">
    <w:abstractNumId w:val="86"/>
    <w:lvlOverride w:ilvl="0">
      <w:startOverride w:val="1"/>
    </w:lvlOverride>
  </w:num>
  <w:num w:numId="40" w16cid:durableId="914628875">
    <w:abstractNumId w:val="86"/>
    <w:lvlOverride w:ilvl="0">
      <w:startOverride w:val="1"/>
    </w:lvlOverride>
  </w:num>
  <w:num w:numId="41" w16cid:durableId="2110351254">
    <w:abstractNumId w:val="86"/>
    <w:lvlOverride w:ilvl="0">
      <w:startOverride w:val="1"/>
    </w:lvlOverride>
  </w:num>
  <w:num w:numId="42" w16cid:durableId="909118309">
    <w:abstractNumId w:val="86"/>
    <w:lvlOverride w:ilvl="0">
      <w:startOverride w:val="1"/>
    </w:lvlOverride>
  </w:num>
  <w:num w:numId="43" w16cid:durableId="1439905129">
    <w:abstractNumId w:val="86"/>
    <w:lvlOverride w:ilvl="0">
      <w:startOverride w:val="1"/>
    </w:lvlOverride>
  </w:num>
  <w:num w:numId="44" w16cid:durableId="1222247462">
    <w:abstractNumId w:val="86"/>
    <w:lvlOverride w:ilvl="0">
      <w:startOverride w:val="1"/>
    </w:lvlOverride>
  </w:num>
  <w:num w:numId="45" w16cid:durableId="523133959">
    <w:abstractNumId w:val="86"/>
    <w:lvlOverride w:ilvl="0">
      <w:startOverride w:val="1"/>
    </w:lvlOverride>
  </w:num>
  <w:num w:numId="46" w16cid:durableId="1815372933">
    <w:abstractNumId w:val="86"/>
    <w:lvlOverride w:ilvl="0">
      <w:startOverride w:val="1"/>
    </w:lvlOverride>
  </w:num>
  <w:num w:numId="47" w16cid:durableId="545407063">
    <w:abstractNumId w:val="86"/>
    <w:lvlOverride w:ilvl="0">
      <w:startOverride w:val="1"/>
    </w:lvlOverride>
  </w:num>
  <w:num w:numId="48" w16cid:durableId="1864515175">
    <w:abstractNumId w:val="86"/>
    <w:lvlOverride w:ilvl="0">
      <w:startOverride w:val="1"/>
    </w:lvlOverride>
  </w:num>
  <w:num w:numId="49" w16cid:durableId="1195536418">
    <w:abstractNumId w:val="86"/>
    <w:lvlOverride w:ilvl="0">
      <w:startOverride w:val="1"/>
    </w:lvlOverride>
  </w:num>
  <w:num w:numId="50" w16cid:durableId="876697061">
    <w:abstractNumId w:val="86"/>
    <w:lvlOverride w:ilvl="0">
      <w:startOverride w:val="1"/>
    </w:lvlOverride>
  </w:num>
  <w:num w:numId="51" w16cid:durableId="365253850">
    <w:abstractNumId w:val="86"/>
    <w:lvlOverride w:ilvl="0">
      <w:startOverride w:val="1"/>
    </w:lvlOverride>
  </w:num>
  <w:num w:numId="52" w16cid:durableId="728457027">
    <w:abstractNumId w:val="86"/>
    <w:lvlOverride w:ilvl="0">
      <w:startOverride w:val="1"/>
    </w:lvlOverride>
  </w:num>
  <w:num w:numId="53" w16cid:durableId="798382386">
    <w:abstractNumId w:val="86"/>
    <w:lvlOverride w:ilvl="0">
      <w:startOverride w:val="1"/>
    </w:lvlOverride>
  </w:num>
  <w:num w:numId="54" w16cid:durableId="1979337629">
    <w:abstractNumId w:val="86"/>
    <w:lvlOverride w:ilvl="0">
      <w:startOverride w:val="1"/>
    </w:lvlOverride>
  </w:num>
  <w:num w:numId="55" w16cid:durableId="1010983089">
    <w:abstractNumId w:val="86"/>
    <w:lvlOverride w:ilvl="0">
      <w:startOverride w:val="1"/>
    </w:lvlOverride>
  </w:num>
  <w:num w:numId="56" w16cid:durableId="1608656060">
    <w:abstractNumId w:val="86"/>
    <w:lvlOverride w:ilvl="0">
      <w:startOverride w:val="1"/>
    </w:lvlOverride>
  </w:num>
  <w:num w:numId="57" w16cid:durableId="606618462">
    <w:abstractNumId w:val="86"/>
    <w:lvlOverride w:ilvl="0">
      <w:startOverride w:val="1"/>
    </w:lvlOverride>
  </w:num>
  <w:num w:numId="58" w16cid:durableId="1630239738">
    <w:abstractNumId w:val="10"/>
  </w:num>
  <w:num w:numId="59" w16cid:durableId="1115903176">
    <w:abstractNumId w:val="32"/>
  </w:num>
  <w:num w:numId="60" w16cid:durableId="319238903">
    <w:abstractNumId w:val="58"/>
  </w:num>
  <w:num w:numId="61" w16cid:durableId="1178155501">
    <w:abstractNumId w:val="95"/>
  </w:num>
  <w:num w:numId="62" w16cid:durableId="1551306580">
    <w:abstractNumId w:val="52"/>
  </w:num>
  <w:num w:numId="63" w16cid:durableId="1884712191">
    <w:abstractNumId w:val="111"/>
  </w:num>
  <w:num w:numId="64" w16cid:durableId="1532953695">
    <w:abstractNumId w:val="85"/>
  </w:num>
  <w:num w:numId="65" w16cid:durableId="279607819">
    <w:abstractNumId w:val="64"/>
  </w:num>
  <w:num w:numId="66" w16cid:durableId="1999963061">
    <w:abstractNumId w:val="16"/>
  </w:num>
  <w:num w:numId="67" w16cid:durableId="1111633947">
    <w:abstractNumId w:val="92"/>
  </w:num>
  <w:num w:numId="68" w16cid:durableId="611669447">
    <w:abstractNumId w:val="47"/>
  </w:num>
  <w:num w:numId="69" w16cid:durableId="1226061760">
    <w:abstractNumId w:val="59"/>
  </w:num>
  <w:num w:numId="70" w16cid:durableId="1258057390">
    <w:abstractNumId w:val="56"/>
  </w:num>
  <w:num w:numId="71" w16cid:durableId="1460495835">
    <w:abstractNumId w:val="79"/>
  </w:num>
  <w:num w:numId="72" w16cid:durableId="1549419304">
    <w:abstractNumId w:val="25"/>
  </w:num>
  <w:num w:numId="73" w16cid:durableId="1398670058">
    <w:abstractNumId w:val="101"/>
  </w:num>
  <w:num w:numId="74" w16cid:durableId="1123501052">
    <w:abstractNumId w:val="49"/>
  </w:num>
  <w:num w:numId="75" w16cid:durableId="638145773">
    <w:abstractNumId w:val="105"/>
  </w:num>
  <w:num w:numId="76" w16cid:durableId="1905602877">
    <w:abstractNumId w:val="108"/>
  </w:num>
  <w:num w:numId="77" w16cid:durableId="262802746">
    <w:abstractNumId w:val="22"/>
  </w:num>
  <w:num w:numId="78" w16cid:durableId="2011255024">
    <w:abstractNumId w:val="82"/>
  </w:num>
  <w:num w:numId="79" w16cid:durableId="1381591814">
    <w:abstractNumId w:val="70"/>
  </w:num>
  <w:num w:numId="80" w16cid:durableId="547453611">
    <w:abstractNumId w:val="38"/>
  </w:num>
  <w:num w:numId="81" w16cid:durableId="127746738">
    <w:abstractNumId w:val="86"/>
    <w:lvlOverride w:ilvl="0">
      <w:startOverride w:val="1"/>
    </w:lvlOverride>
  </w:num>
  <w:num w:numId="82" w16cid:durableId="2114594096">
    <w:abstractNumId w:val="86"/>
    <w:lvlOverride w:ilvl="0">
      <w:startOverride w:val="1"/>
    </w:lvlOverride>
  </w:num>
  <w:num w:numId="83" w16cid:durableId="1766919783">
    <w:abstractNumId w:val="86"/>
    <w:lvlOverride w:ilvl="0">
      <w:startOverride w:val="1"/>
    </w:lvlOverride>
  </w:num>
  <w:num w:numId="84" w16cid:durableId="1002857823">
    <w:abstractNumId w:val="83"/>
    <w:lvlOverride w:ilvl="0">
      <w:startOverride w:val="1"/>
    </w:lvlOverride>
    <w:lvlOverride w:ilvl="1">
      <w:startOverride w:val="1"/>
    </w:lvlOverride>
    <w:lvlOverride w:ilvl="2">
      <w:startOverride w:val="1"/>
    </w:lvlOverride>
    <w:lvlOverride w:ilvl="3">
      <w:startOverride w:val="2"/>
    </w:lvlOverride>
  </w:num>
  <w:num w:numId="85" w16cid:durableId="57844273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430153114">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895554734">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72833221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47424914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591822701">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56572477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26800234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733458643">
    <w:abstractNumId w:val="89"/>
  </w:num>
  <w:num w:numId="94" w16cid:durableId="166793056">
    <w:abstractNumId w:val="69"/>
  </w:num>
  <w:num w:numId="95" w16cid:durableId="980115678">
    <w:abstractNumId w:val="37"/>
  </w:num>
  <w:num w:numId="96" w16cid:durableId="1260067704">
    <w:abstractNumId w:val="13"/>
  </w:num>
  <w:num w:numId="97" w16cid:durableId="1985347917">
    <w:abstractNumId w:val="67"/>
  </w:num>
  <w:num w:numId="98" w16cid:durableId="2039811651">
    <w:abstractNumId w:val="93"/>
  </w:num>
  <w:num w:numId="99" w16cid:durableId="1321344267">
    <w:abstractNumId w:val="17"/>
  </w:num>
  <w:num w:numId="100" w16cid:durableId="1998461129">
    <w:abstractNumId w:val="86"/>
    <w:lvlOverride w:ilvl="0">
      <w:startOverride w:val="1"/>
    </w:lvlOverride>
  </w:num>
  <w:num w:numId="101" w16cid:durableId="36379877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58749556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63108697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2063819683">
    <w:abstractNumId w:val="86"/>
    <w:lvlOverride w:ilvl="0">
      <w:startOverride w:val="1"/>
    </w:lvlOverride>
  </w:num>
  <w:num w:numId="105" w16cid:durableId="169056848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533226336">
    <w:abstractNumId w:val="83"/>
    <w:lvlOverride w:ilvl="0">
      <w:startOverride w:val="1"/>
    </w:lvlOverride>
    <w:lvlOverride w:ilvl="1">
      <w:startOverride w:val="1"/>
    </w:lvlOverride>
    <w:lvlOverride w:ilvl="2">
      <w:startOverride w:val="1"/>
    </w:lvlOverride>
    <w:lvlOverride w:ilvl="3">
      <w:startOverride w:val="1"/>
    </w:lvlOverride>
    <w:lvlOverride w:ilvl="4">
      <w:startOverride w:val="2"/>
    </w:lvlOverride>
  </w:num>
  <w:num w:numId="107" w16cid:durableId="1609893541">
    <w:abstractNumId w:val="96"/>
    <w:lvlOverride w:ilvl="0">
      <w:lvl w:ilvl="0">
        <w:start w:val="1"/>
        <w:numFmt w:val="decimal"/>
        <w:pStyle w:val="Level1"/>
        <w:lvlText w:val="%1."/>
        <w:lvlJc w:val="left"/>
        <w:pPr>
          <w:ind w:left="720" w:hanging="720"/>
        </w:pPr>
        <w:rPr>
          <w:rFonts w:hint="default"/>
        </w:rPr>
      </w:lvl>
    </w:lvlOverride>
    <w:lvlOverride w:ilvl="1">
      <w:lvl w:ilvl="1">
        <w:start w:val="1"/>
        <w:numFmt w:val="decimal"/>
        <w:pStyle w:val="Level11"/>
        <w:lvlText w:val="%1.%2"/>
        <w:lvlJc w:val="left"/>
        <w:pPr>
          <w:ind w:left="720" w:hanging="720"/>
        </w:pPr>
        <w:rPr>
          <w:rFonts w:hint="default"/>
        </w:rPr>
      </w:lvl>
    </w:lvlOverride>
    <w:lvlOverride w:ilvl="2">
      <w:lvl w:ilvl="2">
        <w:start w:val="1"/>
        <w:numFmt w:val="lowerLetter"/>
        <w:pStyle w:val="Levela"/>
        <w:lvlText w:val="(%3)"/>
        <w:lvlJc w:val="left"/>
        <w:pPr>
          <w:ind w:left="1440" w:hanging="720"/>
        </w:pPr>
        <w:rPr>
          <w:rFonts w:hint="default"/>
          <w:b w:val="0"/>
          <w:bCs/>
        </w:rPr>
      </w:lvl>
    </w:lvlOverride>
    <w:lvlOverride w:ilvl="3">
      <w:lvl w:ilvl="3">
        <w:start w:val="1"/>
        <w:numFmt w:val="lowerRoman"/>
        <w:pStyle w:val="Leveli"/>
        <w:lvlText w:val="(%4)"/>
        <w:lvlJc w:val="left"/>
        <w:pPr>
          <w:ind w:left="2160" w:hanging="720"/>
        </w:pPr>
        <w:rPr>
          <w:rFonts w:hint="default"/>
          <w:b w:val="0"/>
          <w:bCs/>
        </w:rPr>
      </w:lvl>
    </w:lvlOverride>
    <w:lvlOverride w:ilvl="4">
      <w:lvl w:ilvl="4">
        <w:start w:val="1"/>
        <w:numFmt w:val="upperLetter"/>
        <w:pStyle w:val="LevelA0"/>
        <w:lvlText w:val="(%5)"/>
        <w:lvlJc w:val="left"/>
        <w:pPr>
          <w:ind w:left="2880" w:hanging="720"/>
        </w:pPr>
        <w:rPr>
          <w:rFonts w:hint="default"/>
        </w:rPr>
      </w:lvl>
    </w:lvlOverride>
    <w:lvlOverride w:ilvl="5">
      <w:lvl w:ilvl="5">
        <w:start w:val="1"/>
        <w:numFmt w:val="upperRoman"/>
        <w:pStyle w:val="LevelI0"/>
        <w:lvlText w:val="(%6)"/>
        <w:lvlJc w:val="left"/>
        <w:pPr>
          <w:ind w:left="3600" w:hanging="72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108" w16cid:durableId="271858802">
    <w:abstractNumId w:val="10"/>
  </w:num>
  <w:num w:numId="109" w16cid:durableId="154035975">
    <w:abstractNumId w:val="96"/>
  </w:num>
  <w:num w:numId="110" w16cid:durableId="432819978">
    <w:abstractNumId w:val="9"/>
  </w:num>
  <w:num w:numId="111" w16cid:durableId="1052659671">
    <w:abstractNumId w:val="7"/>
  </w:num>
  <w:num w:numId="112" w16cid:durableId="1480927940">
    <w:abstractNumId w:val="6"/>
  </w:num>
  <w:num w:numId="113" w16cid:durableId="1949120201">
    <w:abstractNumId w:val="5"/>
  </w:num>
  <w:num w:numId="114" w16cid:durableId="528875749">
    <w:abstractNumId w:val="4"/>
  </w:num>
  <w:num w:numId="115" w16cid:durableId="778724690">
    <w:abstractNumId w:val="8"/>
  </w:num>
  <w:num w:numId="116" w16cid:durableId="1625623181">
    <w:abstractNumId w:val="3"/>
  </w:num>
  <w:num w:numId="117" w16cid:durableId="1382483622">
    <w:abstractNumId w:val="2"/>
  </w:num>
  <w:num w:numId="118" w16cid:durableId="1411849264">
    <w:abstractNumId w:val="1"/>
  </w:num>
  <w:num w:numId="119" w16cid:durableId="180170775">
    <w:abstractNumId w:val="0"/>
  </w:num>
  <w:num w:numId="120" w16cid:durableId="1741975816">
    <w:abstractNumId w:val="8"/>
  </w:num>
  <w:num w:numId="121" w16cid:durableId="606547888">
    <w:abstractNumId w:val="3"/>
  </w:num>
  <w:num w:numId="122" w16cid:durableId="1647928236">
    <w:abstractNumId w:val="2"/>
  </w:num>
  <w:num w:numId="123" w16cid:durableId="2055692986">
    <w:abstractNumId w:val="1"/>
  </w:num>
  <w:num w:numId="124" w16cid:durableId="205920546">
    <w:abstractNumId w:val="0"/>
  </w:num>
  <w:num w:numId="125" w16cid:durableId="602616527">
    <w:abstractNumId w:val="6"/>
  </w:num>
  <w:num w:numId="126" w16cid:durableId="1415856970">
    <w:abstractNumId w:val="5"/>
  </w:num>
  <w:num w:numId="127" w16cid:durableId="503788567">
    <w:abstractNumId w:val="4"/>
  </w:num>
  <w:num w:numId="128" w16cid:durableId="2044284627">
    <w:abstractNumId w:val="9"/>
  </w:num>
  <w:num w:numId="129" w16cid:durableId="1777216066">
    <w:abstractNumId w:val="7"/>
  </w:num>
  <w:num w:numId="130" w16cid:durableId="1072460926">
    <w:abstractNumId w:val="83"/>
  </w:num>
  <w:num w:numId="131" w16cid:durableId="1217551459">
    <w:abstractNumId w:val="9"/>
  </w:num>
  <w:num w:numId="132" w16cid:durableId="2066487935">
    <w:abstractNumId w:val="7"/>
  </w:num>
  <w:num w:numId="133" w16cid:durableId="1575319473">
    <w:abstractNumId w:val="6"/>
  </w:num>
  <w:num w:numId="134" w16cid:durableId="1414550017">
    <w:abstractNumId w:val="5"/>
  </w:num>
  <w:num w:numId="135" w16cid:durableId="2003004234">
    <w:abstractNumId w:val="4"/>
  </w:num>
  <w:num w:numId="136" w16cid:durableId="197206663">
    <w:abstractNumId w:val="8"/>
  </w:num>
  <w:num w:numId="137" w16cid:durableId="402918905">
    <w:abstractNumId w:val="3"/>
  </w:num>
  <w:num w:numId="138" w16cid:durableId="2072195387">
    <w:abstractNumId w:val="2"/>
  </w:num>
  <w:num w:numId="139" w16cid:durableId="1852066930">
    <w:abstractNumId w:val="1"/>
  </w:num>
  <w:num w:numId="140" w16cid:durableId="1380326884">
    <w:abstractNumId w:val="0"/>
  </w:num>
  <w:num w:numId="141" w16cid:durableId="1468282895">
    <w:abstractNumId w:val="9"/>
  </w:num>
  <w:num w:numId="142" w16cid:durableId="699284966">
    <w:abstractNumId w:val="7"/>
  </w:num>
  <w:num w:numId="143" w16cid:durableId="67845552">
    <w:abstractNumId w:val="6"/>
  </w:num>
  <w:num w:numId="144" w16cid:durableId="1885560856">
    <w:abstractNumId w:val="5"/>
  </w:num>
  <w:num w:numId="145" w16cid:durableId="1201283060">
    <w:abstractNumId w:val="4"/>
  </w:num>
  <w:num w:numId="146" w16cid:durableId="555316397">
    <w:abstractNumId w:val="8"/>
  </w:num>
  <w:num w:numId="147" w16cid:durableId="1017002443">
    <w:abstractNumId w:val="3"/>
  </w:num>
  <w:num w:numId="148" w16cid:durableId="688144658">
    <w:abstractNumId w:val="2"/>
  </w:num>
  <w:num w:numId="149" w16cid:durableId="1426539883">
    <w:abstractNumId w:val="1"/>
  </w:num>
  <w:num w:numId="150" w16cid:durableId="1437558861">
    <w:abstractNumId w:val="0"/>
  </w:num>
  <w:num w:numId="151" w16cid:durableId="1278216526">
    <w:abstractNumId w:val="8"/>
  </w:num>
  <w:num w:numId="152" w16cid:durableId="1159808317">
    <w:abstractNumId w:val="3"/>
  </w:num>
  <w:num w:numId="153" w16cid:durableId="2072265034">
    <w:abstractNumId w:val="2"/>
  </w:num>
  <w:num w:numId="154" w16cid:durableId="771513171">
    <w:abstractNumId w:val="1"/>
  </w:num>
  <w:num w:numId="155" w16cid:durableId="425419632">
    <w:abstractNumId w:val="0"/>
  </w:num>
  <w:num w:numId="156" w16cid:durableId="1127773927">
    <w:abstractNumId w:val="9"/>
  </w:num>
  <w:num w:numId="157" w16cid:durableId="310526095">
    <w:abstractNumId w:val="7"/>
  </w:num>
  <w:num w:numId="158" w16cid:durableId="58208549">
    <w:abstractNumId w:val="6"/>
  </w:num>
  <w:num w:numId="159" w16cid:durableId="1092553907">
    <w:abstractNumId w:val="5"/>
  </w:num>
  <w:num w:numId="160" w16cid:durableId="1241599396">
    <w:abstractNumId w:val="4"/>
  </w:num>
  <w:num w:numId="161" w16cid:durableId="656886783">
    <w:abstractNumId w:val="8"/>
  </w:num>
  <w:num w:numId="162" w16cid:durableId="493180799">
    <w:abstractNumId w:val="3"/>
  </w:num>
  <w:num w:numId="163" w16cid:durableId="2081369291">
    <w:abstractNumId w:val="2"/>
  </w:num>
  <w:num w:numId="164" w16cid:durableId="1949967371">
    <w:abstractNumId w:val="1"/>
  </w:num>
  <w:num w:numId="165" w16cid:durableId="1326591057">
    <w:abstractNumId w:val="0"/>
  </w:num>
  <w:num w:numId="166" w16cid:durableId="1363246916">
    <w:abstractNumId w:val="9"/>
  </w:num>
  <w:num w:numId="167" w16cid:durableId="709115559">
    <w:abstractNumId w:val="7"/>
  </w:num>
  <w:num w:numId="168" w16cid:durableId="1201355861">
    <w:abstractNumId w:val="6"/>
  </w:num>
  <w:num w:numId="169" w16cid:durableId="483276751">
    <w:abstractNumId w:val="5"/>
  </w:num>
  <w:num w:numId="170" w16cid:durableId="1555435298">
    <w:abstractNumId w:val="4"/>
  </w:num>
  <w:num w:numId="171" w16cid:durableId="824665607">
    <w:abstractNumId w:val="8"/>
  </w:num>
  <w:num w:numId="172" w16cid:durableId="863441481">
    <w:abstractNumId w:val="3"/>
  </w:num>
  <w:num w:numId="173" w16cid:durableId="1516773061">
    <w:abstractNumId w:val="2"/>
  </w:num>
  <w:num w:numId="174" w16cid:durableId="714306545">
    <w:abstractNumId w:val="1"/>
  </w:num>
  <w:num w:numId="175" w16cid:durableId="1633361049">
    <w:abstractNumId w:val="0"/>
  </w:num>
  <w:num w:numId="176" w16cid:durableId="638341112">
    <w:abstractNumId w:val="9"/>
  </w:num>
  <w:num w:numId="177" w16cid:durableId="436995552">
    <w:abstractNumId w:val="7"/>
  </w:num>
  <w:num w:numId="178" w16cid:durableId="1627153953">
    <w:abstractNumId w:val="6"/>
  </w:num>
  <w:num w:numId="179" w16cid:durableId="2139641785">
    <w:abstractNumId w:val="5"/>
  </w:num>
  <w:num w:numId="180" w16cid:durableId="1623533895">
    <w:abstractNumId w:val="4"/>
  </w:num>
  <w:num w:numId="181" w16cid:durableId="1112940637">
    <w:abstractNumId w:val="8"/>
  </w:num>
  <w:num w:numId="182" w16cid:durableId="1442531833">
    <w:abstractNumId w:val="3"/>
  </w:num>
  <w:num w:numId="183" w16cid:durableId="1454179007">
    <w:abstractNumId w:val="2"/>
  </w:num>
  <w:num w:numId="184" w16cid:durableId="136067355">
    <w:abstractNumId w:val="1"/>
  </w:num>
  <w:num w:numId="185" w16cid:durableId="1802070043">
    <w:abstractNumId w:val="0"/>
  </w:num>
  <w:num w:numId="186" w16cid:durableId="1469086357">
    <w:abstractNumId w:val="9"/>
  </w:num>
  <w:num w:numId="187" w16cid:durableId="1960988498">
    <w:abstractNumId w:val="7"/>
  </w:num>
  <w:num w:numId="188" w16cid:durableId="935863126">
    <w:abstractNumId w:val="6"/>
  </w:num>
  <w:num w:numId="189" w16cid:durableId="748622311">
    <w:abstractNumId w:val="5"/>
  </w:num>
  <w:num w:numId="190" w16cid:durableId="1986809689">
    <w:abstractNumId w:val="4"/>
  </w:num>
  <w:num w:numId="191" w16cid:durableId="909002682">
    <w:abstractNumId w:val="8"/>
  </w:num>
  <w:num w:numId="192" w16cid:durableId="869219764">
    <w:abstractNumId w:val="3"/>
  </w:num>
  <w:num w:numId="193" w16cid:durableId="415136042">
    <w:abstractNumId w:val="2"/>
  </w:num>
  <w:num w:numId="194" w16cid:durableId="1864974002">
    <w:abstractNumId w:val="1"/>
  </w:num>
  <w:num w:numId="195" w16cid:durableId="1097598174">
    <w:abstractNumId w:val="0"/>
  </w:num>
  <w:num w:numId="196" w16cid:durableId="1723557601">
    <w:abstractNumId w:val="8"/>
  </w:num>
  <w:num w:numId="197" w16cid:durableId="105278029">
    <w:abstractNumId w:val="3"/>
  </w:num>
  <w:num w:numId="198" w16cid:durableId="1493450048">
    <w:abstractNumId w:val="2"/>
  </w:num>
  <w:num w:numId="199" w16cid:durableId="1165516432">
    <w:abstractNumId w:val="1"/>
  </w:num>
  <w:num w:numId="200" w16cid:durableId="1330669745">
    <w:abstractNumId w:val="0"/>
  </w:num>
  <w:num w:numId="201" w16cid:durableId="60448339">
    <w:abstractNumId w:val="9"/>
  </w:num>
  <w:num w:numId="202" w16cid:durableId="875436107">
    <w:abstractNumId w:val="7"/>
  </w:num>
  <w:num w:numId="203" w16cid:durableId="1012493303">
    <w:abstractNumId w:val="6"/>
  </w:num>
  <w:num w:numId="204" w16cid:durableId="659505649">
    <w:abstractNumId w:val="5"/>
  </w:num>
  <w:num w:numId="205" w16cid:durableId="646977003">
    <w:abstractNumId w:val="4"/>
  </w:num>
  <w:num w:numId="206" w16cid:durableId="2010213919">
    <w:abstractNumId w:val="8"/>
  </w:num>
  <w:num w:numId="207" w16cid:durableId="844830573">
    <w:abstractNumId w:val="3"/>
  </w:num>
  <w:num w:numId="208" w16cid:durableId="1513496385">
    <w:abstractNumId w:val="2"/>
  </w:num>
  <w:num w:numId="209" w16cid:durableId="823472706">
    <w:abstractNumId w:val="1"/>
  </w:num>
  <w:num w:numId="210" w16cid:durableId="1530021335">
    <w:abstractNumId w:val="0"/>
  </w:num>
  <w:num w:numId="211" w16cid:durableId="1263684733">
    <w:abstractNumId w:val="9"/>
  </w:num>
  <w:num w:numId="212" w16cid:durableId="1641298820">
    <w:abstractNumId w:val="7"/>
  </w:num>
  <w:num w:numId="213" w16cid:durableId="375087281">
    <w:abstractNumId w:val="6"/>
  </w:num>
  <w:num w:numId="214" w16cid:durableId="1719233955">
    <w:abstractNumId w:val="5"/>
  </w:num>
  <w:num w:numId="215" w16cid:durableId="19013184">
    <w:abstractNumId w:val="4"/>
  </w:num>
  <w:num w:numId="216" w16cid:durableId="1803498989">
    <w:abstractNumId w:val="8"/>
  </w:num>
  <w:num w:numId="217" w16cid:durableId="1181166980">
    <w:abstractNumId w:val="3"/>
  </w:num>
  <w:num w:numId="218" w16cid:durableId="866020274">
    <w:abstractNumId w:val="2"/>
  </w:num>
  <w:num w:numId="219" w16cid:durableId="1355618424">
    <w:abstractNumId w:val="1"/>
  </w:num>
  <w:num w:numId="220" w16cid:durableId="1141314039">
    <w:abstractNumId w:val="0"/>
  </w:num>
  <w:num w:numId="221" w16cid:durableId="209148909">
    <w:abstractNumId w:val="9"/>
  </w:num>
  <w:num w:numId="222" w16cid:durableId="1652641120">
    <w:abstractNumId w:val="7"/>
  </w:num>
  <w:num w:numId="223" w16cid:durableId="772014337">
    <w:abstractNumId w:val="6"/>
  </w:num>
  <w:num w:numId="224" w16cid:durableId="1001542617">
    <w:abstractNumId w:val="5"/>
  </w:num>
  <w:num w:numId="225" w16cid:durableId="445737473">
    <w:abstractNumId w:val="4"/>
  </w:num>
  <w:num w:numId="226" w16cid:durableId="380251786">
    <w:abstractNumId w:val="8"/>
  </w:num>
  <w:num w:numId="227" w16cid:durableId="1279026022">
    <w:abstractNumId w:val="3"/>
  </w:num>
  <w:num w:numId="228" w16cid:durableId="1550724454">
    <w:abstractNumId w:val="2"/>
  </w:num>
  <w:num w:numId="229" w16cid:durableId="1855807168">
    <w:abstractNumId w:val="1"/>
  </w:num>
  <w:num w:numId="230" w16cid:durableId="1736974937">
    <w:abstractNumId w:val="0"/>
  </w:num>
  <w:num w:numId="231" w16cid:durableId="248000957">
    <w:abstractNumId w:val="9"/>
  </w:num>
  <w:num w:numId="232" w16cid:durableId="860246165">
    <w:abstractNumId w:val="7"/>
  </w:num>
  <w:num w:numId="233" w16cid:durableId="1084493000">
    <w:abstractNumId w:val="6"/>
  </w:num>
  <w:num w:numId="234" w16cid:durableId="975792762">
    <w:abstractNumId w:val="5"/>
  </w:num>
  <w:num w:numId="235" w16cid:durableId="133956750">
    <w:abstractNumId w:val="4"/>
  </w:num>
  <w:num w:numId="236" w16cid:durableId="2132017633">
    <w:abstractNumId w:val="8"/>
  </w:num>
  <w:num w:numId="237" w16cid:durableId="367876227">
    <w:abstractNumId w:val="3"/>
  </w:num>
  <w:num w:numId="238" w16cid:durableId="748038978">
    <w:abstractNumId w:val="2"/>
  </w:num>
  <w:num w:numId="239" w16cid:durableId="1626815899">
    <w:abstractNumId w:val="1"/>
  </w:num>
  <w:num w:numId="240" w16cid:durableId="558856893">
    <w:abstractNumId w:val="0"/>
  </w:num>
  <w:num w:numId="241" w16cid:durableId="1415128228">
    <w:abstractNumId w:val="8"/>
  </w:num>
  <w:num w:numId="242" w16cid:durableId="1509633725">
    <w:abstractNumId w:val="3"/>
  </w:num>
  <w:num w:numId="243" w16cid:durableId="1526215901">
    <w:abstractNumId w:val="2"/>
  </w:num>
  <w:num w:numId="244" w16cid:durableId="1511917659">
    <w:abstractNumId w:val="1"/>
  </w:num>
  <w:num w:numId="245" w16cid:durableId="331109694">
    <w:abstractNumId w:val="0"/>
  </w:num>
  <w:num w:numId="246" w16cid:durableId="606698219">
    <w:abstractNumId w:val="9"/>
  </w:num>
  <w:num w:numId="247" w16cid:durableId="551965805">
    <w:abstractNumId w:val="7"/>
  </w:num>
  <w:num w:numId="248" w16cid:durableId="1491797295">
    <w:abstractNumId w:val="6"/>
  </w:num>
  <w:num w:numId="249" w16cid:durableId="377585399">
    <w:abstractNumId w:val="5"/>
  </w:num>
  <w:num w:numId="250" w16cid:durableId="1710647805">
    <w:abstractNumId w:val="4"/>
  </w:num>
  <w:num w:numId="251" w16cid:durableId="455173806">
    <w:abstractNumId w:val="8"/>
  </w:num>
  <w:num w:numId="252" w16cid:durableId="1382749109">
    <w:abstractNumId w:val="3"/>
  </w:num>
  <w:num w:numId="253" w16cid:durableId="1241596814">
    <w:abstractNumId w:val="2"/>
  </w:num>
  <w:num w:numId="254" w16cid:durableId="632442713">
    <w:abstractNumId w:val="1"/>
  </w:num>
  <w:num w:numId="255" w16cid:durableId="816385389">
    <w:abstractNumId w:val="0"/>
  </w:num>
  <w:num w:numId="256" w16cid:durableId="1563983490">
    <w:abstractNumId w:val="8"/>
  </w:num>
  <w:num w:numId="257" w16cid:durableId="1077433579">
    <w:abstractNumId w:val="3"/>
  </w:num>
  <w:num w:numId="258" w16cid:durableId="1525510909">
    <w:abstractNumId w:val="2"/>
  </w:num>
  <w:num w:numId="259" w16cid:durableId="869298550">
    <w:abstractNumId w:val="1"/>
  </w:num>
  <w:num w:numId="260" w16cid:durableId="1985353074">
    <w:abstractNumId w:val="0"/>
  </w:num>
  <w:num w:numId="261" w16cid:durableId="1527517805">
    <w:abstractNumId w:val="6"/>
  </w:num>
  <w:num w:numId="262" w16cid:durableId="854076022">
    <w:abstractNumId w:val="5"/>
  </w:num>
  <w:num w:numId="263" w16cid:durableId="697778245">
    <w:abstractNumId w:val="4"/>
  </w:num>
  <w:num w:numId="264" w16cid:durableId="1953900569">
    <w:abstractNumId w:val="9"/>
  </w:num>
  <w:num w:numId="265" w16cid:durableId="314840102">
    <w:abstractNumId w:val="7"/>
  </w:num>
  <w:num w:numId="266" w16cid:durableId="670721707">
    <w:abstractNumId w:val="9"/>
  </w:num>
  <w:num w:numId="267" w16cid:durableId="2078160491">
    <w:abstractNumId w:val="7"/>
  </w:num>
  <w:num w:numId="268" w16cid:durableId="143131281">
    <w:abstractNumId w:val="6"/>
  </w:num>
  <w:num w:numId="269" w16cid:durableId="1639412520">
    <w:abstractNumId w:val="5"/>
  </w:num>
  <w:num w:numId="270" w16cid:durableId="834107846">
    <w:abstractNumId w:val="4"/>
  </w:num>
  <w:num w:numId="271" w16cid:durableId="1846942571">
    <w:abstractNumId w:val="8"/>
  </w:num>
  <w:num w:numId="272" w16cid:durableId="1814322795">
    <w:abstractNumId w:val="3"/>
  </w:num>
  <w:num w:numId="273" w16cid:durableId="695235495">
    <w:abstractNumId w:val="2"/>
  </w:num>
  <w:num w:numId="274" w16cid:durableId="2125928673">
    <w:abstractNumId w:val="1"/>
  </w:num>
  <w:num w:numId="275" w16cid:durableId="1887792864">
    <w:abstractNumId w:val="0"/>
  </w:num>
  <w:num w:numId="276" w16cid:durableId="916524881">
    <w:abstractNumId w:val="9"/>
  </w:num>
  <w:num w:numId="277" w16cid:durableId="1591307062">
    <w:abstractNumId w:val="7"/>
  </w:num>
  <w:num w:numId="278" w16cid:durableId="519591406">
    <w:abstractNumId w:val="6"/>
  </w:num>
  <w:num w:numId="279" w16cid:durableId="770205899">
    <w:abstractNumId w:val="5"/>
  </w:num>
  <w:num w:numId="280" w16cid:durableId="1170097893">
    <w:abstractNumId w:val="4"/>
  </w:num>
  <w:num w:numId="281" w16cid:durableId="1599674988">
    <w:abstractNumId w:val="8"/>
  </w:num>
  <w:num w:numId="282" w16cid:durableId="1736511679">
    <w:abstractNumId w:val="3"/>
  </w:num>
  <w:num w:numId="283" w16cid:durableId="1260674804">
    <w:abstractNumId w:val="2"/>
  </w:num>
  <w:num w:numId="284" w16cid:durableId="1004358260">
    <w:abstractNumId w:val="1"/>
  </w:num>
  <w:num w:numId="285" w16cid:durableId="1264265993">
    <w:abstractNumId w:val="0"/>
  </w:num>
  <w:num w:numId="286" w16cid:durableId="208034681">
    <w:abstractNumId w:val="9"/>
  </w:num>
  <w:num w:numId="287" w16cid:durableId="1392341720">
    <w:abstractNumId w:val="7"/>
  </w:num>
  <w:num w:numId="288" w16cid:durableId="5253753">
    <w:abstractNumId w:val="6"/>
  </w:num>
  <w:num w:numId="289" w16cid:durableId="1949043083">
    <w:abstractNumId w:val="5"/>
  </w:num>
  <w:num w:numId="290" w16cid:durableId="341977482">
    <w:abstractNumId w:val="4"/>
  </w:num>
  <w:num w:numId="291" w16cid:durableId="89277752">
    <w:abstractNumId w:val="8"/>
  </w:num>
  <w:num w:numId="292" w16cid:durableId="948006775">
    <w:abstractNumId w:val="3"/>
  </w:num>
  <w:num w:numId="293" w16cid:durableId="24985326">
    <w:abstractNumId w:val="2"/>
  </w:num>
  <w:num w:numId="294" w16cid:durableId="36122843">
    <w:abstractNumId w:val="1"/>
  </w:num>
  <w:num w:numId="295" w16cid:durableId="25761450">
    <w:abstractNumId w:val="0"/>
  </w:num>
  <w:num w:numId="296" w16cid:durableId="1909074326">
    <w:abstractNumId w:val="9"/>
  </w:num>
  <w:num w:numId="297" w16cid:durableId="185170992">
    <w:abstractNumId w:val="7"/>
  </w:num>
  <w:num w:numId="298" w16cid:durableId="1301808235">
    <w:abstractNumId w:val="6"/>
  </w:num>
  <w:num w:numId="299" w16cid:durableId="18941314">
    <w:abstractNumId w:val="5"/>
  </w:num>
  <w:num w:numId="300" w16cid:durableId="966548308">
    <w:abstractNumId w:val="4"/>
  </w:num>
  <w:num w:numId="301" w16cid:durableId="1343164177">
    <w:abstractNumId w:val="8"/>
  </w:num>
  <w:num w:numId="302" w16cid:durableId="868763382">
    <w:abstractNumId w:val="3"/>
  </w:num>
  <w:num w:numId="303" w16cid:durableId="867525385">
    <w:abstractNumId w:val="2"/>
  </w:num>
  <w:num w:numId="304" w16cid:durableId="1689285942">
    <w:abstractNumId w:val="1"/>
  </w:num>
  <w:num w:numId="305" w16cid:durableId="676074267">
    <w:abstractNumId w:val="0"/>
  </w:num>
  <w:num w:numId="306" w16cid:durableId="2000232973">
    <w:abstractNumId w:val="9"/>
  </w:num>
  <w:num w:numId="307" w16cid:durableId="1089539660">
    <w:abstractNumId w:val="7"/>
  </w:num>
  <w:num w:numId="308" w16cid:durableId="756555666">
    <w:abstractNumId w:val="6"/>
  </w:num>
  <w:num w:numId="309" w16cid:durableId="1426878878">
    <w:abstractNumId w:val="5"/>
  </w:num>
  <w:num w:numId="310" w16cid:durableId="1950116152">
    <w:abstractNumId w:val="4"/>
  </w:num>
  <w:num w:numId="311" w16cid:durableId="1069964232">
    <w:abstractNumId w:val="8"/>
  </w:num>
  <w:num w:numId="312" w16cid:durableId="2044015339">
    <w:abstractNumId w:val="3"/>
  </w:num>
  <w:num w:numId="313" w16cid:durableId="474378677">
    <w:abstractNumId w:val="2"/>
  </w:num>
  <w:num w:numId="314" w16cid:durableId="991954722">
    <w:abstractNumId w:val="1"/>
  </w:num>
  <w:num w:numId="315" w16cid:durableId="951203209">
    <w:abstractNumId w:val="0"/>
  </w:num>
  <w:num w:numId="316" w16cid:durableId="12340035">
    <w:abstractNumId w:val="9"/>
  </w:num>
  <w:num w:numId="317" w16cid:durableId="747847851">
    <w:abstractNumId w:val="7"/>
  </w:num>
  <w:num w:numId="318" w16cid:durableId="77139911">
    <w:abstractNumId w:val="6"/>
  </w:num>
  <w:num w:numId="319" w16cid:durableId="307439924">
    <w:abstractNumId w:val="5"/>
  </w:num>
  <w:num w:numId="320" w16cid:durableId="1269973446">
    <w:abstractNumId w:val="4"/>
  </w:num>
  <w:num w:numId="321" w16cid:durableId="1035426009">
    <w:abstractNumId w:val="8"/>
  </w:num>
  <w:num w:numId="322" w16cid:durableId="1576427191">
    <w:abstractNumId w:val="3"/>
  </w:num>
  <w:num w:numId="323" w16cid:durableId="229465396">
    <w:abstractNumId w:val="2"/>
  </w:num>
  <w:num w:numId="324" w16cid:durableId="221871664">
    <w:abstractNumId w:val="1"/>
  </w:num>
  <w:num w:numId="325" w16cid:durableId="1423379954">
    <w:abstractNumId w:val="0"/>
  </w:num>
  <w:num w:numId="326" w16cid:durableId="2044859538">
    <w:abstractNumId w:val="9"/>
  </w:num>
  <w:num w:numId="327" w16cid:durableId="105934177">
    <w:abstractNumId w:val="7"/>
  </w:num>
  <w:num w:numId="328" w16cid:durableId="756828294">
    <w:abstractNumId w:val="6"/>
  </w:num>
  <w:num w:numId="329" w16cid:durableId="2107992426">
    <w:abstractNumId w:val="5"/>
  </w:num>
  <w:num w:numId="330" w16cid:durableId="838033840">
    <w:abstractNumId w:val="4"/>
  </w:num>
  <w:num w:numId="331" w16cid:durableId="1041977552">
    <w:abstractNumId w:val="8"/>
  </w:num>
  <w:num w:numId="332" w16cid:durableId="794328291">
    <w:abstractNumId w:val="3"/>
  </w:num>
  <w:num w:numId="333" w16cid:durableId="1557274975">
    <w:abstractNumId w:val="2"/>
  </w:num>
  <w:num w:numId="334" w16cid:durableId="1234390174">
    <w:abstractNumId w:val="1"/>
  </w:num>
  <w:num w:numId="335" w16cid:durableId="1357270949">
    <w:abstractNumId w:val="0"/>
  </w:num>
  <w:num w:numId="336" w16cid:durableId="1472483651">
    <w:abstractNumId w:val="9"/>
  </w:num>
  <w:num w:numId="337" w16cid:durableId="202058792">
    <w:abstractNumId w:val="7"/>
  </w:num>
  <w:num w:numId="338" w16cid:durableId="2015918995">
    <w:abstractNumId w:val="6"/>
  </w:num>
  <w:num w:numId="339" w16cid:durableId="537134163">
    <w:abstractNumId w:val="5"/>
  </w:num>
  <w:num w:numId="340" w16cid:durableId="1114179750">
    <w:abstractNumId w:val="4"/>
  </w:num>
  <w:num w:numId="341" w16cid:durableId="1585645016">
    <w:abstractNumId w:val="8"/>
  </w:num>
  <w:num w:numId="342" w16cid:durableId="6174975">
    <w:abstractNumId w:val="3"/>
  </w:num>
  <w:num w:numId="343" w16cid:durableId="392580639">
    <w:abstractNumId w:val="2"/>
  </w:num>
  <w:num w:numId="344" w16cid:durableId="336545178">
    <w:abstractNumId w:val="1"/>
  </w:num>
  <w:num w:numId="345" w16cid:durableId="1568881111">
    <w:abstractNumId w:val="0"/>
  </w:num>
  <w:num w:numId="346" w16cid:durableId="991981709">
    <w:abstractNumId w:val="9"/>
  </w:num>
  <w:num w:numId="347" w16cid:durableId="1018123927">
    <w:abstractNumId w:val="7"/>
  </w:num>
  <w:num w:numId="348" w16cid:durableId="1470200824">
    <w:abstractNumId w:val="6"/>
  </w:num>
  <w:num w:numId="349" w16cid:durableId="1788622751">
    <w:abstractNumId w:val="5"/>
  </w:num>
  <w:num w:numId="350" w16cid:durableId="1596287962">
    <w:abstractNumId w:val="4"/>
  </w:num>
  <w:num w:numId="351" w16cid:durableId="29116966">
    <w:abstractNumId w:val="8"/>
  </w:num>
  <w:num w:numId="352" w16cid:durableId="1234126381">
    <w:abstractNumId w:val="3"/>
  </w:num>
  <w:num w:numId="353" w16cid:durableId="300885071">
    <w:abstractNumId w:val="2"/>
  </w:num>
  <w:num w:numId="354" w16cid:durableId="290327360">
    <w:abstractNumId w:val="1"/>
  </w:num>
  <w:num w:numId="355" w16cid:durableId="1698120366">
    <w:abstractNumId w:val="0"/>
  </w:num>
  <w:num w:numId="356" w16cid:durableId="493029095">
    <w:abstractNumId w:val="9"/>
  </w:num>
  <w:num w:numId="357" w16cid:durableId="224875750">
    <w:abstractNumId w:val="7"/>
  </w:num>
  <w:num w:numId="358" w16cid:durableId="866915735">
    <w:abstractNumId w:val="6"/>
  </w:num>
  <w:num w:numId="359" w16cid:durableId="1814174342">
    <w:abstractNumId w:val="5"/>
  </w:num>
  <w:num w:numId="360" w16cid:durableId="682703533">
    <w:abstractNumId w:val="4"/>
  </w:num>
  <w:num w:numId="361" w16cid:durableId="677737780">
    <w:abstractNumId w:val="8"/>
  </w:num>
  <w:num w:numId="362" w16cid:durableId="1720324368">
    <w:abstractNumId w:val="3"/>
  </w:num>
  <w:num w:numId="363" w16cid:durableId="1281913812">
    <w:abstractNumId w:val="2"/>
  </w:num>
  <w:num w:numId="364" w16cid:durableId="1860973305">
    <w:abstractNumId w:val="1"/>
  </w:num>
  <w:num w:numId="365" w16cid:durableId="2132239610">
    <w:abstractNumId w:val="0"/>
  </w:num>
  <w:num w:numId="366" w16cid:durableId="274211009">
    <w:abstractNumId w:val="9"/>
  </w:num>
  <w:num w:numId="367" w16cid:durableId="1299603168">
    <w:abstractNumId w:val="7"/>
  </w:num>
  <w:num w:numId="368" w16cid:durableId="1387878629">
    <w:abstractNumId w:val="6"/>
  </w:num>
  <w:num w:numId="369" w16cid:durableId="991642980">
    <w:abstractNumId w:val="5"/>
  </w:num>
  <w:num w:numId="370" w16cid:durableId="1293907199">
    <w:abstractNumId w:val="4"/>
  </w:num>
  <w:num w:numId="371" w16cid:durableId="658191029">
    <w:abstractNumId w:val="8"/>
  </w:num>
  <w:num w:numId="372" w16cid:durableId="1706324852">
    <w:abstractNumId w:val="3"/>
  </w:num>
  <w:num w:numId="373" w16cid:durableId="1622228225">
    <w:abstractNumId w:val="2"/>
  </w:num>
  <w:num w:numId="374" w16cid:durableId="1517425033">
    <w:abstractNumId w:val="1"/>
  </w:num>
  <w:num w:numId="375" w16cid:durableId="652757841">
    <w:abstractNumId w:val="0"/>
  </w:num>
  <w:num w:numId="376" w16cid:durableId="734470041">
    <w:abstractNumId w:val="9"/>
  </w:num>
  <w:num w:numId="377" w16cid:durableId="1549222369">
    <w:abstractNumId w:val="7"/>
  </w:num>
  <w:num w:numId="378" w16cid:durableId="448012355">
    <w:abstractNumId w:val="6"/>
  </w:num>
  <w:num w:numId="379" w16cid:durableId="923951568">
    <w:abstractNumId w:val="5"/>
  </w:num>
  <w:num w:numId="380" w16cid:durableId="1913849761">
    <w:abstractNumId w:val="4"/>
  </w:num>
  <w:num w:numId="381" w16cid:durableId="34552470">
    <w:abstractNumId w:val="8"/>
  </w:num>
  <w:num w:numId="382" w16cid:durableId="890921174">
    <w:abstractNumId w:val="3"/>
  </w:num>
  <w:num w:numId="383" w16cid:durableId="1418557354">
    <w:abstractNumId w:val="2"/>
  </w:num>
  <w:num w:numId="384" w16cid:durableId="1416439527">
    <w:abstractNumId w:val="1"/>
  </w:num>
  <w:num w:numId="385" w16cid:durableId="590771500">
    <w:abstractNumId w:val="0"/>
  </w:num>
  <w:num w:numId="386" w16cid:durableId="326712178">
    <w:abstractNumId w:val="9"/>
  </w:num>
  <w:num w:numId="387" w16cid:durableId="1262839645">
    <w:abstractNumId w:val="7"/>
  </w:num>
  <w:num w:numId="388" w16cid:durableId="491214053">
    <w:abstractNumId w:val="6"/>
  </w:num>
  <w:num w:numId="389" w16cid:durableId="1300958425">
    <w:abstractNumId w:val="5"/>
  </w:num>
  <w:num w:numId="390" w16cid:durableId="804391405">
    <w:abstractNumId w:val="4"/>
  </w:num>
  <w:num w:numId="391" w16cid:durableId="1619989652">
    <w:abstractNumId w:val="8"/>
  </w:num>
  <w:num w:numId="392" w16cid:durableId="561909562">
    <w:abstractNumId w:val="3"/>
  </w:num>
  <w:num w:numId="393" w16cid:durableId="1652251965">
    <w:abstractNumId w:val="2"/>
  </w:num>
  <w:num w:numId="394" w16cid:durableId="1573924195">
    <w:abstractNumId w:val="1"/>
  </w:num>
  <w:num w:numId="395" w16cid:durableId="482742575">
    <w:abstractNumId w:val="0"/>
  </w:num>
  <w:num w:numId="396" w16cid:durableId="1683628003">
    <w:abstractNumId w:val="9"/>
  </w:num>
  <w:num w:numId="397" w16cid:durableId="1429037303">
    <w:abstractNumId w:val="7"/>
  </w:num>
  <w:num w:numId="398" w16cid:durableId="175579531">
    <w:abstractNumId w:val="6"/>
  </w:num>
  <w:num w:numId="399" w16cid:durableId="748428732">
    <w:abstractNumId w:val="5"/>
  </w:num>
  <w:num w:numId="400" w16cid:durableId="708264152">
    <w:abstractNumId w:val="4"/>
  </w:num>
  <w:num w:numId="401" w16cid:durableId="745109777">
    <w:abstractNumId w:val="8"/>
  </w:num>
  <w:num w:numId="402" w16cid:durableId="917134784">
    <w:abstractNumId w:val="3"/>
  </w:num>
  <w:num w:numId="403" w16cid:durableId="479658528">
    <w:abstractNumId w:val="2"/>
  </w:num>
  <w:num w:numId="404" w16cid:durableId="570039518">
    <w:abstractNumId w:val="1"/>
  </w:num>
  <w:num w:numId="405" w16cid:durableId="786386459">
    <w:abstractNumId w:val="0"/>
  </w:num>
  <w:num w:numId="406" w16cid:durableId="1726490744">
    <w:abstractNumId w:val="9"/>
  </w:num>
  <w:num w:numId="407" w16cid:durableId="1996491441">
    <w:abstractNumId w:val="7"/>
  </w:num>
  <w:num w:numId="408" w16cid:durableId="787240900">
    <w:abstractNumId w:val="6"/>
  </w:num>
  <w:num w:numId="409" w16cid:durableId="1505170670">
    <w:abstractNumId w:val="5"/>
  </w:num>
  <w:num w:numId="410" w16cid:durableId="2137218426">
    <w:abstractNumId w:val="4"/>
  </w:num>
  <w:num w:numId="411" w16cid:durableId="1123691179">
    <w:abstractNumId w:val="8"/>
  </w:num>
  <w:num w:numId="412" w16cid:durableId="220869049">
    <w:abstractNumId w:val="3"/>
  </w:num>
  <w:num w:numId="413" w16cid:durableId="1002586983">
    <w:abstractNumId w:val="2"/>
  </w:num>
  <w:num w:numId="414" w16cid:durableId="320282471">
    <w:abstractNumId w:val="1"/>
  </w:num>
  <w:num w:numId="415" w16cid:durableId="2078084838">
    <w:abstractNumId w:val="0"/>
  </w:num>
  <w:num w:numId="416" w16cid:durableId="465048082">
    <w:abstractNumId w:val="9"/>
  </w:num>
  <w:num w:numId="417" w16cid:durableId="955142854">
    <w:abstractNumId w:val="7"/>
  </w:num>
  <w:num w:numId="418" w16cid:durableId="683287336">
    <w:abstractNumId w:val="6"/>
  </w:num>
  <w:num w:numId="419" w16cid:durableId="1799563984">
    <w:abstractNumId w:val="5"/>
  </w:num>
  <w:num w:numId="420" w16cid:durableId="1798601463">
    <w:abstractNumId w:val="4"/>
  </w:num>
  <w:num w:numId="421" w16cid:durableId="1296914111">
    <w:abstractNumId w:val="8"/>
  </w:num>
  <w:num w:numId="422" w16cid:durableId="1435129778">
    <w:abstractNumId w:val="3"/>
  </w:num>
  <w:num w:numId="423" w16cid:durableId="780684946">
    <w:abstractNumId w:val="2"/>
  </w:num>
  <w:num w:numId="424" w16cid:durableId="1806511048">
    <w:abstractNumId w:val="1"/>
  </w:num>
  <w:num w:numId="425" w16cid:durableId="1066994809">
    <w:abstractNumId w:val="0"/>
  </w:num>
  <w:num w:numId="426" w16cid:durableId="56977497">
    <w:abstractNumId w:val="9"/>
  </w:num>
  <w:num w:numId="427" w16cid:durableId="2054427306">
    <w:abstractNumId w:val="7"/>
  </w:num>
  <w:num w:numId="428" w16cid:durableId="627781894">
    <w:abstractNumId w:val="6"/>
  </w:num>
  <w:num w:numId="429" w16cid:durableId="139347645">
    <w:abstractNumId w:val="5"/>
  </w:num>
  <w:num w:numId="430" w16cid:durableId="1178155510">
    <w:abstractNumId w:val="4"/>
  </w:num>
  <w:num w:numId="431" w16cid:durableId="57363342">
    <w:abstractNumId w:val="8"/>
  </w:num>
  <w:num w:numId="432" w16cid:durableId="238639869">
    <w:abstractNumId w:val="3"/>
  </w:num>
  <w:num w:numId="433" w16cid:durableId="955209184">
    <w:abstractNumId w:val="2"/>
  </w:num>
  <w:num w:numId="434" w16cid:durableId="793447155">
    <w:abstractNumId w:val="1"/>
  </w:num>
  <w:num w:numId="435" w16cid:durableId="255331556">
    <w:abstractNumId w:val="0"/>
  </w:num>
  <w:num w:numId="436" w16cid:durableId="669909054">
    <w:abstractNumId w:val="9"/>
  </w:num>
  <w:num w:numId="437" w16cid:durableId="1199122589">
    <w:abstractNumId w:val="7"/>
  </w:num>
  <w:num w:numId="438" w16cid:durableId="85738315">
    <w:abstractNumId w:val="6"/>
  </w:num>
  <w:num w:numId="439" w16cid:durableId="1645623763">
    <w:abstractNumId w:val="5"/>
  </w:num>
  <w:num w:numId="440" w16cid:durableId="341401540">
    <w:abstractNumId w:val="4"/>
  </w:num>
  <w:num w:numId="441" w16cid:durableId="1826389485">
    <w:abstractNumId w:val="8"/>
  </w:num>
  <w:num w:numId="442" w16cid:durableId="741411499">
    <w:abstractNumId w:val="3"/>
  </w:num>
  <w:num w:numId="443" w16cid:durableId="1804926982">
    <w:abstractNumId w:val="2"/>
  </w:num>
  <w:num w:numId="444" w16cid:durableId="65733213">
    <w:abstractNumId w:val="1"/>
  </w:num>
  <w:num w:numId="445" w16cid:durableId="925847135">
    <w:abstractNumId w:val="0"/>
  </w:num>
  <w:num w:numId="446" w16cid:durableId="1912766388">
    <w:abstractNumId w:val="9"/>
  </w:num>
  <w:num w:numId="447" w16cid:durableId="1762947386">
    <w:abstractNumId w:val="7"/>
  </w:num>
  <w:num w:numId="448" w16cid:durableId="1042558547">
    <w:abstractNumId w:val="6"/>
  </w:num>
  <w:num w:numId="449" w16cid:durableId="493766508">
    <w:abstractNumId w:val="5"/>
  </w:num>
  <w:num w:numId="450" w16cid:durableId="2096628418">
    <w:abstractNumId w:val="4"/>
  </w:num>
  <w:num w:numId="451" w16cid:durableId="1612862420">
    <w:abstractNumId w:val="8"/>
  </w:num>
  <w:num w:numId="452" w16cid:durableId="1142043826">
    <w:abstractNumId w:val="3"/>
  </w:num>
  <w:num w:numId="453" w16cid:durableId="461386726">
    <w:abstractNumId w:val="2"/>
  </w:num>
  <w:num w:numId="454" w16cid:durableId="1907953948">
    <w:abstractNumId w:val="1"/>
  </w:num>
  <w:num w:numId="455" w16cid:durableId="692153017">
    <w:abstractNumId w:val="0"/>
  </w:num>
  <w:num w:numId="456" w16cid:durableId="1160926312">
    <w:abstractNumId w:val="9"/>
  </w:num>
  <w:num w:numId="457" w16cid:durableId="953710279">
    <w:abstractNumId w:val="7"/>
  </w:num>
  <w:num w:numId="458" w16cid:durableId="821849791">
    <w:abstractNumId w:val="6"/>
  </w:num>
  <w:num w:numId="459" w16cid:durableId="1644000127">
    <w:abstractNumId w:val="5"/>
  </w:num>
  <w:num w:numId="460" w16cid:durableId="1094059478">
    <w:abstractNumId w:val="4"/>
  </w:num>
  <w:num w:numId="461" w16cid:durableId="578446401">
    <w:abstractNumId w:val="8"/>
  </w:num>
  <w:num w:numId="462" w16cid:durableId="1475754079">
    <w:abstractNumId w:val="3"/>
  </w:num>
  <w:num w:numId="463" w16cid:durableId="1630696502">
    <w:abstractNumId w:val="2"/>
  </w:num>
  <w:num w:numId="464" w16cid:durableId="1542011861">
    <w:abstractNumId w:val="1"/>
  </w:num>
  <w:num w:numId="465" w16cid:durableId="132260506">
    <w:abstractNumId w:val="0"/>
  </w:num>
  <w:num w:numId="466" w16cid:durableId="143738886">
    <w:abstractNumId w:val="9"/>
  </w:num>
  <w:num w:numId="467" w16cid:durableId="4406616">
    <w:abstractNumId w:val="7"/>
  </w:num>
  <w:num w:numId="468" w16cid:durableId="1634940534">
    <w:abstractNumId w:val="6"/>
  </w:num>
  <w:num w:numId="469" w16cid:durableId="1593968888">
    <w:abstractNumId w:val="5"/>
  </w:num>
  <w:num w:numId="470" w16cid:durableId="967705078">
    <w:abstractNumId w:val="4"/>
  </w:num>
  <w:num w:numId="471" w16cid:durableId="2010017841">
    <w:abstractNumId w:val="8"/>
  </w:num>
  <w:num w:numId="472" w16cid:durableId="388967198">
    <w:abstractNumId w:val="3"/>
  </w:num>
  <w:num w:numId="473" w16cid:durableId="58486209">
    <w:abstractNumId w:val="2"/>
  </w:num>
  <w:num w:numId="474" w16cid:durableId="335350737">
    <w:abstractNumId w:val="1"/>
  </w:num>
  <w:num w:numId="475" w16cid:durableId="954019307">
    <w:abstractNumId w:val="0"/>
  </w:num>
  <w:num w:numId="476" w16cid:durableId="887424401">
    <w:abstractNumId w:val="9"/>
  </w:num>
  <w:num w:numId="477" w16cid:durableId="165021900">
    <w:abstractNumId w:val="7"/>
  </w:num>
  <w:num w:numId="478" w16cid:durableId="216627383">
    <w:abstractNumId w:val="6"/>
  </w:num>
  <w:num w:numId="479" w16cid:durableId="567348550">
    <w:abstractNumId w:val="5"/>
  </w:num>
  <w:num w:numId="480" w16cid:durableId="1699621673">
    <w:abstractNumId w:val="4"/>
  </w:num>
  <w:num w:numId="481" w16cid:durableId="241841174">
    <w:abstractNumId w:val="8"/>
  </w:num>
  <w:num w:numId="482" w16cid:durableId="969632178">
    <w:abstractNumId w:val="3"/>
  </w:num>
  <w:num w:numId="483" w16cid:durableId="1414665452">
    <w:abstractNumId w:val="2"/>
  </w:num>
  <w:num w:numId="484" w16cid:durableId="512116014">
    <w:abstractNumId w:val="1"/>
  </w:num>
  <w:num w:numId="485" w16cid:durableId="1740983890">
    <w:abstractNumId w:val="0"/>
  </w:num>
  <w:num w:numId="486" w16cid:durableId="1398825187">
    <w:abstractNumId w:val="9"/>
  </w:num>
  <w:num w:numId="487" w16cid:durableId="1606811900">
    <w:abstractNumId w:val="7"/>
  </w:num>
  <w:num w:numId="488" w16cid:durableId="461771448">
    <w:abstractNumId w:val="6"/>
  </w:num>
  <w:num w:numId="489" w16cid:durableId="1730693298">
    <w:abstractNumId w:val="5"/>
  </w:num>
  <w:num w:numId="490" w16cid:durableId="254675385">
    <w:abstractNumId w:val="4"/>
  </w:num>
  <w:num w:numId="491" w16cid:durableId="2137602898">
    <w:abstractNumId w:val="8"/>
  </w:num>
  <w:num w:numId="492" w16cid:durableId="1405832713">
    <w:abstractNumId w:val="3"/>
  </w:num>
  <w:num w:numId="493" w16cid:durableId="588739497">
    <w:abstractNumId w:val="2"/>
  </w:num>
  <w:num w:numId="494" w16cid:durableId="901789674">
    <w:abstractNumId w:val="1"/>
  </w:num>
  <w:num w:numId="495" w16cid:durableId="533925441">
    <w:abstractNumId w:val="0"/>
  </w:num>
  <w:num w:numId="496" w16cid:durableId="198712308">
    <w:abstractNumId w:val="9"/>
  </w:num>
  <w:num w:numId="497" w16cid:durableId="22367496">
    <w:abstractNumId w:val="7"/>
  </w:num>
  <w:num w:numId="498" w16cid:durableId="675692771">
    <w:abstractNumId w:val="6"/>
  </w:num>
  <w:num w:numId="499" w16cid:durableId="375936652">
    <w:abstractNumId w:val="5"/>
  </w:num>
  <w:num w:numId="500" w16cid:durableId="1095320997">
    <w:abstractNumId w:val="4"/>
  </w:num>
  <w:num w:numId="501" w16cid:durableId="441151320">
    <w:abstractNumId w:val="8"/>
  </w:num>
  <w:num w:numId="502" w16cid:durableId="545991454">
    <w:abstractNumId w:val="3"/>
  </w:num>
  <w:num w:numId="503" w16cid:durableId="1258296371">
    <w:abstractNumId w:val="2"/>
  </w:num>
  <w:num w:numId="504" w16cid:durableId="656152073">
    <w:abstractNumId w:val="1"/>
  </w:num>
  <w:num w:numId="505" w16cid:durableId="1768382922">
    <w:abstractNumId w:val="0"/>
  </w:num>
  <w:num w:numId="506" w16cid:durableId="124280563">
    <w:abstractNumId w:val="9"/>
  </w:num>
  <w:num w:numId="507" w16cid:durableId="2006740035">
    <w:abstractNumId w:val="7"/>
  </w:num>
  <w:num w:numId="508" w16cid:durableId="1169441861">
    <w:abstractNumId w:val="6"/>
  </w:num>
  <w:num w:numId="509" w16cid:durableId="598567439">
    <w:abstractNumId w:val="5"/>
  </w:num>
  <w:num w:numId="510" w16cid:durableId="1288273135">
    <w:abstractNumId w:val="4"/>
  </w:num>
  <w:num w:numId="511" w16cid:durableId="311913372">
    <w:abstractNumId w:val="8"/>
  </w:num>
  <w:num w:numId="512" w16cid:durableId="1357343691">
    <w:abstractNumId w:val="3"/>
  </w:num>
  <w:num w:numId="513" w16cid:durableId="1523517787">
    <w:abstractNumId w:val="2"/>
  </w:num>
  <w:num w:numId="514" w16cid:durableId="834489987">
    <w:abstractNumId w:val="1"/>
  </w:num>
  <w:num w:numId="515" w16cid:durableId="694885866">
    <w:abstractNumId w:val="0"/>
  </w:num>
  <w:num w:numId="516" w16cid:durableId="1277060853">
    <w:abstractNumId w:val="9"/>
  </w:num>
  <w:num w:numId="517" w16cid:durableId="1007944709">
    <w:abstractNumId w:val="7"/>
  </w:num>
  <w:num w:numId="518" w16cid:durableId="235827527">
    <w:abstractNumId w:val="6"/>
  </w:num>
  <w:num w:numId="519" w16cid:durableId="2108383425">
    <w:abstractNumId w:val="5"/>
  </w:num>
  <w:num w:numId="520" w16cid:durableId="850492000">
    <w:abstractNumId w:val="4"/>
  </w:num>
  <w:num w:numId="521" w16cid:durableId="1117332299">
    <w:abstractNumId w:val="8"/>
  </w:num>
  <w:num w:numId="522" w16cid:durableId="1588340931">
    <w:abstractNumId w:val="3"/>
  </w:num>
  <w:num w:numId="523" w16cid:durableId="918296580">
    <w:abstractNumId w:val="2"/>
  </w:num>
  <w:num w:numId="524" w16cid:durableId="1790738211">
    <w:abstractNumId w:val="1"/>
  </w:num>
  <w:num w:numId="525" w16cid:durableId="1651860399">
    <w:abstractNumId w:val="0"/>
  </w:num>
  <w:num w:numId="526" w16cid:durableId="431901709">
    <w:abstractNumId w:val="9"/>
  </w:num>
  <w:num w:numId="527" w16cid:durableId="952632744">
    <w:abstractNumId w:val="7"/>
  </w:num>
  <w:num w:numId="528" w16cid:durableId="1824539761">
    <w:abstractNumId w:val="6"/>
  </w:num>
  <w:num w:numId="529" w16cid:durableId="495923512">
    <w:abstractNumId w:val="5"/>
  </w:num>
  <w:num w:numId="530" w16cid:durableId="812597144">
    <w:abstractNumId w:val="4"/>
  </w:num>
  <w:num w:numId="531" w16cid:durableId="1065883649">
    <w:abstractNumId w:val="8"/>
  </w:num>
  <w:num w:numId="532" w16cid:durableId="1488402443">
    <w:abstractNumId w:val="3"/>
  </w:num>
  <w:num w:numId="533" w16cid:durableId="864366431">
    <w:abstractNumId w:val="2"/>
  </w:num>
  <w:num w:numId="534" w16cid:durableId="48891518">
    <w:abstractNumId w:val="1"/>
  </w:num>
  <w:num w:numId="535" w16cid:durableId="263267520">
    <w:abstractNumId w:val="0"/>
  </w:num>
  <w:num w:numId="536" w16cid:durableId="1474254999">
    <w:abstractNumId w:val="9"/>
  </w:num>
  <w:num w:numId="537" w16cid:durableId="2056074086">
    <w:abstractNumId w:val="7"/>
  </w:num>
  <w:num w:numId="538" w16cid:durableId="1173767335">
    <w:abstractNumId w:val="6"/>
  </w:num>
  <w:num w:numId="539" w16cid:durableId="852261628">
    <w:abstractNumId w:val="5"/>
  </w:num>
  <w:num w:numId="540" w16cid:durableId="531957631">
    <w:abstractNumId w:val="4"/>
  </w:num>
  <w:num w:numId="541" w16cid:durableId="805899000">
    <w:abstractNumId w:val="8"/>
  </w:num>
  <w:num w:numId="542" w16cid:durableId="1898273335">
    <w:abstractNumId w:val="3"/>
  </w:num>
  <w:num w:numId="543" w16cid:durableId="1284070571">
    <w:abstractNumId w:val="2"/>
  </w:num>
  <w:num w:numId="544" w16cid:durableId="98568808">
    <w:abstractNumId w:val="1"/>
  </w:num>
  <w:num w:numId="545" w16cid:durableId="889078380">
    <w:abstractNumId w:val="0"/>
  </w:num>
  <w:num w:numId="546" w16cid:durableId="1853302365">
    <w:abstractNumId w:val="9"/>
  </w:num>
  <w:num w:numId="547" w16cid:durableId="1395547770">
    <w:abstractNumId w:val="7"/>
  </w:num>
  <w:num w:numId="548" w16cid:durableId="388915733">
    <w:abstractNumId w:val="6"/>
  </w:num>
  <w:num w:numId="549" w16cid:durableId="1576233898">
    <w:abstractNumId w:val="5"/>
  </w:num>
  <w:num w:numId="550" w16cid:durableId="706292257">
    <w:abstractNumId w:val="4"/>
  </w:num>
  <w:num w:numId="551" w16cid:durableId="1231382966">
    <w:abstractNumId w:val="8"/>
  </w:num>
  <w:num w:numId="552" w16cid:durableId="2031906573">
    <w:abstractNumId w:val="3"/>
  </w:num>
  <w:num w:numId="553" w16cid:durableId="974718168">
    <w:abstractNumId w:val="2"/>
  </w:num>
  <w:num w:numId="554" w16cid:durableId="1741099775">
    <w:abstractNumId w:val="1"/>
  </w:num>
  <w:num w:numId="555" w16cid:durableId="19474370">
    <w:abstractNumId w:val="0"/>
  </w:num>
  <w:num w:numId="556" w16cid:durableId="315109208">
    <w:abstractNumId w:val="9"/>
  </w:num>
  <w:num w:numId="557" w16cid:durableId="865868313">
    <w:abstractNumId w:val="7"/>
  </w:num>
  <w:num w:numId="558" w16cid:durableId="1653675757">
    <w:abstractNumId w:val="6"/>
  </w:num>
  <w:num w:numId="559" w16cid:durableId="951013424">
    <w:abstractNumId w:val="5"/>
  </w:num>
  <w:num w:numId="560" w16cid:durableId="231821058">
    <w:abstractNumId w:val="4"/>
  </w:num>
  <w:num w:numId="561" w16cid:durableId="579801526">
    <w:abstractNumId w:val="8"/>
  </w:num>
  <w:num w:numId="562" w16cid:durableId="198326654">
    <w:abstractNumId w:val="3"/>
  </w:num>
  <w:num w:numId="563" w16cid:durableId="619604870">
    <w:abstractNumId w:val="2"/>
  </w:num>
  <w:num w:numId="564" w16cid:durableId="1461067249">
    <w:abstractNumId w:val="1"/>
  </w:num>
  <w:num w:numId="565" w16cid:durableId="75441307">
    <w:abstractNumId w:val="0"/>
  </w:num>
  <w:num w:numId="566" w16cid:durableId="449008545">
    <w:abstractNumId w:val="9"/>
  </w:num>
  <w:num w:numId="567" w16cid:durableId="1254703256">
    <w:abstractNumId w:val="7"/>
  </w:num>
  <w:num w:numId="568" w16cid:durableId="1264537168">
    <w:abstractNumId w:val="6"/>
  </w:num>
  <w:num w:numId="569" w16cid:durableId="101263498">
    <w:abstractNumId w:val="5"/>
  </w:num>
  <w:num w:numId="570" w16cid:durableId="465783626">
    <w:abstractNumId w:val="4"/>
  </w:num>
  <w:num w:numId="571" w16cid:durableId="1200320135">
    <w:abstractNumId w:val="8"/>
  </w:num>
  <w:num w:numId="572" w16cid:durableId="1306860016">
    <w:abstractNumId w:val="3"/>
  </w:num>
  <w:num w:numId="573" w16cid:durableId="190533878">
    <w:abstractNumId w:val="2"/>
  </w:num>
  <w:num w:numId="574" w16cid:durableId="1507750555">
    <w:abstractNumId w:val="1"/>
  </w:num>
  <w:num w:numId="575" w16cid:durableId="346836308">
    <w:abstractNumId w:val="0"/>
  </w:num>
  <w:num w:numId="576" w16cid:durableId="907306225">
    <w:abstractNumId w:val="9"/>
  </w:num>
  <w:num w:numId="577" w16cid:durableId="103304510">
    <w:abstractNumId w:val="7"/>
  </w:num>
  <w:num w:numId="578" w16cid:durableId="1705249362">
    <w:abstractNumId w:val="6"/>
  </w:num>
  <w:num w:numId="579" w16cid:durableId="119342813">
    <w:abstractNumId w:val="5"/>
  </w:num>
  <w:num w:numId="580" w16cid:durableId="109327065">
    <w:abstractNumId w:val="4"/>
  </w:num>
  <w:num w:numId="581" w16cid:durableId="1341397965">
    <w:abstractNumId w:val="8"/>
  </w:num>
  <w:num w:numId="582" w16cid:durableId="595594571">
    <w:abstractNumId w:val="3"/>
  </w:num>
  <w:num w:numId="583" w16cid:durableId="1946384958">
    <w:abstractNumId w:val="2"/>
  </w:num>
  <w:num w:numId="584" w16cid:durableId="2070374332">
    <w:abstractNumId w:val="1"/>
  </w:num>
  <w:num w:numId="585" w16cid:durableId="645620796">
    <w:abstractNumId w:val="0"/>
  </w:num>
  <w:num w:numId="586" w16cid:durableId="1030184566">
    <w:abstractNumId w:val="9"/>
  </w:num>
  <w:num w:numId="587" w16cid:durableId="466095617">
    <w:abstractNumId w:val="7"/>
  </w:num>
  <w:num w:numId="588" w16cid:durableId="1307736655">
    <w:abstractNumId w:val="6"/>
  </w:num>
  <w:num w:numId="589" w16cid:durableId="111748976">
    <w:abstractNumId w:val="5"/>
  </w:num>
  <w:num w:numId="590" w16cid:durableId="117603775">
    <w:abstractNumId w:val="4"/>
  </w:num>
  <w:num w:numId="591" w16cid:durableId="574510093">
    <w:abstractNumId w:val="8"/>
  </w:num>
  <w:num w:numId="592" w16cid:durableId="1281720273">
    <w:abstractNumId w:val="3"/>
  </w:num>
  <w:num w:numId="593" w16cid:durableId="415592744">
    <w:abstractNumId w:val="2"/>
  </w:num>
  <w:num w:numId="594" w16cid:durableId="2143115360">
    <w:abstractNumId w:val="1"/>
  </w:num>
  <w:num w:numId="595" w16cid:durableId="647632561">
    <w:abstractNumId w:val="0"/>
  </w:num>
  <w:num w:numId="596" w16cid:durableId="210656692">
    <w:abstractNumId w:val="9"/>
  </w:num>
  <w:num w:numId="597" w16cid:durableId="944190283">
    <w:abstractNumId w:val="7"/>
  </w:num>
  <w:num w:numId="598" w16cid:durableId="449859510">
    <w:abstractNumId w:val="6"/>
  </w:num>
  <w:num w:numId="599" w16cid:durableId="2102601482">
    <w:abstractNumId w:val="5"/>
  </w:num>
  <w:num w:numId="600" w16cid:durableId="1843741804">
    <w:abstractNumId w:val="4"/>
  </w:num>
  <w:num w:numId="601" w16cid:durableId="1441411550">
    <w:abstractNumId w:val="8"/>
  </w:num>
  <w:num w:numId="602" w16cid:durableId="208880871">
    <w:abstractNumId w:val="3"/>
  </w:num>
  <w:num w:numId="603" w16cid:durableId="1014843550">
    <w:abstractNumId w:val="2"/>
  </w:num>
  <w:num w:numId="604" w16cid:durableId="1555773901">
    <w:abstractNumId w:val="1"/>
  </w:num>
  <w:num w:numId="605" w16cid:durableId="1890415382">
    <w:abstractNumId w:val="0"/>
  </w:num>
  <w:num w:numId="606" w16cid:durableId="1338775355">
    <w:abstractNumId w:val="9"/>
  </w:num>
  <w:num w:numId="607" w16cid:durableId="1837526874">
    <w:abstractNumId w:val="7"/>
  </w:num>
  <w:num w:numId="608" w16cid:durableId="1477256535">
    <w:abstractNumId w:val="6"/>
  </w:num>
  <w:num w:numId="609" w16cid:durableId="1473595059">
    <w:abstractNumId w:val="5"/>
  </w:num>
  <w:num w:numId="610" w16cid:durableId="1491287198">
    <w:abstractNumId w:val="4"/>
  </w:num>
  <w:num w:numId="611" w16cid:durableId="946044166">
    <w:abstractNumId w:val="8"/>
  </w:num>
  <w:num w:numId="612" w16cid:durableId="956834486">
    <w:abstractNumId w:val="3"/>
  </w:num>
  <w:num w:numId="613" w16cid:durableId="1828276503">
    <w:abstractNumId w:val="2"/>
  </w:num>
  <w:num w:numId="614" w16cid:durableId="811404356">
    <w:abstractNumId w:val="1"/>
  </w:num>
  <w:num w:numId="615" w16cid:durableId="1315375193">
    <w:abstractNumId w:val="0"/>
  </w:num>
  <w:num w:numId="616" w16cid:durableId="457841353">
    <w:abstractNumId w:val="9"/>
  </w:num>
  <w:num w:numId="617" w16cid:durableId="17657493">
    <w:abstractNumId w:val="7"/>
  </w:num>
  <w:num w:numId="618" w16cid:durableId="760638812">
    <w:abstractNumId w:val="6"/>
  </w:num>
  <w:num w:numId="619" w16cid:durableId="1793135254">
    <w:abstractNumId w:val="5"/>
  </w:num>
  <w:num w:numId="620" w16cid:durableId="102771647">
    <w:abstractNumId w:val="4"/>
  </w:num>
  <w:num w:numId="621" w16cid:durableId="459081253">
    <w:abstractNumId w:val="8"/>
  </w:num>
  <w:num w:numId="622" w16cid:durableId="10567823">
    <w:abstractNumId w:val="3"/>
  </w:num>
  <w:num w:numId="623" w16cid:durableId="32661115">
    <w:abstractNumId w:val="2"/>
  </w:num>
  <w:num w:numId="624" w16cid:durableId="1934126232">
    <w:abstractNumId w:val="1"/>
  </w:num>
  <w:num w:numId="625" w16cid:durableId="91557978">
    <w:abstractNumId w:val="0"/>
  </w:num>
  <w:num w:numId="626" w16cid:durableId="529027726">
    <w:abstractNumId w:val="9"/>
  </w:num>
  <w:num w:numId="627" w16cid:durableId="930699689">
    <w:abstractNumId w:val="7"/>
  </w:num>
  <w:num w:numId="628" w16cid:durableId="1211579520">
    <w:abstractNumId w:val="6"/>
  </w:num>
  <w:num w:numId="629" w16cid:durableId="1603763330">
    <w:abstractNumId w:val="5"/>
  </w:num>
  <w:num w:numId="630" w16cid:durableId="1527407899">
    <w:abstractNumId w:val="4"/>
  </w:num>
  <w:num w:numId="631" w16cid:durableId="1147553998">
    <w:abstractNumId w:val="8"/>
  </w:num>
  <w:num w:numId="632" w16cid:durableId="428821421">
    <w:abstractNumId w:val="3"/>
  </w:num>
  <w:num w:numId="633" w16cid:durableId="1619722684">
    <w:abstractNumId w:val="2"/>
  </w:num>
  <w:num w:numId="634" w16cid:durableId="1418674619">
    <w:abstractNumId w:val="1"/>
  </w:num>
  <w:num w:numId="635" w16cid:durableId="1665081921">
    <w:abstractNumId w:val="0"/>
  </w:num>
  <w:num w:numId="636" w16cid:durableId="1738477741">
    <w:abstractNumId w:val="9"/>
  </w:num>
  <w:num w:numId="637" w16cid:durableId="1217745071">
    <w:abstractNumId w:val="7"/>
  </w:num>
  <w:num w:numId="638" w16cid:durableId="40906017">
    <w:abstractNumId w:val="6"/>
  </w:num>
  <w:num w:numId="639" w16cid:durableId="1948388225">
    <w:abstractNumId w:val="5"/>
  </w:num>
  <w:num w:numId="640" w16cid:durableId="576477630">
    <w:abstractNumId w:val="4"/>
  </w:num>
  <w:num w:numId="641" w16cid:durableId="253322616">
    <w:abstractNumId w:val="8"/>
  </w:num>
  <w:num w:numId="642" w16cid:durableId="952201483">
    <w:abstractNumId w:val="3"/>
  </w:num>
  <w:num w:numId="643" w16cid:durableId="83452222">
    <w:abstractNumId w:val="2"/>
  </w:num>
  <w:num w:numId="644" w16cid:durableId="1836649614">
    <w:abstractNumId w:val="1"/>
  </w:num>
  <w:num w:numId="645" w16cid:durableId="703212240">
    <w:abstractNumId w:val="0"/>
  </w:num>
  <w:num w:numId="646" w16cid:durableId="1964533071">
    <w:abstractNumId w:val="103"/>
  </w:num>
  <w:num w:numId="647" w16cid:durableId="376777797">
    <w:abstractNumId w:val="9"/>
  </w:num>
  <w:num w:numId="648" w16cid:durableId="1825195611">
    <w:abstractNumId w:val="7"/>
  </w:num>
  <w:num w:numId="649" w16cid:durableId="10686540">
    <w:abstractNumId w:val="6"/>
  </w:num>
  <w:num w:numId="650" w16cid:durableId="1271861317">
    <w:abstractNumId w:val="5"/>
  </w:num>
  <w:num w:numId="651" w16cid:durableId="843469376">
    <w:abstractNumId w:val="4"/>
  </w:num>
  <w:num w:numId="652" w16cid:durableId="1802839881">
    <w:abstractNumId w:val="8"/>
  </w:num>
  <w:num w:numId="653" w16cid:durableId="393162300">
    <w:abstractNumId w:val="3"/>
  </w:num>
  <w:num w:numId="654" w16cid:durableId="589242123">
    <w:abstractNumId w:val="2"/>
  </w:num>
  <w:num w:numId="655" w16cid:durableId="884101570">
    <w:abstractNumId w:val="1"/>
  </w:num>
  <w:num w:numId="656" w16cid:durableId="1811243208">
    <w:abstractNumId w:val="0"/>
  </w:num>
  <w:num w:numId="657" w16cid:durableId="556861884">
    <w:abstractNumId w:val="9"/>
  </w:num>
  <w:num w:numId="658" w16cid:durableId="954022754">
    <w:abstractNumId w:val="7"/>
  </w:num>
  <w:num w:numId="659" w16cid:durableId="29965765">
    <w:abstractNumId w:val="6"/>
  </w:num>
  <w:num w:numId="660" w16cid:durableId="373237793">
    <w:abstractNumId w:val="5"/>
  </w:num>
  <w:num w:numId="661" w16cid:durableId="1998803540">
    <w:abstractNumId w:val="4"/>
  </w:num>
  <w:num w:numId="662" w16cid:durableId="918639556">
    <w:abstractNumId w:val="8"/>
  </w:num>
  <w:num w:numId="663" w16cid:durableId="211771910">
    <w:abstractNumId w:val="3"/>
  </w:num>
  <w:num w:numId="664" w16cid:durableId="2030327487">
    <w:abstractNumId w:val="2"/>
  </w:num>
  <w:num w:numId="665" w16cid:durableId="1665039578">
    <w:abstractNumId w:val="1"/>
  </w:num>
  <w:num w:numId="666" w16cid:durableId="1535650502">
    <w:abstractNumId w:val="0"/>
  </w:num>
  <w:num w:numId="667" w16cid:durableId="1126240483">
    <w:abstractNumId w:val="9"/>
  </w:num>
  <w:num w:numId="668" w16cid:durableId="767894127">
    <w:abstractNumId w:val="7"/>
  </w:num>
  <w:num w:numId="669" w16cid:durableId="1067260255">
    <w:abstractNumId w:val="6"/>
  </w:num>
  <w:num w:numId="670" w16cid:durableId="140968477">
    <w:abstractNumId w:val="5"/>
  </w:num>
  <w:num w:numId="671" w16cid:durableId="589049147">
    <w:abstractNumId w:val="4"/>
  </w:num>
  <w:num w:numId="672" w16cid:durableId="305203546">
    <w:abstractNumId w:val="8"/>
  </w:num>
  <w:num w:numId="673" w16cid:durableId="278489673">
    <w:abstractNumId w:val="3"/>
  </w:num>
  <w:num w:numId="674" w16cid:durableId="1997372522">
    <w:abstractNumId w:val="2"/>
  </w:num>
  <w:num w:numId="675" w16cid:durableId="1453209421">
    <w:abstractNumId w:val="1"/>
  </w:num>
  <w:num w:numId="676" w16cid:durableId="935987361">
    <w:abstractNumId w:val="0"/>
  </w:num>
  <w:num w:numId="677" w16cid:durableId="169102012">
    <w:abstractNumId w:val="9"/>
  </w:num>
  <w:num w:numId="678" w16cid:durableId="1645085116">
    <w:abstractNumId w:val="7"/>
  </w:num>
  <w:num w:numId="679" w16cid:durableId="1261571772">
    <w:abstractNumId w:val="6"/>
  </w:num>
  <w:num w:numId="680" w16cid:durableId="92241164">
    <w:abstractNumId w:val="5"/>
  </w:num>
  <w:num w:numId="681" w16cid:durableId="1180437760">
    <w:abstractNumId w:val="4"/>
  </w:num>
  <w:num w:numId="682" w16cid:durableId="122770315">
    <w:abstractNumId w:val="8"/>
  </w:num>
  <w:num w:numId="683" w16cid:durableId="1973321">
    <w:abstractNumId w:val="3"/>
  </w:num>
  <w:num w:numId="684" w16cid:durableId="770855363">
    <w:abstractNumId w:val="2"/>
  </w:num>
  <w:num w:numId="685" w16cid:durableId="1357194591">
    <w:abstractNumId w:val="1"/>
  </w:num>
  <w:num w:numId="686" w16cid:durableId="417098443">
    <w:abstractNumId w:val="0"/>
  </w:num>
  <w:num w:numId="687" w16cid:durableId="1928616170">
    <w:abstractNumId w:val="9"/>
  </w:num>
  <w:num w:numId="688" w16cid:durableId="445541921">
    <w:abstractNumId w:val="7"/>
  </w:num>
  <w:num w:numId="689" w16cid:durableId="1840121603">
    <w:abstractNumId w:val="6"/>
  </w:num>
  <w:num w:numId="690" w16cid:durableId="669482052">
    <w:abstractNumId w:val="5"/>
  </w:num>
  <w:num w:numId="691" w16cid:durableId="1179779842">
    <w:abstractNumId w:val="4"/>
  </w:num>
  <w:num w:numId="692" w16cid:durableId="592707855">
    <w:abstractNumId w:val="8"/>
  </w:num>
  <w:num w:numId="693" w16cid:durableId="894241151">
    <w:abstractNumId w:val="3"/>
  </w:num>
  <w:num w:numId="694" w16cid:durableId="583563462">
    <w:abstractNumId w:val="2"/>
  </w:num>
  <w:num w:numId="695" w16cid:durableId="1440679667">
    <w:abstractNumId w:val="1"/>
  </w:num>
  <w:num w:numId="696" w16cid:durableId="663359526">
    <w:abstractNumId w:val="0"/>
  </w:num>
  <w:num w:numId="697" w16cid:durableId="194851322">
    <w:abstractNumId w:val="9"/>
  </w:num>
  <w:num w:numId="698" w16cid:durableId="2066247441">
    <w:abstractNumId w:val="7"/>
  </w:num>
  <w:num w:numId="699" w16cid:durableId="314337192">
    <w:abstractNumId w:val="6"/>
  </w:num>
  <w:num w:numId="700" w16cid:durableId="498349034">
    <w:abstractNumId w:val="5"/>
  </w:num>
  <w:num w:numId="701" w16cid:durableId="1947076016">
    <w:abstractNumId w:val="4"/>
  </w:num>
  <w:num w:numId="702" w16cid:durableId="394863472">
    <w:abstractNumId w:val="8"/>
  </w:num>
  <w:num w:numId="703" w16cid:durableId="380835455">
    <w:abstractNumId w:val="3"/>
  </w:num>
  <w:num w:numId="704" w16cid:durableId="1185636844">
    <w:abstractNumId w:val="2"/>
  </w:num>
  <w:num w:numId="705" w16cid:durableId="680592726">
    <w:abstractNumId w:val="1"/>
  </w:num>
  <w:num w:numId="706" w16cid:durableId="237516179">
    <w:abstractNumId w:val="0"/>
  </w:num>
  <w:num w:numId="707" w16cid:durableId="1476022645">
    <w:abstractNumId w:val="9"/>
  </w:num>
  <w:num w:numId="708" w16cid:durableId="1504929397">
    <w:abstractNumId w:val="7"/>
  </w:num>
  <w:num w:numId="709" w16cid:durableId="1113016178">
    <w:abstractNumId w:val="6"/>
  </w:num>
  <w:num w:numId="710" w16cid:durableId="1493521651">
    <w:abstractNumId w:val="5"/>
  </w:num>
  <w:num w:numId="711" w16cid:durableId="135144412">
    <w:abstractNumId w:val="4"/>
  </w:num>
  <w:num w:numId="712" w16cid:durableId="2061395109">
    <w:abstractNumId w:val="8"/>
  </w:num>
  <w:num w:numId="713" w16cid:durableId="270748410">
    <w:abstractNumId w:val="3"/>
  </w:num>
  <w:num w:numId="714" w16cid:durableId="1176306941">
    <w:abstractNumId w:val="2"/>
  </w:num>
  <w:num w:numId="715" w16cid:durableId="869805614">
    <w:abstractNumId w:val="1"/>
  </w:num>
  <w:num w:numId="716" w16cid:durableId="1552155798">
    <w:abstractNumId w:val="0"/>
  </w:num>
  <w:num w:numId="717" w16cid:durableId="335349889">
    <w:abstractNumId w:val="9"/>
  </w:num>
  <w:num w:numId="718" w16cid:durableId="265888568">
    <w:abstractNumId w:val="7"/>
  </w:num>
  <w:num w:numId="719" w16cid:durableId="751514246">
    <w:abstractNumId w:val="6"/>
  </w:num>
  <w:num w:numId="720" w16cid:durableId="1906447342">
    <w:abstractNumId w:val="5"/>
  </w:num>
  <w:num w:numId="721" w16cid:durableId="206915928">
    <w:abstractNumId w:val="4"/>
  </w:num>
  <w:num w:numId="722" w16cid:durableId="1689526546">
    <w:abstractNumId w:val="8"/>
  </w:num>
  <w:num w:numId="723" w16cid:durableId="961110594">
    <w:abstractNumId w:val="3"/>
  </w:num>
  <w:num w:numId="724" w16cid:durableId="574047794">
    <w:abstractNumId w:val="2"/>
  </w:num>
  <w:num w:numId="725" w16cid:durableId="1753120508">
    <w:abstractNumId w:val="1"/>
  </w:num>
  <w:num w:numId="726" w16cid:durableId="1976830923">
    <w:abstractNumId w:val="0"/>
  </w:num>
  <w:num w:numId="727" w16cid:durableId="364865019">
    <w:abstractNumId w:val="9"/>
  </w:num>
  <w:num w:numId="728" w16cid:durableId="1991403017">
    <w:abstractNumId w:val="7"/>
  </w:num>
  <w:num w:numId="729" w16cid:durableId="1546791728">
    <w:abstractNumId w:val="6"/>
  </w:num>
  <w:num w:numId="730" w16cid:durableId="196359281">
    <w:abstractNumId w:val="5"/>
  </w:num>
  <w:num w:numId="731" w16cid:durableId="78215410">
    <w:abstractNumId w:val="4"/>
  </w:num>
  <w:num w:numId="732" w16cid:durableId="947391498">
    <w:abstractNumId w:val="8"/>
  </w:num>
  <w:num w:numId="733" w16cid:durableId="253520093">
    <w:abstractNumId w:val="3"/>
  </w:num>
  <w:num w:numId="734" w16cid:durableId="1359165137">
    <w:abstractNumId w:val="2"/>
  </w:num>
  <w:num w:numId="735" w16cid:durableId="728461461">
    <w:abstractNumId w:val="1"/>
  </w:num>
  <w:num w:numId="736" w16cid:durableId="116067189">
    <w:abstractNumId w:val="0"/>
  </w:num>
  <w:num w:numId="737" w16cid:durableId="134297320">
    <w:abstractNumId w:val="9"/>
  </w:num>
  <w:num w:numId="738" w16cid:durableId="466747536">
    <w:abstractNumId w:val="7"/>
  </w:num>
  <w:num w:numId="739" w16cid:durableId="416370104">
    <w:abstractNumId w:val="6"/>
  </w:num>
  <w:num w:numId="740" w16cid:durableId="444663518">
    <w:abstractNumId w:val="5"/>
  </w:num>
  <w:num w:numId="741" w16cid:durableId="1514104128">
    <w:abstractNumId w:val="4"/>
  </w:num>
  <w:num w:numId="742" w16cid:durableId="1462721715">
    <w:abstractNumId w:val="8"/>
  </w:num>
  <w:num w:numId="743" w16cid:durableId="618607017">
    <w:abstractNumId w:val="3"/>
  </w:num>
  <w:num w:numId="744" w16cid:durableId="2040546534">
    <w:abstractNumId w:val="2"/>
  </w:num>
  <w:num w:numId="745" w16cid:durableId="765079621">
    <w:abstractNumId w:val="1"/>
  </w:num>
  <w:num w:numId="746" w16cid:durableId="763113238">
    <w:abstractNumId w:val="0"/>
  </w:num>
  <w:num w:numId="747" w16cid:durableId="1659266794">
    <w:abstractNumId w:val="9"/>
  </w:num>
  <w:num w:numId="748" w16cid:durableId="791901764">
    <w:abstractNumId w:val="7"/>
  </w:num>
  <w:num w:numId="749" w16cid:durableId="115107571">
    <w:abstractNumId w:val="6"/>
  </w:num>
  <w:num w:numId="750" w16cid:durableId="1840660471">
    <w:abstractNumId w:val="5"/>
  </w:num>
  <w:num w:numId="751" w16cid:durableId="798648970">
    <w:abstractNumId w:val="4"/>
  </w:num>
  <w:num w:numId="752" w16cid:durableId="103615005">
    <w:abstractNumId w:val="8"/>
  </w:num>
  <w:num w:numId="753" w16cid:durableId="2030908038">
    <w:abstractNumId w:val="3"/>
  </w:num>
  <w:num w:numId="754" w16cid:durableId="62071788">
    <w:abstractNumId w:val="2"/>
  </w:num>
  <w:num w:numId="755" w16cid:durableId="1984699042">
    <w:abstractNumId w:val="1"/>
  </w:num>
  <w:num w:numId="756" w16cid:durableId="476995686">
    <w:abstractNumId w:val="0"/>
  </w:num>
  <w:num w:numId="757" w16cid:durableId="1388452300">
    <w:abstractNumId w:val="9"/>
  </w:num>
  <w:num w:numId="758" w16cid:durableId="1854345459">
    <w:abstractNumId w:val="7"/>
  </w:num>
  <w:num w:numId="759" w16cid:durableId="1384211905">
    <w:abstractNumId w:val="6"/>
  </w:num>
  <w:num w:numId="760" w16cid:durableId="59527177">
    <w:abstractNumId w:val="5"/>
  </w:num>
  <w:num w:numId="761" w16cid:durableId="1610963577">
    <w:abstractNumId w:val="4"/>
  </w:num>
  <w:num w:numId="762" w16cid:durableId="127938163">
    <w:abstractNumId w:val="8"/>
  </w:num>
  <w:num w:numId="763" w16cid:durableId="1259633661">
    <w:abstractNumId w:val="3"/>
  </w:num>
  <w:num w:numId="764" w16cid:durableId="2049526592">
    <w:abstractNumId w:val="2"/>
  </w:num>
  <w:num w:numId="765" w16cid:durableId="1287858796">
    <w:abstractNumId w:val="1"/>
  </w:num>
  <w:num w:numId="766" w16cid:durableId="1756896449">
    <w:abstractNumId w:val="0"/>
  </w:num>
  <w:num w:numId="767" w16cid:durableId="1503084332">
    <w:abstractNumId w:val="9"/>
  </w:num>
  <w:num w:numId="768" w16cid:durableId="1779333431">
    <w:abstractNumId w:val="7"/>
  </w:num>
  <w:num w:numId="769" w16cid:durableId="1980257604">
    <w:abstractNumId w:val="6"/>
  </w:num>
  <w:num w:numId="770" w16cid:durableId="1966226863">
    <w:abstractNumId w:val="5"/>
  </w:num>
  <w:num w:numId="771" w16cid:durableId="1492015862">
    <w:abstractNumId w:val="4"/>
  </w:num>
  <w:num w:numId="772" w16cid:durableId="146096627">
    <w:abstractNumId w:val="8"/>
  </w:num>
  <w:num w:numId="773" w16cid:durableId="1636763777">
    <w:abstractNumId w:val="3"/>
  </w:num>
  <w:num w:numId="774" w16cid:durableId="1416853701">
    <w:abstractNumId w:val="2"/>
  </w:num>
  <w:num w:numId="775" w16cid:durableId="503129584">
    <w:abstractNumId w:val="1"/>
  </w:num>
  <w:num w:numId="776" w16cid:durableId="1002050137">
    <w:abstractNumId w:val="0"/>
  </w:num>
  <w:num w:numId="777" w16cid:durableId="1392146174">
    <w:abstractNumId w:val="76"/>
  </w:num>
  <w:num w:numId="778" w16cid:durableId="957757391">
    <w:abstractNumId w:val="9"/>
  </w:num>
  <w:num w:numId="779" w16cid:durableId="1573082818">
    <w:abstractNumId w:val="7"/>
  </w:num>
  <w:num w:numId="780" w16cid:durableId="1263804496">
    <w:abstractNumId w:val="6"/>
  </w:num>
  <w:num w:numId="781" w16cid:durableId="1335765403">
    <w:abstractNumId w:val="5"/>
  </w:num>
  <w:num w:numId="782" w16cid:durableId="718355917">
    <w:abstractNumId w:val="4"/>
  </w:num>
  <w:num w:numId="783" w16cid:durableId="1655259667">
    <w:abstractNumId w:val="8"/>
  </w:num>
  <w:num w:numId="784" w16cid:durableId="1121656812">
    <w:abstractNumId w:val="3"/>
  </w:num>
  <w:num w:numId="785" w16cid:durableId="35010953">
    <w:abstractNumId w:val="2"/>
  </w:num>
  <w:num w:numId="786" w16cid:durableId="484902009">
    <w:abstractNumId w:val="1"/>
  </w:num>
  <w:num w:numId="787" w16cid:durableId="1774208953">
    <w:abstractNumId w:val="0"/>
  </w:num>
  <w:num w:numId="788" w16cid:durableId="1806700959">
    <w:abstractNumId w:val="9"/>
  </w:num>
  <w:num w:numId="789" w16cid:durableId="2008945744">
    <w:abstractNumId w:val="7"/>
  </w:num>
  <w:num w:numId="790" w16cid:durableId="186527025">
    <w:abstractNumId w:val="6"/>
  </w:num>
  <w:num w:numId="791" w16cid:durableId="1040595422">
    <w:abstractNumId w:val="5"/>
  </w:num>
  <w:num w:numId="792" w16cid:durableId="1932736604">
    <w:abstractNumId w:val="4"/>
  </w:num>
  <w:num w:numId="793" w16cid:durableId="1194462254">
    <w:abstractNumId w:val="8"/>
  </w:num>
  <w:num w:numId="794" w16cid:durableId="1903634529">
    <w:abstractNumId w:val="3"/>
  </w:num>
  <w:num w:numId="795" w16cid:durableId="1614707313">
    <w:abstractNumId w:val="2"/>
  </w:num>
  <w:num w:numId="796" w16cid:durableId="1774321989">
    <w:abstractNumId w:val="1"/>
  </w:num>
  <w:num w:numId="797" w16cid:durableId="2000889213">
    <w:abstractNumId w:val="0"/>
  </w:num>
  <w:num w:numId="798" w16cid:durableId="963199277">
    <w:abstractNumId w:val="60"/>
  </w:num>
  <w:num w:numId="799" w16cid:durableId="2086341199">
    <w:abstractNumId w:val="9"/>
  </w:num>
  <w:num w:numId="800" w16cid:durableId="374476006">
    <w:abstractNumId w:val="7"/>
  </w:num>
  <w:num w:numId="801" w16cid:durableId="1601526234">
    <w:abstractNumId w:val="6"/>
  </w:num>
  <w:num w:numId="802" w16cid:durableId="854727925">
    <w:abstractNumId w:val="5"/>
  </w:num>
  <w:num w:numId="803" w16cid:durableId="1595046181">
    <w:abstractNumId w:val="4"/>
  </w:num>
  <w:num w:numId="804" w16cid:durableId="775952521">
    <w:abstractNumId w:val="8"/>
  </w:num>
  <w:num w:numId="805" w16cid:durableId="103312842">
    <w:abstractNumId w:val="3"/>
  </w:num>
  <w:num w:numId="806" w16cid:durableId="1872065357">
    <w:abstractNumId w:val="2"/>
  </w:num>
  <w:num w:numId="807" w16cid:durableId="1555265834">
    <w:abstractNumId w:val="1"/>
  </w:num>
  <w:num w:numId="808" w16cid:durableId="1301157101">
    <w:abstractNumId w:val="0"/>
  </w:num>
  <w:num w:numId="809" w16cid:durableId="764182233">
    <w:abstractNumId w:val="9"/>
  </w:num>
  <w:num w:numId="810" w16cid:durableId="263195806">
    <w:abstractNumId w:val="7"/>
  </w:num>
  <w:num w:numId="811" w16cid:durableId="425272312">
    <w:abstractNumId w:val="6"/>
  </w:num>
  <w:num w:numId="812" w16cid:durableId="2039815345">
    <w:abstractNumId w:val="5"/>
  </w:num>
  <w:num w:numId="813" w16cid:durableId="868689345">
    <w:abstractNumId w:val="4"/>
  </w:num>
  <w:num w:numId="814" w16cid:durableId="840239778">
    <w:abstractNumId w:val="8"/>
  </w:num>
  <w:num w:numId="815" w16cid:durableId="20476116">
    <w:abstractNumId w:val="3"/>
  </w:num>
  <w:num w:numId="816" w16cid:durableId="182742065">
    <w:abstractNumId w:val="2"/>
  </w:num>
  <w:num w:numId="817" w16cid:durableId="810251818">
    <w:abstractNumId w:val="1"/>
  </w:num>
  <w:num w:numId="818" w16cid:durableId="2118787614">
    <w:abstractNumId w:val="0"/>
  </w:num>
  <w:num w:numId="819" w16cid:durableId="1973947430">
    <w:abstractNumId w:val="9"/>
  </w:num>
  <w:num w:numId="820" w16cid:durableId="960305195">
    <w:abstractNumId w:val="7"/>
  </w:num>
  <w:num w:numId="821" w16cid:durableId="1403915958">
    <w:abstractNumId w:val="6"/>
  </w:num>
  <w:num w:numId="822" w16cid:durableId="627324345">
    <w:abstractNumId w:val="5"/>
  </w:num>
  <w:num w:numId="823" w16cid:durableId="1491943101">
    <w:abstractNumId w:val="4"/>
  </w:num>
  <w:num w:numId="824" w16cid:durableId="645667204">
    <w:abstractNumId w:val="8"/>
  </w:num>
  <w:num w:numId="825" w16cid:durableId="633288945">
    <w:abstractNumId w:val="3"/>
  </w:num>
  <w:num w:numId="826" w16cid:durableId="910888808">
    <w:abstractNumId w:val="2"/>
  </w:num>
  <w:num w:numId="827" w16cid:durableId="416172529">
    <w:abstractNumId w:val="1"/>
  </w:num>
  <w:num w:numId="828" w16cid:durableId="285620609">
    <w:abstractNumId w:val="0"/>
  </w:num>
  <w:num w:numId="829" w16cid:durableId="1645042411">
    <w:abstractNumId w:val="9"/>
  </w:num>
  <w:num w:numId="830" w16cid:durableId="1877347960">
    <w:abstractNumId w:val="7"/>
  </w:num>
  <w:num w:numId="831" w16cid:durableId="1755086185">
    <w:abstractNumId w:val="6"/>
  </w:num>
  <w:num w:numId="832" w16cid:durableId="1682659948">
    <w:abstractNumId w:val="5"/>
  </w:num>
  <w:num w:numId="833" w16cid:durableId="310790075">
    <w:abstractNumId w:val="4"/>
  </w:num>
  <w:num w:numId="834" w16cid:durableId="1118140963">
    <w:abstractNumId w:val="8"/>
  </w:num>
  <w:num w:numId="835" w16cid:durableId="491410856">
    <w:abstractNumId w:val="3"/>
  </w:num>
  <w:num w:numId="836" w16cid:durableId="1840804682">
    <w:abstractNumId w:val="2"/>
  </w:num>
  <w:num w:numId="837" w16cid:durableId="1473520829">
    <w:abstractNumId w:val="1"/>
  </w:num>
  <w:num w:numId="838" w16cid:durableId="2113629110">
    <w:abstractNumId w:val="0"/>
  </w:num>
  <w:num w:numId="839" w16cid:durableId="2127386262">
    <w:abstractNumId w:val="9"/>
  </w:num>
  <w:num w:numId="840" w16cid:durableId="1082751309">
    <w:abstractNumId w:val="7"/>
  </w:num>
  <w:num w:numId="841" w16cid:durableId="1888105673">
    <w:abstractNumId w:val="6"/>
  </w:num>
  <w:num w:numId="842" w16cid:durableId="1493839680">
    <w:abstractNumId w:val="5"/>
  </w:num>
  <w:num w:numId="843" w16cid:durableId="395780902">
    <w:abstractNumId w:val="4"/>
  </w:num>
  <w:num w:numId="844" w16cid:durableId="1893032971">
    <w:abstractNumId w:val="8"/>
  </w:num>
  <w:num w:numId="845" w16cid:durableId="349067107">
    <w:abstractNumId w:val="3"/>
  </w:num>
  <w:num w:numId="846" w16cid:durableId="311914001">
    <w:abstractNumId w:val="2"/>
  </w:num>
  <w:num w:numId="847" w16cid:durableId="1325468721">
    <w:abstractNumId w:val="1"/>
  </w:num>
  <w:num w:numId="848" w16cid:durableId="235483376">
    <w:abstractNumId w:val="0"/>
  </w:num>
  <w:num w:numId="849" w16cid:durableId="429129896">
    <w:abstractNumId w:val="9"/>
  </w:num>
  <w:num w:numId="850" w16cid:durableId="105127803">
    <w:abstractNumId w:val="7"/>
  </w:num>
  <w:num w:numId="851" w16cid:durableId="878279624">
    <w:abstractNumId w:val="6"/>
  </w:num>
  <w:num w:numId="852" w16cid:durableId="1258564383">
    <w:abstractNumId w:val="5"/>
  </w:num>
  <w:num w:numId="853" w16cid:durableId="1856797045">
    <w:abstractNumId w:val="4"/>
  </w:num>
  <w:num w:numId="854" w16cid:durableId="597954491">
    <w:abstractNumId w:val="8"/>
  </w:num>
  <w:num w:numId="855" w16cid:durableId="1714454127">
    <w:abstractNumId w:val="3"/>
  </w:num>
  <w:num w:numId="856" w16cid:durableId="1329482366">
    <w:abstractNumId w:val="2"/>
  </w:num>
  <w:num w:numId="857" w16cid:durableId="68188632">
    <w:abstractNumId w:val="1"/>
  </w:num>
  <w:num w:numId="858" w16cid:durableId="1335843316">
    <w:abstractNumId w:val="0"/>
  </w:num>
  <w:num w:numId="859" w16cid:durableId="816651102">
    <w:abstractNumId w:val="9"/>
  </w:num>
  <w:num w:numId="860" w16cid:durableId="200171235">
    <w:abstractNumId w:val="7"/>
  </w:num>
  <w:num w:numId="861" w16cid:durableId="1122991302">
    <w:abstractNumId w:val="6"/>
  </w:num>
  <w:num w:numId="862" w16cid:durableId="286202867">
    <w:abstractNumId w:val="5"/>
  </w:num>
  <w:num w:numId="863" w16cid:durableId="1035275048">
    <w:abstractNumId w:val="4"/>
  </w:num>
  <w:num w:numId="864" w16cid:durableId="405884043">
    <w:abstractNumId w:val="8"/>
  </w:num>
  <w:num w:numId="865" w16cid:durableId="2069303879">
    <w:abstractNumId w:val="3"/>
  </w:num>
  <w:num w:numId="866" w16cid:durableId="490875449">
    <w:abstractNumId w:val="2"/>
  </w:num>
  <w:num w:numId="867" w16cid:durableId="1172985564">
    <w:abstractNumId w:val="1"/>
  </w:num>
  <w:num w:numId="868" w16cid:durableId="1898782605">
    <w:abstractNumId w:val="0"/>
  </w:num>
  <w:num w:numId="869" w16cid:durableId="1819951435">
    <w:abstractNumId w:val="9"/>
  </w:num>
  <w:num w:numId="870" w16cid:durableId="337002292">
    <w:abstractNumId w:val="7"/>
  </w:num>
  <w:num w:numId="871" w16cid:durableId="1066997209">
    <w:abstractNumId w:val="6"/>
  </w:num>
  <w:num w:numId="872" w16cid:durableId="270557627">
    <w:abstractNumId w:val="5"/>
  </w:num>
  <w:num w:numId="873" w16cid:durableId="808279435">
    <w:abstractNumId w:val="4"/>
  </w:num>
  <w:num w:numId="874" w16cid:durableId="454060049">
    <w:abstractNumId w:val="8"/>
  </w:num>
  <w:num w:numId="875" w16cid:durableId="1015768872">
    <w:abstractNumId w:val="3"/>
  </w:num>
  <w:num w:numId="876" w16cid:durableId="226494977">
    <w:abstractNumId w:val="2"/>
  </w:num>
  <w:num w:numId="877" w16cid:durableId="1705323892">
    <w:abstractNumId w:val="1"/>
  </w:num>
  <w:num w:numId="878" w16cid:durableId="929392266">
    <w:abstractNumId w:val="0"/>
  </w:num>
  <w:num w:numId="879" w16cid:durableId="1258057709">
    <w:abstractNumId w:val="9"/>
  </w:num>
  <w:num w:numId="880" w16cid:durableId="2076395570">
    <w:abstractNumId w:val="7"/>
  </w:num>
  <w:num w:numId="881" w16cid:durableId="1128015394">
    <w:abstractNumId w:val="6"/>
  </w:num>
  <w:num w:numId="882" w16cid:durableId="803698225">
    <w:abstractNumId w:val="5"/>
  </w:num>
  <w:num w:numId="883" w16cid:durableId="1840540680">
    <w:abstractNumId w:val="4"/>
  </w:num>
  <w:num w:numId="884" w16cid:durableId="239675841">
    <w:abstractNumId w:val="8"/>
  </w:num>
  <w:num w:numId="885" w16cid:durableId="995689209">
    <w:abstractNumId w:val="3"/>
  </w:num>
  <w:num w:numId="886" w16cid:durableId="726760067">
    <w:abstractNumId w:val="2"/>
  </w:num>
  <w:num w:numId="887" w16cid:durableId="2145390893">
    <w:abstractNumId w:val="1"/>
  </w:num>
  <w:num w:numId="888" w16cid:durableId="1572617668">
    <w:abstractNumId w:val="0"/>
  </w:num>
  <w:num w:numId="889" w16cid:durableId="974717858">
    <w:abstractNumId w:val="9"/>
  </w:num>
  <w:num w:numId="890" w16cid:durableId="470907886">
    <w:abstractNumId w:val="7"/>
  </w:num>
  <w:num w:numId="891" w16cid:durableId="1607888793">
    <w:abstractNumId w:val="6"/>
  </w:num>
  <w:num w:numId="892" w16cid:durableId="1980261308">
    <w:abstractNumId w:val="5"/>
  </w:num>
  <w:num w:numId="893" w16cid:durableId="292637452">
    <w:abstractNumId w:val="4"/>
  </w:num>
  <w:num w:numId="894" w16cid:durableId="564071801">
    <w:abstractNumId w:val="8"/>
  </w:num>
  <w:num w:numId="895" w16cid:durableId="1167945048">
    <w:abstractNumId w:val="3"/>
  </w:num>
  <w:num w:numId="896" w16cid:durableId="234166862">
    <w:abstractNumId w:val="2"/>
  </w:num>
  <w:num w:numId="897" w16cid:durableId="217983286">
    <w:abstractNumId w:val="1"/>
  </w:num>
  <w:num w:numId="898" w16cid:durableId="1435903780">
    <w:abstractNumId w:val="0"/>
  </w:num>
  <w:num w:numId="899" w16cid:durableId="854660344">
    <w:abstractNumId w:val="9"/>
  </w:num>
  <w:num w:numId="900" w16cid:durableId="164712526">
    <w:abstractNumId w:val="7"/>
  </w:num>
  <w:num w:numId="901" w16cid:durableId="648634299">
    <w:abstractNumId w:val="6"/>
  </w:num>
  <w:num w:numId="902" w16cid:durableId="1071656360">
    <w:abstractNumId w:val="5"/>
  </w:num>
  <w:num w:numId="903" w16cid:durableId="1419866973">
    <w:abstractNumId w:val="4"/>
  </w:num>
  <w:num w:numId="904" w16cid:durableId="1153059725">
    <w:abstractNumId w:val="8"/>
  </w:num>
  <w:num w:numId="905" w16cid:durableId="531843441">
    <w:abstractNumId w:val="3"/>
  </w:num>
  <w:num w:numId="906" w16cid:durableId="1143349700">
    <w:abstractNumId w:val="2"/>
  </w:num>
  <w:num w:numId="907" w16cid:durableId="95905459">
    <w:abstractNumId w:val="1"/>
  </w:num>
  <w:num w:numId="908" w16cid:durableId="2101294253">
    <w:abstractNumId w:val="0"/>
  </w:num>
  <w:num w:numId="909" w16cid:durableId="1806317513">
    <w:abstractNumId w:val="9"/>
  </w:num>
  <w:num w:numId="910" w16cid:durableId="689452466">
    <w:abstractNumId w:val="7"/>
  </w:num>
  <w:num w:numId="911" w16cid:durableId="478353185">
    <w:abstractNumId w:val="6"/>
  </w:num>
  <w:num w:numId="912" w16cid:durableId="1351105553">
    <w:abstractNumId w:val="5"/>
  </w:num>
  <w:num w:numId="913" w16cid:durableId="1608384529">
    <w:abstractNumId w:val="4"/>
  </w:num>
  <w:num w:numId="914" w16cid:durableId="247887848">
    <w:abstractNumId w:val="8"/>
  </w:num>
  <w:num w:numId="915" w16cid:durableId="338968418">
    <w:abstractNumId w:val="3"/>
  </w:num>
  <w:num w:numId="916" w16cid:durableId="2101362905">
    <w:abstractNumId w:val="2"/>
  </w:num>
  <w:num w:numId="917" w16cid:durableId="573783245">
    <w:abstractNumId w:val="1"/>
  </w:num>
  <w:num w:numId="918" w16cid:durableId="1249120685">
    <w:abstractNumId w:val="0"/>
  </w:num>
  <w:num w:numId="919" w16cid:durableId="1153329661">
    <w:abstractNumId w:val="9"/>
  </w:num>
  <w:num w:numId="920" w16cid:durableId="1587879772">
    <w:abstractNumId w:val="7"/>
  </w:num>
  <w:num w:numId="921" w16cid:durableId="407845334">
    <w:abstractNumId w:val="6"/>
  </w:num>
  <w:num w:numId="922" w16cid:durableId="821042710">
    <w:abstractNumId w:val="5"/>
  </w:num>
  <w:num w:numId="923" w16cid:durableId="838275043">
    <w:abstractNumId w:val="4"/>
  </w:num>
  <w:num w:numId="924" w16cid:durableId="432287047">
    <w:abstractNumId w:val="8"/>
  </w:num>
  <w:num w:numId="925" w16cid:durableId="578830826">
    <w:abstractNumId w:val="3"/>
  </w:num>
  <w:num w:numId="926" w16cid:durableId="229311120">
    <w:abstractNumId w:val="2"/>
  </w:num>
  <w:num w:numId="927" w16cid:durableId="1742940660">
    <w:abstractNumId w:val="1"/>
  </w:num>
  <w:num w:numId="928" w16cid:durableId="1805931196">
    <w:abstractNumId w:val="0"/>
  </w:num>
  <w:num w:numId="929" w16cid:durableId="1279725988">
    <w:abstractNumId w:val="9"/>
  </w:num>
  <w:num w:numId="930" w16cid:durableId="365181296">
    <w:abstractNumId w:val="7"/>
  </w:num>
  <w:num w:numId="931" w16cid:durableId="1807701499">
    <w:abstractNumId w:val="6"/>
  </w:num>
  <w:num w:numId="932" w16cid:durableId="1362705366">
    <w:abstractNumId w:val="5"/>
  </w:num>
  <w:num w:numId="933" w16cid:durableId="1737897391">
    <w:abstractNumId w:val="4"/>
  </w:num>
  <w:num w:numId="934" w16cid:durableId="1357316623">
    <w:abstractNumId w:val="8"/>
  </w:num>
  <w:num w:numId="935" w16cid:durableId="1307736771">
    <w:abstractNumId w:val="3"/>
  </w:num>
  <w:num w:numId="936" w16cid:durableId="409234230">
    <w:abstractNumId w:val="2"/>
  </w:num>
  <w:num w:numId="937" w16cid:durableId="2072579820">
    <w:abstractNumId w:val="1"/>
  </w:num>
  <w:num w:numId="938" w16cid:durableId="1800344735">
    <w:abstractNumId w:val="0"/>
  </w:num>
  <w:num w:numId="939" w16cid:durableId="1684211133">
    <w:abstractNumId w:val="9"/>
  </w:num>
  <w:num w:numId="940" w16cid:durableId="1656105235">
    <w:abstractNumId w:val="7"/>
  </w:num>
  <w:num w:numId="941" w16cid:durableId="239993687">
    <w:abstractNumId w:val="6"/>
  </w:num>
  <w:num w:numId="942" w16cid:durableId="716202519">
    <w:abstractNumId w:val="5"/>
  </w:num>
  <w:num w:numId="943" w16cid:durableId="455877885">
    <w:abstractNumId w:val="4"/>
  </w:num>
  <w:num w:numId="944" w16cid:durableId="538247368">
    <w:abstractNumId w:val="8"/>
  </w:num>
  <w:num w:numId="945" w16cid:durableId="356346467">
    <w:abstractNumId w:val="3"/>
  </w:num>
  <w:num w:numId="946" w16cid:durableId="1662344674">
    <w:abstractNumId w:val="2"/>
  </w:num>
  <w:num w:numId="947" w16cid:durableId="101343315">
    <w:abstractNumId w:val="1"/>
  </w:num>
  <w:num w:numId="948" w16cid:durableId="638919109">
    <w:abstractNumId w:val="0"/>
  </w:num>
  <w:num w:numId="949" w16cid:durableId="1836141304">
    <w:abstractNumId w:val="9"/>
  </w:num>
  <w:num w:numId="950" w16cid:durableId="2070765721">
    <w:abstractNumId w:val="7"/>
  </w:num>
  <w:num w:numId="951" w16cid:durableId="115216587">
    <w:abstractNumId w:val="6"/>
  </w:num>
  <w:num w:numId="952" w16cid:durableId="696079791">
    <w:abstractNumId w:val="5"/>
  </w:num>
  <w:num w:numId="953" w16cid:durableId="799030855">
    <w:abstractNumId w:val="4"/>
  </w:num>
  <w:num w:numId="954" w16cid:durableId="1886597085">
    <w:abstractNumId w:val="8"/>
  </w:num>
  <w:num w:numId="955" w16cid:durableId="1219315492">
    <w:abstractNumId w:val="3"/>
  </w:num>
  <w:num w:numId="956" w16cid:durableId="548952916">
    <w:abstractNumId w:val="2"/>
  </w:num>
  <w:num w:numId="957" w16cid:durableId="1668704203">
    <w:abstractNumId w:val="1"/>
  </w:num>
  <w:num w:numId="958" w16cid:durableId="1839224294">
    <w:abstractNumId w:val="0"/>
  </w:num>
  <w:num w:numId="959" w16cid:durableId="1520660198">
    <w:abstractNumId w:val="9"/>
  </w:num>
  <w:num w:numId="960" w16cid:durableId="596324991">
    <w:abstractNumId w:val="7"/>
  </w:num>
  <w:num w:numId="961" w16cid:durableId="75372178">
    <w:abstractNumId w:val="6"/>
  </w:num>
  <w:num w:numId="962" w16cid:durableId="1542208473">
    <w:abstractNumId w:val="5"/>
  </w:num>
  <w:num w:numId="963" w16cid:durableId="254359925">
    <w:abstractNumId w:val="4"/>
  </w:num>
  <w:num w:numId="964" w16cid:durableId="1941789003">
    <w:abstractNumId w:val="8"/>
  </w:num>
  <w:num w:numId="965" w16cid:durableId="2006930304">
    <w:abstractNumId w:val="3"/>
  </w:num>
  <w:num w:numId="966" w16cid:durableId="641076568">
    <w:abstractNumId w:val="2"/>
  </w:num>
  <w:num w:numId="967" w16cid:durableId="981812044">
    <w:abstractNumId w:val="1"/>
  </w:num>
  <w:num w:numId="968" w16cid:durableId="417025372">
    <w:abstractNumId w:val="0"/>
  </w:num>
  <w:num w:numId="969" w16cid:durableId="1896046479">
    <w:abstractNumId w:val="9"/>
  </w:num>
  <w:num w:numId="970" w16cid:durableId="817115540">
    <w:abstractNumId w:val="7"/>
  </w:num>
  <w:num w:numId="971" w16cid:durableId="873691419">
    <w:abstractNumId w:val="6"/>
  </w:num>
  <w:num w:numId="972" w16cid:durableId="1876505994">
    <w:abstractNumId w:val="5"/>
  </w:num>
  <w:num w:numId="973" w16cid:durableId="1256085977">
    <w:abstractNumId w:val="4"/>
  </w:num>
  <w:num w:numId="974" w16cid:durableId="1228804992">
    <w:abstractNumId w:val="8"/>
  </w:num>
  <w:num w:numId="975" w16cid:durableId="1112935513">
    <w:abstractNumId w:val="3"/>
  </w:num>
  <w:num w:numId="976" w16cid:durableId="1170557668">
    <w:abstractNumId w:val="2"/>
  </w:num>
  <w:num w:numId="977" w16cid:durableId="886529982">
    <w:abstractNumId w:val="1"/>
  </w:num>
  <w:num w:numId="978" w16cid:durableId="1057437682">
    <w:abstractNumId w:val="0"/>
  </w:num>
  <w:num w:numId="979" w16cid:durableId="1338388442">
    <w:abstractNumId w:val="9"/>
  </w:num>
  <w:num w:numId="980" w16cid:durableId="1891071488">
    <w:abstractNumId w:val="7"/>
  </w:num>
  <w:num w:numId="981" w16cid:durableId="1761828401">
    <w:abstractNumId w:val="6"/>
  </w:num>
  <w:num w:numId="982" w16cid:durableId="1790932294">
    <w:abstractNumId w:val="5"/>
  </w:num>
  <w:num w:numId="983" w16cid:durableId="2085177394">
    <w:abstractNumId w:val="4"/>
  </w:num>
  <w:num w:numId="984" w16cid:durableId="1408923293">
    <w:abstractNumId w:val="8"/>
  </w:num>
  <w:num w:numId="985" w16cid:durableId="429667267">
    <w:abstractNumId w:val="3"/>
  </w:num>
  <w:num w:numId="986" w16cid:durableId="456948478">
    <w:abstractNumId w:val="2"/>
  </w:num>
  <w:num w:numId="987" w16cid:durableId="1393623258">
    <w:abstractNumId w:val="1"/>
  </w:num>
  <w:num w:numId="988" w16cid:durableId="317001189">
    <w:abstractNumId w:val="0"/>
  </w:num>
  <w:num w:numId="989" w16cid:durableId="1546405676">
    <w:abstractNumId w:val="9"/>
  </w:num>
  <w:num w:numId="990" w16cid:durableId="1407189243">
    <w:abstractNumId w:val="7"/>
  </w:num>
  <w:num w:numId="991" w16cid:durableId="190384192">
    <w:abstractNumId w:val="6"/>
  </w:num>
  <w:num w:numId="992" w16cid:durableId="85806311">
    <w:abstractNumId w:val="5"/>
  </w:num>
  <w:num w:numId="993" w16cid:durableId="1225216738">
    <w:abstractNumId w:val="4"/>
  </w:num>
  <w:num w:numId="994" w16cid:durableId="1259287414">
    <w:abstractNumId w:val="8"/>
  </w:num>
  <w:num w:numId="995" w16cid:durableId="1639264619">
    <w:abstractNumId w:val="3"/>
  </w:num>
  <w:num w:numId="996" w16cid:durableId="1142845125">
    <w:abstractNumId w:val="2"/>
  </w:num>
  <w:num w:numId="997" w16cid:durableId="1488671154">
    <w:abstractNumId w:val="1"/>
  </w:num>
  <w:num w:numId="998" w16cid:durableId="417751537">
    <w:abstractNumId w:val="0"/>
  </w:num>
  <w:num w:numId="999" w16cid:durableId="600072456">
    <w:abstractNumId w:val="9"/>
  </w:num>
  <w:num w:numId="1000" w16cid:durableId="827791807">
    <w:abstractNumId w:val="7"/>
  </w:num>
  <w:num w:numId="1001" w16cid:durableId="1091197855">
    <w:abstractNumId w:val="6"/>
  </w:num>
  <w:num w:numId="1002" w16cid:durableId="539243566">
    <w:abstractNumId w:val="5"/>
  </w:num>
  <w:num w:numId="1003" w16cid:durableId="1505316776">
    <w:abstractNumId w:val="4"/>
  </w:num>
  <w:num w:numId="1004" w16cid:durableId="696466215">
    <w:abstractNumId w:val="8"/>
  </w:num>
  <w:num w:numId="1005" w16cid:durableId="926036853">
    <w:abstractNumId w:val="3"/>
  </w:num>
  <w:num w:numId="1006" w16cid:durableId="117645140">
    <w:abstractNumId w:val="2"/>
  </w:num>
  <w:num w:numId="1007" w16cid:durableId="1330788704">
    <w:abstractNumId w:val="1"/>
  </w:num>
  <w:num w:numId="1008" w16cid:durableId="1422022355">
    <w:abstractNumId w:val="0"/>
  </w:num>
  <w:num w:numId="1009" w16cid:durableId="439104727">
    <w:abstractNumId w:val="9"/>
  </w:num>
  <w:num w:numId="1010" w16cid:durableId="641350494">
    <w:abstractNumId w:val="7"/>
  </w:num>
  <w:num w:numId="1011" w16cid:durableId="2078890874">
    <w:abstractNumId w:val="6"/>
  </w:num>
  <w:num w:numId="1012" w16cid:durableId="323898031">
    <w:abstractNumId w:val="5"/>
  </w:num>
  <w:num w:numId="1013" w16cid:durableId="420032552">
    <w:abstractNumId w:val="4"/>
  </w:num>
  <w:num w:numId="1014" w16cid:durableId="414716416">
    <w:abstractNumId w:val="8"/>
  </w:num>
  <w:num w:numId="1015" w16cid:durableId="1944799506">
    <w:abstractNumId w:val="3"/>
  </w:num>
  <w:num w:numId="1016" w16cid:durableId="710687717">
    <w:abstractNumId w:val="2"/>
  </w:num>
  <w:num w:numId="1017" w16cid:durableId="330916675">
    <w:abstractNumId w:val="1"/>
  </w:num>
  <w:num w:numId="1018" w16cid:durableId="1991136479">
    <w:abstractNumId w:val="0"/>
  </w:num>
  <w:num w:numId="1019" w16cid:durableId="1424761340">
    <w:abstractNumId w:val="9"/>
  </w:num>
  <w:num w:numId="1020" w16cid:durableId="1493788372">
    <w:abstractNumId w:val="7"/>
  </w:num>
  <w:num w:numId="1021" w16cid:durableId="1134762142">
    <w:abstractNumId w:val="6"/>
  </w:num>
  <w:num w:numId="1022" w16cid:durableId="396628867">
    <w:abstractNumId w:val="5"/>
  </w:num>
  <w:num w:numId="1023" w16cid:durableId="1114011491">
    <w:abstractNumId w:val="4"/>
  </w:num>
  <w:num w:numId="1024" w16cid:durableId="65496446">
    <w:abstractNumId w:val="8"/>
  </w:num>
  <w:num w:numId="1025" w16cid:durableId="1894584109">
    <w:abstractNumId w:val="3"/>
  </w:num>
  <w:num w:numId="1026" w16cid:durableId="263613898">
    <w:abstractNumId w:val="2"/>
  </w:num>
  <w:num w:numId="1027" w16cid:durableId="975640534">
    <w:abstractNumId w:val="1"/>
  </w:num>
  <w:num w:numId="1028" w16cid:durableId="364214210">
    <w:abstractNumId w:val="0"/>
  </w:num>
  <w:num w:numId="1029" w16cid:durableId="1975716106">
    <w:abstractNumId w:val="9"/>
  </w:num>
  <w:num w:numId="1030" w16cid:durableId="333533221">
    <w:abstractNumId w:val="7"/>
  </w:num>
  <w:num w:numId="1031" w16cid:durableId="1721435159">
    <w:abstractNumId w:val="6"/>
  </w:num>
  <w:num w:numId="1032" w16cid:durableId="133984425">
    <w:abstractNumId w:val="5"/>
  </w:num>
  <w:num w:numId="1033" w16cid:durableId="357661882">
    <w:abstractNumId w:val="4"/>
  </w:num>
  <w:num w:numId="1034" w16cid:durableId="509804826">
    <w:abstractNumId w:val="8"/>
  </w:num>
  <w:num w:numId="1035" w16cid:durableId="1038897741">
    <w:abstractNumId w:val="3"/>
  </w:num>
  <w:num w:numId="1036" w16cid:durableId="537084818">
    <w:abstractNumId w:val="2"/>
  </w:num>
  <w:num w:numId="1037" w16cid:durableId="1390836812">
    <w:abstractNumId w:val="1"/>
  </w:num>
  <w:num w:numId="1038" w16cid:durableId="183251879">
    <w:abstractNumId w:val="0"/>
  </w:num>
  <w:num w:numId="1039" w16cid:durableId="1742753148">
    <w:abstractNumId w:val="9"/>
  </w:num>
  <w:num w:numId="1040" w16cid:durableId="923144196">
    <w:abstractNumId w:val="7"/>
  </w:num>
  <w:num w:numId="1041" w16cid:durableId="1513061826">
    <w:abstractNumId w:val="6"/>
  </w:num>
  <w:num w:numId="1042" w16cid:durableId="893278889">
    <w:abstractNumId w:val="5"/>
  </w:num>
  <w:num w:numId="1043" w16cid:durableId="915554944">
    <w:abstractNumId w:val="4"/>
  </w:num>
  <w:num w:numId="1044" w16cid:durableId="1227643799">
    <w:abstractNumId w:val="8"/>
  </w:num>
  <w:num w:numId="1045" w16cid:durableId="759446782">
    <w:abstractNumId w:val="3"/>
  </w:num>
  <w:num w:numId="1046" w16cid:durableId="2038235876">
    <w:abstractNumId w:val="2"/>
  </w:num>
  <w:num w:numId="1047" w16cid:durableId="343017385">
    <w:abstractNumId w:val="1"/>
  </w:num>
  <w:num w:numId="1048" w16cid:durableId="20861085">
    <w:abstractNumId w:val="0"/>
  </w:num>
  <w:num w:numId="1049" w16cid:durableId="1791703105">
    <w:abstractNumId w:val="9"/>
  </w:num>
  <w:num w:numId="1050" w16cid:durableId="991981102">
    <w:abstractNumId w:val="7"/>
  </w:num>
  <w:num w:numId="1051" w16cid:durableId="747580129">
    <w:abstractNumId w:val="6"/>
  </w:num>
  <w:num w:numId="1052" w16cid:durableId="1854765010">
    <w:abstractNumId w:val="5"/>
  </w:num>
  <w:num w:numId="1053" w16cid:durableId="552350474">
    <w:abstractNumId w:val="4"/>
  </w:num>
  <w:num w:numId="1054" w16cid:durableId="680820359">
    <w:abstractNumId w:val="8"/>
  </w:num>
  <w:num w:numId="1055" w16cid:durableId="2015303670">
    <w:abstractNumId w:val="3"/>
  </w:num>
  <w:num w:numId="1056" w16cid:durableId="1860266826">
    <w:abstractNumId w:val="2"/>
  </w:num>
  <w:num w:numId="1057" w16cid:durableId="1925410574">
    <w:abstractNumId w:val="1"/>
  </w:num>
  <w:num w:numId="1058" w16cid:durableId="440032461">
    <w:abstractNumId w:val="0"/>
  </w:num>
  <w:num w:numId="1059" w16cid:durableId="1639918299">
    <w:abstractNumId w:val="9"/>
  </w:num>
  <w:num w:numId="1060" w16cid:durableId="21833813">
    <w:abstractNumId w:val="7"/>
  </w:num>
  <w:num w:numId="1061" w16cid:durableId="84692525">
    <w:abstractNumId w:val="6"/>
  </w:num>
  <w:num w:numId="1062" w16cid:durableId="1555655941">
    <w:abstractNumId w:val="5"/>
  </w:num>
  <w:num w:numId="1063" w16cid:durableId="1711607302">
    <w:abstractNumId w:val="4"/>
  </w:num>
  <w:num w:numId="1064" w16cid:durableId="777680252">
    <w:abstractNumId w:val="8"/>
  </w:num>
  <w:num w:numId="1065" w16cid:durableId="738750910">
    <w:abstractNumId w:val="3"/>
  </w:num>
  <w:num w:numId="1066" w16cid:durableId="525217249">
    <w:abstractNumId w:val="2"/>
  </w:num>
  <w:num w:numId="1067" w16cid:durableId="40792686">
    <w:abstractNumId w:val="1"/>
  </w:num>
  <w:num w:numId="1068" w16cid:durableId="1305700814">
    <w:abstractNumId w:val="0"/>
  </w:num>
  <w:num w:numId="1069" w16cid:durableId="1675719610">
    <w:abstractNumId w:val="9"/>
  </w:num>
  <w:num w:numId="1070" w16cid:durableId="1145510345">
    <w:abstractNumId w:val="7"/>
  </w:num>
  <w:num w:numId="1071" w16cid:durableId="906649430">
    <w:abstractNumId w:val="6"/>
  </w:num>
  <w:num w:numId="1072" w16cid:durableId="233321029">
    <w:abstractNumId w:val="5"/>
  </w:num>
  <w:num w:numId="1073" w16cid:durableId="1022366293">
    <w:abstractNumId w:val="4"/>
  </w:num>
  <w:num w:numId="1074" w16cid:durableId="2101830873">
    <w:abstractNumId w:val="8"/>
  </w:num>
  <w:num w:numId="1075" w16cid:durableId="2138906921">
    <w:abstractNumId w:val="3"/>
  </w:num>
  <w:num w:numId="1076" w16cid:durableId="1328630352">
    <w:abstractNumId w:val="2"/>
  </w:num>
  <w:num w:numId="1077" w16cid:durableId="1293635261">
    <w:abstractNumId w:val="1"/>
  </w:num>
  <w:num w:numId="1078" w16cid:durableId="750977717">
    <w:abstractNumId w:val="0"/>
  </w:num>
  <w:num w:numId="1079" w16cid:durableId="953638765">
    <w:abstractNumId w:val="9"/>
  </w:num>
  <w:num w:numId="1080" w16cid:durableId="559949862">
    <w:abstractNumId w:val="7"/>
  </w:num>
  <w:num w:numId="1081" w16cid:durableId="1441412189">
    <w:abstractNumId w:val="6"/>
  </w:num>
  <w:num w:numId="1082" w16cid:durableId="535893324">
    <w:abstractNumId w:val="5"/>
  </w:num>
  <w:num w:numId="1083" w16cid:durableId="575172199">
    <w:abstractNumId w:val="4"/>
  </w:num>
  <w:num w:numId="1084" w16cid:durableId="1437753441">
    <w:abstractNumId w:val="8"/>
  </w:num>
  <w:num w:numId="1085" w16cid:durableId="910584665">
    <w:abstractNumId w:val="3"/>
  </w:num>
  <w:num w:numId="1086" w16cid:durableId="446049402">
    <w:abstractNumId w:val="2"/>
  </w:num>
  <w:num w:numId="1087" w16cid:durableId="452601869">
    <w:abstractNumId w:val="1"/>
  </w:num>
  <w:num w:numId="1088" w16cid:durableId="466094411">
    <w:abstractNumId w:val="0"/>
  </w:num>
  <w:num w:numId="1089" w16cid:durableId="739643267">
    <w:abstractNumId w:val="9"/>
  </w:num>
  <w:num w:numId="1090" w16cid:durableId="855264576">
    <w:abstractNumId w:val="7"/>
  </w:num>
  <w:num w:numId="1091" w16cid:durableId="166217018">
    <w:abstractNumId w:val="6"/>
  </w:num>
  <w:num w:numId="1092" w16cid:durableId="1890530455">
    <w:abstractNumId w:val="5"/>
  </w:num>
  <w:num w:numId="1093" w16cid:durableId="149978549">
    <w:abstractNumId w:val="4"/>
  </w:num>
  <w:num w:numId="1094" w16cid:durableId="1761752609">
    <w:abstractNumId w:val="8"/>
  </w:num>
  <w:num w:numId="1095" w16cid:durableId="2006861167">
    <w:abstractNumId w:val="3"/>
  </w:num>
  <w:num w:numId="1096" w16cid:durableId="129058455">
    <w:abstractNumId w:val="2"/>
  </w:num>
  <w:num w:numId="1097" w16cid:durableId="1934628848">
    <w:abstractNumId w:val="1"/>
  </w:num>
  <w:num w:numId="1098" w16cid:durableId="1581790619">
    <w:abstractNumId w:val="0"/>
  </w:num>
  <w:num w:numId="1099" w16cid:durableId="132868685">
    <w:abstractNumId w:val="9"/>
  </w:num>
  <w:num w:numId="1100" w16cid:durableId="1961719115">
    <w:abstractNumId w:val="7"/>
  </w:num>
  <w:num w:numId="1101" w16cid:durableId="699015082">
    <w:abstractNumId w:val="6"/>
  </w:num>
  <w:num w:numId="1102" w16cid:durableId="766343371">
    <w:abstractNumId w:val="5"/>
  </w:num>
  <w:num w:numId="1103" w16cid:durableId="874930179">
    <w:abstractNumId w:val="4"/>
  </w:num>
  <w:num w:numId="1104" w16cid:durableId="2066097838">
    <w:abstractNumId w:val="8"/>
  </w:num>
  <w:num w:numId="1105" w16cid:durableId="1713384028">
    <w:abstractNumId w:val="3"/>
  </w:num>
  <w:num w:numId="1106" w16cid:durableId="1059092678">
    <w:abstractNumId w:val="2"/>
  </w:num>
  <w:num w:numId="1107" w16cid:durableId="109401475">
    <w:abstractNumId w:val="1"/>
  </w:num>
  <w:num w:numId="1108" w16cid:durableId="1035272228">
    <w:abstractNumId w:val="0"/>
  </w:num>
  <w:num w:numId="1109" w16cid:durableId="375542530">
    <w:abstractNumId w:val="48"/>
  </w:num>
  <w:num w:numId="1110" w16cid:durableId="1216353790">
    <w:abstractNumId w:val="9"/>
  </w:num>
  <w:num w:numId="1111" w16cid:durableId="676618508">
    <w:abstractNumId w:val="7"/>
  </w:num>
  <w:num w:numId="1112" w16cid:durableId="557863920">
    <w:abstractNumId w:val="6"/>
  </w:num>
  <w:num w:numId="1113" w16cid:durableId="1517426829">
    <w:abstractNumId w:val="5"/>
  </w:num>
  <w:num w:numId="1114" w16cid:durableId="2028822544">
    <w:abstractNumId w:val="4"/>
  </w:num>
  <w:num w:numId="1115" w16cid:durableId="598486187">
    <w:abstractNumId w:val="8"/>
  </w:num>
  <w:num w:numId="1116" w16cid:durableId="1272668607">
    <w:abstractNumId w:val="3"/>
  </w:num>
  <w:num w:numId="1117" w16cid:durableId="1964144225">
    <w:abstractNumId w:val="2"/>
  </w:num>
  <w:num w:numId="1118" w16cid:durableId="263265466">
    <w:abstractNumId w:val="1"/>
  </w:num>
  <w:num w:numId="1119" w16cid:durableId="1345329468">
    <w:abstractNumId w:val="0"/>
  </w:num>
  <w:num w:numId="1120" w16cid:durableId="313291226">
    <w:abstractNumId w:val="9"/>
  </w:num>
  <w:num w:numId="1121" w16cid:durableId="709382912">
    <w:abstractNumId w:val="7"/>
  </w:num>
  <w:num w:numId="1122" w16cid:durableId="1569801499">
    <w:abstractNumId w:val="6"/>
  </w:num>
  <w:num w:numId="1123" w16cid:durableId="149759050">
    <w:abstractNumId w:val="5"/>
  </w:num>
  <w:num w:numId="1124" w16cid:durableId="1008799813">
    <w:abstractNumId w:val="4"/>
  </w:num>
  <w:num w:numId="1125" w16cid:durableId="75370954">
    <w:abstractNumId w:val="8"/>
  </w:num>
  <w:num w:numId="1126" w16cid:durableId="751242660">
    <w:abstractNumId w:val="3"/>
  </w:num>
  <w:num w:numId="1127" w16cid:durableId="1200623663">
    <w:abstractNumId w:val="2"/>
  </w:num>
  <w:num w:numId="1128" w16cid:durableId="75833456">
    <w:abstractNumId w:val="1"/>
  </w:num>
  <w:num w:numId="1129" w16cid:durableId="59645710">
    <w:abstractNumId w:val="0"/>
  </w:num>
  <w:num w:numId="1130" w16cid:durableId="1615363936">
    <w:abstractNumId w:val="9"/>
  </w:num>
  <w:num w:numId="1131" w16cid:durableId="1992517927">
    <w:abstractNumId w:val="7"/>
  </w:num>
  <w:num w:numId="1132" w16cid:durableId="2095586362">
    <w:abstractNumId w:val="6"/>
  </w:num>
  <w:num w:numId="1133" w16cid:durableId="1191332307">
    <w:abstractNumId w:val="5"/>
  </w:num>
  <w:num w:numId="1134" w16cid:durableId="1037121169">
    <w:abstractNumId w:val="4"/>
  </w:num>
  <w:num w:numId="1135" w16cid:durableId="370999754">
    <w:abstractNumId w:val="8"/>
  </w:num>
  <w:num w:numId="1136" w16cid:durableId="1785494960">
    <w:abstractNumId w:val="3"/>
  </w:num>
  <w:num w:numId="1137" w16cid:durableId="2108621643">
    <w:abstractNumId w:val="2"/>
  </w:num>
  <w:num w:numId="1138" w16cid:durableId="291373287">
    <w:abstractNumId w:val="1"/>
  </w:num>
  <w:num w:numId="1139" w16cid:durableId="179510073">
    <w:abstractNumId w:val="0"/>
  </w:num>
  <w:num w:numId="1140" w16cid:durableId="328411614">
    <w:abstractNumId w:val="9"/>
  </w:num>
  <w:num w:numId="1141" w16cid:durableId="1043554749">
    <w:abstractNumId w:val="7"/>
  </w:num>
  <w:num w:numId="1142" w16cid:durableId="991101340">
    <w:abstractNumId w:val="6"/>
  </w:num>
  <w:num w:numId="1143" w16cid:durableId="971710679">
    <w:abstractNumId w:val="5"/>
  </w:num>
  <w:num w:numId="1144" w16cid:durableId="1213804637">
    <w:abstractNumId w:val="4"/>
  </w:num>
  <w:num w:numId="1145" w16cid:durableId="2053731250">
    <w:abstractNumId w:val="8"/>
  </w:num>
  <w:num w:numId="1146" w16cid:durableId="645478862">
    <w:abstractNumId w:val="3"/>
  </w:num>
  <w:num w:numId="1147" w16cid:durableId="1229340896">
    <w:abstractNumId w:val="2"/>
  </w:num>
  <w:num w:numId="1148" w16cid:durableId="1062293584">
    <w:abstractNumId w:val="1"/>
  </w:num>
  <w:num w:numId="1149" w16cid:durableId="26179162">
    <w:abstractNumId w:val="0"/>
  </w:num>
  <w:num w:numId="1150" w16cid:durableId="1442532735">
    <w:abstractNumId w:val="9"/>
  </w:num>
  <w:num w:numId="1151" w16cid:durableId="643314203">
    <w:abstractNumId w:val="7"/>
  </w:num>
  <w:num w:numId="1152" w16cid:durableId="1140029060">
    <w:abstractNumId w:val="6"/>
  </w:num>
  <w:num w:numId="1153" w16cid:durableId="1247035887">
    <w:abstractNumId w:val="5"/>
  </w:num>
  <w:num w:numId="1154" w16cid:durableId="1898471023">
    <w:abstractNumId w:val="4"/>
  </w:num>
  <w:num w:numId="1155" w16cid:durableId="1491561163">
    <w:abstractNumId w:val="8"/>
  </w:num>
  <w:num w:numId="1156" w16cid:durableId="727266406">
    <w:abstractNumId w:val="3"/>
  </w:num>
  <w:num w:numId="1157" w16cid:durableId="1224830158">
    <w:abstractNumId w:val="2"/>
  </w:num>
  <w:num w:numId="1158" w16cid:durableId="1331592215">
    <w:abstractNumId w:val="1"/>
  </w:num>
  <w:num w:numId="1159" w16cid:durableId="1857376939">
    <w:abstractNumId w:val="0"/>
  </w:num>
  <w:num w:numId="1160" w16cid:durableId="1247954158">
    <w:abstractNumId w:val="9"/>
  </w:num>
  <w:num w:numId="1161" w16cid:durableId="1713769065">
    <w:abstractNumId w:val="7"/>
  </w:num>
  <w:num w:numId="1162" w16cid:durableId="1149634090">
    <w:abstractNumId w:val="6"/>
  </w:num>
  <w:num w:numId="1163" w16cid:durableId="1028919350">
    <w:abstractNumId w:val="5"/>
  </w:num>
  <w:num w:numId="1164" w16cid:durableId="1207639472">
    <w:abstractNumId w:val="4"/>
  </w:num>
  <w:num w:numId="1165" w16cid:durableId="777480793">
    <w:abstractNumId w:val="8"/>
  </w:num>
  <w:num w:numId="1166" w16cid:durableId="1567060179">
    <w:abstractNumId w:val="3"/>
  </w:num>
  <w:num w:numId="1167" w16cid:durableId="981999663">
    <w:abstractNumId w:val="2"/>
  </w:num>
  <w:num w:numId="1168" w16cid:durableId="620771872">
    <w:abstractNumId w:val="1"/>
  </w:num>
  <w:num w:numId="1169" w16cid:durableId="47842187">
    <w:abstractNumId w:val="0"/>
  </w:num>
  <w:num w:numId="1170" w16cid:durableId="598365902">
    <w:abstractNumId w:val="9"/>
  </w:num>
  <w:num w:numId="1171" w16cid:durableId="2068214558">
    <w:abstractNumId w:val="7"/>
  </w:num>
  <w:num w:numId="1172" w16cid:durableId="1701277376">
    <w:abstractNumId w:val="6"/>
  </w:num>
  <w:num w:numId="1173" w16cid:durableId="1396705491">
    <w:abstractNumId w:val="5"/>
  </w:num>
  <w:num w:numId="1174" w16cid:durableId="864100012">
    <w:abstractNumId w:val="4"/>
  </w:num>
  <w:num w:numId="1175" w16cid:durableId="1160536004">
    <w:abstractNumId w:val="8"/>
  </w:num>
  <w:num w:numId="1176" w16cid:durableId="547957139">
    <w:abstractNumId w:val="3"/>
  </w:num>
  <w:num w:numId="1177" w16cid:durableId="1267153583">
    <w:abstractNumId w:val="2"/>
  </w:num>
  <w:num w:numId="1178" w16cid:durableId="1863980994">
    <w:abstractNumId w:val="1"/>
  </w:num>
  <w:num w:numId="1179" w16cid:durableId="482308743">
    <w:abstractNumId w:val="0"/>
  </w:num>
  <w:num w:numId="1180" w16cid:durableId="523592437">
    <w:abstractNumId w:val="9"/>
  </w:num>
  <w:num w:numId="1181" w16cid:durableId="378865634">
    <w:abstractNumId w:val="7"/>
  </w:num>
  <w:num w:numId="1182" w16cid:durableId="1038318173">
    <w:abstractNumId w:val="6"/>
  </w:num>
  <w:num w:numId="1183" w16cid:durableId="195044572">
    <w:abstractNumId w:val="5"/>
  </w:num>
  <w:num w:numId="1184" w16cid:durableId="834683063">
    <w:abstractNumId w:val="4"/>
  </w:num>
  <w:num w:numId="1185" w16cid:durableId="1995375570">
    <w:abstractNumId w:val="8"/>
  </w:num>
  <w:num w:numId="1186" w16cid:durableId="1046567208">
    <w:abstractNumId w:val="3"/>
  </w:num>
  <w:num w:numId="1187" w16cid:durableId="827133941">
    <w:abstractNumId w:val="2"/>
  </w:num>
  <w:num w:numId="1188" w16cid:durableId="918490227">
    <w:abstractNumId w:val="1"/>
  </w:num>
  <w:num w:numId="1189" w16cid:durableId="1951811614">
    <w:abstractNumId w:val="0"/>
  </w:num>
  <w:num w:numId="1190" w16cid:durableId="609433245">
    <w:abstractNumId w:val="9"/>
  </w:num>
  <w:num w:numId="1191" w16cid:durableId="155653093">
    <w:abstractNumId w:val="7"/>
  </w:num>
  <w:num w:numId="1192" w16cid:durableId="452945730">
    <w:abstractNumId w:val="6"/>
  </w:num>
  <w:num w:numId="1193" w16cid:durableId="1429815904">
    <w:abstractNumId w:val="5"/>
  </w:num>
  <w:num w:numId="1194" w16cid:durableId="780536601">
    <w:abstractNumId w:val="4"/>
  </w:num>
  <w:num w:numId="1195" w16cid:durableId="1753697372">
    <w:abstractNumId w:val="8"/>
  </w:num>
  <w:num w:numId="1196" w16cid:durableId="1490900246">
    <w:abstractNumId w:val="3"/>
  </w:num>
  <w:num w:numId="1197" w16cid:durableId="498694530">
    <w:abstractNumId w:val="2"/>
  </w:num>
  <w:num w:numId="1198" w16cid:durableId="531379078">
    <w:abstractNumId w:val="1"/>
  </w:num>
  <w:num w:numId="1199" w16cid:durableId="390233783">
    <w:abstractNumId w:val="0"/>
  </w:num>
  <w:num w:numId="1200" w16cid:durableId="1594363137">
    <w:abstractNumId w:val="9"/>
  </w:num>
  <w:num w:numId="1201" w16cid:durableId="2099208478">
    <w:abstractNumId w:val="7"/>
  </w:num>
  <w:num w:numId="1202" w16cid:durableId="627128295">
    <w:abstractNumId w:val="6"/>
  </w:num>
  <w:num w:numId="1203" w16cid:durableId="1021391553">
    <w:abstractNumId w:val="5"/>
  </w:num>
  <w:num w:numId="1204" w16cid:durableId="592325430">
    <w:abstractNumId w:val="4"/>
  </w:num>
  <w:num w:numId="1205" w16cid:durableId="271938703">
    <w:abstractNumId w:val="8"/>
  </w:num>
  <w:num w:numId="1206" w16cid:durableId="1965231656">
    <w:abstractNumId w:val="3"/>
  </w:num>
  <w:num w:numId="1207" w16cid:durableId="1706370667">
    <w:abstractNumId w:val="2"/>
  </w:num>
  <w:num w:numId="1208" w16cid:durableId="663094154">
    <w:abstractNumId w:val="1"/>
  </w:num>
  <w:num w:numId="1209" w16cid:durableId="163786954">
    <w:abstractNumId w:val="0"/>
  </w:num>
  <w:num w:numId="1210" w16cid:durableId="217863819">
    <w:abstractNumId w:val="9"/>
  </w:num>
  <w:num w:numId="1211" w16cid:durableId="772941810">
    <w:abstractNumId w:val="7"/>
  </w:num>
  <w:num w:numId="1212" w16cid:durableId="1159033836">
    <w:abstractNumId w:val="6"/>
  </w:num>
  <w:num w:numId="1213" w16cid:durableId="1454128754">
    <w:abstractNumId w:val="5"/>
  </w:num>
  <w:num w:numId="1214" w16cid:durableId="176772756">
    <w:abstractNumId w:val="4"/>
  </w:num>
  <w:num w:numId="1215" w16cid:durableId="2113864869">
    <w:abstractNumId w:val="8"/>
  </w:num>
  <w:num w:numId="1216" w16cid:durableId="1621297901">
    <w:abstractNumId w:val="3"/>
  </w:num>
  <w:num w:numId="1217" w16cid:durableId="1790011621">
    <w:abstractNumId w:val="2"/>
  </w:num>
  <w:num w:numId="1218" w16cid:durableId="1392118435">
    <w:abstractNumId w:val="1"/>
  </w:num>
  <w:num w:numId="1219" w16cid:durableId="1972518253">
    <w:abstractNumId w:val="0"/>
  </w:num>
  <w:num w:numId="1220" w16cid:durableId="897282057">
    <w:abstractNumId w:val="9"/>
  </w:num>
  <w:num w:numId="1221" w16cid:durableId="1853647688">
    <w:abstractNumId w:val="7"/>
  </w:num>
  <w:num w:numId="1222" w16cid:durableId="833647967">
    <w:abstractNumId w:val="6"/>
  </w:num>
  <w:num w:numId="1223" w16cid:durableId="1636326088">
    <w:abstractNumId w:val="5"/>
  </w:num>
  <w:num w:numId="1224" w16cid:durableId="868371998">
    <w:abstractNumId w:val="4"/>
  </w:num>
  <w:num w:numId="1225" w16cid:durableId="1700549703">
    <w:abstractNumId w:val="8"/>
  </w:num>
  <w:num w:numId="1226" w16cid:durableId="475076441">
    <w:abstractNumId w:val="3"/>
  </w:num>
  <w:num w:numId="1227" w16cid:durableId="1105537519">
    <w:abstractNumId w:val="2"/>
  </w:num>
  <w:num w:numId="1228" w16cid:durableId="1435904716">
    <w:abstractNumId w:val="1"/>
  </w:num>
  <w:num w:numId="1229" w16cid:durableId="860625695">
    <w:abstractNumId w:val="0"/>
  </w:num>
  <w:num w:numId="1230" w16cid:durableId="1191605973">
    <w:abstractNumId w:val="9"/>
  </w:num>
  <w:num w:numId="1231" w16cid:durableId="175965774">
    <w:abstractNumId w:val="7"/>
  </w:num>
  <w:num w:numId="1232" w16cid:durableId="1828790281">
    <w:abstractNumId w:val="6"/>
  </w:num>
  <w:num w:numId="1233" w16cid:durableId="1062486084">
    <w:abstractNumId w:val="5"/>
  </w:num>
  <w:num w:numId="1234" w16cid:durableId="883566070">
    <w:abstractNumId w:val="4"/>
  </w:num>
  <w:num w:numId="1235" w16cid:durableId="451286702">
    <w:abstractNumId w:val="8"/>
  </w:num>
  <w:num w:numId="1236" w16cid:durableId="249966252">
    <w:abstractNumId w:val="3"/>
  </w:num>
  <w:num w:numId="1237" w16cid:durableId="2118937425">
    <w:abstractNumId w:val="2"/>
  </w:num>
  <w:num w:numId="1238" w16cid:durableId="178009298">
    <w:abstractNumId w:val="1"/>
  </w:num>
  <w:num w:numId="1239" w16cid:durableId="1777942842">
    <w:abstractNumId w:val="0"/>
  </w:num>
  <w:num w:numId="1240" w16cid:durableId="1019309169">
    <w:abstractNumId w:val="9"/>
  </w:num>
  <w:num w:numId="1241" w16cid:durableId="93788126">
    <w:abstractNumId w:val="7"/>
  </w:num>
  <w:num w:numId="1242" w16cid:durableId="754202627">
    <w:abstractNumId w:val="6"/>
  </w:num>
  <w:num w:numId="1243" w16cid:durableId="1696614211">
    <w:abstractNumId w:val="5"/>
  </w:num>
  <w:num w:numId="1244" w16cid:durableId="1809086161">
    <w:abstractNumId w:val="4"/>
  </w:num>
  <w:num w:numId="1245" w16cid:durableId="419106435">
    <w:abstractNumId w:val="8"/>
  </w:num>
  <w:num w:numId="1246" w16cid:durableId="1231162212">
    <w:abstractNumId w:val="3"/>
  </w:num>
  <w:num w:numId="1247" w16cid:durableId="217321649">
    <w:abstractNumId w:val="2"/>
  </w:num>
  <w:num w:numId="1248" w16cid:durableId="252931126">
    <w:abstractNumId w:val="1"/>
  </w:num>
  <w:num w:numId="1249" w16cid:durableId="363092411">
    <w:abstractNumId w:val="0"/>
  </w:num>
  <w:num w:numId="1250" w16cid:durableId="1431776748">
    <w:abstractNumId w:val="9"/>
  </w:num>
  <w:num w:numId="1251" w16cid:durableId="577523161">
    <w:abstractNumId w:val="7"/>
  </w:num>
  <w:num w:numId="1252" w16cid:durableId="534124720">
    <w:abstractNumId w:val="6"/>
  </w:num>
  <w:num w:numId="1253" w16cid:durableId="1371495053">
    <w:abstractNumId w:val="5"/>
  </w:num>
  <w:num w:numId="1254" w16cid:durableId="343939841">
    <w:abstractNumId w:val="4"/>
  </w:num>
  <w:num w:numId="1255" w16cid:durableId="586379335">
    <w:abstractNumId w:val="8"/>
  </w:num>
  <w:num w:numId="1256" w16cid:durableId="2050638831">
    <w:abstractNumId w:val="3"/>
  </w:num>
  <w:num w:numId="1257" w16cid:durableId="872763205">
    <w:abstractNumId w:val="2"/>
  </w:num>
  <w:num w:numId="1258" w16cid:durableId="1082678581">
    <w:abstractNumId w:val="1"/>
  </w:num>
  <w:num w:numId="1259" w16cid:durableId="622270396">
    <w:abstractNumId w:val="0"/>
  </w:num>
  <w:num w:numId="1260" w16cid:durableId="479002987">
    <w:abstractNumId w:val="9"/>
  </w:num>
  <w:num w:numId="1261" w16cid:durableId="1340154267">
    <w:abstractNumId w:val="7"/>
  </w:num>
  <w:num w:numId="1262" w16cid:durableId="429935700">
    <w:abstractNumId w:val="6"/>
  </w:num>
  <w:num w:numId="1263" w16cid:durableId="1070930351">
    <w:abstractNumId w:val="5"/>
  </w:num>
  <w:num w:numId="1264" w16cid:durableId="445928006">
    <w:abstractNumId w:val="4"/>
  </w:num>
  <w:num w:numId="1265" w16cid:durableId="337511285">
    <w:abstractNumId w:val="8"/>
  </w:num>
  <w:num w:numId="1266" w16cid:durableId="1694842241">
    <w:abstractNumId w:val="3"/>
  </w:num>
  <w:num w:numId="1267" w16cid:durableId="819737598">
    <w:abstractNumId w:val="2"/>
  </w:num>
  <w:num w:numId="1268" w16cid:durableId="2146657213">
    <w:abstractNumId w:val="1"/>
  </w:num>
  <w:num w:numId="1269" w16cid:durableId="1913536681">
    <w:abstractNumId w:val="0"/>
  </w:num>
  <w:num w:numId="1270" w16cid:durableId="128286690">
    <w:abstractNumId w:val="9"/>
  </w:num>
  <w:num w:numId="1271" w16cid:durableId="977219983">
    <w:abstractNumId w:val="7"/>
  </w:num>
  <w:num w:numId="1272" w16cid:durableId="166945460">
    <w:abstractNumId w:val="6"/>
  </w:num>
  <w:num w:numId="1273" w16cid:durableId="1634212108">
    <w:abstractNumId w:val="5"/>
  </w:num>
  <w:num w:numId="1274" w16cid:durableId="1231888270">
    <w:abstractNumId w:val="4"/>
  </w:num>
  <w:num w:numId="1275" w16cid:durableId="1139296957">
    <w:abstractNumId w:val="8"/>
  </w:num>
  <w:num w:numId="1276" w16cid:durableId="434133503">
    <w:abstractNumId w:val="3"/>
  </w:num>
  <w:num w:numId="1277" w16cid:durableId="972174435">
    <w:abstractNumId w:val="2"/>
  </w:num>
  <w:num w:numId="1278" w16cid:durableId="1380978571">
    <w:abstractNumId w:val="1"/>
  </w:num>
  <w:num w:numId="1279" w16cid:durableId="78139237">
    <w:abstractNumId w:val="0"/>
  </w:num>
  <w:num w:numId="1280" w16cid:durableId="793869255">
    <w:abstractNumId w:val="9"/>
  </w:num>
  <w:num w:numId="1281" w16cid:durableId="581990259">
    <w:abstractNumId w:val="7"/>
  </w:num>
  <w:num w:numId="1282" w16cid:durableId="875698400">
    <w:abstractNumId w:val="6"/>
  </w:num>
  <w:num w:numId="1283" w16cid:durableId="1176723426">
    <w:abstractNumId w:val="5"/>
  </w:num>
  <w:num w:numId="1284" w16cid:durableId="2120367066">
    <w:abstractNumId w:val="4"/>
  </w:num>
  <w:num w:numId="1285" w16cid:durableId="1866748662">
    <w:abstractNumId w:val="8"/>
  </w:num>
  <w:num w:numId="1286" w16cid:durableId="1630629352">
    <w:abstractNumId w:val="3"/>
  </w:num>
  <w:num w:numId="1287" w16cid:durableId="733742351">
    <w:abstractNumId w:val="2"/>
  </w:num>
  <w:num w:numId="1288" w16cid:durableId="409933533">
    <w:abstractNumId w:val="1"/>
  </w:num>
  <w:num w:numId="1289" w16cid:durableId="1767964928">
    <w:abstractNumId w:val="0"/>
  </w:num>
  <w:num w:numId="1290" w16cid:durableId="1315332007">
    <w:abstractNumId w:val="9"/>
  </w:num>
  <w:num w:numId="1291" w16cid:durableId="1828860841">
    <w:abstractNumId w:val="7"/>
  </w:num>
  <w:num w:numId="1292" w16cid:durableId="872766563">
    <w:abstractNumId w:val="6"/>
  </w:num>
  <w:num w:numId="1293" w16cid:durableId="1574506348">
    <w:abstractNumId w:val="5"/>
  </w:num>
  <w:num w:numId="1294" w16cid:durableId="1677417151">
    <w:abstractNumId w:val="4"/>
  </w:num>
  <w:num w:numId="1295" w16cid:durableId="191191545">
    <w:abstractNumId w:val="8"/>
  </w:num>
  <w:num w:numId="1296" w16cid:durableId="64645387">
    <w:abstractNumId w:val="3"/>
  </w:num>
  <w:num w:numId="1297" w16cid:durableId="260796402">
    <w:abstractNumId w:val="2"/>
  </w:num>
  <w:num w:numId="1298" w16cid:durableId="471597510">
    <w:abstractNumId w:val="1"/>
  </w:num>
  <w:num w:numId="1299" w16cid:durableId="35201656">
    <w:abstractNumId w:val="0"/>
  </w:num>
  <w:num w:numId="1300" w16cid:durableId="124743924">
    <w:abstractNumId w:val="9"/>
  </w:num>
  <w:num w:numId="1301" w16cid:durableId="761725405">
    <w:abstractNumId w:val="7"/>
  </w:num>
  <w:num w:numId="1302" w16cid:durableId="22680680">
    <w:abstractNumId w:val="6"/>
  </w:num>
  <w:num w:numId="1303" w16cid:durableId="528756898">
    <w:abstractNumId w:val="5"/>
  </w:num>
  <w:num w:numId="1304" w16cid:durableId="1456486641">
    <w:abstractNumId w:val="4"/>
  </w:num>
  <w:num w:numId="1305" w16cid:durableId="1740983148">
    <w:abstractNumId w:val="8"/>
  </w:num>
  <w:num w:numId="1306" w16cid:durableId="966815535">
    <w:abstractNumId w:val="3"/>
  </w:num>
  <w:num w:numId="1307" w16cid:durableId="349723669">
    <w:abstractNumId w:val="2"/>
  </w:num>
  <w:num w:numId="1308" w16cid:durableId="1948923576">
    <w:abstractNumId w:val="1"/>
  </w:num>
  <w:num w:numId="1309" w16cid:durableId="902639945">
    <w:abstractNumId w:val="0"/>
  </w:num>
  <w:num w:numId="1310" w16cid:durableId="145323404">
    <w:abstractNumId w:val="9"/>
  </w:num>
  <w:num w:numId="1311" w16cid:durableId="716666549">
    <w:abstractNumId w:val="7"/>
  </w:num>
  <w:num w:numId="1312" w16cid:durableId="1631593049">
    <w:abstractNumId w:val="6"/>
  </w:num>
  <w:num w:numId="1313" w16cid:durableId="904682247">
    <w:abstractNumId w:val="5"/>
  </w:num>
  <w:num w:numId="1314" w16cid:durableId="1524783925">
    <w:abstractNumId w:val="4"/>
  </w:num>
  <w:num w:numId="1315" w16cid:durableId="1557082011">
    <w:abstractNumId w:val="8"/>
  </w:num>
  <w:num w:numId="1316" w16cid:durableId="628781951">
    <w:abstractNumId w:val="3"/>
  </w:num>
  <w:num w:numId="1317" w16cid:durableId="1298220422">
    <w:abstractNumId w:val="2"/>
  </w:num>
  <w:num w:numId="1318" w16cid:durableId="1927685340">
    <w:abstractNumId w:val="1"/>
  </w:num>
  <w:num w:numId="1319" w16cid:durableId="1554391456">
    <w:abstractNumId w:val="0"/>
  </w:num>
  <w:num w:numId="1320" w16cid:durableId="180167931">
    <w:abstractNumId w:val="9"/>
  </w:num>
  <w:num w:numId="1321" w16cid:durableId="2120906951">
    <w:abstractNumId w:val="7"/>
  </w:num>
  <w:num w:numId="1322" w16cid:durableId="1559591276">
    <w:abstractNumId w:val="6"/>
  </w:num>
  <w:num w:numId="1323" w16cid:durableId="1308050219">
    <w:abstractNumId w:val="5"/>
  </w:num>
  <w:num w:numId="1324" w16cid:durableId="1301349004">
    <w:abstractNumId w:val="4"/>
  </w:num>
  <w:num w:numId="1325" w16cid:durableId="690768168">
    <w:abstractNumId w:val="8"/>
  </w:num>
  <w:num w:numId="1326" w16cid:durableId="1375155502">
    <w:abstractNumId w:val="3"/>
  </w:num>
  <w:num w:numId="1327" w16cid:durableId="1370107547">
    <w:abstractNumId w:val="2"/>
  </w:num>
  <w:num w:numId="1328" w16cid:durableId="1468232759">
    <w:abstractNumId w:val="1"/>
  </w:num>
  <w:num w:numId="1329" w16cid:durableId="766535257">
    <w:abstractNumId w:val="0"/>
  </w:num>
  <w:num w:numId="1330" w16cid:durableId="1926261904">
    <w:abstractNumId w:val="9"/>
  </w:num>
  <w:num w:numId="1331" w16cid:durableId="1750543677">
    <w:abstractNumId w:val="7"/>
  </w:num>
  <w:num w:numId="1332" w16cid:durableId="1006638104">
    <w:abstractNumId w:val="6"/>
  </w:num>
  <w:num w:numId="1333" w16cid:durableId="1044645292">
    <w:abstractNumId w:val="5"/>
  </w:num>
  <w:num w:numId="1334" w16cid:durableId="1060136023">
    <w:abstractNumId w:val="4"/>
  </w:num>
  <w:num w:numId="1335" w16cid:durableId="604919245">
    <w:abstractNumId w:val="8"/>
  </w:num>
  <w:num w:numId="1336" w16cid:durableId="1291597456">
    <w:abstractNumId w:val="3"/>
  </w:num>
  <w:num w:numId="1337" w16cid:durableId="1135220237">
    <w:abstractNumId w:val="2"/>
  </w:num>
  <w:num w:numId="1338" w16cid:durableId="332267533">
    <w:abstractNumId w:val="1"/>
  </w:num>
  <w:num w:numId="1339" w16cid:durableId="1496919500">
    <w:abstractNumId w:val="0"/>
  </w:num>
  <w:num w:numId="1340" w16cid:durableId="2004430155">
    <w:abstractNumId w:val="9"/>
  </w:num>
  <w:num w:numId="1341" w16cid:durableId="1418207271">
    <w:abstractNumId w:val="7"/>
  </w:num>
  <w:num w:numId="1342" w16cid:durableId="654532386">
    <w:abstractNumId w:val="6"/>
  </w:num>
  <w:num w:numId="1343" w16cid:durableId="721171787">
    <w:abstractNumId w:val="5"/>
  </w:num>
  <w:num w:numId="1344" w16cid:durableId="278998918">
    <w:abstractNumId w:val="4"/>
  </w:num>
  <w:num w:numId="1345" w16cid:durableId="1786650561">
    <w:abstractNumId w:val="8"/>
  </w:num>
  <w:num w:numId="1346" w16cid:durableId="773282714">
    <w:abstractNumId w:val="3"/>
  </w:num>
  <w:num w:numId="1347" w16cid:durableId="721640857">
    <w:abstractNumId w:val="2"/>
  </w:num>
  <w:num w:numId="1348" w16cid:durableId="240023206">
    <w:abstractNumId w:val="1"/>
  </w:num>
  <w:num w:numId="1349" w16cid:durableId="473066965">
    <w:abstractNumId w:val="0"/>
  </w:num>
  <w:num w:numId="1350" w16cid:durableId="1695615851">
    <w:abstractNumId w:val="9"/>
  </w:num>
  <w:num w:numId="1351" w16cid:durableId="217668998">
    <w:abstractNumId w:val="7"/>
  </w:num>
  <w:num w:numId="1352" w16cid:durableId="1063409700">
    <w:abstractNumId w:val="6"/>
  </w:num>
  <w:num w:numId="1353" w16cid:durableId="1339698172">
    <w:abstractNumId w:val="5"/>
  </w:num>
  <w:num w:numId="1354" w16cid:durableId="2066945356">
    <w:abstractNumId w:val="4"/>
  </w:num>
  <w:num w:numId="1355" w16cid:durableId="974485664">
    <w:abstractNumId w:val="8"/>
  </w:num>
  <w:num w:numId="1356" w16cid:durableId="786922826">
    <w:abstractNumId w:val="3"/>
  </w:num>
  <w:num w:numId="1357" w16cid:durableId="281695561">
    <w:abstractNumId w:val="2"/>
  </w:num>
  <w:num w:numId="1358" w16cid:durableId="1648363482">
    <w:abstractNumId w:val="1"/>
  </w:num>
  <w:num w:numId="1359" w16cid:durableId="1590233219">
    <w:abstractNumId w:val="0"/>
  </w:num>
  <w:num w:numId="1360" w16cid:durableId="1282227464">
    <w:abstractNumId w:val="9"/>
  </w:num>
  <w:num w:numId="1361" w16cid:durableId="1265114618">
    <w:abstractNumId w:val="7"/>
  </w:num>
  <w:num w:numId="1362" w16cid:durableId="1164860902">
    <w:abstractNumId w:val="6"/>
  </w:num>
  <w:num w:numId="1363" w16cid:durableId="2086608029">
    <w:abstractNumId w:val="5"/>
  </w:num>
  <w:num w:numId="1364" w16cid:durableId="1246648842">
    <w:abstractNumId w:val="4"/>
  </w:num>
  <w:num w:numId="1365" w16cid:durableId="1643273852">
    <w:abstractNumId w:val="8"/>
  </w:num>
  <w:num w:numId="1366" w16cid:durableId="359286333">
    <w:abstractNumId w:val="3"/>
  </w:num>
  <w:num w:numId="1367" w16cid:durableId="1383671384">
    <w:abstractNumId w:val="2"/>
  </w:num>
  <w:num w:numId="1368" w16cid:durableId="857932166">
    <w:abstractNumId w:val="1"/>
  </w:num>
  <w:num w:numId="1369" w16cid:durableId="1382247106">
    <w:abstractNumId w:val="0"/>
  </w:num>
  <w:num w:numId="1370" w16cid:durableId="1810509708">
    <w:abstractNumId w:val="9"/>
  </w:num>
  <w:num w:numId="1371" w16cid:durableId="954598379">
    <w:abstractNumId w:val="7"/>
  </w:num>
  <w:num w:numId="1372" w16cid:durableId="576595142">
    <w:abstractNumId w:val="6"/>
  </w:num>
  <w:num w:numId="1373" w16cid:durableId="616257052">
    <w:abstractNumId w:val="5"/>
  </w:num>
  <w:num w:numId="1374" w16cid:durableId="1636056519">
    <w:abstractNumId w:val="4"/>
  </w:num>
  <w:num w:numId="1375" w16cid:durableId="975723985">
    <w:abstractNumId w:val="8"/>
  </w:num>
  <w:num w:numId="1376" w16cid:durableId="2014189033">
    <w:abstractNumId w:val="3"/>
  </w:num>
  <w:num w:numId="1377" w16cid:durableId="42559355">
    <w:abstractNumId w:val="2"/>
  </w:num>
  <w:num w:numId="1378" w16cid:durableId="1983383634">
    <w:abstractNumId w:val="1"/>
  </w:num>
  <w:num w:numId="1379" w16cid:durableId="111438261">
    <w:abstractNumId w:val="0"/>
  </w:num>
  <w:num w:numId="1380" w16cid:durableId="1906798390">
    <w:abstractNumId w:val="9"/>
  </w:num>
  <w:num w:numId="1381" w16cid:durableId="1256279426">
    <w:abstractNumId w:val="7"/>
  </w:num>
  <w:num w:numId="1382" w16cid:durableId="1193348562">
    <w:abstractNumId w:val="6"/>
  </w:num>
  <w:num w:numId="1383" w16cid:durableId="1160191199">
    <w:abstractNumId w:val="5"/>
  </w:num>
  <w:num w:numId="1384" w16cid:durableId="120610801">
    <w:abstractNumId w:val="4"/>
  </w:num>
  <w:num w:numId="1385" w16cid:durableId="774255161">
    <w:abstractNumId w:val="8"/>
  </w:num>
  <w:num w:numId="1386" w16cid:durableId="1939217727">
    <w:abstractNumId w:val="3"/>
  </w:num>
  <w:num w:numId="1387" w16cid:durableId="1954903384">
    <w:abstractNumId w:val="2"/>
  </w:num>
  <w:num w:numId="1388" w16cid:durableId="211814413">
    <w:abstractNumId w:val="1"/>
  </w:num>
  <w:num w:numId="1389" w16cid:durableId="1393039951">
    <w:abstractNumId w:val="0"/>
  </w:num>
  <w:num w:numId="1390" w16cid:durableId="1555920298">
    <w:abstractNumId w:val="9"/>
  </w:num>
  <w:num w:numId="1391" w16cid:durableId="1774787318">
    <w:abstractNumId w:val="7"/>
  </w:num>
  <w:num w:numId="1392" w16cid:durableId="1070465153">
    <w:abstractNumId w:val="6"/>
  </w:num>
  <w:num w:numId="1393" w16cid:durableId="1288657474">
    <w:abstractNumId w:val="5"/>
  </w:num>
  <w:num w:numId="1394" w16cid:durableId="677460695">
    <w:abstractNumId w:val="4"/>
  </w:num>
  <w:num w:numId="1395" w16cid:durableId="1721055319">
    <w:abstractNumId w:val="8"/>
  </w:num>
  <w:num w:numId="1396" w16cid:durableId="566914385">
    <w:abstractNumId w:val="3"/>
  </w:num>
  <w:num w:numId="1397" w16cid:durableId="1193104670">
    <w:abstractNumId w:val="2"/>
  </w:num>
  <w:num w:numId="1398" w16cid:durableId="1717313831">
    <w:abstractNumId w:val="1"/>
  </w:num>
  <w:num w:numId="1399" w16cid:durableId="130832584">
    <w:abstractNumId w:val="0"/>
  </w:num>
  <w:num w:numId="1400" w16cid:durableId="240721159">
    <w:abstractNumId w:val="9"/>
  </w:num>
  <w:num w:numId="1401" w16cid:durableId="688989996">
    <w:abstractNumId w:val="7"/>
  </w:num>
  <w:num w:numId="1402" w16cid:durableId="2063481054">
    <w:abstractNumId w:val="6"/>
  </w:num>
  <w:num w:numId="1403" w16cid:durableId="550581025">
    <w:abstractNumId w:val="5"/>
  </w:num>
  <w:num w:numId="1404" w16cid:durableId="880481928">
    <w:abstractNumId w:val="4"/>
  </w:num>
  <w:num w:numId="1405" w16cid:durableId="1347445672">
    <w:abstractNumId w:val="8"/>
  </w:num>
  <w:num w:numId="1406" w16cid:durableId="2088644721">
    <w:abstractNumId w:val="3"/>
  </w:num>
  <w:num w:numId="1407" w16cid:durableId="707995876">
    <w:abstractNumId w:val="2"/>
  </w:num>
  <w:num w:numId="1408" w16cid:durableId="690954474">
    <w:abstractNumId w:val="1"/>
  </w:num>
  <w:num w:numId="1409" w16cid:durableId="1553274909">
    <w:abstractNumId w:val="0"/>
  </w:num>
  <w:num w:numId="1410" w16cid:durableId="551381528">
    <w:abstractNumId w:val="9"/>
  </w:num>
  <w:num w:numId="1411" w16cid:durableId="565720754">
    <w:abstractNumId w:val="7"/>
  </w:num>
  <w:num w:numId="1412" w16cid:durableId="2081052580">
    <w:abstractNumId w:val="6"/>
  </w:num>
  <w:num w:numId="1413" w16cid:durableId="329066520">
    <w:abstractNumId w:val="5"/>
  </w:num>
  <w:num w:numId="1414" w16cid:durableId="458888204">
    <w:abstractNumId w:val="4"/>
  </w:num>
  <w:num w:numId="1415" w16cid:durableId="1591427058">
    <w:abstractNumId w:val="8"/>
  </w:num>
  <w:num w:numId="1416" w16cid:durableId="1067613749">
    <w:abstractNumId w:val="3"/>
  </w:num>
  <w:num w:numId="1417" w16cid:durableId="1092898039">
    <w:abstractNumId w:val="2"/>
  </w:num>
  <w:num w:numId="1418" w16cid:durableId="672999250">
    <w:abstractNumId w:val="1"/>
  </w:num>
  <w:num w:numId="1419" w16cid:durableId="1001540966">
    <w:abstractNumId w:val="0"/>
  </w:num>
  <w:num w:numId="1420" w16cid:durableId="1981617101">
    <w:abstractNumId w:val="9"/>
  </w:num>
  <w:num w:numId="1421" w16cid:durableId="619999489">
    <w:abstractNumId w:val="7"/>
  </w:num>
  <w:num w:numId="1422" w16cid:durableId="1270620746">
    <w:abstractNumId w:val="6"/>
  </w:num>
  <w:num w:numId="1423" w16cid:durableId="1653563479">
    <w:abstractNumId w:val="5"/>
  </w:num>
  <w:num w:numId="1424" w16cid:durableId="1807972195">
    <w:abstractNumId w:val="4"/>
  </w:num>
  <w:num w:numId="1425" w16cid:durableId="1961498349">
    <w:abstractNumId w:val="8"/>
  </w:num>
  <w:num w:numId="1426" w16cid:durableId="1876655946">
    <w:abstractNumId w:val="3"/>
  </w:num>
  <w:num w:numId="1427" w16cid:durableId="7874559">
    <w:abstractNumId w:val="2"/>
  </w:num>
  <w:num w:numId="1428" w16cid:durableId="354890517">
    <w:abstractNumId w:val="1"/>
  </w:num>
  <w:num w:numId="1429" w16cid:durableId="1606107724">
    <w:abstractNumId w:val="0"/>
  </w:num>
  <w:num w:numId="1430" w16cid:durableId="915017752">
    <w:abstractNumId w:val="9"/>
  </w:num>
  <w:num w:numId="1431" w16cid:durableId="1512574157">
    <w:abstractNumId w:val="7"/>
  </w:num>
  <w:num w:numId="1432" w16cid:durableId="1244686887">
    <w:abstractNumId w:val="6"/>
  </w:num>
  <w:num w:numId="1433" w16cid:durableId="1464157767">
    <w:abstractNumId w:val="5"/>
  </w:num>
  <w:num w:numId="1434" w16cid:durableId="1386416779">
    <w:abstractNumId w:val="4"/>
  </w:num>
  <w:num w:numId="1435" w16cid:durableId="1986273032">
    <w:abstractNumId w:val="8"/>
  </w:num>
  <w:num w:numId="1436" w16cid:durableId="296226518">
    <w:abstractNumId w:val="3"/>
  </w:num>
  <w:num w:numId="1437" w16cid:durableId="1855608183">
    <w:abstractNumId w:val="2"/>
  </w:num>
  <w:num w:numId="1438" w16cid:durableId="1436712660">
    <w:abstractNumId w:val="1"/>
  </w:num>
  <w:num w:numId="1439" w16cid:durableId="1653097605">
    <w:abstractNumId w:val="0"/>
  </w:num>
  <w:num w:numId="1440" w16cid:durableId="1559898307">
    <w:abstractNumId w:val="9"/>
  </w:num>
  <w:num w:numId="1441" w16cid:durableId="1174762742">
    <w:abstractNumId w:val="7"/>
  </w:num>
  <w:num w:numId="1442" w16cid:durableId="1531642786">
    <w:abstractNumId w:val="6"/>
  </w:num>
  <w:num w:numId="1443" w16cid:durableId="758140545">
    <w:abstractNumId w:val="5"/>
  </w:num>
  <w:num w:numId="1444" w16cid:durableId="977959346">
    <w:abstractNumId w:val="4"/>
  </w:num>
  <w:num w:numId="1445" w16cid:durableId="643196167">
    <w:abstractNumId w:val="8"/>
  </w:num>
  <w:num w:numId="1446" w16cid:durableId="1724937652">
    <w:abstractNumId w:val="3"/>
  </w:num>
  <w:num w:numId="1447" w16cid:durableId="946622202">
    <w:abstractNumId w:val="2"/>
  </w:num>
  <w:num w:numId="1448" w16cid:durableId="98451478">
    <w:abstractNumId w:val="1"/>
  </w:num>
  <w:num w:numId="1449" w16cid:durableId="222254068">
    <w:abstractNumId w:val="0"/>
  </w:num>
  <w:num w:numId="1450" w16cid:durableId="799617699">
    <w:abstractNumId w:val="9"/>
  </w:num>
  <w:num w:numId="1451" w16cid:durableId="1912546126">
    <w:abstractNumId w:val="7"/>
  </w:num>
  <w:num w:numId="1452" w16cid:durableId="540361709">
    <w:abstractNumId w:val="6"/>
  </w:num>
  <w:num w:numId="1453" w16cid:durableId="64955269">
    <w:abstractNumId w:val="5"/>
  </w:num>
  <w:num w:numId="1454" w16cid:durableId="1847010498">
    <w:abstractNumId w:val="4"/>
  </w:num>
  <w:num w:numId="1455" w16cid:durableId="1235165685">
    <w:abstractNumId w:val="8"/>
  </w:num>
  <w:num w:numId="1456" w16cid:durableId="1264533404">
    <w:abstractNumId w:val="3"/>
  </w:num>
  <w:num w:numId="1457" w16cid:durableId="889000402">
    <w:abstractNumId w:val="2"/>
  </w:num>
  <w:num w:numId="1458" w16cid:durableId="1256597712">
    <w:abstractNumId w:val="1"/>
  </w:num>
  <w:num w:numId="1459" w16cid:durableId="498351305">
    <w:abstractNumId w:val="0"/>
  </w:num>
  <w:num w:numId="1460" w16cid:durableId="1107192792">
    <w:abstractNumId w:val="9"/>
  </w:num>
  <w:num w:numId="1461" w16cid:durableId="301885667">
    <w:abstractNumId w:val="7"/>
  </w:num>
  <w:num w:numId="1462" w16cid:durableId="329454729">
    <w:abstractNumId w:val="6"/>
  </w:num>
  <w:num w:numId="1463" w16cid:durableId="501819842">
    <w:abstractNumId w:val="5"/>
  </w:num>
  <w:num w:numId="1464" w16cid:durableId="1741292612">
    <w:abstractNumId w:val="4"/>
  </w:num>
  <w:num w:numId="1465" w16cid:durableId="150217294">
    <w:abstractNumId w:val="8"/>
  </w:num>
  <w:num w:numId="1466" w16cid:durableId="857695689">
    <w:abstractNumId w:val="3"/>
  </w:num>
  <w:num w:numId="1467" w16cid:durableId="746541679">
    <w:abstractNumId w:val="2"/>
  </w:num>
  <w:num w:numId="1468" w16cid:durableId="1519463722">
    <w:abstractNumId w:val="1"/>
  </w:num>
  <w:num w:numId="1469" w16cid:durableId="1970814253">
    <w:abstractNumId w:val="0"/>
  </w:num>
  <w:num w:numId="1470" w16cid:durableId="676275889">
    <w:abstractNumId w:val="9"/>
  </w:num>
  <w:num w:numId="1471" w16cid:durableId="182671557">
    <w:abstractNumId w:val="7"/>
  </w:num>
  <w:num w:numId="1472" w16cid:durableId="246502224">
    <w:abstractNumId w:val="6"/>
  </w:num>
  <w:num w:numId="1473" w16cid:durableId="1338313031">
    <w:abstractNumId w:val="5"/>
  </w:num>
  <w:num w:numId="1474" w16cid:durableId="1105463459">
    <w:abstractNumId w:val="4"/>
  </w:num>
  <w:num w:numId="1475" w16cid:durableId="355467925">
    <w:abstractNumId w:val="8"/>
  </w:num>
  <w:num w:numId="1476" w16cid:durableId="114062062">
    <w:abstractNumId w:val="3"/>
  </w:num>
  <w:num w:numId="1477" w16cid:durableId="1728265484">
    <w:abstractNumId w:val="2"/>
  </w:num>
  <w:num w:numId="1478" w16cid:durableId="1747678311">
    <w:abstractNumId w:val="1"/>
  </w:num>
  <w:num w:numId="1479" w16cid:durableId="1028337700">
    <w:abstractNumId w:val="0"/>
  </w:num>
  <w:num w:numId="1480" w16cid:durableId="407775410">
    <w:abstractNumId w:val="9"/>
  </w:num>
  <w:num w:numId="1481" w16cid:durableId="581178751">
    <w:abstractNumId w:val="7"/>
  </w:num>
  <w:num w:numId="1482" w16cid:durableId="836767711">
    <w:abstractNumId w:val="6"/>
  </w:num>
  <w:num w:numId="1483" w16cid:durableId="912353355">
    <w:abstractNumId w:val="5"/>
  </w:num>
  <w:num w:numId="1484" w16cid:durableId="430392579">
    <w:abstractNumId w:val="4"/>
  </w:num>
  <w:num w:numId="1485" w16cid:durableId="1281230859">
    <w:abstractNumId w:val="8"/>
  </w:num>
  <w:num w:numId="1486" w16cid:durableId="522331363">
    <w:abstractNumId w:val="3"/>
  </w:num>
  <w:num w:numId="1487" w16cid:durableId="370889017">
    <w:abstractNumId w:val="2"/>
  </w:num>
  <w:num w:numId="1488" w16cid:durableId="419955972">
    <w:abstractNumId w:val="1"/>
  </w:num>
  <w:num w:numId="1489" w16cid:durableId="957566948">
    <w:abstractNumId w:val="0"/>
  </w:num>
  <w:num w:numId="1490" w16cid:durableId="1599681112">
    <w:abstractNumId w:val="9"/>
  </w:num>
  <w:num w:numId="1491" w16cid:durableId="535584146">
    <w:abstractNumId w:val="7"/>
  </w:num>
  <w:num w:numId="1492" w16cid:durableId="968704876">
    <w:abstractNumId w:val="6"/>
  </w:num>
  <w:num w:numId="1493" w16cid:durableId="1668821714">
    <w:abstractNumId w:val="5"/>
  </w:num>
  <w:num w:numId="1494" w16cid:durableId="1183469866">
    <w:abstractNumId w:val="4"/>
  </w:num>
  <w:num w:numId="1495" w16cid:durableId="1415316341">
    <w:abstractNumId w:val="8"/>
  </w:num>
  <w:num w:numId="1496" w16cid:durableId="864248584">
    <w:abstractNumId w:val="3"/>
  </w:num>
  <w:num w:numId="1497" w16cid:durableId="1918586645">
    <w:abstractNumId w:val="2"/>
  </w:num>
  <w:num w:numId="1498" w16cid:durableId="1476948900">
    <w:abstractNumId w:val="1"/>
  </w:num>
  <w:num w:numId="1499" w16cid:durableId="1343431759">
    <w:abstractNumId w:val="0"/>
  </w:num>
  <w:num w:numId="1500" w16cid:durableId="73284025">
    <w:abstractNumId w:val="9"/>
  </w:num>
  <w:num w:numId="1501" w16cid:durableId="1610351985">
    <w:abstractNumId w:val="7"/>
  </w:num>
  <w:num w:numId="1502" w16cid:durableId="2091005620">
    <w:abstractNumId w:val="6"/>
  </w:num>
  <w:num w:numId="1503" w16cid:durableId="1089616952">
    <w:abstractNumId w:val="5"/>
  </w:num>
  <w:num w:numId="1504" w16cid:durableId="1830362022">
    <w:abstractNumId w:val="4"/>
  </w:num>
  <w:num w:numId="1505" w16cid:durableId="1573152000">
    <w:abstractNumId w:val="8"/>
  </w:num>
  <w:num w:numId="1506" w16cid:durableId="590553303">
    <w:abstractNumId w:val="3"/>
  </w:num>
  <w:num w:numId="1507" w16cid:durableId="871841008">
    <w:abstractNumId w:val="2"/>
  </w:num>
  <w:num w:numId="1508" w16cid:durableId="1466269427">
    <w:abstractNumId w:val="1"/>
  </w:num>
  <w:num w:numId="1509" w16cid:durableId="2049599329">
    <w:abstractNumId w:val="0"/>
  </w:num>
  <w:num w:numId="1510" w16cid:durableId="591204023">
    <w:abstractNumId w:val="9"/>
  </w:num>
  <w:num w:numId="1511" w16cid:durableId="1078361439">
    <w:abstractNumId w:val="7"/>
  </w:num>
  <w:num w:numId="1512" w16cid:durableId="9184485">
    <w:abstractNumId w:val="6"/>
  </w:num>
  <w:num w:numId="1513" w16cid:durableId="1175924982">
    <w:abstractNumId w:val="5"/>
  </w:num>
  <w:num w:numId="1514" w16cid:durableId="1359547504">
    <w:abstractNumId w:val="4"/>
  </w:num>
  <w:num w:numId="1515" w16cid:durableId="258637364">
    <w:abstractNumId w:val="8"/>
  </w:num>
  <w:num w:numId="1516" w16cid:durableId="1918443470">
    <w:abstractNumId w:val="3"/>
  </w:num>
  <w:num w:numId="1517" w16cid:durableId="746727214">
    <w:abstractNumId w:val="2"/>
  </w:num>
  <w:num w:numId="1518" w16cid:durableId="243876950">
    <w:abstractNumId w:val="1"/>
  </w:num>
  <w:num w:numId="1519" w16cid:durableId="1992833552">
    <w:abstractNumId w:val="0"/>
  </w:num>
  <w:num w:numId="1520" w16cid:durableId="1713648531">
    <w:abstractNumId w:val="9"/>
  </w:num>
  <w:num w:numId="1521" w16cid:durableId="56826693">
    <w:abstractNumId w:val="7"/>
  </w:num>
  <w:num w:numId="1522" w16cid:durableId="1912961108">
    <w:abstractNumId w:val="6"/>
  </w:num>
  <w:num w:numId="1523" w16cid:durableId="667513295">
    <w:abstractNumId w:val="5"/>
  </w:num>
  <w:num w:numId="1524" w16cid:durableId="316878799">
    <w:abstractNumId w:val="4"/>
  </w:num>
  <w:num w:numId="1525" w16cid:durableId="60298165">
    <w:abstractNumId w:val="8"/>
  </w:num>
  <w:num w:numId="1526" w16cid:durableId="632366463">
    <w:abstractNumId w:val="3"/>
  </w:num>
  <w:num w:numId="1527" w16cid:durableId="891624745">
    <w:abstractNumId w:val="2"/>
  </w:num>
  <w:num w:numId="1528" w16cid:durableId="1016345459">
    <w:abstractNumId w:val="1"/>
  </w:num>
  <w:num w:numId="1529" w16cid:durableId="618416253">
    <w:abstractNumId w:val="0"/>
  </w:num>
  <w:num w:numId="1530" w16cid:durableId="1502356655">
    <w:abstractNumId w:val="9"/>
  </w:num>
  <w:num w:numId="1531" w16cid:durableId="294288512">
    <w:abstractNumId w:val="7"/>
  </w:num>
  <w:num w:numId="1532" w16cid:durableId="1034647541">
    <w:abstractNumId w:val="6"/>
  </w:num>
  <w:num w:numId="1533" w16cid:durableId="1814176680">
    <w:abstractNumId w:val="5"/>
  </w:num>
  <w:num w:numId="1534" w16cid:durableId="1793982669">
    <w:abstractNumId w:val="4"/>
  </w:num>
  <w:num w:numId="1535" w16cid:durableId="395904648">
    <w:abstractNumId w:val="8"/>
  </w:num>
  <w:num w:numId="1536" w16cid:durableId="1479692186">
    <w:abstractNumId w:val="3"/>
  </w:num>
  <w:num w:numId="1537" w16cid:durableId="1675262540">
    <w:abstractNumId w:val="2"/>
  </w:num>
  <w:num w:numId="1538" w16cid:durableId="1005014742">
    <w:abstractNumId w:val="1"/>
  </w:num>
  <w:num w:numId="1539" w16cid:durableId="1870993281">
    <w:abstractNumId w:val="0"/>
  </w:num>
  <w:num w:numId="1540" w16cid:durableId="1932664491">
    <w:abstractNumId w:val="9"/>
  </w:num>
  <w:num w:numId="1541" w16cid:durableId="2052269786">
    <w:abstractNumId w:val="7"/>
  </w:num>
  <w:num w:numId="1542" w16cid:durableId="702750715">
    <w:abstractNumId w:val="6"/>
  </w:num>
  <w:num w:numId="1543" w16cid:durableId="1157965119">
    <w:abstractNumId w:val="5"/>
  </w:num>
  <w:num w:numId="1544" w16cid:durableId="901598670">
    <w:abstractNumId w:val="4"/>
  </w:num>
  <w:num w:numId="1545" w16cid:durableId="5179584">
    <w:abstractNumId w:val="8"/>
  </w:num>
  <w:num w:numId="1546" w16cid:durableId="898323907">
    <w:abstractNumId w:val="3"/>
  </w:num>
  <w:num w:numId="1547" w16cid:durableId="625624041">
    <w:abstractNumId w:val="2"/>
  </w:num>
  <w:num w:numId="1548" w16cid:durableId="1238780930">
    <w:abstractNumId w:val="1"/>
  </w:num>
  <w:num w:numId="1549" w16cid:durableId="1986665604">
    <w:abstractNumId w:val="0"/>
  </w:num>
  <w:num w:numId="1550" w16cid:durableId="638340562">
    <w:abstractNumId w:val="9"/>
  </w:num>
  <w:num w:numId="1551" w16cid:durableId="869144684">
    <w:abstractNumId w:val="7"/>
  </w:num>
  <w:num w:numId="1552" w16cid:durableId="1716082281">
    <w:abstractNumId w:val="6"/>
  </w:num>
  <w:num w:numId="1553" w16cid:durableId="1455320983">
    <w:abstractNumId w:val="5"/>
  </w:num>
  <w:num w:numId="1554" w16cid:durableId="540215855">
    <w:abstractNumId w:val="4"/>
  </w:num>
  <w:num w:numId="1555" w16cid:durableId="682516499">
    <w:abstractNumId w:val="8"/>
  </w:num>
  <w:num w:numId="1556" w16cid:durableId="1473137528">
    <w:abstractNumId w:val="3"/>
  </w:num>
  <w:num w:numId="1557" w16cid:durableId="791479039">
    <w:abstractNumId w:val="2"/>
  </w:num>
  <w:num w:numId="1558" w16cid:durableId="1118328647">
    <w:abstractNumId w:val="1"/>
  </w:num>
  <w:num w:numId="1559" w16cid:durableId="869878818">
    <w:abstractNumId w:val="0"/>
  </w:num>
  <w:num w:numId="1560" w16cid:durableId="26103966">
    <w:abstractNumId w:val="9"/>
  </w:num>
  <w:num w:numId="1561" w16cid:durableId="1387143700">
    <w:abstractNumId w:val="7"/>
  </w:num>
  <w:num w:numId="1562" w16cid:durableId="495465289">
    <w:abstractNumId w:val="6"/>
  </w:num>
  <w:num w:numId="1563" w16cid:durableId="894973912">
    <w:abstractNumId w:val="5"/>
  </w:num>
  <w:num w:numId="1564" w16cid:durableId="529954237">
    <w:abstractNumId w:val="4"/>
  </w:num>
  <w:num w:numId="1565" w16cid:durableId="1880240765">
    <w:abstractNumId w:val="8"/>
  </w:num>
  <w:num w:numId="1566" w16cid:durableId="2127187963">
    <w:abstractNumId w:val="3"/>
  </w:num>
  <w:num w:numId="1567" w16cid:durableId="1615164049">
    <w:abstractNumId w:val="2"/>
  </w:num>
  <w:num w:numId="1568" w16cid:durableId="619413233">
    <w:abstractNumId w:val="1"/>
  </w:num>
  <w:num w:numId="1569" w16cid:durableId="1691182812">
    <w:abstractNumId w:val="0"/>
  </w:num>
  <w:num w:numId="1570" w16cid:durableId="222757787">
    <w:abstractNumId w:val="9"/>
  </w:num>
  <w:num w:numId="1571" w16cid:durableId="707681187">
    <w:abstractNumId w:val="7"/>
  </w:num>
  <w:num w:numId="1572" w16cid:durableId="732893559">
    <w:abstractNumId w:val="6"/>
  </w:num>
  <w:num w:numId="1573" w16cid:durableId="615716216">
    <w:abstractNumId w:val="5"/>
  </w:num>
  <w:num w:numId="1574" w16cid:durableId="2134056915">
    <w:abstractNumId w:val="4"/>
  </w:num>
  <w:num w:numId="1575" w16cid:durableId="726148159">
    <w:abstractNumId w:val="8"/>
  </w:num>
  <w:num w:numId="1576" w16cid:durableId="361630742">
    <w:abstractNumId w:val="3"/>
  </w:num>
  <w:num w:numId="1577" w16cid:durableId="1217011849">
    <w:abstractNumId w:val="2"/>
  </w:num>
  <w:num w:numId="1578" w16cid:durableId="1635481239">
    <w:abstractNumId w:val="1"/>
  </w:num>
  <w:num w:numId="1579" w16cid:durableId="375930312">
    <w:abstractNumId w:val="0"/>
  </w:num>
  <w:num w:numId="1580" w16cid:durableId="1513295619">
    <w:abstractNumId w:val="9"/>
  </w:num>
  <w:num w:numId="1581" w16cid:durableId="1740051441">
    <w:abstractNumId w:val="7"/>
  </w:num>
  <w:num w:numId="1582" w16cid:durableId="1767262101">
    <w:abstractNumId w:val="6"/>
  </w:num>
  <w:num w:numId="1583" w16cid:durableId="1792236914">
    <w:abstractNumId w:val="5"/>
  </w:num>
  <w:num w:numId="1584" w16cid:durableId="225459469">
    <w:abstractNumId w:val="4"/>
  </w:num>
  <w:num w:numId="1585" w16cid:durableId="1648507123">
    <w:abstractNumId w:val="8"/>
  </w:num>
  <w:num w:numId="1586" w16cid:durableId="189531271">
    <w:abstractNumId w:val="3"/>
  </w:num>
  <w:num w:numId="1587" w16cid:durableId="2035836637">
    <w:abstractNumId w:val="2"/>
  </w:num>
  <w:num w:numId="1588" w16cid:durableId="1451587680">
    <w:abstractNumId w:val="1"/>
  </w:num>
  <w:num w:numId="1589" w16cid:durableId="1731731844">
    <w:abstractNumId w:val="0"/>
  </w:num>
  <w:numIdMacAtCleanup w:val="15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MRemoved" w:val="True"/>
    <w:docVar w:name="DateRemoved" w:val="True"/>
    <w:docVar w:name="DefaultNumberOfLevelsInTOCForThisScheme" w:val="3"/>
    <w:docVar w:name="DocIDAllPagesExceptFirst" w:val="True"/>
    <w:docVar w:name="DocIDAuthor" w:val="False"/>
    <w:docVar w:name="DocIDClientMatter" w:val="False"/>
    <w:docVar w:name="DocIDDate" w:val="False"/>
    <w:docVar w:name="DocIDDateText" w:val="False"/>
    <w:docVar w:name="DocIDDraft" w:val="False"/>
    <w:docVar w:name="DocIDEOD" w:val="False"/>
    <w:docVar w:name="DocIDFileName" w:val="False"/>
    <w:docVar w:name="DocIDFooter" w:val="False"/>
    <w:docVar w:name="DocIDLibrary" w:val="True"/>
    <w:docVar w:name="DocIDLongDate" w:val="False"/>
    <w:docVar w:name="DocIDPrefix" w:val="False"/>
    <w:docVar w:name="DocIDPrintedDate" w:val="False"/>
    <w:docVar w:name="DocIDRemoved" w:val="False"/>
    <w:docVar w:name="DocIDTime" w:val="False"/>
    <w:docVar w:name="DocIDType" w:val="AllPagesExceptFirst"/>
    <w:docVar w:name="DocIDTypist" w:val="False"/>
    <w:docVar w:name="DocIDVersion" w:val="True"/>
    <w:docVar w:name="DraftRemoved" w:val="True"/>
    <w:docVar w:name="LastSchemeChoice" w:val="Scheme 12(c) UK12 - Schedule"/>
    <w:docVar w:name="LastSchemeUniqueID" w:val="152"/>
    <w:docVar w:name="LegacyDocIDRemoved" w:val="True"/>
    <w:docVar w:name="Option0True" w:val="False"/>
    <w:docVar w:name="Option0TrueS2" w:val="False"/>
    <w:docVar w:name="Option1True" w:val="False"/>
    <w:docVar w:name="Option1TrueS2" w:val="False"/>
    <w:docVar w:name="TimeRemoved" w:val="True"/>
  </w:docVars>
  <w:rsids>
    <w:rsidRoot w:val="00162E0C"/>
    <w:rsid w:val="0000608D"/>
    <w:rsid w:val="000079BE"/>
    <w:rsid w:val="0001097B"/>
    <w:rsid w:val="00013786"/>
    <w:rsid w:val="00014275"/>
    <w:rsid w:val="000152ED"/>
    <w:rsid w:val="00021641"/>
    <w:rsid w:val="000219FB"/>
    <w:rsid w:val="00024E79"/>
    <w:rsid w:val="00030919"/>
    <w:rsid w:val="000410E0"/>
    <w:rsid w:val="00041A26"/>
    <w:rsid w:val="00045C04"/>
    <w:rsid w:val="000524F9"/>
    <w:rsid w:val="0005298A"/>
    <w:rsid w:val="00053267"/>
    <w:rsid w:val="00062CB8"/>
    <w:rsid w:val="0006394F"/>
    <w:rsid w:val="0006449E"/>
    <w:rsid w:val="00070728"/>
    <w:rsid w:val="00071A62"/>
    <w:rsid w:val="00076B8F"/>
    <w:rsid w:val="0008275C"/>
    <w:rsid w:val="0009268B"/>
    <w:rsid w:val="0009761D"/>
    <w:rsid w:val="000A0D99"/>
    <w:rsid w:val="000A19CB"/>
    <w:rsid w:val="000A4AC6"/>
    <w:rsid w:val="000A76CD"/>
    <w:rsid w:val="000B2CE6"/>
    <w:rsid w:val="000C4BC2"/>
    <w:rsid w:val="000C6A95"/>
    <w:rsid w:val="000D027C"/>
    <w:rsid w:val="000D6D36"/>
    <w:rsid w:val="000E21A9"/>
    <w:rsid w:val="000F22E6"/>
    <w:rsid w:val="000F29B2"/>
    <w:rsid w:val="000F2B46"/>
    <w:rsid w:val="000F7C15"/>
    <w:rsid w:val="001041C0"/>
    <w:rsid w:val="00123A49"/>
    <w:rsid w:val="001260F1"/>
    <w:rsid w:val="00132EFF"/>
    <w:rsid w:val="0013308E"/>
    <w:rsid w:val="0016037A"/>
    <w:rsid w:val="001615E7"/>
    <w:rsid w:val="00162E0C"/>
    <w:rsid w:val="00165EDE"/>
    <w:rsid w:val="0016653A"/>
    <w:rsid w:val="00167572"/>
    <w:rsid w:val="00167B46"/>
    <w:rsid w:val="001710EB"/>
    <w:rsid w:val="00176CC5"/>
    <w:rsid w:val="001775C6"/>
    <w:rsid w:val="00180A63"/>
    <w:rsid w:val="001814D6"/>
    <w:rsid w:val="00182580"/>
    <w:rsid w:val="00185E29"/>
    <w:rsid w:val="00190802"/>
    <w:rsid w:val="001923D0"/>
    <w:rsid w:val="00193FCA"/>
    <w:rsid w:val="001956C5"/>
    <w:rsid w:val="00197360"/>
    <w:rsid w:val="001A3F89"/>
    <w:rsid w:val="001A5578"/>
    <w:rsid w:val="001A72C6"/>
    <w:rsid w:val="001A770D"/>
    <w:rsid w:val="001B3593"/>
    <w:rsid w:val="001B6F10"/>
    <w:rsid w:val="001B72BE"/>
    <w:rsid w:val="001C3DBD"/>
    <w:rsid w:val="001C5151"/>
    <w:rsid w:val="001C5432"/>
    <w:rsid w:val="001C6060"/>
    <w:rsid w:val="001C7E8B"/>
    <w:rsid w:val="001D08A6"/>
    <w:rsid w:val="001E087D"/>
    <w:rsid w:val="001E1448"/>
    <w:rsid w:val="001E2B87"/>
    <w:rsid w:val="001E5F58"/>
    <w:rsid w:val="001F4065"/>
    <w:rsid w:val="001F793D"/>
    <w:rsid w:val="00215599"/>
    <w:rsid w:val="00216320"/>
    <w:rsid w:val="00220A83"/>
    <w:rsid w:val="00222FEC"/>
    <w:rsid w:val="00232448"/>
    <w:rsid w:val="00236D53"/>
    <w:rsid w:val="0024060B"/>
    <w:rsid w:val="00241B80"/>
    <w:rsid w:val="002433F1"/>
    <w:rsid w:val="002455EB"/>
    <w:rsid w:val="00250751"/>
    <w:rsid w:val="002530ED"/>
    <w:rsid w:val="00255978"/>
    <w:rsid w:val="002563AD"/>
    <w:rsid w:val="00265C63"/>
    <w:rsid w:val="00265F29"/>
    <w:rsid w:val="00267976"/>
    <w:rsid w:val="00270A15"/>
    <w:rsid w:val="00276C07"/>
    <w:rsid w:val="00277917"/>
    <w:rsid w:val="00280EFA"/>
    <w:rsid w:val="00284443"/>
    <w:rsid w:val="002856BB"/>
    <w:rsid w:val="00286E2C"/>
    <w:rsid w:val="00287B05"/>
    <w:rsid w:val="0029125A"/>
    <w:rsid w:val="002A1DA9"/>
    <w:rsid w:val="002A216E"/>
    <w:rsid w:val="002A3A5E"/>
    <w:rsid w:val="002A433B"/>
    <w:rsid w:val="002A65C1"/>
    <w:rsid w:val="002A67D6"/>
    <w:rsid w:val="002A76C0"/>
    <w:rsid w:val="002B484E"/>
    <w:rsid w:val="002C0520"/>
    <w:rsid w:val="002D0791"/>
    <w:rsid w:val="002D60AB"/>
    <w:rsid w:val="002D797F"/>
    <w:rsid w:val="002D7C0C"/>
    <w:rsid w:val="002E0183"/>
    <w:rsid w:val="002E195B"/>
    <w:rsid w:val="002E384F"/>
    <w:rsid w:val="002E5BAC"/>
    <w:rsid w:val="002E60FF"/>
    <w:rsid w:val="002F1532"/>
    <w:rsid w:val="002F403C"/>
    <w:rsid w:val="002F5C28"/>
    <w:rsid w:val="00302734"/>
    <w:rsid w:val="00306529"/>
    <w:rsid w:val="00311EB3"/>
    <w:rsid w:val="00315399"/>
    <w:rsid w:val="00320735"/>
    <w:rsid w:val="00321FB2"/>
    <w:rsid w:val="00323232"/>
    <w:rsid w:val="003274F5"/>
    <w:rsid w:val="00332BBB"/>
    <w:rsid w:val="003365AD"/>
    <w:rsid w:val="00336A6A"/>
    <w:rsid w:val="00345291"/>
    <w:rsid w:val="00351632"/>
    <w:rsid w:val="00351ABC"/>
    <w:rsid w:val="0035335F"/>
    <w:rsid w:val="00360246"/>
    <w:rsid w:val="00361E32"/>
    <w:rsid w:val="003721B0"/>
    <w:rsid w:val="00375DFB"/>
    <w:rsid w:val="00381FCC"/>
    <w:rsid w:val="00384E67"/>
    <w:rsid w:val="00396C36"/>
    <w:rsid w:val="00397F1F"/>
    <w:rsid w:val="003A4C18"/>
    <w:rsid w:val="003A52E1"/>
    <w:rsid w:val="003A58B9"/>
    <w:rsid w:val="003B2598"/>
    <w:rsid w:val="003B2A1B"/>
    <w:rsid w:val="003B4A39"/>
    <w:rsid w:val="003B4A96"/>
    <w:rsid w:val="003B6092"/>
    <w:rsid w:val="003B7997"/>
    <w:rsid w:val="003C03DA"/>
    <w:rsid w:val="003D20B9"/>
    <w:rsid w:val="003D41D6"/>
    <w:rsid w:val="003D5D82"/>
    <w:rsid w:val="003E0714"/>
    <w:rsid w:val="003E303A"/>
    <w:rsid w:val="003F12D7"/>
    <w:rsid w:val="003F6753"/>
    <w:rsid w:val="003F74B3"/>
    <w:rsid w:val="00404ED7"/>
    <w:rsid w:val="004060E9"/>
    <w:rsid w:val="004069B2"/>
    <w:rsid w:val="0040746C"/>
    <w:rsid w:val="004079C1"/>
    <w:rsid w:val="00410DD5"/>
    <w:rsid w:val="00424270"/>
    <w:rsid w:val="00426109"/>
    <w:rsid w:val="00433444"/>
    <w:rsid w:val="004407BF"/>
    <w:rsid w:val="0044327F"/>
    <w:rsid w:val="00443F60"/>
    <w:rsid w:val="0044647E"/>
    <w:rsid w:val="00447121"/>
    <w:rsid w:val="00450C94"/>
    <w:rsid w:val="00452830"/>
    <w:rsid w:val="00454158"/>
    <w:rsid w:val="00455BEB"/>
    <w:rsid w:val="00460BD0"/>
    <w:rsid w:val="00461EF3"/>
    <w:rsid w:val="00470F1D"/>
    <w:rsid w:val="00471E53"/>
    <w:rsid w:val="0047255C"/>
    <w:rsid w:val="0047455B"/>
    <w:rsid w:val="0047641B"/>
    <w:rsid w:val="00476B6A"/>
    <w:rsid w:val="004772C3"/>
    <w:rsid w:val="00480332"/>
    <w:rsid w:val="004826C3"/>
    <w:rsid w:val="004849E4"/>
    <w:rsid w:val="00490980"/>
    <w:rsid w:val="0049652D"/>
    <w:rsid w:val="004977F2"/>
    <w:rsid w:val="004A19FE"/>
    <w:rsid w:val="004B026C"/>
    <w:rsid w:val="004B38F3"/>
    <w:rsid w:val="004B46BD"/>
    <w:rsid w:val="004B4E01"/>
    <w:rsid w:val="004B62AE"/>
    <w:rsid w:val="004B7462"/>
    <w:rsid w:val="004C277B"/>
    <w:rsid w:val="004C4B32"/>
    <w:rsid w:val="004D2C5F"/>
    <w:rsid w:val="004D6747"/>
    <w:rsid w:val="004D6D40"/>
    <w:rsid w:val="004E7C3E"/>
    <w:rsid w:val="004F1363"/>
    <w:rsid w:val="004F72F0"/>
    <w:rsid w:val="00500AF6"/>
    <w:rsid w:val="0050280B"/>
    <w:rsid w:val="00503A62"/>
    <w:rsid w:val="005076B5"/>
    <w:rsid w:val="00514BD2"/>
    <w:rsid w:val="005151DC"/>
    <w:rsid w:val="00517D8B"/>
    <w:rsid w:val="0052068F"/>
    <w:rsid w:val="00525347"/>
    <w:rsid w:val="005260BB"/>
    <w:rsid w:val="00527C74"/>
    <w:rsid w:val="00532080"/>
    <w:rsid w:val="00533B7C"/>
    <w:rsid w:val="00534E7A"/>
    <w:rsid w:val="00535142"/>
    <w:rsid w:val="00535287"/>
    <w:rsid w:val="005404F2"/>
    <w:rsid w:val="00541605"/>
    <w:rsid w:val="00543458"/>
    <w:rsid w:val="005502EC"/>
    <w:rsid w:val="005529F4"/>
    <w:rsid w:val="00553750"/>
    <w:rsid w:val="0055647D"/>
    <w:rsid w:val="00561307"/>
    <w:rsid w:val="00561946"/>
    <w:rsid w:val="00567333"/>
    <w:rsid w:val="00572030"/>
    <w:rsid w:val="00572382"/>
    <w:rsid w:val="005751AE"/>
    <w:rsid w:val="00576700"/>
    <w:rsid w:val="00577FFD"/>
    <w:rsid w:val="0058332F"/>
    <w:rsid w:val="005836AB"/>
    <w:rsid w:val="005A10A6"/>
    <w:rsid w:val="005A450E"/>
    <w:rsid w:val="005B71DD"/>
    <w:rsid w:val="005C0757"/>
    <w:rsid w:val="005C65D8"/>
    <w:rsid w:val="005D3F3A"/>
    <w:rsid w:val="005D462F"/>
    <w:rsid w:val="005E3274"/>
    <w:rsid w:val="005E4E93"/>
    <w:rsid w:val="005E4EA9"/>
    <w:rsid w:val="005F6312"/>
    <w:rsid w:val="0060390D"/>
    <w:rsid w:val="00605244"/>
    <w:rsid w:val="0060659D"/>
    <w:rsid w:val="006128E9"/>
    <w:rsid w:val="0061693E"/>
    <w:rsid w:val="006207B8"/>
    <w:rsid w:val="0062263B"/>
    <w:rsid w:val="00626EAF"/>
    <w:rsid w:val="00627FA3"/>
    <w:rsid w:val="006304A2"/>
    <w:rsid w:val="00633220"/>
    <w:rsid w:val="00633935"/>
    <w:rsid w:val="00634CC5"/>
    <w:rsid w:val="00637843"/>
    <w:rsid w:val="00643630"/>
    <w:rsid w:val="006437E8"/>
    <w:rsid w:val="00651160"/>
    <w:rsid w:val="00653A0D"/>
    <w:rsid w:val="0067268A"/>
    <w:rsid w:val="00677655"/>
    <w:rsid w:val="00693841"/>
    <w:rsid w:val="00693D8B"/>
    <w:rsid w:val="00695527"/>
    <w:rsid w:val="006A328C"/>
    <w:rsid w:val="006A5F7E"/>
    <w:rsid w:val="006A766B"/>
    <w:rsid w:val="006B1528"/>
    <w:rsid w:val="006B2C90"/>
    <w:rsid w:val="006B69E3"/>
    <w:rsid w:val="006C0937"/>
    <w:rsid w:val="006C115F"/>
    <w:rsid w:val="006C76DE"/>
    <w:rsid w:val="006C7DAC"/>
    <w:rsid w:val="006D0050"/>
    <w:rsid w:val="006D1336"/>
    <w:rsid w:val="006D48C0"/>
    <w:rsid w:val="006D5436"/>
    <w:rsid w:val="006E2940"/>
    <w:rsid w:val="006F1630"/>
    <w:rsid w:val="006F7068"/>
    <w:rsid w:val="006F7FB6"/>
    <w:rsid w:val="00701C02"/>
    <w:rsid w:val="00701DCE"/>
    <w:rsid w:val="007037E1"/>
    <w:rsid w:val="00704ACA"/>
    <w:rsid w:val="007050B7"/>
    <w:rsid w:val="00706804"/>
    <w:rsid w:val="00710EA1"/>
    <w:rsid w:val="00714AB9"/>
    <w:rsid w:val="00716A26"/>
    <w:rsid w:val="007250E2"/>
    <w:rsid w:val="00730CAD"/>
    <w:rsid w:val="00733AA3"/>
    <w:rsid w:val="007366C9"/>
    <w:rsid w:val="007441BA"/>
    <w:rsid w:val="00750456"/>
    <w:rsid w:val="00752881"/>
    <w:rsid w:val="00753E86"/>
    <w:rsid w:val="00755725"/>
    <w:rsid w:val="00761BBF"/>
    <w:rsid w:val="0076530E"/>
    <w:rsid w:val="00766F73"/>
    <w:rsid w:val="00770387"/>
    <w:rsid w:val="00770606"/>
    <w:rsid w:val="00775B45"/>
    <w:rsid w:val="007769C5"/>
    <w:rsid w:val="00776EBE"/>
    <w:rsid w:val="00785D6B"/>
    <w:rsid w:val="007860F6"/>
    <w:rsid w:val="007903AF"/>
    <w:rsid w:val="007921E9"/>
    <w:rsid w:val="00793AA2"/>
    <w:rsid w:val="007A0A24"/>
    <w:rsid w:val="007B092A"/>
    <w:rsid w:val="007B199B"/>
    <w:rsid w:val="007B224F"/>
    <w:rsid w:val="007B2E83"/>
    <w:rsid w:val="007C3B93"/>
    <w:rsid w:val="007C3BD3"/>
    <w:rsid w:val="007D051A"/>
    <w:rsid w:val="007D3774"/>
    <w:rsid w:val="007E31C1"/>
    <w:rsid w:val="007E5B0A"/>
    <w:rsid w:val="007E77E2"/>
    <w:rsid w:val="007F1B35"/>
    <w:rsid w:val="007F3FD0"/>
    <w:rsid w:val="007F405E"/>
    <w:rsid w:val="008016B7"/>
    <w:rsid w:val="00802C6E"/>
    <w:rsid w:val="008050B7"/>
    <w:rsid w:val="00805F2B"/>
    <w:rsid w:val="008113CA"/>
    <w:rsid w:val="00811D79"/>
    <w:rsid w:val="008149DA"/>
    <w:rsid w:val="00820ABC"/>
    <w:rsid w:val="008236A7"/>
    <w:rsid w:val="008263B9"/>
    <w:rsid w:val="00832867"/>
    <w:rsid w:val="0083302D"/>
    <w:rsid w:val="0083304C"/>
    <w:rsid w:val="00842565"/>
    <w:rsid w:val="00846574"/>
    <w:rsid w:val="00846BC6"/>
    <w:rsid w:val="008476FE"/>
    <w:rsid w:val="0085379D"/>
    <w:rsid w:val="0085797A"/>
    <w:rsid w:val="008610C1"/>
    <w:rsid w:val="00861633"/>
    <w:rsid w:val="0086233F"/>
    <w:rsid w:val="0086537B"/>
    <w:rsid w:val="008659B6"/>
    <w:rsid w:val="00866E2F"/>
    <w:rsid w:val="00867C08"/>
    <w:rsid w:val="00867FFB"/>
    <w:rsid w:val="00874479"/>
    <w:rsid w:val="00875C88"/>
    <w:rsid w:val="0088144E"/>
    <w:rsid w:val="00886BA3"/>
    <w:rsid w:val="00890B12"/>
    <w:rsid w:val="00892AFD"/>
    <w:rsid w:val="008951B4"/>
    <w:rsid w:val="008A10E0"/>
    <w:rsid w:val="008A2B4F"/>
    <w:rsid w:val="008A2CAA"/>
    <w:rsid w:val="008A53FF"/>
    <w:rsid w:val="008A6977"/>
    <w:rsid w:val="008A74C4"/>
    <w:rsid w:val="008B5834"/>
    <w:rsid w:val="008C142F"/>
    <w:rsid w:val="008C5F28"/>
    <w:rsid w:val="008C6200"/>
    <w:rsid w:val="008D0991"/>
    <w:rsid w:val="008D2C54"/>
    <w:rsid w:val="008D2DAF"/>
    <w:rsid w:val="008E1028"/>
    <w:rsid w:val="008E4A8A"/>
    <w:rsid w:val="008E6D1A"/>
    <w:rsid w:val="008E7D03"/>
    <w:rsid w:val="008F239B"/>
    <w:rsid w:val="00907095"/>
    <w:rsid w:val="00912D2B"/>
    <w:rsid w:val="00922708"/>
    <w:rsid w:val="00923F59"/>
    <w:rsid w:val="0092611E"/>
    <w:rsid w:val="00926254"/>
    <w:rsid w:val="00930701"/>
    <w:rsid w:val="00936C69"/>
    <w:rsid w:val="00937E7D"/>
    <w:rsid w:val="009428F0"/>
    <w:rsid w:val="00942F4B"/>
    <w:rsid w:val="0094415F"/>
    <w:rsid w:val="00945BCC"/>
    <w:rsid w:val="009472DD"/>
    <w:rsid w:val="00957D87"/>
    <w:rsid w:val="00962C9E"/>
    <w:rsid w:val="009707F2"/>
    <w:rsid w:val="009722D7"/>
    <w:rsid w:val="009725A1"/>
    <w:rsid w:val="009729D7"/>
    <w:rsid w:val="009835EF"/>
    <w:rsid w:val="0098450E"/>
    <w:rsid w:val="00984AD3"/>
    <w:rsid w:val="00986CBA"/>
    <w:rsid w:val="00996E24"/>
    <w:rsid w:val="009A7C3C"/>
    <w:rsid w:val="009B6FCE"/>
    <w:rsid w:val="009C2014"/>
    <w:rsid w:val="009C2242"/>
    <w:rsid w:val="009C4BF8"/>
    <w:rsid w:val="009C57F1"/>
    <w:rsid w:val="009C75A3"/>
    <w:rsid w:val="009D079A"/>
    <w:rsid w:val="009D0C46"/>
    <w:rsid w:val="009D0CDD"/>
    <w:rsid w:val="009D1696"/>
    <w:rsid w:val="009D7FC2"/>
    <w:rsid w:val="009E36AD"/>
    <w:rsid w:val="009E4F3B"/>
    <w:rsid w:val="009F0622"/>
    <w:rsid w:val="009F3B74"/>
    <w:rsid w:val="009F4E09"/>
    <w:rsid w:val="009F6EAD"/>
    <w:rsid w:val="00A042E0"/>
    <w:rsid w:val="00A07CE7"/>
    <w:rsid w:val="00A1188A"/>
    <w:rsid w:val="00A120C3"/>
    <w:rsid w:val="00A14A18"/>
    <w:rsid w:val="00A16D2A"/>
    <w:rsid w:val="00A20C1D"/>
    <w:rsid w:val="00A24ED4"/>
    <w:rsid w:val="00A25CCE"/>
    <w:rsid w:val="00A25D41"/>
    <w:rsid w:val="00A26BE0"/>
    <w:rsid w:val="00A2742B"/>
    <w:rsid w:val="00A3381C"/>
    <w:rsid w:val="00A37AED"/>
    <w:rsid w:val="00A414C6"/>
    <w:rsid w:val="00A47247"/>
    <w:rsid w:val="00A64301"/>
    <w:rsid w:val="00A647E3"/>
    <w:rsid w:val="00A648D1"/>
    <w:rsid w:val="00A65187"/>
    <w:rsid w:val="00A671D4"/>
    <w:rsid w:val="00A7019C"/>
    <w:rsid w:val="00A7055B"/>
    <w:rsid w:val="00A73CFE"/>
    <w:rsid w:val="00A7424A"/>
    <w:rsid w:val="00A742CB"/>
    <w:rsid w:val="00A80728"/>
    <w:rsid w:val="00A85262"/>
    <w:rsid w:val="00A85FD3"/>
    <w:rsid w:val="00A86BD1"/>
    <w:rsid w:val="00A91F36"/>
    <w:rsid w:val="00A92AB4"/>
    <w:rsid w:val="00A93729"/>
    <w:rsid w:val="00A94A30"/>
    <w:rsid w:val="00A94C5E"/>
    <w:rsid w:val="00A976EE"/>
    <w:rsid w:val="00AA01CC"/>
    <w:rsid w:val="00AA030F"/>
    <w:rsid w:val="00AA27C0"/>
    <w:rsid w:val="00AA2A71"/>
    <w:rsid w:val="00AA5E2E"/>
    <w:rsid w:val="00AA6AAE"/>
    <w:rsid w:val="00AB0219"/>
    <w:rsid w:val="00AB355D"/>
    <w:rsid w:val="00AB53FB"/>
    <w:rsid w:val="00AB691A"/>
    <w:rsid w:val="00AB6B9F"/>
    <w:rsid w:val="00AC1C14"/>
    <w:rsid w:val="00AC3253"/>
    <w:rsid w:val="00AC3E58"/>
    <w:rsid w:val="00AC64D7"/>
    <w:rsid w:val="00AC6CC7"/>
    <w:rsid w:val="00AC75D8"/>
    <w:rsid w:val="00AD65B5"/>
    <w:rsid w:val="00AD7A04"/>
    <w:rsid w:val="00AE0532"/>
    <w:rsid w:val="00AE0EB1"/>
    <w:rsid w:val="00AE7348"/>
    <w:rsid w:val="00AF1C14"/>
    <w:rsid w:val="00AF7E14"/>
    <w:rsid w:val="00B01C32"/>
    <w:rsid w:val="00B03204"/>
    <w:rsid w:val="00B06B12"/>
    <w:rsid w:val="00B07896"/>
    <w:rsid w:val="00B10731"/>
    <w:rsid w:val="00B1204B"/>
    <w:rsid w:val="00B13BDE"/>
    <w:rsid w:val="00B22D02"/>
    <w:rsid w:val="00B317F6"/>
    <w:rsid w:val="00B33C3B"/>
    <w:rsid w:val="00B35466"/>
    <w:rsid w:val="00B42892"/>
    <w:rsid w:val="00B46F00"/>
    <w:rsid w:val="00B47184"/>
    <w:rsid w:val="00B4792F"/>
    <w:rsid w:val="00B47B35"/>
    <w:rsid w:val="00B527D2"/>
    <w:rsid w:val="00B52821"/>
    <w:rsid w:val="00B52D44"/>
    <w:rsid w:val="00B53984"/>
    <w:rsid w:val="00B640BD"/>
    <w:rsid w:val="00B75980"/>
    <w:rsid w:val="00B81749"/>
    <w:rsid w:val="00B90701"/>
    <w:rsid w:val="00B925A3"/>
    <w:rsid w:val="00B95703"/>
    <w:rsid w:val="00B96774"/>
    <w:rsid w:val="00BA0E5D"/>
    <w:rsid w:val="00BA2099"/>
    <w:rsid w:val="00BA2310"/>
    <w:rsid w:val="00BA3095"/>
    <w:rsid w:val="00BA5173"/>
    <w:rsid w:val="00BB3BFF"/>
    <w:rsid w:val="00BB4557"/>
    <w:rsid w:val="00BB50FA"/>
    <w:rsid w:val="00BB70DB"/>
    <w:rsid w:val="00BC0BDA"/>
    <w:rsid w:val="00BC0C79"/>
    <w:rsid w:val="00BC45C6"/>
    <w:rsid w:val="00BC4A50"/>
    <w:rsid w:val="00BD10DD"/>
    <w:rsid w:val="00BD63F6"/>
    <w:rsid w:val="00BD64B9"/>
    <w:rsid w:val="00BD6EC0"/>
    <w:rsid w:val="00BD765C"/>
    <w:rsid w:val="00BE0276"/>
    <w:rsid w:val="00BE111A"/>
    <w:rsid w:val="00BE6061"/>
    <w:rsid w:val="00BF389F"/>
    <w:rsid w:val="00BF3AF6"/>
    <w:rsid w:val="00C04FB0"/>
    <w:rsid w:val="00C1265C"/>
    <w:rsid w:val="00C12E85"/>
    <w:rsid w:val="00C172C0"/>
    <w:rsid w:val="00C22865"/>
    <w:rsid w:val="00C22BBE"/>
    <w:rsid w:val="00C24D19"/>
    <w:rsid w:val="00C27F21"/>
    <w:rsid w:val="00C33F2F"/>
    <w:rsid w:val="00C35D08"/>
    <w:rsid w:val="00C41988"/>
    <w:rsid w:val="00C4298D"/>
    <w:rsid w:val="00C44814"/>
    <w:rsid w:val="00C51E1E"/>
    <w:rsid w:val="00C534F0"/>
    <w:rsid w:val="00C54D02"/>
    <w:rsid w:val="00C553C6"/>
    <w:rsid w:val="00C55DF3"/>
    <w:rsid w:val="00C57656"/>
    <w:rsid w:val="00C6137C"/>
    <w:rsid w:val="00C64ABD"/>
    <w:rsid w:val="00C64F91"/>
    <w:rsid w:val="00C66239"/>
    <w:rsid w:val="00C672BD"/>
    <w:rsid w:val="00C74BE0"/>
    <w:rsid w:val="00C74F71"/>
    <w:rsid w:val="00C77106"/>
    <w:rsid w:val="00C826E9"/>
    <w:rsid w:val="00C8460E"/>
    <w:rsid w:val="00C91F70"/>
    <w:rsid w:val="00C95481"/>
    <w:rsid w:val="00C97873"/>
    <w:rsid w:val="00CA15B4"/>
    <w:rsid w:val="00CA6D89"/>
    <w:rsid w:val="00CC0D5B"/>
    <w:rsid w:val="00CC12C5"/>
    <w:rsid w:val="00CC1829"/>
    <w:rsid w:val="00CC4A53"/>
    <w:rsid w:val="00CD00F1"/>
    <w:rsid w:val="00CD0F9A"/>
    <w:rsid w:val="00CD1398"/>
    <w:rsid w:val="00CE1569"/>
    <w:rsid w:val="00CE304F"/>
    <w:rsid w:val="00CE61AB"/>
    <w:rsid w:val="00CF028B"/>
    <w:rsid w:val="00CF1201"/>
    <w:rsid w:val="00CF7331"/>
    <w:rsid w:val="00D025DF"/>
    <w:rsid w:val="00D02A84"/>
    <w:rsid w:val="00D039B6"/>
    <w:rsid w:val="00D10DC5"/>
    <w:rsid w:val="00D113E8"/>
    <w:rsid w:val="00D11451"/>
    <w:rsid w:val="00D128DD"/>
    <w:rsid w:val="00D14D8B"/>
    <w:rsid w:val="00D23AFA"/>
    <w:rsid w:val="00D23C0A"/>
    <w:rsid w:val="00D24750"/>
    <w:rsid w:val="00D32FD5"/>
    <w:rsid w:val="00D34038"/>
    <w:rsid w:val="00D3700C"/>
    <w:rsid w:val="00D40F8F"/>
    <w:rsid w:val="00D4353E"/>
    <w:rsid w:val="00D50ACB"/>
    <w:rsid w:val="00D57099"/>
    <w:rsid w:val="00D7292E"/>
    <w:rsid w:val="00D7529B"/>
    <w:rsid w:val="00D75636"/>
    <w:rsid w:val="00D81BFE"/>
    <w:rsid w:val="00D82E48"/>
    <w:rsid w:val="00D85866"/>
    <w:rsid w:val="00D90D96"/>
    <w:rsid w:val="00D921C1"/>
    <w:rsid w:val="00D9487D"/>
    <w:rsid w:val="00D955F8"/>
    <w:rsid w:val="00D97FD5"/>
    <w:rsid w:val="00DA0152"/>
    <w:rsid w:val="00DA0D00"/>
    <w:rsid w:val="00DB03B5"/>
    <w:rsid w:val="00DB0DCE"/>
    <w:rsid w:val="00DB4AD2"/>
    <w:rsid w:val="00DB61C9"/>
    <w:rsid w:val="00DB6A2C"/>
    <w:rsid w:val="00DC06CC"/>
    <w:rsid w:val="00DC5448"/>
    <w:rsid w:val="00DC738C"/>
    <w:rsid w:val="00DD3944"/>
    <w:rsid w:val="00DE066B"/>
    <w:rsid w:val="00DE08ED"/>
    <w:rsid w:val="00DE24DD"/>
    <w:rsid w:val="00DE3548"/>
    <w:rsid w:val="00DF0FE1"/>
    <w:rsid w:val="00DF7866"/>
    <w:rsid w:val="00E061DA"/>
    <w:rsid w:val="00E15071"/>
    <w:rsid w:val="00E15E3E"/>
    <w:rsid w:val="00E23CFC"/>
    <w:rsid w:val="00E24478"/>
    <w:rsid w:val="00E26A72"/>
    <w:rsid w:val="00E26D07"/>
    <w:rsid w:val="00E32ADA"/>
    <w:rsid w:val="00E34F9A"/>
    <w:rsid w:val="00E40849"/>
    <w:rsid w:val="00E415BE"/>
    <w:rsid w:val="00E42828"/>
    <w:rsid w:val="00E4308A"/>
    <w:rsid w:val="00E5322D"/>
    <w:rsid w:val="00E6259B"/>
    <w:rsid w:val="00E63CC3"/>
    <w:rsid w:val="00E67C32"/>
    <w:rsid w:val="00E70DE4"/>
    <w:rsid w:val="00E719D6"/>
    <w:rsid w:val="00E72CFB"/>
    <w:rsid w:val="00E72E6A"/>
    <w:rsid w:val="00E7437A"/>
    <w:rsid w:val="00E7570A"/>
    <w:rsid w:val="00E772A3"/>
    <w:rsid w:val="00E83D8C"/>
    <w:rsid w:val="00E842F7"/>
    <w:rsid w:val="00E85041"/>
    <w:rsid w:val="00E85E3E"/>
    <w:rsid w:val="00E9220D"/>
    <w:rsid w:val="00E929F2"/>
    <w:rsid w:val="00E92D58"/>
    <w:rsid w:val="00E9340A"/>
    <w:rsid w:val="00E93652"/>
    <w:rsid w:val="00EA362F"/>
    <w:rsid w:val="00EA5388"/>
    <w:rsid w:val="00EA6B2B"/>
    <w:rsid w:val="00EB1C39"/>
    <w:rsid w:val="00EB2139"/>
    <w:rsid w:val="00EB29E7"/>
    <w:rsid w:val="00EB487D"/>
    <w:rsid w:val="00EC28C9"/>
    <w:rsid w:val="00EC2A66"/>
    <w:rsid w:val="00EC2BBA"/>
    <w:rsid w:val="00EC3624"/>
    <w:rsid w:val="00EC548D"/>
    <w:rsid w:val="00ED01D6"/>
    <w:rsid w:val="00ED276F"/>
    <w:rsid w:val="00ED299A"/>
    <w:rsid w:val="00ED3D2C"/>
    <w:rsid w:val="00ED432F"/>
    <w:rsid w:val="00ED4966"/>
    <w:rsid w:val="00EE1673"/>
    <w:rsid w:val="00EE4C51"/>
    <w:rsid w:val="00EE4E6B"/>
    <w:rsid w:val="00EE6BB1"/>
    <w:rsid w:val="00EF7A21"/>
    <w:rsid w:val="00F04345"/>
    <w:rsid w:val="00F10576"/>
    <w:rsid w:val="00F1203C"/>
    <w:rsid w:val="00F12E7D"/>
    <w:rsid w:val="00F1409F"/>
    <w:rsid w:val="00F15B7A"/>
    <w:rsid w:val="00F15CD7"/>
    <w:rsid w:val="00F17DB8"/>
    <w:rsid w:val="00F21ECC"/>
    <w:rsid w:val="00F2734C"/>
    <w:rsid w:val="00F3127B"/>
    <w:rsid w:val="00F321D2"/>
    <w:rsid w:val="00F42893"/>
    <w:rsid w:val="00F53EF7"/>
    <w:rsid w:val="00F55D76"/>
    <w:rsid w:val="00F5610C"/>
    <w:rsid w:val="00F57458"/>
    <w:rsid w:val="00F57A50"/>
    <w:rsid w:val="00F604DE"/>
    <w:rsid w:val="00F61238"/>
    <w:rsid w:val="00F62DFC"/>
    <w:rsid w:val="00F669BE"/>
    <w:rsid w:val="00F72BE7"/>
    <w:rsid w:val="00F7452E"/>
    <w:rsid w:val="00F74F1E"/>
    <w:rsid w:val="00F7531F"/>
    <w:rsid w:val="00F75F77"/>
    <w:rsid w:val="00F76168"/>
    <w:rsid w:val="00F767DE"/>
    <w:rsid w:val="00F771A5"/>
    <w:rsid w:val="00F80E6E"/>
    <w:rsid w:val="00F817D8"/>
    <w:rsid w:val="00F82EE7"/>
    <w:rsid w:val="00F86FDC"/>
    <w:rsid w:val="00F87408"/>
    <w:rsid w:val="00F91159"/>
    <w:rsid w:val="00F9789A"/>
    <w:rsid w:val="00FA1F32"/>
    <w:rsid w:val="00FA2A08"/>
    <w:rsid w:val="00FA30E0"/>
    <w:rsid w:val="00FA4484"/>
    <w:rsid w:val="00FA64D0"/>
    <w:rsid w:val="00FB1B15"/>
    <w:rsid w:val="00FB2F3D"/>
    <w:rsid w:val="00FB37F9"/>
    <w:rsid w:val="00FB4AAC"/>
    <w:rsid w:val="00FC02C0"/>
    <w:rsid w:val="00FC2682"/>
    <w:rsid w:val="00FC2763"/>
    <w:rsid w:val="00FC28AC"/>
    <w:rsid w:val="00FC4B17"/>
    <w:rsid w:val="00FC686A"/>
    <w:rsid w:val="00FD2C3F"/>
    <w:rsid w:val="00FD2D9B"/>
    <w:rsid w:val="00FD4936"/>
    <w:rsid w:val="00FD7316"/>
    <w:rsid w:val="00FE28B5"/>
    <w:rsid w:val="00FE2AAF"/>
    <w:rsid w:val="00FE4EEA"/>
    <w:rsid w:val="00FE5359"/>
    <w:rsid w:val="00FE5A25"/>
    <w:rsid w:val="00FF1835"/>
    <w:rsid w:val="00FF76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CA126"/>
  <w15:docId w15:val="{47F7728C-A4AF-4B44-ABDA-44CDD6FE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EB3"/>
    <w:rPr>
      <w:lang w:val="en-GB"/>
    </w:rPr>
  </w:style>
  <w:style w:type="paragraph" w:styleId="Heading1">
    <w:name w:val="heading 1"/>
    <w:basedOn w:val="Normal"/>
    <w:next w:val="Heading2"/>
    <w:link w:val="Heading1Char"/>
    <w:qFormat/>
    <w:rsid w:val="0061693E"/>
    <w:pPr>
      <w:keepNext/>
      <w:numPr>
        <w:numId w:val="29"/>
      </w:numPr>
      <w:spacing w:after="240" w:line="246" w:lineRule="atLeast"/>
      <w:jc w:val="both"/>
      <w:outlineLvl w:val="0"/>
    </w:pPr>
    <w:rPr>
      <w:rFonts w:eastAsiaTheme="majorEastAsia" w:cs="Times New Roman"/>
      <w:b/>
      <w:bCs/>
      <w:caps/>
      <w:szCs w:val="28"/>
    </w:rPr>
  </w:style>
  <w:style w:type="paragraph" w:styleId="Heading2">
    <w:name w:val="heading 2"/>
    <w:basedOn w:val="Normal"/>
    <w:link w:val="Heading2Char"/>
    <w:unhideWhenUsed/>
    <w:qFormat/>
    <w:rsid w:val="00A86BD1"/>
    <w:pPr>
      <w:keepNext/>
      <w:numPr>
        <w:ilvl w:val="1"/>
        <w:numId w:val="29"/>
      </w:numPr>
      <w:spacing w:after="240" w:line="246" w:lineRule="atLeast"/>
      <w:jc w:val="both"/>
      <w:outlineLvl w:val="1"/>
    </w:pPr>
    <w:rPr>
      <w:rFonts w:eastAsiaTheme="majorEastAsia" w:cs="Times New Roman"/>
      <w:b/>
      <w:bCs/>
      <w:szCs w:val="26"/>
    </w:rPr>
  </w:style>
  <w:style w:type="paragraph" w:styleId="Heading3">
    <w:name w:val="heading 3"/>
    <w:basedOn w:val="Normal"/>
    <w:link w:val="Heading3Char"/>
    <w:unhideWhenUsed/>
    <w:qFormat/>
    <w:rsid w:val="0061693E"/>
    <w:pPr>
      <w:numPr>
        <w:ilvl w:val="2"/>
        <w:numId w:val="29"/>
      </w:numPr>
      <w:tabs>
        <w:tab w:val="clear" w:pos="1288"/>
        <w:tab w:val="num" w:pos="720"/>
      </w:tabs>
      <w:spacing w:after="240" w:line="246" w:lineRule="atLeast"/>
      <w:ind w:left="720"/>
      <w:jc w:val="both"/>
      <w:outlineLvl w:val="2"/>
    </w:pPr>
    <w:rPr>
      <w:rFonts w:eastAsiaTheme="majorEastAsia" w:cs="Times New Roman"/>
      <w:bCs/>
    </w:rPr>
  </w:style>
  <w:style w:type="paragraph" w:styleId="Heading4">
    <w:name w:val="heading 4"/>
    <w:basedOn w:val="Normal"/>
    <w:link w:val="Heading4Char"/>
    <w:unhideWhenUsed/>
    <w:qFormat/>
    <w:rsid w:val="0061693E"/>
    <w:pPr>
      <w:numPr>
        <w:ilvl w:val="3"/>
        <w:numId w:val="29"/>
      </w:numPr>
      <w:spacing w:after="240" w:line="246" w:lineRule="atLeast"/>
      <w:jc w:val="both"/>
      <w:outlineLvl w:val="3"/>
    </w:pPr>
    <w:rPr>
      <w:rFonts w:eastAsiaTheme="majorEastAsia" w:cs="Times New Roman"/>
      <w:bCs/>
      <w:iCs/>
    </w:rPr>
  </w:style>
  <w:style w:type="paragraph" w:styleId="Heading5">
    <w:name w:val="heading 5"/>
    <w:basedOn w:val="Normal"/>
    <w:link w:val="Heading5Char"/>
    <w:unhideWhenUsed/>
    <w:qFormat/>
    <w:rsid w:val="0061693E"/>
    <w:pPr>
      <w:numPr>
        <w:ilvl w:val="4"/>
        <w:numId w:val="29"/>
      </w:numPr>
      <w:spacing w:after="240" w:line="246" w:lineRule="atLeast"/>
      <w:jc w:val="both"/>
      <w:outlineLvl w:val="4"/>
    </w:pPr>
    <w:rPr>
      <w:rFonts w:eastAsiaTheme="majorEastAsia" w:cs="Times New Roman"/>
    </w:rPr>
  </w:style>
  <w:style w:type="paragraph" w:styleId="Heading6">
    <w:name w:val="heading 6"/>
    <w:basedOn w:val="Normal"/>
    <w:link w:val="Heading6Char"/>
    <w:unhideWhenUsed/>
    <w:qFormat/>
    <w:rsid w:val="0061693E"/>
    <w:pPr>
      <w:numPr>
        <w:ilvl w:val="5"/>
        <w:numId w:val="29"/>
      </w:numPr>
      <w:spacing w:after="240" w:line="246" w:lineRule="atLeast"/>
      <w:jc w:val="both"/>
      <w:outlineLvl w:val="5"/>
    </w:pPr>
    <w:rPr>
      <w:rFonts w:eastAsiaTheme="majorEastAsia" w:cs="Times New Roman"/>
      <w:iCs/>
    </w:rPr>
  </w:style>
  <w:style w:type="paragraph" w:styleId="Heading7">
    <w:name w:val="heading 7"/>
    <w:basedOn w:val="Normal"/>
    <w:link w:val="Heading7Char"/>
    <w:unhideWhenUsed/>
    <w:qFormat/>
    <w:rsid w:val="0061693E"/>
    <w:pPr>
      <w:numPr>
        <w:ilvl w:val="6"/>
        <w:numId w:val="29"/>
      </w:numPr>
      <w:spacing w:after="240" w:line="246" w:lineRule="atLeast"/>
      <w:jc w:val="both"/>
      <w:outlineLvl w:val="6"/>
    </w:pPr>
    <w:rPr>
      <w:rFonts w:eastAsiaTheme="majorEastAsia" w:cs="Times New Roman"/>
      <w:iCs/>
    </w:rPr>
  </w:style>
  <w:style w:type="paragraph" w:styleId="Heading8">
    <w:name w:val="heading 8"/>
    <w:basedOn w:val="Normal"/>
    <w:link w:val="Heading8Char"/>
    <w:semiHidden/>
    <w:unhideWhenUsed/>
    <w:qFormat/>
    <w:rsid w:val="0061693E"/>
    <w:pPr>
      <w:numPr>
        <w:ilvl w:val="7"/>
        <w:numId w:val="29"/>
      </w:numPr>
      <w:spacing w:after="240" w:line="246" w:lineRule="atLeast"/>
      <w:jc w:val="both"/>
      <w:outlineLvl w:val="7"/>
    </w:pPr>
    <w:rPr>
      <w:rFonts w:eastAsiaTheme="majorEastAsia" w:cs="Times New Roman"/>
      <w:szCs w:val="20"/>
    </w:rPr>
  </w:style>
  <w:style w:type="paragraph" w:styleId="Heading9">
    <w:name w:val="heading 9"/>
    <w:basedOn w:val="Normal"/>
    <w:link w:val="Heading9Char"/>
    <w:semiHidden/>
    <w:unhideWhenUsed/>
    <w:qFormat/>
    <w:rsid w:val="0061693E"/>
    <w:pPr>
      <w:numPr>
        <w:ilvl w:val="8"/>
        <w:numId w:val="29"/>
      </w:numPr>
      <w:spacing w:after="240" w:line="246" w:lineRule="atLeast"/>
      <w:jc w:val="both"/>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59B"/>
    <w:pPr>
      <w:tabs>
        <w:tab w:val="center" w:pos="4680"/>
        <w:tab w:val="right" w:pos="9360"/>
      </w:tabs>
    </w:pPr>
  </w:style>
  <w:style w:type="character" w:customStyle="1" w:styleId="Heading1Char">
    <w:name w:val="Heading 1 Char"/>
    <w:basedOn w:val="DefaultParagraphFont"/>
    <w:link w:val="Heading1"/>
    <w:rsid w:val="0061693E"/>
    <w:rPr>
      <w:rFonts w:eastAsiaTheme="majorEastAsia" w:cs="Times New Roman"/>
      <w:b/>
      <w:bCs/>
      <w:caps/>
      <w:szCs w:val="28"/>
      <w:lang w:val="en-GB"/>
    </w:rPr>
  </w:style>
  <w:style w:type="paragraph" w:styleId="BodyText">
    <w:name w:val="Body Text"/>
    <w:basedOn w:val="Normal"/>
    <w:link w:val="BodyTextChar"/>
    <w:uiPriority w:val="99"/>
    <w:qFormat/>
    <w:rsid w:val="00AC64D7"/>
    <w:pPr>
      <w:spacing w:after="240"/>
      <w:ind w:firstLine="1440"/>
    </w:pPr>
  </w:style>
  <w:style w:type="character" w:customStyle="1" w:styleId="BodyTextChar">
    <w:name w:val="Body Text Char"/>
    <w:basedOn w:val="DefaultParagraphFont"/>
    <w:link w:val="BodyText"/>
    <w:uiPriority w:val="99"/>
    <w:rsid w:val="00AC64D7"/>
  </w:style>
  <w:style w:type="character" w:customStyle="1" w:styleId="Heading2Char">
    <w:name w:val="Heading 2 Char"/>
    <w:basedOn w:val="DefaultParagraphFont"/>
    <w:link w:val="Heading2"/>
    <w:rsid w:val="00A86BD1"/>
    <w:rPr>
      <w:rFonts w:eastAsiaTheme="majorEastAsia" w:cs="Times New Roman"/>
      <w:b/>
      <w:bCs/>
      <w:szCs w:val="26"/>
      <w:lang w:val="en-GB"/>
    </w:rPr>
  </w:style>
  <w:style w:type="character" w:customStyle="1" w:styleId="Heading3Char">
    <w:name w:val="Heading 3 Char"/>
    <w:basedOn w:val="DefaultParagraphFont"/>
    <w:link w:val="Heading3"/>
    <w:rsid w:val="0061693E"/>
    <w:rPr>
      <w:rFonts w:eastAsiaTheme="majorEastAsia" w:cs="Times New Roman"/>
      <w:bCs/>
      <w:lang w:val="en-GB"/>
    </w:rPr>
  </w:style>
  <w:style w:type="character" w:customStyle="1" w:styleId="Heading4Char">
    <w:name w:val="Heading 4 Char"/>
    <w:basedOn w:val="DefaultParagraphFont"/>
    <w:link w:val="Heading4"/>
    <w:rsid w:val="0061693E"/>
    <w:rPr>
      <w:rFonts w:eastAsiaTheme="majorEastAsia" w:cs="Times New Roman"/>
      <w:bCs/>
      <w:iCs/>
      <w:lang w:val="en-GB"/>
    </w:rPr>
  </w:style>
  <w:style w:type="character" w:customStyle="1" w:styleId="Heading5Char">
    <w:name w:val="Heading 5 Char"/>
    <w:basedOn w:val="DefaultParagraphFont"/>
    <w:link w:val="Heading5"/>
    <w:rsid w:val="0061693E"/>
    <w:rPr>
      <w:rFonts w:eastAsiaTheme="majorEastAsia" w:cs="Times New Roman"/>
      <w:lang w:val="en-GB"/>
    </w:rPr>
  </w:style>
  <w:style w:type="character" w:customStyle="1" w:styleId="Heading6Char">
    <w:name w:val="Heading 6 Char"/>
    <w:basedOn w:val="DefaultParagraphFont"/>
    <w:link w:val="Heading6"/>
    <w:rsid w:val="0061693E"/>
    <w:rPr>
      <w:rFonts w:eastAsiaTheme="majorEastAsia" w:cs="Times New Roman"/>
      <w:iCs/>
      <w:lang w:val="en-GB"/>
    </w:rPr>
  </w:style>
  <w:style w:type="character" w:customStyle="1" w:styleId="Heading7Char">
    <w:name w:val="Heading 7 Char"/>
    <w:basedOn w:val="DefaultParagraphFont"/>
    <w:link w:val="Heading7"/>
    <w:rsid w:val="0061693E"/>
    <w:rPr>
      <w:rFonts w:eastAsiaTheme="majorEastAsia" w:cs="Times New Roman"/>
      <w:iCs/>
      <w:lang w:val="en-GB"/>
    </w:rPr>
  </w:style>
  <w:style w:type="character" w:customStyle="1" w:styleId="Heading8Char">
    <w:name w:val="Heading 8 Char"/>
    <w:basedOn w:val="DefaultParagraphFont"/>
    <w:link w:val="Heading8"/>
    <w:semiHidden/>
    <w:rsid w:val="0061693E"/>
    <w:rPr>
      <w:rFonts w:eastAsiaTheme="majorEastAsia" w:cs="Times New Roman"/>
      <w:szCs w:val="20"/>
      <w:lang w:val="en-GB"/>
    </w:rPr>
  </w:style>
  <w:style w:type="character" w:customStyle="1" w:styleId="Heading9Char">
    <w:name w:val="Heading 9 Char"/>
    <w:basedOn w:val="DefaultParagraphFont"/>
    <w:link w:val="Heading9"/>
    <w:semiHidden/>
    <w:rsid w:val="0061693E"/>
    <w:rPr>
      <w:rFonts w:eastAsiaTheme="majorEastAsia" w:cs="Times New Roman"/>
      <w:iCs/>
      <w:szCs w:val="20"/>
      <w:lang w:val="en-GB"/>
    </w:rPr>
  </w:style>
  <w:style w:type="paragraph" w:styleId="BlockText">
    <w:name w:val="Block Text"/>
    <w:basedOn w:val="Normal"/>
    <w:link w:val="BlockTextChar"/>
    <w:qFormat/>
    <w:rsid w:val="00AC64D7"/>
    <w:pPr>
      <w:spacing w:after="240"/>
    </w:pPr>
    <w:rPr>
      <w:rFonts w:eastAsiaTheme="minorEastAsia"/>
      <w:iCs/>
    </w:rPr>
  </w:style>
  <w:style w:type="paragraph" w:styleId="BodyText2">
    <w:name w:val="Body Text 2"/>
    <w:basedOn w:val="Normal"/>
    <w:link w:val="BodyText2Char"/>
    <w:qFormat/>
    <w:rsid w:val="00AC64D7"/>
    <w:pPr>
      <w:spacing w:line="480" w:lineRule="auto"/>
      <w:ind w:firstLine="1440"/>
    </w:pPr>
  </w:style>
  <w:style w:type="character" w:customStyle="1" w:styleId="BodyText2Char">
    <w:name w:val="Body Text 2 Char"/>
    <w:basedOn w:val="DefaultParagraphFont"/>
    <w:link w:val="BodyText2"/>
    <w:rsid w:val="00AC64D7"/>
  </w:style>
  <w:style w:type="paragraph" w:styleId="BodyText3">
    <w:name w:val="Body Text 3"/>
    <w:basedOn w:val="Normal"/>
    <w:link w:val="BodyText3Char"/>
    <w:qFormat/>
    <w:rsid w:val="00AC64D7"/>
    <w:pPr>
      <w:spacing w:line="360" w:lineRule="auto"/>
      <w:ind w:firstLine="1440"/>
    </w:pPr>
    <w:rPr>
      <w:szCs w:val="16"/>
    </w:rPr>
  </w:style>
  <w:style w:type="character" w:customStyle="1" w:styleId="BodyText3Char">
    <w:name w:val="Body Text 3 Char"/>
    <w:basedOn w:val="DefaultParagraphFont"/>
    <w:link w:val="BodyText3"/>
    <w:rsid w:val="00197360"/>
    <w:rPr>
      <w:szCs w:val="16"/>
    </w:rPr>
  </w:style>
  <w:style w:type="paragraph" w:styleId="Title">
    <w:name w:val="Title"/>
    <w:basedOn w:val="Normal"/>
    <w:next w:val="BodyText"/>
    <w:link w:val="TitleChar"/>
    <w:uiPriority w:val="10"/>
    <w:qFormat/>
    <w:rsid w:val="001B72BE"/>
    <w:pPr>
      <w:keepNext/>
      <w:spacing w:after="240"/>
      <w:jc w:val="center"/>
    </w:pPr>
    <w:rPr>
      <w:rFonts w:eastAsiaTheme="majorEastAsia" w:cstheme="majorBidi"/>
      <w:kern w:val="28"/>
      <w:szCs w:val="52"/>
    </w:rPr>
  </w:style>
  <w:style w:type="character" w:customStyle="1" w:styleId="TitleChar">
    <w:name w:val="Title Char"/>
    <w:basedOn w:val="DefaultParagraphFont"/>
    <w:link w:val="Title"/>
    <w:uiPriority w:val="10"/>
    <w:rsid w:val="001B72BE"/>
    <w:rPr>
      <w:rFonts w:eastAsiaTheme="majorEastAsia" w:cstheme="majorBidi"/>
      <w:kern w:val="28"/>
      <w:szCs w:val="52"/>
    </w:rPr>
  </w:style>
  <w:style w:type="paragraph" w:customStyle="1" w:styleId="TitleL">
    <w:name w:val="Title L"/>
    <w:basedOn w:val="Normal"/>
    <w:next w:val="BodyText"/>
    <w:link w:val="TitleLChar"/>
    <w:qFormat/>
    <w:rsid w:val="009722D7"/>
    <w:pPr>
      <w:keepNext/>
      <w:spacing w:after="240" w:line="246" w:lineRule="atLeast"/>
      <w:ind w:left="720"/>
      <w:jc w:val="both"/>
    </w:pPr>
    <w:rPr>
      <w:b/>
    </w:rPr>
  </w:style>
  <w:style w:type="character" w:customStyle="1" w:styleId="TitleLChar">
    <w:name w:val="Title L Char"/>
    <w:basedOn w:val="DefaultParagraphFont"/>
    <w:link w:val="TitleL"/>
    <w:rsid w:val="009722D7"/>
    <w:rPr>
      <w:b/>
      <w:lang w:val="en-GB"/>
    </w:rPr>
  </w:style>
  <w:style w:type="character" w:customStyle="1" w:styleId="DocID">
    <w:name w:val="DocID"/>
    <w:basedOn w:val="DefaultParagraphFont"/>
    <w:semiHidden/>
    <w:rsid w:val="00AC64D7"/>
    <w:rPr>
      <w:sz w:val="16"/>
    </w:rPr>
  </w:style>
  <w:style w:type="character" w:customStyle="1" w:styleId="HeaderChar">
    <w:name w:val="Header Char"/>
    <w:basedOn w:val="DefaultParagraphFont"/>
    <w:link w:val="Header"/>
    <w:uiPriority w:val="99"/>
    <w:rsid w:val="00E6259B"/>
  </w:style>
  <w:style w:type="paragraph" w:styleId="Footer">
    <w:name w:val="footer"/>
    <w:basedOn w:val="Normal"/>
    <w:link w:val="FooterChar"/>
    <w:uiPriority w:val="99"/>
    <w:unhideWhenUsed/>
    <w:rsid w:val="00E6259B"/>
    <w:pPr>
      <w:tabs>
        <w:tab w:val="center" w:pos="4680"/>
        <w:tab w:val="right" w:pos="9360"/>
      </w:tabs>
    </w:pPr>
  </w:style>
  <w:style w:type="character" w:customStyle="1" w:styleId="FooterChar">
    <w:name w:val="Footer Char"/>
    <w:basedOn w:val="DefaultParagraphFont"/>
    <w:link w:val="Footer"/>
    <w:uiPriority w:val="99"/>
    <w:rsid w:val="00E6259B"/>
  </w:style>
  <w:style w:type="paragraph" w:styleId="TOC1">
    <w:name w:val="toc 1"/>
    <w:basedOn w:val="Normal"/>
    <w:next w:val="Normal"/>
    <w:autoRedefine/>
    <w:uiPriority w:val="39"/>
    <w:unhideWhenUsed/>
    <w:rsid w:val="00396C36"/>
    <w:pPr>
      <w:keepNext/>
      <w:tabs>
        <w:tab w:val="right" w:leader="dot" w:pos="9360"/>
      </w:tabs>
      <w:spacing w:before="240" w:after="240"/>
      <w:ind w:left="720" w:right="432" w:hanging="720"/>
    </w:pPr>
    <w:rPr>
      <w:rFonts w:ascii="Arial" w:hAnsi="Arial" w:cs="Arial"/>
      <w:b/>
      <w:noProof/>
      <w:sz w:val="22"/>
      <w:szCs w:val="22"/>
    </w:rPr>
  </w:style>
  <w:style w:type="paragraph" w:styleId="TOC2">
    <w:name w:val="toc 2"/>
    <w:basedOn w:val="Normal"/>
    <w:next w:val="Normal"/>
    <w:autoRedefine/>
    <w:uiPriority w:val="39"/>
    <w:unhideWhenUsed/>
    <w:rsid w:val="002A76C0"/>
    <w:pPr>
      <w:tabs>
        <w:tab w:val="left" w:pos="720"/>
        <w:tab w:val="right" w:leader="dot" w:pos="9360"/>
      </w:tabs>
      <w:ind w:left="720" w:right="432" w:hanging="720"/>
    </w:pPr>
    <w:rPr>
      <w:rFonts w:cs="Times New Roman"/>
    </w:rPr>
  </w:style>
  <w:style w:type="paragraph" w:styleId="TOC3">
    <w:name w:val="toc 3"/>
    <w:basedOn w:val="Normal"/>
    <w:next w:val="Normal"/>
    <w:autoRedefine/>
    <w:uiPriority w:val="39"/>
    <w:unhideWhenUsed/>
    <w:rsid w:val="00E6259B"/>
    <w:pPr>
      <w:tabs>
        <w:tab w:val="right" w:leader="dot" w:pos="9360"/>
      </w:tabs>
      <w:spacing w:after="240"/>
      <w:ind w:left="2160" w:right="432" w:hanging="720"/>
    </w:pPr>
    <w:rPr>
      <w:rFonts w:cs="Times New Roman"/>
    </w:rPr>
  </w:style>
  <w:style w:type="paragraph" w:styleId="TOC4">
    <w:name w:val="toc 4"/>
    <w:basedOn w:val="Normal"/>
    <w:next w:val="Normal"/>
    <w:autoRedefine/>
    <w:uiPriority w:val="39"/>
    <w:unhideWhenUsed/>
    <w:rsid w:val="00E6259B"/>
    <w:pPr>
      <w:tabs>
        <w:tab w:val="right" w:leader="dot" w:pos="9360"/>
      </w:tabs>
      <w:spacing w:after="240"/>
      <w:ind w:left="2880" w:right="432" w:hanging="720"/>
    </w:pPr>
    <w:rPr>
      <w:rFonts w:cs="Times New Roman"/>
    </w:rPr>
  </w:style>
  <w:style w:type="paragraph" w:styleId="TOC5">
    <w:name w:val="toc 5"/>
    <w:basedOn w:val="Normal"/>
    <w:next w:val="Normal"/>
    <w:autoRedefine/>
    <w:uiPriority w:val="39"/>
    <w:unhideWhenUsed/>
    <w:rsid w:val="00E6259B"/>
    <w:pPr>
      <w:tabs>
        <w:tab w:val="right" w:leader="dot" w:pos="9360"/>
      </w:tabs>
      <w:spacing w:after="240"/>
      <w:ind w:left="3600" w:right="432" w:hanging="720"/>
    </w:pPr>
    <w:rPr>
      <w:rFonts w:cs="Times New Roman"/>
    </w:rPr>
  </w:style>
  <w:style w:type="paragraph" w:styleId="TOC6">
    <w:name w:val="toc 6"/>
    <w:basedOn w:val="Normal"/>
    <w:next w:val="Normal"/>
    <w:autoRedefine/>
    <w:uiPriority w:val="39"/>
    <w:unhideWhenUsed/>
    <w:rsid w:val="00E6259B"/>
    <w:pPr>
      <w:tabs>
        <w:tab w:val="right" w:leader="dot" w:pos="9360"/>
      </w:tabs>
      <w:spacing w:after="240"/>
      <w:ind w:left="4320" w:right="432" w:hanging="720"/>
    </w:pPr>
    <w:rPr>
      <w:rFonts w:cs="Times New Roman"/>
    </w:rPr>
  </w:style>
  <w:style w:type="paragraph" w:styleId="TOC7">
    <w:name w:val="toc 7"/>
    <w:basedOn w:val="Normal"/>
    <w:next w:val="Normal"/>
    <w:autoRedefine/>
    <w:uiPriority w:val="39"/>
    <w:unhideWhenUsed/>
    <w:rsid w:val="00E6259B"/>
    <w:pPr>
      <w:tabs>
        <w:tab w:val="right" w:leader="dot" w:pos="9360"/>
      </w:tabs>
      <w:spacing w:after="240"/>
      <w:ind w:left="5040" w:right="432" w:hanging="720"/>
    </w:pPr>
    <w:rPr>
      <w:rFonts w:cs="Times New Roman"/>
    </w:rPr>
  </w:style>
  <w:style w:type="paragraph" w:styleId="TOC8">
    <w:name w:val="toc 8"/>
    <w:basedOn w:val="Normal"/>
    <w:next w:val="Normal"/>
    <w:autoRedefine/>
    <w:uiPriority w:val="39"/>
    <w:unhideWhenUsed/>
    <w:rsid w:val="00E6259B"/>
    <w:pPr>
      <w:tabs>
        <w:tab w:val="right" w:leader="dot" w:pos="9360"/>
      </w:tabs>
      <w:spacing w:after="240"/>
      <w:ind w:left="5760" w:right="432" w:hanging="720"/>
    </w:pPr>
    <w:rPr>
      <w:rFonts w:cs="Times New Roman"/>
    </w:rPr>
  </w:style>
  <w:style w:type="paragraph" w:styleId="TOC9">
    <w:name w:val="toc 9"/>
    <w:basedOn w:val="Normal"/>
    <w:next w:val="Normal"/>
    <w:autoRedefine/>
    <w:uiPriority w:val="39"/>
    <w:unhideWhenUsed/>
    <w:rsid w:val="00E6259B"/>
    <w:pPr>
      <w:tabs>
        <w:tab w:val="right" w:leader="dot" w:pos="9360"/>
      </w:tabs>
      <w:spacing w:after="240"/>
      <w:ind w:left="6480" w:right="432" w:hanging="720"/>
    </w:pPr>
    <w:rPr>
      <w:rFonts w:cs="Times New Roman"/>
    </w:rPr>
  </w:style>
  <w:style w:type="paragraph" w:styleId="TOCHeading">
    <w:name w:val="TOC Heading"/>
    <w:basedOn w:val="Normal"/>
    <w:next w:val="Normal"/>
    <w:uiPriority w:val="39"/>
    <w:semiHidden/>
    <w:qFormat/>
    <w:rsid w:val="00E6259B"/>
    <w:pPr>
      <w:keepNext/>
      <w:spacing w:after="240"/>
      <w:jc w:val="center"/>
    </w:pPr>
    <w:rPr>
      <w:rFonts w:cstheme="majorBidi"/>
      <w:b/>
    </w:rPr>
  </w:style>
  <w:style w:type="paragraph" w:styleId="Subtitle">
    <w:name w:val="Subtitle"/>
    <w:basedOn w:val="Normal"/>
    <w:next w:val="BodyText"/>
    <w:link w:val="SubtitleChar"/>
    <w:uiPriority w:val="11"/>
    <w:qFormat/>
    <w:rsid w:val="00197360"/>
    <w:pPr>
      <w:numPr>
        <w:ilvl w:val="1"/>
      </w:numPr>
      <w:spacing w:after="240"/>
    </w:pPr>
    <w:rPr>
      <w:rFonts w:eastAsiaTheme="majorEastAsia" w:cstheme="majorBidi"/>
      <w:iCs/>
    </w:rPr>
  </w:style>
  <w:style w:type="paragraph" w:styleId="TOAHeading">
    <w:name w:val="toa heading"/>
    <w:basedOn w:val="Normal"/>
    <w:next w:val="Normal"/>
    <w:uiPriority w:val="99"/>
    <w:semiHidden/>
    <w:unhideWhenUsed/>
    <w:rsid w:val="00E6259B"/>
    <w:pPr>
      <w:spacing w:after="240"/>
    </w:pPr>
    <w:rPr>
      <w:rFonts w:eastAsiaTheme="majorEastAsia" w:cstheme="majorBidi"/>
      <w:b/>
      <w:bCs/>
    </w:rPr>
  </w:style>
  <w:style w:type="paragraph" w:customStyle="1" w:styleId="BlockText5">
    <w:name w:val="Block Text .5"/>
    <w:basedOn w:val="Normal"/>
    <w:qFormat/>
    <w:rsid w:val="00197360"/>
    <w:pPr>
      <w:spacing w:after="240"/>
      <w:ind w:left="720" w:right="720"/>
    </w:pPr>
  </w:style>
  <w:style w:type="paragraph" w:customStyle="1" w:styleId="BlockText1">
    <w:name w:val="Block Text 1"/>
    <w:basedOn w:val="Normal"/>
    <w:qFormat/>
    <w:rsid w:val="00DB03B5"/>
    <w:pPr>
      <w:spacing w:after="240"/>
      <w:ind w:left="1440" w:right="1829"/>
    </w:pPr>
  </w:style>
  <w:style w:type="paragraph" w:customStyle="1" w:styleId="BlockTextJ">
    <w:name w:val="Block Text J"/>
    <w:basedOn w:val="Normal"/>
    <w:qFormat/>
    <w:rsid w:val="00DB03B5"/>
    <w:pPr>
      <w:jc w:val="both"/>
    </w:pPr>
  </w:style>
  <w:style w:type="paragraph" w:customStyle="1" w:styleId="BodyText2J">
    <w:name w:val="Body Text 2 J"/>
    <w:basedOn w:val="BodyText2"/>
    <w:link w:val="BodyText2JChar"/>
    <w:qFormat/>
    <w:rsid w:val="00197360"/>
    <w:pPr>
      <w:jc w:val="both"/>
    </w:pPr>
  </w:style>
  <w:style w:type="character" w:customStyle="1" w:styleId="BodyText2JChar">
    <w:name w:val="Body Text 2 J Char"/>
    <w:basedOn w:val="BodyText2Char"/>
    <w:link w:val="BodyText2J"/>
    <w:rsid w:val="00197360"/>
  </w:style>
  <w:style w:type="paragraph" w:customStyle="1" w:styleId="BodyText3J">
    <w:name w:val="Body Text 3 J"/>
    <w:basedOn w:val="BodyText3"/>
    <w:link w:val="BodyText3JChar"/>
    <w:qFormat/>
    <w:rsid w:val="00197360"/>
    <w:pPr>
      <w:jc w:val="both"/>
    </w:pPr>
  </w:style>
  <w:style w:type="character" w:customStyle="1" w:styleId="BodyText3JChar">
    <w:name w:val="Body Text 3 J Char"/>
    <w:basedOn w:val="BodyText3Char"/>
    <w:link w:val="BodyText3J"/>
    <w:rsid w:val="00197360"/>
    <w:rPr>
      <w:szCs w:val="16"/>
    </w:rPr>
  </w:style>
  <w:style w:type="paragraph" w:customStyle="1" w:styleId="BodyTextJ">
    <w:name w:val="Body Text J"/>
    <w:basedOn w:val="BodyText"/>
    <w:link w:val="BodyTextJChar"/>
    <w:qFormat/>
    <w:rsid w:val="00197360"/>
    <w:pPr>
      <w:jc w:val="both"/>
    </w:pPr>
  </w:style>
  <w:style w:type="character" w:customStyle="1" w:styleId="BodyTextJChar">
    <w:name w:val="Body Text J Char"/>
    <w:basedOn w:val="BodyTextChar"/>
    <w:link w:val="BodyTextJ"/>
    <w:rsid w:val="00197360"/>
  </w:style>
  <w:style w:type="character" w:customStyle="1" w:styleId="SubtitleChar">
    <w:name w:val="Subtitle Char"/>
    <w:basedOn w:val="DefaultParagraphFont"/>
    <w:link w:val="Subtitle"/>
    <w:uiPriority w:val="11"/>
    <w:rsid w:val="00C8460E"/>
    <w:rPr>
      <w:rFonts w:eastAsiaTheme="majorEastAsia" w:cstheme="majorBidi"/>
      <w:iCs/>
    </w:rPr>
  </w:style>
  <w:style w:type="paragraph" w:customStyle="1" w:styleId="BodyTextNumbered">
    <w:name w:val="Body Text Numbered"/>
    <w:basedOn w:val="Normal"/>
    <w:qFormat/>
    <w:rsid w:val="00C8460E"/>
    <w:pPr>
      <w:numPr>
        <w:numId w:val="1"/>
      </w:numPr>
      <w:spacing w:after="240"/>
    </w:pPr>
  </w:style>
  <w:style w:type="paragraph" w:styleId="Date">
    <w:name w:val="Date"/>
    <w:basedOn w:val="Normal"/>
    <w:next w:val="Normal"/>
    <w:link w:val="DateChar"/>
    <w:uiPriority w:val="99"/>
    <w:semiHidden/>
    <w:unhideWhenUsed/>
    <w:rsid w:val="00197360"/>
    <w:pPr>
      <w:spacing w:after="240"/>
    </w:pPr>
  </w:style>
  <w:style w:type="character" w:customStyle="1" w:styleId="DateChar">
    <w:name w:val="Date Char"/>
    <w:basedOn w:val="DefaultParagraphFont"/>
    <w:link w:val="Date"/>
    <w:uiPriority w:val="99"/>
    <w:semiHidden/>
    <w:rsid w:val="00197360"/>
  </w:style>
  <w:style w:type="paragraph" w:customStyle="1" w:styleId="HangingIndent">
    <w:name w:val="Hanging Indent"/>
    <w:basedOn w:val="BlockText"/>
    <w:link w:val="HangingIndentChar"/>
    <w:qFormat/>
    <w:rsid w:val="00197360"/>
    <w:pPr>
      <w:ind w:left="2160" w:hanging="2160"/>
    </w:pPr>
  </w:style>
  <w:style w:type="character" w:customStyle="1" w:styleId="BlockTextChar">
    <w:name w:val="Block Text Char"/>
    <w:basedOn w:val="DefaultParagraphFont"/>
    <w:link w:val="BlockText"/>
    <w:rsid w:val="00197360"/>
    <w:rPr>
      <w:rFonts w:eastAsiaTheme="minorEastAsia"/>
      <w:iCs/>
    </w:rPr>
  </w:style>
  <w:style w:type="character" w:customStyle="1" w:styleId="HangingIndentChar">
    <w:name w:val="Hanging Indent Char"/>
    <w:basedOn w:val="BlockTextChar"/>
    <w:link w:val="HangingIndent"/>
    <w:rsid w:val="00197360"/>
    <w:rPr>
      <w:rFonts w:eastAsiaTheme="minorEastAsia"/>
      <w:iCs/>
    </w:rPr>
  </w:style>
  <w:style w:type="paragraph" w:styleId="FootnoteText">
    <w:name w:val="footnote text"/>
    <w:basedOn w:val="Normal"/>
    <w:next w:val="FootnoteTextMore"/>
    <w:link w:val="FootnoteTextChar"/>
    <w:semiHidden/>
    <w:rsid w:val="00AA6AAE"/>
    <w:pPr>
      <w:spacing w:after="200"/>
      <w:ind w:left="274" w:hanging="274"/>
      <w:contextualSpacing/>
    </w:pPr>
    <w:rPr>
      <w:sz w:val="20"/>
      <w:szCs w:val="20"/>
    </w:rPr>
  </w:style>
  <w:style w:type="character" w:customStyle="1" w:styleId="FootnoteTextChar">
    <w:name w:val="Footnote Text Char"/>
    <w:basedOn w:val="DefaultParagraphFont"/>
    <w:link w:val="FootnoteText"/>
    <w:semiHidden/>
    <w:rsid w:val="00AA6AAE"/>
    <w:rPr>
      <w:sz w:val="20"/>
      <w:szCs w:val="20"/>
      <w:lang w:val="en-GB"/>
    </w:rPr>
  </w:style>
  <w:style w:type="paragraph" w:customStyle="1" w:styleId="FootnoteTextMore">
    <w:name w:val="Footnote TextMore"/>
    <w:basedOn w:val="FootnoteText"/>
    <w:link w:val="FootnoteTextMoreChar"/>
    <w:qFormat/>
    <w:rsid w:val="00197360"/>
    <w:pPr>
      <w:ind w:left="0" w:firstLine="0"/>
    </w:pPr>
  </w:style>
  <w:style w:type="character" w:customStyle="1" w:styleId="FootnoteTextMoreChar">
    <w:name w:val="Footnote TextMore Char"/>
    <w:basedOn w:val="FootnoteTextChar"/>
    <w:link w:val="FootnoteTextMore"/>
    <w:rsid w:val="00C8460E"/>
    <w:rPr>
      <w:sz w:val="20"/>
      <w:szCs w:val="20"/>
      <w:lang w:val="en-GB"/>
    </w:rPr>
  </w:style>
  <w:style w:type="paragraph" w:styleId="EndnoteText">
    <w:name w:val="endnote text"/>
    <w:basedOn w:val="Normal"/>
    <w:next w:val="EndnoteTextMore"/>
    <w:link w:val="EndnoteTextChar"/>
    <w:rsid w:val="00C8460E"/>
    <w:pPr>
      <w:spacing w:after="200"/>
      <w:ind w:left="720" w:hanging="720"/>
    </w:pPr>
    <w:rPr>
      <w:sz w:val="20"/>
      <w:szCs w:val="20"/>
    </w:rPr>
  </w:style>
  <w:style w:type="character" w:customStyle="1" w:styleId="EndnoteTextChar">
    <w:name w:val="Endnote Text Char"/>
    <w:basedOn w:val="DefaultParagraphFont"/>
    <w:link w:val="EndnoteText"/>
    <w:rsid w:val="00C8460E"/>
    <w:rPr>
      <w:sz w:val="20"/>
      <w:szCs w:val="20"/>
    </w:rPr>
  </w:style>
  <w:style w:type="paragraph" w:customStyle="1" w:styleId="EndnoteTextMore">
    <w:name w:val="Endnote TextMore"/>
    <w:basedOn w:val="EndnoteText"/>
    <w:link w:val="EndnoteTextMoreChar"/>
    <w:semiHidden/>
    <w:qFormat/>
    <w:rsid w:val="00C8460E"/>
    <w:pPr>
      <w:ind w:left="0" w:firstLine="0"/>
    </w:pPr>
  </w:style>
  <w:style w:type="character" w:customStyle="1" w:styleId="EndnoteTextMoreChar">
    <w:name w:val="Endnote TextMore Char"/>
    <w:basedOn w:val="EndnoteTextChar"/>
    <w:link w:val="EndnoteTextMore"/>
    <w:semiHidden/>
    <w:rsid w:val="00C8460E"/>
    <w:rPr>
      <w:sz w:val="20"/>
      <w:szCs w:val="20"/>
    </w:rPr>
  </w:style>
  <w:style w:type="paragraph" w:customStyle="1" w:styleId="Table">
    <w:name w:val="Table"/>
    <w:basedOn w:val="Normal"/>
    <w:link w:val="TableChar"/>
    <w:qFormat/>
    <w:rsid w:val="00C8460E"/>
  </w:style>
  <w:style w:type="character" w:customStyle="1" w:styleId="TableChar">
    <w:name w:val="Table Char"/>
    <w:basedOn w:val="DefaultParagraphFont"/>
    <w:link w:val="Table"/>
    <w:rsid w:val="00C8460E"/>
  </w:style>
  <w:style w:type="paragraph" w:customStyle="1" w:styleId="BulletedList">
    <w:name w:val="Bulleted List"/>
    <w:basedOn w:val="Normal"/>
    <w:qFormat/>
    <w:rsid w:val="00C8460E"/>
    <w:pPr>
      <w:numPr>
        <w:numId w:val="2"/>
      </w:numPr>
      <w:spacing w:after="240"/>
    </w:pPr>
  </w:style>
  <w:style w:type="paragraph" w:styleId="EnvelopeAddress">
    <w:name w:val="envelope address"/>
    <w:basedOn w:val="Normal"/>
    <w:uiPriority w:val="99"/>
    <w:semiHidden/>
    <w:unhideWhenUsed/>
    <w:rsid w:val="0000608D"/>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0608D"/>
    <w:rPr>
      <w:rFonts w:eastAsiaTheme="majorEastAsia" w:cstheme="majorBidi"/>
      <w:sz w:val="20"/>
      <w:szCs w:val="20"/>
    </w:rPr>
  </w:style>
  <w:style w:type="paragraph" w:styleId="Index1">
    <w:name w:val="index 1"/>
    <w:basedOn w:val="Normal"/>
    <w:next w:val="Normal"/>
    <w:autoRedefine/>
    <w:uiPriority w:val="99"/>
    <w:semiHidden/>
    <w:unhideWhenUsed/>
    <w:rsid w:val="0000608D"/>
    <w:pPr>
      <w:ind w:left="240" w:hanging="240"/>
    </w:pPr>
  </w:style>
  <w:style w:type="paragraph" w:styleId="IndexHeading">
    <w:name w:val="index heading"/>
    <w:basedOn w:val="Normal"/>
    <w:next w:val="Index1"/>
    <w:uiPriority w:val="99"/>
    <w:semiHidden/>
    <w:unhideWhenUsed/>
    <w:rsid w:val="0000608D"/>
    <w:rPr>
      <w:rFonts w:eastAsiaTheme="majorEastAsia" w:cstheme="majorBidi"/>
      <w:b/>
      <w:bCs/>
    </w:rPr>
  </w:style>
  <w:style w:type="table" w:styleId="MediumGrid2">
    <w:name w:val="Medium Grid 2"/>
    <w:basedOn w:val="TableNormal"/>
    <w:uiPriority w:val="68"/>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MessageHeader">
    <w:name w:val="Message Header"/>
    <w:basedOn w:val="Normal"/>
    <w:link w:val="MessageHeaderChar"/>
    <w:uiPriority w:val="99"/>
    <w:semiHidden/>
    <w:unhideWhenUsed/>
    <w:rsid w:val="0000608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00608D"/>
    <w:rPr>
      <w:rFonts w:eastAsiaTheme="majorEastAsia" w:cstheme="majorBidi"/>
      <w:shd w:val="pct20" w:color="auto" w:fill="auto"/>
    </w:rPr>
  </w:style>
  <w:style w:type="paragraph" w:customStyle="1" w:styleId="UK10Block">
    <w:name w:val="UK10 Block"/>
    <w:basedOn w:val="Normal"/>
    <w:rsid w:val="00D025DF"/>
    <w:pPr>
      <w:spacing w:after="240" w:line="246" w:lineRule="atLeast"/>
      <w:jc w:val="both"/>
    </w:pPr>
    <w:rPr>
      <w:rFonts w:eastAsia="Times New Roman" w:cs="Times New Roman"/>
      <w:sz w:val="20"/>
      <w:szCs w:val="20"/>
    </w:rPr>
  </w:style>
  <w:style w:type="paragraph" w:customStyle="1" w:styleId="UK10Block05">
    <w:name w:val="UK10 Block 0.5"/>
    <w:basedOn w:val="Normal"/>
    <w:rsid w:val="00D025DF"/>
    <w:pPr>
      <w:spacing w:after="240" w:line="246" w:lineRule="atLeast"/>
      <w:ind w:left="720"/>
      <w:jc w:val="both"/>
    </w:pPr>
    <w:rPr>
      <w:rFonts w:eastAsia="Times New Roman" w:cs="Times New Roman"/>
      <w:sz w:val="20"/>
      <w:szCs w:val="20"/>
    </w:rPr>
  </w:style>
  <w:style w:type="paragraph" w:customStyle="1" w:styleId="UK10Block10">
    <w:name w:val="UK10 Block 1.0"/>
    <w:basedOn w:val="Normal"/>
    <w:rsid w:val="00D025DF"/>
    <w:pPr>
      <w:spacing w:after="240" w:line="246" w:lineRule="atLeast"/>
      <w:ind w:left="1440"/>
      <w:jc w:val="both"/>
    </w:pPr>
    <w:rPr>
      <w:rFonts w:eastAsia="Times New Roman" w:cs="Times New Roman"/>
      <w:sz w:val="20"/>
      <w:szCs w:val="20"/>
    </w:rPr>
  </w:style>
  <w:style w:type="paragraph" w:customStyle="1" w:styleId="UK10Block15">
    <w:name w:val="UK10 Block 1.5"/>
    <w:basedOn w:val="Normal"/>
    <w:rsid w:val="00D025DF"/>
    <w:pPr>
      <w:spacing w:after="240" w:line="246" w:lineRule="atLeast"/>
      <w:ind w:left="2160"/>
      <w:jc w:val="both"/>
    </w:pPr>
    <w:rPr>
      <w:rFonts w:eastAsia="Times New Roman" w:cs="Times New Roman"/>
      <w:sz w:val="20"/>
      <w:szCs w:val="20"/>
    </w:rPr>
  </w:style>
  <w:style w:type="paragraph" w:customStyle="1" w:styleId="UK10Block20">
    <w:name w:val="UK10 Block 2.0"/>
    <w:basedOn w:val="Normal"/>
    <w:rsid w:val="00D025DF"/>
    <w:pPr>
      <w:spacing w:after="240" w:line="246" w:lineRule="atLeast"/>
      <w:ind w:left="2880"/>
      <w:jc w:val="both"/>
    </w:pPr>
    <w:rPr>
      <w:rFonts w:eastAsia="Times New Roman" w:cs="Times New Roman"/>
      <w:sz w:val="20"/>
      <w:szCs w:val="20"/>
    </w:rPr>
  </w:style>
  <w:style w:type="paragraph" w:customStyle="1" w:styleId="UK10Block25">
    <w:name w:val="UK10 Block 2.5"/>
    <w:basedOn w:val="Normal"/>
    <w:rsid w:val="00D025DF"/>
    <w:pPr>
      <w:spacing w:after="240" w:line="246" w:lineRule="atLeast"/>
      <w:ind w:left="3600"/>
      <w:jc w:val="both"/>
    </w:pPr>
    <w:rPr>
      <w:rFonts w:eastAsia="Times New Roman" w:cs="Times New Roman"/>
      <w:sz w:val="20"/>
      <w:szCs w:val="20"/>
    </w:rPr>
  </w:style>
  <w:style w:type="paragraph" w:customStyle="1" w:styleId="UK10Block30">
    <w:name w:val="UK10 Block 3.0"/>
    <w:basedOn w:val="Normal"/>
    <w:rsid w:val="00D025DF"/>
    <w:pPr>
      <w:spacing w:after="240" w:line="246" w:lineRule="atLeast"/>
      <w:ind w:left="4320"/>
      <w:jc w:val="both"/>
    </w:pPr>
    <w:rPr>
      <w:rFonts w:eastAsia="Times New Roman" w:cs="Times New Roman"/>
      <w:sz w:val="20"/>
      <w:szCs w:val="20"/>
    </w:rPr>
  </w:style>
  <w:style w:type="paragraph" w:customStyle="1" w:styleId="UK10Title">
    <w:name w:val="UK10 Title"/>
    <w:basedOn w:val="Normal"/>
    <w:next w:val="UK10Block"/>
    <w:rsid w:val="00D025DF"/>
    <w:pPr>
      <w:spacing w:after="240" w:line="246" w:lineRule="atLeast"/>
      <w:jc w:val="center"/>
    </w:pPr>
    <w:rPr>
      <w:rFonts w:eastAsia="Times New Roman" w:cs="Times New Roman"/>
      <w:b/>
      <w:kern w:val="28"/>
      <w:sz w:val="20"/>
      <w:szCs w:val="20"/>
    </w:rPr>
  </w:style>
  <w:style w:type="paragraph" w:customStyle="1" w:styleId="UK11Block">
    <w:name w:val="UK11 Block"/>
    <w:basedOn w:val="Normal"/>
    <w:rsid w:val="00D025DF"/>
    <w:pPr>
      <w:spacing w:after="240" w:line="246" w:lineRule="atLeast"/>
      <w:jc w:val="both"/>
    </w:pPr>
    <w:rPr>
      <w:rFonts w:eastAsia="Times New Roman" w:cs="Times New Roman"/>
      <w:sz w:val="22"/>
      <w:szCs w:val="20"/>
    </w:rPr>
  </w:style>
  <w:style w:type="paragraph" w:customStyle="1" w:styleId="UK11Block05">
    <w:name w:val="UK11 Block 0.5"/>
    <w:basedOn w:val="Normal"/>
    <w:rsid w:val="00D025DF"/>
    <w:pPr>
      <w:spacing w:after="240" w:line="246" w:lineRule="atLeast"/>
      <w:ind w:left="720"/>
      <w:jc w:val="both"/>
    </w:pPr>
    <w:rPr>
      <w:rFonts w:eastAsia="Times New Roman" w:cs="Times New Roman"/>
      <w:sz w:val="22"/>
      <w:szCs w:val="20"/>
    </w:rPr>
  </w:style>
  <w:style w:type="paragraph" w:customStyle="1" w:styleId="UK11Block10">
    <w:name w:val="UK11 Block 1.0"/>
    <w:basedOn w:val="Normal"/>
    <w:rsid w:val="00D025DF"/>
    <w:pPr>
      <w:spacing w:after="240" w:line="246" w:lineRule="atLeast"/>
      <w:ind w:left="1440"/>
      <w:jc w:val="both"/>
    </w:pPr>
    <w:rPr>
      <w:rFonts w:eastAsia="Times New Roman" w:cs="Times New Roman"/>
      <w:sz w:val="22"/>
      <w:szCs w:val="20"/>
    </w:rPr>
  </w:style>
  <w:style w:type="paragraph" w:customStyle="1" w:styleId="UK11Block15">
    <w:name w:val="UK11 Block 1.5"/>
    <w:basedOn w:val="Normal"/>
    <w:rsid w:val="00D025DF"/>
    <w:pPr>
      <w:spacing w:after="240" w:line="246" w:lineRule="atLeast"/>
      <w:ind w:left="2160"/>
      <w:jc w:val="both"/>
    </w:pPr>
    <w:rPr>
      <w:rFonts w:eastAsia="Times New Roman" w:cs="Times New Roman"/>
      <w:sz w:val="22"/>
      <w:szCs w:val="20"/>
    </w:rPr>
  </w:style>
  <w:style w:type="paragraph" w:customStyle="1" w:styleId="UK11Block20">
    <w:name w:val="UK11 Block 2.0"/>
    <w:basedOn w:val="Normal"/>
    <w:rsid w:val="00D025DF"/>
    <w:pPr>
      <w:spacing w:after="240" w:line="246" w:lineRule="atLeast"/>
      <w:ind w:left="2880"/>
      <w:jc w:val="both"/>
    </w:pPr>
    <w:rPr>
      <w:rFonts w:eastAsia="Times New Roman" w:cs="Times New Roman"/>
      <w:sz w:val="22"/>
      <w:szCs w:val="20"/>
    </w:rPr>
  </w:style>
  <w:style w:type="paragraph" w:customStyle="1" w:styleId="UK11Block25">
    <w:name w:val="UK11 Block 2.5"/>
    <w:basedOn w:val="Normal"/>
    <w:rsid w:val="00D025DF"/>
    <w:pPr>
      <w:spacing w:after="240" w:line="246" w:lineRule="atLeast"/>
      <w:ind w:left="3600"/>
      <w:jc w:val="both"/>
    </w:pPr>
    <w:rPr>
      <w:rFonts w:eastAsia="Times New Roman" w:cs="Times New Roman"/>
      <w:sz w:val="22"/>
      <w:szCs w:val="20"/>
    </w:rPr>
  </w:style>
  <w:style w:type="paragraph" w:customStyle="1" w:styleId="UK11Block30">
    <w:name w:val="UK11 Block 3.0"/>
    <w:basedOn w:val="Normal"/>
    <w:rsid w:val="00D025DF"/>
    <w:pPr>
      <w:spacing w:after="240" w:line="246" w:lineRule="atLeast"/>
      <w:ind w:left="4320"/>
      <w:jc w:val="both"/>
    </w:pPr>
    <w:rPr>
      <w:rFonts w:eastAsia="Times New Roman" w:cs="Times New Roman"/>
      <w:sz w:val="22"/>
      <w:szCs w:val="20"/>
    </w:rPr>
  </w:style>
  <w:style w:type="paragraph" w:customStyle="1" w:styleId="UK11Title">
    <w:name w:val="UK11 Title"/>
    <w:basedOn w:val="Normal"/>
    <w:next w:val="UK11Block"/>
    <w:rsid w:val="00D025DF"/>
    <w:pPr>
      <w:spacing w:after="240" w:line="246" w:lineRule="atLeast"/>
      <w:jc w:val="center"/>
    </w:pPr>
    <w:rPr>
      <w:rFonts w:eastAsia="Times New Roman" w:cs="Times New Roman"/>
      <w:b/>
      <w:kern w:val="28"/>
      <w:sz w:val="22"/>
      <w:szCs w:val="20"/>
    </w:rPr>
  </w:style>
  <w:style w:type="paragraph" w:customStyle="1" w:styleId="UK12Block">
    <w:name w:val="UK12 Block"/>
    <w:basedOn w:val="Normal"/>
    <w:rsid w:val="00D025DF"/>
    <w:pPr>
      <w:spacing w:after="240" w:line="246" w:lineRule="atLeast"/>
      <w:jc w:val="both"/>
    </w:pPr>
    <w:rPr>
      <w:rFonts w:eastAsia="Times New Roman" w:cs="Times New Roman"/>
      <w:szCs w:val="20"/>
    </w:rPr>
  </w:style>
  <w:style w:type="paragraph" w:customStyle="1" w:styleId="UK12Block05">
    <w:name w:val="UK12 Block 0.5"/>
    <w:basedOn w:val="Normal"/>
    <w:rsid w:val="00D025DF"/>
    <w:pPr>
      <w:spacing w:after="240" w:line="246" w:lineRule="atLeast"/>
      <w:ind w:left="720"/>
      <w:jc w:val="both"/>
    </w:pPr>
    <w:rPr>
      <w:rFonts w:eastAsia="Times New Roman" w:cs="Times New Roman"/>
      <w:szCs w:val="20"/>
    </w:rPr>
  </w:style>
  <w:style w:type="paragraph" w:customStyle="1" w:styleId="UK12Block10">
    <w:name w:val="UK12 Block 1.0"/>
    <w:basedOn w:val="Normal"/>
    <w:rsid w:val="00D025DF"/>
    <w:pPr>
      <w:spacing w:after="240" w:line="246" w:lineRule="atLeast"/>
      <w:ind w:left="1440"/>
      <w:jc w:val="both"/>
    </w:pPr>
    <w:rPr>
      <w:rFonts w:eastAsia="Times New Roman" w:cs="Times New Roman"/>
      <w:szCs w:val="20"/>
    </w:rPr>
  </w:style>
  <w:style w:type="paragraph" w:customStyle="1" w:styleId="UK12Block15">
    <w:name w:val="UK12 Block 1.5"/>
    <w:basedOn w:val="Normal"/>
    <w:rsid w:val="00D025DF"/>
    <w:pPr>
      <w:spacing w:after="240" w:line="246" w:lineRule="atLeast"/>
      <w:ind w:left="2160"/>
      <w:jc w:val="both"/>
    </w:pPr>
    <w:rPr>
      <w:rFonts w:eastAsia="Times New Roman" w:cs="Times New Roman"/>
      <w:szCs w:val="20"/>
    </w:rPr>
  </w:style>
  <w:style w:type="paragraph" w:customStyle="1" w:styleId="UK12Block20">
    <w:name w:val="UK12 Block 2.0"/>
    <w:basedOn w:val="Normal"/>
    <w:rsid w:val="00D025DF"/>
    <w:pPr>
      <w:spacing w:after="240" w:line="246" w:lineRule="atLeast"/>
      <w:ind w:left="2880"/>
      <w:jc w:val="both"/>
    </w:pPr>
    <w:rPr>
      <w:rFonts w:eastAsia="Times New Roman" w:cs="Times New Roman"/>
      <w:szCs w:val="20"/>
    </w:rPr>
  </w:style>
  <w:style w:type="paragraph" w:customStyle="1" w:styleId="UK12Block25">
    <w:name w:val="UK12 Block 2.5"/>
    <w:basedOn w:val="Normal"/>
    <w:rsid w:val="00D025DF"/>
    <w:pPr>
      <w:spacing w:after="240" w:line="246" w:lineRule="atLeast"/>
      <w:ind w:left="3600"/>
      <w:jc w:val="both"/>
    </w:pPr>
    <w:rPr>
      <w:rFonts w:eastAsia="Times New Roman" w:cs="Times New Roman"/>
      <w:szCs w:val="20"/>
    </w:rPr>
  </w:style>
  <w:style w:type="paragraph" w:customStyle="1" w:styleId="UK12Block30">
    <w:name w:val="UK12 Block 3.0"/>
    <w:basedOn w:val="Normal"/>
    <w:rsid w:val="00D025DF"/>
    <w:pPr>
      <w:spacing w:after="240" w:line="246" w:lineRule="atLeast"/>
      <w:ind w:left="4320"/>
      <w:jc w:val="both"/>
    </w:pPr>
    <w:rPr>
      <w:rFonts w:eastAsia="Times New Roman" w:cs="Times New Roman"/>
      <w:szCs w:val="20"/>
    </w:rPr>
  </w:style>
  <w:style w:type="paragraph" w:customStyle="1" w:styleId="UK12Title">
    <w:name w:val="UK12 Title"/>
    <w:basedOn w:val="Normal"/>
    <w:next w:val="UK12Block"/>
    <w:rsid w:val="00D025DF"/>
    <w:pPr>
      <w:spacing w:after="240" w:line="246" w:lineRule="atLeast"/>
      <w:jc w:val="center"/>
    </w:pPr>
    <w:rPr>
      <w:rFonts w:eastAsia="Times New Roman" w:cs="Times New Roman"/>
      <w:b/>
      <w:kern w:val="28"/>
      <w:szCs w:val="20"/>
    </w:rPr>
  </w:style>
  <w:style w:type="paragraph" w:customStyle="1" w:styleId="PAIAContinuousNumbering">
    <w:name w:val="PA / IA Continuous Numbering"/>
    <w:rsid w:val="00EC28C9"/>
    <w:pPr>
      <w:numPr>
        <w:numId w:val="3"/>
      </w:numPr>
      <w:spacing w:after="240" w:line="360" w:lineRule="auto"/>
    </w:pPr>
    <w:rPr>
      <w:rFonts w:eastAsia="Times New Roman" w:cs="Times New Roman"/>
      <w:szCs w:val="20"/>
      <w:lang w:val="en-GB"/>
    </w:rPr>
  </w:style>
  <w:style w:type="paragraph" w:customStyle="1" w:styleId="PAIAQuotes">
    <w:name w:val="PA / IA Quotes"/>
    <w:rsid w:val="00EC28C9"/>
    <w:pPr>
      <w:spacing w:after="240"/>
      <w:ind w:left="1440" w:right="1440"/>
    </w:pPr>
    <w:rPr>
      <w:rFonts w:eastAsia="Times New Roman" w:cs="Times New Roman"/>
      <w:i/>
      <w:szCs w:val="20"/>
      <w:lang w:val="en-GB"/>
    </w:rPr>
  </w:style>
  <w:style w:type="paragraph" w:customStyle="1" w:styleId="PAAlphaList">
    <w:name w:val="PA Alpha List"/>
    <w:basedOn w:val="Normal"/>
    <w:rsid w:val="00EC28C9"/>
    <w:pPr>
      <w:numPr>
        <w:numId w:val="4"/>
      </w:numPr>
      <w:spacing w:after="120"/>
      <w:jc w:val="both"/>
    </w:pPr>
    <w:rPr>
      <w:rFonts w:eastAsia="Times New Roman" w:cs="Times New Roman"/>
      <w:szCs w:val="20"/>
      <w:lang w:val="fr-FR"/>
    </w:rPr>
  </w:style>
  <w:style w:type="paragraph" w:customStyle="1" w:styleId="PAAlphaListindent05">
    <w:name w:val="PA Alpha List indent 0.5"/>
    <w:basedOn w:val="Normal"/>
    <w:rsid w:val="00EC28C9"/>
    <w:pPr>
      <w:numPr>
        <w:numId w:val="5"/>
      </w:numPr>
      <w:spacing w:after="120"/>
      <w:jc w:val="both"/>
    </w:pPr>
    <w:rPr>
      <w:rFonts w:eastAsia="Times New Roman" w:cs="Times New Roman"/>
      <w:szCs w:val="20"/>
      <w:lang w:val="fr-FR"/>
    </w:rPr>
  </w:style>
  <w:style w:type="paragraph" w:customStyle="1" w:styleId="PAAlphaListindent1">
    <w:name w:val="PA Alpha List indent 1"/>
    <w:basedOn w:val="Normal"/>
    <w:rsid w:val="00EC28C9"/>
    <w:pPr>
      <w:numPr>
        <w:numId w:val="6"/>
      </w:numPr>
      <w:spacing w:after="120"/>
      <w:jc w:val="both"/>
    </w:pPr>
    <w:rPr>
      <w:rFonts w:eastAsia="Times New Roman" w:cs="Times New Roman"/>
      <w:szCs w:val="20"/>
      <w:lang w:val="fr-FR"/>
    </w:rPr>
  </w:style>
  <w:style w:type="paragraph" w:customStyle="1" w:styleId="PAAlphaListindent15">
    <w:name w:val="PA Alpha List indent 1.5"/>
    <w:basedOn w:val="Normal"/>
    <w:rsid w:val="00EC28C9"/>
    <w:pPr>
      <w:numPr>
        <w:numId w:val="7"/>
      </w:numPr>
      <w:spacing w:after="120"/>
      <w:jc w:val="both"/>
    </w:pPr>
    <w:rPr>
      <w:rFonts w:eastAsia="Times New Roman" w:cs="Times New Roman"/>
      <w:szCs w:val="20"/>
      <w:lang w:val="fr-FR"/>
    </w:rPr>
  </w:style>
  <w:style w:type="paragraph" w:customStyle="1" w:styleId="PAAlphaListindent2">
    <w:name w:val="PA Alpha List indent 2"/>
    <w:basedOn w:val="Normal"/>
    <w:rsid w:val="00EC28C9"/>
    <w:pPr>
      <w:numPr>
        <w:numId w:val="8"/>
      </w:numPr>
      <w:spacing w:after="120"/>
      <w:jc w:val="both"/>
    </w:pPr>
    <w:rPr>
      <w:rFonts w:eastAsia="Times New Roman" w:cs="Times New Roman"/>
      <w:szCs w:val="20"/>
      <w:lang w:val="fr-FR"/>
    </w:rPr>
  </w:style>
  <w:style w:type="paragraph" w:customStyle="1" w:styleId="PABlockText">
    <w:name w:val="PA Block Text"/>
    <w:basedOn w:val="Normal"/>
    <w:rsid w:val="00EC28C9"/>
    <w:pPr>
      <w:spacing w:after="120"/>
      <w:jc w:val="both"/>
    </w:pPr>
    <w:rPr>
      <w:rFonts w:eastAsia="Times New Roman" w:cs="Times New Roman"/>
      <w:szCs w:val="20"/>
    </w:rPr>
  </w:style>
  <w:style w:type="paragraph" w:customStyle="1" w:styleId="PABlockTextindent05">
    <w:name w:val="PA Block Text indent 0.5"/>
    <w:basedOn w:val="Normal"/>
    <w:rsid w:val="00EC28C9"/>
    <w:pPr>
      <w:spacing w:after="120"/>
      <w:ind w:left="720"/>
      <w:jc w:val="both"/>
    </w:pPr>
    <w:rPr>
      <w:rFonts w:eastAsia="Times New Roman" w:cs="Times New Roman"/>
      <w:szCs w:val="20"/>
    </w:rPr>
  </w:style>
  <w:style w:type="paragraph" w:customStyle="1" w:styleId="PABlockTextindent1">
    <w:name w:val="PA Block Text indent 1"/>
    <w:basedOn w:val="Normal"/>
    <w:rsid w:val="00EC28C9"/>
    <w:pPr>
      <w:spacing w:after="120"/>
      <w:ind w:left="1440"/>
      <w:jc w:val="both"/>
    </w:pPr>
    <w:rPr>
      <w:rFonts w:eastAsia="Times New Roman" w:cs="Times New Roman"/>
      <w:szCs w:val="20"/>
    </w:rPr>
  </w:style>
  <w:style w:type="paragraph" w:customStyle="1" w:styleId="PABlockTextindent15">
    <w:name w:val="PA Block Text indent 1.5"/>
    <w:basedOn w:val="Normal"/>
    <w:rsid w:val="00EC28C9"/>
    <w:pPr>
      <w:spacing w:after="120"/>
      <w:ind w:left="2160"/>
      <w:jc w:val="both"/>
    </w:pPr>
    <w:rPr>
      <w:rFonts w:eastAsia="Times New Roman" w:cs="Times New Roman"/>
      <w:szCs w:val="20"/>
    </w:rPr>
  </w:style>
  <w:style w:type="paragraph" w:customStyle="1" w:styleId="PABlockTextindent2">
    <w:name w:val="PA Block Text indent 2"/>
    <w:basedOn w:val="Normal"/>
    <w:rsid w:val="00EC28C9"/>
    <w:pPr>
      <w:spacing w:after="120"/>
      <w:ind w:left="2880"/>
      <w:jc w:val="both"/>
    </w:pPr>
    <w:rPr>
      <w:rFonts w:eastAsia="Times New Roman" w:cs="Times New Roman"/>
      <w:szCs w:val="20"/>
    </w:rPr>
  </w:style>
  <w:style w:type="paragraph" w:customStyle="1" w:styleId="PABullet">
    <w:name w:val="PA Bullet"/>
    <w:basedOn w:val="Normal"/>
    <w:rsid w:val="00EC28C9"/>
    <w:pPr>
      <w:numPr>
        <w:numId w:val="9"/>
      </w:numPr>
      <w:spacing w:after="120"/>
      <w:jc w:val="both"/>
    </w:pPr>
    <w:rPr>
      <w:rFonts w:eastAsia="Times New Roman" w:cs="Times New Roman"/>
      <w:szCs w:val="20"/>
    </w:rPr>
  </w:style>
  <w:style w:type="paragraph" w:customStyle="1" w:styleId="PABulletindent05">
    <w:name w:val="PA Bullet indent 0.5"/>
    <w:basedOn w:val="Normal"/>
    <w:rsid w:val="00EC28C9"/>
    <w:pPr>
      <w:numPr>
        <w:numId w:val="10"/>
      </w:numPr>
      <w:spacing w:after="120"/>
      <w:jc w:val="both"/>
    </w:pPr>
    <w:rPr>
      <w:rFonts w:eastAsia="Times New Roman" w:cs="Times New Roman"/>
      <w:szCs w:val="20"/>
    </w:rPr>
  </w:style>
  <w:style w:type="paragraph" w:customStyle="1" w:styleId="PABulletindent1">
    <w:name w:val="PA Bullet indent 1"/>
    <w:basedOn w:val="Normal"/>
    <w:rsid w:val="00EC28C9"/>
    <w:pPr>
      <w:numPr>
        <w:numId w:val="11"/>
      </w:numPr>
      <w:spacing w:after="120"/>
      <w:jc w:val="both"/>
    </w:pPr>
    <w:rPr>
      <w:rFonts w:eastAsia="Times New Roman" w:cs="Times New Roman"/>
      <w:szCs w:val="20"/>
    </w:rPr>
  </w:style>
  <w:style w:type="paragraph" w:customStyle="1" w:styleId="PABulletindent15">
    <w:name w:val="PA Bullet indent 1.5"/>
    <w:basedOn w:val="Normal"/>
    <w:rsid w:val="00EC28C9"/>
    <w:pPr>
      <w:numPr>
        <w:numId w:val="12"/>
      </w:numPr>
      <w:spacing w:after="120"/>
      <w:jc w:val="both"/>
    </w:pPr>
    <w:rPr>
      <w:rFonts w:eastAsia="Times New Roman" w:cs="Times New Roman"/>
      <w:szCs w:val="20"/>
    </w:rPr>
  </w:style>
  <w:style w:type="paragraph" w:customStyle="1" w:styleId="PABulletindent2">
    <w:name w:val="PA Bullet indent 2"/>
    <w:basedOn w:val="Normal"/>
    <w:rsid w:val="00EC28C9"/>
    <w:pPr>
      <w:numPr>
        <w:numId w:val="13"/>
      </w:numPr>
      <w:spacing w:after="120"/>
      <w:jc w:val="both"/>
    </w:pPr>
    <w:rPr>
      <w:rFonts w:eastAsia="Times New Roman" w:cs="Times New Roman"/>
      <w:szCs w:val="20"/>
    </w:rPr>
  </w:style>
  <w:style w:type="paragraph" w:customStyle="1" w:styleId="PADashList">
    <w:name w:val="PA Dash List"/>
    <w:basedOn w:val="Normal"/>
    <w:rsid w:val="00EC28C9"/>
    <w:pPr>
      <w:numPr>
        <w:numId w:val="14"/>
      </w:numPr>
      <w:spacing w:after="120"/>
      <w:jc w:val="both"/>
    </w:pPr>
    <w:rPr>
      <w:rFonts w:eastAsia="Times New Roman" w:cs="Times New Roman"/>
      <w:szCs w:val="20"/>
      <w:lang w:val="fr-FR"/>
    </w:rPr>
  </w:style>
  <w:style w:type="paragraph" w:customStyle="1" w:styleId="PADashListindent05">
    <w:name w:val="PA Dash List indent 0.5"/>
    <w:basedOn w:val="Normal"/>
    <w:rsid w:val="00EC28C9"/>
    <w:pPr>
      <w:numPr>
        <w:numId w:val="15"/>
      </w:numPr>
      <w:spacing w:after="120"/>
      <w:jc w:val="both"/>
    </w:pPr>
    <w:rPr>
      <w:rFonts w:eastAsia="Times New Roman" w:cs="Times New Roman"/>
      <w:szCs w:val="20"/>
      <w:lang w:val="fr-FR"/>
    </w:rPr>
  </w:style>
  <w:style w:type="paragraph" w:customStyle="1" w:styleId="PADashListindent1">
    <w:name w:val="PA Dash List indent 1"/>
    <w:basedOn w:val="Normal"/>
    <w:rsid w:val="00EC28C9"/>
    <w:pPr>
      <w:numPr>
        <w:numId w:val="16"/>
      </w:numPr>
      <w:spacing w:after="120"/>
      <w:jc w:val="both"/>
    </w:pPr>
    <w:rPr>
      <w:rFonts w:eastAsia="Times New Roman" w:cs="Times New Roman"/>
      <w:szCs w:val="20"/>
      <w:lang w:val="fr-FR"/>
    </w:rPr>
  </w:style>
  <w:style w:type="paragraph" w:customStyle="1" w:styleId="PADashListindent15">
    <w:name w:val="PA Dash List indent 1.5"/>
    <w:basedOn w:val="Normal"/>
    <w:rsid w:val="00EC28C9"/>
    <w:pPr>
      <w:numPr>
        <w:numId w:val="17"/>
      </w:numPr>
      <w:spacing w:after="120"/>
      <w:jc w:val="both"/>
    </w:pPr>
    <w:rPr>
      <w:rFonts w:eastAsia="Times New Roman" w:cs="Times New Roman"/>
      <w:szCs w:val="20"/>
      <w:lang w:val="fr-FR"/>
    </w:rPr>
  </w:style>
  <w:style w:type="paragraph" w:customStyle="1" w:styleId="PADashListindent2">
    <w:name w:val="PA Dash List indent 2"/>
    <w:basedOn w:val="Normal"/>
    <w:rsid w:val="00EC28C9"/>
    <w:pPr>
      <w:numPr>
        <w:numId w:val="18"/>
      </w:numPr>
      <w:spacing w:after="120"/>
      <w:jc w:val="both"/>
    </w:pPr>
    <w:rPr>
      <w:rFonts w:eastAsia="Times New Roman" w:cs="Times New Roman"/>
      <w:szCs w:val="20"/>
      <w:lang w:val="fr-FR"/>
    </w:rPr>
  </w:style>
  <w:style w:type="paragraph" w:customStyle="1" w:styleId="PANumList">
    <w:name w:val="PA Num List"/>
    <w:basedOn w:val="Normal"/>
    <w:rsid w:val="00EC28C9"/>
    <w:pPr>
      <w:numPr>
        <w:numId w:val="19"/>
      </w:numPr>
      <w:spacing w:after="120"/>
      <w:jc w:val="both"/>
    </w:pPr>
    <w:rPr>
      <w:rFonts w:eastAsia="Times New Roman" w:cs="Times New Roman"/>
      <w:szCs w:val="20"/>
      <w:lang w:val="fr-FR"/>
    </w:rPr>
  </w:style>
  <w:style w:type="paragraph" w:customStyle="1" w:styleId="PANumListindent05">
    <w:name w:val="PA Num List indent 0.5"/>
    <w:basedOn w:val="Normal"/>
    <w:rsid w:val="00EC28C9"/>
    <w:pPr>
      <w:numPr>
        <w:numId w:val="20"/>
      </w:numPr>
      <w:spacing w:after="120"/>
      <w:jc w:val="both"/>
    </w:pPr>
    <w:rPr>
      <w:rFonts w:eastAsia="Times New Roman" w:cs="Times New Roman"/>
      <w:szCs w:val="20"/>
      <w:lang w:val="fr-FR"/>
    </w:rPr>
  </w:style>
  <w:style w:type="paragraph" w:customStyle="1" w:styleId="PANumListindent1">
    <w:name w:val="PA Num List indent 1"/>
    <w:basedOn w:val="Normal"/>
    <w:rsid w:val="00EC28C9"/>
    <w:pPr>
      <w:numPr>
        <w:numId w:val="21"/>
      </w:numPr>
      <w:spacing w:after="120"/>
      <w:jc w:val="both"/>
    </w:pPr>
    <w:rPr>
      <w:rFonts w:eastAsia="Times New Roman" w:cs="Times New Roman"/>
      <w:szCs w:val="20"/>
      <w:lang w:val="fr-FR"/>
    </w:rPr>
  </w:style>
  <w:style w:type="paragraph" w:customStyle="1" w:styleId="PANumListindent15">
    <w:name w:val="PA Num List indent 1.5"/>
    <w:basedOn w:val="Normal"/>
    <w:rsid w:val="00EC28C9"/>
    <w:pPr>
      <w:numPr>
        <w:numId w:val="22"/>
      </w:numPr>
      <w:spacing w:after="120"/>
      <w:jc w:val="both"/>
    </w:pPr>
    <w:rPr>
      <w:rFonts w:eastAsia="Times New Roman" w:cs="Times New Roman"/>
      <w:szCs w:val="20"/>
      <w:lang w:val="fr-FR"/>
    </w:rPr>
  </w:style>
  <w:style w:type="paragraph" w:customStyle="1" w:styleId="PANumListindent2">
    <w:name w:val="PA Num List indent 2"/>
    <w:basedOn w:val="Normal"/>
    <w:rsid w:val="00EC28C9"/>
    <w:pPr>
      <w:numPr>
        <w:numId w:val="23"/>
      </w:numPr>
      <w:spacing w:after="120"/>
      <w:jc w:val="both"/>
    </w:pPr>
    <w:rPr>
      <w:rFonts w:eastAsia="Times New Roman" w:cs="Times New Roman"/>
      <w:szCs w:val="20"/>
      <w:lang w:val="fr-FR"/>
    </w:rPr>
  </w:style>
  <w:style w:type="paragraph" w:customStyle="1" w:styleId="PARomanList">
    <w:name w:val="PA Roman List"/>
    <w:basedOn w:val="Normal"/>
    <w:rsid w:val="00EC28C9"/>
    <w:pPr>
      <w:numPr>
        <w:numId w:val="24"/>
      </w:numPr>
      <w:spacing w:after="120"/>
      <w:jc w:val="both"/>
    </w:pPr>
    <w:rPr>
      <w:rFonts w:eastAsia="Times New Roman" w:cs="Times New Roman"/>
      <w:szCs w:val="20"/>
      <w:lang w:val="fr-FR"/>
    </w:rPr>
  </w:style>
  <w:style w:type="paragraph" w:customStyle="1" w:styleId="PARomanListindent05">
    <w:name w:val="PA Roman List indent 0.5"/>
    <w:basedOn w:val="Normal"/>
    <w:rsid w:val="00EC28C9"/>
    <w:pPr>
      <w:numPr>
        <w:numId w:val="25"/>
      </w:numPr>
      <w:spacing w:after="120"/>
      <w:jc w:val="both"/>
    </w:pPr>
    <w:rPr>
      <w:rFonts w:eastAsia="Times New Roman" w:cs="Times New Roman"/>
      <w:szCs w:val="20"/>
      <w:lang w:val="fr-FR"/>
    </w:rPr>
  </w:style>
  <w:style w:type="paragraph" w:customStyle="1" w:styleId="PARomanListindent1">
    <w:name w:val="PA Roman List indent 1"/>
    <w:basedOn w:val="Normal"/>
    <w:rsid w:val="00EC28C9"/>
    <w:pPr>
      <w:numPr>
        <w:numId w:val="26"/>
      </w:numPr>
      <w:spacing w:after="120"/>
      <w:jc w:val="both"/>
    </w:pPr>
    <w:rPr>
      <w:rFonts w:eastAsia="Times New Roman" w:cs="Times New Roman"/>
      <w:szCs w:val="20"/>
      <w:lang w:val="fr-FR"/>
    </w:rPr>
  </w:style>
  <w:style w:type="paragraph" w:customStyle="1" w:styleId="PARomanListindent15">
    <w:name w:val="PA Roman List indent 1.5"/>
    <w:basedOn w:val="Normal"/>
    <w:rsid w:val="00EC28C9"/>
    <w:pPr>
      <w:numPr>
        <w:numId w:val="27"/>
      </w:numPr>
      <w:spacing w:after="120"/>
      <w:jc w:val="both"/>
    </w:pPr>
    <w:rPr>
      <w:rFonts w:eastAsia="Times New Roman" w:cs="Times New Roman"/>
      <w:szCs w:val="20"/>
      <w:lang w:val="fr-FR"/>
    </w:rPr>
  </w:style>
  <w:style w:type="paragraph" w:customStyle="1" w:styleId="PARomanListindent2">
    <w:name w:val="PA Roman List indent 2"/>
    <w:basedOn w:val="Normal"/>
    <w:rsid w:val="00EC28C9"/>
    <w:pPr>
      <w:numPr>
        <w:numId w:val="28"/>
      </w:numPr>
      <w:spacing w:after="120"/>
      <w:jc w:val="both"/>
    </w:pPr>
    <w:rPr>
      <w:rFonts w:eastAsia="Times New Roman" w:cs="Times New Roman"/>
      <w:szCs w:val="20"/>
      <w:lang w:val="fr-FR"/>
    </w:rPr>
  </w:style>
  <w:style w:type="paragraph" w:customStyle="1" w:styleId="Logo">
    <w:name w:val="Logo"/>
    <w:basedOn w:val="Header"/>
    <w:uiPriority w:val="99"/>
    <w:qFormat/>
    <w:rsid w:val="00503A62"/>
    <w:pPr>
      <w:spacing w:line="1000" w:lineRule="exact"/>
      <w:jc w:val="center"/>
    </w:pPr>
    <w:rPr>
      <w:rFonts w:eastAsia="Times New Roman" w:cs="Times New Roman"/>
    </w:rPr>
  </w:style>
  <w:style w:type="paragraph" w:customStyle="1" w:styleId="Logo2">
    <w:name w:val="Logo2"/>
    <w:basedOn w:val="Logo"/>
    <w:uiPriority w:val="99"/>
    <w:semiHidden/>
    <w:qFormat/>
    <w:rsid w:val="00503A62"/>
    <w:pPr>
      <w:spacing w:before="240" w:after="400" w:line="240" w:lineRule="auto"/>
    </w:pPr>
  </w:style>
  <w:style w:type="paragraph" w:customStyle="1" w:styleId="Logo3">
    <w:name w:val="Logo3"/>
    <w:basedOn w:val="Normal"/>
    <w:uiPriority w:val="99"/>
    <w:semiHidden/>
    <w:qFormat/>
    <w:rsid w:val="00503A62"/>
    <w:pPr>
      <w:jc w:val="center"/>
    </w:pPr>
    <w:rPr>
      <w:smallCaps/>
      <w:spacing w:val="10"/>
      <w:sz w:val="19"/>
    </w:rPr>
  </w:style>
  <w:style w:type="paragraph" w:styleId="BalloonText">
    <w:name w:val="Balloon Text"/>
    <w:basedOn w:val="Normal"/>
    <w:link w:val="BalloonTextChar"/>
    <w:uiPriority w:val="99"/>
    <w:semiHidden/>
    <w:unhideWhenUsed/>
    <w:rsid w:val="00162E0C"/>
    <w:rPr>
      <w:rFonts w:ascii="Tahoma" w:hAnsi="Tahoma" w:cs="Tahoma"/>
      <w:sz w:val="16"/>
      <w:szCs w:val="16"/>
    </w:rPr>
  </w:style>
  <w:style w:type="character" w:customStyle="1" w:styleId="BalloonTextChar">
    <w:name w:val="Balloon Text Char"/>
    <w:basedOn w:val="DefaultParagraphFont"/>
    <w:link w:val="BalloonText"/>
    <w:uiPriority w:val="99"/>
    <w:semiHidden/>
    <w:rsid w:val="00162E0C"/>
    <w:rPr>
      <w:rFonts w:ascii="Tahoma" w:hAnsi="Tahoma" w:cs="Tahoma"/>
      <w:sz w:val="16"/>
      <w:szCs w:val="16"/>
      <w:lang w:val="en-GB"/>
    </w:rPr>
  </w:style>
  <w:style w:type="paragraph" w:styleId="Bibliography">
    <w:name w:val="Bibliography"/>
    <w:basedOn w:val="Normal"/>
    <w:next w:val="Normal"/>
    <w:uiPriority w:val="37"/>
    <w:semiHidden/>
    <w:unhideWhenUsed/>
    <w:rsid w:val="00162E0C"/>
  </w:style>
  <w:style w:type="paragraph" w:styleId="BodyTextFirstIndent">
    <w:name w:val="Body Text First Indent"/>
    <w:basedOn w:val="BodyText"/>
    <w:link w:val="BodyTextFirstIndentChar"/>
    <w:uiPriority w:val="99"/>
    <w:semiHidden/>
    <w:unhideWhenUsed/>
    <w:rsid w:val="00162E0C"/>
    <w:pPr>
      <w:spacing w:after="0"/>
      <w:ind w:firstLine="360"/>
    </w:pPr>
  </w:style>
  <w:style w:type="character" w:customStyle="1" w:styleId="BodyTextFirstIndentChar">
    <w:name w:val="Body Text First Indent Char"/>
    <w:basedOn w:val="BodyTextChar"/>
    <w:link w:val="BodyTextFirstIndent"/>
    <w:uiPriority w:val="99"/>
    <w:semiHidden/>
    <w:rsid w:val="00162E0C"/>
    <w:rPr>
      <w:lang w:val="en-GB"/>
    </w:rPr>
  </w:style>
  <w:style w:type="paragraph" w:styleId="BodyTextIndent">
    <w:name w:val="Body Text Indent"/>
    <w:basedOn w:val="Normal"/>
    <w:link w:val="BodyTextIndentChar"/>
    <w:uiPriority w:val="99"/>
    <w:semiHidden/>
    <w:unhideWhenUsed/>
    <w:rsid w:val="00162E0C"/>
    <w:pPr>
      <w:spacing w:after="120"/>
      <w:ind w:left="283"/>
    </w:pPr>
  </w:style>
  <w:style w:type="character" w:customStyle="1" w:styleId="BodyTextIndentChar">
    <w:name w:val="Body Text Indent Char"/>
    <w:basedOn w:val="DefaultParagraphFont"/>
    <w:link w:val="BodyTextIndent"/>
    <w:uiPriority w:val="99"/>
    <w:semiHidden/>
    <w:rsid w:val="00162E0C"/>
    <w:rPr>
      <w:lang w:val="en-GB"/>
    </w:rPr>
  </w:style>
  <w:style w:type="paragraph" w:styleId="BodyTextFirstIndent2">
    <w:name w:val="Body Text First Indent 2"/>
    <w:basedOn w:val="BodyTextIndent"/>
    <w:link w:val="BodyTextFirstIndent2Char"/>
    <w:uiPriority w:val="99"/>
    <w:semiHidden/>
    <w:unhideWhenUsed/>
    <w:rsid w:val="00162E0C"/>
    <w:pPr>
      <w:spacing w:after="0"/>
      <w:ind w:left="360" w:firstLine="360"/>
    </w:pPr>
  </w:style>
  <w:style w:type="character" w:customStyle="1" w:styleId="BodyTextFirstIndent2Char">
    <w:name w:val="Body Text First Indent 2 Char"/>
    <w:basedOn w:val="BodyTextIndentChar"/>
    <w:link w:val="BodyTextFirstIndent2"/>
    <w:uiPriority w:val="99"/>
    <w:semiHidden/>
    <w:rsid w:val="00162E0C"/>
    <w:rPr>
      <w:lang w:val="en-GB"/>
    </w:rPr>
  </w:style>
  <w:style w:type="paragraph" w:styleId="BodyTextIndent2">
    <w:name w:val="Body Text Indent 2"/>
    <w:basedOn w:val="Normal"/>
    <w:link w:val="BodyTextIndent2Char"/>
    <w:uiPriority w:val="99"/>
    <w:semiHidden/>
    <w:unhideWhenUsed/>
    <w:rsid w:val="00162E0C"/>
    <w:pPr>
      <w:spacing w:after="120" w:line="480" w:lineRule="auto"/>
      <w:ind w:left="283"/>
    </w:pPr>
  </w:style>
  <w:style w:type="character" w:customStyle="1" w:styleId="BodyTextIndent2Char">
    <w:name w:val="Body Text Indent 2 Char"/>
    <w:basedOn w:val="DefaultParagraphFont"/>
    <w:link w:val="BodyTextIndent2"/>
    <w:uiPriority w:val="99"/>
    <w:semiHidden/>
    <w:rsid w:val="00162E0C"/>
    <w:rPr>
      <w:lang w:val="en-GB"/>
    </w:rPr>
  </w:style>
  <w:style w:type="paragraph" w:styleId="BodyTextIndent3">
    <w:name w:val="Body Text Indent 3"/>
    <w:basedOn w:val="Normal"/>
    <w:link w:val="BodyTextIndent3Char"/>
    <w:uiPriority w:val="99"/>
    <w:semiHidden/>
    <w:unhideWhenUsed/>
    <w:rsid w:val="00162E0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62E0C"/>
    <w:rPr>
      <w:sz w:val="16"/>
      <w:szCs w:val="16"/>
      <w:lang w:val="en-GB"/>
    </w:rPr>
  </w:style>
  <w:style w:type="character" w:styleId="BookTitle">
    <w:name w:val="Book Title"/>
    <w:basedOn w:val="DefaultParagraphFont"/>
    <w:uiPriority w:val="33"/>
    <w:qFormat/>
    <w:rsid w:val="00162E0C"/>
    <w:rPr>
      <w:b/>
      <w:bCs/>
      <w:smallCaps/>
      <w:spacing w:val="5"/>
    </w:rPr>
  </w:style>
  <w:style w:type="paragraph" w:styleId="Caption">
    <w:name w:val="caption"/>
    <w:basedOn w:val="Normal"/>
    <w:next w:val="Normal"/>
    <w:uiPriority w:val="35"/>
    <w:semiHidden/>
    <w:unhideWhenUsed/>
    <w:qFormat/>
    <w:rsid w:val="00162E0C"/>
    <w:pPr>
      <w:spacing w:after="200"/>
    </w:pPr>
    <w:rPr>
      <w:b/>
      <w:bCs/>
      <w:color w:val="4F81BD" w:themeColor="accent1"/>
      <w:sz w:val="18"/>
      <w:szCs w:val="18"/>
    </w:rPr>
  </w:style>
  <w:style w:type="paragraph" w:styleId="Closing">
    <w:name w:val="Closing"/>
    <w:basedOn w:val="Normal"/>
    <w:link w:val="ClosingChar"/>
    <w:uiPriority w:val="99"/>
    <w:semiHidden/>
    <w:unhideWhenUsed/>
    <w:rsid w:val="00162E0C"/>
    <w:pPr>
      <w:ind w:left="4252"/>
    </w:pPr>
  </w:style>
  <w:style w:type="character" w:customStyle="1" w:styleId="ClosingChar">
    <w:name w:val="Closing Char"/>
    <w:basedOn w:val="DefaultParagraphFont"/>
    <w:link w:val="Closing"/>
    <w:uiPriority w:val="99"/>
    <w:semiHidden/>
    <w:rsid w:val="00162E0C"/>
    <w:rPr>
      <w:lang w:val="en-GB"/>
    </w:rPr>
  </w:style>
  <w:style w:type="character" w:styleId="CommentReference">
    <w:name w:val="annotation reference"/>
    <w:basedOn w:val="DefaultParagraphFont"/>
    <w:uiPriority w:val="99"/>
    <w:semiHidden/>
    <w:unhideWhenUsed/>
    <w:rsid w:val="00162E0C"/>
    <w:rPr>
      <w:sz w:val="16"/>
      <w:szCs w:val="16"/>
    </w:rPr>
  </w:style>
  <w:style w:type="paragraph" w:styleId="CommentText">
    <w:name w:val="annotation text"/>
    <w:basedOn w:val="Normal"/>
    <w:link w:val="CommentTextChar"/>
    <w:uiPriority w:val="99"/>
    <w:unhideWhenUsed/>
    <w:rsid w:val="00162E0C"/>
    <w:rPr>
      <w:sz w:val="20"/>
      <w:szCs w:val="20"/>
    </w:rPr>
  </w:style>
  <w:style w:type="character" w:customStyle="1" w:styleId="CommentTextChar">
    <w:name w:val="Comment Text Char"/>
    <w:basedOn w:val="DefaultParagraphFont"/>
    <w:link w:val="CommentText"/>
    <w:uiPriority w:val="99"/>
    <w:rsid w:val="00162E0C"/>
    <w:rPr>
      <w:sz w:val="20"/>
      <w:szCs w:val="20"/>
      <w:lang w:val="en-GB"/>
    </w:rPr>
  </w:style>
  <w:style w:type="paragraph" w:styleId="CommentSubject">
    <w:name w:val="annotation subject"/>
    <w:basedOn w:val="CommentText"/>
    <w:next w:val="CommentText"/>
    <w:link w:val="CommentSubjectChar"/>
    <w:uiPriority w:val="99"/>
    <w:semiHidden/>
    <w:unhideWhenUsed/>
    <w:rsid w:val="00162E0C"/>
    <w:rPr>
      <w:b/>
      <w:bCs/>
    </w:rPr>
  </w:style>
  <w:style w:type="character" w:customStyle="1" w:styleId="CommentSubjectChar">
    <w:name w:val="Comment Subject Char"/>
    <w:basedOn w:val="CommentTextChar"/>
    <w:link w:val="CommentSubject"/>
    <w:uiPriority w:val="99"/>
    <w:semiHidden/>
    <w:rsid w:val="00162E0C"/>
    <w:rPr>
      <w:b/>
      <w:bCs/>
      <w:sz w:val="20"/>
      <w:szCs w:val="20"/>
      <w:lang w:val="en-GB"/>
    </w:rPr>
  </w:style>
  <w:style w:type="paragraph" w:styleId="DocumentMap">
    <w:name w:val="Document Map"/>
    <w:basedOn w:val="Normal"/>
    <w:link w:val="DocumentMapChar"/>
    <w:uiPriority w:val="99"/>
    <w:semiHidden/>
    <w:unhideWhenUsed/>
    <w:rsid w:val="00162E0C"/>
    <w:rPr>
      <w:rFonts w:ascii="Tahoma" w:hAnsi="Tahoma" w:cs="Tahoma"/>
      <w:sz w:val="16"/>
      <w:szCs w:val="16"/>
    </w:rPr>
  </w:style>
  <w:style w:type="character" w:customStyle="1" w:styleId="DocumentMapChar">
    <w:name w:val="Document Map Char"/>
    <w:basedOn w:val="DefaultParagraphFont"/>
    <w:link w:val="DocumentMap"/>
    <w:uiPriority w:val="99"/>
    <w:semiHidden/>
    <w:rsid w:val="00162E0C"/>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162E0C"/>
  </w:style>
  <w:style w:type="character" w:customStyle="1" w:styleId="E-mailSignatureChar">
    <w:name w:val="E-mail Signature Char"/>
    <w:basedOn w:val="DefaultParagraphFont"/>
    <w:link w:val="E-mailSignature"/>
    <w:uiPriority w:val="99"/>
    <w:semiHidden/>
    <w:rsid w:val="00162E0C"/>
    <w:rPr>
      <w:lang w:val="en-GB"/>
    </w:rPr>
  </w:style>
  <w:style w:type="character" w:styleId="Emphasis">
    <w:name w:val="Emphasis"/>
    <w:basedOn w:val="DefaultParagraphFont"/>
    <w:uiPriority w:val="20"/>
    <w:qFormat/>
    <w:rsid w:val="00162E0C"/>
    <w:rPr>
      <w:i/>
      <w:iCs/>
    </w:rPr>
  </w:style>
  <w:style w:type="character" w:styleId="EndnoteReference">
    <w:name w:val="endnote reference"/>
    <w:basedOn w:val="DefaultParagraphFont"/>
    <w:uiPriority w:val="99"/>
    <w:semiHidden/>
    <w:unhideWhenUsed/>
    <w:rsid w:val="00162E0C"/>
    <w:rPr>
      <w:vertAlign w:val="superscript"/>
    </w:rPr>
  </w:style>
  <w:style w:type="character" w:styleId="FollowedHyperlink">
    <w:name w:val="FollowedHyperlink"/>
    <w:basedOn w:val="DefaultParagraphFont"/>
    <w:uiPriority w:val="99"/>
    <w:semiHidden/>
    <w:unhideWhenUsed/>
    <w:rsid w:val="00162E0C"/>
    <w:rPr>
      <w:color w:val="800080" w:themeColor="followedHyperlink"/>
      <w:u w:val="single"/>
    </w:rPr>
  </w:style>
  <w:style w:type="character" w:styleId="FootnoteReference">
    <w:name w:val="footnote reference"/>
    <w:basedOn w:val="DefaultParagraphFont"/>
    <w:uiPriority w:val="99"/>
    <w:semiHidden/>
    <w:unhideWhenUsed/>
    <w:rsid w:val="00162E0C"/>
    <w:rPr>
      <w:vertAlign w:val="superscript"/>
    </w:rPr>
  </w:style>
  <w:style w:type="character" w:styleId="HTMLAcronym">
    <w:name w:val="HTML Acronym"/>
    <w:basedOn w:val="DefaultParagraphFont"/>
    <w:uiPriority w:val="99"/>
    <w:semiHidden/>
    <w:unhideWhenUsed/>
    <w:rsid w:val="00162E0C"/>
  </w:style>
  <w:style w:type="paragraph" w:styleId="HTMLAddress">
    <w:name w:val="HTML Address"/>
    <w:basedOn w:val="Normal"/>
    <w:link w:val="HTMLAddressChar"/>
    <w:uiPriority w:val="99"/>
    <w:semiHidden/>
    <w:unhideWhenUsed/>
    <w:rsid w:val="00162E0C"/>
    <w:rPr>
      <w:i/>
      <w:iCs/>
    </w:rPr>
  </w:style>
  <w:style w:type="character" w:customStyle="1" w:styleId="HTMLAddressChar">
    <w:name w:val="HTML Address Char"/>
    <w:basedOn w:val="DefaultParagraphFont"/>
    <w:link w:val="HTMLAddress"/>
    <w:uiPriority w:val="99"/>
    <w:semiHidden/>
    <w:rsid w:val="00162E0C"/>
    <w:rPr>
      <w:i/>
      <w:iCs/>
      <w:lang w:val="en-GB"/>
    </w:rPr>
  </w:style>
  <w:style w:type="character" w:styleId="HTMLCite">
    <w:name w:val="HTML Cite"/>
    <w:basedOn w:val="DefaultParagraphFont"/>
    <w:uiPriority w:val="99"/>
    <w:semiHidden/>
    <w:unhideWhenUsed/>
    <w:rsid w:val="00162E0C"/>
    <w:rPr>
      <w:i/>
      <w:iCs/>
    </w:rPr>
  </w:style>
  <w:style w:type="character" w:styleId="HTMLCode">
    <w:name w:val="HTML Code"/>
    <w:basedOn w:val="DefaultParagraphFont"/>
    <w:uiPriority w:val="99"/>
    <w:semiHidden/>
    <w:unhideWhenUsed/>
    <w:rsid w:val="00162E0C"/>
    <w:rPr>
      <w:rFonts w:ascii="Consolas" w:hAnsi="Consolas" w:cs="Consolas"/>
      <w:sz w:val="20"/>
      <w:szCs w:val="20"/>
    </w:rPr>
  </w:style>
  <w:style w:type="character" w:styleId="HTMLDefinition">
    <w:name w:val="HTML Definition"/>
    <w:basedOn w:val="DefaultParagraphFont"/>
    <w:uiPriority w:val="99"/>
    <w:semiHidden/>
    <w:unhideWhenUsed/>
    <w:rsid w:val="00162E0C"/>
    <w:rPr>
      <w:i/>
      <w:iCs/>
    </w:rPr>
  </w:style>
  <w:style w:type="character" w:styleId="HTMLKeyboard">
    <w:name w:val="HTML Keyboard"/>
    <w:basedOn w:val="DefaultParagraphFont"/>
    <w:uiPriority w:val="99"/>
    <w:semiHidden/>
    <w:unhideWhenUsed/>
    <w:rsid w:val="00162E0C"/>
    <w:rPr>
      <w:rFonts w:ascii="Consolas" w:hAnsi="Consolas" w:cs="Consolas"/>
      <w:sz w:val="20"/>
      <w:szCs w:val="20"/>
    </w:rPr>
  </w:style>
  <w:style w:type="paragraph" w:styleId="HTMLPreformatted">
    <w:name w:val="HTML Preformatted"/>
    <w:basedOn w:val="Normal"/>
    <w:link w:val="HTMLPreformattedChar"/>
    <w:uiPriority w:val="99"/>
    <w:semiHidden/>
    <w:unhideWhenUsed/>
    <w:rsid w:val="00162E0C"/>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62E0C"/>
    <w:rPr>
      <w:rFonts w:ascii="Consolas" w:hAnsi="Consolas" w:cs="Consolas"/>
      <w:sz w:val="20"/>
      <w:szCs w:val="20"/>
      <w:lang w:val="en-GB"/>
    </w:rPr>
  </w:style>
  <w:style w:type="character" w:styleId="HTMLSample">
    <w:name w:val="HTML Sample"/>
    <w:basedOn w:val="DefaultParagraphFont"/>
    <w:uiPriority w:val="99"/>
    <w:semiHidden/>
    <w:unhideWhenUsed/>
    <w:rsid w:val="00162E0C"/>
    <w:rPr>
      <w:rFonts w:ascii="Consolas" w:hAnsi="Consolas" w:cs="Consolas"/>
      <w:sz w:val="24"/>
      <w:szCs w:val="24"/>
    </w:rPr>
  </w:style>
  <w:style w:type="character" w:styleId="HTMLTypewriter">
    <w:name w:val="HTML Typewriter"/>
    <w:basedOn w:val="DefaultParagraphFont"/>
    <w:uiPriority w:val="99"/>
    <w:semiHidden/>
    <w:unhideWhenUsed/>
    <w:rsid w:val="00162E0C"/>
    <w:rPr>
      <w:rFonts w:ascii="Consolas" w:hAnsi="Consolas" w:cs="Consolas"/>
      <w:sz w:val="20"/>
      <w:szCs w:val="20"/>
    </w:rPr>
  </w:style>
  <w:style w:type="character" w:styleId="HTMLVariable">
    <w:name w:val="HTML Variable"/>
    <w:basedOn w:val="DefaultParagraphFont"/>
    <w:uiPriority w:val="99"/>
    <w:semiHidden/>
    <w:unhideWhenUsed/>
    <w:rsid w:val="00162E0C"/>
    <w:rPr>
      <w:i/>
      <w:iCs/>
    </w:rPr>
  </w:style>
  <w:style w:type="character" w:styleId="Hyperlink">
    <w:name w:val="Hyperlink"/>
    <w:basedOn w:val="DefaultParagraphFont"/>
    <w:uiPriority w:val="99"/>
    <w:unhideWhenUsed/>
    <w:rsid w:val="00162E0C"/>
    <w:rPr>
      <w:color w:val="0000FF" w:themeColor="hyperlink"/>
      <w:u w:val="single"/>
    </w:rPr>
  </w:style>
  <w:style w:type="paragraph" w:styleId="Index2">
    <w:name w:val="index 2"/>
    <w:basedOn w:val="Normal"/>
    <w:next w:val="Normal"/>
    <w:autoRedefine/>
    <w:uiPriority w:val="99"/>
    <w:semiHidden/>
    <w:unhideWhenUsed/>
    <w:rsid w:val="00162E0C"/>
    <w:pPr>
      <w:ind w:left="480" w:hanging="240"/>
    </w:pPr>
  </w:style>
  <w:style w:type="paragraph" w:styleId="Index3">
    <w:name w:val="index 3"/>
    <w:basedOn w:val="Normal"/>
    <w:next w:val="Normal"/>
    <w:autoRedefine/>
    <w:uiPriority w:val="99"/>
    <w:semiHidden/>
    <w:unhideWhenUsed/>
    <w:rsid w:val="00162E0C"/>
    <w:pPr>
      <w:ind w:left="720" w:hanging="240"/>
    </w:pPr>
  </w:style>
  <w:style w:type="paragraph" w:styleId="Index4">
    <w:name w:val="index 4"/>
    <w:basedOn w:val="Normal"/>
    <w:next w:val="Normal"/>
    <w:autoRedefine/>
    <w:uiPriority w:val="99"/>
    <w:semiHidden/>
    <w:unhideWhenUsed/>
    <w:rsid w:val="00162E0C"/>
    <w:pPr>
      <w:ind w:left="960" w:hanging="240"/>
    </w:pPr>
  </w:style>
  <w:style w:type="paragraph" w:styleId="Index5">
    <w:name w:val="index 5"/>
    <w:basedOn w:val="Normal"/>
    <w:next w:val="Normal"/>
    <w:autoRedefine/>
    <w:uiPriority w:val="99"/>
    <w:semiHidden/>
    <w:unhideWhenUsed/>
    <w:rsid w:val="00162E0C"/>
    <w:pPr>
      <w:ind w:left="1200" w:hanging="240"/>
    </w:pPr>
  </w:style>
  <w:style w:type="paragraph" w:styleId="Index6">
    <w:name w:val="index 6"/>
    <w:basedOn w:val="Normal"/>
    <w:next w:val="Normal"/>
    <w:autoRedefine/>
    <w:uiPriority w:val="99"/>
    <w:semiHidden/>
    <w:unhideWhenUsed/>
    <w:rsid w:val="00162E0C"/>
    <w:pPr>
      <w:ind w:left="1440" w:hanging="240"/>
    </w:pPr>
  </w:style>
  <w:style w:type="paragraph" w:styleId="Index7">
    <w:name w:val="index 7"/>
    <w:basedOn w:val="Normal"/>
    <w:next w:val="Normal"/>
    <w:autoRedefine/>
    <w:uiPriority w:val="99"/>
    <w:semiHidden/>
    <w:unhideWhenUsed/>
    <w:rsid w:val="00162E0C"/>
    <w:pPr>
      <w:ind w:left="1680" w:hanging="240"/>
    </w:pPr>
  </w:style>
  <w:style w:type="paragraph" w:styleId="Index8">
    <w:name w:val="index 8"/>
    <w:basedOn w:val="Normal"/>
    <w:next w:val="Normal"/>
    <w:autoRedefine/>
    <w:uiPriority w:val="99"/>
    <w:semiHidden/>
    <w:unhideWhenUsed/>
    <w:rsid w:val="00162E0C"/>
    <w:pPr>
      <w:ind w:left="1920" w:hanging="240"/>
    </w:pPr>
  </w:style>
  <w:style w:type="paragraph" w:styleId="Index9">
    <w:name w:val="index 9"/>
    <w:basedOn w:val="Normal"/>
    <w:next w:val="Normal"/>
    <w:autoRedefine/>
    <w:uiPriority w:val="99"/>
    <w:semiHidden/>
    <w:unhideWhenUsed/>
    <w:rsid w:val="00162E0C"/>
    <w:pPr>
      <w:ind w:left="2160" w:hanging="240"/>
    </w:pPr>
  </w:style>
  <w:style w:type="character" w:styleId="IntenseEmphasis">
    <w:name w:val="Intense Emphasis"/>
    <w:basedOn w:val="DefaultParagraphFont"/>
    <w:uiPriority w:val="21"/>
    <w:qFormat/>
    <w:rsid w:val="00162E0C"/>
    <w:rPr>
      <w:b/>
      <w:bCs/>
      <w:i/>
      <w:iCs/>
      <w:color w:val="4F81BD" w:themeColor="accent1"/>
    </w:rPr>
  </w:style>
  <w:style w:type="paragraph" w:styleId="IntenseQuote">
    <w:name w:val="Intense Quote"/>
    <w:basedOn w:val="Normal"/>
    <w:next w:val="Normal"/>
    <w:link w:val="IntenseQuoteChar"/>
    <w:uiPriority w:val="30"/>
    <w:qFormat/>
    <w:rsid w:val="00162E0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62E0C"/>
    <w:rPr>
      <w:b/>
      <w:bCs/>
      <w:i/>
      <w:iCs/>
      <w:color w:val="4F81BD" w:themeColor="accent1"/>
      <w:lang w:val="en-GB"/>
    </w:rPr>
  </w:style>
  <w:style w:type="character" w:styleId="IntenseReference">
    <w:name w:val="Intense Reference"/>
    <w:basedOn w:val="DefaultParagraphFont"/>
    <w:uiPriority w:val="32"/>
    <w:qFormat/>
    <w:rsid w:val="00162E0C"/>
    <w:rPr>
      <w:b/>
      <w:bCs/>
      <w:smallCaps/>
      <w:color w:val="C0504D" w:themeColor="accent2"/>
      <w:spacing w:val="5"/>
      <w:u w:val="single"/>
    </w:rPr>
  </w:style>
  <w:style w:type="character" w:styleId="LineNumber">
    <w:name w:val="line number"/>
    <w:basedOn w:val="DefaultParagraphFont"/>
    <w:uiPriority w:val="99"/>
    <w:semiHidden/>
    <w:unhideWhenUsed/>
    <w:rsid w:val="00162E0C"/>
  </w:style>
  <w:style w:type="paragraph" w:styleId="MacroText">
    <w:name w:val="macro"/>
    <w:link w:val="MacroTextChar"/>
    <w:uiPriority w:val="99"/>
    <w:semiHidden/>
    <w:unhideWhenUsed/>
    <w:rsid w:val="00162E0C"/>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lang w:val="en-GB"/>
    </w:rPr>
  </w:style>
  <w:style w:type="character" w:customStyle="1" w:styleId="MacroTextChar">
    <w:name w:val="Macro Text Char"/>
    <w:basedOn w:val="DefaultParagraphFont"/>
    <w:link w:val="MacroText"/>
    <w:uiPriority w:val="99"/>
    <w:semiHidden/>
    <w:rsid w:val="00162E0C"/>
    <w:rPr>
      <w:rFonts w:ascii="Consolas" w:hAnsi="Consolas" w:cs="Consolas"/>
      <w:sz w:val="20"/>
      <w:szCs w:val="20"/>
      <w:lang w:val="en-GB"/>
    </w:rPr>
  </w:style>
  <w:style w:type="paragraph" w:styleId="NoSpacing">
    <w:name w:val="No Spacing"/>
    <w:uiPriority w:val="1"/>
    <w:qFormat/>
    <w:rsid w:val="00162E0C"/>
    <w:rPr>
      <w:lang w:val="en-GB"/>
    </w:rPr>
  </w:style>
  <w:style w:type="paragraph" w:styleId="NormalWeb">
    <w:name w:val="Normal (Web)"/>
    <w:basedOn w:val="Normal"/>
    <w:uiPriority w:val="99"/>
    <w:semiHidden/>
    <w:unhideWhenUsed/>
    <w:rsid w:val="00162E0C"/>
    <w:rPr>
      <w:rFonts w:cs="Times New Roman"/>
    </w:rPr>
  </w:style>
  <w:style w:type="paragraph" w:styleId="NormalIndent">
    <w:name w:val="Normal Indent"/>
    <w:basedOn w:val="Normal"/>
    <w:uiPriority w:val="99"/>
    <w:semiHidden/>
    <w:unhideWhenUsed/>
    <w:rsid w:val="00162E0C"/>
    <w:pPr>
      <w:ind w:left="720"/>
    </w:pPr>
  </w:style>
  <w:style w:type="paragraph" w:styleId="NoteHeading">
    <w:name w:val="Note Heading"/>
    <w:basedOn w:val="Normal"/>
    <w:next w:val="Normal"/>
    <w:link w:val="NoteHeadingChar"/>
    <w:uiPriority w:val="99"/>
    <w:semiHidden/>
    <w:unhideWhenUsed/>
    <w:rsid w:val="00162E0C"/>
  </w:style>
  <w:style w:type="character" w:customStyle="1" w:styleId="NoteHeadingChar">
    <w:name w:val="Note Heading Char"/>
    <w:basedOn w:val="DefaultParagraphFont"/>
    <w:link w:val="NoteHeading"/>
    <w:uiPriority w:val="99"/>
    <w:semiHidden/>
    <w:rsid w:val="00162E0C"/>
    <w:rPr>
      <w:lang w:val="en-GB"/>
    </w:rPr>
  </w:style>
  <w:style w:type="character" w:styleId="PageNumber">
    <w:name w:val="page number"/>
    <w:basedOn w:val="DefaultParagraphFont"/>
    <w:uiPriority w:val="99"/>
    <w:semiHidden/>
    <w:unhideWhenUsed/>
    <w:rsid w:val="00162E0C"/>
  </w:style>
  <w:style w:type="character" w:styleId="PlaceholderText">
    <w:name w:val="Placeholder Text"/>
    <w:basedOn w:val="DefaultParagraphFont"/>
    <w:uiPriority w:val="99"/>
    <w:semiHidden/>
    <w:rsid w:val="00162E0C"/>
    <w:rPr>
      <w:color w:val="808080"/>
    </w:rPr>
  </w:style>
  <w:style w:type="paragraph" w:styleId="PlainText">
    <w:name w:val="Plain Text"/>
    <w:basedOn w:val="Normal"/>
    <w:link w:val="PlainTextChar"/>
    <w:uiPriority w:val="99"/>
    <w:semiHidden/>
    <w:unhideWhenUsed/>
    <w:rsid w:val="00162E0C"/>
    <w:rPr>
      <w:rFonts w:ascii="Consolas" w:hAnsi="Consolas" w:cs="Consolas"/>
      <w:sz w:val="21"/>
      <w:szCs w:val="21"/>
    </w:rPr>
  </w:style>
  <w:style w:type="character" w:customStyle="1" w:styleId="PlainTextChar">
    <w:name w:val="Plain Text Char"/>
    <w:basedOn w:val="DefaultParagraphFont"/>
    <w:link w:val="PlainText"/>
    <w:uiPriority w:val="99"/>
    <w:semiHidden/>
    <w:rsid w:val="00162E0C"/>
    <w:rPr>
      <w:rFonts w:ascii="Consolas" w:hAnsi="Consolas" w:cs="Consolas"/>
      <w:sz w:val="21"/>
      <w:szCs w:val="21"/>
      <w:lang w:val="en-GB"/>
    </w:rPr>
  </w:style>
  <w:style w:type="paragraph" w:styleId="Quote">
    <w:name w:val="Quote"/>
    <w:basedOn w:val="Normal"/>
    <w:next w:val="Normal"/>
    <w:link w:val="QuoteChar"/>
    <w:uiPriority w:val="29"/>
    <w:unhideWhenUsed/>
    <w:qFormat/>
    <w:rsid w:val="00162E0C"/>
    <w:rPr>
      <w:i/>
      <w:iCs/>
      <w:color w:val="000000" w:themeColor="text1"/>
    </w:rPr>
  </w:style>
  <w:style w:type="character" w:customStyle="1" w:styleId="QuoteChar">
    <w:name w:val="Quote Char"/>
    <w:basedOn w:val="DefaultParagraphFont"/>
    <w:link w:val="Quote"/>
    <w:uiPriority w:val="29"/>
    <w:rsid w:val="00162E0C"/>
    <w:rPr>
      <w:i/>
      <w:iCs/>
      <w:color w:val="000000" w:themeColor="text1"/>
      <w:lang w:val="en-GB"/>
    </w:rPr>
  </w:style>
  <w:style w:type="paragraph" w:styleId="Salutation">
    <w:name w:val="Salutation"/>
    <w:basedOn w:val="Normal"/>
    <w:next w:val="Normal"/>
    <w:link w:val="SalutationChar"/>
    <w:uiPriority w:val="99"/>
    <w:semiHidden/>
    <w:unhideWhenUsed/>
    <w:rsid w:val="00162E0C"/>
  </w:style>
  <w:style w:type="character" w:customStyle="1" w:styleId="SalutationChar">
    <w:name w:val="Salutation Char"/>
    <w:basedOn w:val="DefaultParagraphFont"/>
    <w:link w:val="Salutation"/>
    <w:uiPriority w:val="99"/>
    <w:semiHidden/>
    <w:rsid w:val="00162E0C"/>
    <w:rPr>
      <w:lang w:val="en-GB"/>
    </w:rPr>
  </w:style>
  <w:style w:type="paragraph" w:styleId="Signature">
    <w:name w:val="Signature"/>
    <w:basedOn w:val="Normal"/>
    <w:link w:val="SignatureChar"/>
    <w:uiPriority w:val="99"/>
    <w:semiHidden/>
    <w:unhideWhenUsed/>
    <w:rsid w:val="00162E0C"/>
    <w:pPr>
      <w:ind w:left="4252"/>
    </w:pPr>
  </w:style>
  <w:style w:type="character" w:customStyle="1" w:styleId="SignatureChar">
    <w:name w:val="Signature Char"/>
    <w:basedOn w:val="DefaultParagraphFont"/>
    <w:link w:val="Signature"/>
    <w:uiPriority w:val="99"/>
    <w:semiHidden/>
    <w:rsid w:val="00162E0C"/>
    <w:rPr>
      <w:lang w:val="en-GB"/>
    </w:rPr>
  </w:style>
  <w:style w:type="character" w:styleId="Strong">
    <w:name w:val="Strong"/>
    <w:basedOn w:val="DefaultParagraphFont"/>
    <w:uiPriority w:val="22"/>
    <w:qFormat/>
    <w:rsid w:val="00162E0C"/>
    <w:rPr>
      <w:b/>
      <w:bCs/>
    </w:rPr>
  </w:style>
  <w:style w:type="character" w:styleId="SubtleEmphasis">
    <w:name w:val="Subtle Emphasis"/>
    <w:basedOn w:val="DefaultParagraphFont"/>
    <w:uiPriority w:val="19"/>
    <w:qFormat/>
    <w:rsid w:val="00162E0C"/>
    <w:rPr>
      <w:i/>
      <w:iCs/>
      <w:color w:val="808080" w:themeColor="text1" w:themeTint="7F"/>
    </w:rPr>
  </w:style>
  <w:style w:type="character" w:styleId="SubtleReference">
    <w:name w:val="Subtle Reference"/>
    <w:basedOn w:val="DefaultParagraphFont"/>
    <w:uiPriority w:val="31"/>
    <w:qFormat/>
    <w:rsid w:val="00162E0C"/>
    <w:rPr>
      <w:smallCaps/>
      <w:color w:val="C0504D" w:themeColor="accent2"/>
      <w:u w:val="single"/>
    </w:rPr>
  </w:style>
  <w:style w:type="paragraph" w:styleId="TableofAuthorities">
    <w:name w:val="table of authorities"/>
    <w:basedOn w:val="Normal"/>
    <w:next w:val="Normal"/>
    <w:uiPriority w:val="99"/>
    <w:semiHidden/>
    <w:unhideWhenUsed/>
    <w:rsid w:val="00162E0C"/>
    <w:pPr>
      <w:ind w:left="240" w:hanging="240"/>
    </w:pPr>
  </w:style>
  <w:style w:type="paragraph" w:styleId="TableofFigures">
    <w:name w:val="table of figures"/>
    <w:basedOn w:val="Normal"/>
    <w:next w:val="Normal"/>
    <w:uiPriority w:val="99"/>
    <w:semiHidden/>
    <w:unhideWhenUsed/>
    <w:rsid w:val="00162E0C"/>
  </w:style>
  <w:style w:type="table" w:styleId="TableGrid">
    <w:name w:val="Table Grid"/>
    <w:uiPriority w:val="59"/>
    <w:rsid w:val="00162E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anceNotesnumbering">
    <w:name w:val="Guidance Notes numbering"/>
    <w:basedOn w:val="Heading1"/>
    <w:qFormat/>
    <w:rsid w:val="002D0791"/>
    <w:pPr>
      <w:keepNext w:val="0"/>
      <w:numPr>
        <w:numId w:val="30"/>
      </w:numPr>
    </w:pPr>
    <w:rPr>
      <w:b w:val="0"/>
      <w:caps w:val="0"/>
    </w:rPr>
  </w:style>
  <w:style w:type="paragraph" w:customStyle="1" w:styleId="S2Heading1">
    <w:name w:val="S2.Heading 1"/>
    <w:basedOn w:val="Normal"/>
    <w:next w:val="S2Heading2"/>
    <w:link w:val="S2Heading1Char"/>
    <w:rsid w:val="00EE1673"/>
    <w:pPr>
      <w:keepNext/>
      <w:numPr>
        <w:numId w:val="58"/>
      </w:numPr>
      <w:spacing w:after="240"/>
      <w:jc w:val="both"/>
      <w:outlineLvl w:val="0"/>
    </w:pPr>
    <w:rPr>
      <w:rFonts w:cs="Times New Roman"/>
      <w:b/>
      <w:bCs/>
      <w:iCs/>
      <w:caps/>
      <w:color w:val="000000"/>
      <w:lang w:eastAsia="ja-JP"/>
    </w:rPr>
  </w:style>
  <w:style w:type="character" w:customStyle="1" w:styleId="S2Heading1Char">
    <w:name w:val="S2.Heading 1 Char"/>
    <w:basedOn w:val="DefaultParagraphFont"/>
    <w:link w:val="S2Heading1"/>
    <w:rsid w:val="00EE1673"/>
    <w:rPr>
      <w:rFonts w:cs="Times New Roman"/>
      <w:b/>
      <w:bCs/>
      <w:iCs/>
      <w:caps/>
      <w:color w:val="000000"/>
      <w:lang w:val="en-GB" w:eastAsia="ja-JP"/>
    </w:rPr>
  </w:style>
  <w:style w:type="paragraph" w:customStyle="1" w:styleId="S2Heading2">
    <w:name w:val="S2.Heading 2"/>
    <w:basedOn w:val="Normal"/>
    <w:link w:val="S2Heading2Char"/>
    <w:rsid w:val="00EE1673"/>
    <w:pPr>
      <w:keepNext/>
      <w:numPr>
        <w:ilvl w:val="1"/>
        <w:numId w:val="58"/>
      </w:numPr>
      <w:spacing w:after="240" w:line="246" w:lineRule="atLeast"/>
      <w:jc w:val="both"/>
      <w:outlineLvl w:val="1"/>
    </w:pPr>
    <w:rPr>
      <w:rFonts w:cs="Times New Roman"/>
      <w:bCs/>
      <w:iCs/>
      <w:lang w:eastAsia="ja-JP"/>
    </w:rPr>
  </w:style>
  <w:style w:type="character" w:customStyle="1" w:styleId="S2Heading2Char">
    <w:name w:val="S2.Heading 2 Char"/>
    <w:basedOn w:val="DefaultParagraphFont"/>
    <w:link w:val="S2Heading2"/>
    <w:rsid w:val="00EE1673"/>
    <w:rPr>
      <w:rFonts w:cs="Times New Roman"/>
      <w:bCs/>
      <w:iCs/>
      <w:lang w:val="en-GB" w:eastAsia="ja-JP"/>
    </w:rPr>
  </w:style>
  <w:style w:type="paragraph" w:customStyle="1" w:styleId="S2Heading3">
    <w:name w:val="S2.Heading 3"/>
    <w:basedOn w:val="Normal"/>
    <w:link w:val="S2Heading3Char"/>
    <w:rsid w:val="00BB50FA"/>
    <w:pPr>
      <w:numPr>
        <w:ilvl w:val="2"/>
        <w:numId w:val="58"/>
      </w:numPr>
      <w:spacing w:after="240" w:line="246" w:lineRule="atLeast"/>
      <w:jc w:val="both"/>
      <w:outlineLvl w:val="2"/>
    </w:pPr>
    <w:rPr>
      <w:rFonts w:cs="Times New Roman"/>
      <w:bCs/>
      <w:iCs/>
      <w:lang w:eastAsia="ja-JP"/>
    </w:rPr>
  </w:style>
  <w:style w:type="character" w:customStyle="1" w:styleId="S2Heading3Char">
    <w:name w:val="S2.Heading 3 Char"/>
    <w:basedOn w:val="DefaultParagraphFont"/>
    <w:link w:val="S2Heading3"/>
    <w:rsid w:val="00BB50FA"/>
    <w:rPr>
      <w:rFonts w:cs="Times New Roman"/>
      <w:bCs/>
      <w:iCs/>
      <w:lang w:val="en-GB" w:eastAsia="ja-JP"/>
    </w:rPr>
  </w:style>
  <w:style w:type="paragraph" w:customStyle="1" w:styleId="S2Heading4">
    <w:name w:val="S2.Heading 4"/>
    <w:basedOn w:val="Normal"/>
    <w:link w:val="S2Heading4Char"/>
    <w:rsid w:val="00BB50FA"/>
    <w:pPr>
      <w:numPr>
        <w:ilvl w:val="3"/>
        <w:numId w:val="58"/>
      </w:numPr>
      <w:spacing w:after="240" w:line="246" w:lineRule="atLeast"/>
      <w:jc w:val="both"/>
      <w:outlineLvl w:val="3"/>
    </w:pPr>
    <w:rPr>
      <w:rFonts w:cs="Times New Roman"/>
      <w:bCs/>
      <w:iCs/>
      <w:lang w:eastAsia="ja-JP"/>
    </w:rPr>
  </w:style>
  <w:style w:type="character" w:customStyle="1" w:styleId="S2Heading4Char">
    <w:name w:val="S2.Heading 4 Char"/>
    <w:basedOn w:val="DefaultParagraphFont"/>
    <w:link w:val="S2Heading4"/>
    <w:rsid w:val="00BB50FA"/>
    <w:rPr>
      <w:rFonts w:cs="Times New Roman"/>
      <w:bCs/>
      <w:iCs/>
      <w:lang w:val="en-GB" w:eastAsia="ja-JP"/>
    </w:rPr>
  </w:style>
  <w:style w:type="paragraph" w:customStyle="1" w:styleId="S2Heading5">
    <w:name w:val="S2.Heading 5"/>
    <w:basedOn w:val="Normal"/>
    <w:link w:val="S2Heading5Char"/>
    <w:rsid w:val="00BB50FA"/>
    <w:pPr>
      <w:numPr>
        <w:ilvl w:val="4"/>
        <w:numId w:val="58"/>
      </w:numPr>
      <w:spacing w:after="240" w:line="246" w:lineRule="atLeast"/>
      <w:jc w:val="both"/>
      <w:outlineLvl w:val="4"/>
    </w:pPr>
    <w:rPr>
      <w:rFonts w:cs="Times New Roman"/>
      <w:bCs/>
      <w:iCs/>
      <w:lang w:eastAsia="ja-JP"/>
    </w:rPr>
  </w:style>
  <w:style w:type="character" w:customStyle="1" w:styleId="S2Heading5Char">
    <w:name w:val="S2.Heading 5 Char"/>
    <w:basedOn w:val="DefaultParagraphFont"/>
    <w:link w:val="S2Heading5"/>
    <w:rsid w:val="00BB50FA"/>
    <w:rPr>
      <w:rFonts w:cs="Times New Roman"/>
      <w:bCs/>
      <w:iCs/>
      <w:lang w:val="en-GB" w:eastAsia="ja-JP"/>
    </w:rPr>
  </w:style>
  <w:style w:type="paragraph" w:customStyle="1" w:styleId="S2Heading6">
    <w:name w:val="S2.Heading 6"/>
    <w:basedOn w:val="Normal"/>
    <w:link w:val="S2Heading6Char"/>
    <w:rsid w:val="00EE1673"/>
    <w:pPr>
      <w:numPr>
        <w:ilvl w:val="5"/>
        <w:numId w:val="58"/>
      </w:numPr>
      <w:spacing w:after="240" w:line="246" w:lineRule="atLeast"/>
      <w:jc w:val="both"/>
      <w:outlineLvl w:val="5"/>
    </w:pPr>
    <w:rPr>
      <w:rFonts w:cs="Times New Roman"/>
      <w:bCs/>
      <w:iCs/>
      <w:lang w:eastAsia="ja-JP"/>
    </w:rPr>
  </w:style>
  <w:style w:type="character" w:customStyle="1" w:styleId="S2Heading6Char">
    <w:name w:val="S2.Heading 6 Char"/>
    <w:basedOn w:val="DefaultParagraphFont"/>
    <w:link w:val="S2Heading6"/>
    <w:rsid w:val="00EE1673"/>
    <w:rPr>
      <w:rFonts w:cs="Times New Roman"/>
      <w:bCs/>
      <w:iCs/>
      <w:lang w:val="en-GB" w:eastAsia="ja-JP"/>
    </w:rPr>
  </w:style>
  <w:style w:type="paragraph" w:customStyle="1" w:styleId="S2Heading7">
    <w:name w:val="S2.Heading 7"/>
    <w:basedOn w:val="Normal"/>
    <w:link w:val="S2Heading7Char"/>
    <w:rsid w:val="00EE1673"/>
    <w:pPr>
      <w:numPr>
        <w:ilvl w:val="6"/>
        <w:numId w:val="58"/>
      </w:numPr>
      <w:spacing w:after="240" w:line="246" w:lineRule="atLeast"/>
      <w:jc w:val="both"/>
      <w:outlineLvl w:val="6"/>
    </w:pPr>
    <w:rPr>
      <w:rFonts w:cs="Times New Roman"/>
      <w:bCs/>
      <w:iCs/>
      <w:lang w:eastAsia="ja-JP"/>
    </w:rPr>
  </w:style>
  <w:style w:type="character" w:customStyle="1" w:styleId="S2Heading7Char">
    <w:name w:val="S2.Heading 7 Char"/>
    <w:basedOn w:val="DefaultParagraphFont"/>
    <w:link w:val="S2Heading7"/>
    <w:rsid w:val="00EE1673"/>
    <w:rPr>
      <w:rFonts w:cs="Times New Roman"/>
      <w:bCs/>
      <w:iCs/>
      <w:lang w:val="en-GB" w:eastAsia="ja-JP"/>
    </w:rPr>
  </w:style>
  <w:style w:type="paragraph" w:customStyle="1" w:styleId="S2Heading8">
    <w:name w:val="S2.Heading 8"/>
    <w:basedOn w:val="Normal"/>
    <w:link w:val="S2Heading8Char"/>
    <w:rsid w:val="00EE1673"/>
    <w:pPr>
      <w:numPr>
        <w:ilvl w:val="7"/>
        <w:numId w:val="58"/>
      </w:numPr>
      <w:spacing w:after="240" w:line="246" w:lineRule="atLeast"/>
      <w:jc w:val="both"/>
      <w:outlineLvl w:val="7"/>
    </w:pPr>
    <w:rPr>
      <w:rFonts w:cs="Times New Roman"/>
      <w:bCs/>
      <w:iCs/>
      <w:lang w:eastAsia="ja-JP"/>
    </w:rPr>
  </w:style>
  <w:style w:type="character" w:customStyle="1" w:styleId="S2Heading8Char">
    <w:name w:val="S2.Heading 8 Char"/>
    <w:basedOn w:val="DefaultParagraphFont"/>
    <w:link w:val="S2Heading8"/>
    <w:rsid w:val="00EE1673"/>
    <w:rPr>
      <w:rFonts w:cs="Times New Roman"/>
      <w:bCs/>
      <w:iCs/>
      <w:lang w:val="en-GB" w:eastAsia="ja-JP"/>
    </w:rPr>
  </w:style>
  <w:style w:type="paragraph" w:customStyle="1" w:styleId="S2Heading9">
    <w:name w:val="S2.Heading 9"/>
    <w:basedOn w:val="Normal"/>
    <w:link w:val="S2Heading9Char"/>
    <w:rsid w:val="00EE1673"/>
    <w:pPr>
      <w:numPr>
        <w:ilvl w:val="8"/>
        <w:numId w:val="58"/>
      </w:numPr>
      <w:spacing w:after="240" w:line="246" w:lineRule="atLeast"/>
      <w:jc w:val="both"/>
      <w:outlineLvl w:val="8"/>
    </w:pPr>
    <w:rPr>
      <w:rFonts w:cs="Times New Roman"/>
      <w:bCs/>
      <w:iCs/>
      <w:lang w:eastAsia="ja-JP"/>
    </w:rPr>
  </w:style>
  <w:style w:type="character" w:customStyle="1" w:styleId="S2Heading9Char">
    <w:name w:val="S2.Heading 9 Char"/>
    <w:basedOn w:val="DefaultParagraphFont"/>
    <w:link w:val="S2Heading9"/>
    <w:rsid w:val="00EE1673"/>
    <w:rPr>
      <w:rFonts w:cs="Times New Roman"/>
      <w:bCs/>
      <w:iCs/>
      <w:lang w:val="en-GB" w:eastAsia="ja-JP"/>
    </w:rPr>
  </w:style>
  <w:style w:type="paragraph" w:styleId="Revision">
    <w:name w:val="Revision"/>
    <w:hidden/>
    <w:uiPriority w:val="99"/>
    <w:semiHidden/>
    <w:rsid w:val="004069B2"/>
    <w:rPr>
      <w:lang w:val="en-GB"/>
    </w:rPr>
  </w:style>
  <w:style w:type="paragraph" w:customStyle="1" w:styleId="Body">
    <w:name w:val="Body"/>
    <w:rsid w:val="00013786"/>
    <w:pPr>
      <w:pBdr>
        <w:top w:val="nil"/>
        <w:left w:val="nil"/>
        <w:bottom w:val="nil"/>
        <w:right w:val="nil"/>
        <w:between w:val="nil"/>
        <w:bar w:val="nil"/>
      </w:pBdr>
      <w:spacing w:after="280" w:line="280" w:lineRule="exact"/>
    </w:pPr>
    <w:rPr>
      <w:rFonts w:ascii="Calibri" w:eastAsia="Arial Unicode MS" w:hAnsi="Arial Unicode MS" w:cs="Arial Unicode MS"/>
      <w:color w:val="000000"/>
      <w:sz w:val="22"/>
      <w:szCs w:val="22"/>
      <w:u w:color="000000"/>
      <w:bdr w:val="nil"/>
    </w:rPr>
  </w:style>
  <w:style w:type="table" w:customStyle="1" w:styleId="TableGrid1">
    <w:name w:val="Table Grid1"/>
    <w:basedOn w:val="TableNormal"/>
    <w:next w:val="TableGrid"/>
    <w:uiPriority w:val="59"/>
    <w:rsid w:val="00B06B12"/>
    <w:rPr>
      <w:rFonts w:ascii="Arial" w:hAnsi="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1605"/>
    <w:pPr>
      <w:spacing w:after="160" w:line="259" w:lineRule="auto"/>
      <w:ind w:left="720"/>
      <w:contextualSpacing/>
    </w:pPr>
    <w:rPr>
      <w:rFonts w:asciiTheme="minorHAnsi" w:hAnsiTheme="minorHAnsi"/>
      <w:sz w:val="22"/>
      <w:szCs w:val="22"/>
    </w:rPr>
  </w:style>
  <w:style w:type="paragraph" w:customStyle="1" w:styleId="Level1">
    <w:name w:val="Level 1."/>
    <w:basedOn w:val="Normal"/>
    <w:next w:val="Normal"/>
    <w:uiPriority w:val="4"/>
    <w:qFormat/>
    <w:rsid w:val="00755725"/>
    <w:pPr>
      <w:keepNext/>
      <w:numPr>
        <w:numId w:val="107"/>
      </w:numPr>
      <w:spacing w:before="200" w:line="240" w:lineRule="atLeast"/>
      <w:outlineLvl w:val="0"/>
    </w:pPr>
    <w:rPr>
      <w:rFonts w:ascii="Arial" w:eastAsia="Arial" w:hAnsi="Arial" w:cs="Times New Roman"/>
      <w:b/>
      <w:sz w:val="20"/>
      <w:szCs w:val="20"/>
      <w:lang w:val="en-AU"/>
    </w:rPr>
  </w:style>
  <w:style w:type="paragraph" w:customStyle="1" w:styleId="Level11">
    <w:name w:val="Level 1.1"/>
    <w:basedOn w:val="Normal"/>
    <w:next w:val="Normal"/>
    <w:uiPriority w:val="5"/>
    <w:qFormat/>
    <w:rsid w:val="00755725"/>
    <w:pPr>
      <w:keepNext/>
      <w:numPr>
        <w:ilvl w:val="1"/>
        <w:numId w:val="107"/>
      </w:numPr>
      <w:spacing w:before="200" w:line="240" w:lineRule="atLeast"/>
      <w:outlineLvl w:val="1"/>
    </w:pPr>
    <w:rPr>
      <w:rFonts w:ascii="Arial" w:eastAsia="Arial" w:hAnsi="Arial" w:cs="Times New Roman"/>
      <w:b/>
      <w:sz w:val="20"/>
      <w:szCs w:val="20"/>
      <w:lang w:val="en-AU"/>
    </w:rPr>
  </w:style>
  <w:style w:type="paragraph" w:customStyle="1" w:styleId="Levela">
    <w:name w:val="Level (a)"/>
    <w:basedOn w:val="Normal"/>
    <w:next w:val="Normal"/>
    <w:link w:val="LevelaChar"/>
    <w:uiPriority w:val="6"/>
    <w:qFormat/>
    <w:rsid w:val="00755725"/>
    <w:pPr>
      <w:numPr>
        <w:ilvl w:val="2"/>
        <w:numId w:val="107"/>
      </w:numPr>
      <w:spacing w:before="200" w:line="240" w:lineRule="atLeast"/>
      <w:outlineLvl w:val="2"/>
    </w:pPr>
    <w:rPr>
      <w:rFonts w:ascii="Arial" w:eastAsia="Arial" w:hAnsi="Arial" w:cs="Times New Roman"/>
      <w:sz w:val="20"/>
      <w:szCs w:val="20"/>
      <w:lang w:val="en-AU"/>
    </w:rPr>
  </w:style>
  <w:style w:type="paragraph" w:customStyle="1" w:styleId="Leveli">
    <w:name w:val="Level (i)"/>
    <w:basedOn w:val="Normal"/>
    <w:next w:val="Normal"/>
    <w:link w:val="LeveliChar"/>
    <w:uiPriority w:val="6"/>
    <w:qFormat/>
    <w:rsid w:val="00755725"/>
    <w:pPr>
      <w:numPr>
        <w:ilvl w:val="3"/>
        <w:numId w:val="107"/>
      </w:numPr>
      <w:spacing w:before="200" w:line="240" w:lineRule="atLeast"/>
      <w:outlineLvl w:val="3"/>
    </w:pPr>
    <w:rPr>
      <w:rFonts w:ascii="Arial" w:eastAsia="Arial" w:hAnsi="Arial" w:cs="Times New Roman"/>
      <w:sz w:val="20"/>
      <w:szCs w:val="20"/>
      <w:lang w:val="en-AU"/>
    </w:rPr>
  </w:style>
  <w:style w:type="paragraph" w:customStyle="1" w:styleId="LevelA0">
    <w:name w:val="Level(A)"/>
    <w:basedOn w:val="Normal"/>
    <w:next w:val="Normal"/>
    <w:uiPriority w:val="6"/>
    <w:qFormat/>
    <w:rsid w:val="00755725"/>
    <w:pPr>
      <w:numPr>
        <w:ilvl w:val="4"/>
        <w:numId w:val="107"/>
      </w:numPr>
      <w:spacing w:before="200" w:line="240" w:lineRule="atLeast"/>
      <w:outlineLvl w:val="4"/>
    </w:pPr>
    <w:rPr>
      <w:rFonts w:ascii="Arial" w:eastAsia="Arial" w:hAnsi="Arial" w:cs="Times New Roman"/>
      <w:sz w:val="20"/>
      <w:szCs w:val="20"/>
      <w:lang w:val="en-AU"/>
    </w:rPr>
  </w:style>
  <w:style w:type="paragraph" w:customStyle="1" w:styleId="LevelI0">
    <w:name w:val="Level(I)"/>
    <w:basedOn w:val="Normal"/>
    <w:next w:val="Normal"/>
    <w:uiPriority w:val="6"/>
    <w:qFormat/>
    <w:rsid w:val="00755725"/>
    <w:pPr>
      <w:numPr>
        <w:ilvl w:val="5"/>
        <w:numId w:val="107"/>
      </w:numPr>
      <w:spacing w:before="200" w:line="240" w:lineRule="atLeast"/>
      <w:outlineLvl w:val="5"/>
    </w:pPr>
    <w:rPr>
      <w:rFonts w:ascii="Arial" w:eastAsia="Arial" w:hAnsi="Arial" w:cs="Times New Roman"/>
      <w:sz w:val="20"/>
      <w:szCs w:val="20"/>
      <w:lang w:val="en-AU"/>
    </w:rPr>
  </w:style>
  <w:style w:type="numbering" w:customStyle="1" w:styleId="OutlineList1">
    <w:name w:val="OutlineList1"/>
    <w:uiPriority w:val="99"/>
    <w:rsid w:val="00755725"/>
    <w:pPr>
      <w:numPr>
        <w:numId w:val="109"/>
      </w:numPr>
    </w:pPr>
  </w:style>
  <w:style w:type="character" w:customStyle="1" w:styleId="LevelaChar">
    <w:name w:val="Level (a) Char"/>
    <w:link w:val="Levela"/>
    <w:uiPriority w:val="6"/>
    <w:rsid w:val="00755725"/>
    <w:rPr>
      <w:rFonts w:ascii="Arial" w:eastAsia="Arial" w:hAnsi="Arial" w:cs="Times New Roman"/>
      <w:sz w:val="20"/>
      <w:szCs w:val="20"/>
      <w:lang w:val="en-AU"/>
    </w:rPr>
  </w:style>
  <w:style w:type="character" w:customStyle="1" w:styleId="LeveliChar">
    <w:name w:val="Level (i) Char"/>
    <w:link w:val="Leveli"/>
    <w:uiPriority w:val="6"/>
    <w:rsid w:val="00755725"/>
    <w:rPr>
      <w:rFonts w:ascii="Arial" w:eastAsia="Arial" w:hAnsi="Arial" w:cs="Times New Roman"/>
      <w:sz w:val="20"/>
      <w:szCs w:val="20"/>
      <w:lang w:val="en-AU"/>
    </w:rPr>
  </w:style>
  <w:style w:type="paragraph" w:customStyle="1" w:styleId="Level11fo">
    <w:name w:val="Level 1.1fo"/>
    <w:basedOn w:val="Normal"/>
    <w:uiPriority w:val="5"/>
    <w:rsid w:val="00755725"/>
    <w:pPr>
      <w:spacing w:before="200" w:line="240" w:lineRule="atLeast"/>
      <w:ind w:left="720"/>
    </w:pPr>
    <w:rPr>
      <w:rFonts w:ascii="Arial" w:eastAsia="Arial" w:hAnsi="Arial" w:cs="Times New Roman"/>
      <w:sz w:val="20"/>
      <w:szCs w:val="20"/>
      <w:lang w:val="en-AU"/>
    </w:rPr>
  </w:style>
  <w:style w:type="character" w:styleId="UnresolvedMention">
    <w:name w:val="Unresolved Mention"/>
    <w:basedOn w:val="DefaultParagraphFont"/>
    <w:uiPriority w:val="99"/>
    <w:semiHidden/>
    <w:unhideWhenUsed/>
    <w:rsid w:val="00396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S&amp;S%20Templates\Blank%20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8D36D-95AC-4B97-A5E1-08A254051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A-4</Template>
  <TotalTime>8</TotalTime>
  <Pages>249</Pages>
  <Words>70118</Words>
  <Characters>399673</Characters>
  <Application>Microsoft Office Word</Application>
  <DocSecurity>0</DocSecurity>
  <Lines>3330</Lines>
  <Paragraphs>937</Paragraphs>
  <ScaleCrop>false</ScaleCrop>
  <HeadingPairs>
    <vt:vector size="2" baseType="variant">
      <vt:variant>
        <vt:lpstr>Title</vt:lpstr>
      </vt:variant>
      <vt:variant>
        <vt:i4>1</vt:i4>
      </vt:variant>
    </vt:vector>
  </HeadingPairs>
  <TitlesOfParts>
    <vt:vector size="1" baseType="lpstr">
      <vt:lpstr/>
    </vt:vector>
  </TitlesOfParts>
  <Company>Shearman &amp; Sterling LLP</Company>
  <LinksUpToDate>false</LinksUpToDate>
  <CharactersWithSpaces>468854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dc:creator>
  <cp:keywords/>
  <dc:description/>
  <cp:lastModifiedBy>Michaela Crawford</cp:lastModifiedBy>
  <cp:revision>9</cp:revision>
  <cp:lastPrinted>2023-12-13T09:44:00Z</cp:lastPrinted>
  <dcterms:created xsi:type="dcterms:W3CDTF">2023-11-14T14:12:00Z</dcterms:created>
  <dcterms:modified xsi:type="dcterms:W3CDTF">2023-12-13T09:44:00Z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LNDOCS01/939898.4</vt:lpwstr>
  </property>
  <property fmtid="{D5CDD505-2E9C-101B-9397-08002B2CF9AE}" pid="3" name="DocumentType">
    <vt:lpwstr>pcgBlank</vt:lpwstr>
  </property>
</Properties>
</file>